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0.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2.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3.xml" ContentType="application/vnd.openxmlformats-officedocument.wordprocessingml.footer+xml"/>
  <Override PartName="/word/header3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FBlank"/>
        <w:tblW w:w="0" w:type="auto"/>
        <w:tblLook w:val="04A0" w:firstRow="1" w:lastRow="0" w:firstColumn="1" w:lastColumn="0" w:noHBand="0" w:noVBand="1"/>
        <w:tblDescription w:val="STRIP"/>
      </w:tblPr>
      <w:tblGrid>
        <w:gridCol w:w="1985"/>
        <w:gridCol w:w="7427"/>
      </w:tblGrid>
      <w:tr w:rsidR="002D1C31" w14:paraId="23398EAB" w14:textId="77777777" w:rsidTr="006834A7">
        <w:trPr>
          <w:trHeight w:val="11490"/>
        </w:trPr>
        <w:tc>
          <w:tcPr>
            <w:tcW w:w="1985" w:type="dxa"/>
          </w:tcPr>
          <w:p w14:paraId="1ED6173F" w14:textId="77777777" w:rsidR="002D1C31" w:rsidRDefault="002D1C31" w:rsidP="00FC7753"/>
        </w:tc>
        <w:tc>
          <w:tcPr>
            <w:tcW w:w="7427" w:type="dxa"/>
            <w:vAlign w:val="bottom"/>
          </w:tcPr>
          <w:p w14:paraId="2AA2A090" w14:textId="1077420C" w:rsidR="00A520C9" w:rsidRPr="00DD03A5" w:rsidRDefault="00A520C9" w:rsidP="00A520C9">
            <w:pPr>
              <w:pStyle w:val="Title"/>
            </w:pPr>
            <w:r>
              <w:t xml:space="preserve">Review of NDIA actuarial forecast model and drivers of </w:t>
            </w:r>
            <w:r w:rsidR="007A5D84">
              <w:t>S</w:t>
            </w:r>
            <w:r>
              <w:t xml:space="preserve">cheme costs </w:t>
            </w:r>
          </w:p>
          <w:p w14:paraId="2D035CC1" w14:textId="15CB0711" w:rsidR="002D1C31" w:rsidRPr="00DD03A5" w:rsidRDefault="00D320CF" w:rsidP="006834A7">
            <w:pPr>
              <w:pStyle w:val="Subtitle"/>
              <w:rPr>
                <w:rStyle w:val="Whitetext"/>
              </w:rPr>
            </w:pPr>
            <w:r>
              <w:rPr>
                <w:rStyle w:val="Whitetext"/>
              </w:rPr>
              <w:t xml:space="preserve">Full </w:t>
            </w:r>
            <w:r w:rsidR="00A520C9">
              <w:rPr>
                <w:rStyle w:val="Whitetext"/>
              </w:rPr>
              <w:t>report</w:t>
            </w:r>
          </w:p>
          <w:sdt>
            <w:sdtPr>
              <w:rPr>
                <w:rStyle w:val="Whitetext"/>
              </w:rPr>
              <w:id w:val="-2071570698"/>
              <w:placeholder>
                <w:docPart w:val="43A2FD5C4E74414AAD1A5A119EA61540"/>
              </w:placeholder>
              <w:date w:fullDate="2021-11-25T00:00:00Z">
                <w:dateFormat w:val="d MMMM yyyy"/>
                <w:lid w:val="en-AU"/>
                <w:storeMappedDataAs w:val="dateTime"/>
                <w:calendar w:val="gregorian"/>
              </w:date>
            </w:sdtPr>
            <w:sdtEndPr>
              <w:rPr>
                <w:rStyle w:val="Whitetext"/>
              </w:rPr>
            </w:sdtEndPr>
            <w:sdtContent>
              <w:p w14:paraId="750A3253" w14:textId="57186474" w:rsidR="002D1C31" w:rsidRPr="002D1C31" w:rsidRDefault="00571102" w:rsidP="006834A7">
                <w:pPr>
                  <w:pStyle w:val="Coverdate"/>
                  <w:rPr>
                    <w:color w:val="FFFFFF"/>
                  </w:rPr>
                </w:pPr>
                <w:r>
                  <w:rPr>
                    <w:rStyle w:val="Whitetext"/>
                    <w:lang w:val="en-AU"/>
                  </w:rPr>
                  <w:t>25 November 2021</w:t>
                </w:r>
              </w:p>
            </w:sdtContent>
          </w:sdt>
        </w:tc>
      </w:tr>
    </w:tbl>
    <w:p w14:paraId="7222FAFA" w14:textId="77777777" w:rsidR="00194918" w:rsidRPr="00DD03A5" w:rsidRDefault="00194918" w:rsidP="00522ADA">
      <w:pPr>
        <w:rPr>
          <w:color w:val="FFFFFF"/>
        </w:rPr>
      </w:pPr>
    </w:p>
    <w:p w14:paraId="43034640" w14:textId="77777777" w:rsidR="00194918" w:rsidRPr="00DD03A5" w:rsidRDefault="00194918" w:rsidP="00522ADA">
      <w:pPr>
        <w:rPr>
          <w:color w:val="FFFFFF"/>
        </w:rPr>
      </w:pPr>
    </w:p>
    <w:p w14:paraId="6FAAE1C9" w14:textId="77777777" w:rsidR="00194918" w:rsidRPr="00DD03A5" w:rsidRDefault="00194918" w:rsidP="00522ADA">
      <w:pPr>
        <w:rPr>
          <w:color w:val="FFFFFF"/>
        </w:rPr>
        <w:sectPr w:rsidR="00194918" w:rsidRPr="00DD03A5" w:rsidSect="00436B04">
          <w:headerReference w:type="default" r:id="rId7"/>
          <w:headerReference w:type="first" r:id="rId8"/>
          <w:footerReference w:type="first" r:id="rId9"/>
          <w:pgSz w:w="11906" w:h="16838" w:code="9"/>
          <w:pgMar w:top="1418" w:right="1247" w:bottom="1418" w:left="1247" w:header="709" w:footer="454" w:gutter="0"/>
          <w:cols w:space="708"/>
          <w:docGrid w:linePitch="360"/>
        </w:sectPr>
      </w:pPr>
    </w:p>
    <w:sdt>
      <w:sdtPr>
        <w:rPr>
          <w:rStyle w:val="Whitetext"/>
        </w:rPr>
        <w:id w:val="-933202843"/>
        <w:placeholder>
          <w:docPart w:val="A04180BE961A43608815CBA9958CB737"/>
        </w:placeholder>
        <w:dropDownList>
          <w:listItem w:value="Document classification."/>
          <w:listItem w:displayText="Document classification: Confidential" w:value="Document classification: Confidential"/>
          <w:listItem w:displayText="Document classification: Restricted" w:value="Document classification: Restricted"/>
          <w:listItem w:displayText="Document classification: Client use" w:value="Document classification: Client use"/>
          <w:listItem w:displayText="Document classification: Internal use" w:value="Document classification: Internal use"/>
          <w:listItem w:displayText="Document classification: Public" w:value="Document classification: Public"/>
        </w:dropDownList>
      </w:sdtPr>
      <w:sdtEndPr>
        <w:rPr>
          <w:rStyle w:val="Whitetext"/>
        </w:rPr>
      </w:sdtEndPr>
      <w:sdtContent>
        <w:p w14:paraId="09A4C260" w14:textId="62CF1F7F" w:rsidR="000E575E" w:rsidRPr="00DD03A5" w:rsidRDefault="00D320CF" w:rsidP="0050643E">
          <w:pPr>
            <w:rPr>
              <w:rStyle w:val="Whitetext"/>
            </w:rPr>
          </w:pPr>
          <w:r w:rsidRPr="00D320CF">
            <w:rPr>
              <w:rStyle w:val="Whitetext"/>
            </w:rPr>
            <w:t>Document classification: Client use</w:t>
          </w:r>
        </w:p>
      </w:sdtContent>
    </w:sdt>
    <w:p w14:paraId="10C19526" w14:textId="77777777" w:rsidR="00BD7F5E" w:rsidRDefault="00BD7F5E" w:rsidP="00BD7F5E"/>
    <w:p w14:paraId="6D839616" w14:textId="77777777" w:rsidR="00E41880" w:rsidRDefault="00E41880" w:rsidP="00E41880"/>
    <w:p w14:paraId="6C21CE8A" w14:textId="77777777" w:rsidR="00E41880" w:rsidRPr="00E41880" w:rsidRDefault="00E41880" w:rsidP="00E41880"/>
    <w:p w14:paraId="67FD6A68" w14:textId="77777777" w:rsidR="00BD7F5E" w:rsidRPr="004B5CF7" w:rsidRDefault="00BD7F5E" w:rsidP="00BD7F5E"/>
    <w:p w14:paraId="7FE815BB" w14:textId="77777777" w:rsidR="00BD7F5E" w:rsidRDefault="00BD7F5E" w:rsidP="00E33AEF"/>
    <w:p w14:paraId="0596B41A" w14:textId="77777777" w:rsidR="006324E0" w:rsidRPr="006324E0" w:rsidRDefault="006324E0" w:rsidP="006324E0"/>
    <w:p w14:paraId="01880504" w14:textId="77777777" w:rsidR="00BD7F5E" w:rsidRPr="004B5CF7" w:rsidRDefault="00BD7F5E" w:rsidP="00522ADA"/>
    <w:p w14:paraId="5A352D70" w14:textId="77777777" w:rsidR="00BD7F5E" w:rsidRPr="004B5CF7" w:rsidRDefault="00BD7F5E" w:rsidP="00522ADA">
      <w:pPr>
        <w:sectPr w:rsidR="00BD7F5E" w:rsidRPr="004B5CF7" w:rsidSect="002823D4">
          <w:headerReference w:type="even" r:id="rId10"/>
          <w:headerReference w:type="default" r:id="rId11"/>
          <w:footerReference w:type="default" r:id="rId12"/>
          <w:headerReference w:type="first" r:id="rId13"/>
          <w:pgSz w:w="11906" w:h="16838" w:code="9"/>
          <w:pgMar w:top="1418" w:right="1247" w:bottom="1418" w:left="1247" w:header="709" w:footer="454" w:gutter="0"/>
          <w:pgNumType w:fmt="lowerRoman"/>
          <w:cols w:space="708"/>
          <w:docGrid w:linePitch="360"/>
        </w:sectPr>
      </w:pPr>
    </w:p>
    <w:sdt>
      <w:sdtPr>
        <w:id w:val="356014506"/>
        <w:placeholder>
          <w:docPart w:val="C2AFF7EAB6784D1FBAC6CD5855453FC1"/>
        </w:placeholder>
        <w:date w:fullDate="2021-11-25T00:00:00Z">
          <w:dateFormat w:val="d MMMM yyyy"/>
          <w:lid w:val="en-AU"/>
          <w:storeMappedDataAs w:val="dateTime"/>
          <w:calendar w:val="gregorian"/>
        </w:date>
      </w:sdtPr>
      <w:sdtEndPr/>
      <w:sdtContent>
        <w:p w14:paraId="451D0A5D" w14:textId="09CB4A5D" w:rsidR="000E575E" w:rsidRPr="004B5CF7" w:rsidRDefault="00571102" w:rsidP="0077362D">
          <w:pPr>
            <w:pStyle w:val="LetterDate"/>
          </w:pPr>
          <w:r>
            <w:rPr>
              <w:lang w:val="en-AU"/>
            </w:rPr>
            <w:t>25 November 2021</w:t>
          </w:r>
        </w:p>
      </w:sdtContent>
    </w:sdt>
    <w:p w14:paraId="305B4F2F" w14:textId="77777777" w:rsidR="00A520C9" w:rsidRDefault="00A520C9" w:rsidP="00A520C9">
      <w:pPr>
        <w:pStyle w:val="LetterAddressandaddressee"/>
      </w:pPr>
      <w:r>
        <w:t xml:space="preserve">James MacIsaac </w:t>
      </w:r>
    </w:p>
    <w:p w14:paraId="39F98927" w14:textId="77777777" w:rsidR="00A520C9" w:rsidRDefault="00A520C9" w:rsidP="00A520C9">
      <w:pPr>
        <w:pStyle w:val="LetterAddressandaddressee"/>
      </w:pPr>
      <w:r>
        <w:t xml:space="preserve">Executive Director, Disability </w:t>
      </w:r>
    </w:p>
    <w:p w14:paraId="350F7728" w14:textId="77777777" w:rsidR="00A520C9" w:rsidRDefault="00A520C9" w:rsidP="00A520C9">
      <w:pPr>
        <w:pStyle w:val="LetterAddressandaddressee"/>
      </w:pPr>
      <w:r>
        <w:t>Disability and Communities Branch</w:t>
      </w:r>
    </w:p>
    <w:p w14:paraId="2D5B1924" w14:textId="77777777" w:rsidR="00A520C9" w:rsidRDefault="00A520C9" w:rsidP="00A520C9">
      <w:pPr>
        <w:pStyle w:val="LetterAddressandaddressee"/>
      </w:pPr>
      <w:r>
        <w:t xml:space="preserve">Children, Families, Communities and Disability Division </w:t>
      </w:r>
    </w:p>
    <w:p w14:paraId="1AE04B3A" w14:textId="77777777" w:rsidR="00A520C9" w:rsidRDefault="00A520C9" w:rsidP="00A520C9">
      <w:pPr>
        <w:pStyle w:val="LetterAddressandaddressee"/>
      </w:pPr>
      <w:r>
        <w:t>Department of Families, Fairness and Housing</w:t>
      </w:r>
    </w:p>
    <w:p w14:paraId="29B2BF0C" w14:textId="780DFCD6" w:rsidR="00A520C9" w:rsidRPr="002B4C47" w:rsidRDefault="00E063F5" w:rsidP="00A520C9">
      <w:pPr>
        <w:pStyle w:val="LetterAddressandaddressee"/>
      </w:pPr>
      <w:hyperlink r:id="rId14" w:history="1">
        <w:r w:rsidR="00A520C9" w:rsidRPr="002B4C47">
          <w:rPr>
            <w:rStyle w:val="Hyperlink"/>
            <w:color w:val="auto"/>
            <w:u w:val="none"/>
          </w:rPr>
          <w:t>James.MacIsaac@dffh.vic.gov.au</w:t>
        </w:r>
      </w:hyperlink>
      <w:r w:rsidR="00A520C9" w:rsidRPr="002B4C47">
        <w:t xml:space="preserve"> </w:t>
      </w:r>
    </w:p>
    <w:p w14:paraId="3058A371" w14:textId="0BA9B8C0" w:rsidR="000E575E" w:rsidRPr="0077362D" w:rsidRDefault="0077362D" w:rsidP="0077362D">
      <w:pPr>
        <w:pStyle w:val="Salutation"/>
      </w:pPr>
      <w:r>
        <w:t xml:space="preserve">Dear </w:t>
      </w:r>
      <w:r w:rsidR="00A520C9">
        <w:t>James</w:t>
      </w:r>
      <w:r w:rsidR="00F23671">
        <w:t>,</w:t>
      </w:r>
    </w:p>
    <w:p w14:paraId="6A2D4C8E" w14:textId="16896ED4" w:rsidR="00A520C9" w:rsidRPr="009D0862" w:rsidRDefault="00A520C9" w:rsidP="00A520C9">
      <w:pPr>
        <w:pStyle w:val="LetterSubjectline"/>
      </w:pPr>
      <w:r w:rsidRPr="000428CC">
        <w:t>Review of NDIA actuarial forecast model and drivers of scheme costs</w:t>
      </w:r>
    </w:p>
    <w:p w14:paraId="2972156D" w14:textId="1DEB774C" w:rsidR="00A520C9" w:rsidRDefault="00A520C9" w:rsidP="00A520C9">
      <w:r>
        <w:t>We thank you for the opportunity to review the NDI</w:t>
      </w:r>
      <w:r w:rsidR="007A5D84">
        <w:t>A</w:t>
      </w:r>
      <w:r>
        <w:t xml:space="preserve"> Scheme Actuary Annual Financial Sustainability Report (AFSR) model. We trust this will be of assistance to the NDIS </w:t>
      </w:r>
      <w:r w:rsidR="00485F4E">
        <w:t xml:space="preserve">governing partners </w:t>
      </w:r>
      <w:r>
        <w:t>as they consider potential options to ensure the long-term future of the scheme.</w:t>
      </w:r>
    </w:p>
    <w:p w14:paraId="18ACAF79" w14:textId="77777777" w:rsidR="00A520C9" w:rsidRDefault="00A520C9" w:rsidP="00A520C9"/>
    <w:p w14:paraId="33D46344" w14:textId="77777777" w:rsidR="00A520C9" w:rsidRDefault="00A520C9" w:rsidP="00A520C9"/>
    <w:p w14:paraId="75F0E4EB" w14:textId="77777777" w:rsidR="00A520C9" w:rsidRDefault="00A520C9" w:rsidP="00A520C9">
      <w:r w:rsidRPr="004B5CF7">
        <w:t>Yours sincerely</w:t>
      </w:r>
      <w:r>
        <w:t>,</w:t>
      </w:r>
    </w:p>
    <w:p w14:paraId="358AF492" w14:textId="77777777" w:rsidR="00A520C9" w:rsidRDefault="00A520C9" w:rsidP="00A520C9"/>
    <w:p w14:paraId="0E80E2BB" w14:textId="77777777" w:rsidR="003F577D" w:rsidRDefault="003F577D" w:rsidP="00A520C9">
      <w:pPr>
        <w:sectPr w:rsidR="003F577D" w:rsidSect="000D12A1">
          <w:headerReference w:type="even" r:id="rId15"/>
          <w:headerReference w:type="default" r:id="rId16"/>
          <w:footerReference w:type="default" r:id="rId17"/>
          <w:headerReference w:type="first" r:id="rId18"/>
          <w:pgSz w:w="11906" w:h="16838" w:code="9"/>
          <w:pgMar w:top="1418" w:right="1247" w:bottom="1418" w:left="1247" w:header="709" w:footer="454" w:gutter="0"/>
          <w:pgNumType w:fmt="lowerRoman" w:start="1"/>
          <w:cols w:space="708"/>
          <w:titlePg/>
          <w:docGrid w:linePitch="360"/>
        </w:sectPr>
      </w:pPr>
    </w:p>
    <w:p w14:paraId="2ED55FC7" w14:textId="2B402F40" w:rsidR="00A520C9" w:rsidRPr="004B5CF7" w:rsidRDefault="00491A27" w:rsidP="00A520C9">
      <w:r w:rsidRPr="006C4B83">
        <w:rPr>
          <w:noProof/>
        </w:rPr>
        <w:drawing>
          <wp:inline distT="0" distB="0" distL="0" distR="0" wp14:anchorId="08F4B7B3" wp14:editId="6A3D17B3">
            <wp:extent cx="1546860" cy="584835"/>
            <wp:effectExtent l="0" t="0" r="0" b="5715"/>
            <wp:docPr id="9" name="Picture 9" descr="Hugh Mille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ugh Miller signature"/>
                    <pic:cNvPicPr/>
                  </pic:nvPicPr>
                  <pic:blipFill>
                    <a:blip r:embed="rId19" cstate="print">
                      <a:extLst>
                        <a:ext uri="{28A0092B-C50C-407E-A947-70E740481C1C}">
                          <a14:useLocalDpi xmlns:a14="http://schemas.microsoft.com/office/drawing/2010/main"/>
                        </a:ext>
                      </a:extLst>
                    </a:blip>
                    <a:stretch>
                      <a:fillRect/>
                    </a:stretch>
                  </pic:blipFill>
                  <pic:spPr>
                    <a:xfrm>
                      <a:off x="0" y="0"/>
                      <a:ext cx="1546860" cy="584835"/>
                    </a:xfrm>
                    <a:prstGeom prst="rect">
                      <a:avLst/>
                    </a:prstGeom>
                  </pic:spPr>
                </pic:pic>
              </a:graphicData>
            </a:graphic>
          </wp:inline>
        </w:drawing>
      </w:r>
    </w:p>
    <w:p w14:paraId="4AC82DDC" w14:textId="1498EBC2" w:rsidR="00A520C9" w:rsidRPr="0081796F" w:rsidRDefault="00A520C9" w:rsidP="003F577D">
      <w:pPr>
        <w:pStyle w:val="LetterSignoff"/>
        <w:spacing w:before="120"/>
      </w:pPr>
      <w:r>
        <w:rPr>
          <w:rStyle w:val="Strong"/>
        </w:rPr>
        <w:t>Hugh Miller</w:t>
      </w:r>
    </w:p>
    <w:p w14:paraId="236BB6E6" w14:textId="77777777" w:rsidR="003F577D" w:rsidRDefault="00A520C9" w:rsidP="00A520C9">
      <w:pPr>
        <w:pStyle w:val="LetterSignoff"/>
      </w:pPr>
      <w:r>
        <w:t>Principal</w:t>
      </w:r>
    </w:p>
    <w:p w14:paraId="1BD13256" w14:textId="7F5AEE54" w:rsidR="003F577D" w:rsidRDefault="003F577D" w:rsidP="00A520C9">
      <w:pPr>
        <w:pStyle w:val="LetterSignoff"/>
      </w:pPr>
      <w:r w:rsidRPr="006C4B83">
        <w:rPr>
          <w:noProof/>
        </w:rPr>
        <w:drawing>
          <wp:inline distT="0" distB="0" distL="0" distR="0" wp14:anchorId="5E760752" wp14:editId="4779CCEE">
            <wp:extent cx="831215" cy="553720"/>
            <wp:effectExtent l="38100" t="57150" r="45085" b="55880"/>
            <wp:docPr id="10" name="Picture 10" descr="Darryl Frank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arryl Frank signature"/>
                    <pic:cNvPicPr>
                      <a:picLocks noChangeAspect="1" noChangeArrowheads="1"/>
                    </pic:cNvPicPr>
                  </pic:nvPicPr>
                  <pic:blipFill>
                    <a:blip r:embed="rId20">
                      <a:biLevel thresh="75000"/>
                      <a:extLst>
                        <a:ext uri="{BEBA8EAE-BF5A-486C-A8C5-ECC9F3942E4B}">
                          <a14:imgProps xmlns:a14="http://schemas.microsoft.com/office/drawing/2010/main">
                            <a14:imgLayer r:embed="rId21">
                              <a14:imgEffect>
                                <a14:sharpenSoften amount="-100000"/>
                              </a14:imgEffect>
                              <a14:imgEffect>
                                <a14:colorTemperature colorTemp="5875"/>
                              </a14:imgEffect>
                              <a14:imgEffect>
                                <a14:saturation sat="340000"/>
                              </a14:imgEffect>
                            </a14:imgLayer>
                          </a14:imgProps>
                        </a:ext>
                        <a:ext uri="{28A0092B-C50C-407E-A947-70E740481C1C}">
                          <a14:useLocalDpi xmlns:a14="http://schemas.microsoft.com/office/drawing/2010/main"/>
                        </a:ext>
                      </a:extLst>
                    </a:blip>
                    <a:srcRect/>
                    <a:stretch>
                      <a:fillRect/>
                    </a:stretch>
                  </pic:blipFill>
                  <pic:spPr bwMode="auto">
                    <a:xfrm rot="371163">
                      <a:off x="0" y="0"/>
                      <a:ext cx="831215" cy="553720"/>
                    </a:xfrm>
                    <a:prstGeom prst="rect">
                      <a:avLst/>
                    </a:prstGeom>
                    <a:noFill/>
                    <a:ln>
                      <a:noFill/>
                    </a:ln>
                  </pic:spPr>
                </pic:pic>
              </a:graphicData>
            </a:graphic>
          </wp:inline>
        </w:drawing>
      </w:r>
    </w:p>
    <w:p w14:paraId="79C99A53" w14:textId="46326953" w:rsidR="003F577D" w:rsidRDefault="003F577D" w:rsidP="00A520C9">
      <w:pPr>
        <w:pStyle w:val="LetterSignoff"/>
      </w:pPr>
      <w:r>
        <w:rPr>
          <w:rStyle w:val="Strong"/>
        </w:rPr>
        <w:t>Darryl Frank</w:t>
      </w:r>
    </w:p>
    <w:p w14:paraId="7C941F38" w14:textId="0C6297EF" w:rsidR="00A520C9" w:rsidRPr="004B5CF7" w:rsidRDefault="00A520C9" w:rsidP="00A520C9">
      <w:pPr>
        <w:pStyle w:val="LetterSignoff"/>
      </w:pPr>
      <w:r>
        <w:t>Principal</w:t>
      </w:r>
    </w:p>
    <w:p w14:paraId="0186D343" w14:textId="77777777" w:rsidR="003F577D" w:rsidRDefault="003F577D" w:rsidP="00F929B4">
      <w:pPr>
        <w:sectPr w:rsidR="003F577D" w:rsidSect="003F577D">
          <w:type w:val="continuous"/>
          <w:pgSz w:w="11906" w:h="16838" w:code="9"/>
          <w:pgMar w:top="1418" w:right="1247" w:bottom="1418" w:left="1247" w:header="709" w:footer="454" w:gutter="0"/>
          <w:pgNumType w:fmt="lowerRoman" w:start="1"/>
          <w:cols w:num="2" w:space="708"/>
          <w:titlePg/>
          <w:docGrid w:linePitch="360"/>
        </w:sectPr>
      </w:pPr>
    </w:p>
    <w:p w14:paraId="3FEB5D0E" w14:textId="77777777" w:rsidR="00F929B4" w:rsidRPr="00F929B4" w:rsidRDefault="00F929B4" w:rsidP="00F929B4"/>
    <w:p w14:paraId="435DB781" w14:textId="6D29DCCA" w:rsidR="000E575E" w:rsidRPr="004B5CF7" w:rsidRDefault="000E575E" w:rsidP="00522ADA">
      <w:pPr>
        <w:sectPr w:rsidR="000E575E" w:rsidRPr="004B5CF7" w:rsidSect="003F577D">
          <w:type w:val="continuous"/>
          <w:pgSz w:w="11906" w:h="16838" w:code="9"/>
          <w:pgMar w:top="1418" w:right="1247" w:bottom="1418" w:left="1247" w:header="709" w:footer="454" w:gutter="0"/>
          <w:pgNumType w:fmt="lowerRoman" w:start="1"/>
          <w:cols w:space="708"/>
          <w:titlePg/>
          <w:docGrid w:linePitch="360"/>
        </w:sectPr>
      </w:pPr>
    </w:p>
    <w:bookmarkStart w:id="0" w:name="_Toc83828705"/>
    <w:bookmarkStart w:id="1" w:name="_Toc83828736"/>
    <w:bookmarkStart w:id="2" w:name="_Toc83997750"/>
    <w:bookmarkStart w:id="3" w:name="_Toc87700448"/>
    <w:bookmarkStart w:id="4" w:name="_Toc88686100"/>
    <w:p w14:paraId="48BF55E8" w14:textId="5F102DFC" w:rsidR="00A520C9" w:rsidRDefault="00C92373" w:rsidP="00A520C9">
      <w:pPr>
        <w:pStyle w:val="NNheading1"/>
      </w:pPr>
      <w:r w:rsidRPr="00404142">
        <w:rPr>
          <w:noProof/>
          <w:color w:val="FFFFFF" w:themeColor="background1"/>
        </w:rPr>
        <w:lastRenderedPageBreak/>
        <mc:AlternateContent>
          <mc:Choice Requires="wps">
            <w:drawing>
              <wp:anchor distT="0" distB="0" distL="114300" distR="114300" simplePos="0" relativeHeight="251701248" behindDoc="1" locked="0" layoutInCell="1" allowOverlap="1" wp14:anchorId="66102D09" wp14:editId="004CE3EF">
                <wp:simplePos x="0" y="0"/>
                <wp:positionH relativeFrom="margin">
                  <wp:posOffset>-921385</wp:posOffset>
                </wp:positionH>
                <wp:positionV relativeFrom="paragraph">
                  <wp:posOffset>439116</wp:posOffset>
                </wp:positionV>
                <wp:extent cx="6898234" cy="256032"/>
                <wp:effectExtent l="0" t="0" r="0" b="0"/>
                <wp:wrapNone/>
                <wp:docPr id="119" name="Rectangl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234" cy="25603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51434A" id="Rectangle 119" o:spid="_x0000_s1026" alt="&quot;&quot;" style="position:absolute;margin-left:-72.55pt;margin-top:34.6pt;width:543.15pt;height:20.15pt;z-index:-251615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" fillcolor="#005295 [2404]" stroked="f" strokeweight="1pt">
                <w10:wrap anchorx="margin"/>
              </v:rect>
            </w:pict>
          </mc:Fallback>
        </mc:AlternateContent>
      </w:r>
      <w:r w:rsidR="00A520C9" w:rsidRPr="00404142">
        <w:t>Executive Summary</w:t>
      </w:r>
      <w:bookmarkEnd w:id="0"/>
      <w:bookmarkEnd w:id="1"/>
      <w:bookmarkEnd w:id="2"/>
      <w:bookmarkEnd w:id="3"/>
      <w:bookmarkEnd w:id="4"/>
    </w:p>
    <w:p w14:paraId="7A07588D" w14:textId="77777777" w:rsidR="00D320CF" w:rsidRPr="00C92373" w:rsidRDefault="00D320CF" w:rsidP="00C92373">
      <w:pPr>
        <w:pStyle w:val="NNheading2Exec"/>
      </w:pPr>
      <w:r w:rsidRPr="00C92373">
        <w:t>Introduction</w:t>
      </w:r>
    </w:p>
    <w:p w14:paraId="06DD1F20" w14:textId="754AE09A" w:rsidR="00D320CF" w:rsidRDefault="00D320CF" w:rsidP="00D320CF">
      <w:r>
        <w:t>The National Disability Insurance Scheme (NDIS</w:t>
      </w:r>
      <w:r w:rsidR="007A5D84">
        <w:t>, or ‘Scheme’</w:t>
      </w:r>
      <w:r>
        <w:t xml:space="preserve">) is a landmark reform that has provided support to nearly half a million Australians with a disability. Increasing </w:t>
      </w:r>
      <w:r w:rsidR="007A5D84">
        <w:t>Scheme</w:t>
      </w:r>
      <w:r>
        <w:t xml:space="preserve"> costs are natural as the </w:t>
      </w:r>
      <w:r w:rsidR="007A5D84">
        <w:t>Scheme</w:t>
      </w:r>
      <w:r>
        <w:t xml:space="preserve"> continues to approach maturity. However, recent years have seen faster-than-expected escalation in costs. These trends have in turn been reflected in forecasts made by the Scheme Actuary. The latest cost estimate for 2024-25 is $41</w:t>
      </w:r>
      <w:r>
        <w:rPr>
          <w:rFonts w:ascii="Cambria" w:hAnsi="Cambria"/>
        </w:rPr>
        <w:t> </w:t>
      </w:r>
      <w:r>
        <w:t xml:space="preserve">billion, compared to the $31 billion estimate in the June 2019 Scheme Actuary report and the 2017 Productivity Commission review (after </w:t>
      </w:r>
      <w:r w:rsidR="00537C53">
        <w:t>allowing</w:t>
      </w:r>
      <w:r>
        <w:t xml:space="preserve"> for additional in-scope items).</w:t>
      </w:r>
    </w:p>
    <w:p w14:paraId="1F67D405" w14:textId="40A30A80" w:rsidR="009B22E7" w:rsidRDefault="009B22E7" w:rsidP="00D320CF">
      <w:r>
        <w:t>This latest estimate is also higher than other recent estimates such as the 2020-21 Commonwealth Budget ($31.9B in participant costs by 2024-25</w:t>
      </w:r>
      <w:r>
        <w:rPr>
          <w:rStyle w:val="FootnoteReference"/>
        </w:rPr>
        <w:footnoteReference w:id="1"/>
      </w:r>
      <w:r>
        <w:t>) and the Intergenerational Report (1.3% of GDP, perhaps around $31B, in 2024-25).</w:t>
      </w:r>
    </w:p>
    <w:p w14:paraId="4B704C04" w14:textId="28B61C9D" w:rsidR="00D320CF" w:rsidRDefault="00D320CF" w:rsidP="0046638C">
      <w:r>
        <w:t>Taylor Fry has been asked to verify the Scheme Actuary’s 20</w:t>
      </w:r>
      <w:r w:rsidR="00A257F1">
        <w:t>20-</w:t>
      </w:r>
      <w:r>
        <w:t>21 Annual Financial Sustainability Re</w:t>
      </w:r>
      <w:r w:rsidR="00D53DA6">
        <w:t>port</w:t>
      </w:r>
      <w:r>
        <w:t xml:space="preserve"> (AFSR) and to explore the drivers of growth in cost as well as to compare the projections against the 2018-19 and 2019-20 AFSR estimates. We have been provided with the AFSR model and detailed data to undertake this review. </w:t>
      </w:r>
    </w:p>
    <w:p w14:paraId="2E211C2E" w14:textId="69379554" w:rsidR="00D320CF" w:rsidRDefault="00D320CF" w:rsidP="00D320CF">
      <w:r>
        <w:t>Escalating costs raise questions of sustainability, although ultimately</w:t>
      </w:r>
      <w:r w:rsidR="00946D1D">
        <w:t>,</w:t>
      </w:r>
      <w:r>
        <w:t xml:space="preserve"> financial sustainability is tied to the willingness of government (and taxpayers) to meet </w:t>
      </w:r>
      <w:r w:rsidR="007A5D84">
        <w:t>Scheme</w:t>
      </w:r>
      <w:r>
        <w:t xml:space="preserve"> costs. The nature of sustainability in the current context is described in the NDIS's 2016 Insurance Principles and Financial Sustainability Manual. The key principles from the manual are that “</w:t>
      </w:r>
      <w:r w:rsidRPr="00FF0E5C">
        <w:rPr>
          <w:i/>
          <w:iCs/>
        </w:rPr>
        <w:t xml:space="preserve">a well-functioning NDIS generally means that the right people are being determined eligible for individual support packages and they are then being provided with the right supports. It also means that the ILC </w:t>
      </w:r>
      <w:r>
        <w:rPr>
          <w:i/>
          <w:iCs/>
        </w:rPr>
        <w:t>(</w:t>
      </w:r>
      <w:r w:rsidRPr="00FF0E5C">
        <w:rPr>
          <w:i/>
          <w:iCs/>
        </w:rPr>
        <w:t>linkages and capacity building</w:t>
      </w:r>
      <w:r>
        <w:rPr>
          <w:i/>
          <w:iCs/>
        </w:rPr>
        <w:t xml:space="preserve">) </w:t>
      </w:r>
      <w:r w:rsidRPr="00FF0E5C">
        <w:rPr>
          <w:i/>
          <w:iCs/>
        </w:rPr>
        <w:t>systems are working effectively and efficiently</w:t>
      </w:r>
      <w:r>
        <w:t xml:space="preserve">.” Our report </w:t>
      </w:r>
      <w:r w:rsidRPr="000F5457">
        <w:t>focu</w:t>
      </w:r>
      <w:r>
        <w:t xml:space="preserve">ses on </w:t>
      </w:r>
      <w:r w:rsidR="007A5D84">
        <w:t>Scheme</w:t>
      </w:r>
      <w:r w:rsidRPr="000F5457">
        <w:t xml:space="preserve"> costs</w:t>
      </w:r>
      <w:r>
        <w:t xml:space="preserve"> and does </w:t>
      </w:r>
      <w:r w:rsidRPr="000F5457">
        <w:t xml:space="preserve">not assess the impact of the </w:t>
      </w:r>
      <w:r w:rsidR="00F23671">
        <w:t>S</w:t>
      </w:r>
      <w:r w:rsidRPr="000F5457">
        <w:t xml:space="preserve">cheme on </w:t>
      </w:r>
      <w:r>
        <w:t xml:space="preserve">outcomes and </w:t>
      </w:r>
      <w:r w:rsidRPr="000F5457">
        <w:t xml:space="preserve">lifetime benefits </w:t>
      </w:r>
      <w:r>
        <w:t xml:space="preserve">for </w:t>
      </w:r>
      <w:r w:rsidRPr="000F5457">
        <w:t>participants, their families, or society more broadly.</w:t>
      </w:r>
      <w:r>
        <w:t xml:space="preserve"> These larger considerations </w:t>
      </w:r>
      <w:r w:rsidRPr="00311E39">
        <w:t xml:space="preserve">are important for evaluating the overall </w:t>
      </w:r>
      <w:r>
        <w:t xml:space="preserve">effectiveness </w:t>
      </w:r>
      <w:r w:rsidRPr="00311E39">
        <w:t xml:space="preserve">of the </w:t>
      </w:r>
      <w:r w:rsidR="00F23671">
        <w:t>S</w:t>
      </w:r>
      <w:r w:rsidRPr="00311E39">
        <w:t>cheme.</w:t>
      </w:r>
    </w:p>
    <w:p w14:paraId="4742EBAC" w14:textId="27CD37EA" w:rsidR="00D320CF" w:rsidRPr="00C92373" w:rsidRDefault="00C92373" w:rsidP="00C92373">
      <w:pPr>
        <w:pStyle w:val="NNheading2Exec"/>
      </w:pPr>
      <w:r w:rsidRPr="00C92373">
        <w:rPr>
          <w:noProof/>
        </w:rPr>
        <mc:AlternateContent>
          <mc:Choice Requires="wps">
            <w:drawing>
              <wp:anchor distT="0" distB="0" distL="114300" distR="114300" simplePos="0" relativeHeight="251699200" behindDoc="1" locked="0" layoutInCell="1" allowOverlap="1" wp14:anchorId="06E6CED9" wp14:editId="20D0EA38">
                <wp:simplePos x="0" y="0"/>
                <wp:positionH relativeFrom="margin">
                  <wp:posOffset>-921385</wp:posOffset>
                </wp:positionH>
                <wp:positionV relativeFrom="paragraph">
                  <wp:posOffset>73991</wp:posOffset>
                </wp:positionV>
                <wp:extent cx="6898234" cy="256032"/>
                <wp:effectExtent l="0" t="0" r="0" b="0"/>
                <wp:wrapNone/>
                <wp:docPr id="118" name="Rect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234" cy="25603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9E65DC" id="Rectangle 118" o:spid="_x0000_s1026" alt="&quot;&quot;" style="position:absolute;margin-left:-72.55pt;margin-top:5.85pt;width:543.15pt;height:20.15pt;z-index:-251617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" fillcolor="#005295 [2404]" stroked="f" strokeweight="1pt">
                <w10:wrap anchorx="margin"/>
              </v:rect>
            </w:pict>
          </mc:Fallback>
        </mc:AlternateContent>
      </w:r>
      <w:r w:rsidR="00D320CF" w:rsidRPr="00C92373">
        <w:t xml:space="preserve">Overall assessment of the 2020-21 AFSR financial projection </w:t>
      </w:r>
    </w:p>
    <w:p w14:paraId="6D5812F4" w14:textId="0C9FAA96" w:rsidR="00D320CF" w:rsidRDefault="00D320CF" w:rsidP="00D320CF">
      <w:r>
        <w:t>The baseline projection has participant costs growing to $41.4 billion in 2024-25 and $59.3 billion in 2029-30.</w:t>
      </w:r>
      <w:r w:rsidR="00567940">
        <w:t xml:space="preserve"> </w:t>
      </w:r>
      <w:r w:rsidR="00567940" w:rsidRPr="00801E42">
        <w:t xml:space="preserve">As a relatively new </w:t>
      </w:r>
      <w:r w:rsidR="007A5D84">
        <w:t>Scheme</w:t>
      </w:r>
      <w:r w:rsidR="00567940" w:rsidRPr="00801E42">
        <w:t xml:space="preserve">, the </w:t>
      </w:r>
      <w:r w:rsidR="00567940">
        <w:t>assumptions underlying this</w:t>
      </w:r>
      <w:r w:rsidR="00567940" w:rsidRPr="00801E42">
        <w:t xml:space="preserve"> projection are </w:t>
      </w:r>
      <w:r w:rsidR="00567940">
        <w:t xml:space="preserve">derived from </w:t>
      </w:r>
      <w:r w:rsidR="00567940" w:rsidRPr="00801E42">
        <w:t>a short and dynamic history</w:t>
      </w:r>
      <w:r w:rsidR="00567940">
        <w:t>.</w:t>
      </w:r>
      <w:r>
        <w:t xml:space="preserve"> </w:t>
      </w:r>
      <w:r w:rsidR="00A257F1">
        <w:t>T</w:t>
      </w:r>
      <w:r>
        <w:t xml:space="preserve">he AFSR </w:t>
      </w:r>
      <w:r w:rsidR="00A257F1">
        <w:t xml:space="preserve">also </w:t>
      </w:r>
      <w:r>
        <w:t xml:space="preserve">provides a plausible range based on scenario testing of various assumptions. The range highlights the </w:t>
      </w:r>
      <w:r w:rsidR="00381C86">
        <w:t xml:space="preserve">continued </w:t>
      </w:r>
      <w:r w:rsidRPr="00381C86">
        <w:rPr>
          <w:b/>
          <w:bCs/>
        </w:rPr>
        <w:t>high degree of uncertainty</w:t>
      </w:r>
      <w:r w:rsidR="00381C86">
        <w:t xml:space="preserve"> in forecasting NDIS costs</w:t>
      </w:r>
      <w:r>
        <w:t>, particularly over the longer time horizon. The baseline estimate sits closer to the lower end of the range.</w:t>
      </w:r>
    </w:p>
    <w:p w14:paraId="66DC02F0" w14:textId="17E27FF1" w:rsidR="00D320CF" w:rsidRDefault="00D320CF" w:rsidP="00D320CF">
      <w:pPr>
        <w:pStyle w:val="Caption"/>
      </w:pPr>
      <w:r>
        <w:t xml:space="preserve">Table </w:t>
      </w:r>
      <w:r>
        <w:fldChar w:fldCharType="begin"/>
      </w:r>
      <w:r>
        <w:instrText xml:space="preserve"> SEQ Table \* ARABIC \s 1 </w:instrText>
      </w:r>
      <w:r>
        <w:fldChar w:fldCharType="separate"/>
      </w:r>
      <w:r w:rsidR="00E6217F">
        <w:rPr>
          <w:noProof/>
        </w:rPr>
        <w:t>1</w:t>
      </w:r>
      <w:r>
        <w:fldChar w:fldCharType="end"/>
      </w:r>
      <w:r>
        <w:t xml:space="preserve"> </w:t>
      </w:r>
      <w:r w:rsidR="00A257F1">
        <w:t xml:space="preserve">– </w:t>
      </w:r>
      <w:r>
        <w:t xml:space="preserve">Baseline estimates and plausible range ($B, accrual basis), 2020-21 AFSR  </w:t>
      </w:r>
    </w:p>
    <w:tbl>
      <w:tblPr>
        <w:tblStyle w:val="TFBlue"/>
        <w:tblW w:w="9212" w:type="dxa"/>
        <w:tblLook w:val="04A0" w:firstRow="1" w:lastRow="0" w:firstColumn="1" w:lastColumn="0" w:noHBand="0" w:noVBand="1"/>
      </w:tblPr>
      <w:tblGrid>
        <w:gridCol w:w="2127"/>
        <w:gridCol w:w="1417"/>
        <w:gridCol w:w="1417"/>
        <w:gridCol w:w="1417"/>
        <w:gridCol w:w="1417"/>
        <w:gridCol w:w="1417"/>
      </w:tblGrid>
      <w:tr w:rsidR="00D320CF" w14:paraId="2354289F" w14:textId="77777777" w:rsidTr="003F4047">
        <w:trPr>
          <w:cnfStyle w:val="100000000000" w:firstRow="1" w:lastRow="0" w:firstColumn="0" w:lastColumn="0" w:oddVBand="0" w:evenVBand="0" w:oddHBand="0" w:evenHBand="0" w:firstRowFirstColumn="0" w:firstRowLastColumn="0" w:lastRowFirstColumn="0" w:lastRowLastColumn="0"/>
        </w:trPr>
        <w:tc>
          <w:tcPr>
            <w:tcW w:w="2127" w:type="dxa"/>
          </w:tcPr>
          <w:p w14:paraId="2169AB66" w14:textId="77777777" w:rsidR="00D320CF" w:rsidRDefault="00D320CF" w:rsidP="003425C1">
            <w:r>
              <w:t>Scenario</w:t>
            </w:r>
          </w:p>
        </w:tc>
        <w:tc>
          <w:tcPr>
            <w:tcW w:w="1417" w:type="dxa"/>
            <w:vAlign w:val="center"/>
          </w:tcPr>
          <w:p w14:paraId="6DE12558" w14:textId="77777777" w:rsidR="00D320CF" w:rsidRDefault="00D320CF" w:rsidP="003425C1">
            <w:pPr>
              <w:jc w:val="right"/>
            </w:pPr>
            <w:r>
              <w:t>2021-22</w:t>
            </w:r>
          </w:p>
        </w:tc>
        <w:tc>
          <w:tcPr>
            <w:tcW w:w="1417" w:type="dxa"/>
            <w:vAlign w:val="center"/>
          </w:tcPr>
          <w:p w14:paraId="71629122" w14:textId="77777777" w:rsidR="00D320CF" w:rsidRDefault="00D320CF" w:rsidP="003425C1">
            <w:pPr>
              <w:jc w:val="right"/>
            </w:pPr>
            <w:r>
              <w:t>2022-23</w:t>
            </w:r>
          </w:p>
        </w:tc>
        <w:tc>
          <w:tcPr>
            <w:tcW w:w="1417" w:type="dxa"/>
            <w:vAlign w:val="center"/>
          </w:tcPr>
          <w:p w14:paraId="6D66C268" w14:textId="77777777" w:rsidR="00D320CF" w:rsidRDefault="00D320CF" w:rsidP="003425C1">
            <w:pPr>
              <w:jc w:val="right"/>
            </w:pPr>
            <w:r>
              <w:t>2023-24</w:t>
            </w:r>
          </w:p>
        </w:tc>
        <w:tc>
          <w:tcPr>
            <w:tcW w:w="1417" w:type="dxa"/>
            <w:tcBorders>
              <w:right w:val="single" w:sz="4" w:space="0" w:color="006EC8" w:themeColor="accent1"/>
            </w:tcBorders>
            <w:vAlign w:val="center"/>
          </w:tcPr>
          <w:p w14:paraId="1A3CEFC4" w14:textId="77777777" w:rsidR="00D320CF" w:rsidRDefault="00D320CF" w:rsidP="003425C1">
            <w:pPr>
              <w:jc w:val="right"/>
            </w:pPr>
            <w:r>
              <w:t>2024-25</w:t>
            </w:r>
          </w:p>
        </w:tc>
        <w:tc>
          <w:tcPr>
            <w:tcW w:w="1417" w:type="dxa"/>
            <w:tcBorders>
              <w:left w:val="single" w:sz="4" w:space="0" w:color="006EC8" w:themeColor="accent1"/>
            </w:tcBorders>
            <w:vAlign w:val="center"/>
          </w:tcPr>
          <w:p w14:paraId="2EC6FFE8" w14:textId="77777777" w:rsidR="00D320CF" w:rsidRDefault="00D320CF" w:rsidP="003425C1">
            <w:pPr>
              <w:jc w:val="right"/>
            </w:pPr>
            <w:r>
              <w:t>2029-30</w:t>
            </w:r>
          </w:p>
        </w:tc>
      </w:tr>
      <w:tr w:rsidR="00D320CF" w14:paraId="72ADF9E8" w14:textId="77777777" w:rsidTr="003F4047">
        <w:trPr>
          <w:cnfStyle w:val="000000100000" w:firstRow="0" w:lastRow="0" w:firstColumn="0" w:lastColumn="0" w:oddVBand="0" w:evenVBand="0" w:oddHBand="1" w:evenHBand="0" w:firstRowFirstColumn="0" w:firstRowLastColumn="0" w:lastRowFirstColumn="0" w:lastRowLastColumn="0"/>
        </w:trPr>
        <w:tc>
          <w:tcPr>
            <w:tcW w:w="2127" w:type="dxa"/>
          </w:tcPr>
          <w:p w14:paraId="6EA71E38" w14:textId="77777777" w:rsidR="00D320CF" w:rsidRDefault="00D320CF" w:rsidP="003425C1">
            <w:pPr>
              <w:pStyle w:val="Tabletext"/>
            </w:pPr>
            <w:r>
              <w:t>Baseline projection</w:t>
            </w:r>
          </w:p>
        </w:tc>
        <w:tc>
          <w:tcPr>
            <w:tcW w:w="1417" w:type="dxa"/>
            <w:vAlign w:val="center"/>
          </w:tcPr>
          <w:p w14:paraId="1C3F4EF8" w14:textId="77777777" w:rsidR="00D320CF" w:rsidRDefault="00D320CF" w:rsidP="003425C1">
            <w:pPr>
              <w:pStyle w:val="Tablenumbers"/>
            </w:pPr>
            <w:r>
              <w:t>29.2</w:t>
            </w:r>
          </w:p>
        </w:tc>
        <w:tc>
          <w:tcPr>
            <w:tcW w:w="1417" w:type="dxa"/>
            <w:vAlign w:val="center"/>
          </w:tcPr>
          <w:p w14:paraId="43C5470D" w14:textId="77777777" w:rsidR="00D320CF" w:rsidRDefault="00D320CF" w:rsidP="003425C1">
            <w:pPr>
              <w:pStyle w:val="Tablenumbers"/>
            </w:pPr>
            <w:r>
              <w:t>33.9</w:t>
            </w:r>
          </w:p>
        </w:tc>
        <w:tc>
          <w:tcPr>
            <w:tcW w:w="1417" w:type="dxa"/>
            <w:vAlign w:val="center"/>
          </w:tcPr>
          <w:p w14:paraId="02439817" w14:textId="77777777" w:rsidR="00D320CF" w:rsidRDefault="00D320CF" w:rsidP="003425C1">
            <w:pPr>
              <w:pStyle w:val="Tablenumbers"/>
            </w:pPr>
            <w:r>
              <w:t>38.0</w:t>
            </w:r>
          </w:p>
        </w:tc>
        <w:tc>
          <w:tcPr>
            <w:tcW w:w="1417" w:type="dxa"/>
            <w:tcBorders>
              <w:right w:val="single" w:sz="4" w:space="0" w:color="006EC8" w:themeColor="accent1"/>
            </w:tcBorders>
            <w:vAlign w:val="center"/>
          </w:tcPr>
          <w:p w14:paraId="762E6013" w14:textId="77777777" w:rsidR="00D320CF" w:rsidRDefault="00D320CF" w:rsidP="003425C1">
            <w:pPr>
              <w:pStyle w:val="Tablenumbers"/>
            </w:pPr>
            <w:r>
              <w:t>41.4</w:t>
            </w:r>
          </w:p>
        </w:tc>
        <w:tc>
          <w:tcPr>
            <w:tcW w:w="1417" w:type="dxa"/>
            <w:tcBorders>
              <w:left w:val="single" w:sz="4" w:space="0" w:color="006EC8" w:themeColor="accent1"/>
            </w:tcBorders>
            <w:vAlign w:val="center"/>
          </w:tcPr>
          <w:p w14:paraId="6C28C22C" w14:textId="77777777" w:rsidR="00D320CF" w:rsidRDefault="00D320CF" w:rsidP="003425C1">
            <w:pPr>
              <w:pStyle w:val="Tablenumbers"/>
            </w:pPr>
            <w:r>
              <w:t>59.3</w:t>
            </w:r>
          </w:p>
        </w:tc>
      </w:tr>
      <w:tr w:rsidR="00D320CF" w14:paraId="0578A353" w14:textId="77777777" w:rsidTr="003F4047">
        <w:tc>
          <w:tcPr>
            <w:tcW w:w="2127" w:type="dxa"/>
          </w:tcPr>
          <w:p w14:paraId="17593717" w14:textId="77777777" w:rsidR="00D320CF" w:rsidRDefault="00D320CF" w:rsidP="003425C1">
            <w:pPr>
              <w:pStyle w:val="Tabletext"/>
            </w:pPr>
            <w:r>
              <w:t>Plausible low case</w:t>
            </w:r>
          </w:p>
        </w:tc>
        <w:tc>
          <w:tcPr>
            <w:tcW w:w="1417" w:type="dxa"/>
            <w:vAlign w:val="center"/>
          </w:tcPr>
          <w:p w14:paraId="54A31FEE" w14:textId="77777777" w:rsidR="00D320CF" w:rsidRDefault="00D320CF" w:rsidP="003425C1">
            <w:pPr>
              <w:pStyle w:val="Tablenumbers"/>
            </w:pPr>
            <w:r>
              <w:t>28.3</w:t>
            </w:r>
          </w:p>
        </w:tc>
        <w:tc>
          <w:tcPr>
            <w:tcW w:w="1417" w:type="dxa"/>
            <w:vAlign w:val="center"/>
          </w:tcPr>
          <w:p w14:paraId="110CDE9B" w14:textId="7C5EABF8" w:rsidR="00D320CF" w:rsidRDefault="00D320CF" w:rsidP="003425C1">
            <w:pPr>
              <w:pStyle w:val="Tablenumbers"/>
            </w:pPr>
            <w:r>
              <w:t>3</w:t>
            </w:r>
            <w:r w:rsidR="00FD29A3">
              <w:t>2</w:t>
            </w:r>
            <w:r>
              <w:t>.5</w:t>
            </w:r>
          </w:p>
        </w:tc>
        <w:tc>
          <w:tcPr>
            <w:tcW w:w="1417" w:type="dxa"/>
            <w:vAlign w:val="center"/>
          </w:tcPr>
          <w:p w14:paraId="35C49E6D" w14:textId="77777777" w:rsidR="00D320CF" w:rsidRDefault="00D320CF" w:rsidP="003425C1">
            <w:pPr>
              <w:pStyle w:val="Tablenumbers"/>
            </w:pPr>
            <w:r>
              <w:t>36.0</w:t>
            </w:r>
          </w:p>
        </w:tc>
        <w:tc>
          <w:tcPr>
            <w:tcW w:w="1417" w:type="dxa"/>
            <w:tcBorders>
              <w:right w:val="single" w:sz="4" w:space="0" w:color="006EC8" w:themeColor="accent1"/>
            </w:tcBorders>
            <w:vAlign w:val="center"/>
          </w:tcPr>
          <w:p w14:paraId="52FE8554" w14:textId="77777777" w:rsidR="00D320CF" w:rsidRDefault="00D320CF" w:rsidP="003425C1">
            <w:pPr>
              <w:pStyle w:val="Tablenumbers"/>
            </w:pPr>
            <w:r>
              <w:t>39.0</w:t>
            </w:r>
          </w:p>
        </w:tc>
        <w:tc>
          <w:tcPr>
            <w:tcW w:w="1417" w:type="dxa"/>
            <w:tcBorders>
              <w:left w:val="single" w:sz="4" w:space="0" w:color="006EC8" w:themeColor="accent1"/>
            </w:tcBorders>
            <w:vAlign w:val="center"/>
          </w:tcPr>
          <w:p w14:paraId="094DB72B" w14:textId="77777777" w:rsidR="00D320CF" w:rsidRDefault="00D320CF" w:rsidP="003425C1">
            <w:pPr>
              <w:pStyle w:val="Tablenumbers"/>
            </w:pPr>
            <w:r>
              <w:t>53.2</w:t>
            </w:r>
          </w:p>
        </w:tc>
      </w:tr>
      <w:tr w:rsidR="00D320CF" w14:paraId="289B3915" w14:textId="77777777" w:rsidTr="003F4047">
        <w:trPr>
          <w:cnfStyle w:val="000000100000" w:firstRow="0" w:lastRow="0" w:firstColumn="0" w:lastColumn="0" w:oddVBand="0" w:evenVBand="0" w:oddHBand="1" w:evenHBand="0" w:firstRowFirstColumn="0" w:firstRowLastColumn="0" w:lastRowFirstColumn="0" w:lastRowLastColumn="0"/>
        </w:trPr>
        <w:tc>
          <w:tcPr>
            <w:tcW w:w="2127" w:type="dxa"/>
          </w:tcPr>
          <w:p w14:paraId="001E4B32" w14:textId="77777777" w:rsidR="00D320CF" w:rsidRDefault="00D320CF" w:rsidP="003425C1">
            <w:pPr>
              <w:pStyle w:val="Tabletext"/>
            </w:pPr>
            <w:r>
              <w:t>Plausible high case</w:t>
            </w:r>
          </w:p>
        </w:tc>
        <w:tc>
          <w:tcPr>
            <w:tcW w:w="1417" w:type="dxa"/>
            <w:vAlign w:val="center"/>
          </w:tcPr>
          <w:p w14:paraId="25377ECE" w14:textId="77777777" w:rsidR="00D320CF" w:rsidRDefault="00D320CF" w:rsidP="003425C1">
            <w:pPr>
              <w:pStyle w:val="Tablenumbers"/>
            </w:pPr>
            <w:r>
              <w:t>30.5</w:t>
            </w:r>
          </w:p>
        </w:tc>
        <w:tc>
          <w:tcPr>
            <w:tcW w:w="1417" w:type="dxa"/>
            <w:vAlign w:val="center"/>
          </w:tcPr>
          <w:p w14:paraId="5D085CCF" w14:textId="77777777" w:rsidR="00D320CF" w:rsidRDefault="00D320CF" w:rsidP="003425C1">
            <w:pPr>
              <w:pStyle w:val="Tablenumbers"/>
            </w:pPr>
            <w:r>
              <w:t>36.6</w:t>
            </w:r>
          </w:p>
        </w:tc>
        <w:tc>
          <w:tcPr>
            <w:tcW w:w="1417" w:type="dxa"/>
            <w:vAlign w:val="center"/>
          </w:tcPr>
          <w:p w14:paraId="24DD4D5D" w14:textId="77777777" w:rsidR="00D320CF" w:rsidRDefault="00D320CF" w:rsidP="003425C1">
            <w:pPr>
              <w:pStyle w:val="Tablenumbers"/>
            </w:pPr>
            <w:r>
              <w:t>41.9</w:t>
            </w:r>
          </w:p>
        </w:tc>
        <w:tc>
          <w:tcPr>
            <w:tcW w:w="1417" w:type="dxa"/>
            <w:tcBorders>
              <w:bottom w:val="single" w:sz="4" w:space="0" w:color="006EC8" w:themeColor="accent1"/>
              <w:right w:val="single" w:sz="4" w:space="0" w:color="006EC8" w:themeColor="accent1"/>
            </w:tcBorders>
            <w:vAlign w:val="center"/>
          </w:tcPr>
          <w:p w14:paraId="58EDAC4B" w14:textId="77777777" w:rsidR="00D320CF" w:rsidRDefault="00D320CF" w:rsidP="003425C1">
            <w:pPr>
              <w:pStyle w:val="Tablenumbers"/>
            </w:pPr>
            <w:r>
              <w:t>47.8</w:t>
            </w:r>
          </w:p>
        </w:tc>
        <w:tc>
          <w:tcPr>
            <w:tcW w:w="1417" w:type="dxa"/>
            <w:tcBorders>
              <w:left w:val="single" w:sz="4" w:space="0" w:color="006EC8" w:themeColor="accent1"/>
            </w:tcBorders>
            <w:vAlign w:val="center"/>
          </w:tcPr>
          <w:p w14:paraId="30F7AC56" w14:textId="77777777" w:rsidR="00D320CF" w:rsidRDefault="00D320CF" w:rsidP="003425C1">
            <w:pPr>
              <w:pStyle w:val="Tablenumbers"/>
            </w:pPr>
            <w:r>
              <w:t>74.2</w:t>
            </w:r>
          </w:p>
        </w:tc>
      </w:tr>
    </w:tbl>
    <w:p w14:paraId="0E6AD5DA" w14:textId="231927F0" w:rsidR="006652A5" w:rsidRDefault="006652A5" w:rsidP="006652A5">
      <w:pPr>
        <w:pStyle w:val="Tablenotesorsource"/>
      </w:pPr>
      <w:r>
        <w:t xml:space="preserve">Note: This accrual basis is consistent with the AFSR presentation. Cash basis is about 1% lower </w:t>
      </w:r>
      <w:r w:rsidR="003A2617">
        <w:t xml:space="preserve">($40.8B in 2024-25 and $58.5B in 2029-30 for the baseline scenario) </w:t>
      </w:r>
      <w:r>
        <w:t xml:space="preserve">and is used for detailed modelling such as results presented in </w:t>
      </w:r>
      <w:r>
        <w:fldChar w:fldCharType="begin"/>
      </w:r>
      <w:r>
        <w:instrText xml:space="preserve"> REF _Ref88212822 \h  \* MERGEFORMAT </w:instrText>
      </w:r>
      <w:r>
        <w:fldChar w:fldCharType="separate"/>
      </w:r>
      <w:r w:rsidR="00E6217F">
        <w:t xml:space="preserve">Figure </w:t>
      </w:r>
      <w:r w:rsidR="00E6217F">
        <w:rPr>
          <w:noProof/>
        </w:rPr>
        <w:t>7</w:t>
      </w:r>
      <w:r>
        <w:fldChar w:fldCharType="end"/>
      </w:r>
      <w:r>
        <w:t>.</w:t>
      </w:r>
    </w:p>
    <w:p w14:paraId="65E9AC4C" w14:textId="0D2CE571" w:rsidR="00D320CF" w:rsidRDefault="00D320CF" w:rsidP="00D320CF">
      <w:r w:rsidRPr="005A0548">
        <w:rPr>
          <w:b/>
          <w:bCs/>
        </w:rPr>
        <w:t>Overall, we find that baseline estimates may represent a moderate underestimate of the expected value of future costs.</w:t>
      </w:r>
      <w:r w:rsidRPr="00490F44">
        <w:t xml:space="preserve"> The plausible ranges set out in the AFSR 2020-21 are reasonable.</w:t>
      </w:r>
      <w:r>
        <w:t xml:space="preserve"> </w:t>
      </w:r>
      <w:r w:rsidR="003F4047">
        <w:t>The degree of uncertainty increases the further out one projects</w:t>
      </w:r>
      <w:r w:rsidR="00612353">
        <w:t>,</w:t>
      </w:r>
      <w:r w:rsidR="003F4047">
        <w:t xml:space="preserve"> </w:t>
      </w:r>
      <w:r w:rsidR="00DE539B">
        <w:t xml:space="preserve">which </w:t>
      </w:r>
      <w:r w:rsidR="00612353">
        <w:t xml:space="preserve">is evidenced by the range between the high and low case projections in 2029-30 being twice that of 2024-25. </w:t>
      </w:r>
      <w:r w:rsidR="009B22E7">
        <w:t xml:space="preserve">We also note that the current baseline estimate for 2024-25 sits outside the range of scenarios considered in </w:t>
      </w:r>
      <w:r w:rsidR="00181A3B">
        <w:t xml:space="preserve">the </w:t>
      </w:r>
      <w:r w:rsidR="009B22E7">
        <w:t>2018-19</w:t>
      </w:r>
      <w:r w:rsidR="00181A3B">
        <w:t xml:space="preserve"> AFSR</w:t>
      </w:r>
      <w:r w:rsidR="009B22E7">
        <w:t xml:space="preserve">, </w:t>
      </w:r>
      <w:r w:rsidR="00181A3B">
        <w:t xml:space="preserve">which reflects both the significant change observed over two years and some of the uncertainty associated with forecasting. We are satisfied that the higher estimates better reflect </w:t>
      </w:r>
      <w:r w:rsidR="008E412D">
        <w:t>recent trends and experience.</w:t>
      </w:r>
    </w:p>
    <w:p w14:paraId="5083DF5D" w14:textId="4E243EAC" w:rsidR="00D320CF" w:rsidRDefault="00D320CF" w:rsidP="00D320CF">
      <w:r w:rsidRPr="00B272F7">
        <w:t xml:space="preserve">While this report does not seek to introduce a new estimate of NDIS costs to compete with those already in circulation, we regard the middle of the AFSR plausible range as a better guide to expected </w:t>
      </w:r>
      <w:r w:rsidR="007A5D84">
        <w:t>Scheme</w:t>
      </w:r>
      <w:r w:rsidRPr="00B272F7">
        <w:t xml:space="preserve"> costs.</w:t>
      </w:r>
      <w:r>
        <w:t xml:space="preserve"> </w:t>
      </w:r>
    </w:p>
    <w:p w14:paraId="6E1CC102" w14:textId="77777777" w:rsidR="00D320CF" w:rsidRDefault="00D320CF" w:rsidP="00102D8A">
      <w:pPr>
        <w:keepNext/>
      </w:pPr>
      <w:r>
        <w:t xml:space="preserve">The main factors contributing to our conclusion are: </w:t>
      </w:r>
    </w:p>
    <w:p w14:paraId="60255BD7" w14:textId="2467C449" w:rsidR="00D320CF" w:rsidRDefault="00D320CF" w:rsidP="00102D8A">
      <w:pPr>
        <w:pStyle w:val="Bullet1"/>
        <w:keepNext/>
      </w:pPr>
      <w:r w:rsidRPr="00F36B2A">
        <w:rPr>
          <w:b/>
          <w:bCs/>
        </w:rPr>
        <w:t xml:space="preserve">Continuing high numbers of </w:t>
      </w:r>
      <w:r w:rsidR="007A5D84">
        <w:rPr>
          <w:b/>
          <w:bCs/>
        </w:rPr>
        <w:t>Scheme</w:t>
      </w:r>
      <w:r w:rsidRPr="00F36B2A">
        <w:rPr>
          <w:b/>
          <w:bCs/>
        </w:rPr>
        <w:t xml:space="preserve"> entrants. </w:t>
      </w:r>
      <w:r>
        <w:t>Long-term entry numbers have been set at 60,000 a year (plus an adjustment for population growth)</w:t>
      </w:r>
      <w:r w:rsidR="008558A2">
        <w:t xml:space="preserve"> in the 2020-21 AFSR</w:t>
      </w:r>
      <w:r>
        <w:t xml:space="preserve">, a significant increase on previous reviews. </w:t>
      </w:r>
      <w:r w:rsidR="008729F6">
        <w:t xml:space="preserve">This </w:t>
      </w:r>
      <w:r w:rsidR="00A54B04">
        <w:t xml:space="preserve">increase </w:t>
      </w:r>
      <w:r w:rsidR="008729F6">
        <w:t xml:space="preserve">seems justified given the recent </w:t>
      </w:r>
      <w:r w:rsidR="00A54B04">
        <w:t xml:space="preserve">entry numbers, ongoing high enrolment numbers in trial regions and shifts in prevalence rates. The adopted rate </w:t>
      </w:r>
      <w:r>
        <w:t>sits below the entry rates recently seen (70,000 in 2020-21 excluding those transferring from State and Commonwealth programs)</w:t>
      </w:r>
      <w:r w:rsidR="00A54B04">
        <w:t xml:space="preserve"> and appears reasonable</w:t>
      </w:r>
      <w:r>
        <w:t xml:space="preserve">. Beyond 2024-25 there is both upside and downside risk; it may be that </w:t>
      </w:r>
      <w:r w:rsidR="00A257F1">
        <w:t>new entrant numbers plateau, on the other hand</w:t>
      </w:r>
      <w:r w:rsidR="00155C77">
        <w:t>,</w:t>
      </w:r>
      <w:r w:rsidR="00A257F1">
        <w:t xml:space="preserve"> disability prevalence as implied by the number of participants in the Scheme may continue to rise</w:t>
      </w:r>
      <w:r>
        <w:t>.</w:t>
      </w:r>
      <w:r w:rsidR="008E412D">
        <w:t xml:space="preserve"> </w:t>
      </w:r>
      <w:r w:rsidR="00943BB4">
        <w:t xml:space="preserve">The </w:t>
      </w:r>
      <w:r w:rsidR="00760DC2">
        <w:t xml:space="preserve">impact of such changes are potentially significant; </w:t>
      </w:r>
      <w:r w:rsidR="00943BB4">
        <w:t>for example, i</w:t>
      </w:r>
      <w:r w:rsidR="008E412D">
        <w:t xml:space="preserve">f new entrant rates </w:t>
      </w:r>
      <w:r w:rsidR="00943BB4">
        <w:t xml:space="preserve">from 2025-26 </w:t>
      </w:r>
      <w:r w:rsidR="008E412D">
        <w:t xml:space="preserve">reduced from 60,000 to 40,000 per year </w:t>
      </w:r>
      <w:r w:rsidR="00943BB4">
        <w:t>(</w:t>
      </w:r>
      <w:r w:rsidR="008E412D">
        <w:t>assuming the same mix of ages and disabilities</w:t>
      </w:r>
      <w:r w:rsidR="00760DC2">
        <w:t>, but with aggregate numbers broadly consistent with the 2018-19 AFSR</w:t>
      </w:r>
      <w:r w:rsidR="00943BB4">
        <w:t>)</w:t>
      </w:r>
      <w:r w:rsidR="008E412D">
        <w:t xml:space="preserve"> then payments </w:t>
      </w:r>
      <w:r w:rsidR="00943BB4">
        <w:t>in</w:t>
      </w:r>
      <w:r w:rsidR="008E412D">
        <w:t xml:space="preserve"> 2029-30 would reduce by </w:t>
      </w:r>
      <w:r w:rsidR="00943BB4">
        <w:t>$3.8B.</w:t>
      </w:r>
    </w:p>
    <w:p w14:paraId="14413986" w14:textId="77777777" w:rsidR="00D320CF" w:rsidRDefault="00D320CF" w:rsidP="00102D8A">
      <w:pPr>
        <w:pStyle w:val="Bullet1"/>
        <w:keepNext/>
      </w:pPr>
      <w:r w:rsidRPr="00F36B2A">
        <w:rPr>
          <w:b/>
          <w:bCs/>
        </w:rPr>
        <w:t xml:space="preserve">The risk of low ongoing exit rates. </w:t>
      </w:r>
      <w:r>
        <w:t>Longer-term non-mortality exit rates have been set at three times the current exit rate. Without a concerted effort and new initiatives, this appears unlikely to occur.</w:t>
      </w:r>
    </w:p>
    <w:p w14:paraId="25488B2B" w14:textId="496358DE" w:rsidR="00D320CF" w:rsidRDefault="00D320CF" w:rsidP="00102D8A">
      <w:pPr>
        <w:pStyle w:val="Bullet1"/>
        <w:keepNext/>
      </w:pPr>
      <w:r w:rsidRPr="00D66C50">
        <w:rPr>
          <w:b/>
          <w:bCs/>
        </w:rPr>
        <w:t xml:space="preserve">The assumed reduction in base inflation. </w:t>
      </w:r>
      <w:r>
        <w:t>Base inflation (relating to the prices paid for goods and services) has been reduced from 4% p.a. to 3.2% p.a. in the 2020-21 AFSR, with close to no allowance for ‘superimposed inflation’ above this level beyond 2024-25. While 3.2% p.a. is plausible, it does not represent the mid-range of potential cost escalation scenarios.</w:t>
      </w:r>
    </w:p>
    <w:p w14:paraId="6B0FC104" w14:textId="54544F35" w:rsidR="00D320CF" w:rsidRDefault="00D320CF" w:rsidP="00102D8A">
      <w:pPr>
        <w:pStyle w:val="Bullet1"/>
        <w:keepNext/>
      </w:pPr>
      <w:bookmarkStart w:id="5" w:name="_Hlk87709667"/>
      <w:r w:rsidRPr="00F36B2A">
        <w:rPr>
          <w:b/>
          <w:bCs/>
        </w:rPr>
        <w:t>The potential for higher superimposed inflation.</w:t>
      </w:r>
      <w:r>
        <w:t xml:space="preserve"> Superimposed inflation is the allowance for average cost increases </w:t>
      </w:r>
      <w:r w:rsidR="00A257F1">
        <w:t xml:space="preserve">above </w:t>
      </w:r>
      <w:r>
        <w:t xml:space="preserve">standard inflation. The superimposed inflation assumption incorporates a range of potential cost drivers. It encompasses duration effects (people learn to use the plans more effectively over time), functional ability changes (a significant portion of the </w:t>
      </w:r>
      <w:r w:rsidR="007A5D84">
        <w:t>Scheme</w:t>
      </w:r>
      <w:r>
        <w:t xml:space="preserve"> population is recorded as moving to a lower level of functional ability) and changing volumes and breadth of supports. </w:t>
      </w:r>
      <w:r w:rsidR="00A77878" w:rsidRPr="0046638C">
        <w:t xml:space="preserve">More generally, </w:t>
      </w:r>
      <w:r w:rsidR="00A77878">
        <w:t xml:space="preserve">there is </w:t>
      </w:r>
      <w:r w:rsidR="00A77878" w:rsidRPr="0046638C">
        <w:t>minimal allowance for superimposed inflation from 2025-26</w:t>
      </w:r>
      <w:r w:rsidR="00A77878">
        <w:t xml:space="preserve"> onwards which assumes very tight </w:t>
      </w:r>
      <w:r w:rsidR="007A5D84">
        <w:t>Scheme</w:t>
      </w:r>
      <w:r w:rsidR="00A77878">
        <w:t xml:space="preserve"> management will be able to be maintained for many years, and therefore we consider the current allowance to be on the low side</w:t>
      </w:r>
      <w:r w:rsidR="00FF6CD9">
        <w:t>.</w:t>
      </w:r>
      <w:r>
        <w:t xml:space="preserve"> </w:t>
      </w:r>
    </w:p>
    <w:bookmarkEnd w:id="5"/>
    <w:p w14:paraId="566CB2D5" w14:textId="2D239852" w:rsidR="00D320CF" w:rsidRDefault="00D320CF" w:rsidP="00102D8A">
      <w:pPr>
        <w:keepNext/>
      </w:pPr>
      <w:r>
        <w:t>Our conclusion mean</w:t>
      </w:r>
      <w:r w:rsidR="008A20FB">
        <w:t>s</w:t>
      </w:r>
      <w:r>
        <w:t xml:space="preserve"> that we are confirming a large increase in future </w:t>
      </w:r>
      <w:r w:rsidR="007A5D84">
        <w:t>Scheme</w:t>
      </w:r>
      <w:r>
        <w:t xml:space="preserve"> costs compared to previous estimates. </w:t>
      </w:r>
      <w:r w:rsidR="00567940" w:rsidRPr="00567940">
        <w:t>This is predicated on the Scheme being operated and managed as it is currently</w:t>
      </w:r>
      <w:r w:rsidR="00567940">
        <w:t>.</w:t>
      </w:r>
      <w:r w:rsidR="00567940" w:rsidRPr="00567940">
        <w:t xml:space="preserve"> </w:t>
      </w:r>
      <w:r>
        <w:t xml:space="preserve">We also make the point here that some of the higher </w:t>
      </w:r>
      <w:r w:rsidR="007A5D84">
        <w:t>Scheme</w:t>
      </w:r>
      <w:r>
        <w:t xml:space="preserve"> costs are effectively ‘locked in’, even with policy and operational responses. For example, suppose we assume:</w:t>
      </w:r>
    </w:p>
    <w:p w14:paraId="2315834D" w14:textId="77777777" w:rsidR="00D320CF" w:rsidRDefault="00D320CF" w:rsidP="00102D8A">
      <w:pPr>
        <w:pStyle w:val="Bullet1"/>
        <w:keepNext/>
      </w:pPr>
      <w:r>
        <w:t>Plans only increase with inflation (3.2%, a blend of price and wage components), and</w:t>
      </w:r>
    </w:p>
    <w:p w14:paraId="0B5AE65C" w14:textId="68F1C60A" w:rsidR="00D320CF" w:rsidRPr="00DC1520" w:rsidRDefault="00D320CF" w:rsidP="00102D8A">
      <w:pPr>
        <w:pStyle w:val="Bullet1"/>
        <w:keepNext/>
      </w:pPr>
      <w:r>
        <w:t xml:space="preserve">Existing participants remain in the </w:t>
      </w:r>
      <w:r w:rsidR="00F23671">
        <w:t>S</w:t>
      </w:r>
      <w:r>
        <w:t>cheme and increase their plan utilisation by 10 percentage points.</w:t>
      </w:r>
    </w:p>
    <w:p w14:paraId="3944128B" w14:textId="4D86D20F" w:rsidR="00D320CF" w:rsidRDefault="00D320CF" w:rsidP="00102D8A">
      <w:pPr>
        <w:keepNext/>
      </w:pPr>
      <w:r>
        <w:t>Then 2024-25 costs would be expected to be $3</w:t>
      </w:r>
      <w:r w:rsidR="008A20FB">
        <w:t>2</w:t>
      </w:r>
      <w:r>
        <w:t xml:space="preserve">B before any allowance for new </w:t>
      </w:r>
      <w:r w:rsidR="007A5D84">
        <w:t>Scheme</w:t>
      </w:r>
      <w:r>
        <w:t xml:space="preserve"> entrants. Therefore</w:t>
      </w:r>
      <w:r w:rsidR="00636EC7">
        <w:t>,</w:t>
      </w:r>
      <w:r>
        <w:t xml:space="preserve"> we believe that the plausible range sits above baseline estimates made in previous years. </w:t>
      </w:r>
    </w:p>
    <w:p w14:paraId="03881E0A" w14:textId="0B1F0CA7" w:rsidR="00D37EBA" w:rsidRDefault="00D320CF" w:rsidP="00102D8A">
      <w:pPr>
        <w:keepNext/>
      </w:pPr>
      <w:r>
        <w:t xml:space="preserve">Our review and findings are </w:t>
      </w:r>
      <w:r w:rsidRPr="00A9248A">
        <w:t xml:space="preserve">based on the </w:t>
      </w:r>
      <w:r w:rsidRPr="0046638C">
        <w:rPr>
          <w:b/>
          <w:bCs/>
        </w:rPr>
        <w:t>current operating model</w:t>
      </w:r>
      <w:r w:rsidRPr="00A9248A">
        <w:t xml:space="preserve"> of the </w:t>
      </w:r>
      <w:r w:rsidR="00F23671">
        <w:t>S</w:t>
      </w:r>
      <w:r w:rsidRPr="00A9248A">
        <w:t>cheme</w:t>
      </w:r>
      <w:r>
        <w:t xml:space="preserve"> and</w:t>
      </w:r>
      <w:r w:rsidRPr="00A9248A">
        <w:t xml:space="preserve"> </w:t>
      </w:r>
      <w:r w:rsidRPr="00612353">
        <w:rPr>
          <w:b/>
          <w:bCs/>
        </w:rPr>
        <w:t>does not allow for potential operational changes that may alter the growth trajectory</w:t>
      </w:r>
      <w:r w:rsidRPr="00A9248A">
        <w:t xml:space="preserve">. </w:t>
      </w:r>
      <w:r w:rsidR="00BB075C">
        <w:t xml:space="preserve">Future changes to the </w:t>
      </w:r>
      <w:r w:rsidR="00F23671">
        <w:t>S</w:t>
      </w:r>
      <w:r w:rsidR="00BB075C">
        <w:t xml:space="preserve">cheme would obviously have implications for the forecasts. </w:t>
      </w:r>
      <w:r>
        <w:t>In our opinion, t</w:t>
      </w:r>
      <w:r w:rsidRPr="00A9248A">
        <w:t>he three key areas where the NDIA has some degree of control and which will determine future costs are</w:t>
      </w:r>
      <w:r>
        <w:t>:</w:t>
      </w:r>
      <w:r w:rsidRPr="00A9248A">
        <w:t xml:space="preserve"> the number of participants</w:t>
      </w:r>
      <w:r>
        <w:t xml:space="preserve"> entering and leaving the </w:t>
      </w:r>
      <w:r w:rsidR="00F23671">
        <w:t>S</w:t>
      </w:r>
      <w:r>
        <w:t>cheme</w:t>
      </w:r>
      <w:r w:rsidRPr="00A9248A">
        <w:t>, growth in committed supports and prices paid for services.</w:t>
      </w:r>
    </w:p>
    <w:p w14:paraId="78FDCDC5" w14:textId="77777777" w:rsidR="00D37EBA" w:rsidRDefault="00D37EBA">
      <w:pPr>
        <w:spacing w:before="0" w:after="160" w:line="259" w:lineRule="auto"/>
      </w:pPr>
      <w:r>
        <w:br w:type="page"/>
      </w:r>
    </w:p>
    <w:p w14:paraId="17F51A4F" w14:textId="11904D3F" w:rsidR="00D320CF" w:rsidRDefault="00CA511A" w:rsidP="00102D8A">
      <w:pPr>
        <w:pStyle w:val="NNheading2Exec"/>
      </w:pPr>
      <w:r w:rsidRPr="00C92373">
        <w:rPr>
          <w:noProof/>
        </w:rPr>
        <mc:AlternateContent>
          <mc:Choice Requires="wps">
            <w:drawing>
              <wp:anchor distT="0" distB="0" distL="114300" distR="114300" simplePos="0" relativeHeight="251703296" behindDoc="1" locked="0" layoutInCell="1" allowOverlap="1" wp14:anchorId="69DCDC7F" wp14:editId="09B62823">
                <wp:simplePos x="0" y="0"/>
                <wp:positionH relativeFrom="margin">
                  <wp:posOffset>-1006475</wp:posOffset>
                </wp:positionH>
                <wp:positionV relativeFrom="paragraph">
                  <wp:posOffset>-16419</wp:posOffset>
                </wp:positionV>
                <wp:extent cx="6898234" cy="256032"/>
                <wp:effectExtent l="0" t="0" r="0" b="0"/>
                <wp:wrapNone/>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234" cy="25603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0DC741" id="Rectangle 120" o:spid="_x0000_s1026" alt="&quot;&quot;" style="position:absolute;margin-left:-79.25pt;margin-top:-1.3pt;width:543.15pt;height:20.15pt;z-index:-251613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" fillcolor="#005295 [2404]" stroked="f" strokeweight="1pt">
                <w10:wrap anchorx="margin"/>
              </v:rect>
            </w:pict>
          </mc:Fallback>
        </mc:AlternateContent>
      </w:r>
      <w:r w:rsidR="00D320CF">
        <w:t xml:space="preserve">The structure of the AFSR model </w:t>
      </w:r>
    </w:p>
    <w:p w14:paraId="30FF16C7" w14:textId="43F821F7" w:rsidR="00D320CF" w:rsidRDefault="00D320CF" w:rsidP="00102D8A">
      <w:pPr>
        <w:keepNext/>
      </w:pPr>
      <w:r>
        <w:t>At its core, the AFSR model is a relatively straightforward multiplication of participant number and cost assumptions, performed for 2</w:t>
      </w:r>
      <w:r w:rsidR="00A4062D">
        <w:t>,</w:t>
      </w:r>
      <w:r>
        <w:t xml:space="preserve">052 different cohorts. These cohorts correspond to combinations of disability type, functional capacity, age and gender. Participant numbers are projected forward through the combination of ‘flow’ (people aging naturally) plus assumptions about the number of new entrants and exit rates due to mortality and other </w:t>
      </w:r>
      <w:r w:rsidR="007A5D84">
        <w:t>Scheme</w:t>
      </w:r>
      <w:r>
        <w:t xml:space="preserve"> exits. Numbers </w:t>
      </w:r>
      <w:r w:rsidR="00A257F1">
        <w:t xml:space="preserve">of participants </w:t>
      </w:r>
      <w:r>
        <w:t xml:space="preserve">are then multiplied by cost assumptions, which are tied to recent average payment levels across 15 payment support types. Cost escalation assumptions are applied for future years – these relate to both price inflation and other sources of increase, referred to as ‘superimposed inflation’ (such as people accessing more supports or increasing their plan utilisation). </w:t>
      </w:r>
    </w:p>
    <w:p w14:paraId="45198E1C" w14:textId="0114021A" w:rsidR="00D320CF" w:rsidRDefault="00D320CF" w:rsidP="00102D8A">
      <w:pPr>
        <w:keepNext/>
      </w:pPr>
      <w:r>
        <w:t xml:space="preserve">In our opinion, the current structure of the model is largely appropriate and should be increasingly appropriate as the </w:t>
      </w:r>
      <w:r w:rsidR="0037549F">
        <w:t>S</w:t>
      </w:r>
      <w:r>
        <w:t>cheme matures. In reviewing the appropriateness of the model structure, we highlight three aspects that make assumption setting more difficult:</w:t>
      </w:r>
    </w:p>
    <w:p w14:paraId="006D9C65" w14:textId="77777777" w:rsidR="00D320CF" w:rsidRDefault="00D320CF" w:rsidP="00D320CF">
      <w:pPr>
        <w:pStyle w:val="Bullet1"/>
      </w:pPr>
      <w:r>
        <w:t xml:space="preserve">There is no </w:t>
      </w:r>
      <w:r w:rsidRPr="00E730E9">
        <w:t xml:space="preserve">explicit assumption of </w:t>
      </w:r>
      <w:r>
        <w:t xml:space="preserve">future </w:t>
      </w:r>
      <w:r w:rsidRPr="00E730E9">
        <w:t>movement between levels of functional ability</w:t>
      </w:r>
      <w:r>
        <w:t>. This creates an inconsistency (historical movements are recognised) and creates greater dependence on an adequate superimposed inflation assumption.</w:t>
      </w:r>
    </w:p>
    <w:p w14:paraId="08158877" w14:textId="08DED22F" w:rsidR="00D320CF" w:rsidRDefault="00D320CF" w:rsidP="00D320CF">
      <w:pPr>
        <w:pStyle w:val="Bullet1"/>
      </w:pPr>
      <w:r>
        <w:t xml:space="preserve">The model </w:t>
      </w:r>
      <w:r w:rsidR="00B855EA">
        <w:t xml:space="preserve">projects participant numbers independent of the prevalence rate it </w:t>
      </w:r>
      <w:r>
        <w:t>implie</w:t>
      </w:r>
      <w:r w:rsidR="00B855EA">
        <w:t>s. Under the current assumptions there</w:t>
      </w:r>
      <w:r>
        <w:t xml:space="preserve"> </w:t>
      </w:r>
      <w:r w:rsidR="00B855EA">
        <w:t xml:space="preserve">is </w:t>
      </w:r>
      <w:r>
        <w:t>i</w:t>
      </w:r>
      <w:r w:rsidRPr="00EB3835">
        <w:t>ndefinite growth in participant numbers</w:t>
      </w:r>
      <w:r>
        <w:t xml:space="preserve"> as a </w:t>
      </w:r>
      <w:r w:rsidR="00A4062D">
        <w:t xml:space="preserve">proportion </w:t>
      </w:r>
      <w:r>
        <w:t>of the Australian population. While the high entry rates are consistent with experience and appropriate for the next few years (based on trial site and broader prevalence data), in later years this assumption does not allow NDIS participation to stabilise as a fraction of the Australian population</w:t>
      </w:r>
      <w:r w:rsidR="00D952BC">
        <w:t xml:space="preserve">. </w:t>
      </w:r>
    </w:p>
    <w:p w14:paraId="3D20F26E" w14:textId="238EE4B2" w:rsidR="00D320CF" w:rsidRPr="002518D5" w:rsidRDefault="00D320CF" w:rsidP="00D320CF">
      <w:pPr>
        <w:pStyle w:val="Bullet1"/>
      </w:pPr>
      <w:r w:rsidRPr="002518D5">
        <w:t xml:space="preserve">The model is highly dependent on </w:t>
      </w:r>
      <w:r w:rsidR="00B855EA">
        <w:t>assumptions for</w:t>
      </w:r>
      <w:r w:rsidR="00B855EA" w:rsidRPr="002518D5">
        <w:t xml:space="preserve"> </w:t>
      </w:r>
      <w:r w:rsidRPr="002518D5">
        <w:t>‘unanticipated superimposed inflation’. This allow</w:t>
      </w:r>
      <w:r>
        <w:t>ance</w:t>
      </w:r>
      <w:r w:rsidRPr="002518D5">
        <w:t xml:space="preserve"> </w:t>
      </w:r>
      <w:r>
        <w:t>covers (some potentially overlapping)</w:t>
      </w:r>
      <w:r w:rsidRPr="002518D5">
        <w:t xml:space="preserve"> </w:t>
      </w:r>
      <w:r w:rsidR="00B855EA" w:rsidRPr="002518D5">
        <w:t>factors</w:t>
      </w:r>
      <w:r w:rsidR="00B855EA">
        <w:t xml:space="preserve"> </w:t>
      </w:r>
      <w:r w:rsidRPr="002518D5">
        <w:t>such as</w:t>
      </w:r>
      <w:r w:rsidR="003F41A4">
        <w:t>:</w:t>
      </w:r>
      <w:r w:rsidRPr="002518D5">
        <w:t xml:space="preserve"> </w:t>
      </w:r>
    </w:p>
    <w:p w14:paraId="340149F4" w14:textId="16F36C8A" w:rsidR="00D320CF" w:rsidRDefault="00D320CF" w:rsidP="00D320CF">
      <w:pPr>
        <w:pStyle w:val="Bullet2"/>
      </w:pPr>
      <w:r w:rsidRPr="00625619">
        <w:t>High</w:t>
      </w:r>
      <w:r w:rsidR="00A4062D">
        <w:t>er</w:t>
      </w:r>
      <w:r w:rsidRPr="00625619">
        <w:t xml:space="preserve"> volumes and broader range of good</w:t>
      </w:r>
      <w:r w:rsidR="00AD6956">
        <w:t>s</w:t>
      </w:r>
      <w:r w:rsidRPr="00625619">
        <w:t xml:space="preserve"> and services accessed by participants</w:t>
      </w:r>
    </w:p>
    <w:p w14:paraId="307EEBA9" w14:textId="457A233F" w:rsidR="00D320CF" w:rsidRPr="00625619" w:rsidRDefault="00D320CF" w:rsidP="00D320CF">
      <w:pPr>
        <w:pStyle w:val="Bullet2"/>
      </w:pPr>
      <w:r>
        <w:t xml:space="preserve">Increased utilisation of packages by participants </w:t>
      </w:r>
    </w:p>
    <w:p w14:paraId="102379F4" w14:textId="769CC930" w:rsidR="00D320CF" w:rsidRPr="00625619" w:rsidRDefault="00D320CF" w:rsidP="00D320CF">
      <w:pPr>
        <w:pStyle w:val="Bullet2"/>
      </w:pPr>
      <w:r w:rsidRPr="00625619">
        <w:t>Price increases beyond standard CPI and wage inflation, including quality-related improvements</w:t>
      </w:r>
    </w:p>
    <w:p w14:paraId="3C0A4B06" w14:textId="77777777" w:rsidR="00D320CF" w:rsidRPr="00625619" w:rsidRDefault="00D320CF" w:rsidP="00D320CF">
      <w:pPr>
        <w:pStyle w:val="Bullet2"/>
      </w:pPr>
      <w:r w:rsidRPr="00625619">
        <w:t>Transitions to lower level of functional ability</w:t>
      </w:r>
    </w:p>
    <w:p w14:paraId="71ED06A9" w14:textId="0F571BD1" w:rsidR="00D320CF" w:rsidRPr="00625619" w:rsidRDefault="00D320CF" w:rsidP="00D320CF">
      <w:pPr>
        <w:pStyle w:val="Bullet2"/>
      </w:pPr>
      <w:r w:rsidRPr="00625619">
        <w:t xml:space="preserve">Changes in the proportion of cohorts accessing </w:t>
      </w:r>
      <w:r w:rsidR="003F41A4">
        <w:t>supported independent living (</w:t>
      </w:r>
      <w:r w:rsidRPr="00625619">
        <w:t>SIL</w:t>
      </w:r>
      <w:r w:rsidR="003F41A4">
        <w:t>)</w:t>
      </w:r>
      <w:r>
        <w:t xml:space="preserve"> and specialist disability accommodation (SDA)</w:t>
      </w:r>
    </w:p>
    <w:p w14:paraId="2D25674C" w14:textId="5B88DCAC" w:rsidR="00D320CF" w:rsidRDefault="00D320CF" w:rsidP="00D320CF">
      <w:pPr>
        <w:pStyle w:val="Bullet2"/>
      </w:pPr>
      <w:r w:rsidRPr="00625619">
        <w:t xml:space="preserve">Duration effects (e.g. </w:t>
      </w:r>
      <w:r w:rsidR="003F41A4">
        <w:t>participant packages tend to increase at a faster rate</w:t>
      </w:r>
      <w:r w:rsidR="003F41A4" w:rsidRPr="00625619" w:rsidDel="003F41A4">
        <w:t xml:space="preserve"> </w:t>
      </w:r>
      <w:r w:rsidRPr="00625619">
        <w:t>in the first few reviews)</w:t>
      </w:r>
    </w:p>
    <w:p w14:paraId="0EF8A9A7" w14:textId="77777777" w:rsidR="00D320CF" w:rsidRPr="00625619" w:rsidRDefault="00D320CF" w:rsidP="00D320CF">
      <w:pPr>
        <w:pStyle w:val="Bullet2"/>
      </w:pPr>
      <w:r>
        <w:t>Participants becoming less reliant on informal care supports over time</w:t>
      </w:r>
    </w:p>
    <w:p w14:paraId="74911361" w14:textId="59F52D35" w:rsidR="00D320CF" w:rsidRPr="00625619" w:rsidRDefault="00D320CF" w:rsidP="00D320CF">
      <w:pPr>
        <w:pStyle w:val="Bullet2"/>
      </w:pPr>
      <w:r w:rsidRPr="00625619">
        <w:t xml:space="preserve">Cross-sectional effects (e.g. </w:t>
      </w:r>
      <w:r w:rsidR="003F41A4">
        <w:t>participants aging</w:t>
      </w:r>
      <w:r w:rsidR="003F41A4" w:rsidRPr="00625619">
        <w:t xml:space="preserve"> </w:t>
      </w:r>
      <w:r w:rsidR="003F41A4">
        <w:t xml:space="preserve">into older </w:t>
      </w:r>
      <w:r w:rsidRPr="00625619">
        <w:t xml:space="preserve">age bands </w:t>
      </w:r>
      <w:r w:rsidR="003F41A4">
        <w:t>without assumed consequential changes in</w:t>
      </w:r>
      <w:r w:rsidR="003F41A4" w:rsidRPr="00625619">
        <w:t xml:space="preserve"> </w:t>
      </w:r>
      <w:r w:rsidR="003F41A4">
        <w:t>costs</w:t>
      </w:r>
      <w:r w:rsidRPr="00625619">
        <w:t>)</w:t>
      </w:r>
    </w:p>
    <w:p w14:paraId="7CA1546A" w14:textId="0A5D6388" w:rsidR="00D320CF" w:rsidRPr="002518D5" w:rsidRDefault="00D320CF" w:rsidP="00690C13">
      <w:pPr>
        <w:pStyle w:val="BodyText"/>
      </w:pPr>
      <w:r w:rsidRPr="002518D5">
        <w:t>Cost escalation for continuing participants ha</w:t>
      </w:r>
      <w:r>
        <w:t>s</w:t>
      </w:r>
      <w:r w:rsidRPr="002518D5">
        <w:t xml:space="preserve"> been about 12% p.a. higher than </w:t>
      </w:r>
      <w:r w:rsidR="003F41A4">
        <w:t>was assumed</w:t>
      </w:r>
      <w:r w:rsidR="003F41A4" w:rsidRPr="002518D5">
        <w:t xml:space="preserve"> </w:t>
      </w:r>
      <w:r w:rsidRPr="002518D5">
        <w:t>for the past two years</w:t>
      </w:r>
      <w:r w:rsidR="00855DD5">
        <w:rPr>
          <w:rStyle w:val="FootnoteReference"/>
        </w:rPr>
        <w:footnoteReference w:id="2"/>
      </w:r>
      <w:r w:rsidRPr="002518D5">
        <w:t>. By comparison, the total allowance for other additional inflation is 1</w:t>
      </w:r>
      <w:r>
        <w:t>4</w:t>
      </w:r>
      <w:r w:rsidRPr="002518D5">
        <w:t xml:space="preserve">% over the next four years (about </w:t>
      </w:r>
      <w:r>
        <w:t>3</w:t>
      </w:r>
      <w:r w:rsidRPr="002518D5">
        <w:t>.5% p.a.).</w:t>
      </w:r>
      <w:r w:rsidRPr="00462147">
        <w:t xml:space="preserve"> </w:t>
      </w:r>
      <w:r>
        <w:fldChar w:fldCharType="begin"/>
      </w:r>
      <w:r>
        <w:instrText xml:space="preserve"> REF _Ref83937978 \h </w:instrText>
      </w:r>
      <w:r>
        <w:fldChar w:fldCharType="separate"/>
      </w:r>
      <w:r w:rsidR="00E6217F">
        <w:t xml:space="preserve">Figure </w:t>
      </w:r>
      <w:r w:rsidR="00E6217F">
        <w:rPr>
          <w:noProof/>
        </w:rPr>
        <w:t>1</w:t>
      </w:r>
      <w:r>
        <w:fldChar w:fldCharType="end"/>
      </w:r>
      <w:r>
        <w:t xml:space="preserve"> shows a comparison of actual </w:t>
      </w:r>
      <w:r w:rsidR="0039667A">
        <w:t xml:space="preserve">and projected </w:t>
      </w:r>
      <w:r>
        <w:t xml:space="preserve">cost escalation (which excludes </w:t>
      </w:r>
      <w:r w:rsidR="0039667A">
        <w:t xml:space="preserve">changes to the </w:t>
      </w:r>
      <w:r>
        <w:t>mix</w:t>
      </w:r>
      <w:r w:rsidR="0039667A">
        <w:t xml:space="preserve"> of participants</w:t>
      </w:r>
      <w:r>
        <w:t xml:space="preserve">) </w:t>
      </w:r>
      <w:r w:rsidR="00A4062D">
        <w:t xml:space="preserve">from </w:t>
      </w:r>
      <w:r>
        <w:t>success</w:t>
      </w:r>
      <w:r w:rsidR="00A4062D">
        <w:t>ive</w:t>
      </w:r>
      <w:r>
        <w:t xml:space="preserve"> AFSRs. While the 2020-21 AFSR </w:t>
      </w:r>
      <w:r w:rsidR="0039667A">
        <w:t xml:space="preserve">(purple line) </w:t>
      </w:r>
      <w:r>
        <w:t xml:space="preserve">has higher assumptions relative to previous </w:t>
      </w:r>
      <w:r w:rsidR="0039667A">
        <w:t>AFSRs</w:t>
      </w:r>
      <w:r>
        <w:t xml:space="preserve">, it still assumes a rate lower than the recent past </w:t>
      </w:r>
      <w:r w:rsidR="0039667A">
        <w:t xml:space="preserve">(the blue bars) </w:t>
      </w:r>
      <w:r>
        <w:t>and a relatively fast transition to lower rates from 2024-25 onwards.</w:t>
      </w:r>
    </w:p>
    <w:p w14:paraId="5F0C6F6F" w14:textId="1F642E46" w:rsidR="00D320CF" w:rsidRDefault="00D320CF" w:rsidP="0004762D">
      <w:pPr>
        <w:pStyle w:val="Caption"/>
      </w:pPr>
      <w:bookmarkStart w:id="6" w:name="_Ref83937978"/>
      <w:r>
        <w:t>Figure</w:t>
      </w:r>
      <w:r w:rsidR="00E517E0">
        <w:t xml:space="preserve"> </w:t>
      </w:r>
      <w:r>
        <w:fldChar w:fldCharType="begin"/>
      </w:r>
      <w:r>
        <w:instrText xml:space="preserve"> SEQ Figure \* ARABIC \s 1 </w:instrText>
      </w:r>
      <w:r>
        <w:fldChar w:fldCharType="separate"/>
      </w:r>
      <w:r w:rsidR="00E6217F">
        <w:rPr>
          <w:noProof/>
        </w:rPr>
        <w:t>1</w:t>
      </w:r>
      <w:r>
        <w:fldChar w:fldCharType="end"/>
      </w:r>
      <w:bookmarkEnd w:id="6"/>
      <w:r>
        <w:t xml:space="preserve"> – Actual and projected annual cost escalation </w:t>
      </w:r>
      <w:r w:rsidRPr="00F44A7D">
        <w:t xml:space="preserve"> </w:t>
      </w:r>
    </w:p>
    <w:p w14:paraId="546F0257" w14:textId="6C2F0AB6" w:rsidR="0004762D" w:rsidRDefault="0004762D" w:rsidP="00D320CF">
      <w:r w:rsidRPr="0004762D">
        <w:rPr>
          <w:noProof/>
        </w:rPr>
        <w:drawing>
          <wp:inline distT="0" distB="0" distL="0" distR="0" wp14:anchorId="3D20ACE4" wp14:editId="1388DD7C">
            <wp:extent cx="5656580" cy="3285490"/>
            <wp:effectExtent l="0" t="0" r="1270" b="0"/>
            <wp:docPr id="27" name="Picture 27" descr="2017-2018.&#10;Price increases. Change on previous year. 3.60%.&#10;Volume &amp; types of services. -3.40%.&#10;2019 AFSR. -.&#10;2020 AFSR. -.&#10;2021 AFSR. -.&#10;&#10;&#10;2018-2019.&#10;Price increases. 5.90%.&#10;Volume &amp; types of services. 10.40%.&#10;2019 AFSR. -.&#10;2020 AFSR. -.&#10;2021 AFSR. -.&#10;&#10;&#10;&#10;2019-2020.&#10;Price increases. 10.30%.&#10;Volume &amp; types of services. 17.80%.&#10;2019 AFSR. 12.40%.&#10;2020 AFSR. -.&#10;2021 AFSR. -.&#10;&#10;&#10;2020-2021.&#10;Price increases. 2.50%.&#10;Volume &amp; types of services. 13.20%.&#10;2019 AFSR. 3.00%.&#10;2020 AFSR. 4.60%.&#10;2021 AFSR. -.&#10;&#10;&#10;2021-2022.&#10;Price increases. -.&#10;Volume &amp; types of services. -.&#10;2019 AFSR. 4.00%.&#10;2020 AFSR. 6.00%.&#10;2021 AFSR. 9.00%.&#10;&#10;&#10;2022-2023.&#10;Price increases. -.&#10;Volume &amp; types of services. -.&#10;2019 AFSR. 3.60%.&#10;2020 AFSR. 4.10%.&#10;2021 AFSR. 7.90%.&#10;&#10;&#10;2023-2024.&#10;Price increases. -.&#10;Volume &amp; types of services. -.&#10;2019 AFSR. 3.50%.&#10;2020 AFSR. 4.50%.&#10;2021 AFSR. 5.80%.&#10;&#10;&#10;2024-2025.&#10;Price increases. -.&#10;Volume &amp; types of services. -.&#10;2019 AFSR. 3.30%.&#10;2020 AFSR. 4.90%.&#10;2021 AFSR. 4.00%.&#10;&#10;&#10;2025-2026.&#10;Price increases. -.&#10;Volume &amp; types of services. -.&#10;2019 AFSR. 4.00%.&#10;2020 AFSR. 4.70%.&#10;2021 AFSR.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2017-2018.&#10;Price increases. Change on previous year. 3.60%.&#10;Volume &amp; types of services. -3.40%.&#10;2019 AFSR. -.&#10;2020 AFSR. -.&#10;2021 AFSR. -.&#10;&#10;&#10;2018-2019.&#10;Price increases. 5.90%.&#10;Volume &amp; types of services. 10.40%.&#10;2019 AFSR. -.&#10;2020 AFSR. -.&#10;2021 AFSR. -.&#10;&#10;&#10;&#10;2019-2020.&#10;Price increases. 10.30%.&#10;Volume &amp; types of services. 17.80%.&#10;2019 AFSR. 12.40%.&#10;2020 AFSR. -.&#10;2021 AFSR. -.&#10;&#10;&#10;2020-2021.&#10;Price increases. 2.50%.&#10;Volume &amp; types of services. 13.20%.&#10;2019 AFSR. 3.00%.&#10;2020 AFSR. 4.60%.&#10;2021 AFSR. -.&#10;&#10;&#10;2021-2022.&#10;Price increases. -.&#10;Volume &amp; types of services. -.&#10;2019 AFSR. 4.00%.&#10;2020 AFSR. 6.00%.&#10;2021 AFSR. 9.00%.&#10;&#10;&#10;2022-2023.&#10;Price increases. -.&#10;Volume &amp; types of services. -.&#10;2019 AFSR. 3.60%.&#10;2020 AFSR. 4.10%.&#10;2021 AFSR. 7.90%.&#10;&#10;&#10;2023-2024.&#10;Price increases. -.&#10;Volume &amp; types of services. -.&#10;2019 AFSR. 3.50%.&#10;2020 AFSR. 4.50%.&#10;2021 AFSR. 5.80%.&#10;&#10;&#10;2024-2025.&#10;Price increases. -.&#10;Volume &amp; types of services. -.&#10;2019 AFSR. 3.30%.&#10;2020 AFSR. 4.90%.&#10;2021 AFSR. 4.00%.&#10;&#10;&#10;2025-2026.&#10;Price increases. -.&#10;Volume &amp; types of services. -.&#10;2019 AFSR. 4.00%.&#10;2020 AFSR. 4.70%.&#10;2021 AFSR. 3.2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656580" cy="3285490"/>
                    </a:xfrm>
                    <a:prstGeom prst="rect">
                      <a:avLst/>
                    </a:prstGeom>
                    <a:noFill/>
                    <a:ln>
                      <a:noFill/>
                    </a:ln>
                  </pic:spPr>
                </pic:pic>
              </a:graphicData>
            </a:graphic>
          </wp:inline>
        </w:drawing>
      </w:r>
    </w:p>
    <w:p w14:paraId="203C9F51" w14:textId="5312FD92" w:rsidR="002D7FA2" w:rsidRDefault="002D7FA2" w:rsidP="00D320CF">
      <w:r>
        <w:t xml:space="preserve">Cost escalation is driven by a range of factors. We have attempted to split the 2020-21 increase into components related to price, additional supports and increased volumes of supports. This is shown below, with further detail in Section </w:t>
      </w:r>
      <w:r>
        <w:fldChar w:fldCharType="begin"/>
      </w:r>
      <w:r>
        <w:instrText xml:space="preserve"> REF _Ref87543774 \r \h </w:instrText>
      </w:r>
      <w:r>
        <w:fldChar w:fldCharType="separate"/>
      </w:r>
      <w:r w:rsidR="00E6217F">
        <w:t>3.5</w:t>
      </w:r>
      <w:r>
        <w:fldChar w:fldCharType="end"/>
      </w:r>
      <w:r>
        <w:t>.</w:t>
      </w:r>
    </w:p>
    <w:p w14:paraId="4B026C1A" w14:textId="499DAFCA" w:rsidR="002D7FA2" w:rsidRDefault="002D7FA2" w:rsidP="002D7FA2">
      <w:pPr>
        <w:pStyle w:val="Caption"/>
        <w:spacing w:after="0"/>
      </w:pPr>
      <w:r>
        <w:t>Figure</w:t>
      </w:r>
      <w:r w:rsidR="00ED2FC8">
        <w:t xml:space="preserve"> </w:t>
      </w:r>
      <w:r>
        <w:fldChar w:fldCharType="begin"/>
      </w:r>
      <w:r>
        <w:instrText xml:space="preserve"> SEQ Figure \* ARABIC \s 1 </w:instrText>
      </w:r>
      <w:r>
        <w:fldChar w:fldCharType="separate"/>
      </w:r>
      <w:r w:rsidR="00E6217F">
        <w:rPr>
          <w:noProof/>
        </w:rPr>
        <w:t>2</w:t>
      </w:r>
      <w:r>
        <w:fldChar w:fldCharType="end"/>
      </w:r>
      <w:r>
        <w:t xml:space="preserve"> – Estimated split of 2020-21 cost escalation </w:t>
      </w:r>
      <w:r w:rsidR="0039667A">
        <w:t>of 16</w:t>
      </w:r>
      <w:r w:rsidR="00690C13">
        <w:t>%</w:t>
      </w:r>
      <w:r w:rsidR="0039667A">
        <w:t xml:space="preserve"> </w:t>
      </w:r>
      <w:r>
        <w:t>into price, new supports and volumes</w:t>
      </w:r>
    </w:p>
    <w:p w14:paraId="36FA01E1" w14:textId="5A3BE634" w:rsidR="002D7FA2" w:rsidRDefault="002D7FA2" w:rsidP="002D7FA2">
      <w:pPr>
        <w:spacing w:before="0" w:after="0"/>
      </w:pPr>
      <w:r w:rsidRPr="00CD066D">
        <w:rPr>
          <w:noProof/>
        </w:rPr>
        <w:drawing>
          <wp:inline distT="0" distB="0" distL="0" distR="0" wp14:anchorId="3026E5D0" wp14:editId="0B174DB5">
            <wp:extent cx="2836056" cy="2072979"/>
            <wp:effectExtent l="0" t="0" r="2540" b="3810"/>
            <wp:docPr id="128" name="Picture 128" descr="New support categories 5%&#10;Other new supports (estimated) 4%&#10;Increased volumes (estimated) 4%&#10;Pric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New support categories 5%&#10;Other new supports (estimated) 4%&#10;Increased volumes (estimated) 4%&#10;Price 2.5%"/>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l="17887" t="17359" r="20319" b="7606"/>
                    <a:stretch/>
                  </pic:blipFill>
                  <pic:spPr bwMode="auto">
                    <a:xfrm>
                      <a:off x="0" y="0"/>
                      <a:ext cx="2855873" cy="2087464"/>
                    </a:xfrm>
                    <a:prstGeom prst="rect">
                      <a:avLst/>
                    </a:prstGeom>
                    <a:noFill/>
                    <a:ln>
                      <a:noFill/>
                    </a:ln>
                    <a:extLst>
                      <a:ext uri="{53640926-AAD7-44D8-BBD7-CCE9431645EC}">
                        <a14:shadowObscured xmlns:a14="http://schemas.microsoft.com/office/drawing/2010/main"/>
                      </a:ext>
                    </a:extLst>
                  </pic:spPr>
                </pic:pic>
              </a:graphicData>
            </a:graphic>
          </wp:inline>
        </w:drawing>
      </w:r>
    </w:p>
    <w:p w14:paraId="46FB35BA" w14:textId="0916011D" w:rsidR="00100E16" w:rsidRDefault="00100E16" w:rsidP="00100E16">
      <w:pPr>
        <w:pStyle w:val="Tablenotesorsource"/>
      </w:pPr>
      <w:r>
        <w:t>Note: ‘New support categories’ refers to participants receiving support in one of the 15 main payment categories that they previously did not. ‘Other new supports’ relate to claim codes that a</w:t>
      </w:r>
      <w:r w:rsidR="00C34A73">
        <w:t>re</w:t>
      </w:r>
      <w:r>
        <w:t xml:space="preserve"> new for a participant, but within an existing category.</w:t>
      </w:r>
    </w:p>
    <w:p w14:paraId="7B1BD3BB" w14:textId="41598D42" w:rsidR="00D320CF" w:rsidRDefault="00D320CF" w:rsidP="00690C13">
      <w:pPr>
        <w:spacing w:before="160"/>
      </w:pPr>
      <w:r w:rsidRPr="00462147">
        <w:t>Other</w:t>
      </w:r>
      <w:r>
        <w:t>, less material,</w:t>
      </w:r>
      <w:r w:rsidRPr="00462147">
        <w:t xml:space="preserve"> structural factors are </w:t>
      </w:r>
      <w:r w:rsidRPr="00ED2FC8">
        <w:t xml:space="preserve">discussed in Section </w:t>
      </w:r>
      <w:r w:rsidR="00ED2FC8" w:rsidRPr="00ED2FC8">
        <w:fldChar w:fldCharType="begin"/>
      </w:r>
      <w:r w:rsidR="00ED2FC8" w:rsidRPr="00ED2FC8">
        <w:instrText xml:space="preserve"> REF _Ref87627808 \r \h </w:instrText>
      </w:r>
      <w:r w:rsidR="00ED2FC8">
        <w:instrText xml:space="preserve"> \* MERGEFORMAT </w:instrText>
      </w:r>
      <w:r w:rsidR="00ED2FC8" w:rsidRPr="00ED2FC8">
        <w:fldChar w:fldCharType="separate"/>
      </w:r>
      <w:r w:rsidR="00E6217F">
        <w:t>3.6</w:t>
      </w:r>
      <w:r w:rsidR="00ED2FC8" w:rsidRPr="00ED2FC8">
        <w:fldChar w:fldCharType="end"/>
      </w:r>
      <w:r w:rsidR="00ED2FC8" w:rsidRPr="00ED2FC8">
        <w:t xml:space="preserve"> and </w:t>
      </w:r>
      <w:r w:rsidR="00ED2FC8" w:rsidRPr="00ED2FC8">
        <w:fldChar w:fldCharType="begin"/>
      </w:r>
      <w:r w:rsidR="00ED2FC8" w:rsidRPr="00ED2FC8">
        <w:instrText xml:space="preserve"> REF _Ref87533930 \r \h </w:instrText>
      </w:r>
      <w:r w:rsidR="00ED2FC8">
        <w:instrText xml:space="preserve"> \* MERGEFORMAT </w:instrText>
      </w:r>
      <w:r w:rsidR="00ED2FC8" w:rsidRPr="00ED2FC8">
        <w:fldChar w:fldCharType="separate"/>
      </w:r>
      <w:r w:rsidR="00E6217F">
        <w:t>Appendix B</w:t>
      </w:r>
      <w:r w:rsidR="00ED2FC8" w:rsidRPr="00ED2FC8">
        <w:fldChar w:fldCharType="end"/>
      </w:r>
      <w:r w:rsidRPr="00ED2FC8">
        <w:t>.</w:t>
      </w:r>
      <w:r w:rsidRPr="00462147">
        <w:t xml:space="preserve"> </w:t>
      </w:r>
    </w:p>
    <w:p w14:paraId="7596A80A" w14:textId="65519FA6" w:rsidR="001B7A59" w:rsidRDefault="00D320CF" w:rsidP="00D320CF">
      <w:r w:rsidRPr="00580646">
        <w:t>With the benefit of hindsight, the</w:t>
      </w:r>
      <w:r>
        <w:t xml:space="preserve"> modelling approach </w:t>
      </w:r>
      <w:r w:rsidRPr="00580646">
        <w:t xml:space="preserve">may have </w:t>
      </w:r>
      <w:r>
        <w:t xml:space="preserve">been a </w:t>
      </w:r>
      <w:r w:rsidRPr="00580646">
        <w:t>contribut</w:t>
      </w:r>
      <w:r>
        <w:t>ing factor</w:t>
      </w:r>
      <w:r w:rsidRPr="00580646">
        <w:t xml:space="preserve"> to the underestimation of </w:t>
      </w:r>
      <w:r w:rsidR="007A5D84">
        <w:t>Scheme</w:t>
      </w:r>
      <w:r w:rsidRPr="00580646">
        <w:t xml:space="preserve"> costs in past AFSR</w:t>
      </w:r>
      <w:r w:rsidR="00E517E0">
        <w:t>s</w:t>
      </w:r>
      <w:r w:rsidRPr="00580646">
        <w:t xml:space="preserve"> </w:t>
      </w:r>
      <w:r>
        <w:t>(relative to current forecasts). Alternate structures are possible and may have been able to better anticipate the recent increases. For instance, a projection that further divides modelling cohorts by the amount of support received as the starting point and projecting th</w:t>
      </w:r>
      <w:r w:rsidR="00D64F52">
        <w:t>i</w:t>
      </w:r>
      <w:r>
        <w:t>s forward would better track longitudinal dynamics.</w:t>
      </w:r>
    </w:p>
    <w:p w14:paraId="0C4AF31C" w14:textId="77777777" w:rsidR="001B7A59" w:rsidRDefault="001B7A59">
      <w:pPr>
        <w:spacing w:before="0" w:after="160" w:line="259" w:lineRule="auto"/>
      </w:pPr>
      <w:r>
        <w:br w:type="page"/>
      </w:r>
    </w:p>
    <w:p w14:paraId="2FB97242" w14:textId="2368D5FC" w:rsidR="00D320CF" w:rsidRDefault="002D7FA2" w:rsidP="00CA511A">
      <w:pPr>
        <w:pStyle w:val="NNheading2Exec"/>
      </w:pPr>
      <w:r w:rsidRPr="00C92373">
        <w:rPr>
          <w:noProof/>
        </w:rPr>
        <mc:AlternateContent>
          <mc:Choice Requires="wps">
            <w:drawing>
              <wp:anchor distT="0" distB="0" distL="114300" distR="114300" simplePos="0" relativeHeight="251705344" behindDoc="1" locked="0" layoutInCell="1" allowOverlap="1" wp14:anchorId="710270BE" wp14:editId="2C2E74A6">
                <wp:simplePos x="0" y="0"/>
                <wp:positionH relativeFrom="margin">
                  <wp:posOffset>-921385</wp:posOffset>
                </wp:positionH>
                <wp:positionV relativeFrom="paragraph">
                  <wp:posOffset>-27636</wp:posOffset>
                </wp:positionV>
                <wp:extent cx="6898005" cy="255905"/>
                <wp:effectExtent l="0" t="0" r="0" b="0"/>
                <wp:wrapNone/>
                <wp:docPr id="121" name="Rectangle 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005" cy="25590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B9C2AB" id="Rectangle 121" o:spid="_x0000_s1026" alt="&quot;&quot;" style="position:absolute;margin-left:-72.55pt;margin-top:-2.2pt;width:543.15pt;height:20.15pt;z-index:-251611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" fillcolor="#005295 [2404]" stroked="f" strokeweight="1pt">
                <w10:wrap anchorx="margin"/>
              </v:rect>
            </w:pict>
          </mc:Fallback>
        </mc:AlternateContent>
      </w:r>
      <w:r w:rsidR="00D320CF">
        <w:t>Assumption setting for the AFSR model</w:t>
      </w:r>
    </w:p>
    <w:p w14:paraId="786113BB" w14:textId="77777777" w:rsidR="00D320CF" w:rsidRDefault="00D320CF" w:rsidP="00D320CF">
      <w:r>
        <w:t xml:space="preserve">The AFSR projection involves thousands of different component assumptions. We have reviewed the assumption setting basis for the AFSR, focusing on areas we judged most material. </w:t>
      </w:r>
    </w:p>
    <w:p w14:paraId="3F3EF142" w14:textId="0F40A157" w:rsidR="00D320CF" w:rsidRDefault="00D320CF" w:rsidP="00D320CF">
      <w:pPr>
        <w:pStyle w:val="Bullet1"/>
      </w:pPr>
      <w:r w:rsidRPr="002736B0">
        <w:rPr>
          <w:b/>
          <w:bCs/>
        </w:rPr>
        <w:t>Participant numbers.</w:t>
      </w:r>
      <w:r>
        <w:rPr>
          <w:b/>
          <w:bCs/>
        </w:rPr>
        <w:t xml:space="preserve"> </w:t>
      </w:r>
      <w:r w:rsidR="0039667A" w:rsidRPr="0039667A">
        <w:t>As</w:t>
      </w:r>
      <w:r w:rsidR="0039667A">
        <w:rPr>
          <w:b/>
          <w:bCs/>
        </w:rPr>
        <w:t xml:space="preserve"> </w:t>
      </w:r>
      <w:r w:rsidR="0039667A">
        <w:t xml:space="preserve">shown in </w:t>
      </w:r>
      <w:r w:rsidR="0039667A">
        <w:fldChar w:fldCharType="begin"/>
      </w:r>
      <w:r w:rsidR="0039667A">
        <w:instrText xml:space="preserve"> REF _Ref88211981 \h </w:instrText>
      </w:r>
      <w:r w:rsidR="0039667A">
        <w:fldChar w:fldCharType="separate"/>
      </w:r>
      <w:r w:rsidR="00E6217F" w:rsidRPr="00261658">
        <w:t xml:space="preserve">Figure </w:t>
      </w:r>
      <w:r w:rsidR="00E6217F">
        <w:rPr>
          <w:noProof/>
        </w:rPr>
        <w:t>3</w:t>
      </w:r>
      <w:r w:rsidR="0039667A">
        <w:fldChar w:fldCharType="end"/>
      </w:r>
      <w:r w:rsidR="0039667A">
        <w:t>, r</w:t>
      </w:r>
      <w:r w:rsidRPr="00ED2FC8">
        <w:t>elative to</w:t>
      </w:r>
      <w:r w:rsidR="009C261B">
        <w:t xml:space="preserve"> the</w:t>
      </w:r>
      <w:r w:rsidRPr="00ED2FC8">
        <w:t xml:space="preserve"> 2018-19</w:t>
      </w:r>
      <w:r w:rsidR="009C261B">
        <w:t xml:space="preserve"> AFSR</w:t>
      </w:r>
      <w:r w:rsidRPr="00ED2FC8">
        <w:t xml:space="preserve">, aggregate assumptions for new entrants have increased by about 25,000 per year for the full projection period – a large increase. We have considered the evidence from recent experience, NDIS trial regions, and secondary data sources. The projected aggregate </w:t>
      </w:r>
      <w:r w:rsidR="00FF731E">
        <w:t xml:space="preserve">number of new participants </w:t>
      </w:r>
      <w:r w:rsidRPr="00ED2FC8">
        <w:t xml:space="preserve">over the next four years appears reasonable, despite the consequent growth in </w:t>
      </w:r>
      <w:r w:rsidR="007A5D84">
        <w:t>Scheme</w:t>
      </w:r>
      <w:r w:rsidRPr="00ED2FC8">
        <w:t xml:space="preserve"> numbers. This reflects what appears to be a </w:t>
      </w:r>
      <w:r>
        <w:t>generational change in the recognition of disability in Australia. This trend is also reflected in secondary data sources</w:t>
      </w:r>
      <w:r w:rsidR="00690C13">
        <w:t>, such as the Survey of Disability, Aging and Carer</w:t>
      </w:r>
      <w:r>
        <w:t xml:space="preserve">. More people are being diagnosed </w:t>
      </w:r>
      <w:r w:rsidR="005B7AEB">
        <w:t xml:space="preserve">with </w:t>
      </w:r>
      <w:r>
        <w:t>conditions such as developmental delay and autism</w:t>
      </w:r>
      <w:r w:rsidR="00100E16">
        <w:t>, yielding steadily increasing prevalence rates</w:t>
      </w:r>
      <w:r>
        <w:t xml:space="preserve">. Further, those diagnosed young continue to report the disability at </w:t>
      </w:r>
      <w:r w:rsidR="009C261B">
        <w:t xml:space="preserve">older </w:t>
      </w:r>
      <w:r>
        <w:t xml:space="preserve">ages and are likely to remain in the </w:t>
      </w:r>
      <w:r w:rsidR="007A5D84">
        <w:t>Scheme</w:t>
      </w:r>
      <w:r w:rsidR="0068679A">
        <w:t xml:space="preserve"> (rather than exiting after effective early intervention)</w:t>
      </w:r>
      <w:r>
        <w:t xml:space="preserve">. Beyond 2024-25 there is greater uncertainty; </w:t>
      </w:r>
      <w:r w:rsidR="00DD5D2A">
        <w:t>w</w:t>
      </w:r>
      <w:r>
        <w:t xml:space="preserve">e believe there is still the potential for stabilisation in prevalence across age bands which would imply new entrant numbers falling to a </w:t>
      </w:r>
      <w:r w:rsidR="000F1E12">
        <w:t xml:space="preserve">level </w:t>
      </w:r>
      <w:r w:rsidR="00690C13">
        <w:t xml:space="preserve">significantly </w:t>
      </w:r>
      <w:r w:rsidR="000F1E12">
        <w:t xml:space="preserve">lower than the 60,000 per year projected. </w:t>
      </w:r>
    </w:p>
    <w:p w14:paraId="6CBA426C" w14:textId="6E54EEC4" w:rsidR="00D320CF" w:rsidRDefault="00D320CF" w:rsidP="009C261B">
      <w:pPr>
        <w:pStyle w:val="Caption"/>
        <w:spacing w:after="0"/>
        <w:ind w:firstLine="357"/>
      </w:pPr>
      <w:bookmarkStart w:id="7" w:name="_Ref88211981"/>
      <w:r w:rsidRPr="00261658">
        <w:t xml:space="preserve">Figure </w:t>
      </w:r>
      <w:r>
        <w:fldChar w:fldCharType="begin"/>
      </w:r>
      <w:r>
        <w:instrText xml:space="preserve"> SEQ Figure \* ARABIC \s 1 </w:instrText>
      </w:r>
      <w:r>
        <w:fldChar w:fldCharType="separate"/>
      </w:r>
      <w:r w:rsidR="00E6217F">
        <w:rPr>
          <w:noProof/>
        </w:rPr>
        <w:t>3</w:t>
      </w:r>
      <w:r>
        <w:fldChar w:fldCharType="end"/>
      </w:r>
      <w:bookmarkEnd w:id="7"/>
      <w:r w:rsidRPr="00261658">
        <w:t xml:space="preserve"> </w:t>
      </w:r>
      <w:r>
        <w:t>– Number of people entering the NDIS, past and projected</w:t>
      </w:r>
    </w:p>
    <w:p w14:paraId="40931415" w14:textId="18478BFF" w:rsidR="00D320CF" w:rsidRDefault="008558A2" w:rsidP="009C261B">
      <w:pPr>
        <w:spacing w:before="0" w:after="0"/>
        <w:ind w:firstLine="357"/>
      </w:pPr>
      <w:r w:rsidRPr="008558A2">
        <w:rPr>
          <w:noProof/>
        </w:rPr>
        <w:drawing>
          <wp:inline distT="0" distB="0" distL="0" distR="0" wp14:anchorId="30AA0271" wp14:editId="50F6D527">
            <wp:extent cx="4301371" cy="2406770"/>
            <wp:effectExtent l="0" t="0" r="4445" b="0"/>
            <wp:docPr id="75" name="Picture 75" descr="2019-2020.&#10;Projected, 2018-19 AFSR. 89,125.&#10;Actual. 111,289.&#10;Projected, 2020-21 AFSR. -.&#10;Base. -.&#10;Previously unmet need. -.&#10;&#10;&#10;2020-2021.&#10;Projected, 2018-19 AFSR. 64,186.&#10;Actual. 80,977.&#10;Projected, 2020-21 AFSR. -.&#10;Base. -.&#10;Previously unmet need. -.&#10;&#10;2021-2022.&#10;Projected, 2018-19 AFSR. 58,377.&#10;Actual. -.&#10;Projected, 2020-21 AFSR. 72,741.&#10;Base. 59,178.&#10;Previously unmet need. 13,563.&#10;&#10;2022-2023.&#10;Projected, 2018-19 AFSR. 44,016.&#10;Actual. -.&#10;Projected, 2020-21 AFSR. 68,648.&#10;Base. 59,413.&#10;Previously unmet need. 9,235.&#10;&#10;2023-2024.&#10;Projected, 2018-19 AFSR. 36,759.&#10;Actual. -.&#10;Projected, 2020-21 AFSR. 60,333.&#10;Base. 59,946.&#10;Previously unmet need. 387.&#10;&#10;2024-2025.&#10;Projected, 2018-19 AFSR. 37,184.&#10;Actual. -.&#10;Projected, 2020-21 AFSR. 60,560.&#10;Base. 60,560.&#10;Previously unmet need. -.&#10;&#10;2025-2026.&#10;Projected, 2018-19 AFSR. 37,593.&#10;Actual. -.&#10;Projected, 2020-21 AFSR. 61,154.&#10;Base. 61,154.&#10;Previously unmet need. -.&#10;&#10;2026-2027.&#10;Projected, 2018-19 AFSR. 38,003.&#10;Actual. -.&#10;Projected, 2020-21 AFSR. 61,745.&#10;Base. 61,745.&#10;Previously unmet need. -.&#10;&#10;2027-2028.&#10;Projected, 2018-19 AFSR. 38,415.&#10;Actual. -.&#10;Projected, 2020-21 AFSR. 62,330.&#10;Base. 62,330.&#10;Previously unmet need. -.&#10;&#10;2028-2029.&#10;Projected, 2018-19 AFSR. 38,835.&#10;Actual. -.&#10;Projected, 2020-21 AFSR. 62,926.&#10;Base. 62,926.&#10;Previously unmet need. -.&#10;&#10;2029-2030.&#10;Projected, 2018-19 AFSR. 39,270.&#10;Actual. -.&#10;Projected, 2020-21 AFSR. 63,559.&#10;Base. 63,559.&#10;Previously unmet n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2019-2020.&#10;Projected, 2018-19 AFSR. 89,125.&#10;Actual. 111,289.&#10;Projected, 2020-21 AFSR. -.&#10;Base. -.&#10;Previously unmet need. -.&#10;&#10;&#10;2020-2021.&#10;Projected, 2018-19 AFSR. 64,186.&#10;Actual. 80,977.&#10;Projected, 2020-21 AFSR. -.&#10;Base. -.&#10;Previously unmet need. -.&#10;&#10;2021-2022.&#10;Projected, 2018-19 AFSR. 58,377.&#10;Actual. -.&#10;Projected, 2020-21 AFSR. 72,741.&#10;Base. 59,178.&#10;Previously unmet need. 13,563.&#10;&#10;2022-2023.&#10;Projected, 2018-19 AFSR. 44,016.&#10;Actual. -.&#10;Projected, 2020-21 AFSR. 68,648.&#10;Base. 59,413.&#10;Previously unmet need. 9,235.&#10;&#10;2023-2024.&#10;Projected, 2018-19 AFSR. 36,759.&#10;Actual. -.&#10;Projected, 2020-21 AFSR. 60,333.&#10;Base. 59,946.&#10;Previously unmet need. 387.&#10;&#10;2024-2025.&#10;Projected, 2018-19 AFSR. 37,184.&#10;Actual. -.&#10;Projected, 2020-21 AFSR. 60,560.&#10;Base. 60,560.&#10;Previously unmet need. -.&#10;&#10;2025-2026.&#10;Projected, 2018-19 AFSR. 37,593.&#10;Actual. -.&#10;Projected, 2020-21 AFSR. 61,154.&#10;Base. 61,154.&#10;Previously unmet need. -.&#10;&#10;2026-2027.&#10;Projected, 2018-19 AFSR. 38,003.&#10;Actual. -.&#10;Projected, 2020-21 AFSR. 61,745.&#10;Base. 61,745.&#10;Previously unmet need. -.&#10;&#10;2027-2028.&#10;Projected, 2018-19 AFSR. 38,415.&#10;Actual. -.&#10;Projected, 2020-21 AFSR. 62,330.&#10;Base. 62,330.&#10;Previously unmet need. -.&#10;&#10;2028-2029.&#10;Projected, 2018-19 AFSR. 38,835.&#10;Actual. -.&#10;Projected, 2020-21 AFSR. 62,926.&#10;Base. 62,926.&#10;Previously unmet need. -.&#10;&#10;2029-2030.&#10;Projected, 2018-19 AFSR. 39,270.&#10;Actual. -.&#10;Projected, 2020-21 AFSR. 63,559.&#10;Base. 63,559.&#10;Previously unmet need. -."/>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312057" cy="2412749"/>
                    </a:xfrm>
                    <a:prstGeom prst="rect">
                      <a:avLst/>
                    </a:prstGeom>
                    <a:noFill/>
                    <a:ln>
                      <a:noFill/>
                    </a:ln>
                  </pic:spPr>
                </pic:pic>
              </a:graphicData>
            </a:graphic>
          </wp:inline>
        </w:drawing>
      </w:r>
    </w:p>
    <w:p w14:paraId="0BD27DA5" w14:textId="65F361F0" w:rsidR="0068679A" w:rsidRPr="003A2BFA" w:rsidRDefault="0068679A" w:rsidP="0068679A">
      <w:pPr>
        <w:pStyle w:val="Tablenotesorsource"/>
        <w:ind w:left="426"/>
      </w:pPr>
      <w:r>
        <w:t>Note: Previously unmet need is an additional component of entries estimated separately in the AFSR reflecting people with existing long-term disabilities not supported in previous State and Commonwealth schemes. It contrasts to steadier ongoing entries that primarily relate to new incidence and diagnosis.</w:t>
      </w:r>
    </w:p>
    <w:p w14:paraId="6576445D" w14:textId="03691A16" w:rsidR="00D320CF" w:rsidRDefault="00D320CF" w:rsidP="00D320CF">
      <w:pPr>
        <w:pStyle w:val="Bullet1"/>
      </w:pPr>
      <w:r w:rsidRPr="002736B0">
        <w:rPr>
          <w:b/>
          <w:bCs/>
        </w:rPr>
        <w:t xml:space="preserve">Non-mortality </w:t>
      </w:r>
      <w:r w:rsidR="007A5D84">
        <w:rPr>
          <w:b/>
          <w:bCs/>
        </w:rPr>
        <w:t>Scheme</w:t>
      </w:r>
      <w:r w:rsidRPr="002736B0">
        <w:rPr>
          <w:b/>
          <w:bCs/>
        </w:rPr>
        <w:t xml:space="preserve"> exits.</w:t>
      </w:r>
      <w:r>
        <w:t xml:space="preserve"> Scheme exits have been about a third of what they were expected to be in the 2018-19 AFSR</w:t>
      </w:r>
      <w:r w:rsidR="003F6E70">
        <w:t xml:space="preserve"> across different disability types, ages and severities</w:t>
      </w:r>
      <w:r>
        <w:t xml:space="preserve">. The number of non-mortality exits was expected to be twice that of mortality-related exits but has emerged below the rate of mortality. The 2020-21 AFSR recognises this </w:t>
      </w:r>
      <w:r w:rsidR="003F6E70">
        <w:t xml:space="preserve">with lowered exit rates </w:t>
      </w:r>
      <w:r>
        <w:t xml:space="preserve">in the short term but reverts to higher rates </w:t>
      </w:r>
      <w:r w:rsidR="000F1E12">
        <w:t xml:space="preserve">over the </w:t>
      </w:r>
      <w:r w:rsidR="003F6E70">
        <w:t>first</w:t>
      </w:r>
      <w:r w:rsidR="000F1E12">
        <w:t xml:space="preserve"> three years</w:t>
      </w:r>
      <w:r w:rsidR="003F6E70">
        <w:t xml:space="preserve"> of the projection</w:t>
      </w:r>
      <w:r>
        <w:t xml:space="preserve">. </w:t>
      </w:r>
      <w:r w:rsidR="003F6E70">
        <w:t xml:space="preserve">These exit rates are sensitive to composition and imply further rises to the expected fraction of participants with disabilities such as developmental delay. </w:t>
      </w:r>
      <w:r>
        <w:t xml:space="preserve">Lower exit rates will increase long-term costs, particularly for those cohorts that were originally expected to transition out of the </w:t>
      </w:r>
      <w:r w:rsidR="00DB1C29">
        <w:t>S</w:t>
      </w:r>
      <w:r>
        <w:t>cheme. Projecting current exit rates forward increases 2024-25 costs by $0.5B.</w:t>
      </w:r>
      <w:r w:rsidR="00FF731E">
        <w:t xml:space="preserve"> </w:t>
      </w:r>
      <w:r w:rsidR="00FF731E">
        <w:fldChar w:fldCharType="begin"/>
      </w:r>
      <w:r w:rsidR="00FF731E">
        <w:instrText xml:space="preserve"> REF _Ref88212253 \h </w:instrText>
      </w:r>
      <w:r w:rsidR="00FF731E">
        <w:fldChar w:fldCharType="separate"/>
      </w:r>
      <w:r w:rsidR="00E6217F">
        <w:t xml:space="preserve">Figure </w:t>
      </w:r>
      <w:r w:rsidR="00E6217F">
        <w:rPr>
          <w:noProof/>
        </w:rPr>
        <w:t>4</w:t>
      </w:r>
      <w:r w:rsidR="00FF731E">
        <w:fldChar w:fldCharType="end"/>
      </w:r>
      <w:r w:rsidR="00FF731E">
        <w:t xml:space="preserve"> shows both the rates of exit and the low level of exits by disability type.</w:t>
      </w:r>
    </w:p>
    <w:p w14:paraId="295414C8" w14:textId="6D56C625" w:rsidR="00D320CF" w:rsidRDefault="00D320CF" w:rsidP="009C261B">
      <w:pPr>
        <w:pStyle w:val="Caption"/>
        <w:spacing w:after="40"/>
        <w:ind w:left="357"/>
      </w:pPr>
      <w:bookmarkStart w:id="8" w:name="_Ref88212253"/>
      <w:r>
        <w:t xml:space="preserve">Figure </w:t>
      </w:r>
      <w:r>
        <w:fldChar w:fldCharType="begin"/>
      </w:r>
      <w:r>
        <w:instrText xml:space="preserve"> SEQ Figure \* ARABIC \s 1 </w:instrText>
      </w:r>
      <w:r>
        <w:fldChar w:fldCharType="separate"/>
      </w:r>
      <w:r w:rsidR="00E6217F">
        <w:rPr>
          <w:noProof/>
        </w:rPr>
        <w:t>4</w:t>
      </w:r>
      <w:r>
        <w:fldChar w:fldCharType="end"/>
      </w:r>
      <w:bookmarkEnd w:id="8"/>
      <w:r>
        <w:t xml:space="preserve"> – Weighted average assumed non-mortality exit rates by disability type and ratio of actual to assumed exit rates in 2020-21</w:t>
      </w:r>
    </w:p>
    <w:p w14:paraId="4590C418" w14:textId="2509EDB2" w:rsidR="00D320CF" w:rsidRPr="003A2BFA" w:rsidRDefault="00D320CF" w:rsidP="0067580F">
      <w:pPr>
        <w:spacing w:before="0" w:after="0"/>
        <w:ind w:firstLine="360"/>
      </w:pPr>
      <w:r w:rsidRPr="006C7902">
        <w:rPr>
          <w:noProof/>
        </w:rPr>
        <w:drawing>
          <wp:inline distT="0" distB="0" distL="0" distR="0" wp14:anchorId="6BCE8854" wp14:editId="15E70FE8">
            <wp:extent cx="5820355" cy="2665911"/>
            <wp:effectExtent l="0" t="0" r="9525" b="1270"/>
            <wp:docPr id="114" name="Picture 114" descr="Average non-mortality exit rate&#10;ABI. &#10;Average non-mortality exit rate. 0.9%. &#10;&#10;Autism. &#10;Average non-mortality exit rate. 0.7%. &#10;&#10;Cerebral Palsy. &#10;Average non-mortality exit rate. 0.3%. &#10;&#10;Hearing Impairment. &#10;Average non-mortality exit rat. 2.4%. &#10;&#10;Intellectual Disability. &#10;Average non-mortality exit rate. 0.6%. &#10;&#10;Multiple Sclerosis. &#10;Average non-mortality exit rate. 0.5%. &#10;&#10;Delay. &#10;Average non-mortality exit rate. 14.4%. &#10;&#10;Other. &#10;Average non-mortality exit rate. 3.4%. &#10;&#10;Other Neurological. &#10;Average non-mortality exit rate. 1.5%. &#10;&#10;Other Physical. &#10;Average non-mortality exit rate. 2.3%. &#10;&#10;Other SensorySpeech. &#10;Average non-mortality exit rate. 19.7%. &#10;&#10;Psychosocial disability. &#10;Average non-mortality exit rate. 1.0%. &#10;&#10;Spinal Cord Injury. &#10;Average non-mortality exit rate. 0.8%. &#10;&#10;Stroke. &#10;Average non-mortality exit rate. 0.9%. &#10;&#10;Visual Impairment. &#10;Average non-mortality exit rate. 1.3%. &#10;&#10;&#10;Ratio of actual exits to expected.&#10;&#10;ABI. &#10;Ratio of actual exits to expected. 49.9%.&#10;&#10;Autism. &#10;Ratio of actual exits to expected. 37.9%.&#10;&#10;Cerebral Palsy. &#10;Ratio of actual exits to expected. 47.3%.&#10;&#10;Hearing Impairment. &#10;Ratio of actual exits to expected. 17.4%.&#10;&#10;Intellectual Disability. &#10;Ratio of actual exits to expected. 52.3%.&#10;&#10;Multiple Sclerosis. &#10;Ratio of actual exits to expected. 32.4%.&#10;&#10;Delay. &#10;Ratio of actual exits to expected. 21.8%.&#10;&#10;Other. &#10;Ratio of actual exits to expected. 31.4%.&#10;&#10;Other Neurological. &#10;Ratio of actual exits to expected. 52.6%.&#10;&#10;Other Physical. &#10;Ratio of actual exits to expected. 26.7%.&#10;&#10;Other SensorySpeech. &#10;Ratio of actual exits to expected. 29.2%.&#10;&#10;Psychosocial disability. &#10;Ratio of actual exits to expected. 49.4%.&#10;&#10;Spinal Cord Injury. &#10;Ratio of actual exits to expected. 31.2%.&#10;&#10;Stroke. &#10;Ratio of actual exits to expected. 47.7%.&#10;&#10;Visual Impairment. &#10;Ratio of actual exits to expected.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verage non-mortality exit rate&#10;ABI. &#10;Average non-mortality exit rate. 0.9%. &#10;&#10;Autism. &#10;Average non-mortality exit rate. 0.7%. &#10;&#10;Cerebral Palsy. &#10;Average non-mortality exit rate. 0.3%. &#10;&#10;Hearing Impairment. &#10;Average non-mortality exit rat. 2.4%. &#10;&#10;Intellectual Disability. &#10;Average non-mortality exit rate. 0.6%. &#10;&#10;Multiple Sclerosis. &#10;Average non-mortality exit rate. 0.5%. &#10;&#10;Delay. &#10;Average non-mortality exit rate. 14.4%. &#10;&#10;Other. &#10;Average non-mortality exit rate. 3.4%. &#10;&#10;Other Neurological. &#10;Average non-mortality exit rate. 1.5%. &#10;&#10;Other Physical. &#10;Average non-mortality exit rate. 2.3%. &#10;&#10;Other SensorySpeech. &#10;Average non-mortality exit rate. 19.7%. &#10;&#10;Psychosocial disability. &#10;Average non-mortality exit rate. 1.0%. &#10;&#10;Spinal Cord Injury. &#10;Average non-mortality exit rate. 0.8%. &#10;&#10;Stroke. &#10;Average non-mortality exit rate. 0.9%. &#10;&#10;Visual Impairment. &#10;Average non-mortality exit rate. 1.3%. &#10;&#10;&#10;Ratio of actual exits to expected.&#10;&#10;ABI. &#10;Ratio of actual exits to expected. 49.9%.&#10;&#10;Autism. &#10;Ratio of actual exits to expected. 37.9%.&#10;&#10;Cerebral Palsy. &#10;Ratio of actual exits to expected. 47.3%.&#10;&#10;Hearing Impairment. &#10;Ratio of actual exits to expected. 17.4%.&#10;&#10;Intellectual Disability. &#10;Ratio of actual exits to expected. 52.3%.&#10;&#10;Multiple Sclerosis. &#10;Ratio of actual exits to expected. 32.4%.&#10;&#10;Delay. &#10;Ratio of actual exits to expected. 21.8%.&#10;&#10;Other. &#10;Ratio of actual exits to expected. 31.4%.&#10;&#10;Other Neurological. &#10;Ratio of actual exits to expected. 52.6%.&#10;&#10;Other Physical. &#10;Ratio of actual exits to expected. 26.7%.&#10;&#10;Other SensorySpeech. &#10;Ratio of actual exits to expected. 29.2%.&#10;&#10;Psychosocial disability. &#10;Ratio of actual exits to expected. 49.4%.&#10;&#10;Spinal Cord Injury. &#10;Ratio of actual exits to expected. 31.2%.&#10;&#10;Stroke. &#10;Ratio of actual exits to expected. 47.7%.&#10;&#10;Visual Impairment. &#10;Ratio of actual exits to expected. 34.7%."/>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825044" cy="2668059"/>
                    </a:xfrm>
                    <a:prstGeom prst="rect">
                      <a:avLst/>
                    </a:prstGeom>
                    <a:noFill/>
                    <a:ln>
                      <a:noFill/>
                    </a:ln>
                  </pic:spPr>
                </pic:pic>
              </a:graphicData>
            </a:graphic>
          </wp:inline>
        </w:drawing>
      </w:r>
    </w:p>
    <w:p w14:paraId="5DBFADF9" w14:textId="3B30DE42" w:rsidR="00D320CF" w:rsidRDefault="00D320CF" w:rsidP="009C261B">
      <w:pPr>
        <w:pStyle w:val="Bullet1"/>
        <w:spacing w:before="0"/>
        <w:ind w:left="357" w:hanging="357"/>
      </w:pPr>
      <w:r w:rsidRPr="001F4577">
        <w:rPr>
          <w:b/>
          <w:bCs/>
        </w:rPr>
        <w:t xml:space="preserve">Number of participants accessing </w:t>
      </w:r>
      <w:r>
        <w:rPr>
          <w:b/>
          <w:bCs/>
        </w:rPr>
        <w:t>Supported Independent Living (</w:t>
      </w:r>
      <w:r w:rsidRPr="001F4577">
        <w:rPr>
          <w:b/>
          <w:bCs/>
        </w:rPr>
        <w:t>SIL</w:t>
      </w:r>
      <w:r>
        <w:rPr>
          <w:b/>
          <w:bCs/>
        </w:rPr>
        <w:t>)</w:t>
      </w:r>
      <w:r w:rsidRPr="001F4577">
        <w:rPr>
          <w:b/>
          <w:bCs/>
        </w:rPr>
        <w:t>.</w:t>
      </w:r>
      <w:r>
        <w:t xml:space="preserve"> At 30 June 2021 about 25,000 participants accessed SIL. This group has high support costs so the projected number of </w:t>
      </w:r>
      <w:r w:rsidR="00FF731E">
        <w:t xml:space="preserve">participants </w:t>
      </w:r>
      <w:r>
        <w:t>in SIL has a material impact on the forecasts. The net increase in the number of people accessing SIL has reduced from about 3,000 additional people in 2019-20 to 1,200 in 2020-21, with experience below the previous AFSR estimates. Net increases in SIL over the past year were relatively stable across each of the four quarters and the 2020-21 AFSR mirrors this experience with a large reduction in assumed growth in SIL numbers.</w:t>
      </w:r>
    </w:p>
    <w:p w14:paraId="1D8220D2" w14:textId="5733494A" w:rsidR="00D320CF" w:rsidRPr="00555120" w:rsidRDefault="00D320CF" w:rsidP="00D320CF">
      <w:pPr>
        <w:ind w:left="360"/>
      </w:pPr>
      <w:r w:rsidRPr="00555120">
        <w:t xml:space="preserve">Much of the decrease in growth is tied to fewer people transitioning from state schemes where they had existing supports. However, there also appears to be a slowing in 2020-21 of </w:t>
      </w:r>
      <w:r w:rsidR="00DB1C29">
        <w:t>S</w:t>
      </w:r>
      <w:r w:rsidRPr="00555120">
        <w:t xml:space="preserve">cheme participants moving from non-SIL to SIL. </w:t>
      </w:r>
    </w:p>
    <w:p w14:paraId="2431D954" w14:textId="63FB80F3" w:rsidR="00D320CF" w:rsidRDefault="00D320CF" w:rsidP="00D320CF">
      <w:pPr>
        <w:ind w:left="360"/>
      </w:pPr>
      <w:r>
        <w:t>We believe that SIL assumptions carry both upside and downside risks. However, we would give some weight to the trends prior to 2020-21 which would imply slightly higher forecasts</w:t>
      </w:r>
      <w:r w:rsidR="00330584">
        <w:t xml:space="preserve"> of SIL participants, and the magnitude of the change implies that there remains significant uncertainty in this assumption</w:t>
      </w:r>
      <w:r>
        <w:t>.</w:t>
      </w:r>
    </w:p>
    <w:p w14:paraId="276B3878" w14:textId="496C5149" w:rsidR="00D320CF" w:rsidRDefault="00D320CF" w:rsidP="00D320CF">
      <w:pPr>
        <w:pStyle w:val="Caption"/>
        <w:spacing w:after="0"/>
      </w:pPr>
      <w:r>
        <w:t xml:space="preserve">Figure </w:t>
      </w:r>
      <w:r>
        <w:fldChar w:fldCharType="begin"/>
      </w:r>
      <w:r>
        <w:instrText xml:space="preserve"> SEQ Figure \* ARABIC \s 1 </w:instrText>
      </w:r>
      <w:r>
        <w:fldChar w:fldCharType="separate"/>
      </w:r>
      <w:r w:rsidR="00E6217F">
        <w:rPr>
          <w:noProof/>
        </w:rPr>
        <w:t>5</w:t>
      </w:r>
      <w:r>
        <w:fldChar w:fldCharType="end"/>
      </w:r>
      <w:r>
        <w:t xml:space="preserve"> – Number of SIL participants</w:t>
      </w:r>
    </w:p>
    <w:p w14:paraId="57621BF9" w14:textId="4611B696" w:rsidR="00D320CF" w:rsidRDefault="0056706B" w:rsidP="009C261B">
      <w:pPr>
        <w:pStyle w:val="Bullet1"/>
        <w:numPr>
          <w:ilvl w:val="0"/>
          <w:numId w:val="0"/>
        </w:numPr>
        <w:spacing w:before="0" w:after="0"/>
        <w:ind w:left="357" w:hanging="357"/>
      </w:pPr>
      <w:r w:rsidRPr="007F7372">
        <w:rPr>
          <w:noProof/>
        </w:rPr>
        <w:drawing>
          <wp:inline distT="0" distB="0" distL="0" distR="0" wp14:anchorId="309672DB" wp14:editId="4B575420">
            <wp:extent cx="5976620" cy="2551430"/>
            <wp:effectExtent l="0" t="0" r="5080" b="1270"/>
            <wp:docPr id="30" name="Picture 30" descr="Annual increase in SIL participants&#10;&#10;2016-2017.&#10;Actual.  -. Participants.&#10;2019 AFSR.  -. Participants.&#10;2020 AFSR.  -. Participants.2021 AFSR.  -.&#10;&#10;2017-2018.&#10;Actual. 5,867. Participants.&#10;2019 AFSR.  -. Participants. &#10;2020 AFSR.  -. Participants. &#10;2021 AFSR.  -. Participants.&#10;&#10;2018-2019.&#10;Actual. 8,389. Participants.&#10;2019 AFSR. 8,389. Participants. &#10;2020 AFSR.  -. Participants.&#10;2021 AFSR.  -. Participants.&#10;&#10;2019-2020.&#10;Actual. 3,067. Participants.&#10;2019 AFSR. 4,815. Participants. &#10;2020 AFSR. 3,067. Participants.&#10;2021 AFSR.  -. Participants.&#10;&#10;2020-2021.&#10;Actual. 1,201. Participants.&#10;2019 AFSR. 2,994. Participants. &#10;2020 AFSR. 2,670. Participants. &#10;2021 AFSR. 1,201. Participants.&#10;&#10;2021-2022.&#10;Actual.  -. Participants.&#10;2019 AFSR. 2,150. Participants. &#10;2020 AFSR. 2,049. Participants. &#10;2021 AFSR. 1,113. Participants.&#10;&#10;2022-2023.&#10;Actual.  -. Participants.&#10;2019 AFSR. 1,340. Participants. &#10;2020 AFSR. 1,590. Participants. &#10;2021 AFSR. 905. Participants.&#10;&#10;2023-2024.&#10;Actual.  -. Participants.&#10;2019 AFSR. 1,411. Participants. &#10;2020 AFSR. 1,484. Participants. &#10;2021 AFSR. 1,006. Participants.&#10;&#10;2024-2025.&#10;Actual.  -. Participants.&#10;2019 AFSR. 1,417. Participants.&#10;2020 AFSR. 1,576. Participants. &#10;2021 AFSR. 1,015. Participants.&#10;&#10;2025-2026.&#10;Actual.  -. Participants.&#10;2019 AFSR. 1,465. Participants. &#10;2020 AFSR. 1,645. Participants. &#10;2021 AFSR. 1,067. Participants.&#10;&#10;2026-2027.&#10;Actual.  -. Participants.&#10;2019 AFSR. 1,526. Participants. &#10;2020 AFSR. 1,687. Participants. &#10;2021 AFSR. 1,106. Participants.&#10;&#10;2027-2028.&#10;Actual.  -. Participants.&#10;2019 AFSR. 1,589. Participants. &#10;2020 AFSR. 1,774. Participants. &#10;2021 AFSR. 1,166. Participants.&#10;&#10;2028-2029.&#10;Actual.  -. Participants.&#10;2019 AFSR. 1,661. Participants. &#10;2020 AFSR. 1,834. Participants.&#10;2021 AFSR. 1,195. Participants.&#10;&#10;2029-2030.&#10;Actual.  -. Participants.&#10;2019 AFSR. 917.  Participants.  &#10;2020 AFSR. 1,906. Participants. &#10;2021 AFSR. 1,261. Participants.&#10;&#10;&#10;Total number of SIL participants&#10;&#10;2016-2017.&#10;Actual. 6,796. Participants.&#10;2019 AFSR. -. Participants. &#10;2020 AFSR. -. Participants. &#10;2021 AFSR. -. Participants.&#10;&#10;2017-2018.&#10;Actual. 12,663. Participants.&#10;2019 AFSR. -. Participants. &#10;2020 AFSR. -. Participants. &#10;2021 AFSR. -. Participants.&#10;&#10;2018-2019.&#10;Actual. 21,052. Participants.&#10;2019 AFSR. 21,052. Participants. &#10;2020 AFSR. -. Participants. &#10;2021 AFSR. -. Participants.&#10;&#10;2019-2020.&#10;Actual. 24,119. Participants.&#10;2019 AFSR. 25,867. Participants. &#10;2020 AFSR. 24,119. Participants. &#10;2021 AFSR. -. Participants.&#10;&#10;2020-2021.&#10;Actual. 25,320. Participants.&#10;2019 AFSR. 28,861. Participants. &#10;2020 AFSR. 26,789. Participants. &#10;2021 AFSR. 25,320. Participants.&#10;&#10;2021-2022.&#10;Actual. -. Participants.&#10;2019 AFSR. 31,011. Participants. &#10;2020 AFSR. 28,839. Participants. &#10;2021 AFSR. 26,433. Participants.&#10;&#10;2022-2023.&#10;Actual. -. Participants.&#10;2019 AFSR. 32,351. Participants. &#10;2020 AFSR. 30,429. Participants. &#10;2021 AFSR. 27,338. Participants.&#10;&#10;2023-2024.&#10;Actual. -. Participants.&#10;2019 AFSR. 33,762. Participants. &#10;2020 AFSR. 31,913. Participants. &#10;2021 AFSR. 28,344. Participants.&#10;&#10;2024-2025.&#10;Actual. -. Participants.&#10;2019 AFSR. 35,179. Participants. &#10;2020 AFSR. 33,489. Participants. &#10;2021 AFSR. 29,359. Participants.&#10;&#10;2025-2026.&#10;Actual. -. Participants.&#10;2019 AFSR. 36,644. Participants. &#10;2020 AFSR. 35,134. Participants. &#10;2021 AFSR. 30,426. Participants.&#10;&#10;2026-2027.&#10;Actual. -. Participants.&#10;2019 AFSR. 38,170. Participants. &#10;2020 AFSR. 36,821. Participants. &#10;2021 AFSR. 31,532. Participants.&#10;&#10;2027-2028.&#10;Actual. -. Participants.&#10;2019 AFSR. 39,759. Participants. &#10;2020 AFSR. 38,595. Participants. &#10;2021 AFSR. 32,699. Participants.&#10;&#10;2028-2029.&#10;Actual. -. Participants.&#10;2019 AFSR. 41,420. Participants. &#10;2020 AFSR. 40,429. Participants. &#10;2021 AFSR. 33,893. Participants.&#10;&#10;2029-2030.&#10;Actual. -. Participants.&#10;2019 AFSR. 42,337. Participants. &#10;2020 AFSR. 42,335. Participants.&#10;2021 AFSR. 35,154.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nnual increase in SIL participants&#10;&#10;2016-2017.&#10;Actual.  -. Participants.&#10;2019 AFSR.  -. Participants.&#10;2020 AFSR.  -. Participants.2021 AFSR.  -.&#10;&#10;2017-2018.&#10;Actual. 5,867. Participants.&#10;2019 AFSR.  -. Participants. &#10;2020 AFSR.  -. Participants. &#10;2021 AFSR.  -. Participants.&#10;&#10;2018-2019.&#10;Actual. 8,389. Participants.&#10;2019 AFSR. 8,389. Participants. &#10;2020 AFSR.  -. Participants.&#10;2021 AFSR.  -. Participants.&#10;&#10;2019-2020.&#10;Actual. 3,067. Participants.&#10;2019 AFSR. 4,815. Participants. &#10;2020 AFSR. 3,067. Participants.&#10;2021 AFSR.  -. Participants.&#10;&#10;2020-2021.&#10;Actual. 1,201. Participants.&#10;2019 AFSR. 2,994. Participants. &#10;2020 AFSR. 2,670. Participants. &#10;2021 AFSR. 1,201. Participants.&#10;&#10;2021-2022.&#10;Actual.  -. Participants.&#10;2019 AFSR. 2,150. Participants. &#10;2020 AFSR. 2,049. Participants. &#10;2021 AFSR. 1,113. Participants.&#10;&#10;2022-2023.&#10;Actual.  -. Participants.&#10;2019 AFSR. 1,340. Participants. &#10;2020 AFSR. 1,590. Participants. &#10;2021 AFSR. 905. Participants.&#10;&#10;2023-2024.&#10;Actual.  -. Participants.&#10;2019 AFSR. 1,411. Participants. &#10;2020 AFSR. 1,484. Participants. &#10;2021 AFSR. 1,006. Participants.&#10;&#10;2024-2025.&#10;Actual.  -. Participants.&#10;2019 AFSR. 1,417. Participants.&#10;2020 AFSR. 1,576. Participants. &#10;2021 AFSR. 1,015. Participants.&#10;&#10;2025-2026.&#10;Actual.  -. Participants.&#10;2019 AFSR. 1,465. Participants. &#10;2020 AFSR. 1,645. Participants. &#10;2021 AFSR. 1,067. Participants.&#10;&#10;2026-2027.&#10;Actual.  -. Participants.&#10;2019 AFSR. 1,526. Participants. &#10;2020 AFSR. 1,687. Participants. &#10;2021 AFSR. 1,106. Participants.&#10;&#10;2027-2028.&#10;Actual.  -. Participants.&#10;2019 AFSR. 1,589. Participants. &#10;2020 AFSR. 1,774. Participants. &#10;2021 AFSR. 1,166. Participants.&#10;&#10;2028-2029.&#10;Actual.  -. Participants.&#10;2019 AFSR. 1,661. Participants. &#10;2020 AFSR. 1,834. Participants.&#10;2021 AFSR. 1,195. Participants.&#10;&#10;2029-2030.&#10;Actual.  -. Participants.&#10;2019 AFSR. 917.  Participants.  &#10;2020 AFSR. 1,906. Participants. &#10;2021 AFSR. 1,261. Participants.&#10;&#10;&#10;Total number of SIL participants&#10;&#10;2016-2017.&#10;Actual. 6,796. Participants.&#10;2019 AFSR. -. Participants. &#10;2020 AFSR. -. Participants. &#10;2021 AFSR. -. Participants.&#10;&#10;2017-2018.&#10;Actual. 12,663. Participants.&#10;2019 AFSR. -. Participants. &#10;2020 AFSR. -. Participants. &#10;2021 AFSR. -. Participants.&#10;&#10;2018-2019.&#10;Actual. 21,052. Participants.&#10;2019 AFSR. 21,052. Participants. &#10;2020 AFSR. -. Participants. &#10;2021 AFSR. -. Participants.&#10;&#10;2019-2020.&#10;Actual. 24,119. Participants.&#10;2019 AFSR. 25,867. Participants. &#10;2020 AFSR. 24,119. Participants. &#10;2021 AFSR. -. Participants.&#10;&#10;2020-2021.&#10;Actual. 25,320. Participants.&#10;2019 AFSR. 28,861. Participants. &#10;2020 AFSR. 26,789. Participants. &#10;2021 AFSR. 25,320. Participants.&#10;&#10;2021-2022.&#10;Actual. -. Participants.&#10;2019 AFSR. 31,011. Participants. &#10;2020 AFSR. 28,839. Participants. &#10;2021 AFSR. 26,433. Participants.&#10;&#10;2022-2023.&#10;Actual. -. Participants.&#10;2019 AFSR. 32,351. Participants. &#10;2020 AFSR. 30,429. Participants. &#10;2021 AFSR. 27,338. Participants.&#10;&#10;2023-2024.&#10;Actual. -. Participants.&#10;2019 AFSR. 33,762. Participants. &#10;2020 AFSR. 31,913. Participants. &#10;2021 AFSR. 28,344. Participants.&#10;&#10;2024-2025.&#10;Actual. -. Participants.&#10;2019 AFSR. 35,179. Participants. &#10;2020 AFSR. 33,489. Participants. &#10;2021 AFSR. 29,359. Participants.&#10;&#10;2025-2026.&#10;Actual. -. Participants.&#10;2019 AFSR. 36,644. Participants. &#10;2020 AFSR. 35,134. Participants. &#10;2021 AFSR. 30,426. Participants.&#10;&#10;2026-2027.&#10;Actual. -. Participants.&#10;2019 AFSR. 38,170. Participants. &#10;2020 AFSR. 36,821. Participants. &#10;2021 AFSR. 31,532. Participants.&#10;&#10;2027-2028.&#10;Actual. -. Participants.&#10;2019 AFSR. 39,759. Participants. &#10;2020 AFSR. 38,595. Participants. &#10;2021 AFSR. 32,699. Participants.&#10;&#10;2028-2029.&#10;Actual. -. Participants.&#10;2019 AFSR. 41,420. Participants. &#10;2020 AFSR. 40,429. Participants. &#10;2021 AFSR. 33,893. Participants.&#10;&#10;2029-2030.&#10;Actual. -. Participants.&#10;2019 AFSR. 42,337. Participants. &#10;2020 AFSR. 42,335. Participants.&#10;2021 AFSR. 35,154. Participants."/>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976620" cy="2551430"/>
                    </a:xfrm>
                    <a:prstGeom prst="rect">
                      <a:avLst/>
                    </a:prstGeom>
                    <a:noFill/>
                    <a:ln>
                      <a:noFill/>
                    </a:ln>
                  </pic:spPr>
                </pic:pic>
              </a:graphicData>
            </a:graphic>
          </wp:inline>
        </w:drawing>
      </w:r>
    </w:p>
    <w:p w14:paraId="07FCA392" w14:textId="4689C127" w:rsidR="00D320CF" w:rsidRPr="00330584" w:rsidRDefault="00D320CF" w:rsidP="00F63ADC">
      <w:pPr>
        <w:pStyle w:val="Bullet1"/>
      </w:pPr>
      <w:r w:rsidRPr="0072483C">
        <w:rPr>
          <w:b/>
          <w:bCs/>
        </w:rPr>
        <w:t>Cost assumptions.</w:t>
      </w:r>
      <w:r w:rsidRPr="00330584">
        <w:t xml:space="preserve"> The Scheme Actuary sets average </w:t>
      </w:r>
      <w:r w:rsidR="005F15C3">
        <w:t>cost</w:t>
      </w:r>
      <w:r w:rsidR="005F15C3" w:rsidRPr="00330584">
        <w:t xml:space="preserve"> </w:t>
      </w:r>
      <w:r w:rsidRPr="00330584">
        <w:t xml:space="preserve">size assumptions (i.e. average starting level of </w:t>
      </w:r>
      <w:r w:rsidR="005F15C3">
        <w:t xml:space="preserve">support </w:t>
      </w:r>
      <w:r w:rsidRPr="00330584">
        <w:t>payments</w:t>
      </w:r>
      <w:r w:rsidR="005F15C3">
        <w:t xml:space="preserve"> per participant</w:t>
      </w:r>
      <w:r w:rsidRPr="00330584">
        <w:t xml:space="preserve">) for each support category, age group, disability type and level of function based on recent experience. This corresponds to 15 </w:t>
      </w:r>
      <w:r w:rsidR="005F15C3">
        <w:t>different</w:t>
      </w:r>
      <w:r w:rsidR="005F15C3" w:rsidRPr="00330584">
        <w:t xml:space="preserve"> </w:t>
      </w:r>
      <w:r w:rsidRPr="00330584">
        <w:t xml:space="preserve">payment assumptions for </w:t>
      </w:r>
      <w:r w:rsidR="005F15C3">
        <w:t xml:space="preserve">each of the </w:t>
      </w:r>
      <w:r w:rsidRPr="00330584">
        <w:t xml:space="preserve">2,052 different cohorts. The </w:t>
      </w:r>
      <w:r w:rsidR="005B0B8B">
        <w:t xml:space="preserve">average cost assumptions are largely based on experience during the three </w:t>
      </w:r>
      <w:r w:rsidRPr="00330584">
        <w:t>months to May 2021</w:t>
      </w:r>
      <w:r w:rsidR="005B0B8B">
        <w:t xml:space="preserve">. </w:t>
      </w:r>
      <w:r w:rsidR="0072483C">
        <w:t>This is reasonable</w:t>
      </w:r>
      <w:r w:rsidR="005B0B8B">
        <w:t xml:space="preserve"> given the rapidly changing environment with costs escalating quickly and limited longitudinal data.</w:t>
      </w:r>
      <w:r w:rsidR="0072483C">
        <w:t xml:space="preserve"> </w:t>
      </w:r>
      <w:r w:rsidRPr="00330584">
        <w:t xml:space="preserve">Most </w:t>
      </w:r>
      <w:r w:rsidR="0072483C">
        <w:t xml:space="preserve">support </w:t>
      </w:r>
      <w:r w:rsidRPr="00330584">
        <w:t xml:space="preserve">categories </w:t>
      </w:r>
      <w:r w:rsidR="005B0B8B">
        <w:t>have</w:t>
      </w:r>
      <w:r w:rsidR="005B0B8B" w:rsidRPr="00330584">
        <w:t xml:space="preserve"> </w:t>
      </w:r>
      <w:r w:rsidRPr="00330584">
        <w:t xml:space="preserve">appropriate </w:t>
      </w:r>
      <w:r w:rsidR="005B0B8B">
        <w:t>assumptions</w:t>
      </w:r>
      <w:r w:rsidR="00330584">
        <w:t>, and although in some cases we would have selected different assumptions</w:t>
      </w:r>
      <w:r w:rsidR="005B0B8B">
        <w:t>,</w:t>
      </w:r>
      <w:r w:rsidR="00330584">
        <w:t xml:space="preserve"> in aggregate</w:t>
      </w:r>
      <w:r w:rsidR="005B0B8B">
        <w:t xml:space="preserve"> they</w:t>
      </w:r>
      <w:r w:rsidR="00330584">
        <w:t xml:space="preserve"> are reasonable and capture recent trends</w:t>
      </w:r>
      <w:r w:rsidRPr="00330584">
        <w:t xml:space="preserve">. </w:t>
      </w:r>
      <w:r w:rsidR="005F15C3">
        <w:t>One minor point worth noting is that r</w:t>
      </w:r>
      <w:r w:rsidRPr="00330584">
        <w:t xml:space="preserve">esidential aged care costs </w:t>
      </w:r>
      <w:r w:rsidR="005F15C3">
        <w:t>have been</w:t>
      </w:r>
      <w:r w:rsidR="005F15C3" w:rsidRPr="00330584">
        <w:t xml:space="preserve"> </w:t>
      </w:r>
      <w:r w:rsidRPr="00330584">
        <w:t xml:space="preserve">removed </w:t>
      </w:r>
      <w:r w:rsidR="005F15C3">
        <w:t xml:space="preserve">from the assumptions </w:t>
      </w:r>
      <w:r w:rsidRPr="00330584">
        <w:t>and then applied as a</w:t>
      </w:r>
      <w:r w:rsidR="005F15C3">
        <w:t>n overall</w:t>
      </w:r>
      <w:r w:rsidRPr="00330584">
        <w:t xml:space="preserve"> loading</w:t>
      </w:r>
      <w:r w:rsidR="005F15C3">
        <w:t xml:space="preserve"> onto projected Daily Activity payments.</w:t>
      </w:r>
      <w:r w:rsidRPr="00330584">
        <w:t xml:space="preserve"> </w:t>
      </w:r>
      <w:r w:rsidR="005F15C3">
        <w:t>T</w:t>
      </w:r>
      <w:r w:rsidRPr="00330584">
        <w:t xml:space="preserve">his distributes </w:t>
      </w:r>
      <w:r w:rsidR="005F15C3">
        <w:t xml:space="preserve">a small proportion of </w:t>
      </w:r>
      <w:r w:rsidRPr="00330584">
        <w:t xml:space="preserve">cost away from participants aged 45+ to younger clients, which may cause some small bias as the </w:t>
      </w:r>
      <w:r w:rsidR="00DB1C29">
        <w:t>S</w:t>
      </w:r>
      <w:r w:rsidRPr="00330584">
        <w:t xml:space="preserve">cheme evolves. </w:t>
      </w:r>
    </w:p>
    <w:p w14:paraId="021BC41A" w14:textId="03F09487" w:rsidR="00D320CF" w:rsidRDefault="00D320CF" w:rsidP="00D320CF">
      <w:pPr>
        <w:pStyle w:val="Bullet1"/>
      </w:pPr>
      <w:r w:rsidRPr="0067580F">
        <w:rPr>
          <w:b/>
          <w:bCs/>
        </w:rPr>
        <w:t>Inflation assumptions</w:t>
      </w:r>
      <w:r>
        <w:t>. Allowance</w:t>
      </w:r>
      <w:r w:rsidR="00330584">
        <w:t>s</w:t>
      </w:r>
      <w:r>
        <w:t xml:space="preserve"> are made for both price inflation and superimposed inflation (increases in average participant costs due to other factors). Price inflation is a mixture of CPI and wage inflation</w:t>
      </w:r>
      <w:r w:rsidR="00A076AE">
        <w:t>.</w:t>
      </w:r>
      <w:r>
        <w:t xml:space="preserve"> </w:t>
      </w:r>
      <w:r w:rsidR="00A076AE">
        <w:t>A</w:t>
      </w:r>
      <w:r>
        <w:t xml:space="preserve"> combined long-term rate of 3.2% </w:t>
      </w:r>
      <w:r w:rsidR="005F15C3">
        <w:t xml:space="preserve">p.a. </w:t>
      </w:r>
      <w:r>
        <w:t xml:space="preserve">represents a reduction </w:t>
      </w:r>
      <w:r w:rsidR="00A6763D">
        <w:t xml:space="preserve">from </w:t>
      </w:r>
      <w:r>
        <w:t xml:space="preserve">the 4% </w:t>
      </w:r>
      <w:r w:rsidR="00A6763D">
        <w:t xml:space="preserve">assumed </w:t>
      </w:r>
      <w:r>
        <w:t xml:space="preserve">in previous AFSRs. Price inflation assumptions are reasonable up to 2024-25, but beyond this we think that there is a non-trivial risk that at some stage over the </w:t>
      </w:r>
      <w:r w:rsidR="00A6763D">
        <w:t xml:space="preserve">subsequent five </w:t>
      </w:r>
      <w:r>
        <w:t xml:space="preserve">years rates </w:t>
      </w:r>
      <w:r w:rsidR="00A6763D">
        <w:t xml:space="preserve">for Daily Activities </w:t>
      </w:r>
      <w:r>
        <w:t>may increase at a faster pace due to the increasing demand for these services.</w:t>
      </w:r>
    </w:p>
    <w:p w14:paraId="7E3EC56D" w14:textId="3C03F835" w:rsidR="00D320CF" w:rsidRDefault="00D320CF" w:rsidP="00D320CF">
      <w:pPr>
        <w:ind w:left="360"/>
      </w:pPr>
      <w:r>
        <w:t xml:space="preserve">The AFSR superimposed inflation assumption considers a range of factors explicitly, with the remainder falling in an ‘other’ component, which is highly material and carries high uncertainty. </w:t>
      </w:r>
      <w:r w:rsidR="0008747D">
        <w:t xml:space="preserve">As shown in </w:t>
      </w:r>
      <w:r w:rsidR="0008747D">
        <w:fldChar w:fldCharType="begin"/>
      </w:r>
      <w:r w:rsidR="0008747D">
        <w:instrText xml:space="preserve"> REF _Ref88212717 \h </w:instrText>
      </w:r>
      <w:r w:rsidR="0008747D">
        <w:fldChar w:fldCharType="separate"/>
      </w:r>
      <w:r w:rsidR="00E6217F">
        <w:t xml:space="preserve">Figure </w:t>
      </w:r>
      <w:r w:rsidR="00E6217F">
        <w:rPr>
          <w:noProof/>
        </w:rPr>
        <w:t>6</w:t>
      </w:r>
      <w:r w:rsidR="0008747D">
        <w:fldChar w:fldCharType="end"/>
      </w:r>
      <w:r w:rsidR="0008747D">
        <w:t xml:space="preserve"> t</w:t>
      </w:r>
      <w:r>
        <w:t xml:space="preserve">his component allows for </w:t>
      </w:r>
      <w:r w:rsidR="00A6763D">
        <w:t xml:space="preserve">a </w:t>
      </w:r>
      <w:r>
        <w:t xml:space="preserve">10% cumulative increase in costs over the next </w:t>
      </w:r>
      <w:r w:rsidR="00A6763D">
        <w:t xml:space="preserve">four </w:t>
      </w:r>
      <w:r>
        <w:t>years above other inflation sources</w:t>
      </w:r>
      <w:r w:rsidR="0008747D">
        <w:t xml:space="preserve"> (light blue line)</w:t>
      </w:r>
      <w:r w:rsidR="00A6763D">
        <w:t>, but with no allowance thereafter</w:t>
      </w:r>
      <w:r>
        <w:t>. Given recent trends (such as the growth in the volume and breadth of participant payments), the assumption is potentially low</w:t>
      </w:r>
      <w:r w:rsidR="005F15C3">
        <w:t>. In our opinion</w:t>
      </w:r>
      <w:r w:rsidR="008674FD">
        <w:t>,</w:t>
      </w:r>
      <w:r>
        <w:t xml:space="preserve"> it would take considerable operational effectiveness to avoid superimposed inflation from 2025 through to 2030. </w:t>
      </w:r>
    </w:p>
    <w:p w14:paraId="3F00682F" w14:textId="4160C6B4" w:rsidR="00D320CF" w:rsidRDefault="00D320CF" w:rsidP="0007482F">
      <w:pPr>
        <w:pStyle w:val="Caption"/>
      </w:pPr>
      <w:bookmarkStart w:id="9" w:name="_Ref88212717"/>
      <w:r>
        <w:t xml:space="preserve">Figure </w:t>
      </w:r>
      <w:r>
        <w:fldChar w:fldCharType="begin"/>
      </w:r>
      <w:r>
        <w:instrText xml:space="preserve"> SEQ Figure \* ARABIC \s 1 </w:instrText>
      </w:r>
      <w:r>
        <w:fldChar w:fldCharType="separate"/>
      </w:r>
      <w:r w:rsidR="00E6217F">
        <w:rPr>
          <w:noProof/>
        </w:rPr>
        <w:t>6</w:t>
      </w:r>
      <w:r>
        <w:fldChar w:fldCharType="end"/>
      </w:r>
      <w:bookmarkEnd w:id="9"/>
      <w:r>
        <w:t xml:space="preserve"> – Cumulative impact of superimposed inflation on total projected payments</w:t>
      </w:r>
      <w:r w:rsidR="00CB46C4">
        <w:t>, 2020-21 AFSR</w:t>
      </w:r>
    </w:p>
    <w:p w14:paraId="4CFA8E9F" w14:textId="582E65E9" w:rsidR="002D17C8" w:rsidRDefault="002D17C8" w:rsidP="00D320CF">
      <w:pPr>
        <w:rPr>
          <w:noProof/>
        </w:rPr>
      </w:pPr>
      <w:r w:rsidRPr="002D17C8">
        <w:rPr>
          <w:noProof/>
        </w:rPr>
        <w:drawing>
          <wp:inline distT="0" distB="0" distL="0" distR="0" wp14:anchorId="07087603" wp14:editId="6A937FFA">
            <wp:extent cx="5613254" cy="2409071"/>
            <wp:effectExtent l="0" t="0" r="6985" b="0"/>
            <wp:docPr id="5" name="Graphic 5" descr="2021-2022.&#10;Utilisation. 0.50%.&#10;Other additional inflation. 3.50%.&#10;Unwind of TTP. -0.10%.&#10;Support Specific. 0.50%.&#10;&#10;&#10;2022-2023.&#10;Utilisation. 1.40%.&#10;Other additional inflation. 7.10%.&#10;Unwind of TTP. -0.30%.&#10;Support Specific. 1.20%.&#10;&#10;&#10;2023-2024.&#10;Utilisation. 2.20%.&#10;Other additional inflation. 9.50%.&#10;Unwind of TTP. -0.50%.&#10;Support Specific. 1.40%.&#10;&#10;&#10;2024-2025.&#10;Utilisation. 2.70%.&#10;Other additional inflation. 10.30%.&#10;Unwind of TTP. -0.70%.&#10;Support Specific. 1.40%.&#10;&#10;&#10;2025-2026.&#10;Utilisation. 3.00%.&#10;Other additional inflation. 10.30%.&#10;Unwind of TTP. -0.80%.&#10;Support Specific. 1.50%.&#10;&#10;&#10;2026-2027.&#10;Utilisation. 3.0%.&#10;Other additional inflation. 10.3%.&#10;Unwind of TTP. -0.8%.&#10;Support Specific. 1.5%.&#10;&#10;&#10;2027-2028.&#10;Utilisation. 3.10%.&#10;Other additional inflation. 10.30%.&#10;Unwind of TTP. -0.80%.&#10;Support Specific. 1.50%.&#10;&#10;&#10;2028-2029.&#10;Utilisation. 3.10%.&#10;Other additional inflation. 10.30%.&#10;Unwind of TTP. -0.80%.&#10;Support Specific. 1.50%.&#10;&#10;&#10;2029-2030.&#10;Utilisation. 3.10%.&#10;Other additional inflation. 10.30%.&#10;Unwind of TTP. -0.80%.&#10;Support Specif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2021-2022.&#10;Utilisation. 0.50%.&#10;Other additional inflation. 3.50%.&#10;Unwind of TTP. -0.10%.&#10;Support Specific. 0.50%.&#10;&#10;&#10;2022-2023.&#10;Utilisation. 1.40%.&#10;Other additional inflation. 7.10%.&#10;Unwind of TTP. -0.30%.&#10;Support Specific. 1.20%.&#10;&#10;&#10;2023-2024.&#10;Utilisation. 2.20%.&#10;Other additional inflation. 9.50%.&#10;Unwind of TTP. -0.50%.&#10;Support Specific. 1.40%.&#10;&#10;&#10;2024-2025.&#10;Utilisation. 2.70%.&#10;Other additional inflation. 10.30%.&#10;Unwind of TTP. -0.70%.&#10;Support Specific. 1.40%.&#10;&#10;&#10;2025-2026.&#10;Utilisation. 3.00%.&#10;Other additional inflation. 10.30%.&#10;Unwind of TTP. -0.80%.&#10;Support Specific. 1.50%.&#10;&#10;&#10;2026-2027.&#10;Utilisation. 3.0%.&#10;Other additional inflation. 10.3%.&#10;Unwind of TTP. -0.8%.&#10;Support Specific. 1.5%.&#10;&#10;&#10;2027-2028.&#10;Utilisation. 3.10%.&#10;Other additional inflation. 10.30%.&#10;Unwind of TTP. -0.80%.&#10;Support Specific. 1.50%.&#10;&#10;&#10;2028-2029.&#10;Utilisation. 3.10%.&#10;Other additional inflation. 10.30%.&#10;Unwind of TTP. -0.80%.&#10;Support Specific. 1.50%.&#10;&#10;&#10;2029-2030.&#10;Utilisation. 3.10%.&#10;Other additional inflation. 10.30%.&#10;Unwind of TTP. -0.80%.&#10;Support Specific. 1.60%."/>
                    <pic:cNvPicPr/>
                  </pic:nvPicPr>
                  <pic:blipFill>
                    <a:blip r:embed="rId27">
                      <a:extLst>
                        <a:ext uri="{96DAC541-7B7A-43D3-8B79-37D633B846F1}">
                          <asvg:svgBlip xmlns:asvg="http://schemas.microsoft.com/office/drawing/2016/SVG/main" r:embed="rId28"/>
                        </a:ext>
                      </a:extLst>
                    </a:blip>
                    <a:stretch>
                      <a:fillRect/>
                    </a:stretch>
                  </pic:blipFill>
                  <pic:spPr>
                    <a:xfrm>
                      <a:off x="0" y="0"/>
                      <a:ext cx="5620901" cy="2412353"/>
                    </a:xfrm>
                    <a:prstGeom prst="rect">
                      <a:avLst/>
                    </a:prstGeom>
                  </pic:spPr>
                </pic:pic>
              </a:graphicData>
            </a:graphic>
          </wp:inline>
        </w:drawing>
      </w:r>
    </w:p>
    <w:p w14:paraId="6C951AE8" w14:textId="77777777" w:rsidR="002D17C8" w:rsidRDefault="002D17C8" w:rsidP="00D320CF">
      <w:pPr>
        <w:rPr>
          <w:noProof/>
        </w:rPr>
      </w:pPr>
    </w:p>
    <w:p w14:paraId="45601720" w14:textId="202AD58D" w:rsidR="00A6763D" w:rsidRDefault="00A6763D">
      <w:pPr>
        <w:spacing w:before="0" w:after="160" w:line="259" w:lineRule="auto"/>
        <w:rPr>
          <w:rFonts w:asciiTheme="majorHAnsi" w:eastAsiaTheme="majorEastAsia" w:hAnsiTheme="majorHAnsi" w:cstheme="majorBidi"/>
          <w:color w:val="FFFFFF" w:themeColor="background1"/>
        </w:rPr>
      </w:pPr>
    </w:p>
    <w:p w14:paraId="4D504BAA" w14:textId="4D027B90" w:rsidR="001B7A59" w:rsidRDefault="001B7A59">
      <w:pPr>
        <w:spacing w:before="0" w:after="160" w:line="259" w:lineRule="auto"/>
        <w:rPr>
          <w:rFonts w:asciiTheme="majorHAnsi" w:eastAsiaTheme="majorEastAsia" w:hAnsiTheme="majorHAnsi" w:cstheme="majorBidi"/>
          <w:color w:val="FFFFFF" w:themeColor="background1"/>
        </w:rPr>
      </w:pPr>
      <w:r>
        <w:br w:type="page"/>
      </w:r>
    </w:p>
    <w:p w14:paraId="0DA9A01B" w14:textId="0771EFF7" w:rsidR="00D320CF" w:rsidRDefault="001B7A59" w:rsidP="00CA511A">
      <w:pPr>
        <w:pStyle w:val="NNheading2Exec"/>
      </w:pPr>
      <w:r w:rsidRPr="00C92373">
        <w:rPr>
          <w:noProof/>
        </w:rPr>
        <mc:AlternateContent>
          <mc:Choice Requires="wps">
            <w:drawing>
              <wp:anchor distT="0" distB="0" distL="114300" distR="114300" simplePos="0" relativeHeight="251707392" behindDoc="1" locked="0" layoutInCell="1" allowOverlap="1" wp14:anchorId="757FC4DB" wp14:editId="2C688BB2">
                <wp:simplePos x="0" y="0"/>
                <wp:positionH relativeFrom="page">
                  <wp:posOffset>0</wp:posOffset>
                </wp:positionH>
                <wp:positionV relativeFrom="paragraph">
                  <wp:posOffset>-38535</wp:posOffset>
                </wp:positionV>
                <wp:extent cx="6898005" cy="255905"/>
                <wp:effectExtent l="0" t="0" r="0" b="0"/>
                <wp:wrapNone/>
                <wp:docPr id="123" name="Rectangle 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005" cy="25590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C88B2" id="Rectangle 123" o:spid="_x0000_s1026" alt="&quot;&quot;" style="position:absolute;margin-left:0;margin-top:-3.05pt;width:543.15pt;height:20.1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" fillcolor="#005295 [2404]" stroked="f" strokeweight="1pt">
                <w10:wrap anchorx="page"/>
              </v:rect>
            </w:pict>
          </mc:Fallback>
        </mc:AlternateContent>
      </w:r>
      <w:r w:rsidR="00D320CF">
        <w:t xml:space="preserve">Quantification of changes to </w:t>
      </w:r>
      <w:r w:rsidR="007A5D84">
        <w:t>Scheme</w:t>
      </w:r>
      <w:r w:rsidR="00D320CF">
        <w:t xml:space="preserve"> forecasts of costs </w:t>
      </w:r>
    </w:p>
    <w:p w14:paraId="3F6FD4CB" w14:textId="69660DCA" w:rsidR="00D320CF" w:rsidRDefault="00D320CF" w:rsidP="00D320CF">
      <w:r>
        <w:t xml:space="preserve">We explore the drivers of change over time in </w:t>
      </w:r>
      <w:r w:rsidR="007A5D84">
        <w:t>Scheme</w:t>
      </w:r>
      <w:r>
        <w:t xml:space="preserve"> forecasts. One way of doing this is by directly comparing 2020-21 AFSR forecasts with prior AFSRs, as well as other forecasts such as the 2017 Productivity Commission (PC) estimates. </w:t>
      </w:r>
      <w:r w:rsidR="0008747D">
        <w:fldChar w:fldCharType="begin"/>
      </w:r>
      <w:r w:rsidR="0008747D">
        <w:instrText xml:space="preserve"> REF _Ref88212822 \h </w:instrText>
      </w:r>
      <w:r w:rsidR="0008747D">
        <w:fldChar w:fldCharType="separate"/>
      </w:r>
      <w:r w:rsidR="00E6217F">
        <w:t xml:space="preserve">Figure </w:t>
      </w:r>
      <w:r w:rsidR="00E6217F">
        <w:rPr>
          <w:noProof/>
        </w:rPr>
        <w:t>7</w:t>
      </w:r>
      <w:r w:rsidR="0008747D">
        <w:fldChar w:fldCharType="end"/>
      </w:r>
      <w:r>
        <w:t xml:space="preserve"> shows various </w:t>
      </w:r>
      <w:r w:rsidR="007A5D84">
        <w:t>Scheme</w:t>
      </w:r>
      <w:r>
        <w:t xml:space="preserve"> forecasts, with 2024-25 and </w:t>
      </w:r>
      <w:r w:rsidRPr="000F695F">
        <w:t>20</w:t>
      </w:r>
      <w:r w:rsidRPr="002A687C">
        <w:t>29</w:t>
      </w:r>
      <w:r w:rsidRPr="000F695F">
        <w:t>-30</w:t>
      </w:r>
      <w:r>
        <w:t xml:space="preserve"> estimates highlighted. </w:t>
      </w:r>
      <w:r w:rsidR="00935520">
        <w:t>The analysis is performed based on projected cash payments rather than the accrued cost which is approximately 1.37% higher.</w:t>
      </w:r>
    </w:p>
    <w:p w14:paraId="7278D97F" w14:textId="486647D6" w:rsidR="00D320CF" w:rsidRDefault="00D320CF" w:rsidP="00A70124">
      <w:pPr>
        <w:pStyle w:val="Caption"/>
        <w:spacing w:after="0"/>
      </w:pPr>
      <w:bookmarkStart w:id="10" w:name="_Ref88212822"/>
      <w:r>
        <w:t xml:space="preserve">Figure </w:t>
      </w:r>
      <w:r>
        <w:fldChar w:fldCharType="begin"/>
      </w:r>
      <w:r>
        <w:instrText xml:space="preserve"> SEQ Figure \* ARABIC \s 1 </w:instrText>
      </w:r>
      <w:r>
        <w:fldChar w:fldCharType="separate"/>
      </w:r>
      <w:r w:rsidR="00E6217F">
        <w:rPr>
          <w:noProof/>
        </w:rPr>
        <w:t>7</w:t>
      </w:r>
      <w:r>
        <w:fldChar w:fldCharType="end"/>
      </w:r>
      <w:bookmarkEnd w:id="10"/>
      <w:r>
        <w:t xml:space="preserve"> – Change in projected payments from different forecast models</w:t>
      </w:r>
    </w:p>
    <w:p w14:paraId="659A948B" w14:textId="4E289366" w:rsidR="00A70124" w:rsidRDefault="00A70124" w:rsidP="00A6763D">
      <w:pPr>
        <w:spacing w:before="0"/>
      </w:pPr>
      <w:r w:rsidRPr="00A70124">
        <w:rPr>
          <w:noProof/>
        </w:rPr>
        <w:drawing>
          <wp:inline distT="0" distB="0" distL="0" distR="0" wp14:anchorId="05ABA04D" wp14:editId="2DDF7C92">
            <wp:extent cx="5493600" cy="3293617"/>
            <wp:effectExtent l="0" t="0" r="0" b="2540"/>
            <wp:docPr id="25" name="Graphic 25" descr="2017-2018.&#10;Actual Payments. Total payments. 5.4.&#10;2017 PC review. 7.7.&#10;2017 + Unanticipated costs. 7.7.&#10;June 2019 AFSR. -.&#10;June 2020 AFSR. -.&#10;June 2021 AFSR. -.&#10;&#10;&#10;2018-2019.&#10;Actual Payments. 10.5.&#10;2017 PC review. 14.7.&#10;2017 + Unanticipated costs. 14.7.&#10;June 2019 AFSR. -.&#10;June 2020 AFSR. -.&#10;June 2021 AFSR. -.&#10;&#10;&#10;2019-2020.&#10;Actual Payments. 17.6.&#10;2017 PC review. 20.8.&#10;2017 + Unanticipated costs. 21.9.&#10;June 2019 AFSR. 16.3.&#10;June 2020 AFSR. -.&#10;June 2021 AFSR. -.&#10;&#10;&#10;2020-2021.&#10;Actual Payments. 23.3.&#10;2017 PC review. 22.2.&#10;2017 + Unanticipated costs. 23.8.&#10;June 2019 AFSR. 20.6.&#10;June 2020 AFSR. 22.&#10;June 2021 AFSR. -.&#10;&#10;&#10;2021-2022.&#10;Actual Payments. -.&#10;2017 PC review. 23.7.&#10;2017 + Unanticipated costs. 25.5.&#10;June 2019 AFSR. 23.9.&#10;June 2020 AFSR. 25.7.&#10;June 2021 AFSR. 28.8.&#10;&#10;&#10;2022-2023.&#10;Actual Payments. -.&#10;2017 PC review. 25.2.&#10;2017 + Unanticipated costs. 27.2.&#10;June 2019 AFSR. 26.6.&#10;June 2020 AFSR. 28.5.&#10;June 2021 AFSR. 33.4.&#10;&#10;&#10;2023-2024.&#10;Actual Payments. -.&#10;2017 PC review. 26.8.&#10;2017 + Unanticipated costs. 29.&#10;June 2019 AFSR. 28.8.&#10;June 2020 AFSR. 31.2.&#10;June 2021 AFSR. 37.5.&#10;&#10;&#10;2024-2025.&#10;Actual Payments. -.&#10;2017 PC review. 28.5.&#10;2017 + Unanticipated costs. 30.8.&#10;June 2019 AFSR. 30.8.&#10;June 2020 AFSR. 34.1.&#10;June 2021 AFSR. 40.8.&#10;&#10;&#10;2025-2026-.&#10;Actual Payments. -.&#10;2017 PC review. 30.6.&#10;2017 + Unanticipated costs. 33.1.&#10;June 2019 AFSR. 33.1.&#10;June 2020 AFSR. 37.2.&#10;June 2021 AFSR. 44.&#10;&#10;&#10;2026-2027.&#10;Actual Payments. -.&#10;2017 PC review. 32.9.&#10;2017 + Unanticipated costs. 35.5.&#10;June 2019 AFSR. 35.5.&#10;June 2020 AFSR. 40.4.&#10;June 2021 AFSR. 47.3.&#10;&#10;&#10;2027-2028.&#10;Actual Payments. -.&#10;2017 PC review. 35.3.&#10;2017 + Unanticipated costs. 38.1.&#10;June 2019 AFSR. 38.1.&#10;June 2020 AFSR. 43.8.&#10;June 2021 AFSR. 50.8.&#10;&#10;&#10;2028-2029.&#10;Actual Payments. -.&#10;2017 PC review. 37.8.&#10;2017 + Unanticipated costs. 40.9.&#10;June 2019 AFSR. 40.9.&#10;June 2020 AFSR. 47.4.&#10;June 2021 AFSR. 54.5.&#10;&#10;&#10;2029-2030.&#10;Actual Payments. -.&#10;2017 PC review. 40.4.&#10;2017 + Unanticipated costs. 43.7.&#10;June 2019 AFSR. 43.7.&#10;June 2020 AFSR. 51.3.&#10;June 2021 AFSR.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descr="2017-2018.&#10;Actual Payments. Total payments. 5.4.&#10;2017 PC review. 7.7.&#10;2017 + Unanticipated costs. 7.7.&#10;June 2019 AFSR. -.&#10;June 2020 AFSR. -.&#10;June 2021 AFSR. -.&#10;&#10;&#10;2018-2019.&#10;Actual Payments. 10.5.&#10;2017 PC review. 14.7.&#10;2017 + Unanticipated costs. 14.7.&#10;June 2019 AFSR. -.&#10;June 2020 AFSR. -.&#10;June 2021 AFSR. -.&#10;&#10;&#10;2019-2020.&#10;Actual Payments. 17.6.&#10;2017 PC review. 20.8.&#10;2017 + Unanticipated costs. 21.9.&#10;June 2019 AFSR. 16.3.&#10;June 2020 AFSR. -.&#10;June 2021 AFSR. -.&#10;&#10;&#10;2020-2021.&#10;Actual Payments. 23.3.&#10;2017 PC review. 22.2.&#10;2017 + Unanticipated costs. 23.8.&#10;June 2019 AFSR. 20.6.&#10;June 2020 AFSR. 22.&#10;June 2021 AFSR. -.&#10;&#10;&#10;2021-2022.&#10;Actual Payments. -.&#10;2017 PC review. 23.7.&#10;2017 + Unanticipated costs. 25.5.&#10;June 2019 AFSR. 23.9.&#10;June 2020 AFSR. 25.7.&#10;June 2021 AFSR. 28.8.&#10;&#10;&#10;2022-2023.&#10;Actual Payments. -.&#10;2017 PC review. 25.2.&#10;2017 + Unanticipated costs. 27.2.&#10;June 2019 AFSR. 26.6.&#10;June 2020 AFSR. 28.5.&#10;June 2021 AFSR. 33.4.&#10;&#10;&#10;2023-2024.&#10;Actual Payments. -.&#10;2017 PC review. 26.8.&#10;2017 + Unanticipated costs. 29.&#10;June 2019 AFSR. 28.8.&#10;June 2020 AFSR. 31.2.&#10;June 2021 AFSR. 37.5.&#10;&#10;&#10;2024-2025.&#10;Actual Payments. -.&#10;2017 PC review. 28.5.&#10;2017 + Unanticipated costs. 30.8.&#10;June 2019 AFSR. 30.8.&#10;June 2020 AFSR. 34.1.&#10;June 2021 AFSR. 40.8.&#10;&#10;&#10;2025-2026-.&#10;Actual Payments. -.&#10;2017 PC review. 30.6.&#10;2017 + Unanticipated costs. 33.1.&#10;June 2019 AFSR. 33.1.&#10;June 2020 AFSR. 37.2.&#10;June 2021 AFSR. 44.&#10;&#10;&#10;2026-2027.&#10;Actual Payments. -.&#10;2017 PC review. 32.9.&#10;2017 + Unanticipated costs. 35.5.&#10;June 2019 AFSR. 35.5.&#10;June 2020 AFSR. 40.4.&#10;June 2021 AFSR. 47.3.&#10;&#10;&#10;2027-2028.&#10;Actual Payments. -.&#10;2017 PC review. 35.3.&#10;2017 + Unanticipated costs. 38.1.&#10;June 2019 AFSR. 38.1.&#10;June 2020 AFSR. 43.8.&#10;June 2021 AFSR. 50.8.&#10;&#10;&#10;2028-2029.&#10;Actual Payments. -.&#10;2017 PC review. 37.8.&#10;2017 + Unanticipated costs. 40.9.&#10;June 2019 AFSR. 40.9.&#10;June 2020 AFSR. 47.4.&#10;June 2021 AFSR. 54.5.&#10;&#10;&#10;2029-2030.&#10;Actual Payments. -.&#10;2017 PC review. 40.4.&#10;2017 + Unanticipated costs. 43.7.&#10;June 2019 AFSR. 43.7.&#10;June 2020 AFSR. 51.3.&#10;June 2021 AFSR. 58.5."/>
                    <pic:cNvPicPr/>
                  </pic:nvPicPr>
                  <pic:blipFill>
                    <a:blip r:embed="rId29">
                      <a:extLst>
                        <a:ext uri="{96DAC541-7B7A-43D3-8B79-37D633B846F1}">
                          <asvg:svgBlip xmlns:asvg="http://schemas.microsoft.com/office/drawing/2016/SVG/main" r:embed="rId30"/>
                        </a:ext>
                      </a:extLst>
                    </a:blip>
                    <a:stretch>
                      <a:fillRect/>
                    </a:stretch>
                  </pic:blipFill>
                  <pic:spPr>
                    <a:xfrm>
                      <a:off x="0" y="0"/>
                      <a:ext cx="5493600" cy="3293617"/>
                    </a:xfrm>
                    <a:prstGeom prst="rect">
                      <a:avLst/>
                    </a:prstGeom>
                  </pic:spPr>
                </pic:pic>
              </a:graphicData>
            </a:graphic>
          </wp:inline>
        </w:drawing>
      </w:r>
    </w:p>
    <w:p w14:paraId="332A30A3" w14:textId="6CC79683" w:rsidR="00D320CF" w:rsidRDefault="00D320CF" w:rsidP="00D320CF">
      <w:pPr>
        <w:spacing w:before="0" w:after="160" w:line="259" w:lineRule="auto"/>
      </w:pPr>
      <w:r>
        <w:t>After allow</w:t>
      </w:r>
      <w:r w:rsidR="00A6763D">
        <w:t>ing</w:t>
      </w:r>
      <w:r>
        <w:t xml:space="preserve"> for some unanticipated items (such as the </w:t>
      </w:r>
      <w:r w:rsidRPr="00C9224D">
        <w:t>National Injury Insurance Scheme</w:t>
      </w:r>
      <w:r>
        <w:t xml:space="preserve"> not being operational and the inclusion of school transport costs), the 2017 PC and 2018-19 AFSR align closely. This is despite the two </w:t>
      </w:r>
      <w:r w:rsidR="00140EFA">
        <w:t xml:space="preserve">sets of projections </w:t>
      </w:r>
      <w:r>
        <w:t>having very different assumption bases</w:t>
      </w:r>
      <w:r w:rsidR="00140EFA">
        <w:t xml:space="preserve"> with</w:t>
      </w:r>
      <w:r>
        <w:t xml:space="preserve"> the PC estimates based on pre-</w:t>
      </w:r>
      <w:r w:rsidR="007A5D84">
        <w:t>Scheme</w:t>
      </w:r>
      <w:r>
        <w:t xml:space="preserve"> estimates. For payments in 2024-25, the 2019-20 AFSR estimate is $3B higher than the 2018-19 estimate and in </w:t>
      </w:r>
      <w:r w:rsidRPr="009837B0">
        <w:t>20</w:t>
      </w:r>
      <w:r w:rsidRPr="002A687C">
        <w:t>29</w:t>
      </w:r>
      <w:r w:rsidRPr="009837B0">
        <w:t>-30</w:t>
      </w:r>
      <w:r>
        <w:t xml:space="preserve"> it is midway between the 2018-19 and 2020-21 AFSR forecasts. </w:t>
      </w:r>
    </w:p>
    <w:p w14:paraId="7498B0AF" w14:textId="0B2D4653" w:rsidR="00D320CF" w:rsidRDefault="00D320CF" w:rsidP="00D320CF">
      <w:pPr>
        <w:spacing w:before="0" w:after="160" w:line="259" w:lineRule="auto"/>
      </w:pPr>
      <w:r>
        <w:t xml:space="preserve">Although there were more participants projected in the 2019-20 AFSR relative to the 2018-19 </w:t>
      </w:r>
      <w:r w:rsidR="00140EFA">
        <w:t>projection</w:t>
      </w:r>
      <w:r>
        <w:t>, the mix of participants w</w:t>
      </w:r>
      <w:r w:rsidR="00140EFA">
        <w:t>as</w:t>
      </w:r>
      <w:r>
        <w:t xml:space="preserve"> heavily weighted to less severe disabilities. This meant that after allowing for the new mix of participants</w:t>
      </w:r>
      <w:r w:rsidR="008021DB">
        <w:t>,</w:t>
      </w:r>
      <w:r>
        <w:t xml:space="preserve"> almost all of the increase from 201</w:t>
      </w:r>
      <w:r w:rsidR="00140EFA">
        <w:t>8-1</w:t>
      </w:r>
      <w:r>
        <w:t>9 to 20</w:t>
      </w:r>
      <w:r w:rsidR="00140EFA">
        <w:t>19-</w:t>
      </w:r>
      <w:r>
        <w:t xml:space="preserve">20 related to higher </w:t>
      </w:r>
      <w:r w:rsidR="00140EFA">
        <w:t xml:space="preserve">assumed </w:t>
      </w:r>
      <w:r>
        <w:t xml:space="preserve">costs per participant. </w:t>
      </w:r>
    </w:p>
    <w:p w14:paraId="20BF10C1" w14:textId="22E17AE0" w:rsidR="00D320CF" w:rsidRDefault="00D320CF" w:rsidP="00D320CF">
      <w:pPr>
        <w:spacing w:before="0" w:after="160" w:line="259" w:lineRule="auto"/>
      </w:pPr>
      <w:r>
        <w:t>Given the increase</w:t>
      </w:r>
      <w:r w:rsidR="00140EFA">
        <w:t xml:space="preserve"> in projected </w:t>
      </w:r>
      <w:r>
        <w:t>cost</w:t>
      </w:r>
      <w:r w:rsidR="00140EFA">
        <w:t>s</w:t>
      </w:r>
      <w:r>
        <w:t xml:space="preserve"> is entirely captured by the gap between 2018-19 and 2020-21 AFSR estimates, we have focused most of our attention on the difference between these two </w:t>
      </w:r>
      <w:r w:rsidR="00140EFA">
        <w:t>projections</w:t>
      </w:r>
      <w:r>
        <w:t xml:space="preserve">. These </w:t>
      </w:r>
      <w:r w:rsidR="00140EFA">
        <w:t xml:space="preserve">projections </w:t>
      </w:r>
      <w:r>
        <w:t xml:space="preserve">also have comparable model structures so can be compared directly. The reasons for the changes between the 2018-19 and 2020-21 AFSR estimates are shown in </w:t>
      </w:r>
      <w:r>
        <w:fldChar w:fldCharType="begin"/>
      </w:r>
      <w:r>
        <w:instrText xml:space="preserve"> REF _Ref84230418 \h </w:instrText>
      </w:r>
      <w:r>
        <w:fldChar w:fldCharType="separate"/>
      </w:r>
      <w:r w:rsidR="00E6217F">
        <w:t xml:space="preserve">Figure </w:t>
      </w:r>
      <w:r w:rsidR="00E6217F">
        <w:rPr>
          <w:noProof/>
        </w:rPr>
        <w:t>8</w:t>
      </w:r>
      <w:r>
        <w:fldChar w:fldCharType="end"/>
      </w:r>
      <w:r>
        <w:t xml:space="preserve"> and a reconciliation of the expected changes </w:t>
      </w:r>
      <w:r w:rsidR="00140EFA">
        <w:t xml:space="preserve">for </w:t>
      </w:r>
      <w:r>
        <w:t xml:space="preserve">2024-25 and </w:t>
      </w:r>
      <w:r w:rsidRPr="009837B0">
        <w:t>20</w:t>
      </w:r>
      <w:r w:rsidRPr="002A687C">
        <w:t>29</w:t>
      </w:r>
      <w:r w:rsidRPr="009837B0">
        <w:t>-30</w:t>
      </w:r>
      <w:r>
        <w:t xml:space="preserve"> payments is given in Table 1.</w:t>
      </w:r>
    </w:p>
    <w:p w14:paraId="5C61FD82" w14:textId="455E3AA1" w:rsidR="00D320CF" w:rsidRDefault="00D320CF" w:rsidP="0093011A">
      <w:pPr>
        <w:pStyle w:val="Caption"/>
        <w:spacing w:before="0" w:after="60"/>
      </w:pPr>
      <w:bookmarkStart w:id="11" w:name="_Ref84230418"/>
      <w:r>
        <w:t xml:space="preserve">Figure </w:t>
      </w:r>
      <w:r>
        <w:rPr>
          <w:iCs w:val="0"/>
        </w:rPr>
        <w:fldChar w:fldCharType="begin"/>
      </w:r>
      <w:r>
        <w:instrText xml:space="preserve"> SEQ Figure \* ARABIC \s 1 </w:instrText>
      </w:r>
      <w:r>
        <w:rPr>
          <w:iCs w:val="0"/>
        </w:rPr>
        <w:fldChar w:fldCharType="separate"/>
      </w:r>
      <w:r w:rsidR="00E6217F">
        <w:rPr>
          <w:noProof/>
        </w:rPr>
        <w:t>8</w:t>
      </w:r>
      <w:r>
        <w:rPr>
          <w:iCs w:val="0"/>
        </w:rPr>
        <w:fldChar w:fldCharType="end"/>
      </w:r>
      <w:bookmarkEnd w:id="11"/>
      <w:r>
        <w:t xml:space="preserve"> – Change in projected payments from 2018-19 to 2020-21 AFSR estimates</w:t>
      </w:r>
    </w:p>
    <w:p w14:paraId="303C452F" w14:textId="37D83CB7" w:rsidR="0093011A" w:rsidRDefault="0093011A" w:rsidP="00D320CF">
      <w:pPr>
        <w:spacing w:before="0" w:after="0"/>
      </w:pPr>
      <w:r>
        <w:rPr>
          <w:noProof/>
        </w:rPr>
        <w:drawing>
          <wp:inline distT="0" distB="0" distL="0" distR="0" wp14:anchorId="7D9DF71E" wp14:editId="2C42988C">
            <wp:extent cx="5976620" cy="3103245"/>
            <wp:effectExtent l="0" t="0" r="5080" b="1905"/>
            <wp:docPr id="149" name="Graphic 149" descr="2017-2018.&#10;Actual Payments. Total payments. 5.4.&#10;June 2019 AFSR. -.&#10;Cost Escalation. -.&#10;Revised average package costs. -.&#10;Revised participant numbers. -.&#10;Revised SIL proportions. -.&#10;&#10;&#10;2018-2019.&#10;Actual Payments. 10.5.&#10;June 2019 AFSR. -.&#10;Cost Escalation. -.&#10;Revised average package costs. -.&#10;Revised participant numbers. -.&#10;Revised SIL proportions. -.&#10;&#10;&#10;&#10;2019-2020.&#10;Actual Payments. 17.6.&#10;June 2019 AFSR. 16.3.&#10;Cost Escalation. -.&#10;Revised average package costs. -.&#10;Revised participant numbers. -.&#10;Revised SIL proportions. -.&#10;&#10;&#10;2020-2021.&#10;Actual Payments. 23.3.&#10;June 2019 AFSR. 20.6.&#10;Cost Escalation. -.&#10;Revised average package costs. -.&#10;Revised participant numbers. -.&#10;Revised SIL proportions. -.&#10;&#10;&#10;2021-2022.&#10;Actual Payments. -.&#10;June 2019 AFSR. 23.9.&#10;Cost Escalation. 1.9.&#10;Revised average package costs. 3.2.&#10;Revised participant numbers. -0.2.&#10;Revised SIL proportions. 0.8.&#10;&#10;&#10;&#10;2022-2023.&#10;Actual Payments. -.&#10;June 2019 AFSR. 26.6.&#10;Cost Escalation. 3.5.&#10;Revised average package costs. 3.2.&#10;Revised participant numbers. 0.&#10;Revised SIL proportions. 1.&#10;&#10;&#10;2023-2024.&#10;Actual Payments. -.&#10;June 2019 AFSR. 28.8.&#10;Cost Escalation. 4.8.&#10;Revised average package costs. 3.3.&#10;Revised participant numbers. 0.6.&#10;Revised SIL proportions. 1.3.&#10;&#10;&#10;2024-2025.&#10;Actual Payments. -.&#10;June 2019 AFSR. 30.8.&#10;Cost Escalation. 5.5.&#10;Revised average package costs. 3.4.&#10;Revised participant numbers. 1.1.&#10;Revised SIL proportions. 1.6.&#10;&#10;2025-2026-.&#10;Actual Payments. -.&#10;June 2019 AFSR. 33.1.&#10;Cost Escalation. 5.7.&#10;Revised average package costs. 3.6.&#10;Revised participant numbers. 1.6.&#10;Revised SIL proportions. 1.9.&#10;&#10;2026-2027.&#10;Actual Payments. -.&#10;June 2019 AFSR. 35.5.&#10;Cost Escalation. 5.8.&#10;Revised average package costs. 3.8.&#10;Revised participant numbers. 2.1.&#10;Revised SIL proportions. 2.2.&#10;&#10;2027-2028.&#10;Actual Payments. -.&#10;June 2019 AFSR. 38.1.&#10;Cost Escalation. 5.9.&#10;Revised average package costs. 4.&#10;Revised participant numbers. 2.7.&#10;Revised SIL proportions. 2.7.&#10;&#10;&#10;2028-2029.&#10;Actual Payments. -.&#10;June 2019 AFSR. 40.9.&#10;Cost Escalation. 6.&#10;Revised average package costs. 4.3.&#10;Revised participant numbers. 3.3.&#10;Revised SIL proportions. 3.1.&#10;&#10;&#10;2029-2030.&#10;Actual Payments. -.&#10;June 2019 AFSR. 43.7.&#10;Cost Escalation. 6.1.&#10;Revised average package costs. 4.5.&#10;Revised participant numbers. 4.1.&#10;Revised SIL proportion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raphic 149" descr="2017-2018.&#10;Actual Payments. Total payments. 5.4.&#10;June 2019 AFSR. -.&#10;Cost Escalation. -.&#10;Revised average package costs. -.&#10;Revised participant numbers. -.&#10;Revised SIL proportions. -.&#10;&#10;&#10;2018-2019.&#10;Actual Payments. 10.5.&#10;June 2019 AFSR. -.&#10;Cost Escalation. -.&#10;Revised average package costs. -.&#10;Revised participant numbers. -.&#10;Revised SIL proportions. -.&#10;&#10;&#10;&#10;2019-2020.&#10;Actual Payments. 17.6.&#10;June 2019 AFSR. 16.3.&#10;Cost Escalation. -.&#10;Revised average package costs. -.&#10;Revised participant numbers. -.&#10;Revised SIL proportions. -.&#10;&#10;&#10;2020-2021.&#10;Actual Payments. 23.3.&#10;June 2019 AFSR. 20.6.&#10;Cost Escalation. -.&#10;Revised average package costs. -.&#10;Revised participant numbers. -.&#10;Revised SIL proportions. -.&#10;&#10;&#10;2021-2022.&#10;Actual Payments. -.&#10;June 2019 AFSR. 23.9.&#10;Cost Escalation. 1.9.&#10;Revised average package costs. 3.2.&#10;Revised participant numbers. -0.2.&#10;Revised SIL proportions. 0.8.&#10;&#10;&#10;&#10;2022-2023.&#10;Actual Payments. -.&#10;June 2019 AFSR. 26.6.&#10;Cost Escalation. 3.5.&#10;Revised average package costs. 3.2.&#10;Revised participant numbers. 0.&#10;Revised SIL proportions. 1.&#10;&#10;&#10;2023-2024.&#10;Actual Payments. -.&#10;June 2019 AFSR. 28.8.&#10;Cost Escalation. 4.8.&#10;Revised average package costs. 3.3.&#10;Revised participant numbers. 0.6.&#10;Revised SIL proportions. 1.3.&#10;&#10;&#10;2024-2025.&#10;Actual Payments. -.&#10;June 2019 AFSR. 30.8.&#10;Cost Escalation. 5.5.&#10;Revised average package costs. 3.4.&#10;Revised participant numbers. 1.1.&#10;Revised SIL proportions. 1.6.&#10;&#10;2025-2026-.&#10;Actual Payments. -.&#10;June 2019 AFSR. 33.1.&#10;Cost Escalation. 5.7.&#10;Revised average package costs. 3.6.&#10;Revised participant numbers. 1.6.&#10;Revised SIL proportions. 1.9.&#10;&#10;2026-2027.&#10;Actual Payments. -.&#10;June 2019 AFSR. 35.5.&#10;Cost Escalation. 5.8.&#10;Revised average package costs. 3.8.&#10;Revised participant numbers. 2.1.&#10;Revised SIL proportions. 2.2.&#10;&#10;2027-2028.&#10;Actual Payments. -.&#10;June 2019 AFSR. 38.1.&#10;Cost Escalation. 5.9.&#10;Revised average package costs. 4.&#10;Revised participant numbers. 2.7.&#10;Revised SIL proportions. 2.7.&#10;&#10;&#10;2028-2029.&#10;Actual Payments. -.&#10;June 2019 AFSR. 40.9.&#10;Cost Escalation. 6.&#10;Revised average package costs. 4.3.&#10;Revised participant numbers. 3.3.&#10;Revised SIL proportions. 3.1.&#10;&#10;&#10;2029-2030.&#10;Actual Payments. -.&#10;June 2019 AFSR. 43.7.&#10;Cost Escalation. 6.1.&#10;Revised average package costs. 4.5.&#10;Revised participant numbers. 4.1.&#10;Revised SIL proportions. 3.5."/>
                    <pic:cNvPicPr/>
                  </pic:nvPicPr>
                  <pic:blipFill>
                    <a:blip r:embed="rId31" cstate="print">
                      <a:extLst>
                        <a:ext uri="{28A0092B-C50C-407E-A947-70E740481C1C}">
                          <a14:useLocalDpi xmlns:a14="http://schemas.microsoft.com/office/drawing/2010/main"/>
                        </a:ext>
                        <a:ext uri="{96DAC541-7B7A-43D3-8B79-37D633B846F1}">
                          <asvg:svgBlip xmlns:asvg="http://schemas.microsoft.com/office/drawing/2016/SVG/main" r:embed="rId32"/>
                        </a:ext>
                      </a:extLst>
                    </a:blip>
                    <a:stretch>
                      <a:fillRect/>
                    </a:stretch>
                  </pic:blipFill>
                  <pic:spPr>
                    <a:xfrm>
                      <a:off x="0" y="0"/>
                      <a:ext cx="5976620" cy="3103245"/>
                    </a:xfrm>
                    <a:prstGeom prst="rect">
                      <a:avLst/>
                    </a:prstGeom>
                  </pic:spPr>
                </pic:pic>
              </a:graphicData>
            </a:graphic>
          </wp:inline>
        </w:drawing>
      </w:r>
    </w:p>
    <w:p w14:paraId="4BFBBD16" w14:textId="77777777" w:rsidR="00531AD3" w:rsidRDefault="00531AD3" w:rsidP="00A6763D">
      <w:pPr>
        <w:spacing w:before="0" w:after="0" w:line="259" w:lineRule="auto"/>
        <w:rPr>
          <w:sz w:val="16"/>
          <w:szCs w:val="16"/>
        </w:rPr>
      </w:pPr>
      <w:r>
        <w:rPr>
          <w:sz w:val="16"/>
          <w:szCs w:val="16"/>
        </w:rPr>
        <w:t>Figure n</w:t>
      </w:r>
      <w:r w:rsidR="00D320CF" w:rsidRPr="00C924E4">
        <w:rPr>
          <w:sz w:val="16"/>
          <w:szCs w:val="16"/>
        </w:rPr>
        <w:t xml:space="preserve">ote: </w:t>
      </w:r>
    </w:p>
    <w:p w14:paraId="55473532" w14:textId="02EBDFCF" w:rsidR="00531AD3" w:rsidRDefault="00531AD3" w:rsidP="00531AD3">
      <w:pPr>
        <w:pStyle w:val="Tablenotesnumbers"/>
      </w:pPr>
      <w:r>
        <w:t xml:space="preserve">SIL proportions refer to the assumptions </w:t>
      </w:r>
      <w:r w:rsidR="00140EFA">
        <w:t xml:space="preserve">for </w:t>
      </w:r>
      <w:r>
        <w:t xml:space="preserve">the </w:t>
      </w:r>
      <w:r w:rsidR="00140EFA">
        <w:t xml:space="preserve">proportion </w:t>
      </w:r>
      <w:r>
        <w:t xml:space="preserve">of people who receive payments for Supported Independent Living. </w:t>
      </w:r>
    </w:p>
    <w:p w14:paraId="36474AA8" w14:textId="4EBD753B" w:rsidR="00D320CF" w:rsidRDefault="00D320CF" w:rsidP="00531AD3">
      <w:pPr>
        <w:pStyle w:val="Tablenotesnumbers"/>
      </w:pPr>
      <w:r w:rsidRPr="00C924E4">
        <w:t>Because the SIL proportion (purple area) is a reductio</w:t>
      </w:r>
      <w:r>
        <w:t>n,</w:t>
      </w:r>
      <w:r w:rsidRPr="00C924E4">
        <w:t xml:space="preserve"> the increase relating to revised participant numbers needs to be measured from the bottom of the purple area</w:t>
      </w:r>
    </w:p>
    <w:p w14:paraId="6807CE1E" w14:textId="67C75217" w:rsidR="00D320CF" w:rsidRDefault="00D320CF" w:rsidP="00D320CF">
      <w:pPr>
        <w:pStyle w:val="Caption"/>
        <w:spacing w:before="160" w:after="40"/>
      </w:pPr>
      <w:bookmarkStart w:id="12" w:name="_Ref83897080"/>
      <w:bookmarkStart w:id="13" w:name="_Ref83971558"/>
      <w:r>
        <w:t xml:space="preserve">Table </w:t>
      </w:r>
      <w:r>
        <w:fldChar w:fldCharType="begin"/>
      </w:r>
      <w:r>
        <w:instrText xml:space="preserve"> SEQ Table \* ARABIC \s 1 </w:instrText>
      </w:r>
      <w:r>
        <w:fldChar w:fldCharType="separate"/>
      </w:r>
      <w:r w:rsidR="00E6217F">
        <w:rPr>
          <w:noProof/>
        </w:rPr>
        <w:t>2</w:t>
      </w:r>
      <w:r>
        <w:fldChar w:fldCharType="end"/>
      </w:r>
      <w:bookmarkEnd w:id="12"/>
      <w:bookmarkEnd w:id="13"/>
      <w:r>
        <w:t xml:space="preserve"> – Attribution of the changes in projected payments from 2018-19 to 2020-21 AFSR </w:t>
      </w:r>
    </w:p>
    <w:tbl>
      <w:tblPr>
        <w:tblStyle w:val="TFBlue"/>
        <w:tblW w:w="9143" w:type="dxa"/>
        <w:tblCellMar>
          <w:left w:w="0" w:type="dxa"/>
          <w:right w:w="0" w:type="dxa"/>
        </w:tblCellMar>
        <w:tblLook w:val="04E0" w:firstRow="1" w:lastRow="1" w:firstColumn="1" w:lastColumn="0" w:noHBand="0" w:noVBand="1"/>
      </w:tblPr>
      <w:tblGrid>
        <w:gridCol w:w="6733"/>
        <w:gridCol w:w="1134"/>
        <w:gridCol w:w="1276"/>
      </w:tblGrid>
      <w:tr w:rsidR="00D320CF" w14:paraId="4DB8FEF5" w14:textId="77777777" w:rsidTr="003425C1">
        <w:trPr>
          <w:cnfStyle w:val="100000000000" w:firstRow="1" w:lastRow="0" w:firstColumn="0" w:lastColumn="0" w:oddVBand="0" w:evenVBand="0" w:oddHBand="0" w:evenHBand="0" w:firstRowFirstColumn="0" w:firstRowLastColumn="0" w:lastRowFirstColumn="0" w:lastRowLastColumn="0"/>
          <w:trHeight w:val="403"/>
        </w:trPr>
        <w:tc>
          <w:tcPr>
            <w:tcW w:w="6733" w:type="dxa"/>
          </w:tcPr>
          <w:p w14:paraId="0E7B52DB" w14:textId="77777777" w:rsidR="00D320CF" w:rsidRDefault="00D320CF" w:rsidP="003425C1">
            <w:pPr>
              <w:spacing w:before="40" w:after="40"/>
            </w:pPr>
            <w:r>
              <w:t>Item</w:t>
            </w:r>
          </w:p>
        </w:tc>
        <w:tc>
          <w:tcPr>
            <w:tcW w:w="1134" w:type="dxa"/>
          </w:tcPr>
          <w:p w14:paraId="2C265C00" w14:textId="77777777" w:rsidR="00D320CF" w:rsidRDefault="00D320CF" w:rsidP="00A6763D">
            <w:pPr>
              <w:spacing w:before="40" w:after="40"/>
              <w:jc w:val="right"/>
              <w:rPr>
                <w:b w:val="0"/>
              </w:rPr>
            </w:pPr>
            <w:r>
              <w:t>2024-25 estimate</w:t>
            </w:r>
          </w:p>
          <w:p w14:paraId="56A42791" w14:textId="77777777" w:rsidR="00D320CF" w:rsidRDefault="00D320CF" w:rsidP="00A6763D">
            <w:pPr>
              <w:spacing w:before="40" w:after="40"/>
              <w:jc w:val="right"/>
            </w:pPr>
            <w:r>
              <w:t>$B</w:t>
            </w:r>
          </w:p>
        </w:tc>
        <w:tc>
          <w:tcPr>
            <w:tcW w:w="1276" w:type="dxa"/>
          </w:tcPr>
          <w:p w14:paraId="728ECF06" w14:textId="77777777" w:rsidR="00D320CF" w:rsidRPr="00D06159" w:rsidRDefault="00D320CF" w:rsidP="00A6763D">
            <w:pPr>
              <w:spacing w:before="40" w:after="40"/>
              <w:jc w:val="right"/>
              <w:rPr>
                <w:b w:val="0"/>
              </w:rPr>
            </w:pPr>
            <w:r w:rsidRPr="00D06159">
              <w:t>20</w:t>
            </w:r>
            <w:r w:rsidRPr="002A687C">
              <w:t>29</w:t>
            </w:r>
            <w:r w:rsidRPr="00D06159">
              <w:t>-3</w:t>
            </w:r>
            <w:r w:rsidRPr="002A687C">
              <w:t>0</w:t>
            </w:r>
            <w:r w:rsidRPr="00D06159">
              <w:t xml:space="preserve"> estimate</w:t>
            </w:r>
          </w:p>
          <w:p w14:paraId="6BA901DA" w14:textId="77777777" w:rsidR="00D320CF" w:rsidRPr="00D06159" w:rsidRDefault="00D320CF" w:rsidP="00A6763D">
            <w:pPr>
              <w:spacing w:before="40" w:after="40"/>
              <w:jc w:val="right"/>
            </w:pPr>
            <w:r w:rsidRPr="00D06159">
              <w:t>$B</w:t>
            </w:r>
          </w:p>
        </w:tc>
      </w:tr>
      <w:tr w:rsidR="00D320CF" w14:paraId="16A783C2" w14:textId="77777777" w:rsidTr="003425C1">
        <w:trPr>
          <w:cnfStyle w:val="000000100000" w:firstRow="0" w:lastRow="0" w:firstColumn="0" w:lastColumn="0" w:oddVBand="0" w:evenVBand="0" w:oddHBand="1" w:evenHBand="0" w:firstRowFirstColumn="0" w:firstRowLastColumn="0" w:lastRowFirstColumn="0" w:lastRowLastColumn="0"/>
          <w:trHeight w:val="211"/>
        </w:trPr>
        <w:tc>
          <w:tcPr>
            <w:tcW w:w="6733" w:type="dxa"/>
          </w:tcPr>
          <w:p w14:paraId="4D19D319" w14:textId="46D6AF1E" w:rsidR="00D320CF" w:rsidRDefault="00D320CF" w:rsidP="003425C1">
            <w:pPr>
              <w:pStyle w:val="Tabletext"/>
            </w:pPr>
            <w:r>
              <w:t>2018-19 AFSR</w:t>
            </w:r>
          </w:p>
        </w:tc>
        <w:tc>
          <w:tcPr>
            <w:tcW w:w="1134" w:type="dxa"/>
          </w:tcPr>
          <w:p w14:paraId="72C4349B" w14:textId="77777777" w:rsidR="00D320CF" w:rsidRDefault="00D320CF" w:rsidP="00A6763D">
            <w:pPr>
              <w:pStyle w:val="Tablenumbers"/>
              <w:ind w:right="31"/>
            </w:pPr>
            <w:r w:rsidRPr="008F0822">
              <w:t>30.8</w:t>
            </w:r>
          </w:p>
        </w:tc>
        <w:tc>
          <w:tcPr>
            <w:tcW w:w="1276" w:type="dxa"/>
          </w:tcPr>
          <w:p w14:paraId="6C2305EF" w14:textId="77777777" w:rsidR="00D320CF" w:rsidRPr="00D06159" w:rsidRDefault="00D320CF" w:rsidP="00A6763D">
            <w:pPr>
              <w:pStyle w:val="Tablenumbers"/>
              <w:ind w:right="31"/>
            </w:pPr>
            <w:r w:rsidRPr="002A687C">
              <w:t>43.7</w:t>
            </w:r>
          </w:p>
        </w:tc>
      </w:tr>
      <w:tr w:rsidR="00D320CF" w14:paraId="0B38D68B" w14:textId="77777777" w:rsidTr="003425C1">
        <w:trPr>
          <w:trHeight w:val="20"/>
        </w:trPr>
        <w:tc>
          <w:tcPr>
            <w:tcW w:w="6733" w:type="dxa"/>
          </w:tcPr>
          <w:p w14:paraId="33766C8A" w14:textId="77777777" w:rsidR="00D320CF" w:rsidRDefault="00D320CF" w:rsidP="003425C1">
            <w:pPr>
              <w:pStyle w:val="Tabletext"/>
            </w:pPr>
            <w:r>
              <w:t>Participant numbers and characteristics (actuals and updated assumptions)</w:t>
            </w:r>
          </w:p>
        </w:tc>
        <w:tc>
          <w:tcPr>
            <w:tcW w:w="1134" w:type="dxa"/>
          </w:tcPr>
          <w:p w14:paraId="612EB369" w14:textId="77777777" w:rsidR="00D320CF" w:rsidRDefault="00D320CF" w:rsidP="00A6763D">
            <w:pPr>
              <w:pStyle w:val="Tablenumbers"/>
              <w:ind w:right="31"/>
            </w:pPr>
            <w:r>
              <w:t>+</w:t>
            </w:r>
            <w:r w:rsidRPr="008F0822">
              <w:t>2.6</w:t>
            </w:r>
          </w:p>
        </w:tc>
        <w:tc>
          <w:tcPr>
            <w:tcW w:w="1276" w:type="dxa"/>
          </w:tcPr>
          <w:p w14:paraId="57A5B5B5" w14:textId="77777777" w:rsidR="00D320CF" w:rsidRPr="00D06159" w:rsidRDefault="00D320CF" w:rsidP="00A6763D">
            <w:pPr>
              <w:pStyle w:val="Tablenumbers"/>
              <w:ind w:right="31"/>
            </w:pPr>
            <w:r w:rsidRPr="00D06159">
              <w:t>+</w:t>
            </w:r>
            <w:r w:rsidRPr="002A687C">
              <w:t>7.7</w:t>
            </w:r>
          </w:p>
        </w:tc>
      </w:tr>
      <w:tr w:rsidR="00D320CF" w14:paraId="2411996E" w14:textId="77777777" w:rsidTr="003425C1">
        <w:trPr>
          <w:cnfStyle w:val="000000100000" w:firstRow="0" w:lastRow="0" w:firstColumn="0" w:lastColumn="0" w:oddVBand="0" w:evenVBand="0" w:oddHBand="1" w:evenHBand="0" w:firstRowFirstColumn="0" w:firstRowLastColumn="0" w:lastRowFirstColumn="0" w:lastRowLastColumn="0"/>
          <w:trHeight w:val="20"/>
        </w:trPr>
        <w:tc>
          <w:tcPr>
            <w:tcW w:w="6733" w:type="dxa"/>
            <w:shd w:val="clear" w:color="auto" w:fill="auto"/>
          </w:tcPr>
          <w:p w14:paraId="1E8B5AA8" w14:textId="77777777" w:rsidR="00D320CF" w:rsidRDefault="00D320CF" w:rsidP="003425C1">
            <w:pPr>
              <w:pStyle w:val="Tabletext"/>
            </w:pPr>
            <w:r>
              <w:t>Number of people in Supported Independent Living and forecast growth</w:t>
            </w:r>
          </w:p>
        </w:tc>
        <w:tc>
          <w:tcPr>
            <w:tcW w:w="1134" w:type="dxa"/>
            <w:shd w:val="clear" w:color="auto" w:fill="auto"/>
          </w:tcPr>
          <w:p w14:paraId="63218F6F" w14:textId="77777777" w:rsidR="00D320CF" w:rsidRDefault="00D320CF" w:rsidP="00A6763D">
            <w:pPr>
              <w:pStyle w:val="Tablenumbers"/>
              <w:ind w:right="31"/>
            </w:pPr>
            <w:r w:rsidRPr="008F0822">
              <w:t>-1.6</w:t>
            </w:r>
          </w:p>
        </w:tc>
        <w:tc>
          <w:tcPr>
            <w:tcW w:w="1276" w:type="dxa"/>
            <w:shd w:val="clear" w:color="auto" w:fill="auto"/>
          </w:tcPr>
          <w:p w14:paraId="19887C34" w14:textId="77777777" w:rsidR="00D320CF" w:rsidRPr="00D06159" w:rsidRDefault="00D320CF" w:rsidP="00A6763D">
            <w:pPr>
              <w:pStyle w:val="Tablenumbers"/>
              <w:ind w:right="31"/>
            </w:pPr>
            <w:r w:rsidRPr="00D06159">
              <w:t>-</w:t>
            </w:r>
            <w:r w:rsidRPr="002A687C">
              <w:t>3.5</w:t>
            </w:r>
          </w:p>
        </w:tc>
      </w:tr>
      <w:tr w:rsidR="00D320CF" w14:paraId="205B309C" w14:textId="77777777" w:rsidTr="003425C1">
        <w:trPr>
          <w:trHeight w:val="20"/>
        </w:trPr>
        <w:tc>
          <w:tcPr>
            <w:tcW w:w="6733" w:type="dxa"/>
            <w:shd w:val="clear" w:color="auto" w:fill="auto"/>
          </w:tcPr>
          <w:p w14:paraId="5237CFD3" w14:textId="1726238D" w:rsidR="00D320CF" w:rsidRDefault="00D320CF" w:rsidP="003425C1">
            <w:pPr>
              <w:pStyle w:val="Tabletext"/>
            </w:pPr>
            <w:r>
              <w:t>Participant costs – past experience to June 2021</w:t>
            </w:r>
          </w:p>
        </w:tc>
        <w:tc>
          <w:tcPr>
            <w:tcW w:w="1134" w:type="dxa"/>
            <w:shd w:val="clear" w:color="auto" w:fill="auto"/>
          </w:tcPr>
          <w:p w14:paraId="422CBAB4" w14:textId="77777777" w:rsidR="00D320CF" w:rsidRDefault="00D320CF" w:rsidP="00A6763D">
            <w:pPr>
              <w:pStyle w:val="Tablenumbers"/>
              <w:ind w:right="31"/>
            </w:pPr>
            <w:r>
              <w:t>+</w:t>
            </w:r>
            <w:r w:rsidRPr="008F0822">
              <w:t>3.4</w:t>
            </w:r>
          </w:p>
        </w:tc>
        <w:tc>
          <w:tcPr>
            <w:tcW w:w="1276" w:type="dxa"/>
            <w:shd w:val="clear" w:color="auto" w:fill="auto"/>
          </w:tcPr>
          <w:p w14:paraId="49035831" w14:textId="77777777" w:rsidR="00D320CF" w:rsidRPr="00D06159" w:rsidRDefault="00D320CF" w:rsidP="00A6763D">
            <w:pPr>
              <w:pStyle w:val="Tablenumbers"/>
              <w:ind w:right="31"/>
            </w:pPr>
            <w:r w:rsidRPr="00D06159">
              <w:t>+</w:t>
            </w:r>
            <w:r w:rsidRPr="002A687C">
              <w:t>4.5</w:t>
            </w:r>
          </w:p>
        </w:tc>
      </w:tr>
      <w:tr w:rsidR="00D320CF" w14:paraId="077086E9" w14:textId="77777777" w:rsidTr="003425C1">
        <w:trPr>
          <w:cnfStyle w:val="000000100000" w:firstRow="0" w:lastRow="0" w:firstColumn="0" w:lastColumn="0" w:oddVBand="0" w:evenVBand="0" w:oddHBand="1" w:evenHBand="0" w:firstRowFirstColumn="0" w:firstRowLastColumn="0" w:lastRowFirstColumn="0" w:lastRowLastColumn="0"/>
          <w:trHeight w:val="20"/>
        </w:trPr>
        <w:tc>
          <w:tcPr>
            <w:tcW w:w="6733" w:type="dxa"/>
            <w:shd w:val="clear" w:color="auto" w:fill="auto"/>
          </w:tcPr>
          <w:p w14:paraId="65649E38" w14:textId="77777777" w:rsidR="00D320CF" w:rsidRDefault="00D320CF" w:rsidP="003425C1">
            <w:pPr>
              <w:pStyle w:val="Tabletext"/>
            </w:pPr>
            <w:r>
              <w:t xml:space="preserve">Participant costs – changes to future cost escalation </w:t>
            </w:r>
          </w:p>
        </w:tc>
        <w:tc>
          <w:tcPr>
            <w:tcW w:w="1134" w:type="dxa"/>
            <w:shd w:val="clear" w:color="auto" w:fill="auto"/>
          </w:tcPr>
          <w:p w14:paraId="6016CA78" w14:textId="77777777" w:rsidR="00D320CF" w:rsidRDefault="00D320CF" w:rsidP="00A6763D">
            <w:pPr>
              <w:pStyle w:val="Tablenumbers"/>
              <w:ind w:right="31"/>
            </w:pPr>
            <w:r>
              <w:t>+</w:t>
            </w:r>
            <w:r w:rsidRPr="008F0822">
              <w:t>5.5</w:t>
            </w:r>
          </w:p>
        </w:tc>
        <w:tc>
          <w:tcPr>
            <w:tcW w:w="1276" w:type="dxa"/>
            <w:shd w:val="clear" w:color="auto" w:fill="auto"/>
          </w:tcPr>
          <w:p w14:paraId="65624EA9" w14:textId="77777777" w:rsidR="00D320CF" w:rsidRPr="00D06159" w:rsidRDefault="00D320CF" w:rsidP="00A6763D">
            <w:pPr>
              <w:pStyle w:val="Tablenumbers"/>
              <w:ind w:right="31"/>
            </w:pPr>
            <w:r w:rsidRPr="00D06159">
              <w:t>+6.</w:t>
            </w:r>
            <w:r w:rsidRPr="002A687C">
              <w:t>1</w:t>
            </w:r>
          </w:p>
        </w:tc>
      </w:tr>
      <w:tr w:rsidR="00D320CF" w14:paraId="6245E6C4" w14:textId="77777777" w:rsidTr="003425C1">
        <w:trPr>
          <w:cnfStyle w:val="010000000000" w:firstRow="0" w:lastRow="1" w:firstColumn="0" w:lastColumn="0" w:oddVBand="0" w:evenVBand="0" w:oddHBand="0" w:evenHBand="0" w:firstRowFirstColumn="0" w:firstRowLastColumn="0" w:lastRowFirstColumn="0" w:lastRowLastColumn="0"/>
          <w:trHeight w:val="20"/>
        </w:trPr>
        <w:tc>
          <w:tcPr>
            <w:tcW w:w="6733" w:type="dxa"/>
            <w:shd w:val="clear" w:color="auto" w:fill="EFF8FF"/>
          </w:tcPr>
          <w:p w14:paraId="02F44023" w14:textId="73C57CC3" w:rsidR="00D320CF" w:rsidRDefault="00D320CF" w:rsidP="003425C1">
            <w:pPr>
              <w:pStyle w:val="Tabletext"/>
            </w:pPr>
            <w:r>
              <w:t>2020-21 AFSR</w:t>
            </w:r>
          </w:p>
        </w:tc>
        <w:tc>
          <w:tcPr>
            <w:tcW w:w="1134" w:type="dxa"/>
            <w:shd w:val="clear" w:color="auto" w:fill="EFF8FF"/>
          </w:tcPr>
          <w:p w14:paraId="6F4D27A0" w14:textId="77777777" w:rsidR="00D320CF" w:rsidRDefault="00D320CF" w:rsidP="00A6763D">
            <w:pPr>
              <w:pStyle w:val="Tablenumbers"/>
              <w:ind w:right="31"/>
            </w:pPr>
            <w:r w:rsidRPr="008F0822">
              <w:t>40.8</w:t>
            </w:r>
          </w:p>
        </w:tc>
        <w:tc>
          <w:tcPr>
            <w:tcW w:w="1276" w:type="dxa"/>
            <w:shd w:val="clear" w:color="auto" w:fill="EFF8FF"/>
          </w:tcPr>
          <w:p w14:paraId="7DF605B5" w14:textId="77777777" w:rsidR="00D320CF" w:rsidRPr="00D06159" w:rsidRDefault="00D320CF" w:rsidP="00A6763D">
            <w:pPr>
              <w:pStyle w:val="Tablenumbers"/>
              <w:ind w:right="31"/>
            </w:pPr>
            <w:r w:rsidRPr="002A687C">
              <w:t>58.5</w:t>
            </w:r>
          </w:p>
        </w:tc>
      </w:tr>
    </w:tbl>
    <w:p w14:paraId="2EB2CA57" w14:textId="4F0F4142" w:rsidR="00D320CF" w:rsidRDefault="00D320CF" w:rsidP="00D320CF">
      <w:r>
        <w:t xml:space="preserve">The number of participants in the </w:t>
      </w:r>
      <w:r w:rsidR="00DB1C29">
        <w:t>S</w:t>
      </w:r>
      <w:r>
        <w:t>cheme is projected to increase significantly from the 2019 estimates</w:t>
      </w:r>
      <w:r w:rsidR="008021DB">
        <w:t>,</w:t>
      </w:r>
      <w:r>
        <w:t xml:space="preserve"> being 23% higher at June 2025 and </w:t>
      </w:r>
      <w:r w:rsidRPr="00D06159">
        <w:t>3</w:t>
      </w:r>
      <w:r w:rsidRPr="002A687C">
        <w:t>5</w:t>
      </w:r>
      <w:r w:rsidRPr="00D06159">
        <w:t>% higher by June 2030</w:t>
      </w:r>
      <w:r>
        <w:t>. However, most of these additional participants, especially those joining up to 2025, are expected to have low severity disabilities. Despite this</w:t>
      </w:r>
      <w:r w:rsidRPr="00F71626">
        <w:t xml:space="preserve"> </w:t>
      </w:r>
      <w:r>
        <w:t xml:space="preserve">most types of disability are expected to have more participants which has led to a $2.6B increase in the </w:t>
      </w:r>
      <w:r w:rsidR="00A80097">
        <w:t xml:space="preserve">estimate of </w:t>
      </w:r>
      <w:r>
        <w:t xml:space="preserve">2024-25 </w:t>
      </w:r>
      <w:r w:rsidR="00A80097">
        <w:t xml:space="preserve">payments </w:t>
      </w:r>
      <w:r>
        <w:t xml:space="preserve">and </w:t>
      </w:r>
      <w:r w:rsidR="00A80097">
        <w:t xml:space="preserve">a </w:t>
      </w:r>
      <w:r w:rsidRPr="00D06159">
        <w:t>$</w:t>
      </w:r>
      <w:r w:rsidRPr="002A687C">
        <w:t>7.7</w:t>
      </w:r>
      <w:r w:rsidRPr="00D06159">
        <w:t xml:space="preserve">B increase </w:t>
      </w:r>
      <w:r w:rsidR="00A80097">
        <w:t>for</w:t>
      </w:r>
      <w:r w:rsidR="00A80097" w:rsidRPr="00D06159">
        <w:t xml:space="preserve"> </w:t>
      </w:r>
      <w:r w:rsidRPr="00D06159">
        <w:t>20</w:t>
      </w:r>
      <w:r w:rsidRPr="002A687C">
        <w:t>29</w:t>
      </w:r>
      <w:r w:rsidRPr="00D06159">
        <w:t>-30</w:t>
      </w:r>
      <w:r>
        <w:t>.</w:t>
      </w:r>
    </w:p>
    <w:p w14:paraId="1C093CFB" w14:textId="55F264BB" w:rsidR="00D320CF" w:rsidRDefault="00D320CF" w:rsidP="00D320CF">
      <w:r>
        <w:t xml:space="preserve">Notwithstanding the increase in participants, a lower </w:t>
      </w:r>
      <w:r w:rsidR="00A80097">
        <w:t>proportion</w:t>
      </w:r>
      <w:r w:rsidR="00A80097" w:rsidDel="00A80097">
        <w:t xml:space="preserve"> </w:t>
      </w:r>
      <w:r>
        <w:t xml:space="preserve">of participants is expected to be in high-cost supported independent living arrangements which is expected </w:t>
      </w:r>
      <w:r w:rsidR="00935520">
        <w:t xml:space="preserve">to </w:t>
      </w:r>
      <w:r>
        <w:t xml:space="preserve">save the </w:t>
      </w:r>
      <w:r w:rsidR="00DB1C29">
        <w:t>S</w:t>
      </w:r>
      <w:r>
        <w:t xml:space="preserve">cheme $1.6B in 2024-25 and </w:t>
      </w:r>
      <w:r w:rsidRPr="009125AE">
        <w:t>$</w:t>
      </w:r>
      <w:r w:rsidRPr="002A687C">
        <w:t>3.5</w:t>
      </w:r>
      <w:r w:rsidRPr="009125AE">
        <w:t>B in 2029-30</w:t>
      </w:r>
      <w:r w:rsidR="00A80097">
        <w:t xml:space="preserve"> compared to the payments estimated in the 2018-19 AFSR</w:t>
      </w:r>
      <w:r>
        <w:t>.</w:t>
      </w:r>
    </w:p>
    <w:p w14:paraId="297526B4" w14:textId="77777777" w:rsidR="00D320CF" w:rsidRDefault="00D320CF" w:rsidP="00531AD3">
      <w:pPr>
        <w:keepNext/>
      </w:pPr>
      <w:r>
        <w:t xml:space="preserve">The increases attributable to participant costs can be split into: </w:t>
      </w:r>
    </w:p>
    <w:p w14:paraId="0E5A7FBD" w14:textId="58FEE09D" w:rsidR="00D320CF" w:rsidRDefault="00D320CF" w:rsidP="00D320CF">
      <w:pPr>
        <w:pStyle w:val="Bullet1"/>
      </w:pPr>
      <w:r>
        <w:t xml:space="preserve">The cost escalation seen to date (up to 30 June 2021) </w:t>
      </w:r>
      <w:r w:rsidR="00935520">
        <w:t xml:space="preserve">is </w:t>
      </w:r>
      <w:r>
        <w:t xml:space="preserve">reflected in the </w:t>
      </w:r>
      <w:r w:rsidR="00BB3434">
        <w:t xml:space="preserve">higher </w:t>
      </w:r>
      <w:r w:rsidR="0064760E">
        <w:t xml:space="preserve">average participant </w:t>
      </w:r>
      <w:r>
        <w:t>cost assumption</w:t>
      </w:r>
      <w:r w:rsidR="00BC1B17">
        <w:t>s</w:t>
      </w:r>
      <w:r>
        <w:t xml:space="preserve"> for each cohort. The flow-on effect from </w:t>
      </w:r>
      <w:r w:rsidR="0064760E">
        <w:t xml:space="preserve">having </w:t>
      </w:r>
      <w:r>
        <w:t xml:space="preserve">higher costs to date </w:t>
      </w:r>
      <w:r w:rsidR="0064760E">
        <w:t xml:space="preserve">compared to those estimated in the 2018-19 AFSR </w:t>
      </w:r>
      <w:r w:rsidR="00D64F52">
        <w:t>is an</w:t>
      </w:r>
      <w:r w:rsidR="0064760E">
        <w:t xml:space="preserve"> increase of $3.4B in 2024-25 </w:t>
      </w:r>
      <w:r>
        <w:t xml:space="preserve">and </w:t>
      </w:r>
      <w:r w:rsidRPr="009125AE">
        <w:t>$</w:t>
      </w:r>
      <w:r w:rsidRPr="002A687C">
        <w:t>4.5</w:t>
      </w:r>
      <w:r w:rsidRPr="009125AE">
        <w:t>B in 2029-30</w:t>
      </w:r>
      <w:r>
        <w:t>.</w:t>
      </w:r>
    </w:p>
    <w:p w14:paraId="40E33FEA" w14:textId="77777777" w:rsidR="00D320CF" w:rsidRDefault="00D320CF" w:rsidP="00D320CF">
      <w:pPr>
        <w:pStyle w:val="Bullet1"/>
      </w:pPr>
      <w:r>
        <w:t xml:space="preserve">Assumed growth in payments beyond 30 June 2021. In 2029-30 the Scheme Actuary has assumed growth in average support costs over and above the 2019 allowances of $5.5B in 2024-25 and </w:t>
      </w:r>
      <w:r w:rsidRPr="009125AE">
        <w:t>$6.</w:t>
      </w:r>
      <w:r w:rsidRPr="002A687C">
        <w:t>1</w:t>
      </w:r>
      <w:r w:rsidRPr="009125AE">
        <w:t>B in 20</w:t>
      </w:r>
      <w:r w:rsidRPr="002A687C">
        <w:t>29</w:t>
      </w:r>
      <w:r w:rsidRPr="009125AE">
        <w:t>-30</w:t>
      </w:r>
      <w:r>
        <w:t>.</w:t>
      </w:r>
    </w:p>
    <w:p w14:paraId="6917CE12" w14:textId="14259054" w:rsidR="00D320CF" w:rsidRDefault="00D320CF" w:rsidP="00D320CF">
      <w:r>
        <w:t xml:space="preserve">Section </w:t>
      </w:r>
      <w:r>
        <w:fldChar w:fldCharType="begin"/>
      </w:r>
      <w:r>
        <w:instrText xml:space="preserve"> REF _Ref83897110 \r \h </w:instrText>
      </w:r>
      <w:r>
        <w:fldChar w:fldCharType="separate"/>
      </w:r>
      <w:r w:rsidR="00E6217F">
        <w:t>5</w:t>
      </w:r>
      <w:r>
        <w:fldChar w:fldCharType="end"/>
      </w:r>
      <w:r>
        <w:t xml:space="preserve"> further </w:t>
      </w:r>
      <w:r w:rsidR="00DD0F84">
        <w:t xml:space="preserve">breaks down </w:t>
      </w:r>
      <w:r>
        <w:t xml:space="preserve">the changes between different assumptions and cohorts, such as disability type. </w:t>
      </w:r>
    </w:p>
    <w:p w14:paraId="475FB9E3" w14:textId="55FED510" w:rsidR="00650784" w:rsidRDefault="00650784" w:rsidP="00650784">
      <w:pPr>
        <w:spacing w:before="0" w:after="160" w:line="259" w:lineRule="auto"/>
      </w:pPr>
      <w:r>
        <w:t xml:space="preserve">Between June 2019 and June 2021 other forecasts </w:t>
      </w:r>
      <w:r w:rsidR="00790883">
        <w:t xml:space="preserve">of NDIS costs </w:t>
      </w:r>
      <w:r>
        <w:t xml:space="preserve">have been made, </w:t>
      </w:r>
      <w:r w:rsidR="00790883">
        <w:t xml:space="preserve">including </w:t>
      </w:r>
      <w:r>
        <w:t>the 2019-20 AFSR and the December 2020 interim AFSR. We have reproduced the NDIA’s summary table of comparisons for convenience.</w:t>
      </w:r>
    </w:p>
    <w:p w14:paraId="3E6B0EBC" w14:textId="28EE0C3A" w:rsidR="00650784" w:rsidRDefault="00650784" w:rsidP="00650784">
      <w:pPr>
        <w:pStyle w:val="Caption"/>
      </w:pPr>
      <w:r>
        <w:t>Table</w:t>
      </w:r>
      <w:r w:rsidR="0067580F">
        <w:t xml:space="preserve"> </w:t>
      </w:r>
      <w:r>
        <w:fldChar w:fldCharType="begin"/>
      </w:r>
      <w:r>
        <w:instrText xml:space="preserve"> SEQ Table \* ARABIC \s 1 </w:instrText>
      </w:r>
      <w:r>
        <w:fldChar w:fldCharType="separate"/>
      </w:r>
      <w:r w:rsidR="00E6217F">
        <w:rPr>
          <w:noProof/>
        </w:rPr>
        <w:t>3</w:t>
      </w:r>
      <w:r>
        <w:fldChar w:fldCharType="end"/>
      </w:r>
      <w:r>
        <w:t xml:space="preserve"> – NDIS projected costs, accrual basis ($B)</w:t>
      </w:r>
    </w:p>
    <w:tbl>
      <w:tblPr>
        <w:tblStyle w:val="TFBlue"/>
        <w:tblW w:w="8114" w:type="dxa"/>
        <w:tblLook w:val="04A0" w:firstRow="1" w:lastRow="0" w:firstColumn="1" w:lastColumn="0" w:noHBand="0" w:noVBand="1"/>
      </w:tblPr>
      <w:tblGrid>
        <w:gridCol w:w="2778"/>
        <w:gridCol w:w="667"/>
        <w:gridCol w:w="667"/>
        <w:gridCol w:w="667"/>
        <w:gridCol w:w="667"/>
        <w:gridCol w:w="667"/>
        <w:gridCol w:w="667"/>
        <w:gridCol w:w="667"/>
        <w:gridCol w:w="667"/>
      </w:tblGrid>
      <w:tr w:rsidR="00650784" w14:paraId="15AEB7D7" w14:textId="77777777" w:rsidTr="003425C1">
        <w:trPr>
          <w:cnfStyle w:val="100000000000" w:firstRow="1" w:lastRow="0" w:firstColumn="0" w:lastColumn="0" w:oddVBand="0" w:evenVBand="0" w:oddHBand="0" w:evenHBand="0" w:firstRowFirstColumn="0" w:firstRowLastColumn="0" w:lastRowFirstColumn="0" w:lastRowLastColumn="0"/>
          <w:cantSplit/>
          <w:trHeight w:val="1134"/>
        </w:trPr>
        <w:tc>
          <w:tcPr>
            <w:tcW w:w="2778" w:type="dxa"/>
          </w:tcPr>
          <w:p w14:paraId="2C2110E6" w14:textId="77777777" w:rsidR="00650784" w:rsidRDefault="00650784" w:rsidP="003425C1">
            <w:pPr>
              <w:spacing w:before="0" w:after="160" w:line="259" w:lineRule="auto"/>
            </w:pPr>
          </w:p>
        </w:tc>
        <w:tc>
          <w:tcPr>
            <w:tcW w:w="667" w:type="dxa"/>
            <w:textDirection w:val="btLr"/>
            <w:vAlign w:val="center"/>
          </w:tcPr>
          <w:p w14:paraId="0B920FCA" w14:textId="77777777" w:rsidR="00650784" w:rsidRDefault="00650784" w:rsidP="003425C1">
            <w:pPr>
              <w:spacing w:before="0" w:after="0" w:line="259" w:lineRule="auto"/>
              <w:ind w:left="113" w:right="113"/>
            </w:pPr>
            <w:r>
              <w:t>2017-18</w:t>
            </w:r>
          </w:p>
        </w:tc>
        <w:tc>
          <w:tcPr>
            <w:tcW w:w="667" w:type="dxa"/>
            <w:textDirection w:val="btLr"/>
            <w:vAlign w:val="center"/>
          </w:tcPr>
          <w:p w14:paraId="7D746FC0" w14:textId="77777777" w:rsidR="00650784" w:rsidRDefault="00650784" w:rsidP="003425C1">
            <w:pPr>
              <w:spacing w:before="0" w:after="0" w:line="259" w:lineRule="auto"/>
              <w:ind w:left="113" w:right="113"/>
            </w:pPr>
            <w:r>
              <w:t>2018-19</w:t>
            </w:r>
          </w:p>
        </w:tc>
        <w:tc>
          <w:tcPr>
            <w:tcW w:w="667" w:type="dxa"/>
            <w:textDirection w:val="btLr"/>
            <w:vAlign w:val="center"/>
          </w:tcPr>
          <w:p w14:paraId="76F021DE" w14:textId="77777777" w:rsidR="00650784" w:rsidRDefault="00650784" w:rsidP="003425C1">
            <w:pPr>
              <w:spacing w:before="0" w:after="0" w:line="259" w:lineRule="auto"/>
              <w:ind w:left="113" w:right="113"/>
            </w:pPr>
            <w:r>
              <w:t>2019-20</w:t>
            </w:r>
          </w:p>
        </w:tc>
        <w:tc>
          <w:tcPr>
            <w:tcW w:w="667" w:type="dxa"/>
            <w:textDirection w:val="btLr"/>
            <w:vAlign w:val="center"/>
          </w:tcPr>
          <w:p w14:paraId="75502B12" w14:textId="77777777" w:rsidR="00650784" w:rsidRDefault="00650784" w:rsidP="003425C1">
            <w:pPr>
              <w:spacing w:before="0" w:after="0" w:line="259" w:lineRule="auto"/>
              <w:ind w:left="113" w:right="113"/>
            </w:pPr>
            <w:r>
              <w:t>2020-21</w:t>
            </w:r>
          </w:p>
        </w:tc>
        <w:tc>
          <w:tcPr>
            <w:tcW w:w="667" w:type="dxa"/>
            <w:textDirection w:val="btLr"/>
            <w:vAlign w:val="center"/>
          </w:tcPr>
          <w:p w14:paraId="1F914142" w14:textId="77777777" w:rsidR="00650784" w:rsidRDefault="00650784" w:rsidP="003425C1">
            <w:pPr>
              <w:spacing w:before="0" w:after="0" w:line="259" w:lineRule="auto"/>
              <w:ind w:left="113" w:right="113"/>
            </w:pPr>
            <w:r>
              <w:t>2021-22</w:t>
            </w:r>
          </w:p>
        </w:tc>
        <w:tc>
          <w:tcPr>
            <w:tcW w:w="667" w:type="dxa"/>
            <w:textDirection w:val="btLr"/>
            <w:vAlign w:val="center"/>
          </w:tcPr>
          <w:p w14:paraId="22815439" w14:textId="77777777" w:rsidR="00650784" w:rsidRDefault="00650784" w:rsidP="003425C1">
            <w:pPr>
              <w:spacing w:before="0" w:after="0" w:line="259" w:lineRule="auto"/>
              <w:ind w:left="113" w:right="113"/>
            </w:pPr>
            <w:r>
              <w:t>2022-23</w:t>
            </w:r>
          </w:p>
        </w:tc>
        <w:tc>
          <w:tcPr>
            <w:tcW w:w="667" w:type="dxa"/>
            <w:textDirection w:val="btLr"/>
            <w:vAlign w:val="center"/>
          </w:tcPr>
          <w:p w14:paraId="5688E0FA" w14:textId="77777777" w:rsidR="00650784" w:rsidRDefault="00650784" w:rsidP="003425C1">
            <w:pPr>
              <w:spacing w:before="0" w:after="0" w:line="259" w:lineRule="auto"/>
              <w:ind w:left="113" w:right="113"/>
            </w:pPr>
            <w:r>
              <w:t>2023-24</w:t>
            </w:r>
          </w:p>
        </w:tc>
        <w:tc>
          <w:tcPr>
            <w:tcW w:w="667" w:type="dxa"/>
            <w:textDirection w:val="btLr"/>
            <w:vAlign w:val="center"/>
          </w:tcPr>
          <w:p w14:paraId="5C2BC197" w14:textId="77777777" w:rsidR="00650784" w:rsidRDefault="00650784" w:rsidP="003425C1">
            <w:pPr>
              <w:spacing w:before="0" w:after="0" w:line="259" w:lineRule="auto"/>
              <w:ind w:left="113" w:right="113"/>
            </w:pPr>
            <w:r>
              <w:t>2024-25</w:t>
            </w:r>
          </w:p>
        </w:tc>
      </w:tr>
      <w:tr w:rsidR="00650784" w14:paraId="1218FA54" w14:textId="77777777" w:rsidTr="003425C1">
        <w:trPr>
          <w:cnfStyle w:val="000000100000" w:firstRow="0" w:lastRow="0" w:firstColumn="0" w:lastColumn="0" w:oddVBand="0" w:evenVBand="0" w:oddHBand="1" w:evenHBand="0" w:firstRowFirstColumn="0" w:firstRowLastColumn="0" w:lastRowFirstColumn="0" w:lastRowLastColumn="0"/>
        </w:trPr>
        <w:tc>
          <w:tcPr>
            <w:tcW w:w="2778" w:type="dxa"/>
            <w:vAlign w:val="center"/>
          </w:tcPr>
          <w:p w14:paraId="6ACF81DA" w14:textId="77777777" w:rsidR="00650784" w:rsidRDefault="00650784" w:rsidP="003425C1">
            <w:pPr>
              <w:pStyle w:val="Tabletext"/>
            </w:pPr>
            <w:r>
              <w:t>Actual Costs (accrual)</w:t>
            </w:r>
          </w:p>
        </w:tc>
        <w:tc>
          <w:tcPr>
            <w:tcW w:w="667" w:type="dxa"/>
            <w:vAlign w:val="center"/>
          </w:tcPr>
          <w:p w14:paraId="35B584BA" w14:textId="77777777" w:rsidR="00650784" w:rsidRDefault="00650784" w:rsidP="003425C1">
            <w:pPr>
              <w:pStyle w:val="Tablenumbers"/>
            </w:pPr>
            <w:r>
              <w:t>5.4</w:t>
            </w:r>
          </w:p>
        </w:tc>
        <w:tc>
          <w:tcPr>
            <w:tcW w:w="667" w:type="dxa"/>
            <w:vAlign w:val="center"/>
          </w:tcPr>
          <w:p w14:paraId="0FB1A937" w14:textId="77777777" w:rsidR="00650784" w:rsidRDefault="00650784" w:rsidP="003425C1">
            <w:pPr>
              <w:pStyle w:val="Tablenumbers"/>
            </w:pPr>
            <w:r>
              <w:t>10.5</w:t>
            </w:r>
          </w:p>
        </w:tc>
        <w:tc>
          <w:tcPr>
            <w:tcW w:w="667" w:type="dxa"/>
            <w:vAlign w:val="center"/>
          </w:tcPr>
          <w:p w14:paraId="2DB56E0F" w14:textId="77777777" w:rsidR="00650784" w:rsidRDefault="00650784" w:rsidP="003425C1">
            <w:pPr>
              <w:pStyle w:val="Tablenumbers"/>
            </w:pPr>
            <w:r>
              <w:t>17.6</w:t>
            </w:r>
          </w:p>
        </w:tc>
        <w:tc>
          <w:tcPr>
            <w:tcW w:w="667" w:type="dxa"/>
            <w:vAlign w:val="center"/>
          </w:tcPr>
          <w:p w14:paraId="244C0F71" w14:textId="77777777" w:rsidR="00650784" w:rsidRDefault="00650784" w:rsidP="003425C1">
            <w:pPr>
              <w:pStyle w:val="Tablenumbers"/>
            </w:pPr>
            <w:r>
              <w:t>23.2</w:t>
            </w:r>
          </w:p>
        </w:tc>
        <w:tc>
          <w:tcPr>
            <w:tcW w:w="667" w:type="dxa"/>
            <w:vAlign w:val="center"/>
          </w:tcPr>
          <w:p w14:paraId="14F91B4D" w14:textId="77777777" w:rsidR="00650784" w:rsidRDefault="00650784" w:rsidP="003425C1">
            <w:pPr>
              <w:pStyle w:val="Tablenumbers"/>
            </w:pPr>
          </w:p>
        </w:tc>
        <w:tc>
          <w:tcPr>
            <w:tcW w:w="667" w:type="dxa"/>
            <w:vAlign w:val="center"/>
          </w:tcPr>
          <w:p w14:paraId="339903C2" w14:textId="77777777" w:rsidR="00650784" w:rsidRDefault="00650784" w:rsidP="003425C1">
            <w:pPr>
              <w:pStyle w:val="Tablenumbers"/>
            </w:pPr>
          </w:p>
        </w:tc>
        <w:tc>
          <w:tcPr>
            <w:tcW w:w="667" w:type="dxa"/>
            <w:vAlign w:val="center"/>
          </w:tcPr>
          <w:p w14:paraId="1031F874" w14:textId="77777777" w:rsidR="00650784" w:rsidRDefault="00650784" w:rsidP="003425C1">
            <w:pPr>
              <w:pStyle w:val="Tablenumbers"/>
            </w:pPr>
          </w:p>
        </w:tc>
        <w:tc>
          <w:tcPr>
            <w:tcW w:w="667" w:type="dxa"/>
            <w:vAlign w:val="center"/>
          </w:tcPr>
          <w:p w14:paraId="68153ED9" w14:textId="77777777" w:rsidR="00650784" w:rsidRDefault="00650784" w:rsidP="003425C1">
            <w:pPr>
              <w:pStyle w:val="Tablenumbers"/>
            </w:pPr>
          </w:p>
        </w:tc>
      </w:tr>
      <w:tr w:rsidR="00650784" w14:paraId="482D7F4F" w14:textId="77777777" w:rsidTr="003425C1">
        <w:tc>
          <w:tcPr>
            <w:tcW w:w="2778" w:type="dxa"/>
            <w:vAlign w:val="center"/>
          </w:tcPr>
          <w:p w14:paraId="634826C7" w14:textId="77777777" w:rsidR="00650784" w:rsidRDefault="00650784" w:rsidP="003425C1">
            <w:pPr>
              <w:pStyle w:val="Tabletext"/>
            </w:pPr>
            <w:r>
              <w:t>2017 PC estimates (including unanticipated costs)</w:t>
            </w:r>
          </w:p>
        </w:tc>
        <w:tc>
          <w:tcPr>
            <w:tcW w:w="667" w:type="dxa"/>
            <w:vAlign w:val="center"/>
          </w:tcPr>
          <w:p w14:paraId="62049E52" w14:textId="77777777" w:rsidR="00650784" w:rsidRDefault="00650784" w:rsidP="003425C1">
            <w:pPr>
              <w:pStyle w:val="Tablenumbers"/>
            </w:pPr>
          </w:p>
        </w:tc>
        <w:tc>
          <w:tcPr>
            <w:tcW w:w="667" w:type="dxa"/>
            <w:vAlign w:val="center"/>
          </w:tcPr>
          <w:p w14:paraId="663A9D8F" w14:textId="77777777" w:rsidR="00650784" w:rsidRDefault="00650784" w:rsidP="003425C1">
            <w:pPr>
              <w:pStyle w:val="Tablenumbers"/>
            </w:pPr>
          </w:p>
        </w:tc>
        <w:tc>
          <w:tcPr>
            <w:tcW w:w="667" w:type="dxa"/>
            <w:vAlign w:val="center"/>
          </w:tcPr>
          <w:p w14:paraId="71BB54C2" w14:textId="77777777" w:rsidR="00650784" w:rsidRDefault="00650784" w:rsidP="003425C1">
            <w:pPr>
              <w:pStyle w:val="Tablenumbers"/>
            </w:pPr>
            <w:r>
              <w:t>21.9</w:t>
            </w:r>
          </w:p>
        </w:tc>
        <w:tc>
          <w:tcPr>
            <w:tcW w:w="667" w:type="dxa"/>
            <w:vAlign w:val="center"/>
          </w:tcPr>
          <w:p w14:paraId="3AAF8033" w14:textId="77777777" w:rsidR="00650784" w:rsidRDefault="00650784" w:rsidP="003425C1">
            <w:pPr>
              <w:pStyle w:val="Tablenumbers"/>
            </w:pPr>
            <w:r>
              <w:t>23.8</w:t>
            </w:r>
          </w:p>
        </w:tc>
        <w:tc>
          <w:tcPr>
            <w:tcW w:w="667" w:type="dxa"/>
            <w:vAlign w:val="center"/>
          </w:tcPr>
          <w:p w14:paraId="79D609C1" w14:textId="77777777" w:rsidR="00650784" w:rsidRDefault="00650784" w:rsidP="003425C1">
            <w:pPr>
              <w:pStyle w:val="Tablenumbers"/>
            </w:pPr>
            <w:r>
              <w:t>25.5</w:t>
            </w:r>
          </w:p>
        </w:tc>
        <w:tc>
          <w:tcPr>
            <w:tcW w:w="667" w:type="dxa"/>
            <w:vAlign w:val="center"/>
          </w:tcPr>
          <w:p w14:paraId="23411A2A" w14:textId="77777777" w:rsidR="00650784" w:rsidRDefault="00650784" w:rsidP="003425C1">
            <w:pPr>
              <w:pStyle w:val="Tablenumbers"/>
            </w:pPr>
            <w:r>
              <w:t>27.2</w:t>
            </w:r>
          </w:p>
        </w:tc>
        <w:tc>
          <w:tcPr>
            <w:tcW w:w="667" w:type="dxa"/>
            <w:vAlign w:val="center"/>
          </w:tcPr>
          <w:p w14:paraId="13958A36" w14:textId="77777777" w:rsidR="00650784" w:rsidRDefault="00650784" w:rsidP="003425C1">
            <w:pPr>
              <w:pStyle w:val="Tablenumbers"/>
            </w:pPr>
            <w:r>
              <w:t>29.0</w:t>
            </w:r>
          </w:p>
        </w:tc>
        <w:tc>
          <w:tcPr>
            <w:tcW w:w="667" w:type="dxa"/>
            <w:vAlign w:val="center"/>
          </w:tcPr>
          <w:p w14:paraId="6AE401FF" w14:textId="77777777" w:rsidR="00650784" w:rsidRDefault="00650784" w:rsidP="003425C1">
            <w:pPr>
              <w:pStyle w:val="Tablenumbers"/>
            </w:pPr>
            <w:r>
              <w:t>30.8</w:t>
            </w:r>
          </w:p>
        </w:tc>
      </w:tr>
      <w:tr w:rsidR="00650784" w14:paraId="507EF5DA" w14:textId="77777777" w:rsidTr="003425C1">
        <w:trPr>
          <w:cnfStyle w:val="000000100000" w:firstRow="0" w:lastRow="0" w:firstColumn="0" w:lastColumn="0" w:oddVBand="0" w:evenVBand="0" w:oddHBand="1" w:evenHBand="0" w:firstRowFirstColumn="0" w:firstRowLastColumn="0" w:lastRowFirstColumn="0" w:lastRowLastColumn="0"/>
        </w:trPr>
        <w:tc>
          <w:tcPr>
            <w:tcW w:w="2778" w:type="dxa"/>
            <w:vAlign w:val="center"/>
          </w:tcPr>
          <w:p w14:paraId="1479D44A" w14:textId="77777777" w:rsidR="00650784" w:rsidRDefault="00650784" w:rsidP="003425C1">
            <w:pPr>
              <w:pStyle w:val="Tabletext"/>
            </w:pPr>
            <w:r>
              <w:t>June 2019 AFSR</w:t>
            </w:r>
          </w:p>
        </w:tc>
        <w:tc>
          <w:tcPr>
            <w:tcW w:w="667" w:type="dxa"/>
            <w:vAlign w:val="center"/>
          </w:tcPr>
          <w:p w14:paraId="20D1E583" w14:textId="77777777" w:rsidR="00650784" w:rsidRDefault="00650784" w:rsidP="003425C1">
            <w:pPr>
              <w:pStyle w:val="Tablenumbers"/>
            </w:pPr>
          </w:p>
        </w:tc>
        <w:tc>
          <w:tcPr>
            <w:tcW w:w="667" w:type="dxa"/>
            <w:vAlign w:val="center"/>
          </w:tcPr>
          <w:p w14:paraId="2F5EA922" w14:textId="77777777" w:rsidR="00650784" w:rsidRDefault="00650784" w:rsidP="003425C1">
            <w:pPr>
              <w:pStyle w:val="Tablenumbers"/>
            </w:pPr>
          </w:p>
        </w:tc>
        <w:tc>
          <w:tcPr>
            <w:tcW w:w="667" w:type="dxa"/>
            <w:vAlign w:val="center"/>
          </w:tcPr>
          <w:p w14:paraId="5D8B4F52" w14:textId="77777777" w:rsidR="00650784" w:rsidRDefault="00650784" w:rsidP="003425C1">
            <w:pPr>
              <w:pStyle w:val="Tablenumbers"/>
            </w:pPr>
            <w:r>
              <w:t>16.7</w:t>
            </w:r>
          </w:p>
        </w:tc>
        <w:tc>
          <w:tcPr>
            <w:tcW w:w="667" w:type="dxa"/>
            <w:vAlign w:val="center"/>
          </w:tcPr>
          <w:p w14:paraId="446EF20D" w14:textId="77777777" w:rsidR="00650784" w:rsidRDefault="00650784" w:rsidP="003425C1">
            <w:pPr>
              <w:pStyle w:val="Tablenumbers"/>
            </w:pPr>
            <w:r>
              <w:t>21.1</w:t>
            </w:r>
          </w:p>
        </w:tc>
        <w:tc>
          <w:tcPr>
            <w:tcW w:w="667" w:type="dxa"/>
            <w:vAlign w:val="center"/>
          </w:tcPr>
          <w:p w14:paraId="6F48C0D3" w14:textId="77777777" w:rsidR="00650784" w:rsidRDefault="00650784" w:rsidP="003425C1">
            <w:pPr>
              <w:pStyle w:val="Tablenumbers"/>
            </w:pPr>
            <w:r>
              <w:t>24.2</w:t>
            </w:r>
          </w:p>
        </w:tc>
        <w:tc>
          <w:tcPr>
            <w:tcW w:w="667" w:type="dxa"/>
            <w:vAlign w:val="center"/>
          </w:tcPr>
          <w:p w14:paraId="551A5244" w14:textId="77777777" w:rsidR="00650784" w:rsidRDefault="00650784" w:rsidP="003425C1">
            <w:pPr>
              <w:pStyle w:val="Tablenumbers"/>
            </w:pPr>
            <w:r>
              <w:t>26.9</w:t>
            </w:r>
          </w:p>
        </w:tc>
        <w:tc>
          <w:tcPr>
            <w:tcW w:w="667" w:type="dxa"/>
            <w:vAlign w:val="center"/>
          </w:tcPr>
          <w:p w14:paraId="6DD2DF08" w14:textId="77777777" w:rsidR="00650784" w:rsidRDefault="00650784" w:rsidP="003425C1">
            <w:pPr>
              <w:pStyle w:val="Tablenumbers"/>
            </w:pPr>
            <w:r>
              <w:t>28.9</w:t>
            </w:r>
          </w:p>
        </w:tc>
        <w:tc>
          <w:tcPr>
            <w:tcW w:w="667" w:type="dxa"/>
            <w:vAlign w:val="center"/>
          </w:tcPr>
          <w:p w14:paraId="4DC31810" w14:textId="77777777" w:rsidR="00650784" w:rsidRDefault="00650784" w:rsidP="003425C1">
            <w:pPr>
              <w:pStyle w:val="Tablenumbers"/>
            </w:pPr>
            <w:r>
              <w:t>30.8</w:t>
            </w:r>
          </w:p>
        </w:tc>
      </w:tr>
      <w:tr w:rsidR="00650784" w14:paraId="25220B30" w14:textId="77777777" w:rsidTr="003425C1">
        <w:tc>
          <w:tcPr>
            <w:tcW w:w="2778" w:type="dxa"/>
            <w:vAlign w:val="center"/>
          </w:tcPr>
          <w:p w14:paraId="31AA9672" w14:textId="77777777" w:rsidR="00650784" w:rsidRDefault="00650784" w:rsidP="003425C1">
            <w:pPr>
              <w:pStyle w:val="Tabletext"/>
            </w:pPr>
            <w:r>
              <w:t>June 2020 AFSR</w:t>
            </w:r>
          </w:p>
        </w:tc>
        <w:tc>
          <w:tcPr>
            <w:tcW w:w="667" w:type="dxa"/>
            <w:vAlign w:val="center"/>
          </w:tcPr>
          <w:p w14:paraId="785A5C9E" w14:textId="77777777" w:rsidR="00650784" w:rsidRDefault="00650784" w:rsidP="003425C1">
            <w:pPr>
              <w:pStyle w:val="Tablenumbers"/>
            </w:pPr>
          </w:p>
        </w:tc>
        <w:tc>
          <w:tcPr>
            <w:tcW w:w="667" w:type="dxa"/>
            <w:vAlign w:val="center"/>
          </w:tcPr>
          <w:p w14:paraId="3DA004FF" w14:textId="77777777" w:rsidR="00650784" w:rsidRDefault="00650784" w:rsidP="003425C1">
            <w:pPr>
              <w:pStyle w:val="Tablenumbers"/>
            </w:pPr>
          </w:p>
        </w:tc>
        <w:tc>
          <w:tcPr>
            <w:tcW w:w="667" w:type="dxa"/>
            <w:vAlign w:val="center"/>
          </w:tcPr>
          <w:p w14:paraId="3EEC7E2F" w14:textId="77777777" w:rsidR="00650784" w:rsidRDefault="00650784" w:rsidP="003425C1">
            <w:pPr>
              <w:pStyle w:val="Tablenumbers"/>
            </w:pPr>
          </w:p>
        </w:tc>
        <w:tc>
          <w:tcPr>
            <w:tcW w:w="667" w:type="dxa"/>
            <w:vAlign w:val="center"/>
          </w:tcPr>
          <w:p w14:paraId="11B198DC" w14:textId="77777777" w:rsidR="00650784" w:rsidRDefault="00650784" w:rsidP="003425C1">
            <w:pPr>
              <w:pStyle w:val="Tablenumbers"/>
            </w:pPr>
            <w:r>
              <w:t>22.3</w:t>
            </w:r>
          </w:p>
        </w:tc>
        <w:tc>
          <w:tcPr>
            <w:tcW w:w="667" w:type="dxa"/>
            <w:vAlign w:val="center"/>
          </w:tcPr>
          <w:p w14:paraId="6541E3D8" w14:textId="77777777" w:rsidR="00650784" w:rsidRDefault="00650784" w:rsidP="003425C1">
            <w:pPr>
              <w:pStyle w:val="Tablenumbers"/>
            </w:pPr>
            <w:r>
              <w:t>26.1</w:t>
            </w:r>
          </w:p>
        </w:tc>
        <w:tc>
          <w:tcPr>
            <w:tcW w:w="667" w:type="dxa"/>
            <w:vAlign w:val="center"/>
          </w:tcPr>
          <w:p w14:paraId="2BCED0F4" w14:textId="77777777" w:rsidR="00650784" w:rsidRDefault="00650784" w:rsidP="003425C1">
            <w:pPr>
              <w:pStyle w:val="Tablenumbers"/>
            </w:pPr>
            <w:r>
              <w:t>28.9</w:t>
            </w:r>
          </w:p>
        </w:tc>
        <w:tc>
          <w:tcPr>
            <w:tcW w:w="667" w:type="dxa"/>
            <w:vAlign w:val="center"/>
          </w:tcPr>
          <w:p w14:paraId="3832E14E" w14:textId="77777777" w:rsidR="00650784" w:rsidRDefault="00650784" w:rsidP="003425C1">
            <w:pPr>
              <w:pStyle w:val="Tablenumbers"/>
            </w:pPr>
            <w:r>
              <w:t>31.4</w:t>
            </w:r>
          </w:p>
        </w:tc>
        <w:tc>
          <w:tcPr>
            <w:tcW w:w="667" w:type="dxa"/>
            <w:vAlign w:val="center"/>
          </w:tcPr>
          <w:p w14:paraId="12FA3DD0" w14:textId="77777777" w:rsidR="00650784" w:rsidRDefault="00650784" w:rsidP="003425C1">
            <w:pPr>
              <w:pStyle w:val="Tablenumbers"/>
            </w:pPr>
            <w:r>
              <w:t>34.3</w:t>
            </w:r>
          </w:p>
        </w:tc>
      </w:tr>
      <w:tr w:rsidR="00650784" w14:paraId="3F96AF32" w14:textId="77777777" w:rsidTr="003425C1">
        <w:trPr>
          <w:cnfStyle w:val="000000100000" w:firstRow="0" w:lastRow="0" w:firstColumn="0" w:lastColumn="0" w:oddVBand="0" w:evenVBand="0" w:oddHBand="1" w:evenHBand="0" w:firstRowFirstColumn="0" w:firstRowLastColumn="0" w:lastRowFirstColumn="0" w:lastRowLastColumn="0"/>
        </w:trPr>
        <w:tc>
          <w:tcPr>
            <w:tcW w:w="2778" w:type="dxa"/>
            <w:vAlign w:val="center"/>
          </w:tcPr>
          <w:p w14:paraId="2613F3E0" w14:textId="77777777" w:rsidR="00650784" w:rsidRDefault="00650784" w:rsidP="003425C1">
            <w:pPr>
              <w:pStyle w:val="Tabletext"/>
            </w:pPr>
            <w:r>
              <w:t>Dec 2020 AFSR</w:t>
            </w:r>
          </w:p>
        </w:tc>
        <w:tc>
          <w:tcPr>
            <w:tcW w:w="667" w:type="dxa"/>
            <w:vAlign w:val="center"/>
          </w:tcPr>
          <w:p w14:paraId="667F9E22" w14:textId="77777777" w:rsidR="00650784" w:rsidRDefault="00650784" w:rsidP="003425C1">
            <w:pPr>
              <w:pStyle w:val="Tablenumbers"/>
            </w:pPr>
          </w:p>
        </w:tc>
        <w:tc>
          <w:tcPr>
            <w:tcW w:w="667" w:type="dxa"/>
            <w:vAlign w:val="center"/>
          </w:tcPr>
          <w:p w14:paraId="48E25C50" w14:textId="77777777" w:rsidR="00650784" w:rsidRDefault="00650784" w:rsidP="003425C1">
            <w:pPr>
              <w:pStyle w:val="Tablenumbers"/>
            </w:pPr>
          </w:p>
        </w:tc>
        <w:tc>
          <w:tcPr>
            <w:tcW w:w="667" w:type="dxa"/>
            <w:vAlign w:val="center"/>
          </w:tcPr>
          <w:p w14:paraId="2EFC3A5C" w14:textId="77777777" w:rsidR="00650784" w:rsidRDefault="00650784" w:rsidP="003425C1">
            <w:pPr>
              <w:pStyle w:val="Tablenumbers"/>
            </w:pPr>
          </w:p>
        </w:tc>
        <w:tc>
          <w:tcPr>
            <w:tcW w:w="667" w:type="dxa"/>
            <w:vAlign w:val="center"/>
          </w:tcPr>
          <w:p w14:paraId="1D57B856" w14:textId="77777777" w:rsidR="00650784" w:rsidRDefault="00650784" w:rsidP="003425C1">
            <w:pPr>
              <w:pStyle w:val="Tablenumbers"/>
            </w:pPr>
          </w:p>
        </w:tc>
        <w:tc>
          <w:tcPr>
            <w:tcW w:w="667" w:type="dxa"/>
            <w:vAlign w:val="center"/>
          </w:tcPr>
          <w:p w14:paraId="494777B6" w14:textId="77777777" w:rsidR="00650784" w:rsidRDefault="00650784" w:rsidP="003425C1">
            <w:pPr>
              <w:pStyle w:val="Tablenumbers"/>
            </w:pPr>
            <w:r>
              <w:t>28.1</w:t>
            </w:r>
          </w:p>
        </w:tc>
        <w:tc>
          <w:tcPr>
            <w:tcW w:w="667" w:type="dxa"/>
            <w:vAlign w:val="center"/>
          </w:tcPr>
          <w:p w14:paraId="55C84AFF" w14:textId="77777777" w:rsidR="00650784" w:rsidRDefault="00650784" w:rsidP="003425C1">
            <w:pPr>
              <w:pStyle w:val="Tablenumbers"/>
            </w:pPr>
            <w:r>
              <w:t>32.9</w:t>
            </w:r>
          </w:p>
        </w:tc>
        <w:tc>
          <w:tcPr>
            <w:tcW w:w="667" w:type="dxa"/>
            <w:vAlign w:val="center"/>
          </w:tcPr>
          <w:p w14:paraId="7FF1F638" w14:textId="77777777" w:rsidR="00650784" w:rsidRDefault="00650784" w:rsidP="003425C1">
            <w:pPr>
              <w:pStyle w:val="Tablenumbers"/>
            </w:pPr>
            <w:r>
              <w:t>36.9</w:t>
            </w:r>
          </w:p>
        </w:tc>
        <w:tc>
          <w:tcPr>
            <w:tcW w:w="667" w:type="dxa"/>
            <w:vAlign w:val="center"/>
          </w:tcPr>
          <w:p w14:paraId="007FBD88" w14:textId="77777777" w:rsidR="00650784" w:rsidRDefault="00650784" w:rsidP="003425C1">
            <w:pPr>
              <w:pStyle w:val="Tablenumbers"/>
            </w:pPr>
            <w:r>
              <w:t>40.7</w:t>
            </w:r>
          </w:p>
        </w:tc>
      </w:tr>
      <w:tr w:rsidR="00650784" w14:paraId="66B284CD" w14:textId="77777777" w:rsidTr="003425C1">
        <w:tc>
          <w:tcPr>
            <w:tcW w:w="2778" w:type="dxa"/>
            <w:vAlign w:val="center"/>
          </w:tcPr>
          <w:p w14:paraId="12CBF220" w14:textId="77777777" w:rsidR="00650784" w:rsidRDefault="00650784" w:rsidP="003425C1">
            <w:pPr>
              <w:pStyle w:val="Tabletext"/>
            </w:pPr>
            <w:r>
              <w:t>June 2021 AFSR</w:t>
            </w:r>
          </w:p>
        </w:tc>
        <w:tc>
          <w:tcPr>
            <w:tcW w:w="667" w:type="dxa"/>
            <w:vAlign w:val="center"/>
          </w:tcPr>
          <w:p w14:paraId="35147637" w14:textId="77777777" w:rsidR="00650784" w:rsidRDefault="00650784" w:rsidP="003425C1">
            <w:pPr>
              <w:pStyle w:val="Tablenumbers"/>
            </w:pPr>
          </w:p>
        </w:tc>
        <w:tc>
          <w:tcPr>
            <w:tcW w:w="667" w:type="dxa"/>
            <w:vAlign w:val="center"/>
          </w:tcPr>
          <w:p w14:paraId="6D07E57C" w14:textId="77777777" w:rsidR="00650784" w:rsidRDefault="00650784" w:rsidP="003425C1">
            <w:pPr>
              <w:pStyle w:val="Tablenumbers"/>
            </w:pPr>
          </w:p>
        </w:tc>
        <w:tc>
          <w:tcPr>
            <w:tcW w:w="667" w:type="dxa"/>
            <w:vAlign w:val="center"/>
          </w:tcPr>
          <w:p w14:paraId="62FBA727" w14:textId="77777777" w:rsidR="00650784" w:rsidRDefault="00650784" w:rsidP="003425C1">
            <w:pPr>
              <w:pStyle w:val="Tablenumbers"/>
            </w:pPr>
          </w:p>
        </w:tc>
        <w:tc>
          <w:tcPr>
            <w:tcW w:w="667" w:type="dxa"/>
            <w:vAlign w:val="center"/>
          </w:tcPr>
          <w:p w14:paraId="6B486C97" w14:textId="77777777" w:rsidR="00650784" w:rsidRDefault="00650784" w:rsidP="003425C1">
            <w:pPr>
              <w:pStyle w:val="Tablenumbers"/>
            </w:pPr>
          </w:p>
        </w:tc>
        <w:tc>
          <w:tcPr>
            <w:tcW w:w="667" w:type="dxa"/>
            <w:vAlign w:val="center"/>
          </w:tcPr>
          <w:p w14:paraId="547ACC7F" w14:textId="77777777" w:rsidR="00650784" w:rsidRDefault="00650784" w:rsidP="003425C1">
            <w:pPr>
              <w:pStyle w:val="Tablenumbers"/>
            </w:pPr>
            <w:r>
              <w:t>29.2</w:t>
            </w:r>
          </w:p>
        </w:tc>
        <w:tc>
          <w:tcPr>
            <w:tcW w:w="667" w:type="dxa"/>
            <w:vAlign w:val="center"/>
          </w:tcPr>
          <w:p w14:paraId="060416DB" w14:textId="77777777" w:rsidR="00650784" w:rsidRDefault="00650784" w:rsidP="003425C1">
            <w:pPr>
              <w:pStyle w:val="Tablenumbers"/>
            </w:pPr>
            <w:r>
              <w:t>33.9</w:t>
            </w:r>
          </w:p>
        </w:tc>
        <w:tc>
          <w:tcPr>
            <w:tcW w:w="667" w:type="dxa"/>
            <w:vAlign w:val="center"/>
          </w:tcPr>
          <w:p w14:paraId="65ED868E" w14:textId="77777777" w:rsidR="00650784" w:rsidRDefault="00650784" w:rsidP="003425C1">
            <w:pPr>
              <w:pStyle w:val="Tablenumbers"/>
            </w:pPr>
            <w:r>
              <w:t>38.0</w:t>
            </w:r>
          </w:p>
        </w:tc>
        <w:tc>
          <w:tcPr>
            <w:tcW w:w="667" w:type="dxa"/>
            <w:vAlign w:val="center"/>
          </w:tcPr>
          <w:p w14:paraId="644FDBDC" w14:textId="77777777" w:rsidR="00650784" w:rsidRDefault="00650784" w:rsidP="003425C1">
            <w:pPr>
              <w:pStyle w:val="Tablenumbers"/>
            </w:pPr>
            <w:r>
              <w:t>41.3</w:t>
            </w:r>
          </w:p>
        </w:tc>
      </w:tr>
    </w:tbl>
    <w:p w14:paraId="699D8C4E" w14:textId="77777777" w:rsidR="00650784" w:rsidRDefault="00650784" w:rsidP="00650784">
      <w:pPr>
        <w:pStyle w:val="Tablenotesorsource"/>
      </w:pPr>
      <w:r>
        <w:t>Note: All numbers except final row taken from the June 2021 quarterly update. June 2021 numbers taken from the 2020-21 AFSR.</w:t>
      </w:r>
    </w:p>
    <w:p w14:paraId="4A5D28F0" w14:textId="70AAE43B" w:rsidR="00650784" w:rsidRDefault="00650784" w:rsidP="00650784">
      <w:pPr>
        <w:keepNext/>
        <w:spacing w:before="0" w:after="160" w:line="259" w:lineRule="auto"/>
      </w:pPr>
      <w:r>
        <w:t>The June 2020 and December 2020 forecasts take values between the June 2019 and June 2021 levels, reflecting that some of the assumption changes observed between 2018-19 and 2020-21 AFSRs have been applied gradually over time. We have not performed a detailed analysis attributing assumption changes for the intermediate AFSR, but in broad terms:</w:t>
      </w:r>
    </w:p>
    <w:p w14:paraId="72F86B62" w14:textId="724E6C80" w:rsidR="00650784" w:rsidRDefault="00650784" w:rsidP="00650784">
      <w:pPr>
        <w:pStyle w:val="Bullet1"/>
      </w:pPr>
      <w:r>
        <w:t>Most of the increase related to future</w:t>
      </w:r>
      <w:r w:rsidRPr="00B80B64">
        <w:rPr>
          <w:b/>
          <w:bCs/>
        </w:rPr>
        <w:t xml:space="preserve"> participant numbers </w:t>
      </w:r>
      <w:r>
        <w:t>was applied in the December 2020 interim update; the long-term number of entrants w</w:t>
      </w:r>
      <w:r w:rsidR="00935520">
        <w:t>as</w:t>
      </w:r>
      <w:r>
        <w:t xml:space="preserve"> increased </w:t>
      </w:r>
      <w:r w:rsidR="00935520">
        <w:t xml:space="preserve">by </w:t>
      </w:r>
      <w:r>
        <w:t xml:space="preserve">roughly 50% and the short-term lowering of exit rates was applied. </w:t>
      </w:r>
    </w:p>
    <w:p w14:paraId="3F3C7388" w14:textId="09DDFAA5" w:rsidR="00650784" w:rsidRDefault="00650784" w:rsidP="00650784">
      <w:pPr>
        <w:pStyle w:val="Bullet1"/>
      </w:pPr>
      <w:r>
        <w:t xml:space="preserve">The increase related to rising </w:t>
      </w:r>
      <w:r w:rsidRPr="00B80B64">
        <w:rPr>
          <w:b/>
          <w:bCs/>
        </w:rPr>
        <w:t>average package costs</w:t>
      </w:r>
      <w:r>
        <w:t xml:space="preserve"> has been recognised incrementally. These assumptions a</w:t>
      </w:r>
      <w:r w:rsidR="00DD0F84">
        <w:t>re</w:t>
      </w:r>
      <w:r>
        <w:t xml:space="preserve"> tied to actual levels, which have generally been higher than expected at each timepoint. </w:t>
      </w:r>
    </w:p>
    <w:p w14:paraId="0D28F5A9" w14:textId="77777777" w:rsidR="00650784" w:rsidRPr="00B80B64" w:rsidRDefault="00650784" w:rsidP="00650784">
      <w:pPr>
        <w:pStyle w:val="Bullet1"/>
      </w:pPr>
      <w:r>
        <w:t xml:space="preserve">While individual components of </w:t>
      </w:r>
      <w:r w:rsidRPr="00B80B64">
        <w:rPr>
          <w:b/>
          <w:bCs/>
        </w:rPr>
        <w:t>cost escalation</w:t>
      </w:r>
      <w:r>
        <w:t xml:space="preserve"> (inflation plus superimposed inflation) have varied over time, the largest increase was applied in the (June) 2020-21 AFSR, with smaller increases in the preceding reports.</w:t>
      </w:r>
    </w:p>
    <w:p w14:paraId="77651248" w14:textId="515B4815" w:rsidR="00650784" w:rsidRDefault="00650784" w:rsidP="00650784">
      <w:pPr>
        <w:pStyle w:val="Bullet1"/>
      </w:pPr>
      <w:r>
        <w:t xml:space="preserve">Much of the reduction related to </w:t>
      </w:r>
      <w:r w:rsidRPr="00B80B64">
        <w:rPr>
          <w:b/>
          <w:bCs/>
        </w:rPr>
        <w:t>future SIL number assumptions</w:t>
      </w:r>
      <w:r>
        <w:t xml:space="preserve"> is concentrated in the 2020-21 AFSR, where a much lower growth trajectory is assumed.</w:t>
      </w:r>
    </w:p>
    <w:p w14:paraId="35E93AE0" w14:textId="6ABEA392" w:rsidR="001B7A59" w:rsidRDefault="00650784" w:rsidP="00650784">
      <w:r>
        <w:t xml:space="preserve">We note other forecasts exist, such as those related to budget estimates and those from the Parliamentary Budget Office. We have not reviewed these in </w:t>
      </w:r>
      <w:r w:rsidR="00D64F52">
        <w:t>detail but</w:t>
      </w:r>
      <w:r>
        <w:t xml:space="preserve"> understand that recent estimates lie between 2018-19 and 2020-21 AFSR numbers, so likely reflect gradual recognition of emerging experience.</w:t>
      </w:r>
    </w:p>
    <w:p w14:paraId="4CD13D83" w14:textId="77777777" w:rsidR="001B7A59" w:rsidRDefault="001B7A59">
      <w:pPr>
        <w:spacing w:before="0" w:after="160" w:line="259" w:lineRule="auto"/>
      </w:pPr>
      <w:r>
        <w:br w:type="page"/>
      </w:r>
    </w:p>
    <w:p w14:paraId="51496F1D" w14:textId="1A7756E7" w:rsidR="00D320CF" w:rsidRDefault="00DF0355" w:rsidP="00CA511A">
      <w:pPr>
        <w:pStyle w:val="NNheading2Exec"/>
      </w:pPr>
      <w:r w:rsidRPr="00C92373">
        <w:rPr>
          <w:noProof/>
        </w:rPr>
        <mc:AlternateContent>
          <mc:Choice Requires="wps">
            <w:drawing>
              <wp:anchor distT="0" distB="0" distL="114300" distR="114300" simplePos="0" relativeHeight="251709440" behindDoc="1" locked="0" layoutInCell="1" allowOverlap="1" wp14:anchorId="3150DB7A" wp14:editId="41C3F10C">
                <wp:simplePos x="0" y="0"/>
                <wp:positionH relativeFrom="margin">
                  <wp:posOffset>-921385</wp:posOffset>
                </wp:positionH>
                <wp:positionV relativeFrom="paragraph">
                  <wp:posOffset>-25400</wp:posOffset>
                </wp:positionV>
                <wp:extent cx="6898005" cy="255905"/>
                <wp:effectExtent l="0" t="0" r="0" b="0"/>
                <wp:wrapNone/>
                <wp:docPr id="124" name="Rectangl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005" cy="25590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6F8E5D" id="Rectangle 124" o:spid="_x0000_s1026" alt="&quot;&quot;" style="position:absolute;margin-left:-72.55pt;margin-top:-2pt;width:543.15pt;height:20.15pt;z-index:-251607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" fillcolor="#005295 [2404]" stroked="f" strokeweight="1pt">
                <w10:wrap anchorx="margin"/>
              </v:rect>
            </w:pict>
          </mc:Fallback>
        </mc:AlternateContent>
      </w:r>
      <w:r w:rsidR="00D320CF">
        <w:t>Sensitivity and scenario testing</w:t>
      </w:r>
    </w:p>
    <w:p w14:paraId="09389EEE" w14:textId="76DE315F" w:rsidR="00D320CF" w:rsidRDefault="00D320CF" w:rsidP="00D320CF">
      <w:r>
        <w:t xml:space="preserve">Section </w:t>
      </w:r>
      <w:r w:rsidR="003A45E0">
        <w:rPr>
          <w:highlight w:val="yellow"/>
        </w:rPr>
        <w:fldChar w:fldCharType="begin"/>
      </w:r>
      <w:r w:rsidR="003A45E0">
        <w:instrText xml:space="preserve"> REF _Ref88220343 \r \h </w:instrText>
      </w:r>
      <w:r w:rsidR="003A45E0">
        <w:rPr>
          <w:highlight w:val="yellow"/>
        </w:rPr>
      </w:r>
      <w:r w:rsidR="003A45E0">
        <w:rPr>
          <w:highlight w:val="yellow"/>
        </w:rPr>
        <w:fldChar w:fldCharType="separate"/>
      </w:r>
      <w:r w:rsidR="00E6217F">
        <w:t>6</w:t>
      </w:r>
      <w:r w:rsidR="003A45E0">
        <w:rPr>
          <w:highlight w:val="yellow"/>
        </w:rPr>
        <w:fldChar w:fldCharType="end"/>
      </w:r>
      <w:r>
        <w:t xml:space="preserve"> of our report includes sensitivity testing </w:t>
      </w:r>
      <w:r w:rsidR="00FF6CD9">
        <w:t>of key</w:t>
      </w:r>
      <w:r>
        <w:t xml:space="preserve"> model assumptions. Future rates of new entrants and </w:t>
      </w:r>
      <w:r w:rsidR="007A5D84">
        <w:t>Scheme</w:t>
      </w:r>
      <w:r>
        <w:t xml:space="preserve"> exit rates are important, particularly </w:t>
      </w:r>
      <w:r w:rsidR="00FF6CD9">
        <w:t xml:space="preserve">over </w:t>
      </w:r>
      <w:r>
        <w:t xml:space="preserve">the longer term </w:t>
      </w:r>
      <w:r w:rsidRPr="009125AE">
        <w:t>(20</w:t>
      </w:r>
      <w:r w:rsidRPr="002A687C">
        <w:t>29</w:t>
      </w:r>
      <w:r w:rsidRPr="009125AE">
        <w:t>-30</w:t>
      </w:r>
      <w:r>
        <w:t xml:space="preserve"> estimates). Cost escalation assumptions will </w:t>
      </w:r>
      <w:r w:rsidR="00FF6CD9">
        <w:t xml:space="preserve">also materially </w:t>
      </w:r>
      <w:r>
        <w:t xml:space="preserve">affect </w:t>
      </w:r>
      <w:r w:rsidR="00FF6CD9">
        <w:t xml:space="preserve">future </w:t>
      </w:r>
      <w:r w:rsidR="00935520">
        <w:t>costs</w:t>
      </w:r>
      <w:r>
        <w:t xml:space="preserve">. We also note that the Scheme Actuary provides a range of scenario tests as part of their AFSR, which includes an estimate of the plausible range. </w:t>
      </w:r>
    </w:p>
    <w:p w14:paraId="5C35B972" w14:textId="24546033" w:rsidR="00D320CF" w:rsidRPr="00ED4CC4" w:rsidRDefault="00D320CF" w:rsidP="00D320CF">
      <w:r>
        <w:t xml:space="preserve">All forecasts carry uncertainty, and the sensitivity testing makes clear that the </w:t>
      </w:r>
      <w:r w:rsidRPr="009125AE">
        <w:t>20</w:t>
      </w:r>
      <w:r w:rsidRPr="002A687C">
        <w:t>29</w:t>
      </w:r>
      <w:r w:rsidRPr="009125AE">
        <w:t>-30</w:t>
      </w:r>
      <w:r>
        <w:t xml:space="preserve"> cost estimates are significantly more uncertain the 2024-25 estimates (about twice as variable). This uncertainty relates both to time horizon effects (longer-term is always hard) and </w:t>
      </w:r>
      <w:r w:rsidR="007A5D84">
        <w:t>Scheme</w:t>
      </w:r>
      <w:r>
        <w:t xml:space="preserve"> maturity effects (likely changes in </w:t>
      </w:r>
      <w:r w:rsidR="007A5D84">
        <w:t>Scheme</w:t>
      </w:r>
      <w:r>
        <w:t xml:space="preserve"> participant flows and pricing structures). </w:t>
      </w:r>
    </w:p>
    <w:p w14:paraId="141831F8" w14:textId="439C19D9" w:rsidR="00D320CF" w:rsidRDefault="00CA511A" w:rsidP="00CA511A">
      <w:pPr>
        <w:pStyle w:val="NNheading2Exec"/>
      </w:pPr>
      <w:r w:rsidRPr="00C92373">
        <w:rPr>
          <w:noProof/>
        </w:rPr>
        <mc:AlternateContent>
          <mc:Choice Requires="wps">
            <w:drawing>
              <wp:anchor distT="0" distB="0" distL="114300" distR="114300" simplePos="0" relativeHeight="251713536" behindDoc="1" locked="0" layoutInCell="1" allowOverlap="1" wp14:anchorId="12714D64" wp14:editId="15033AD8">
                <wp:simplePos x="0" y="0"/>
                <wp:positionH relativeFrom="margin">
                  <wp:posOffset>-921385</wp:posOffset>
                </wp:positionH>
                <wp:positionV relativeFrom="paragraph">
                  <wp:posOffset>80645</wp:posOffset>
                </wp:positionV>
                <wp:extent cx="6898234" cy="256032"/>
                <wp:effectExtent l="0" t="0" r="0" b="0"/>
                <wp:wrapNone/>
                <wp:docPr id="126" name="Rectangle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234" cy="25603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FD414E" id="Rectangle 126" o:spid="_x0000_s1026" alt="&quot;&quot;" style="position:absolute;margin-left:-72.55pt;margin-top:6.35pt;width:543.15pt;height:20.15pt;z-index:-251602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" fillcolor="#005295 [2404]" stroked="f" strokeweight="1pt">
                <w10:wrap anchorx="margin"/>
              </v:rect>
            </w:pict>
          </mc:Fallback>
        </mc:AlternateContent>
      </w:r>
      <w:r w:rsidR="00C92373">
        <w:t xml:space="preserve">Additional </w:t>
      </w:r>
      <w:r w:rsidR="00D320CF">
        <w:t>analysis</w:t>
      </w:r>
    </w:p>
    <w:p w14:paraId="7F41AB9D" w14:textId="694F28FD" w:rsidR="00D320CF" w:rsidRDefault="00D320CF" w:rsidP="00D320CF">
      <w:r>
        <w:t xml:space="preserve">Section </w:t>
      </w:r>
      <w:r w:rsidR="00ED2FC8">
        <w:rPr>
          <w:highlight w:val="yellow"/>
        </w:rPr>
        <w:fldChar w:fldCharType="begin"/>
      </w:r>
      <w:r w:rsidR="00ED2FC8">
        <w:instrText xml:space="preserve"> REF _Ref87654047 \r \h </w:instrText>
      </w:r>
      <w:r w:rsidR="00ED2FC8">
        <w:rPr>
          <w:highlight w:val="yellow"/>
        </w:rPr>
      </w:r>
      <w:r w:rsidR="00ED2FC8">
        <w:rPr>
          <w:highlight w:val="yellow"/>
        </w:rPr>
        <w:fldChar w:fldCharType="separate"/>
      </w:r>
      <w:r w:rsidR="00E6217F">
        <w:t>7</w:t>
      </w:r>
      <w:r w:rsidR="00ED2FC8">
        <w:rPr>
          <w:highlight w:val="yellow"/>
        </w:rPr>
        <w:fldChar w:fldCharType="end"/>
      </w:r>
      <w:r>
        <w:t xml:space="preserve"> of our report includes further analysis </w:t>
      </w:r>
      <w:r w:rsidR="00CB46C4">
        <w:t xml:space="preserve">we have undertaken </w:t>
      </w:r>
      <w:r>
        <w:t xml:space="preserve">on aspects of the </w:t>
      </w:r>
      <w:r w:rsidR="001D3357">
        <w:t>S</w:t>
      </w:r>
      <w:r>
        <w:t>cheme. To highlight some findings:</w:t>
      </w:r>
    </w:p>
    <w:p w14:paraId="1561B2E7" w14:textId="77777777" w:rsidR="00D320CF" w:rsidRDefault="00D320CF" w:rsidP="00D320CF">
      <w:pPr>
        <w:pStyle w:val="Bullet1"/>
      </w:pPr>
      <w:r w:rsidRPr="000E67F9">
        <w:rPr>
          <w:b/>
          <w:bCs/>
        </w:rPr>
        <w:t>Trial regions</w:t>
      </w:r>
      <w:r>
        <w:t xml:space="preserve"> show a continued linear increase in the number of entrants from outside previous State and Commonwealth Schemes. Projecting this onto the broader population implies continued strong growth in numbers.</w:t>
      </w:r>
    </w:p>
    <w:p w14:paraId="60190DF9" w14:textId="3B53F794" w:rsidR="00D320CF" w:rsidRPr="00E860B1" w:rsidRDefault="00D320CF" w:rsidP="00D320CF">
      <w:pPr>
        <w:pStyle w:val="Bullet1"/>
      </w:pPr>
      <w:r>
        <w:t xml:space="preserve">NDIS numbers are comparable to those in </w:t>
      </w:r>
      <w:r w:rsidRPr="00E860B1">
        <w:t xml:space="preserve">the </w:t>
      </w:r>
      <w:r w:rsidRPr="000E67F9">
        <w:rPr>
          <w:b/>
          <w:bCs/>
        </w:rPr>
        <w:t>ABS Survey of Disability, Aging and Carers (SDAC)</w:t>
      </w:r>
      <w:r w:rsidRPr="00E860B1">
        <w:t xml:space="preserve"> ‘severe and profound’ estimates for age groups under 25 and are projected to be much higher again by the end of 2024-25. </w:t>
      </w:r>
      <w:r>
        <w:t>But enrolments are lower than SDAC for ages over 25. The SDAC also echoes the increase</w:t>
      </w:r>
      <w:r w:rsidR="00935520">
        <w:t>d</w:t>
      </w:r>
      <w:r>
        <w:t xml:space="preserve"> rate of autism, particular</w:t>
      </w:r>
      <w:r w:rsidR="00935520">
        <w:t>ly</w:t>
      </w:r>
      <w:r>
        <w:t xml:space="preserve"> for young adults.</w:t>
      </w:r>
    </w:p>
    <w:p w14:paraId="3C3A034A" w14:textId="6568FA4A" w:rsidR="00D320CF" w:rsidRDefault="00D320CF" w:rsidP="00D320CF">
      <w:pPr>
        <w:pStyle w:val="Bullet1"/>
      </w:pPr>
      <w:r w:rsidRPr="000E67F9">
        <w:rPr>
          <w:b/>
          <w:bCs/>
        </w:rPr>
        <w:t>Multivariate analysis</w:t>
      </w:r>
      <w:r>
        <w:t xml:space="preserve"> shows strong </w:t>
      </w:r>
      <w:r w:rsidR="0056706B">
        <w:t xml:space="preserve">increases in per participant </w:t>
      </w:r>
      <w:r w:rsidR="007A5D84">
        <w:t>Scheme</w:t>
      </w:r>
      <w:r w:rsidR="0056706B">
        <w:t xml:space="preserve"> costs by both duration (the length of time a person has been in the </w:t>
      </w:r>
      <w:r w:rsidR="00996D1E">
        <w:t>S</w:t>
      </w:r>
      <w:r w:rsidR="0056706B">
        <w:t>cheme) and calendar effects (increases in payments over time for similar cohorts of people)</w:t>
      </w:r>
      <w:r>
        <w:t>. It also implies that, assuming existing trends continue, duration-related growth is likely to persist.</w:t>
      </w:r>
    </w:p>
    <w:p w14:paraId="189D1510" w14:textId="626FB5D8" w:rsidR="00D320CF" w:rsidRDefault="00D320CF" w:rsidP="00B14B0E">
      <w:pPr>
        <w:pStyle w:val="Bullet1"/>
        <w:tabs>
          <w:tab w:val="left" w:pos="3119"/>
        </w:tabs>
      </w:pPr>
      <w:r>
        <w:t xml:space="preserve">More </w:t>
      </w:r>
      <w:r w:rsidRPr="000E67F9">
        <w:rPr>
          <w:b/>
          <w:bCs/>
        </w:rPr>
        <w:t>growth in payments</w:t>
      </w:r>
      <w:r>
        <w:t xml:space="preserve"> have come from those with lower payment levels in 2019-20. While people who had payments between $0 and $50k in 2019-20 represented a small fraction </w:t>
      </w:r>
      <w:r w:rsidR="00D53DA6">
        <w:t xml:space="preserve">of </w:t>
      </w:r>
      <w:r>
        <w:t xml:space="preserve">overall </w:t>
      </w:r>
      <w:r w:rsidR="007A5D84">
        <w:t>Scheme</w:t>
      </w:r>
      <w:r>
        <w:t xml:space="preserve"> costs, they had disproportionality large increases in 2020-21. </w:t>
      </w:r>
    </w:p>
    <w:p w14:paraId="5D3DBEDB" w14:textId="69CB95BD" w:rsidR="00D320CF" w:rsidRDefault="00D320CF" w:rsidP="00D320CF">
      <w:pPr>
        <w:pStyle w:val="Bullet1"/>
      </w:pPr>
      <w:r w:rsidRPr="005D7786">
        <w:rPr>
          <w:b/>
          <w:bCs/>
        </w:rPr>
        <w:t>Utilisation rates</w:t>
      </w:r>
      <w:r>
        <w:t xml:space="preserve"> in 2020-21 were 89% for those with SIL and 68% for those without SIL. This leaves </w:t>
      </w:r>
      <w:r w:rsidR="00636FA6">
        <w:t>substantial</w:t>
      </w:r>
      <w:r>
        <w:t xml:space="preserve"> headroom for payment increases even if plans are held steady. </w:t>
      </w:r>
    </w:p>
    <w:p w14:paraId="47500056" w14:textId="005152DD" w:rsidR="00790883" w:rsidRDefault="00790883" w:rsidP="00790883">
      <w:pPr>
        <w:pStyle w:val="Bullet1"/>
      </w:pPr>
      <w:r w:rsidRPr="00790883">
        <w:rPr>
          <w:b/>
          <w:bCs/>
        </w:rPr>
        <w:t>Costs for participants over age 65</w:t>
      </w:r>
      <w:r>
        <w:t xml:space="preserve">: The 2020-21 AFSR estimates that by 2024-25 the proportion of people in the </w:t>
      </w:r>
      <w:r w:rsidR="007A5D84">
        <w:t>Scheme</w:t>
      </w:r>
      <w:r>
        <w:t xml:space="preserve"> aged over 65 doubles from 3.7% to 7.6%, and their payments grow from 6.5% to 13.6%. See Section </w:t>
      </w:r>
      <w:r>
        <w:fldChar w:fldCharType="begin"/>
      </w:r>
      <w:r>
        <w:instrText xml:space="preserve"> REF _Ref87654590 \r \h </w:instrText>
      </w:r>
      <w:r>
        <w:fldChar w:fldCharType="separate"/>
      </w:r>
      <w:r w:rsidR="00E6217F">
        <w:t>7.6</w:t>
      </w:r>
      <w:r>
        <w:fldChar w:fldCharType="end"/>
      </w:r>
      <w:r>
        <w:t>. The approach used to perform this allocation appears reasonable.</w:t>
      </w:r>
    </w:p>
    <w:p w14:paraId="24CFD2AB" w14:textId="48D8DC32" w:rsidR="00D320CF" w:rsidRDefault="00D320CF" w:rsidP="001B7A59">
      <w:pPr>
        <w:pStyle w:val="Caption"/>
        <w:spacing w:after="0"/>
        <w:ind w:firstLine="357"/>
      </w:pPr>
      <w:r>
        <w:t xml:space="preserve">Figure </w:t>
      </w:r>
      <w:r>
        <w:fldChar w:fldCharType="begin"/>
      </w:r>
      <w:r>
        <w:instrText xml:space="preserve"> SEQ Figure \* ARABIC \s 1 </w:instrText>
      </w:r>
      <w:r>
        <w:fldChar w:fldCharType="separate"/>
      </w:r>
      <w:r w:rsidR="00E6217F">
        <w:rPr>
          <w:noProof/>
        </w:rPr>
        <w:t>9</w:t>
      </w:r>
      <w:r>
        <w:fldChar w:fldCharType="end"/>
      </w:r>
      <w:r>
        <w:t xml:space="preserve"> – Quarterly payments, </w:t>
      </w:r>
      <w:r w:rsidR="00555120">
        <w:t>plan,</w:t>
      </w:r>
      <w:r>
        <w:t xml:space="preserve"> and utilisation rate</w:t>
      </w:r>
    </w:p>
    <w:p w14:paraId="53D1AE4E" w14:textId="7FE8A34C" w:rsidR="00D320CF" w:rsidRDefault="00D53DA6" w:rsidP="001B7A59">
      <w:pPr>
        <w:spacing w:before="40" w:after="0"/>
        <w:ind w:firstLine="357"/>
      </w:pPr>
      <w:r>
        <w:rPr>
          <w:noProof/>
        </w:rPr>
        <w:drawing>
          <wp:inline distT="0" distB="0" distL="0" distR="0" wp14:anchorId="5C24C423" wp14:editId="60BDF19C">
            <wp:extent cx="4477385" cy="2179388"/>
            <wp:effectExtent l="0" t="0" r="0" b="0"/>
            <wp:docPr id="39" name="Graphic 39" descr="September 2017. &#10;Payments (annualised). ($K), LHS. 34.&#10;Average plan (annualised). ($K), LHS. 51. &#10;Utilisation, RHS. 67%.&#10;&#10;&#10;December 2017. &#10;Payments (annualised), LHS. 36.&#10;Average plan (annualised), LHS. 55. &#10;Utilisation, RHS. 64%.&#10;&#10;&#10;March 2018. &#10;Payments (annualised), LHS. 37.&#10;Average plan (annualised), LHS. 55. &#10;Utilisation, RHS. 67%.&#10;&#10;&#10;June 2018. &#10;Payments (annualised), LHS. 37.&#10;Average plan (annualised), LHS. 56. &#10;Utilisation, RHS. 67%.&#10;&#10;&#10;September 2018. &#10;Payments (annualised), LHS. 39.&#10;Average plan (annualised), LHS. 58. &#10;Utilisation, RHS. 67%.&#10;&#10;&#10;December 2018. &#10;Payments (annualised), LHS. 40.&#10;Average plan (annualised), LHS. 59. &#10;Utilisation, RHS. 67%.&#10;&#10;&#10;March 2019. &#10;Payments (annualised), LHS. 40.&#10;Average plan (annualised), LHS. 61. &#10;Utilisation, RHS. 66%.&#10;&#10;&#10;June 2019. &#10;Payments (annualised), LHS. 42.&#10;Average plan (annualised), LHS. 66. &#10;Utilisation, RHS. 64%.&#10;&#10;&#10;September 2019. &#10;Payments (annualised), LHS. 50.&#10;Average plan (annualised), LHS. 68. &#10;Utilisation, RHS. 74%.&#10;&#10;&#10;December 2019. &#10;Payments (annualised), LHS. 49.&#10;Average plan (annualised), LHS. 69. &#10;Utilisation, RHS. 72%.&#10;&#10;&#10;March 2020. &#10;Payments (annualised), LHS. 48.&#10;Average plan (annualised), LHS. 71. &#10;Utilisation, RHS. 68%.&#10;&#10;&#10;June 2020. &#10;Payments (annualised), LHS. 49.&#10;Average plan (annualised), LHS. 74. &#10;Utilisation, RHS. 66%.&#10;&#10;&#10;September 2020. &#10;Payments (annualised), LHS. 54.&#10;Average plan (annualised), LHS. 75. &#10;Utilisation, RHS. 71%.&#10;&#10;&#10;December 2020. &#10;Payments (annualised), LHS. 52.&#10;Average plan (annualised), LHS. 74. &#10;Utilisation, RHS. 70%.&#10;&#10;&#10;March 2021. &#10;Payments (annualised), LHS. 52.&#10;Average plan (annualised), LHS. 71. &#10;Utilisation, RHS. 74%.&#10;&#10;&#10;June 2021. &#10;Payments (annualised), LHS. 55.&#10;Average plan (annualised), LHS. 69. &#10;Utilisation, RH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descr="September 2017. &#10;Payments (annualised). ($K), LHS. 34.&#10;Average plan (annualised). ($K), LHS. 51. &#10;Utilisation, RHS. 67%.&#10;&#10;&#10;December 2017. &#10;Payments (annualised), LHS. 36.&#10;Average plan (annualised), LHS. 55. &#10;Utilisation, RHS. 64%.&#10;&#10;&#10;March 2018. &#10;Payments (annualised), LHS. 37.&#10;Average plan (annualised), LHS. 55. &#10;Utilisation, RHS. 67%.&#10;&#10;&#10;June 2018. &#10;Payments (annualised), LHS. 37.&#10;Average plan (annualised), LHS. 56. &#10;Utilisation, RHS. 67%.&#10;&#10;&#10;September 2018. &#10;Payments (annualised), LHS. 39.&#10;Average plan (annualised), LHS. 58. &#10;Utilisation, RHS. 67%.&#10;&#10;&#10;December 2018. &#10;Payments (annualised), LHS. 40.&#10;Average plan (annualised), LHS. 59. &#10;Utilisation, RHS. 67%.&#10;&#10;&#10;March 2019. &#10;Payments (annualised), LHS. 40.&#10;Average plan (annualised), LHS. 61. &#10;Utilisation, RHS. 66%.&#10;&#10;&#10;June 2019. &#10;Payments (annualised), LHS. 42.&#10;Average plan (annualised), LHS. 66. &#10;Utilisation, RHS. 64%.&#10;&#10;&#10;September 2019. &#10;Payments (annualised), LHS. 50.&#10;Average plan (annualised), LHS. 68. &#10;Utilisation, RHS. 74%.&#10;&#10;&#10;December 2019. &#10;Payments (annualised), LHS. 49.&#10;Average plan (annualised), LHS. 69. &#10;Utilisation, RHS. 72%.&#10;&#10;&#10;March 2020. &#10;Payments (annualised), LHS. 48.&#10;Average plan (annualised), LHS. 71. &#10;Utilisation, RHS. 68%.&#10;&#10;&#10;June 2020. &#10;Payments (annualised), LHS. 49.&#10;Average plan (annualised), LHS. 74. &#10;Utilisation, RHS. 66%.&#10;&#10;&#10;September 2020. &#10;Payments (annualised), LHS. 54.&#10;Average plan (annualised), LHS. 75. &#10;Utilisation, RHS. 71%.&#10;&#10;&#10;December 2020. &#10;Payments (annualised), LHS. 52.&#10;Average plan (annualised), LHS. 74. &#10;Utilisation, RHS. 70%.&#10;&#10;&#10;March 2021. &#10;Payments (annualised), LHS. 52.&#10;Average plan (annualised), LHS. 71. &#10;Utilisation, RHS. 74%.&#10;&#10;&#10;June 2021. &#10;Payments (annualised), LHS. 55.&#10;Average plan (annualised), LHS. 69. &#10;Utilisation, RHS. 79%."/>
                    <pic:cNvPicPr/>
                  </pic:nvPicPr>
                  <pic:blipFill>
                    <a:blip r:embed="rId33">
                      <a:extLst>
                        <a:ext uri="{96DAC541-7B7A-43D3-8B79-37D633B846F1}">
                          <asvg:svgBlip xmlns:asvg="http://schemas.microsoft.com/office/drawing/2016/SVG/main" r:embed="rId34"/>
                        </a:ext>
                      </a:extLst>
                    </a:blip>
                    <a:stretch>
                      <a:fillRect/>
                    </a:stretch>
                  </pic:blipFill>
                  <pic:spPr>
                    <a:xfrm>
                      <a:off x="0" y="0"/>
                      <a:ext cx="4521028" cy="2200632"/>
                    </a:xfrm>
                    <a:prstGeom prst="rect">
                      <a:avLst/>
                    </a:prstGeom>
                  </pic:spPr>
                </pic:pic>
              </a:graphicData>
            </a:graphic>
          </wp:inline>
        </w:drawing>
      </w:r>
    </w:p>
    <w:p w14:paraId="6C14BF2B" w14:textId="3E7AC158" w:rsidR="00DF0355" w:rsidRDefault="00DF0355" w:rsidP="001B7A59">
      <w:pPr>
        <w:pStyle w:val="Tablenotesorsource"/>
        <w:spacing w:before="0" w:after="0"/>
        <w:ind w:firstLine="425"/>
      </w:pPr>
      <w:r>
        <w:t xml:space="preserve">Note: Quarterly payments have been seasonally </w:t>
      </w:r>
      <w:r w:rsidR="00D64F52">
        <w:t>adjusted.</w:t>
      </w:r>
    </w:p>
    <w:p w14:paraId="2E18CB6A" w14:textId="7FB5BC01" w:rsidR="00D320CF" w:rsidRDefault="00D320CF" w:rsidP="00D320CF">
      <w:pPr>
        <w:pStyle w:val="Bullet1"/>
      </w:pPr>
      <w:r>
        <w:t xml:space="preserve">While </w:t>
      </w:r>
      <w:r w:rsidRPr="005D7786">
        <w:rPr>
          <w:b/>
          <w:bCs/>
        </w:rPr>
        <w:t>plan size changes</w:t>
      </w:r>
      <w:r>
        <w:t xml:space="preserve"> have been only slightly negative in the second half of 2020-21, the result has been driven by larger reductions to the Capital and Capacity Building portions of plans. </w:t>
      </w:r>
    </w:p>
    <w:p w14:paraId="08407CA0" w14:textId="79A02632" w:rsidR="00D320CF" w:rsidRDefault="00D320CF" w:rsidP="00ED2FC8">
      <w:pPr>
        <w:pStyle w:val="Caption"/>
        <w:ind w:firstLine="360"/>
      </w:pPr>
      <w:r>
        <w:t xml:space="preserve">Figure </w:t>
      </w:r>
      <w:r>
        <w:fldChar w:fldCharType="begin"/>
      </w:r>
      <w:r>
        <w:instrText xml:space="preserve"> SEQ Figure \* ARABIC \s 1 </w:instrText>
      </w:r>
      <w:r>
        <w:fldChar w:fldCharType="separate"/>
      </w:r>
      <w:r w:rsidR="00E6217F">
        <w:rPr>
          <w:noProof/>
        </w:rPr>
        <w:t>10</w:t>
      </w:r>
      <w:r>
        <w:fldChar w:fldCharType="end"/>
      </w:r>
      <w:r>
        <w:t xml:space="preserve"> – Change on previous plan for participants, split by broad payment type</w:t>
      </w:r>
    </w:p>
    <w:p w14:paraId="2CF9B4CF" w14:textId="6172354B" w:rsidR="00D320CF" w:rsidRDefault="00DB7B8C" w:rsidP="00ED2FC8">
      <w:pPr>
        <w:ind w:firstLine="360"/>
      </w:pPr>
      <w:r w:rsidRPr="00DB7B8C">
        <w:t xml:space="preserve"> </w:t>
      </w:r>
      <w:r w:rsidRPr="00DB7B8C">
        <w:rPr>
          <w:noProof/>
        </w:rPr>
        <w:drawing>
          <wp:inline distT="0" distB="0" distL="0" distR="0" wp14:anchorId="22EE099D" wp14:editId="71AD7D4C">
            <wp:extent cx="4073525" cy="2820670"/>
            <wp:effectExtent l="0" t="0" r="3175" b="0"/>
            <wp:docPr id="14" name="Picture 14" descr="July 2018.&#10;Total Change on previous plan. 17%. &#10;Core. 20%.&#10;Capacity building. 7%.&#10;Capital. 19%.&#10;&#10;&#10;August 2018.&#10;Total Change on previous plan. 12%. &#10;Core. 14%.&#10;Capacity building. 6%.&#10;Capital. 4%.&#10;&#10;September 2018.&#10;Total Change on previous plan. 10%. &#10;Core. 13%.&#10;Capacity building. 3%.&#10;Capital. -4%.&#10;&#10;October 2018.&#10;Total Change on previous plan. 10%. &#10;Core. 14%.&#10;Capacity building. 2%.&#10;Capital. -7%.&#10;&#10;November 2018.&#10;Total Change on previous plan. 8%. &#10;Core. 10%.&#10;Capacity building. 3%.&#10;Capital. 2%.&#10;&#10;December 2018.&#10;Total Change on previous plan. 14%. &#10;Core. 17%.&#10;Capacity building. 5%.&#10;Capital. 4%.&#10;&#10;January 2019.&#10;Total Change on previous plan. 18%. &#10;Core. 21%.&#10;Capacity building. 7%.&#10;Capital. 5%.&#10;&#10;February 2019.&#10;Total Change on previous plan. 21%. &#10;Core. 25%.&#10;Capacity building. 9%.&#10;Capital. 13%.&#10;&#10;March 2019.&#10;Total Change on previous plan. 19%. &#10;Core. 22%.&#10;Capacity building. 9%.&#10;Capital. 14%.&#10;&#10;April 2019.&#10;Total Change on previous plan. 22%. &#10;Core. 25%.&#10;Capacity building. 10%.&#10;Capital. 28%.&#10;&#10;May 2019.&#10;Total Change on previous plan. 24%. &#10;Core. 26%.&#10;Capacity building. 12%.&#10;Capital. 37%.&#10;&#10;June 2019.&#10;Total Change on previous plan. 22%. &#10;Core. 24%.&#10;Capacity building. 14%.&#10;Capital. 38%.&#10;&#10;July 2019.&#10;Total Change on previous plan. 18%. &#10;Core. 18%.&#10;Capacity building. 13%.&#10;Capital. 36%.&#10;&#10;August 2019.&#10;Total Change on previous plan. 20%. &#10;Core. 20%.&#10;Capacity building. 14%.&#10;Capital. 37%.&#10;&#10;September 2019.&#10;Total Change on previous plan. 19%. &#10;Core. 19%.&#10;Capacity building. 14%.&#10;Capital. 43%.&#10;&#10;October 2019.&#10;Total Change on previous plan. 21%. &#10;Core. 21%.&#10;Capacity building. 16%.&#10;Capital. 44%.&#10;&#10;November 2019.&#10;Total Change on previous plan. 22%. &#10;Core. 22%.&#10;Capacity building. 18%.&#10;Capital. 55%.&#10;&#10;December 2019.&#10;Total Change on previous plan. 24%. &#10;Core. 23%.&#10;Capacity building. 20%.&#10;Capital. 61%.&#10;&#10;January 2020.&#10;Total Change on previous plan. 24%. &#10;Core. 23%.&#10;Capacity building. 21%.&#10;Capital. 44%.&#10;&#10;February 2020.&#10;Total Change on previous plan. 25%. &#10;Core. 24%.&#10;Capacity building. 23%.&#10;Capital. 44%.&#10;&#10;March 2020.&#10;Total Change on previous plan. 24%. &#10;Core. 24%.&#10;Capacity building. 22%.&#10;Capital. 37%.&#10;&#10;April 2020.&#10;Total Change on previous plan. 23%. &#10;Core. 23%.&#10;Capacity building. 21%.&#10;Capital. 34%.&#10;&#10;May 2020.&#10;Total Change on previous plan. 20%. &#10;Core. 20%.&#10;Capacity building. 15%.&#10;Capital. 33%.&#10;&#10;June 2020.&#10;Total Change on previous plan. 13%. &#10;Core. 15%.&#10;Capacity building. 9%.&#10;Capital. 14%.&#10;&#10;July 2020.&#10;Total Change on previous plan. 10%. &#10;Core. 12%.&#10;Capacity building. 3%.&#10;Capital. 16%.&#10;&#10;August 2020.&#10;Total Change on previous plan. 9%. &#10;Core. 10%.&#10;Capacity building. 3%.&#10;Capital. 12%.&#10;&#10;September 2020.&#10;Total Change on previous plan. 6%. &#10;Core. 8%.&#10;Capacity building. 0%.&#10;Capital. 7%.&#10;&#10;October 2020.&#10;Total Change on previous plan. 2%. &#10;Core. 3%.&#10;Capacity building. -1%.&#10;Capital. 3%.&#10;&#10;November 2020.&#10;Total Change on previous plan. 1%. &#10;Core. 2%.&#10;Capacity building. -1%.&#10;Capital. -1%.&#10;&#10;December 2020.&#10;Total Change on previous plan. 1%. &#10;Core. 2%.&#10;Capacity building. -1%.&#10;Capital. -7%.&#10;&#10;January 2021.&#10;Total Change on previous plan. -1%. &#10;Core. 0%.&#10;Capacity building. -4%.&#10;Capital. -2%.&#10;&#10;February 2021.&#10;Total Change on previous plan. -1%. &#10;Core. 1%.&#10;Capacity building. -5%.&#10;Capital. -13%.&#10;&#10;March 2021.&#10;Total Change on previous plan. -3%. &#10;Core. 0%.&#10;Capacity building. -7%.&#10;Capital. -22%.&#10;&#10;April 2021.&#10;Total Change on previous plan. -2%. &#10;Core. 1%.&#10;Capacity building. -6%.&#10;Capital. -26%.&#10;&#10;May 2021.&#10;Total Change on previous plan. -3%. &#10;Core. -1%.&#10;Capacity building. -5%.&#10;Capital. -21%.&#10;&#10;June 2021.&#10;Total Change on previous plan. -4%. &#10;Core. -2%.&#10;Capacity building. -4%.&#10;Capital.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July 2018.&#10;Total Change on previous plan. 17%. &#10;Core. 20%.&#10;Capacity building. 7%.&#10;Capital. 19%.&#10;&#10;&#10;August 2018.&#10;Total Change on previous plan. 12%. &#10;Core. 14%.&#10;Capacity building. 6%.&#10;Capital. 4%.&#10;&#10;September 2018.&#10;Total Change on previous plan. 10%. &#10;Core. 13%.&#10;Capacity building. 3%.&#10;Capital. -4%.&#10;&#10;October 2018.&#10;Total Change on previous plan. 10%. &#10;Core. 14%.&#10;Capacity building. 2%.&#10;Capital. -7%.&#10;&#10;November 2018.&#10;Total Change on previous plan. 8%. &#10;Core. 10%.&#10;Capacity building. 3%.&#10;Capital. 2%.&#10;&#10;December 2018.&#10;Total Change on previous plan. 14%. &#10;Core. 17%.&#10;Capacity building. 5%.&#10;Capital. 4%.&#10;&#10;January 2019.&#10;Total Change on previous plan. 18%. &#10;Core. 21%.&#10;Capacity building. 7%.&#10;Capital. 5%.&#10;&#10;February 2019.&#10;Total Change on previous plan. 21%. &#10;Core. 25%.&#10;Capacity building. 9%.&#10;Capital. 13%.&#10;&#10;March 2019.&#10;Total Change on previous plan. 19%. &#10;Core. 22%.&#10;Capacity building. 9%.&#10;Capital. 14%.&#10;&#10;April 2019.&#10;Total Change on previous plan. 22%. &#10;Core. 25%.&#10;Capacity building. 10%.&#10;Capital. 28%.&#10;&#10;May 2019.&#10;Total Change on previous plan. 24%. &#10;Core. 26%.&#10;Capacity building. 12%.&#10;Capital. 37%.&#10;&#10;June 2019.&#10;Total Change on previous plan. 22%. &#10;Core. 24%.&#10;Capacity building. 14%.&#10;Capital. 38%.&#10;&#10;July 2019.&#10;Total Change on previous plan. 18%. &#10;Core. 18%.&#10;Capacity building. 13%.&#10;Capital. 36%.&#10;&#10;August 2019.&#10;Total Change on previous plan. 20%. &#10;Core. 20%.&#10;Capacity building. 14%.&#10;Capital. 37%.&#10;&#10;September 2019.&#10;Total Change on previous plan. 19%. &#10;Core. 19%.&#10;Capacity building. 14%.&#10;Capital. 43%.&#10;&#10;October 2019.&#10;Total Change on previous plan. 21%. &#10;Core. 21%.&#10;Capacity building. 16%.&#10;Capital. 44%.&#10;&#10;November 2019.&#10;Total Change on previous plan. 22%. &#10;Core. 22%.&#10;Capacity building. 18%.&#10;Capital. 55%.&#10;&#10;December 2019.&#10;Total Change on previous plan. 24%. &#10;Core. 23%.&#10;Capacity building. 20%.&#10;Capital. 61%.&#10;&#10;January 2020.&#10;Total Change on previous plan. 24%. &#10;Core. 23%.&#10;Capacity building. 21%.&#10;Capital. 44%.&#10;&#10;February 2020.&#10;Total Change on previous plan. 25%. &#10;Core. 24%.&#10;Capacity building. 23%.&#10;Capital. 44%.&#10;&#10;March 2020.&#10;Total Change on previous plan. 24%. &#10;Core. 24%.&#10;Capacity building. 22%.&#10;Capital. 37%.&#10;&#10;April 2020.&#10;Total Change on previous plan. 23%. &#10;Core. 23%.&#10;Capacity building. 21%.&#10;Capital. 34%.&#10;&#10;May 2020.&#10;Total Change on previous plan. 20%. &#10;Core. 20%.&#10;Capacity building. 15%.&#10;Capital. 33%.&#10;&#10;June 2020.&#10;Total Change on previous plan. 13%. &#10;Core. 15%.&#10;Capacity building. 9%.&#10;Capital. 14%.&#10;&#10;July 2020.&#10;Total Change on previous plan. 10%. &#10;Core. 12%.&#10;Capacity building. 3%.&#10;Capital. 16%.&#10;&#10;August 2020.&#10;Total Change on previous plan. 9%. &#10;Core. 10%.&#10;Capacity building. 3%.&#10;Capital. 12%.&#10;&#10;September 2020.&#10;Total Change on previous plan. 6%. &#10;Core. 8%.&#10;Capacity building. 0%.&#10;Capital. 7%.&#10;&#10;October 2020.&#10;Total Change on previous plan. 2%. &#10;Core. 3%.&#10;Capacity building. -1%.&#10;Capital. 3%.&#10;&#10;November 2020.&#10;Total Change on previous plan. 1%. &#10;Core. 2%.&#10;Capacity building. -1%.&#10;Capital. -1%.&#10;&#10;December 2020.&#10;Total Change on previous plan. 1%. &#10;Core. 2%.&#10;Capacity building. -1%.&#10;Capital. -7%.&#10;&#10;January 2021.&#10;Total Change on previous plan. -1%. &#10;Core. 0%.&#10;Capacity building. -4%.&#10;Capital. -2%.&#10;&#10;February 2021.&#10;Total Change on previous plan. -1%. &#10;Core. 1%.&#10;Capacity building. -5%.&#10;Capital. -13%.&#10;&#10;March 2021.&#10;Total Change on previous plan. -3%. &#10;Core. 0%.&#10;Capacity building. -7%.&#10;Capital. -22%.&#10;&#10;April 2021.&#10;Total Change on previous plan. -2%. &#10;Core. 1%.&#10;Capacity building. -6%.&#10;Capital. -26%.&#10;&#10;May 2021.&#10;Total Change on previous plan. -3%. &#10;Core. -1%.&#10;Capacity building. -5%.&#10;Capital. -21%.&#10;&#10;June 2021.&#10;Total Change on previous plan. -4%. &#10;Core. -2%.&#10;Capacity building. -4%.&#10;Capital. -2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073525" cy="2820670"/>
                    </a:xfrm>
                    <a:prstGeom prst="rect">
                      <a:avLst/>
                    </a:prstGeom>
                    <a:noFill/>
                    <a:ln>
                      <a:noFill/>
                    </a:ln>
                  </pic:spPr>
                </pic:pic>
              </a:graphicData>
            </a:graphic>
          </wp:inline>
        </w:drawing>
      </w:r>
    </w:p>
    <w:p w14:paraId="460764B2" w14:textId="3AECC735" w:rsidR="0056706B" w:rsidRDefault="0056706B" w:rsidP="0056706B">
      <w:pPr>
        <w:pStyle w:val="Tablenotesorsource"/>
        <w:spacing w:before="0"/>
        <w:ind w:left="426"/>
      </w:pPr>
      <w:r>
        <w:t xml:space="preserve">Note: Figures are similar to, but don’t exactly match, </w:t>
      </w:r>
      <w:r w:rsidR="00DF0355">
        <w:t xml:space="preserve">equivalent NDIS estimate such as </w:t>
      </w:r>
      <w:r>
        <w:t>those provided at Figure 70 in the NDIS September 2021 quarterly report due to slight differences in rules applied to compare successive plans</w:t>
      </w:r>
      <w:r w:rsidR="00996D1E">
        <w:t>.</w:t>
      </w:r>
      <w:r w:rsidRPr="0056706B">
        <w:t xml:space="preserve"> </w:t>
      </w:r>
      <w:r>
        <w:t>Specifically, NDIS business rules exclude plan auto-extensions and additional checks to exclude revoked or pending plans.</w:t>
      </w:r>
      <w:r w:rsidR="00B03AF2">
        <w:t xml:space="preserve"> NDIS estimates of capital changes are materially higher in </w:t>
      </w:r>
      <w:r w:rsidR="00C12523">
        <w:t xml:space="preserve">the </w:t>
      </w:r>
      <w:r w:rsidR="00B03AF2">
        <w:t xml:space="preserve">Mar-21 and Jun-21 quarters, </w:t>
      </w:r>
      <w:r w:rsidR="00C12523">
        <w:t xml:space="preserve">being </w:t>
      </w:r>
      <w:r w:rsidR="00B03AF2">
        <w:t xml:space="preserve">closer to zero. </w:t>
      </w:r>
    </w:p>
    <w:p w14:paraId="624A7924" w14:textId="41D30149" w:rsidR="00C92373" w:rsidRDefault="00C92373" w:rsidP="00C92373">
      <w:pPr>
        <w:pStyle w:val="Bullet1"/>
        <w:numPr>
          <w:ilvl w:val="0"/>
          <w:numId w:val="40"/>
        </w:numPr>
      </w:pPr>
      <w:r w:rsidRPr="00C92373">
        <w:rPr>
          <w:b/>
          <w:bCs/>
        </w:rPr>
        <w:t>Typical Support Plans (TSPs)</w:t>
      </w:r>
      <w:r>
        <w:t xml:space="preserve"> are a part of the planning process that give indicative estimates of participant package costs given their age, disability type and severity, plus adjustment</w:t>
      </w:r>
      <w:r w:rsidR="00A335E0">
        <w:t>s</w:t>
      </w:r>
      <w:r>
        <w:t xml:space="preserve"> </w:t>
      </w:r>
      <w:r w:rsidR="00A335E0">
        <w:t xml:space="preserve">from </w:t>
      </w:r>
      <w:r>
        <w:t>a set of questions exploring their support needs. When looking at TSPs, we have found</w:t>
      </w:r>
      <w:r w:rsidR="00636FA6">
        <w:t>:</w:t>
      </w:r>
    </w:p>
    <w:p w14:paraId="5E163C9B" w14:textId="73C81F57" w:rsidR="00C92373" w:rsidRDefault="00C92373" w:rsidP="00C92373">
      <w:pPr>
        <w:pStyle w:val="Bullet2"/>
        <w:numPr>
          <w:ilvl w:val="1"/>
          <w:numId w:val="40"/>
        </w:numPr>
        <w:ind w:hanging="357"/>
      </w:pPr>
      <w:r>
        <w:t>Large variation between TSPs and Committed Supports (although some of this is to be expected)</w:t>
      </w:r>
      <w:r w:rsidR="001B276F">
        <w:t>.</w:t>
      </w:r>
    </w:p>
    <w:p w14:paraId="1620010B" w14:textId="1EFF6D5C" w:rsidR="00C92373" w:rsidRDefault="00C92373" w:rsidP="00C92373">
      <w:pPr>
        <w:pStyle w:val="Bullet2"/>
        <w:numPr>
          <w:ilvl w:val="1"/>
          <w:numId w:val="40"/>
        </w:numPr>
        <w:ind w:hanging="357"/>
      </w:pPr>
      <w:r>
        <w:t>Behavioural effects when committed supports sit above TSPs (such as plan sizes approaching the maximum level required before executive approval).</w:t>
      </w:r>
    </w:p>
    <w:p w14:paraId="64D4CAB3" w14:textId="77777777" w:rsidR="00C92373" w:rsidRDefault="00C92373" w:rsidP="00C92373">
      <w:pPr>
        <w:pStyle w:val="Bullet2"/>
        <w:numPr>
          <w:ilvl w:val="1"/>
          <w:numId w:val="40"/>
        </w:numPr>
        <w:ind w:hanging="357"/>
      </w:pPr>
      <w:r>
        <w:t xml:space="preserve">Significant growth in TSPs over time, echoing trends in committed supports. </w:t>
      </w:r>
    </w:p>
    <w:p w14:paraId="52712EB6" w14:textId="583DC158" w:rsidR="00C92373" w:rsidRDefault="00C92373" w:rsidP="00C92373">
      <w:pPr>
        <w:pStyle w:val="Bullet2"/>
        <w:numPr>
          <w:ilvl w:val="1"/>
          <w:numId w:val="40"/>
        </w:numPr>
        <w:ind w:hanging="357"/>
      </w:pPr>
      <w:r>
        <w:t xml:space="preserve">Some reversion </w:t>
      </w:r>
      <w:r w:rsidR="00636FA6">
        <w:t>patterns</w:t>
      </w:r>
      <w:r>
        <w:t xml:space="preserve">, where people with a TSP significantly below the reference package (which does not allow for individual circumstances) often see an average final package closer to the higher reference package amount. </w:t>
      </w:r>
    </w:p>
    <w:p w14:paraId="5B19D55B" w14:textId="790D3A07" w:rsidR="00C92373" w:rsidRDefault="00C92373" w:rsidP="00C92373">
      <w:pPr>
        <w:pStyle w:val="Bullet1"/>
        <w:numPr>
          <w:ilvl w:val="0"/>
          <w:numId w:val="40"/>
        </w:numPr>
      </w:pPr>
      <w:r>
        <w:t xml:space="preserve">Estimates </w:t>
      </w:r>
      <w:r w:rsidR="00A335E0">
        <w:t xml:space="preserve">of </w:t>
      </w:r>
      <w:r>
        <w:rPr>
          <w:b/>
          <w:bCs/>
        </w:rPr>
        <w:t>scope changes to the NDIS</w:t>
      </w:r>
      <w:r>
        <w:t xml:space="preserve"> compared to </w:t>
      </w:r>
      <w:r w:rsidR="00A335E0">
        <w:t>the Productivity Commission’s</w:t>
      </w:r>
      <w:r>
        <w:t xml:space="preserve"> estimates are made in the 2020-21 AFSR. </w:t>
      </w:r>
    </w:p>
    <w:p w14:paraId="091AEAB7" w14:textId="307588BC" w:rsidR="00C92373" w:rsidRDefault="00CA511A" w:rsidP="00CA511A">
      <w:pPr>
        <w:pStyle w:val="NNheading2Exec"/>
      </w:pPr>
      <w:r w:rsidRPr="00C92373">
        <w:rPr>
          <w:noProof/>
        </w:rPr>
        <mc:AlternateContent>
          <mc:Choice Requires="wps">
            <w:drawing>
              <wp:anchor distT="0" distB="0" distL="114300" distR="114300" simplePos="0" relativeHeight="251711488" behindDoc="1" locked="0" layoutInCell="1" allowOverlap="1" wp14:anchorId="6489678D" wp14:editId="37F53002">
                <wp:simplePos x="0" y="0"/>
                <wp:positionH relativeFrom="margin">
                  <wp:posOffset>-921385</wp:posOffset>
                </wp:positionH>
                <wp:positionV relativeFrom="paragraph">
                  <wp:posOffset>83597</wp:posOffset>
                </wp:positionV>
                <wp:extent cx="6898234" cy="256032"/>
                <wp:effectExtent l="0" t="0" r="0" b="0"/>
                <wp:wrapNone/>
                <wp:docPr id="125" name="Rectangle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234" cy="25603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0B88A2" id="Rectangle 125" o:spid="_x0000_s1026" alt="&quot;&quot;" style="position:absolute;margin-left:-72.55pt;margin-top:6.6pt;width:543.15pt;height:20.15pt;z-index:-251604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" fillcolor="#005295 [2404]" stroked="f" strokeweight="1pt">
                <w10:wrap anchorx="margin"/>
              </v:rect>
            </w:pict>
          </mc:Fallback>
        </mc:AlternateContent>
      </w:r>
      <w:r w:rsidR="00C92373">
        <w:t xml:space="preserve">Consistency across the </w:t>
      </w:r>
      <w:r w:rsidR="007A5D84">
        <w:t>Scheme</w:t>
      </w:r>
    </w:p>
    <w:p w14:paraId="68AB1C1C" w14:textId="3405A830" w:rsidR="00C92373" w:rsidRDefault="00C92373" w:rsidP="00C92373">
      <w:r>
        <w:t xml:space="preserve">The NDIS is characterised by individual-level variability. Much of this is by design; an uncapped suite of tailored supports is supposed to vary to reflect individual circumstances. This contrasts to other government </w:t>
      </w:r>
      <w:r w:rsidR="007A5D84">
        <w:t>Scheme</w:t>
      </w:r>
      <w:r>
        <w:t>s where, subject to eligibility criteria, payments are broadly comparable across participants.</w:t>
      </w:r>
    </w:p>
    <w:p w14:paraId="07624FC4" w14:textId="651D099F" w:rsidR="00C92373" w:rsidRDefault="00C92373" w:rsidP="00C92373">
      <w:r>
        <w:t xml:space="preserve">The variability in the </w:t>
      </w:r>
      <w:r w:rsidR="007A5D84">
        <w:t>Scheme</w:t>
      </w:r>
      <w:r>
        <w:t xml:space="preserve"> means conclusions based on averages need to be treated with some care. Changes over time might be due to changes </w:t>
      </w:r>
      <w:r w:rsidR="00A335E0">
        <w:t>in participants’ circumstances</w:t>
      </w:r>
      <w:r>
        <w:t>, or it could be a compositional effect as the mix of participants change</w:t>
      </w:r>
      <w:r w:rsidR="000975EB">
        <w:t>s</w:t>
      </w:r>
      <w:r>
        <w:t>.</w:t>
      </w:r>
    </w:p>
    <w:p w14:paraId="26B00479" w14:textId="12A4B189" w:rsidR="00C92373" w:rsidRDefault="00C92373" w:rsidP="00C92373">
      <w:r>
        <w:t xml:space="preserve">We </w:t>
      </w:r>
      <w:r w:rsidR="00CA511A">
        <w:t xml:space="preserve">also </w:t>
      </w:r>
      <w:r>
        <w:t>explore this variability over time and by location</w:t>
      </w:r>
      <w:r w:rsidR="000E281E">
        <w:t xml:space="preserve"> in Section </w:t>
      </w:r>
      <w:r w:rsidR="000E281E">
        <w:fldChar w:fldCharType="begin"/>
      </w:r>
      <w:r w:rsidR="000E281E">
        <w:instrText xml:space="preserve"> REF _Ref88176591 \r \h </w:instrText>
      </w:r>
      <w:r w:rsidR="000E281E">
        <w:fldChar w:fldCharType="separate"/>
      </w:r>
      <w:r w:rsidR="00E6217F">
        <w:t>8</w:t>
      </w:r>
      <w:r w:rsidR="000E281E">
        <w:fldChar w:fldCharType="end"/>
      </w:r>
      <w:r w:rsidR="000E281E">
        <w:t>.</w:t>
      </w:r>
    </w:p>
    <w:p w14:paraId="5E1EFD22" w14:textId="23E53FA5" w:rsidR="00823C1B" w:rsidRDefault="006C6807" w:rsidP="00C92373">
      <w:pPr>
        <w:pStyle w:val="Bullet1"/>
      </w:pPr>
      <w:r>
        <w:t>We believe the h</w:t>
      </w:r>
      <w:r w:rsidR="00823C1B">
        <w:t>igh rates of change in recorded disability severity</w:t>
      </w:r>
      <w:r w:rsidR="000965F4">
        <w:t xml:space="preserve"> and</w:t>
      </w:r>
      <w:r w:rsidR="00823C1B">
        <w:t xml:space="preserve"> substantial increases to TSPs indicate </w:t>
      </w:r>
      <w:r>
        <w:t xml:space="preserve">a </w:t>
      </w:r>
      <w:r w:rsidR="00FD29A3">
        <w:t>change, or ‘</w:t>
      </w:r>
      <w:r w:rsidR="00823C1B">
        <w:t>drift</w:t>
      </w:r>
      <w:r w:rsidR="00FD29A3">
        <w:t>’</w:t>
      </w:r>
      <w:r w:rsidR="000965F4">
        <w:t>,</w:t>
      </w:r>
      <w:r w:rsidR="00823C1B">
        <w:t xml:space="preserve"> in the </w:t>
      </w:r>
      <w:r>
        <w:t xml:space="preserve">assessment of disability over time. </w:t>
      </w:r>
      <w:r w:rsidR="00FD29A3">
        <w:t>That is, people are more likely to have higher recorded severity even if underlying functional severity has not changed by the same degree.</w:t>
      </w:r>
    </w:p>
    <w:p w14:paraId="21166BEC" w14:textId="14572030" w:rsidR="006C6807" w:rsidRDefault="006C6807" w:rsidP="00C92373">
      <w:pPr>
        <w:pStyle w:val="Bullet1"/>
      </w:pPr>
      <w:bookmarkStart w:id="14" w:name="_Hlk88209106"/>
      <w:r>
        <w:t xml:space="preserve">Increasing volume and breadth of </w:t>
      </w:r>
      <w:r w:rsidR="00754B70">
        <w:t xml:space="preserve">committed </w:t>
      </w:r>
      <w:r>
        <w:t xml:space="preserve">supports over time </w:t>
      </w:r>
      <w:r w:rsidR="00754B70">
        <w:t>has translated to higher payments</w:t>
      </w:r>
      <w:r w:rsidR="00222510">
        <w:t xml:space="preserve"> and a wider range of support categories being accessed by many participants</w:t>
      </w:r>
      <w:r w:rsidR="00DD6D14">
        <w:t>, even for those whose functional level was unchanged</w:t>
      </w:r>
      <w:r w:rsidR="00754B70">
        <w:t xml:space="preserve">. This </w:t>
      </w:r>
      <w:r w:rsidR="00571102">
        <w:t xml:space="preserve">may </w:t>
      </w:r>
      <w:r>
        <w:t xml:space="preserve">suggest </w:t>
      </w:r>
      <w:r w:rsidR="00E4449E">
        <w:t xml:space="preserve">a </w:t>
      </w:r>
      <w:r w:rsidR="00CB46C4">
        <w:t xml:space="preserve">change </w:t>
      </w:r>
      <w:r>
        <w:t xml:space="preserve">in </w:t>
      </w:r>
      <w:r w:rsidR="00754B70">
        <w:t>how ‘</w:t>
      </w:r>
      <w:r>
        <w:t>reasonable and necessary</w:t>
      </w:r>
      <w:r w:rsidR="00754B70">
        <w:t xml:space="preserve"> supports’ is being interpreted</w:t>
      </w:r>
      <w:r w:rsidR="00571102">
        <w:t xml:space="preserve"> </w:t>
      </w:r>
      <w:r w:rsidR="004E3A67">
        <w:t>and</w:t>
      </w:r>
      <w:r w:rsidR="00571102">
        <w:t xml:space="preserve"> how </w:t>
      </w:r>
      <w:r w:rsidR="004E3A67">
        <w:t xml:space="preserve">support </w:t>
      </w:r>
      <w:r w:rsidR="00571102">
        <w:t>needs are assessed</w:t>
      </w:r>
      <w:r w:rsidR="000974B3">
        <w:t>.</w:t>
      </w:r>
      <w:r w:rsidR="00754B70">
        <w:t xml:space="preserve"> </w:t>
      </w:r>
      <w:r>
        <w:t xml:space="preserve">Some of this </w:t>
      </w:r>
      <w:r w:rsidR="000974B3">
        <w:t xml:space="preserve">change </w:t>
      </w:r>
      <w:r>
        <w:t xml:space="preserve">might be appropriate (e.g. </w:t>
      </w:r>
      <w:r w:rsidR="000974B3">
        <w:t xml:space="preserve">appropriate additional </w:t>
      </w:r>
      <w:r>
        <w:t>supports that participants were not previous</w:t>
      </w:r>
      <w:r w:rsidR="00A335E0">
        <w:t>ly</w:t>
      </w:r>
      <w:r>
        <w:t xml:space="preserve"> aware of</w:t>
      </w:r>
      <w:r w:rsidR="00A14990">
        <w:t>),</w:t>
      </w:r>
      <w:r>
        <w:t xml:space="preserve"> but we are not in a position to make this assessment using current data.</w:t>
      </w:r>
      <w:bookmarkEnd w:id="14"/>
    </w:p>
    <w:p w14:paraId="16C120B8" w14:textId="4F92BC43" w:rsidR="006C6807" w:rsidRDefault="006C6807" w:rsidP="00C92373">
      <w:pPr>
        <w:pStyle w:val="Bullet1"/>
      </w:pPr>
      <w:r>
        <w:t xml:space="preserve">Scheme acceptance rates are high and have remained high for many disability groups. </w:t>
      </w:r>
      <w:r w:rsidR="006F7665">
        <w:t>For other groups</w:t>
      </w:r>
      <w:r>
        <w:t xml:space="preserve"> acceptance rates have moved down; some of this is to be expected as the transfers from State and Commonwealth </w:t>
      </w:r>
      <w:r w:rsidR="007A5D84">
        <w:t>Scheme</w:t>
      </w:r>
      <w:r>
        <w:t>s subside.</w:t>
      </w:r>
    </w:p>
    <w:p w14:paraId="0CC3065A" w14:textId="78FCD696" w:rsidR="00C92373" w:rsidRDefault="00CA511A" w:rsidP="00C92373">
      <w:pPr>
        <w:pStyle w:val="Bullet1"/>
      </w:pPr>
      <w:r>
        <w:t xml:space="preserve">Application rates are higher in areas with lower socioeconomic scores, including regional areas. Acceptance rates tend to move in the opposite direction to application rates. </w:t>
      </w:r>
    </w:p>
    <w:p w14:paraId="36AFFFAA" w14:textId="7AE78A07" w:rsidR="00CA511A" w:rsidRPr="00CA511A" w:rsidRDefault="00CA511A" w:rsidP="00CA511A">
      <w:pPr>
        <w:pStyle w:val="Bullet1"/>
      </w:pPr>
      <w:bookmarkStart w:id="15" w:name="_Hlk88494409"/>
      <w:r>
        <w:t xml:space="preserve">Committed supports </w:t>
      </w:r>
      <w:bookmarkStart w:id="16" w:name="_Hlk88494401"/>
      <w:r>
        <w:t xml:space="preserve">do not have a strong trend </w:t>
      </w:r>
      <w:r w:rsidR="002D7FA2">
        <w:t xml:space="preserve">across </w:t>
      </w:r>
      <w:bookmarkEnd w:id="16"/>
      <w:r w:rsidR="002D7FA2">
        <w:t xml:space="preserve">socioeconomic </w:t>
      </w:r>
      <w:r w:rsidR="00EF23D2">
        <w:t xml:space="preserve">levels </w:t>
      </w:r>
      <w:r w:rsidR="002D7FA2">
        <w:t xml:space="preserve">or regional versus capital </w:t>
      </w:r>
      <w:r w:rsidR="00A335E0">
        <w:t xml:space="preserve">city </w:t>
      </w:r>
      <w:r w:rsidR="002D7FA2">
        <w:t xml:space="preserve">splits. </w:t>
      </w:r>
      <w:bookmarkEnd w:id="15"/>
      <w:r w:rsidR="002D7FA2">
        <w:t>However</w:t>
      </w:r>
      <w:r w:rsidR="00A335E0">
        <w:t>,</w:t>
      </w:r>
      <w:r w:rsidR="002D7FA2">
        <w:t xml:space="preserve"> utilisation does vary; lower rates of utilisation in regional areas mean that average payments are lower for those participants. </w:t>
      </w:r>
    </w:p>
    <w:p w14:paraId="029A22E6" w14:textId="6D977755" w:rsidR="00D320CF" w:rsidRDefault="002D7FA2" w:rsidP="00503B34">
      <w:pPr>
        <w:pStyle w:val="NNheading2Exec"/>
        <w:spacing w:before="200" w:after="200"/>
      </w:pPr>
      <w:r w:rsidRPr="00C92373">
        <w:rPr>
          <w:noProof/>
        </w:rPr>
        <mc:AlternateContent>
          <mc:Choice Requires="wps">
            <w:drawing>
              <wp:anchor distT="0" distB="0" distL="114300" distR="114300" simplePos="0" relativeHeight="251715584" behindDoc="1" locked="0" layoutInCell="1" allowOverlap="1" wp14:anchorId="56E88AE9" wp14:editId="543F97C3">
                <wp:simplePos x="0" y="0"/>
                <wp:positionH relativeFrom="page">
                  <wp:posOffset>0</wp:posOffset>
                </wp:positionH>
                <wp:positionV relativeFrom="paragraph">
                  <wp:posOffset>11126</wp:posOffset>
                </wp:positionV>
                <wp:extent cx="6898005" cy="255905"/>
                <wp:effectExtent l="0" t="0" r="0" b="0"/>
                <wp:wrapNone/>
                <wp:docPr id="127" name="Rectangle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8005" cy="25590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E593F6" id="Rectangle 127" o:spid="_x0000_s1026" alt="&quot;&quot;" style="position:absolute;margin-left:0;margin-top:.9pt;width:543.15pt;height:20.15pt;z-index:-2516008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" fillcolor="#005295 [2404]" stroked="f" strokeweight="1pt">
                <w10:wrap anchorx="page"/>
              </v:rect>
            </w:pict>
          </mc:Fallback>
        </mc:AlternateContent>
      </w:r>
      <w:r>
        <w:t>Implications</w:t>
      </w:r>
    </w:p>
    <w:p w14:paraId="0C1D5063" w14:textId="177650C5" w:rsidR="002D7FA2" w:rsidRDefault="002D7FA2" w:rsidP="00D320CF">
      <w:r>
        <w:t xml:space="preserve">Although this report does not attempt to make policy recommendations that go beyond what we can see in the data, we take this opportunity to highlight a few areas that we believe are relevant to the question of long-term </w:t>
      </w:r>
      <w:r w:rsidR="00655440">
        <w:t>S</w:t>
      </w:r>
      <w:r>
        <w:t xml:space="preserve">cheme costs. </w:t>
      </w:r>
    </w:p>
    <w:p w14:paraId="6E397FC8" w14:textId="69869C2C" w:rsidR="00D320CF" w:rsidRDefault="001E28D2" w:rsidP="002D7FA2">
      <w:pPr>
        <w:pStyle w:val="Bullet1"/>
      </w:pPr>
      <w:r w:rsidRPr="001E28D2">
        <w:rPr>
          <w:b/>
          <w:bCs/>
        </w:rPr>
        <w:t xml:space="preserve">The </w:t>
      </w:r>
      <w:r w:rsidR="006C6807">
        <w:rPr>
          <w:b/>
          <w:bCs/>
        </w:rPr>
        <w:t>value of</w:t>
      </w:r>
      <w:r w:rsidR="006C6807" w:rsidRPr="001E28D2">
        <w:rPr>
          <w:b/>
          <w:bCs/>
        </w:rPr>
        <w:t xml:space="preserve"> </w:t>
      </w:r>
      <w:r w:rsidR="006C6807">
        <w:rPr>
          <w:b/>
          <w:bCs/>
        </w:rPr>
        <w:t xml:space="preserve">improved, </w:t>
      </w:r>
      <w:r w:rsidRPr="001E28D2">
        <w:rPr>
          <w:b/>
          <w:bCs/>
        </w:rPr>
        <w:t xml:space="preserve">objective data. </w:t>
      </w:r>
      <w:r w:rsidR="002D7FA2" w:rsidRPr="002D7FA2">
        <w:t xml:space="preserve">A key limitation of our work, and one echoed in comments by the Scheme Actuary, is that it is hard to comment on aspects of the </w:t>
      </w:r>
      <w:r w:rsidR="007A5D84">
        <w:t>Scheme</w:t>
      </w:r>
      <w:r w:rsidR="002D7FA2" w:rsidRPr="002D7FA2">
        <w:t xml:space="preserve"> on the ‘shifting sand’ that is the current data collection. Much of this is related to reliable assessment</w:t>
      </w:r>
      <w:r w:rsidR="00655440">
        <w:t>s</w:t>
      </w:r>
      <w:r w:rsidR="002D7FA2" w:rsidRPr="002D7FA2">
        <w:t xml:space="preserve"> of functional </w:t>
      </w:r>
      <w:r w:rsidR="006C6807">
        <w:t>capacity over time</w:t>
      </w:r>
      <w:r w:rsidR="002D7FA2" w:rsidRPr="002D7FA2">
        <w:t xml:space="preserve">. </w:t>
      </w:r>
      <w:r w:rsidR="00C319CD">
        <w:t xml:space="preserve">A </w:t>
      </w:r>
      <w:r w:rsidR="007A5D84">
        <w:t>Scheme</w:t>
      </w:r>
      <w:r w:rsidR="00C319CD">
        <w:t xml:space="preserve"> where recorded capacity is consistently falling runs contrary to the aims of early intervention and capacity building. </w:t>
      </w:r>
      <w:r w:rsidR="002D7FA2">
        <w:t>We support the collection of more robust objective data on functional capacity and participant support needs.</w:t>
      </w:r>
    </w:p>
    <w:p w14:paraId="605061FB" w14:textId="5F60568D" w:rsidR="002D7FA2" w:rsidRPr="006E0E47" w:rsidRDefault="001E28D2" w:rsidP="002D7FA2">
      <w:pPr>
        <w:pStyle w:val="Bullet1"/>
      </w:pPr>
      <w:r w:rsidRPr="001E28D2">
        <w:rPr>
          <w:b/>
          <w:bCs/>
        </w:rPr>
        <w:t xml:space="preserve">Scheme entry rates compared to the original design. </w:t>
      </w:r>
      <w:r w:rsidR="002D7FA2">
        <w:t xml:space="preserve">The largest driver of additional participant numbers compared to the original Productivity Commission estimates are children aged 0-14, many of whom enter under earlier intervention provisions. </w:t>
      </w:r>
      <w:r w:rsidR="002D7FA2" w:rsidRPr="002D7FA2">
        <w:t>The</w:t>
      </w:r>
      <w:r w:rsidR="00485F4E">
        <w:t>re is a question</w:t>
      </w:r>
      <w:r w:rsidR="002D7FA2" w:rsidRPr="002D7FA2">
        <w:t xml:space="preserve"> </w:t>
      </w:r>
      <w:r w:rsidR="00135394">
        <w:t xml:space="preserve">as to </w:t>
      </w:r>
      <w:r w:rsidR="002D7FA2" w:rsidRPr="002D7FA2">
        <w:t xml:space="preserve">whether the </w:t>
      </w:r>
      <w:r w:rsidR="002D7FA2" w:rsidRPr="006E0E47">
        <w:t xml:space="preserve">increased scope of the NDIS for children </w:t>
      </w:r>
      <w:r w:rsidR="00C319CD" w:rsidRPr="006E0E47">
        <w:t xml:space="preserve">compared to the original design </w:t>
      </w:r>
      <w:r w:rsidR="002D7FA2" w:rsidRPr="006E0E47">
        <w:t xml:space="preserve">is consistent with the </w:t>
      </w:r>
      <w:r w:rsidR="00C319CD" w:rsidRPr="006E0E47">
        <w:t xml:space="preserve">current </w:t>
      </w:r>
      <w:r w:rsidR="002D7FA2" w:rsidRPr="006E0E47">
        <w:t xml:space="preserve">intent of the </w:t>
      </w:r>
      <w:r w:rsidR="00FC31DA">
        <w:t>S</w:t>
      </w:r>
      <w:r w:rsidR="002D7FA2" w:rsidRPr="006E0E47">
        <w:t>cheme.</w:t>
      </w:r>
    </w:p>
    <w:p w14:paraId="58A928A2" w14:textId="23E27C4E" w:rsidR="001E28D2" w:rsidRPr="006E0E47" w:rsidRDefault="001E28D2" w:rsidP="002D7FA2">
      <w:pPr>
        <w:pStyle w:val="Bullet1"/>
      </w:pPr>
      <w:r w:rsidRPr="006E0E47">
        <w:rPr>
          <w:b/>
          <w:bCs/>
        </w:rPr>
        <w:t xml:space="preserve">The planning process. </w:t>
      </w:r>
      <w:r w:rsidR="00525569" w:rsidRPr="00525569">
        <w:t>Individual</w:t>
      </w:r>
      <w:r w:rsidR="00525569">
        <w:rPr>
          <w:b/>
          <w:bCs/>
        </w:rPr>
        <w:t xml:space="preserve"> </w:t>
      </w:r>
      <w:r w:rsidR="00525569">
        <w:t>p</w:t>
      </w:r>
      <w:r w:rsidRPr="006E0E47">
        <w:t xml:space="preserve">lanners </w:t>
      </w:r>
      <w:r w:rsidR="00C319CD" w:rsidRPr="006E0E47">
        <w:t xml:space="preserve">are responsible for </w:t>
      </w:r>
      <w:r w:rsidR="00525569">
        <w:t xml:space="preserve">multiple steps in the planning process including </w:t>
      </w:r>
      <w:r w:rsidR="00C319CD" w:rsidRPr="006E0E47">
        <w:t>updat</w:t>
      </w:r>
      <w:r w:rsidR="00503B34">
        <w:t>ing</w:t>
      </w:r>
      <w:r w:rsidR="00C319CD" w:rsidRPr="006E0E47">
        <w:t xml:space="preserve"> the disability severity rating, </w:t>
      </w:r>
      <w:r w:rsidR="00525569">
        <w:t xml:space="preserve">assessing the typical support package amount, </w:t>
      </w:r>
      <w:r w:rsidR="00FC31DA">
        <w:t xml:space="preserve">and </w:t>
      </w:r>
      <w:r w:rsidR="00C319CD" w:rsidRPr="006E0E47">
        <w:t>assess</w:t>
      </w:r>
      <w:r w:rsidR="00525569">
        <w:t>ing</w:t>
      </w:r>
      <w:r w:rsidR="00C319CD" w:rsidRPr="006E0E47">
        <w:t xml:space="preserve"> </w:t>
      </w:r>
      <w:r w:rsidR="00525569">
        <w:t xml:space="preserve">required </w:t>
      </w:r>
      <w:r w:rsidR="00C319CD" w:rsidRPr="006E0E47">
        <w:t xml:space="preserve">mainstream and informal </w:t>
      </w:r>
      <w:r w:rsidR="00A14990" w:rsidRPr="006E0E47">
        <w:t xml:space="preserve">supports, </w:t>
      </w:r>
      <w:r w:rsidR="00A14990">
        <w:t>ultimately</w:t>
      </w:r>
      <w:r w:rsidR="00A97F27">
        <w:t xml:space="preserve"> </w:t>
      </w:r>
      <w:r w:rsidR="00525569">
        <w:t>leading to the</w:t>
      </w:r>
      <w:r w:rsidR="00C319CD" w:rsidRPr="006E0E47">
        <w:t xml:space="preserve"> </w:t>
      </w:r>
      <w:r w:rsidR="00A97F27">
        <w:t xml:space="preserve">final </w:t>
      </w:r>
      <w:r w:rsidR="00C319CD" w:rsidRPr="006E0E47">
        <w:t>committed support</w:t>
      </w:r>
      <w:r w:rsidR="00525569">
        <w:t xml:space="preserve"> package</w:t>
      </w:r>
      <w:r w:rsidR="00C319CD" w:rsidRPr="006E0E47">
        <w:t xml:space="preserve">. This creates efficiency but </w:t>
      </w:r>
      <w:r w:rsidR="00525569">
        <w:t xml:space="preserve">reduces the level of cross-checking </w:t>
      </w:r>
      <w:r w:rsidR="003A45E0">
        <w:t>as to</w:t>
      </w:r>
      <w:r w:rsidR="00525569">
        <w:t xml:space="preserve"> why the packages are changing and the justification for those changes. T</w:t>
      </w:r>
      <w:r w:rsidR="00525569" w:rsidRPr="006E0E47">
        <w:t xml:space="preserve">he </w:t>
      </w:r>
      <w:r w:rsidR="00C319CD" w:rsidRPr="006E0E47">
        <w:t xml:space="preserve">link between higher severity and higher packages suggests the planning process </w:t>
      </w:r>
      <w:r w:rsidR="003A45E0">
        <w:t xml:space="preserve">has contributed to </w:t>
      </w:r>
      <w:r w:rsidR="00C319CD" w:rsidRPr="006E0E47">
        <w:t xml:space="preserve">some of the </w:t>
      </w:r>
      <w:r w:rsidR="003A45E0">
        <w:t xml:space="preserve">recent </w:t>
      </w:r>
      <w:r w:rsidR="00A97F27">
        <w:t xml:space="preserve">joint </w:t>
      </w:r>
      <w:r w:rsidR="00CB46C4">
        <w:t xml:space="preserve">trends in </w:t>
      </w:r>
      <w:r w:rsidR="00A97F27">
        <w:t xml:space="preserve">increasing </w:t>
      </w:r>
      <w:r w:rsidR="00CB46C4">
        <w:t>severity and committed supports</w:t>
      </w:r>
      <w:r w:rsidR="00C319CD" w:rsidRPr="006E0E47">
        <w:t xml:space="preserve">. </w:t>
      </w:r>
    </w:p>
    <w:p w14:paraId="5F7510EE" w14:textId="0A5072B2" w:rsidR="002D7FA2" w:rsidRDefault="001E28D2" w:rsidP="002D7FA2">
      <w:pPr>
        <w:pStyle w:val="Bullet1"/>
      </w:pPr>
      <w:r w:rsidRPr="006E0E47">
        <w:rPr>
          <w:b/>
          <w:bCs/>
        </w:rPr>
        <w:t xml:space="preserve">The role and evidence of early intervention. </w:t>
      </w:r>
      <w:r w:rsidR="002D7FA2" w:rsidRPr="006E0E47">
        <w:t>Part of the NDIS design is that effective early intervention lowers lifetime support costs</w:t>
      </w:r>
      <w:r w:rsidR="002D7FA2">
        <w:t xml:space="preserve"> </w:t>
      </w:r>
      <w:r>
        <w:t>by building capacity. W</w:t>
      </w:r>
      <w:r w:rsidRPr="001E28D2">
        <w:t>e have found little obvious evidence of increased supports leading to reductions in needs in subsequent years</w:t>
      </w:r>
      <w:r w:rsidR="00C319CD">
        <w:t>, although</w:t>
      </w:r>
      <w:r w:rsidRPr="001E28D2">
        <w:t xml:space="preserve"> it </w:t>
      </w:r>
      <w:r w:rsidR="00C319CD">
        <w:t xml:space="preserve">may be </w:t>
      </w:r>
      <w:r w:rsidRPr="001E28D2">
        <w:t xml:space="preserve">too early to </w:t>
      </w:r>
      <w:r w:rsidR="00C319CD">
        <w:t xml:space="preserve">expect to see </w:t>
      </w:r>
      <w:r w:rsidRPr="001E28D2">
        <w:t>such reductions.</w:t>
      </w:r>
      <w:r>
        <w:t xml:space="preserve"> </w:t>
      </w:r>
      <w:r w:rsidRPr="001E28D2">
        <w:t>Further, the process by which such future savings could be measured and assessed is unclear</w:t>
      </w:r>
      <w:r>
        <w:t>.</w:t>
      </w:r>
      <w:r w:rsidR="00C319CD">
        <w:t xml:space="preserve"> Work to better understand the effectiveness of early intervention </w:t>
      </w:r>
      <w:r w:rsidR="00F74101">
        <w:t>and capacity building in the NDIS would be valuable.</w:t>
      </w:r>
    </w:p>
    <w:p w14:paraId="1B98D8AE" w14:textId="56448394" w:rsidR="00F74101" w:rsidRPr="006E0E47" w:rsidRDefault="00F74101" w:rsidP="00F74101">
      <w:pPr>
        <w:pStyle w:val="Bullet1"/>
      </w:pPr>
      <w:r w:rsidRPr="00A335E0">
        <w:rPr>
          <w:b/>
          <w:bCs/>
        </w:rPr>
        <w:t>Scheme exits</w:t>
      </w:r>
      <w:r>
        <w:t>. One NDIS aim</w:t>
      </w:r>
      <w:r w:rsidRPr="00F74101">
        <w:t xml:space="preserve">, consistent with the idea of early intervention, is that </w:t>
      </w:r>
      <w:r w:rsidR="00503B34">
        <w:t xml:space="preserve">many </w:t>
      </w:r>
      <w:r w:rsidRPr="00F74101">
        <w:t xml:space="preserve">people would exit from the </w:t>
      </w:r>
      <w:r w:rsidR="00C663E7">
        <w:t>S</w:t>
      </w:r>
      <w:r w:rsidRPr="00F74101">
        <w:t>cheme</w:t>
      </w:r>
      <w:r>
        <w:t xml:space="preserve"> after receiving capacity-building supports</w:t>
      </w:r>
      <w:r w:rsidRPr="00F74101">
        <w:t>.</w:t>
      </w:r>
      <w:r>
        <w:t xml:space="preserve"> </w:t>
      </w:r>
      <w:r w:rsidRPr="00F74101">
        <w:t>The</w:t>
      </w:r>
      <w:r w:rsidR="008558A2">
        <w:t xml:space="preserve">re is a question </w:t>
      </w:r>
      <w:r w:rsidR="00135394">
        <w:t xml:space="preserve">as to </w:t>
      </w:r>
      <w:r w:rsidRPr="00F74101">
        <w:t>whether the current level of exit</w:t>
      </w:r>
      <w:r w:rsidR="00503B34">
        <w:t>s</w:t>
      </w:r>
      <w:r w:rsidRPr="00F74101">
        <w:t xml:space="preserve"> is appropriate – in particular, that most children entering under early intervention remain in the </w:t>
      </w:r>
      <w:r w:rsidR="00135394">
        <w:t>S</w:t>
      </w:r>
      <w:r w:rsidRPr="00F74101">
        <w:t xml:space="preserve">cheme for an extended period of time. </w:t>
      </w:r>
      <w:r>
        <w:t xml:space="preserve">We note that faster exits are possible – in 2018 and 2019 the ACT saw an exit rate five times higher than the national average for children with developmental delay, reflecting a concerted effort at </w:t>
      </w:r>
      <w:r w:rsidRPr="006E0E47">
        <w:t>the time</w:t>
      </w:r>
      <w:r w:rsidR="00503B34">
        <w:t>.</w:t>
      </w:r>
    </w:p>
    <w:p w14:paraId="22057E48" w14:textId="75B7BE9D" w:rsidR="001E28D2" w:rsidRPr="006E0E47" w:rsidRDefault="00F74101" w:rsidP="001E28D2">
      <w:r w:rsidRPr="006E0E47">
        <w:t>We also identif</w:t>
      </w:r>
      <w:r w:rsidR="006E0E47">
        <w:t>y</w:t>
      </w:r>
      <w:r w:rsidRPr="006E0E47">
        <w:t xml:space="preserve"> some areas for a</w:t>
      </w:r>
      <w:r w:rsidR="001E28D2" w:rsidRPr="006E0E47">
        <w:t>dditional work</w:t>
      </w:r>
      <w:r w:rsidRPr="006E0E47">
        <w:t xml:space="preserve"> that this report cannot cover:</w:t>
      </w:r>
    </w:p>
    <w:p w14:paraId="45468B16" w14:textId="357E356A" w:rsidR="00F74101" w:rsidRPr="006E0E47" w:rsidRDefault="00F74101" w:rsidP="00F74101">
      <w:pPr>
        <w:pStyle w:val="Bullet1"/>
      </w:pPr>
      <w:r w:rsidRPr="006E0E47">
        <w:t xml:space="preserve">We cannot judge ‘value for money’; only that services have been delivered. </w:t>
      </w:r>
      <w:r w:rsidR="004C1D75">
        <w:t>Therefore</w:t>
      </w:r>
      <w:r w:rsidR="001E5601">
        <w:t>,</w:t>
      </w:r>
      <w:r w:rsidR="004C1D75">
        <w:t xml:space="preserve"> we cannot make any comments on t</w:t>
      </w:r>
      <w:r w:rsidRPr="006E0E47">
        <w:t>he quality of service</w:t>
      </w:r>
      <w:r w:rsidR="00503B34">
        <w:t>s</w:t>
      </w:r>
      <w:r w:rsidRPr="006E0E47">
        <w:t xml:space="preserve"> and the </w:t>
      </w:r>
      <w:r w:rsidR="004C1D75">
        <w:t xml:space="preserve">resulting </w:t>
      </w:r>
      <w:r w:rsidRPr="006E0E47">
        <w:t xml:space="preserve">benefits gained </w:t>
      </w:r>
      <w:r w:rsidR="004C1D75">
        <w:t>from those services</w:t>
      </w:r>
      <w:r w:rsidRPr="006E0E47">
        <w:t>.</w:t>
      </w:r>
    </w:p>
    <w:p w14:paraId="225782A1" w14:textId="45D3E705" w:rsidR="006E0E47" w:rsidRPr="006E0E47" w:rsidRDefault="006E0E47" w:rsidP="00F74101">
      <w:pPr>
        <w:pStyle w:val="Bullet1"/>
      </w:pPr>
      <w:r w:rsidRPr="006E0E47">
        <w:t xml:space="preserve">We cannot judge whether </w:t>
      </w:r>
      <w:r w:rsidR="00FD29A3">
        <w:t xml:space="preserve">additional supports being added to participant plans over time </w:t>
      </w:r>
      <w:r w:rsidR="00FD29A3" w:rsidRPr="006E0E47">
        <w:t>are ‘reasonable and necessary’</w:t>
      </w:r>
      <w:r w:rsidR="00FD29A3">
        <w:t xml:space="preserve">. That is, whether additions represent previously unmet need or go beyond what was previously judged as </w:t>
      </w:r>
      <w:r w:rsidR="00FD29A3" w:rsidRPr="006E0E47">
        <w:t>‘reasonable and necessary’</w:t>
      </w:r>
      <w:r w:rsidR="00FD29A3">
        <w:t>.</w:t>
      </w:r>
    </w:p>
    <w:p w14:paraId="30271ADF" w14:textId="7A074324" w:rsidR="00F74101" w:rsidRPr="006E0E47" w:rsidRDefault="006E0E47" w:rsidP="00F74101">
      <w:pPr>
        <w:pStyle w:val="Bullet1"/>
      </w:pPr>
      <w:r w:rsidRPr="006E0E47">
        <w:t xml:space="preserve">We have not attempted to access microdata related to the ABS Survey of Disability, Aging and Carers (SDAC). This would be needed for more detailed reconciliation of prevalence data (to the extent possible by sample size). </w:t>
      </w:r>
    </w:p>
    <w:p w14:paraId="4B07DC5D" w14:textId="6D52778A" w:rsidR="006E0E47" w:rsidRPr="006E0E47" w:rsidRDefault="006E0E47" w:rsidP="001E28D2">
      <w:r w:rsidRPr="006E0E47">
        <w:t>Additional research, including qualitative work, would be valuable to</w:t>
      </w:r>
      <w:r w:rsidR="008558A2">
        <w:t xml:space="preserve"> explore these areas.</w:t>
      </w:r>
      <w:r w:rsidRPr="006E0E47">
        <w:t xml:space="preserve"> </w:t>
      </w:r>
    </w:p>
    <w:p w14:paraId="7D55AC65" w14:textId="1254099B" w:rsidR="000E575E" w:rsidRDefault="000E575E" w:rsidP="00C27C75">
      <w:pPr>
        <w:pStyle w:val="TOCHeading"/>
      </w:pPr>
      <w:r w:rsidRPr="004B5CF7">
        <w:t>Table of contents</w:t>
      </w:r>
    </w:p>
    <w:sdt>
      <w:sdtPr>
        <w:rPr>
          <w:b w:val="0"/>
          <w:noProof w:val="0"/>
          <w:sz w:val="36"/>
        </w:rPr>
        <w:id w:val="1853763999"/>
        <w:docPartObj>
          <w:docPartGallery w:val="Table of Contents"/>
          <w:docPartUnique/>
        </w:docPartObj>
      </w:sdtPr>
      <w:sdtEndPr>
        <w:rPr>
          <w:color w:val="006EC8" w:themeColor="accent1"/>
          <w:sz w:val="21"/>
        </w:rPr>
      </w:sdtEndPr>
      <w:sdtContent>
        <w:p w14:paraId="797F5F73" w14:textId="2AE3A41D" w:rsidR="00F07767" w:rsidRDefault="000F57B5" w:rsidP="00F07767">
          <w:pPr>
            <w:pStyle w:val="TOC1"/>
            <w:rPr>
              <w:rFonts w:eastAsiaTheme="minorEastAsia"/>
              <w:sz w:val="22"/>
              <w:lang w:val="en-AU" w:eastAsia="en-AU"/>
            </w:rPr>
          </w:pPr>
          <w:r>
            <w:rPr>
              <w:sz w:val="36"/>
            </w:rPr>
            <w:fldChar w:fldCharType="begin"/>
          </w:r>
          <w:r>
            <w:instrText xml:space="preserve"> TOC \o "1-2" \h \z \t "Heading 5,1,Heading 6,2,Section number,4,Section title,3" \n 3-4 </w:instrText>
          </w:r>
          <w:r>
            <w:rPr>
              <w:sz w:val="36"/>
            </w:rPr>
            <w:fldChar w:fldCharType="separate"/>
          </w:r>
          <w:hyperlink w:anchor="_Toc88686100" w:history="1">
            <w:r w:rsidR="00F07767" w:rsidRPr="007806AB">
              <w:rPr>
                <w:rStyle w:val="Hyperlink"/>
              </w:rPr>
              <w:t>Executive Summary</w:t>
            </w:r>
            <w:r w:rsidR="00F07767">
              <w:rPr>
                <w:webHidden/>
              </w:rPr>
              <w:tab/>
            </w:r>
            <w:r w:rsidR="00F07767">
              <w:rPr>
                <w:webHidden/>
              </w:rPr>
              <w:fldChar w:fldCharType="begin"/>
            </w:r>
            <w:r w:rsidR="00F07767">
              <w:rPr>
                <w:webHidden/>
              </w:rPr>
              <w:instrText xml:space="preserve"> PAGEREF _Toc88686100 \h </w:instrText>
            </w:r>
            <w:r w:rsidR="00F07767">
              <w:rPr>
                <w:webHidden/>
              </w:rPr>
            </w:r>
            <w:r w:rsidR="00F07767">
              <w:rPr>
                <w:webHidden/>
              </w:rPr>
              <w:fldChar w:fldCharType="separate"/>
            </w:r>
            <w:r w:rsidR="00E6217F">
              <w:rPr>
                <w:webHidden/>
              </w:rPr>
              <w:t>i</w:t>
            </w:r>
            <w:r w:rsidR="00F07767">
              <w:rPr>
                <w:webHidden/>
              </w:rPr>
              <w:fldChar w:fldCharType="end"/>
            </w:r>
          </w:hyperlink>
        </w:p>
        <w:p w14:paraId="267DA641" w14:textId="5EC70CD9" w:rsidR="00F07767" w:rsidRDefault="00E063F5">
          <w:pPr>
            <w:pStyle w:val="TOC3"/>
            <w:rPr>
              <w:rFonts w:eastAsiaTheme="minorEastAsia"/>
              <w:b w:val="0"/>
              <w:noProof/>
              <w:color w:val="auto"/>
              <w:sz w:val="22"/>
              <w:lang w:val="en-AU" w:eastAsia="en-AU"/>
            </w:rPr>
          </w:pPr>
          <w:hyperlink w:anchor="_Toc88686101" w:history="1">
            <w:r w:rsidR="00F07767" w:rsidRPr="007806AB">
              <w:rPr>
                <w:rStyle w:val="Hyperlink"/>
                <w:noProof/>
              </w:rPr>
              <w:t>Introduction</w:t>
            </w:r>
          </w:hyperlink>
        </w:p>
        <w:p w14:paraId="3D5FDF9C" w14:textId="142EFE3A" w:rsidR="00F07767" w:rsidRDefault="00E063F5" w:rsidP="00F07767">
          <w:pPr>
            <w:pStyle w:val="TOC1"/>
            <w:rPr>
              <w:rFonts w:eastAsiaTheme="minorEastAsia"/>
              <w:sz w:val="22"/>
              <w:lang w:val="en-AU" w:eastAsia="en-AU"/>
            </w:rPr>
          </w:pPr>
          <w:hyperlink w:anchor="_Toc88686102" w:history="1">
            <w:r w:rsidR="00F07767" w:rsidRPr="007806AB">
              <w:rPr>
                <w:rStyle w:val="Hyperlink"/>
              </w:rPr>
              <w:t>1</w:t>
            </w:r>
            <w:r w:rsidR="00F07767">
              <w:rPr>
                <w:rFonts w:eastAsiaTheme="minorEastAsia"/>
                <w:sz w:val="22"/>
                <w:lang w:val="en-AU" w:eastAsia="en-AU"/>
              </w:rPr>
              <w:tab/>
            </w:r>
            <w:r w:rsidR="00F07767" w:rsidRPr="007806AB">
              <w:rPr>
                <w:rStyle w:val="Hyperlink"/>
              </w:rPr>
              <w:t>Introduction</w:t>
            </w:r>
            <w:r w:rsidR="00F07767">
              <w:rPr>
                <w:webHidden/>
              </w:rPr>
              <w:tab/>
            </w:r>
            <w:r w:rsidR="00F07767">
              <w:rPr>
                <w:webHidden/>
              </w:rPr>
              <w:fldChar w:fldCharType="begin"/>
            </w:r>
            <w:r w:rsidR="00F07767">
              <w:rPr>
                <w:webHidden/>
              </w:rPr>
              <w:instrText xml:space="preserve"> PAGEREF _Toc88686102 \h </w:instrText>
            </w:r>
            <w:r w:rsidR="00F07767">
              <w:rPr>
                <w:webHidden/>
              </w:rPr>
            </w:r>
            <w:r w:rsidR="00F07767">
              <w:rPr>
                <w:webHidden/>
              </w:rPr>
              <w:fldChar w:fldCharType="separate"/>
            </w:r>
            <w:r w:rsidR="00E6217F">
              <w:rPr>
                <w:webHidden/>
              </w:rPr>
              <w:t>1</w:t>
            </w:r>
            <w:r w:rsidR="00F07767">
              <w:rPr>
                <w:webHidden/>
              </w:rPr>
              <w:fldChar w:fldCharType="end"/>
            </w:r>
          </w:hyperlink>
        </w:p>
        <w:p w14:paraId="22122EE7" w14:textId="2B081016" w:rsidR="00F07767" w:rsidRDefault="00E063F5">
          <w:pPr>
            <w:pStyle w:val="TOC2"/>
            <w:rPr>
              <w:rFonts w:eastAsiaTheme="minorEastAsia"/>
              <w:noProof/>
              <w:sz w:val="22"/>
              <w:lang w:val="en-AU" w:eastAsia="en-AU"/>
            </w:rPr>
          </w:pPr>
          <w:hyperlink w:anchor="_Toc88686103" w:history="1">
            <w:r w:rsidR="00F07767" w:rsidRPr="007806AB">
              <w:rPr>
                <w:rStyle w:val="Hyperlink"/>
                <w:noProof/>
              </w:rPr>
              <w:t>1.1</w:t>
            </w:r>
            <w:r w:rsidR="00F07767">
              <w:rPr>
                <w:rFonts w:eastAsiaTheme="minorEastAsia"/>
                <w:noProof/>
                <w:sz w:val="22"/>
                <w:lang w:val="en-AU" w:eastAsia="en-AU"/>
              </w:rPr>
              <w:tab/>
            </w:r>
            <w:r w:rsidR="00F07767" w:rsidRPr="007806AB">
              <w:rPr>
                <w:rStyle w:val="Hyperlink"/>
                <w:noProof/>
              </w:rPr>
              <w:t>Background</w:t>
            </w:r>
            <w:r w:rsidR="00F07767">
              <w:rPr>
                <w:noProof/>
                <w:webHidden/>
              </w:rPr>
              <w:tab/>
            </w:r>
            <w:r w:rsidR="00F07767">
              <w:rPr>
                <w:noProof/>
                <w:webHidden/>
              </w:rPr>
              <w:fldChar w:fldCharType="begin"/>
            </w:r>
            <w:r w:rsidR="00F07767">
              <w:rPr>
                <w:noProof/>
                <w:webHidden/>
              </w:rPr>
              <w:instrText xml:space="preserve"> PAGEREF _Toc88686103 \h </w:instrText>
            </w:r>
            <w:r w:rsidR="00F07767">
              <w:rPr>
                <w:noProof/>
                <w:webHidden/>
              </w:rPr>
            </w:r>
            <w:r w:rsidR="00F07767">
              <w:rPr>
                <w:noProof/>
                <w:webHidden/>
              </w:rPr>
              <w:fldChar w:fldCharType="separate"/>
            </w:r>
            <w:r w:rsidR="00E6217F">
              <w:rPr>
                <w:noProof/>
                <w:webHidden/>
              </w:rPr>
              <w:t>1</w:t>
            </w:r>
            <w:r w:rsidR="00F07767">
              <w:rPr>
                <w:noProof/>
                <w:webHidden/>
              </w:rPr>
              <w:fldChar w:fldCharType="end"/>
            </w:r>
          </w:hyperlink>
        </w:p>
        <w:p w14:paraId="2E9E157B" w14:textId="7E852DE6" w:rsidR="00F07767" w:rsidRDefault="00E063F5">
          <w:pPr>
            <w:pStyle w:val="TOC2"/>
            <w:rPr>
              <w:rFonts w:eastAsiaTheme="minorEastAsia"/>
              <w:noProof/>
              <w:sz w:val="22"/>
              <w:lang w:val="en-AU" w:eastAsia="en-AU"/>
            </w:rPr>
          </w:pPr>
          <w:hyperlink w:anchor="_Toc88686104" w:history="1">
            <w:r w:rsidR="00F07767" w:rsidRPr="007806AB">
              <w:rPr>
                <w:rStyle w:val="Hyperlink"/>
                <w:noProof/>
              </w:rPr>
              <w:t>1.2</w:t>
            </w:r>
            <w:r w:rsidR="00F07767">
              <w:rPr>
                <w:rFonts w:eastAsiaTheme="minorEastAsia"/>
                <w:noProof/>
                <w:sz w:val="22"/>
                <w:lang w:val="en-AU" w:eastAsia="en-AU"/>
              </w:rPr>
              <w:tab/>
            </w:r>
            <w:r w:rsidR="00F07767" w:rsidRPr="007806AB">
              <w:rPr>
                <w:rStyle w:val="Hyperlink"/>
                <w:noProof/>
              </w:rPr>
              <w:t>Timeframe for the review</w:t>
            </w:r>
            <w:r w:rsidR="00F07767">
              <w:rPr>
                <w:noProof/>
                <w:webHidden/>
              </w:rPr>
              <w:tab/>
            </w:r>
            <w:r w:rsidR="00F07767">
              <w:rPr>
                <w:noProof/>
                <w:webHidden/>
              </w:rPr>
              <w:fldChar w:fldCharType="begin"/>
            </w:r>
            <w:r w:rsidR="00F07767">
              <w:rPr>
                <w:noProof/>
                <w:webHidden/>
              </w:rPr>
              <w:instrText xml:space="preserve"> PAGEREF _Toc88686104 \h </w:instrText>
            </w:r>
            <w:r w:rsidR="00F07767">
              <w:rPr>
                <w:noProof/>
                <w:webHidden/>
              </w:rPr>
            </w:r>
            <w:r w:rsidR="00F07767">
              <w:rPr>
                <w:noProof/>
                <w:webHidden/>
              </w:rPr>
              <w:fldChar w:fldCharType="separate"/>
            </w:r>
            <w:r w:rsidR="00E6217F">
              <w:rPr>
                <w:noProof/>
                <w:webHidden/>
              </w:rPr>
              <w:t>1</w:t>
            </w:r>
            <w:r w:rsidR="00F07767">
              <w:rPr>
                <w:noProof/>
                <w:webHidden/>
              </w:rPr>
              <w:fldChar w:fldCharType="end"/>
            </w:r>
          </w:hyperlink>
        </w:p>
        <w:p w14:paraId="01AAE70E" w14:textId="415485D0" w:rsidR="00F07767" w:rsidRDefault="00E063F5">
          <w:pPr>
            <w:pStyle w:val="TOC2"/>
            <w:rPr>
              <w:rFonts w:eastAsiaTheme="minorEastAsia"/>
              <w:noProof/>
              <w:sz w:val="22"/>
              <w:lang w:val="en-AU" w:eastAsia="en-AU"/>
            </w:rPr>
          </w:pPr>
          <w:hyperlink w:anchor="_Toc88686105" w:history="1">
            <w:r w:rsidR="00F07767" w:rsidRPr="007806AB">
              <w:rPr>
                <w:rStyle w:val="Hyperlink"/>
                <w:noProof/>
              </w:rPr>
              <w:t>1.3</w:t>
            </w:r>
            <w:r w:rsidR="00F07767">
              <w:rPr>
                <w:rFonts w:eastAsiaTheme="minorEastAsia"/>
                <w:noProof/>
                <w:sz w:val="22"/>
                <w:lang w:val="en-AU" w:eastAsia="en-AU"/>
              </w:rPr>
              <w:tab/>
            </w:r>
            <w:r w:rsidR="00F07767" w:rsidRPr="007806AB">
              <w:rPr>
                <w:rStyle w:val="Hyperlink"/>
                <w:noProof/>
              </w:rPr>
              <w:t>Status of this report</w:t>
            </w:r>
            <w:r w:rsidR="00F07767">
              <w:rPr>
                <w:noProof/>
                <w:webHidden/>
              </w:rPr>
              <w:tab/>
            </w:r>
            <w:r w:rsidR="00F07767">
              <w:rPr>
                <w:noProof/>
                <w:webHidden/>
              </w:rPr>
              <w:fldChar w:fldCharType="begin"/>
            </w:r>
            <w:r w:rsidR="00F07767">
              <w:rPr>
                <w:noProof/>
                <w:webHidden/>
              </w:rPr>
              <w:instrText xml:space="preserve"> PAGEREF _Toc88686105 \h </w:instrText>
            </w:r>
            <w:r w:rsidR="00F07767">
              <w:rPr>
                <w:noProof/>
                <w:webHidden/>
              </w:rPr>
            </w:r>
            <w:r w:rsidR="00F07767">
              <w:rPr>
                <w:noProof/>
                <w:webHidden/>
              </w:rPr>
              <w:fldChar w:fldCharType="separate"/>
            </w:r>
            <w:r w:rsidR="00E6217F">
              <w:rPr>
                <w:noProof/>
                <w:webHidden/>
              </w:rPr>
              <w:t>2</w:t>
            </w:r>
            <w:r w:rsidR="00F07767">
              <w:rPr>
                <w:noProof/>
                <w:webHidden/>
              </w:rPr>
              <w:fldChar w:fldCharType="end"/>
            </w:r>
          </w:hyperlink>
        </w:p>
        <w:p w14:paraId="146EAF9F" w14:textId="6E20ADB3" w:rsidR="00F07767" w:rsidRDefault="00E063F5">
          <w:pPr>
            <w:pStyle w:val="TOC2"/>
            <w:rPr>
              <w:rFonts w:eastAsiaTheme="minorEastAsia"/>
              <w:noProof/>
              <w:sz w:val="22"/>
              <w:lang w:val="en-AU" w:eastAsia="en-AU"/>
            </w:rPr>
          </w:pPr>
          <w:hyperlink w:anchor="_Toc88686106" w:history="1">
            <w:r w:rsidR="00F07767" w:rsidRPr="007806AB">
              <w:rPr>
                <w:rStyle w:val="Hyperlink"/>
                <w:noProof/>
              </w:rPr>
              <w:t>1.4</w:t>
            </w:r>
            <w:r w:rsidR="00F07767">
              <w:rPr>
                <w:rFonts w:eastAsiaTheme="minorEastAsia"/>
                <w:noProof/>
                <w:sz w:val="22"/>
                <w:lang w:val="en-AU" w:eastAsia="en-AU"/>
              </w:rPr>
              <w:tab/>
            </w:r>
            <w:r w:rsidR="00F07767" w:rsidRPr="007806AB">
              <w:rPr>
                <w:rStyle w:val="Hyperlink"/>
                <w:noProof/>
              </w:rPr>
              <w:t>Structure of this report</w:t>
            </w:r>
            <w:r w:rsidR="00F07767">
              <w:rPr>
                <w:noProof/>
                <w:webHidden/>
              </w:rPr>
              <w:tab/>
            </w:r>
            <w:r w:rsidR="00F07767">
              <w:rPr>
                <w:noProof/>
                <w:webHidden/>
              </w:rPr>
              <w:fldChar w:fldCharType="begin"/>
            </w:r>
            <w:r w:rsidR="00F07767">
              <w:rPr>
                <w:noProof/>
                <w:webHidden/>
              </w:rPr>
              <w:instrText xml:space="preserve"> PAGEREF _Toc88686106 \h </w:instrText>
            </w:r>
            <w:r w:rsidR="00F07767">
              <w:rPr>
                <w:noProof/>
                <w:webHidden/>
              </w:rPr>
            </w:r>
            <w:r w:rsidR="00F07767">
              <w:rPr>
                <w:noProof/>
                <w:webHidden/>
              </w:rPr>
              <w:fldChar w:fldCharType="separate"/>
            </w:r>
            <w:r w:rsidR="00E6217F">
              <w:rPr>
                <w:noProof/>
                <w:webHidden/>
              </w:rPr>
              <w:t>2</w:t>
            </w:r>
            <w:r w:rsidR="00F07767">
              <w:rPr>
                <w:noProof/>
                <w:webHidden/>
              </w:rPr>
              <w:fldChar w:fldCharType="end"/>
            </w:r>
          </w:hyperlink>
        </w:p>
        <w:p w14:paraId="75542EB1" w14:textId="0CFAFCB4" w:rsidR="00F07767" w:rsidRDefault="00E063F5">
          <w:pPr>
            <w:pStyle w:val="TOC2"/>
            <w:rPr>
              <w:rFonts w:eastAsiaTheme="minorEastAsia"/>
              <w:noProof/>
              <w:sz w:val="22"/>
              <w:lang w:val="en-AU" w:eastAsia="en-AU"/>
            </w:rPr>
          </w:pPr>
          <w:hyperlink w:anchor="_Toc88686107" w:history="1">
            <w:r w:rsidR="00F07767" w:rsidRPr="007806AB">
              <w:rPr>
                <w:rStyle w:val="Hyperlink"/>
                <w:noProof/>
              </w:rPr>
              <w:t>1.5</w:t>
            </w:r>
            <w:r w:rsidR="00F07767">
              <w:rPr>
                <w:rFonts w:eastAsiaTheme="minorEastAsia"/>
                <w:noProof/>
                <w:sz w:val="22"/>
                <w:lang w:val="en-AU" w:eastAsia="en-AU"/>
              </w:rPr>
              <w:tab/>
            </w:r>
            <w:r w:rsidR="00F07767" w:rsidRPr="007806AB">
              <w:rPr>
                <w:rStyle w:val="Hyperlink"/>
                <w:noProof/>
              </w:rPr>
              <w:t>The challenge of projecting the cost of the NDIS</w:t>
            </w:r>
            <w:r w:rsidR="00F07767">
              <w:rPr>
                <w:noProof/>
                <w:webHidden/>
              </w:rPr>
              <w:tab/>
            </w:r>
            <w:r w:rsidR="00F07767">
              <w:rPr>
                <w:noProof/>
                <w:webHidden/>
              </w:rPr>
              <w:fldChar w:fldCharType="begin"/>
            </w:r>
            <w:r w:rsidR="00F07767">
              <w:rPr>
                <w:noProof/>
                <w:webHidden/>
              </w:rPr>
              <w:instrText xml:space="preserve"> PAGEREF _Toc88686107 \h </w:instrText>
            </w:r>
            <w:r w:rsidR="00F07767">
              <w:rPr>
                <w:noProof/>
                <w:webHidden/>
              </w:rPr>
            </w:r>
            <w:r w:rsidR="00F07767">
              <w:rPr>
                <w:noProof/>
                <w:webHidden/>
              </w:rPr>
              <w:fldChar w:fldCharType="separate"/>
            </w:r>
            <w:r w:rsidR="00E6217F">
              <w:rPr>
                <w:noProof/>
                <w:webHidden/>
              </w:rPr>
              <w:t>2</w:t>
            </w:r>
            <w:r w:rsidR="00F07767">
              <w:rPr>
                <w:noProof/>
                <w:webHidden/>
              </w:rPr>
              <w:fldChar w:fldCharType="end"/>
            </w:r>
          </w:hyperlink>
        </w:p>
        <w:p w14:paraId="39903B88" w14:textId="5D46EDCD" w:rsidR="00F07767" w:rsidRDefault="00E063F5">
          <w:pPr>
            <w:pStyle w:val="TOC2"/>
            <w:rPr>
              <w:rFonts w:eastAsiaTheme="minorEastAsia"/>
              <w:noProof/>
              <w:sz w:val="22"/>
              <w:lang w:val="en-AU" w:eastAsia="en-AU"/>
            </w:rPr>
          </w:pPr>
          <w:hyperlink w:anchor="_Toc88686108" w:history="1">
            <w:r w:rsidR="00F07767" w:rsidRPr="007806AB">
              <w:rPr>
                <w:rStyle w:val="Hyperlink"/>
                <w:noProof/>
              </w:rPr>
              <w:t>1.6</w:t>
            </w:r>
            <w:r w:rsidR="00F07767">
              <w:rPr>
                <w:rFonts w:eastAsiaTheme="minorEastAsia"/>
                <w:noProof/>
                <w:sz w:val="22"/>
                <w:lang w:val="en-AU" w:eastAsia="en-AU"/>
              </w:rPr>
              <w:tab/>
            </w:r>
            <w:r w:rsidR="00F07767" w:rsidRPr="007806AB">
              <w:rPr>
                <w:rStyle w:val="Hyperlink"/>
                <w:noProof/>
              </w:rPr>
              <w:t>What does financial sustainability mean?</w:t>
            </w:r>
            <w:r w:rsidR="00F07767">
              <w:rPr>
                <w:noProof/>
                <w:webHidden/>
              </w:rPr>
              <w:tab/>
            </w:r>
            <w:r w:rsidR="00F07767">
              <w:rPr>
                <w:noProof/>
                <w:webHidden/>
              </w:rPr>
              <w:fldChar w:fldCharType="begin"/>
            </w:r>
            <w:r w:rsidR="00F07767">
              <w:rPr>
                <w:noProof/>
                <w:webHidden/>
              </w:rPr>
              <w:instrText xml:space="preserve"> PAGEREF _Toc88686108 \h </w:instrText>
            </w:r>
            <w:r w:rsidR="00F07767">
              <w:rPr>
                <w:noProof/>
                <w:webHidden/>
              </w:rPr>
            </w:r>
            <w:r w:rsidR="00F07767">
              <w:rPr>
                <w:noProof/>
                <w:webHidden/>
              </w:rPr>
              <w:fldChar w:fldCharType="separate"/>
            </w:r>
            <w:r w:rsidR="00E6217F">
              <w:rPr>
                <w:noProof/>
                <w:webHidden/>
              </w:rPr>
              <w:t>3</w:t>
            </w:r>
            <w:r w:rsidR="00F07767">
              <w:rPr>
                <w:noProof/>
                <w:webHidden/>
              </w:rPr>
              <w:fldChar w:fldCharType="end"/>
            </w:r>
          </w:hyperlink>
        </w:p>
        <w:p w14:paraId="6D48945D" w14:textId="617808BF" w:rsidR="00F07767" w:rsidRDefault="00E063F5">
          <w:pPr>
            <w:pStyle w:val="TOC2"/>
            <w:rPr>
              <w:rFonts w:eastAsiaTheme="minorEastAsia"/>
              <w:noProof/>
              <w:sz w:val="22"/>
              <w:lang w:val="en-AU" w:eastAsia="en-AU"/>
            </w:rPr>
          </w:pPr>
          <w:hyperlink w:anchor="_Toc88686109" w:history="1">
            <w:r w:rsidR="00F07767" w:rsidRPr="007806AB">
              <w:rPr>
                <w:rStyle w:val="Hyperlink"/>
                <w:noProof/>
              </w:rPr>
              <w:t>1.7</w:t>
            </w:r>
            <w:r w:rsidR="00F07767">
              <w:rPr>
                <w:rFonts w:eastAsiaTheme="minorEastAsia"/>
                <w:noProof/>
                <w:sz w:val="22"/>
                <w:lang w:val="en-AU" w:eastAsia="en-AU"/>
              </w:rPr>
              <w:tab/>
            </w:r>
            <w:r w:rsidR="00F07767" w:rsidRPr="007806AB">
              <w:rPr>
                <w:rStyle w:val="Hyperlink"/>
                <w:noProof/>
              </w:rPr>
              <w:t>Data provided</w:t>
            </w:r>
            <w:r w:rsidR="00F07767">
              <w:rPr>
                <w:noProof/>
                <w:webHidden/>
              </w:rPr>
              <w:tab/>
            </w:r>
            <w:r w:rsidR="00F07767">
              <w:rPr>
                <w:noProof/>
                <w:webHidden/>
              </w:rPr>
              <w:fldChar w:fldCharType="begin"/>
            </w:r>
            <w:r w:rsidR="00F07767">
              <w:rPr>
                <w:noProof/>
                <w:webHidden/>
              </w:rPr>
              <w:instrText xml:space="preserve"> PAGEREF _Toc88686109 \h </w:instrText>
            </w:r>
            <w:r w:rsidR="00F07767">
              <w:rPr>
                <w:noProof/>
                <w:webHidden/>
              </w:rPr>
            </w:r>
            <w:r w:rsidR="00F07767">
              <w:rPr>
                <w:noProof/>
                <w:webHidden/>
              </w:rPr>
              <w:fldChar w:fldCharType="separate"/>
            </w:r>
            <w:r w:rsidR="00E6217F">
              <w:rPr>
                <w:noProof/>
                <w:webHidden/>
              </w:rPr>
              <w:t>4</w:t>
            </w:r>
            <w:r w:rsidR="00F07767">
              <w:rPr>
                <w:noProof/>
                <w:webHidden/>
              </w:rPr>
              <w:fldChar w:fldCharType="end"/>
            </w:r>
          </w:hyperlink>
        </w:p>
        <w:p w14:paraId="1470AA53" w14:textId="3FC9AE27" w:rsidR="00F07767" w:rsidRDefault="00E063F5">
          <w:pPr>
            <w:pStyle w:val="TOC2"/>
            <w:rPr>
              <w:rFonts w:eastAsiaTheme="minorEastAsia"/>
              <w:noProof/>
              <w:sz w:val="22"/>
              <w:lang w:val="en-AU" w:eastAsia="en-AU"/>
            </w:rPr>
          </w:pPr>
          <w:hyperlink w:anchor="_Toc88686110" w:history="1">
            <w:r w:rsidR="00F07767" w:rsidRPr="007806AB">
              <w:rPr>
                <w:rStyle w:val="Hyperlink"/>
                <w:noProof/>
              </w:rPr>
              <w:t>1.8</w:t>
            </w:r>
            <w:r w:rsidR="00F07767">
              <w:rPr>
                <w:rFonts w:eastAsiaTheme="minorEastAsia"/>
                <w:noProof/>
                <w:sz w:val="22"/>
                <w:lang w:val="en-AU" w:eastAsia="en-AU"/>
              </w:rPr>
              <w:tab/>
            </w:r>
            <w:r w:rsidR="00F07767" w:rsidRPr="007806AB">
              <w:rPr>
                <w:rStyle w:val="Hyperlink"/>
                <w:noProof/>
              </w:rPr>
              <w:t>Reliances and Limitations</w:t>
            </w:r>
            <w:r w:rsidR="00F07767">
              <w:rPr>
                <w:noProof/>
                <w:webHidden/>
              </w:rPr>
              <w:tab/>
            </w:r>
            <w:r w:rsidR="00F07767">
              <w:rPr>
                <w:noProof/>
                <w:webHidden/>
              </w:rPr>
              <w:fldChar w:fldCharType="begin"/>
            </w:r>
            <w:r w:rsidR="00F07767">
              <w:rPr>
                <w:noProof/>
                <w:webHidden/>
              </w:rPr>
              <w:instrText xml:space="preserve"> PAGEREF _Toc88686110 \h </w:instrText>
            </w:r>
            <w:r w:rsidR="00F07767">
              <w:rPr>
                <w:noProof/>
                <w:webHidden/>
              </w:rPr>
            </w:r>
            <w:r w:rsidR="00F07767">
              <w:rPr>
                <w:noProof/>
                <w:webHidden/>
              </w:rPr>
              <w:fldChar w:fldCharType="separate"/>
            </w:r>
            <w:r w:rsidR="00E6217F">
              <w:rPr>
                <w:noProof/>
                <w:webHidden/>
              </w:rPr>
              <w:t>4</w:t>
            </w:r>
            <w:r w:rsidR="00F07767">
              <w:rPr>
                <w:noProof/>
                <w:webHidden/>
              </w:rPr>
              <w:fldChar w:fldCharType="end"/>
            </w:r>
          </w:hyperlink>
        </w:p>
        <w:p w14:paraId="4142F36A" w14:textId="3F0EDD11" w:rsidR="00F07767" w:rsidRDefault="00E063F5">
          <w:pPr>
            <w:pStyle w:val="TOC4"/>
            <w:rPr>
              <w:rFonts w:eastAsiaTheme="minorEastAsia"/>
              <w:noProof/>
              <w:color w:val="auto"/>
              <w:sz w:val="22"/>
              <w:lang w:val="en-AU" w:eastAsia="en-AU"/>
            </w:rPr>
          </w:pPr>
          <w:hyperlink w:anchor="_Toc88686111" w:history="1">
            <w:r w:rsidR="00F07767" w:rsidRPr="007806AB">
              <w:rPr>
                <w:rStyle w:val="Hyperlink"/>
                <w:noProof/>
              </w:rPr>
              <w:t>A</w:t>
            </w:r>
          </w:hyperlink>
        </w:p>
        <w:p w14:paraId="40810B5D" w14:textId="1753417E" w:rsidR="00F07767" w:rsidRDefault="00E063F5">
          <w:pPr>
            <w:pStyle w:val="TOC3"/>
            <w:rPr>
              <w:rFonts w:eastAsiaTheme="minorEastAsia"/>
              <w:b w:val="0"/>
              <w:noProof/>
              <w:color w:val="auto"/>
              <w:sz w:val="22"/>
              <w:lang w:val="en-AU" w:eastAsia="en-AU"/>
            </w:rPr>
          </w:pPr>
          <w:hyperlink w:anchor="_Toc88686112" w:history="1">
            <w:r w:rsidR="00F07767" w:rsidRPr="007806AB">
              <w:rPr>
                <w:rStyle w:val="Hyperlink"/>
                <w:noProof/>
              </w:rPr>
              <w:t>Understanding the Scheme Actuary’s model</w:t>
            </w:r>
          </w:hyperlink>
        </w:p>
        <w:p w14:paraId="319DD12B" w14:textId="06410D50" w:rsidR="00F07767" w:rsidRDefault="00E063F5" w:rsidP="00F07767">
          <w:pPr>
            <w:pStyle w:val="TOC1"/>
            <w:rPr>
              <w:rFonts w:eastAsiaTheme="minorEastAsia"/>
              <w:sz w:val="22"/>
              <w:lang w:val="en-AU" w:eastAsia="en-AU"/>
            </w:rPr>
          </w:pPr>
          <w:hyperlink w:anchor="_Toc88686113" w:history="1">
            <w:r w:rsidR="00F07767" w:rsidRPr="007806AB">
              <w:rPr>
                <w:rStyle w:val="Hyperlink"/>
              </w:rPr>
              <w:t>2</w:t>
            </w:r>
            <w:r w:rsidR="00F07767">
              <w:rPr>
                <w:rFonts w:eastAsiaTheme="minorEastAsia"/>
                <w:sz w:val="22"/>
                <w:lang w:val="en-AU" w:eastAsia="en-AU"/>
              </w:rPr>
              <w:tab/>
            </w:r>
            <w:r w:rsidR="00F07767" w:rsidRPr="007806AB">
              <w:rPr>
                <w:rStyle w:val="Hyperlink"/>
              </w:rPr>
              <w:t>Overall assessment of the 2020-21 AFSR financial projection</w:t>
            </w:r>
            <w:r w:rsidR="00F07767">
              <w:rPr>
                <w:webHidden/>
              </w:rPr>
              <w:tab/>
            </w:r>
            <w:r w:rsidR="00F07767">
              <w:rPr>
                <w:webHidden/>
              </w:rPr>
              <w:fldChar w:fldCharType="begin"/>
            </w:r>
            <w:r w:rsidR="00F07767">
              <w:rPr>
                <w:webHidden/>
              </w:rPr>
              <w:instrText xml:space="preserve"> PAGEREF _Toc88686113 \h </w:instrText>
            </w:r>
            <w:r w:rsidR="00F07767">
              <w:rPr>
                <w:webHidden/>
              </w:rPr>
            </w:r>
            <w:r w:rsidR="00F07767">
              <w:rPr>
                <w:webHidden/>
              </w:rPr>
              <w:fldChar w:fldCharType="separate"/>
            </w:r>
            <w:r w:rsidR="00E6217F">
              <w:rPr>
                <w:webHidden/>
              </w:rPr>
              <w:t>6</w:t>
            </w:r>
            <w:r w:rsidR="00F07767">
              <w:rPr>
                <w:webHidden/>
              </w:rPr>
              <w:fldChar w:fldCharType="end"/>
            </w:r>
          </w:hyperlink>
        </w:p>
        <w:p w14:paraId="0E6E250F" w14:textId="40C01AFA" w:rsidR="00F07767" w:rsidRDefault="00E063F5" w:rsidP="00F07767">
          <w:pPr>
            <w:pStyle w:val="TOC1"/>
            <w:rPr>
              <w:rFonts w:eastAsiaTheme="minorEastAsia"/>
              <w:sz w:val="22"/>
              <w:lang w:val="en-AU" w:eastAsia="en-AU"/>
            </w:rPr>
          </w:pPr>
          <w:hyperlink w:anchor="_Toc88686114" w:history="1">
            <w:r w:rsidR="00F07767" w:rsidRPr="007806AB">
              <w:rPr>
                <w:rStyle w:val="Hyperlink"/>
              </w:rPr>
              <w:t>3</w:t>
            </w:r>
            <w:r w:rsidR="00F07767">
              <w:rPr>
                <w:rFonts w:eastAsiaTheme="minorEastAsia"/>
                <w:sz w:val="22"/>
                <w:lang w:val="en-AU" w:eastAsia="en-AU"/>
              </w:rPr>
              <w:tab/>
            </w:r>
            <w:r w:rsidR="00F07767" w:rsidRPr="007806AB">
              <w:rPr>
                <w:rStyle w:val="Hyperlink"/>
              </w:rPr>
              <w:t>Assessment of the Scheme Actuary AFSR model structure</w:t>
            </w:r>
            <w:r w:rsidR="00F07767">
              <w:rPr>
                <w:webHidden/>
              </w:rPr>
              <w:tab/>
            </w:r>
            <w:r w:rsidR="00F07767">
              <w:rPr>
                <w:webHidden/>
              </w:rPr>
              <w:fldChar w:fldCharType="begin"/>
            </w:r>
            <w:r w:rsidR="00F07767">
              <w:rPr>
                <w:webHidden/>
              </w:rPr>
              <w:instrText xml:space="preserve"> PAGEREF _Toc88686114 \h </w:instrText>
            </w:r>
            <w:r w:rsidR="00F07767">
              <w:rPr>
                <w:webHidden/>
              </w:rPr>
            </w:r>
            <w:r w:rsidR="00F07767">
              <w:rPr>
                <w:webHidden/>
              </w:rPr>
              <w:fldChar w:fldCharType="separate"/>
            </w:r>
            <w:r w:rsidR="00E6217F">
              <w:rPr>
                <w:webHidden/>
              </w:rPr>
              <w:t>9</w:t>
            </w:r>
            <w:r w:rsidR="00F07767">
              <w:rPr>
                <w:webHidden/>
              </w:rPr>
              <w:fldChar w:fldCharType="end"/>
            </w:r>
          </w:hyperlink>
        </w:p>
        <w:p w14:paraId="32905A09" w14:textId="0350EAB6" w:rsidR="00F07767" w:rsidRDefault="00E063F5">
          <w:pPr>
            <w:pStyle w:val="TOC2"/>
            <w:rPr>
              <w:rFonts w:eastAsiaTheme="minorEastAsia"/>
              <w:noProof/>
              <w:sz w:val="22"/>
              <w:lang w:val="en-AU" w:eastAsia="en-AU"/>
            </w:rPr>
          </w:pPr>
          <w:hyperlink w:anchor="_Toc88686115" w:history="1">
            <w:r w:rsidR="00F07767" w:rsidRPr="007806AB">
              <w:rPr>
                <w:rStyle w:val="Hyperlink"/>
                <w:noProof/>
              </w:rPr>
              <w:t>3.1</w:t>
            </w:r>
            <w:r w:rsidR="00F07767">
              <w:rPr>
                <w:rFonts w:eastAsiaTheme="minorEastAsia"/>
                <w:noProof/>
                <w:sz w:val="22"/>
                <w:lang w:val="en-AU" w:eastAsia="en-AU"/>
              </w:rPr>
              <w:tab/>
            </w:r>
            <w:r w:rsidR="00F07767" w:rsidRPr="007806AB">
              <w:rPr>
                <w:rStyle w:val="Hyperlink"/>
                <w:noProof/>
              </w:rPr>
              <w:t>Description of the model</w:t>
            </w:r>
            <w:r w:rsidR="00F07767">
              <w:rPr>
                <w:noProof/>
                <w:webHidden/>
              </w:rPr>
              <w:tab/>
            </w:r>
            <w:r w:rsidR="00F07767">
              <w:rPr>
                <w:noProof/>
                <w:webHidden/>
              </w:rPr>
              <w:fldChar w:fldCharType="begin"/>
            </w:r>
            <w:r w:rsidR="00F07767">
              <w:rPr>
                <w:noProof/>
                <w:webHidden/>
              </w:rPr>
              <w:instrText xml:space="preserve"> PAGEREF _Toc88686115 \h </w:instrText>
            </w:r>
            <w:r w:rsidR="00F07767">
              <w:rPr>
                <w:noProof/>
                <w:webHidden/>
              </w:rPr>
            </w:r>
            <w:r w:rsidR="00F07767">
              <w:rPr>
                <w:noProof/>
                <w:webHidden/>
              </w:rPr>
              <w:fldChar w:fldCharType="separate"/>
            </w:r>
            <w:r w:rsidR="00E6217F">
              <w:rPr>
                <w:noProof/>
                <w:webHidden/>
              </w:rPr>
              <w:t>9</w:t>
            </w:r>
            <w:r w:rsidR="00F07767">
              <w:rPr>
                <w:noProof/>
                <w:webHidden/>
              </w:rPr>
              <w:fldChar w:fldCharType="end"/>
            </w:r>
          </w:hyperlink>
        </w:p>
        <w:p w14:paraId="66DADDD7" w14:textId="52EEDEA7" w:rsidR="00F07767" w:rsidRDefault="00E063F5">
          <w:pPr>
            <w:pStyle w:val="TOC2"/>
            <w:rPr>
              <w:rFonts w:eastAsiaTheme="minorEastAsia"/>
              <w:noProof/>
              <w:sz w:val="22"/>
              <w:lang w:val="en-AU" w:eastAsia="en-AU"/>
            </w:rPr>
          </w:pPr>
          <w:hyperlink w:anchor="_Toc88686116" w:history="1">
            <w:r w:rsidR="00F07767" w:rsidRPr="007806AB">
              <w:rPr>
                <w:rStyle w:val="Hyperlink"/>
                <w:noProof/>
              </w:rPr>
              <w:t>3.2</w:t>
            </w:r>
            <w:r w:rsidR="00F07767">
              <w:rPr>
                <w:rFonts w:eastAsiaTheme="minorEastAsia"/>
                <w:noProof/>
                <w:sz w:val="22"/>
                <w:lang w:val="en-AU" w:eastAsia="en-AU"/>
              </w:rPr>
              <w:tab/>
            </w:r>
            <w:r w:rsidR="00F07767" w:rsidRPr="007806AB">
              <w:rPr>
                <w:rStyle w:val="Hyperlink"/>
                <w:noProof/>
              </w:rPr>
              <w:t>Overall view of the model structure</w:t>
            </w:r>
            <w:r w:rsidR="00F07767">
              <w:rPr>
                <w:noProof/>
                <w:webHidden/>
              </w:rPr>
              <w:tab/>
            </w:r>
            <w:r w:rsidR="00F07767">
              <w:rPr>
                <w:noProof/>
                <w:webHidden/>
              </w:rPr>
              <w:fldChar w:fldCharType="begin"/>
            </w:r>
            <w:r w:rsidR="00F07767">
              <w:rPr>
                <w:noProof/>
                <w:webHidden/>
              </w:rPr>
              <w:instrText xml:space="preserve"> PAGEREF _Toc88686116 \h </w:instrText>
            </w:r>
            <w:r w:rsidR="00F07767">
              <w:rPr>
                <w:noProof/>
                <w:webHidden/>
              </w:rPr>
            </w:r>
            <w:r w:rsidR="00F07767">
              <w:rPr>
                <w:noProof/>
                <w:webHidden/>
              </w:rPr>
              <w:fldChar w:fldCharType="separate"/>
            </w:r>
            <w:r w:rsidR="00E6217F">
              <w:rPr>
                <w:noProof/>
                <w:webHidden/>
              </w:rPr>
              <w:t>13</w:t>
            </w:r>
            <w:r w:rsidR="00F07767">
              <w:rPr>
                <w:noProof/>
                <w:webHidden/>
              </w:rPr>
              <w:fldChar w:fldCharType="end"/>
            </w:r>
          </w:hyperlink>
        </w:p>
        <w:p w14:paraId="757D6163" w14:textId="336C3A2E" w:rsidR="00F07767" w:rsidRDefault="00E063F5">
          <w:pPr>
            <w:pStyle w:val="TOC2"/>
            <w:rPr>
              <w:rFonts w:eastAsiaTheme="minorEastAsia"/>
              <w:noProof/>
              <w:sz w:val="22"/>
              <w:lang w:val="en-AU" w:eastAsia="en-AU"/>
            </w:rPr>
          </w:pPr>
          <w:hyperlink w:anchor="_Toc88686117" w:history="1">
            <w:r w:rsidR="00F07767" w:rsidRPr="007806AB">
              <w:rPr>
                <w:rStyle w:val="Hyperlink"/>
                <w:noProof/>
              </w:rPr>
              <w:t>3.3</w:t>
            </w:r>
            <w:r w:rsidR="00F07767">
              <w:rPr>
                <w:rFonts w:eastAsiaTheme="minorEastAsia"/>
                <w:noProof/>
                <w:sz w:val="22"/>
                <w:lang w:val="en-AU" w:eastAsia="en-AU"/>
              </w:rPr>
              <w:tab/>
            </w:r>
            <w:r w:rsidR="00F07767" w:rsidRPr="007806AB">
              <w:rPr>
                <w:rStyle w:val="Hyperlink"/>
                <w:noProof/>
              </w:rPr>
              <w:t>Handling of movement between levels of functional ability</w:t>
            </w:r>
            <w:r w:rsidR="00F07767">
              <w:rPr>
                <w:noProof/>
                <w:webHidden/>
              </w:rPr>
              <w:tab/>
            </w:r>
            <w:r w:rsidR="00F07767">
              <w:rPr>
                <w:noProof/>
                <w:webHidden/>
              </w:rPr>
              <w:fldChar w:fldCharType="begin"/>
            </w:r>
            <w:r w:rsidR="00F07767">
              <w:rPr>
                <w:noProof/>
                <w:webHidden/>
              </w:rPr>
              <w:instrText xml:space="preserve"> PAGEREF _Toc88686117 \h </w:instrText>
            </w:r>
            <w:r w:rsidR="00F07767">
              <w:rPr>
                <w:noProof/>
                <w:webHidden/>
              </w:rPr>
            </w:r>
            <w:r w:rsidR="00F07767">
              <w:rPr>
                <w:noProof/>
                <w:webHidden/>
              </w:rPr>
              <w:fldChar w:fldCharType="separate"/>
            </w:r>
            <w:r w:rsidR="00E6217F">
              <w:rPr>
                <w:noProof/>
                <w:webHidden/>
              </w:rPr>
              <w:t>14</w:t>
            </w:r>
            <w:r w:rsidR="00F07767">
              <w:rPr>
                <w:noProof/>
                <w:webHidden/>
              </w:rPr>
              <w:fldChar w:fldCharType="end"/>
            </w:r>
          </w:hyperlink>
        </w:p>
        <w:p w14:paraId="660DFC76" w14:textId="6B36AF70" w:rsidR="00F07767" w:rsidRDefault="00E063F5">
          <w:pPr>
            <w:pStyle w:val="TOC2"/>
            <w:rPr>
              <w:rFonts w:eastAsiaTheme="minorEastAsia"/>
              <w:noProof/>
              <w:sz w:val="22"/>
              <w:lang w:val="en-AU" w:eastAsia="en-AU"/>
            </w:rPr>
          </w:pPr>
          <w:hyperlink w:anchor="_Toc88686118" w:history="1">
            <w:r w:rsidR="00F07767" w:rsidRPr="007806AB">
              <w:rPr>
                <w:rStyle w:val="Hyperlink"/>
                <w:noProof/>
              </w:rPr>
              <w:t>3.4</w:t>
            </w:r>
            <w:r w:rsidR="00F07767">
              <w:rPr>
                <w:rFonts w:eastAsiaTheme="minorEastAsia"/>
                <w:noProof/>
                <w:sz w:val="22"/>
                <w:lang w:val="en-AU" w:eastAsia="en-AU"/>
              </w:rPr>
              <w:tab/>
            </w:r>
            <w:r w:rsidR="00F07767" w:rsidRPr="007806AB">
              <w:rPr>
                <w:rStyle w:val="Hyperlink"/>
                <w:noProof/>
              </w:rPr>
              <w:t>Indefinite growth in participant numbers as a proportion of population</w:t>
            </w:r>
            <w:r w:rsidR="00F07767">
              <w:rPr>
                <w:noProof/>
                <w:webHidden/>
              </w:rPr>
              <w:tab/>
            </w:r>
            <w:r w:rsidR="00F07767">
              <w:rPr>
                <w:noProof/>
                <w:webHidden/>
              </w:rPr>
              <w:fldChar w:fldCharType="begin"/>
            </w:r>
            <w:r w:rsidR="00F07767">
              <w:rPr>
                <w:noProof/>
                <w:webHidden/>
              </w:rPr>
              <w:instrText xml:space="preserve"> PAGEREF _Toc88686118 \h </w:instrText>
            </w:r>
            <w:r w:rsidR="00F07767">
              <w:rPr>
                <w:noProof/>
                <w:webHidden/>
              </w:rPr>
            </w:r>
            <w:r w:rsidR="00F07767">
              <w:rPr>
                <w:noProof/>
                <w:webHidden/>
              </w:rPr>
              <w:fldChar w:fldCharType="separate"/>
            </w:r>
            <w:r w:rsidR="00E6217F">
              <w:rPr>
                <w:noProof/>
                <w:webHidden/>
              </w:rPr>
              <w:t>16</w:t>
            </w:r>
            <w:r w:rsidR="00F07767">
              <w:rPr>
                <w:noProof/>
                <w:webHidden/>
              </w:rPr>
              <w:fldChar w:fldCharType="end"/>
            </w:r>
          </w:hyperlink>
        </w:p>
        <w:p w14:paraId="419B317B" w14:textId="7B6C12AF" w:rsidR="00F07767" w:rsidRDefault="00E063F5">
          <w:pPr>
            <w:pStyle w:val="TOC2"/>
            <w:rPr>
              <w:rFonts w:eastAsiaTheme="minorEastAsia"/>
              <w:noProof/>
              <w:sz w:val="22"/>
              <w:lang w:val="en-AU" w:eastAsia="en-AU"/>
            </w:rPr>
          </w:pPr>
          <w:hyperlink w:anchor="_Toc88686119" w:history="1">
            <w:r w:rsidR="00F07767" w:rsidRPr="007806AB">
              <w:rPr>
                <w:rStyle w:val="Hyperlink"/>
                <w:noProof/>
              </w:rPr>
              <w:t>3.5</w:t>
            </w:r>
            <w:r w:rsidR="00F07767">
              <w:rPr>
                <w:rFonts w:eastAsiaTheme="minorEastAsia"/>
                <w:noProof/>
                <w:sz w:val="22"/>
                <w:lang w:val="en-AU" w:eastAsia="en-AU"/>
              </w:rPr>
              <w:tab/>
            </w:r>
            <w:r w:rsidR="00F07767" w:rsidRPr="007806AB">
              <w:rPr>
                <w:rStyle w:val="Hyperlink"/>
                <w:noProof/>
              </w:rPr>
              <w:t>Reliance on aggregate cost escalation assumptions</w:t>
            </w:r>
            <w:r w:rsidR="00F07767">
              <w:rPr>
                <w:noProof/>
                <w:webHidden/>
              </w:rPr>
              <w:tab/>
            </w:r>
            <w:r w:rsidR="00F07767">
              <w:rPr>
                <w:noProof/>
                <w:webHidden/>
              </w:rPr>
              <w:fldChar w:fldCharType="begin"/>
            </w:r>
            <w:r w:rsidR="00F07767">
              <w:rPr>
                <w:noProof/>
                <w:webHidden/>
              </w:rPr>
              <w:instrText xml:space="preserve"> PAGEREF _Toc88686119 \h </w:instrText>
            </w:r>
            <w:r w:rsidR="00F07767">
              <w:rPr>
                <w:noProof/>
                <w:webHidden/>
              </w:rPr>
            </w:r>
            <w:r w:rsidR="00F07767">
              <w:rPr>
                <w:noProof/>
                <w:webHidden/>
              </w:rPr>
              <w:fldChar w:fldCharType="separate"/>
            </w:r>
            <w:r w:rsidR="00E6217F">
              <w:rPr>
                <w:noProof/>
                <w:webHidden/>
              </w:rPr>
              <w:t>17</w:t>
            </w:r>
            <w:r w:rsidR="00F07767">
              <w:rPr>
                <w:noProof/>
                <w:webHidden/>
              </w:rPr>
              <w:fldChar w:fldCharType="end"/>
            </w:r>
          </w:hyperlink>
        </w:p>
        <w:p w14:paraId="79C603C3" w14:textId="675B39C3" w:rsidR="00F07767" w:rsidRDefault="00E063F5">
          <w:pPr>
            <w:pStyle w:val="TOC2"/>
            <w:rPr>
              <w:rFonts w:eastAsiaTheme="minorEastAsia"/>
              <w:noProof/>
              <w:sz w:val="22"/>
              <w:lang w:val="en-AU" w:eastAsia="en-AU"/>
            </w:rPr>
          </w:pPr>
          <w:hyperlink w:anchor="_Toc88686120" w:history="1">
            <w:r w:rsidR="00F07767" w:rsidRPr="007806AB">
              <w:rPr>
                <w:rStyle w:val="Hyperlink"/>
                <w:noProof/>
              </w:rPr>
              <w:t>3.6</w:t>
            </w:r>
            <w:r w:rsidR="00F07767">
              <w:rPr>
                <w:rFonts w:eastAsiaTheme="minorEastAsia"/>
                <w:noProof/>
                <w:sz w:val="22"/>
                <w:lang w:val="en-AU" w:eastAsia="en-AU"/>
              </w:rPr>
              <w:tab/>
            </w:r>
            <w:r w:rsidR="00F07767" w:rsidRPr="007806AB">
              <w:rPr>
                <w:rStyle w:val="Hyperlink"/>
                <w:noProof/>
              </w:rPr>
              <w:t>Other structural items</w:t>
            </w:r>
            <w:r w:rsidR="00F07767">
              <w:rPr>
                <w:noProof/>
                <w:webHidden/>
              </w:rPr>
              <w:tab/>
            </w:r>
            <w:r w:rsidR="00F07767">
              <w:rPr>
                <w:noProof/>
                <w:webHidden/>
              </w:rPr>
              <w:fldChar w:fldCharType="begin"/>
            </w:r>
            <w:r w:rsidR="00F07767">
              <w:rPr>
                <w:noProof/>
                <w:webHidden/>
              </w:rPr>
              <w:instrText xml:space="preserve"> PAGEREF _Toc88686120 \h </w:instrText>
            </w:r>
            <w:r w:rsidR="00F07767">
              <w:rPr>
                <w:noProof/>
                <w:webHidden/>
              </w:rPr>
            </w:r>
            <w:r w:rsidR="00F07767">
              <w:rPr>
                <w:noProof/>
                <w:webHidden/>
              </w:rPr>
              <w:fldChar w:fldCharType="separate"/>
            </w:r>
            <w:r w:rsidR="00E6217F">
              <w:rPr>
                <w:noProof/>
                <w:webHidden/>
              </w:rPr>
              <w:t>21</w:t>
            </w:r>
            <w:r w:rsidR="00F07767">
              <w:rPr>
                <w:noProof/>
                <w:webHidden/>
              </w:rPr>
              <w:fldChar w:fldCharType="end"/>
            </w:r>
          </w:hyperlink>
        </w:p>
        <w:p w14:paraId="3C8B4601" w14:textId="437BFA15" w:rsidR="00F07767" w:rsidRDefault="00E063F5" w:rsidP="00F07767">
          <w:pPr>
            <w:pStyle w:val="TOC1"/>
            <w:rPr>
              <w:rFonts w:eastAsiaTheme="minorEastAsia"/>
              <w:sz w:val="22"/>
              <w:lang w:val="en-AU" w:eastAsia="en-AU"/>
            </w:rPr>
          </w:pPr>
          <w:hyperlink w:anchor="_Toc88686121" w:history="1">
            <w:r w:rsidR="00F07767" w:rsidRPr="007806AB">
              <w:rPr>
                <w:rStyle w:val="Hyperlink"/>
              </w:rPr>
              <w:t>4</w:t>
            </w:r>
            <w:r w:rsidR="00F07767">
              <w:rPr>
                <w:rFonts w:eastAsiaTheme="minorEastAsia"/>
                <w:sz w:val="22"/>
                <w:lang w:val="en-AU" w:eastAsia="en-AU"/>
              </w:rPr>
              <w:tab/>
            </w:r>
            <w:r w:rsidR="00F07767" w:rsidRPr="007806AB">
              <w:rPr>
                <w:rStyle w:val="Hyperlink"/>
              </w:rPr>
              <w:t>Review of AFSR Projection Assumptions</w:t>
            </w:r>
            <w:r w:rsidR="00F07767">
              <w:rPr>
                <w:webHidden/>
              </w:rPr>
              <w:tab/>
            </w:r>
            <w:r w:rsidR="00F07767">
              <w:rPr>
                <w:webHidden/>
              </w:rPr>
              <w:fldChar w:fldCharType="begin"/>
            </w:r>
            <w:r w:rsidR="00F07767">
              <w:rPr>
                <w:webHidden/>
              </w:rPr>
              <w:instrText xml:space="preserve"> PAGEREF _Toc88686121 \h </w:instrText>
            </w:r>
            <w:r w:rsidR="00F07767">
              <w:rPr>
                <w:webHidden/>
              </w:rPr>
            </w:r>
            <w:r w:rsidR="00F07767">
              <w:rPr>
                <w:webHidden/>
              </w:rPr>
              <w:fldChar w:fldCharType="separate"/>
            </w:r>
            <w:r w:rsidR="00E6217F">
              <w:rPr>
                <w:webHidden/>
              </w:rPr>
              <w:t>22</w:t>
            </w:r>
            <w:r w:rsidR="00F07767">
              <w:rPr>
                <w:webHidden/>
              </w:rPr>
              <w:fldChar w:fldCharType="end"/>
            </w:r>
          </w:hyperlink>
        </w:p>
        <w:p w14:paraId="46095913" w14:textId="5B6C6659" w:rsidR="00F07767" w:rsidRDefault="00E063F5">
          <w:pPr>
            <w:pStyle w:val="TOC2"/>
            <w:rPr>
              <w:rFonts w:eastAsiaTheme="minorEastAsia"/>
              <w:noProof/>
              <w:sz w:val="22"/>
              <w:lang w:val="en-AU" w:eastAsia="en-AU"/>
            </w:rPr>
          </w:pPr>
          <w:hyperlink w:anchor="_Toc88686122" w:history="1">
            <w:r w:rsidR="00F07767" w:rsidRPr="007806AB">
              <w:rPr>
                <w:rStyle w:val="Hyperlink"/>
                <w:noProof/>
              </w:rPr>
              <w:t>4.1</w:t>
            </w:r>
            <w:r w:rsidR="00F07767">
              <w:rPr>
                <w:rFonts w:eastAsiaTheme="minorEastAsia"/>
                <w:noProof/>
                <w:sz w:val="22"/>
                <w:lang w:val="en-AU" w:eastAsia="en-AU"/>
              </w:rPr>
              <w:tab/>
            </w:r>
            <w:r w:rsidR="00F07767" w:rsidRPr="007806AB">
              <w:rPr>
                <w:rStyle w:val="Hyperlink"/>
                <w:noProof/>
              </w:rPr>
              <w:t>Summary of assumptions required in the model</w:t>
            </w:r>
            <w:r w:rsidR="00F07767">
              <w:rPr>
                <w:noProof/>
                <w:webHidden/>
              </w:rPr>
              <w:tab/>
            </w:r>
            <w:r w:rsidR="00F07767">
              <w:rPr>
                <w:noProof/>
                <w:webHidden/>
              </w:rPr>
              <w:fldChar w:fldCharType="begin"/>
            </w:r>
            <w:r w:rsidR="00F07767">
              <w:rPr>
                <w:noProof/>
                <w:webHidden/>
              </w:rPr>
              <w:instrText xml:space="preserve"> PAGEREF _Toc88686122 \h </w:instrText>
            </w:r>
            <w:r w:rsidR="00F07767">
              <w:rPr>
                <w:noProof/>
                <w:webHidden/>
              </w:rPr>
            </w:r>
            <w:r w:rsidR="00F07767">
              <w:rPr>
                <w:noProof/>
                <w:webHidden/>
              </w:rPr>
              <w:fldChar w:fldCharType="separate"/>
            </w:r>
            <w:r w:rsidR="00E6217F">
              <w:rPr>
                <w:noProof/>
                <w:webHidden/>
              </w:rPr>
              <w:t>22</w:t>
            </w:r>
            <w:r w:rsidR="00F07767">
              <w:rPr>
                <w:noProof/>
                <w:webHidden/>
              </w:rPr>
              <w:fldChar w:fldCharType="end"/>
            </w:r>
          </w:hyperlink>
        </w:p>
        <w:p w14:paraId="6FAAF708" w14:textId="42B0522C" w:rsidR="00F07767" w:rsidRDefault="00E063F5">
          <w:pPr>
            <w:pStyle w:val="TOC2"/>
            <w:rPr>
              <w:rFonts w:eastAsiaTheme="minorEastAsia"/>
              <w:noProof/>
              <w:sz w:val="22"/>
              <w:lang w:val="en-AU" w:eastAsia="en-AU"/>
            </w:rPr>
          </w:pPr>
          <w:hyperlink w:anchor="_Toc88686123" w:history="1">
            <w:r w:rsidR="00F07767" w:rsidRPr="007806AB">
              <w:rPr>
                <w:rStyle w:val="Hyperlink"/>
                <w:noProof/>
              </w:rPr>
              <w:t>4.2</w:t>
            </w:r>
            <w:r w:rsidR="00F07767">
              <w:rPr>
                <w:rFonts w:eastAsiaTheme="minorEastAsia"/>
                <w:noProof/>
                <w:sz w:val="22"/>
                <w:lang w:val="en-AU" w:eastAsia="en-AU"/>
              </w:rPr>
              <w:tab/>
            </w:r>
            <w:r w:rsidR="00F07767" w:rsidRPr="007806AB">
              <w:rPr>
                <w:rStyle w:val="Hyperlink"/>
                <w:noProof/>
              </w:rPr>
              <w:t>Participant entry numbers and mix</w:t>
            </w:r>
            <w:r w:rsidR="00F07767">
              <w:rPr>
                <w:noProof/>
                <w:webHidden/>
              </w:rPr>
              <w:tab/>
            </w:r>
            <w:r w:rsidR="00F07767">
              <w:rPr>
                <w:noProof/>
                <w:webHidden/>
              </w:rPr>
              <w:fldChar w:fldCharType="begin"/>
            </w:r>
            <w:r w:rsidR="00F07767">
              <w:rPr>
                <w:noProof/>
                <w:webHidden/>
              </w:rPr>
              <w:instrText xml:space="preserve"> PAGEREF _Toc88686123 \h </w:instrText>
            </w:r>
            <w:r w:rsidR="00F07767">
              <w:rPr>
                <w:noProof/>
                <w:webHidden/>
              </w:rPr>
            </w:r>
            <w:r w:rsidR="00F07767">
              <w:rPr>
                <w:noProof/>
                <w:webHidden/>
              </w:rPr>
              <w:fldChar w:fldCharType="separate"/>
            </w:r>
            <w:r w:rsidR="00E6217F">
              <w:rPr>
                <w:noProof/>
                <w:webHidden/>
              </w:rPr>
              <w:t>23</w:t>
            </w:r>
            <w:r w:rsidR="00F07767">
              <w:rPr>
                <w:noProof/>
                <w:webHidden/>
              </w:rPr>
              <w:fldChar w:fldCharType="end"/>
            </w:r>
          </w:hyperlink>
        </w:p>
        <w:p w14:paraId="0CD3D28A" w14:textId="6C76214F" w:rsidR="00F07767" w:rsidRDefault="00E063F5">
          <w:pPr>
            <w:pStyle w:val="TOC2"/>
            <w:rPr>
              <w:rFonts w:eastAsiaTheme="minorEastAsia"/>
              <w:noProof/>
              <w:sz w:val="22"/>
              <w:lang w:val="en-AU" w:eastAsia="en-AU"/>
            </w:rPr>
          </w:pPr>
          <w:hyperlink w:anchor="_Toc88686124" w:history="1">
            <w:r w:rsidR="00F07767" w:rsidRPr="007806AB">
              <w:rPr>
                <w:rStyle w:val="Hyperlink"/>
                <w:noProof/>
              </w:rPr>
              <w:t>4.3</w:t>
            </w:r>
            <w:r w:rsidR="00F07767">
              <w:rPr>
                <w:rFonts w:eastAsiaTheme="minorEastAsia"/>
                <w:noProof/>
                <w:sz w:val="22"/>
                <w:lang w:val="en-AU" w:eastAsia="en-AU"/>
              </w:rPr>
              <w:tab/>
            </w:r>
            <w:r w:rsidR="00F07767" w:rsidRPr="007806AB">
              <w:rPr>
                <w:rStyle w:val="Hyperlink"/>
                <w:noProof/>
              </w:rPr>
              <w:t>Participant non-mortality exits</w:t>
            </w:r>
            <w:r w:rsidR="00F07767">
              <w:rPr>
                <w:noProof/>
                <w:webHidden/>
              </w:rPr>
              <w:tab/>
            </w:r>
            <w:r w:rsidR="00F07767">
              <w:rPr>
                <w:noProof/>
                <w:webHidden/>
              </w:rPr>
              <w:fldChar w:fldCharType="begin"/>
            </w:r>
            <w:r w:rsidR="00F07767">
              <w:rPr>
                <w:noProof/>
                <w:webHidden/>
              </w:rPr>
              <w:instrText xml:space="preserve"> PAGEREF _Toc88686124 \h </w:instrText>
            </w:r>
            <w:r w:rsidR="00F07767">
              <w:rPr>
                <w:noProof/>
                <w:webHidden/>
              </w:rPr>
            </w:r>
            <w:r w:rsidR="00F07767">
              <w:rPr>
                <w:noProof/>
                <w:webHidden/>
              </w:rPr>
              <w:fldChar w:fldCharType="separate"/>
            </w:r>
            <w:r w:rsidR="00E6217F">
              <w:rPr>
                <w:noProof/>
                <w:webHidden/>
              </w:rPr>
              <w:t>26</w:t>
            </w:r>
            <w:r w:rsidR="00F07767">
              <w:rPr>
                <w:noProof/>
                <w:webHidden/>
              </w:rPr>
              <w:fldChar w:fldCharType="end"/>
            </w:r>
          </w:hyperlink>
        </w:p>
        <w:p w14:paraId="3540A983" w14:textId="7F1994C0" w:rsidR="00F07767" w:rsidRDefault="00E063F5">
          <w:pPr>
            <w:pStyle w:val="TOC2"/>
            <w:rPr>
              <w:rFonts w:eastAsiaTheme="minorEastAsia"/>
              <w:noProof/>
              <w:sz w:val="22"/>
              <w:lang w:val="en-AU" w:eastAsia="en-AU"/>
            </w:rPr>
          </w:pPr>
          <w:hyperlink w:anchor="_Toc88686125" w:history="1">
            <w:r w:rsidR="00F07767" w:rsidRPr="007806AB">
              <w:rPr>
                <w:rStyle w:val="Hyperlink"/>
                <w:noProof/>
              </w:rPr>
              <w:t>4.4</w:t>
            </w:r>
            <w:r w:rsidR="00F07767">
              <w:rPr>
                <w:rFonts w:eastAsiaTheme="minorEastAsia"/>
                <w:noProof/>
                <w:sz w:val="22"/>
                <w:lang w:val="en-AU" w:eastAsia="en-AU"/>
              </w:rPr>
              <w:tab/>
            </w:r>
            <w:r w:rsidR="00F07767" w:rsidRPr="007806AB">
              <w:rPr>
                <w:rStyle w:val="Hyperlink"/>
                <w:noProof/>
              </w:rPr>
              <w:t>Number of participants accessing SIL</w:t>
            </w:r>
            <w:r w:rsidR="00F07767">
              <w:rPr>
                <w:noProof/>
                <w:webHidden/>
              </w:rPr>
              <w:tab/>
            </w:r>
            <w:r w:rsidR="00F07767">
              <w:rPr>
                <w:noProof/>
                <w:webHidden/>
              </w:rPr>
              <w:fldChar w:fldCharType="begin"/>
            </w:r>
            <w:r w:rsidR="00F07767">
              <w:rPr>
                <w:noProof/>
                <w:webHidden/>
              </w:rPr>
              <w:instrText xml:space="preserve"> PAGEREF _Toc88686125 \h </w:instrText>
            </w:r>
            <w:r w:rsidR="00F07767">
              <w:rPr>
                <w:noProof/>
                <w:webHidden/>
              </w:rPr>
            </w:r>
            <w:r w:rsidR="00F07767">
              <w:rPr>
                <w:noProof/>
                <w:webHidden/>
              </w:rPr>
              <w:fldChar w:fldCharType="separate"/>
            </w:r>
            <w:r w:rsidR="00E6217F">
              <w:rPr>
                <w:noProof/>
                <w:webHidden/>
              </w:rPr>
              <w:t>28</w:t>
            </w:r>
            <w:r w:rsidR="00F07767">
              <w:rPr>
                <w:noProof/>
                <w:webHidden/>
              </w:rPr>
              <w:fldChar w:fldCharType="end"/>
            </w:r>
          </w:hyperlink>
        </w:p>
        <w:p w14:paraId="0CB3D4F8" w14:textId="42F439F2" w:rsidR="00F07767" w:rsidRDefault="00E063F5">
          <w:pPr>
            <w:pStyle w:val="TOC2"/>
            <w:rPr>
              <w:rFonts w:eastAsiaTheme="minorEastAsia"/>
              <w:noProof/>
              <w:sz w:val="22"/>
              <w:lang w:val="en-AU" w:eastAsia="en-AU"/>
            </w:rPr>
          </w:pPr>
          <w:hyperlink w:anchor="_Toc88686126" w:history="1">
            <w:r w:rsidR="00F07767" w:rsidRPr="007806AB">
              <w:rPr>
                <w:rStyle w:val="Hyperlink"/>
                <w:noProof/>
              </w:rPr>
              <w:t>4.5</w:t>
            </w:r>
            <w:r w:rsidR="00F07767">
              <w:rPr>
                <w:rFonts w:eastAsiaTheme="minorEastAsia"/>
                <w:noProof/>
                <w:sz w:val="22"/>
                <w:lang w:val="en-AU" w:eastAsia="en-AU"/>
              </w:rPr>
              <w:tab/>
            </w:r>
            <w:r w:rsidR="00F07767" w:rsidRPr="007806AB">
              <w:rPr>
                <w:rStyle w:val="Hyperlink"/>
                <w:noProof/>
              </w:rPr>
              <w:t>Cost assumptions</w:t>
            </w:r>
            <w:r w:rsidR="00F07767">
              <w:rPr>
                <w:noProof/>
                <w:webHidden/>
              </w:rPr>
              <w:tab/>
            </w:r>
            <w:r w:rsidR="00F07767">
              <w:rPr>
                <w:noProof/>
                <w:webHidden/>
              </w:rPr>
              <w:fldChar w:fldCharType="begin"/>
            </w:r>
            <w:r w:rsidR="00F07767">
              <w:rPr>
                <w:noProof/>
                <w:webHidden/>
              </w:rPr>
              <w:instrText xml:space="preserve"> PAGEREF _Toc88686126 \h </w:instrText>
            </w:r>
            <w:r w:rsidR="00F07767">
              <w:rPr>
                <w:noProof/>
                <w:webHidden/>
              </w:rPr>
            </w:r>
            <w:r w:rsidR="00F07767">
              <w:rPr>
                <w:noProof/>
                <w:webHidden/>
              </w:rPr>
              <w:fldChar w:fldCharType="separate"/>
            </w:r>
            <w:r w:rsidR="00E6217F">
              <w:rPr>
                <w:noProof/>
                <w:webHidden/>
              </w:rPr>
              <w:t>29</w:t>
            </w:r>
            <w:r w:rsidR="00F07767">
              <w:rPr>
                <w:noProof/>
                <w:webHidden/>
              </w:rPr>
              <w:fldChar w:fldCharType="end"/>
            </w:r>
          </w:hyperlink>
        </w:p>
        <w:p w14:paraId="69FDE16B" w14:textId="2C13F413" w:rsidR="00F07767" w:rsidRDefault="00E063F5">
          <w:pPr>
            <w:pStyle w:val="TOC2"/>
            <w:rPr>
              <w:rFonts w:eastAsiaTheme="minorEastAsia"/>
              <w:noProof/>
              <w:sz w:val="22"/>
              <w:lang w:val="en-AU" w:eastAsia="en-AU"/>
            </w:rPr>
          </w:pPr>
          <w:hyperlink w:anchor="_Toc88686127" w:history="1">
            <w:r w:rsidR="00F07767" w:rsidRPr="007806AB">
              <w:rPr>
                <w:rStyle w:val="Hyperlink"/>
                <w:noProof/>
              </w:rPr>
              <w:t>4.6</w:t>
            </w:r>
            <w:r w:rsidR="00F07767">
              <w:rPr>
                <w:rFonts w:eastAsiaTheme="minorEastAsia"/>
                <w:noProof/>
                <w:sz w:val="22"/>
                <w:lang w:val="en-AU" w:eastAsia="en-AU"/>
              </w:rPr>
              <w:tab/>
            </w:r>
            <w:r w:rsidR="00F07767" w:rsidRPr="007806AB">
              <w:rPr>
                <w:rStyle w:val="Hyperlink"/>
                <w:noProof/>
              </w:rPr>
              <w:t>Inflation assumptions</w:t>
            </w:r>
            <w:r w:rsidR="00F07767">
              <w:rPr>
                <w:noProof/>
                <w:webHidden/>
              </w:rPr>
              <w:tab/>
            </w:r>
            <w:r w:rsidR="00F07767">
              <w:rPr>
                <w:noProof/>
                <w:webHidden/>
              </w:rPr>
              <w:fldChar w:fldCharType="begin"/>
            </w:r>
            <w:r w:rsidR="00F07767">
              <w:rPr>
                <w:noProof/>
                <w:webHidden/>
              </w:rPr>
              <w:instrText xml:space="preserve"> PAGEREF _Toc88686127 \h </w:instrText>
            </w:r>
            <w:r w:rsidR="00F07767">
              <w:rPr>
                <w:noProof/>
                <w:webHidden/>
              </w:rPr>
            </w:r>
            <w:r w:rsidR="00F07767">
              <w:rPr>
                <w:noProof/>
                <w:webHidden/>
              </w:rPr>
              <w:fldChar w:fldCharType="separate"/>
            </w:r>
            <w:r w:rsidR="00E6217F">
              <w:rPr>
                <w:noProof/>
                <w:webHidden/>
              </w:rPr>
              <w:t>37</w:t>
            </w:r>
            <w:r w:rsidR="00F07767">
              <w:rPr>
                <w:noProof/>
                <w:webHidden/>
              </w:rPr>
              <w:fldChar w:fldCharType="end"/>
            </w:r>
          </w:hyperlink>
        </w:p>
        <w:p w14:paraId="4BBDAFF8" w14:textId="22745E1C" w:rsidR="00F07767" w:rsidRDefault="00E063F5">
          <w:pPr>
            <w:pStyle w:val="TOC2"/>
            <w:rPr>
              <w:rFonts w:eastAsiaTheme="minorEastAsia"/>
              <w:noProof/>
              <w:sz w:val="22"/>
              <w:lang w:val="en-AU" w:eastAsia="en-AU"/>
            </w:rPr>
          </w:pPr>
          <w:hyperlink w:anchor="_Toc88686128" w:history="1">
            <w:r w:rsidR="00F07767" w:rsidRPr="007806AB">
              <w:rPr>
                <w:rStyle w:val="Hyperlink"/>
                <w:noProof/>
              </w:rPr>
              <w:t>4.7</w:t>
            </w:r>
            <w:r w:rsidR="00F07767">
              <w:rPr>
                <w:rFonts w:eastAsiaTheme="minorEastAsia"/>
                <w:noProof/>
                <w:sz w:val="22"/>
                <w:lang w:val="en-AU" w:eastAsia="en-AU"/>
              </w:rPr>
              <w:tab/>
            </w:r>
            <w:r w:rsidR="00F07767" w:rsidRPr="007806AB">
              <w:rPr>
                <w:rStyle w:val="Hyperlink"/>
                <w:noProof/>
              </w:rPr>
              <w:t>Other assumptions that we have reviewed</w:t>
            </w:r>
            <w:r w:rsidR="00F07767">
              <w:rPr>
                <w:noProof/>
                <w:webHidden/>
              </w:rPr>
              <w:tab/>
            </w:r>
            <w:r w:rsidR="00F07767">
              <w:rPr>
                <w:noProof/>
                <w:webHidden/>
              </w:rPr>
              <w:fldChar w:fldCharType="begin"/>
            </w:r>
            <w:r w:rsidR="00F07767">
              <w:rPr>
                <w:noProof/>
                <w:webHidden/>
              </w:rPr>
              <w:instrText xml:space="preserve"> PAGEREF _Toc88686128 \h </w:instrText>
            </w:r>
            <w:r w:rsidR="00F07767">
              <w:rPr>
                <w:noProof/>
                <w:webHidden/>
              </w:rPr>
            </w:r>
            <w:r w:rsidR="00F07767">
              <w:rPr>
                <w:noProof/>
                <w:webHidden/>
              </w:rPr>
              <w:fldChar w:fldCharType="separate"/>
            </w:r>
            <w:r w:rsidR="00E6217F">
              <w:rPr>
                <w:noProof/>
                <w:webHidden/>
              </w:rPr>
              <w:t>43</w:t>
            </w:r>
            <w:r w:rsidR="00F07767">
              <w:rPr>
                <w:noProof/>
                <w:webHidden/>
              </w:rPr>
              <w:fldChar w:fldCharType="end"/>
            </w:r>
          </w:hyperlink>
        </w:p>
        <w:p w14:paraId="47149EBA" w14:textId="08AE3BFA" w:rsidR="00F07767" w:rsidRDefault="00E063F5">
          <w:pPr>
            <w:pStyle w:val="TOC4"/>
            <w:rPr>
              <w:rFonts w:eastAsiaTheme="minorEastAsia"/>
              <w:noProof/>
              <w:color w:val="auto"/>
              <w:sz w:val="22"/>
              <w:lang w:val="en-AU" w:eastAsia="en-AU"/>
            </w:rPr>
          </w:pPr>
          <w:hyperlink w:anchor="_Toc88686129" w:history="1">
            <w:r w:rsidR="00F07767" w:rsidRPr="007806AB">
              <w:rPr>
                <w:rStyle w:val="Hyperlink"/>
                <w:noProof/>
              </w:rPr>
              <w:t>B</w:t>
            </w:r>
          </w:hyperlink>
        </w:p>
        <w:p w14:paraId="7D1A130B" w14:textId="64CC3715" w:rsidR="00F07767" w:rsidRDefault="00E063F5">
          <w:pPr>
            <w:pStyle w:val="TOC3"/>
            <w:rPr>
              <w:rFonts w:eastAsiaTheme="minorEastAsia"/>
              <w:b w:val="0"/>
              <w:noProof/>
              <w:color w:val="auto"/>
              <w:sz w:val="22"/>
              <w:lang w:val="en-AU" w:eastAsia="en-AU"/>
            </w:rPr>
          </w:pPr>
          <w:hyperlink w:anchor="_Toc88686130" w:history="1">
            <w:r w:rsidR="00F07767" w:rsidRPr="007806AB">
              <w:rPr>
                <w:rStyle w:val="Hyperlink"/>
                <w:noProof/>
              </w:rPr>
              <w:t>Drivers of Scheme cost and changes since 2017</w:t>
            </w:r>
          </w:hyperlink>
        </w:p>
        <w:p w14:paraId="6C598627" w14:textId="0D12F992" w:rsidR="00F07767" w:rsidRDefault="00E063F5" w:rsidP="00F07767">
          <w:pPr>
            <w:pStyle w:val="TOC1"/>
            <w:rPr>
              <w:rFonts w:eastAsiaTheme="minorEastAsia"/>
              <w:sz w:val="22"/>
              <w:lang w:val="en-AU" w:eastAsia="en-AU"/>
            </w:rPr>
          </w:pPr>
          <w:hyperlink w:anchor="_Toc88686131" w:history="1">
            <w:r w:rsidR="00F07767" w:rsidRPr="007806AB">
              <w:rPr>
                <w:rStyle w:val="Hyperlink"/>
              </w:rPr>
              <w:t>5</w:t>
            </w:r>
            <w:r w:rsidR="00F07767">
              <w:rPr>
                <w:rFonts w:eastAsiaTheme="minorEastAsia"/>
                <w:sz w:val="22"/>
                <w:lang w:val="en-AU" w:eastAsia="en-AU"/>
              </w:rPr>
              <w:tab/>
            </w:r>
            <w:r w:rsidR="00F07767" w:rsidRPr="007806AB">
              <w:rPr>
                <w:rStyle w:val="Hyperlink"/>
              </w:rPr>
              <w:t>Quantification of changes in projected payments since 2017</w:t>
            </w:r>
            <w:r w:rsidR="00F07767">
              <w:rPr>
                <w:webHidden/>
              </w:rPr>
              <w:tab/>
            </w:r>
            <w:r w:rsidR="00F07767">
              <w:rPr>
                <w:webHidden/>
              </w:rPr>
              <w:fldChar w:fldCharType="begin"/>
            </w:r>
            <w:r w:rsidR="00F07767">
              <w:rPr>
                <w:webHidden/>
              </w:rPr>
              <w:instrText xml:space="preserve"> PAGEREF _Toc88686131 \h </w:instrText>
            </w:r>
            <w:r w:rsidR="00F07767">
              <w:rPr>
                <w:webHidden/>
              </w:rPr>
            </w:r>
            <w:r w:rsidR="00F07767">
              <w:rPr>
                <w:webHidden/>
              </w:rPr>
              <w:fldChar w:fldCharType="separate"/>
            </w:r>
            <w:r w:rsidR="00E6217F">
              <w:rPr>
                <w:webHidden/>
              </w:rPr>
              <w:t>46</w:t>
            </w:r>
            <w:r w:rsidR="00F07767">
              <w:rPr>
                <w:webHidden/>
              </w:rPr>
              <w:fldChar w:fldCharType="end"/>
            </w:r>
          </w:hyperlink>
        </w:p>
        <w:p w14:paraId="417C7B6E" w14:textId="2884DA8B" w:rsidR="00F07767" w:rsidRDefault="00E063F5">
          <w:pPr>
            <w:pStyle w:val="TOC2"/>
            <w:rPr>
              <w:rFonts w:eastAsiaTheme="minorEastAsia"/>
              <w:noProof/>
              <w:sz w:val="22"/>
              <w:lang w:val="en-AU" w:eastAsia="en-AU"/>
            </w:rPr>
          </w:pPr>
          <w:hyperlink w:anchor="_Toc88686132" w:history="1">
            <w:r w:rsidR="00F07767" w:rsidRPr="007806AB">
              <w:rPr>
                <w:rStyle w:val="Hyperlink"/>
                <w:noProof/>
              </w:rPr>
              <w:t>5.1</w:t>
            </w:r>
            <w:r w:rsidR="00F07767">
              <w:rPr>
                <w:rFonts w:eastAsiaTheme="minorEastAsia"/>
                <w:noProof/>
                <w:sz w:val="22"/>
                <w:lang w:val="en-AU" w:eastAsia="en-AU"/>
              </w:rPr>
              <w:tab/>
            </w:r>
            <w:r w:rsidR="00F07767" w:rsidRPr="007806AB">
              <w:rPr>
                <w:rStyle w:val="Hyperlink"/>
                <w:noProof/>
              </w:rPr>
              <w:t>Number and characteristics of participants</w:t>
            </w:r>
            <w:r w:rsidR="00F07767">
              <w:rPr>
                <w:noProof/>
                <w:webHidden/>
              </w:rPr>
              <w:tab/>
            </w:r>
            <w:r w:rsidR="00F07767">
              <w:rPr>
                <w:noProof/>
                <w:webHidden/>
              </w:rPr>
              <w:fldChar w:fldCharType="begin"/>
            </w:r>
            <w:r w:rsidR="00F07767">
              <w:rPr>
                <w:noProof/>
                <w:webHidden/>
              </w:rPr>
              <w:instrText xml:space="preserve"> PAGEREF _Toc88686132 \h </w:instrText>
            </w:r>
            <w:r w:rsidR="00F07767">
              <w:rPr>
                <w:noProof/>
                <w:webHidden/>
              </w:rPr>
            </w:r>
            <w:r w:rsidR="00F07767">
              <w:rPr>
                <w:noProof/>
                <w:webHidden/>
              </w:rPr>
              <w:fldChar w:fldCharType="separate"/>
            </w:r>
            <w:r w:rsidR="00E6217F">
              <w:rPr>
                <w:noProof/>
                <w:webHidden/>
              </w:rPr>
              <w:t>50</w:t>
            </w:r>
            <w:r w:rsidR="00F07767">
              <w:rPr>
                <w:noProof/>
                <w:webHidden/>
              </w:rPr>
              <w:fldChar w:fldCharType="end"/>
            </w:r>
          </w:hyperlink>
        </w:p>
        <w:p w14:paraId="5F980F23" w14:textId="0184F3C1" w:rsidR="00F07767" w:rsidRDefault="00E063F5">
          <w:pPr>
            <w:pStyle w:val="TOC2"/>
            <w:rPr>
              <w:rFonts w:eastAsiaTheme="minorEastAsia"/>
              <w:noProof/>
              <w:sz w:val="22"/>
              <w:lang w:val="en-AU" w:eastAsia="en-AU"/>
            </w:rPr>
          </w:pPr>
          <w:hyperlink w:anchor="_Toc88686133" w:history="1">
            <w:r w:rsidR="00F07767" w:rsidRPr="007806AB">
              <w:rPr>
                <w:rStyle w:val="Hyperlink"/>
                <w:noProof/>
              </w:rPr>
              <w:t>5.2</w:t>
            </w:r>
            <w:r w:rsidR="00F07767">
              <w:rPr>
                <w:rFonts w:eastAsiaTheme="minorEastAsia"/>
                <w:noProof/>
                <w:sz w:val="22"/>
                <w:lang w:val="en-AU" w:eastAsia="en-AU"/>
              </w:rPr>
              <w:tab/>
            </w:r>
            <w:r w:rsidR="00F07767" w:rsidRPr="007806AB">
              <w:rPr>
                <w:rStyle w:val="Hyperlink"/>
                <w:noProof/>
              </w:rPr>
              <w:t>Number of people in SIL</w:t>
            </w:r>
            <w:r w:rsidR="00F07767">
              <w:rPr>
                <w:noProof/>
                <w:webHidden/>
              </w:rPr>
              <w:tab/>
            </w:r>
            <w:r w:rsidR="00F07767">
              <w:rPr>
                <w:noProof/>
                <w:webHidden/>
              </w:rPr>
              <w:fldChar w:fldCharType="begin"/>
            </w:r>
            <w:r w:rsidR="00F07767">
              <w:rPr>
                <w:noProof/>
                <w:webHidden/>
              </w:rPr>
              <w:instrText xml:space="preserve"> PAGEREF _Toc88686133 \h </w:instrText>
            </w:r>
            <w:r w:rsidR="00F07767">
              <w:rPr>
                <w:noProof/>
                <w:webHidden/>
              </w:rPr>
            </w:r>
            <w:r w:rsidR="00F07767">
              <w:rPr>
                <w:noProof/>
                <w:webHidden/>
              </w:rPr>
              <w:fldChar w:fldCharType="separate"/>
            </w:r>
            <w:r w:rsidR="00E6217F">
              <w:rPr>
                <w:noProof/>
                <w:webHidden/>
              </w:rPr>
              <w:t>54</w:t>
            </w:r>
            <w:r w:rsidR="00F07767">
              <w:rPr>
                <w:noProof/>
                <w:webHidden/>
              </w:rPr>
              <w:fldChar w:fldCharType="end"/>
            </w:r>
          </w:hyperlink>
        </w:p>
        <w:p w14:paraId="6789AC4C" w14:textId="4CC59F1B" w:rsidR="00F07767" w:rsidRDefault="00E063F5">
          <w:pPr>
            <w:pStyle w:val="TOC2"/>
            <w:rPr>
              <w:rFonts w:eastAsiaTheme="minorEastAsia"/>
              <w:noProof/>
              <w:sz w:val="22"/>
              <w:lang w:val="en-AU" w:eastAsia="en-AU"/>
            </w:rPr>
          </w:pPr>
          <w:hyperlink w:anchor="_Toc88686134" w:history="1">
            <w:r w:rsidR="00F07767" w:rsidRPr="007806AB">
              <w:rPr>
                <w:rStyle w:val="Hyperlink"/>
                <w:noProof/>
              </w:rPr>
              <w:t>5.3</w:t>
            </w:r>
            <w:r w:rsidR="00F07767">
              <w:rPr>
                <w:rFonts w:eastAsiaTheme="minorEastAsia"/>
                <w:noProof/>
                <w:sz w:val="22"/>
                <w:lang w:val="en-AU" w:eastAsia="en-AU"/>
              </w:rPr>
              <w:tab/>
            </w:r>
            <w:r w:rsidR="00F07767" w:rsidRPr="007806AB">
              <w:rPr>
                <w:rStyle w:val="Hyperlink"/>
                <w:noProof/>
              </w:rPr>
              <w:t>Amount of support provided (actual experience to June 2021)</w:t>
            </w:r>
            <w:r w:rsidR="00F07767">
              <w:rPr>
                <w:noProof/>
                <w:webHidden/>
              </w:rPr>
              <w:tab/>
            </w:r>
            <w:r w:rsidR="00F07767">
              <w:rPr>
                <w:noProof/>
                <w:webHidden/>
              </w:rPr>
              <w:fldChar w:fldCharType="begin"/>
            </w:r>
            <w:r w:rsidR="00F07767">
              <w:rPr>
                <w:noProof/>
                <w:webHidden/>
              </w:rPr>
              <w:instrText xml:space="preserve"> PAGEREF _Toc88686134 \h </w:instrText>
            </w:r>
            <w:r w:rsidR="00F07767">
              <w:rPr>
                <w:noProof/>
                <w:webHidden/>
              </w:rPr>
            </w:r>
            <w:r w:rsidR="00F07767">
              <w:rPr>
                <w:noProof/>
                <w:webHidden/>
              </w:rPr>
              <w:fldChar w:fldCharType="separate"/>
            </w:r>
            <w:r w:rsidR="00E6217F">
              <w:rPr>
                <w:noProof/>
                <w:webHidden/>
              </w:rPr>
              <w:t>55</w:t>
            </w:r>
            <w:r w:rsidR="00F07767">
              <w:rPr>
                <w:noProof/>
                <w:webHidden/>
              </w:rPr>
              <w:fldChar w:fldCharType="end"/>
            </w:r>
          </w:hyperlink>
        </w:p>
        <w:p w14:paraId="27A3BFBF" w14:textId="416EF2FE" w:rsidR="00F07767" w:rsidRDefault="00E063F5">
          <w:pPr>
            <w:pStyle w:val="TOC2"/>
            <w:rPr>
              <w:rFonts w:eastAsiaTheme="minorEastAsia"/>
              <w:noProof/>
              <w:sz w:val="22"/>
              <w:lang w:val="en-AU" w:eastAsia="en-AU"/>
            </w:rPr>
          </w:pPr>
          <w:hyperlink w:anchor="_Toc88686135" w:history="1">
            <w:r w:rsidR="00F07767" w:rsidRPr="007806AB">
              <w:rPr>
                <w:rStyle w:val="Hyperlink"/>
                <w:noProof/>
              </w:rPr>
              <w:t>5.4</w:t>
            </w:r>
            <w:r w:rsidR="00F07767">
              <w:rPr>
                <w:rFonts w:eastAsiaTheme="minorEastAsia"/>
                <w:noProof/>
                <w:sz w:val="22"/>
                <w:lang w:val="en-AU" w:eastAsia="en-AU"/>
              </w:rPr>
              <w:tab/>
            </w:r>
            <w:r w:rsidR="00F07767" w:rsidRPr="007806AB">
              <w:rPr>
                <w:rStyle w:val="Hyperlink"/>
                <w:noProof/>
              </w:rPr>
              <w:t>Cost Escalation (beyond June 2021)</w:t>
            </w:r>
            <w:r w:rsidR="00F07767">
              <w:rPr>
                <w:noProof/>
                <w:webHidden/>
              </w:rPr>
              <w:tab/>
            </w:r>
            <w:r w:rsidR="00F07767">
              <w:rPr>
                <w:noProof/>
                <w:webHidden/>
              </w:rPr>
              <w:fldChar w:fldCharType="begin"/>
            </w:r>
            <w:r w:rsidR="00F07767">
              <w:rPr>
                <w:noProof/>
                <w:webHidden/>
              </w:rPr>
              <w:instrText xml:space="preserve"> PAGEREF _Toc88686135 \h </w:instrText>
            </w:r>
            <w:r w:rsidR="00F07767">
              <w:rPr>
                <w:noProof/>
                <w:webHidden/>
              </w:rPr>
            </w:r>
            <w:r w:rsidR="00F07767">
              <w:rPr>
                <w:noProof/>
                <w:webHidden/>
              </w:rPr>
              <w:fldChar w:fldCharType="separate"/>
            </w:r>
            <w:r w:rsidR="00E6217F">
              <w:rPr>
                <w:noProof/>
                <w:webHidden/>
              </w:rPr>
              <w:t>57</w:t>
            </w:r>
            <w:r w:rsidR="00F07767">
              <w:rPr>
                <w:noProof/>
                <w:webHidden/>
              </w:rPr>
              <w:fldChar w:fldCharType="end"/>
            </w:r>
          </w:hyperlink>
        </w:p>
        <w:p w14:paraId="4FFFB796" w14:textId="632621CA" w:rsidR="00F07767" w:rsidRDefault="00E063F5">
          <w:pPr>
            <w:pStyle w:val="TOC2"/>
            <w:rPr>
              <w:rFonts w:eastAsiaTheme="minorEastAsia"/>
              <w:noProof/>
              <w:sz w:val="22"/>
              <w:lang w:val="en-AU" w:eastAsia="en-AU"/>
            </w:rPr>
          </w:pPr>
          <w:hyperlink w:anchor="_Toc88686136" w:history="1">
            <w:r w:rsidR="00F07767" w:rsidRPr="007806AB">
              <w:rPr>
                <w:rStyle w:val="Hyperlink"/>
                <w:noProof/>
              </w:rPr>
              <w:t>5.5</w:t>
            </w:r>
            <w:r w:rsidR="00F07767">
              <w:rPr>
                <w:rFonts w:eastAsiaTheme="minorEastAsia"/>
                <w:noProof/>
                <w:sz w:val="22"/>
                <w:lang w:val="en-AU" w:eastAsia="en-AU"/>
              </w:rPr>
              <w:tab/>
            </w:r>
            <w:r w:rsidR="00F07767" w:rsidRPr="007806AB">
              <w:rPr>
                <w:rStyle w:val="Hyperlink"/>
                <w:noProof/>
              </w:rPr>
              <w:t>Growth in projected payments</w:t>
            </w:r>
            <w:r w:rsidR="00F07767">
              <w:rPr>
                <w:noProof/>
                <w:webHidden/>
              </w:rPr>
              <w:tab/>
            </w:r>
            <w:r w:rsidR="00F07767">
              <w:rPr>
                <w:noProof/>
                <w:webHidden/>
              </w:rPr>
              <w:fldChar w:fldCharType="begin"/>
            </w:r>
            <w:r w:rsidR="00F07767">
              <w:rPr>
                <w:noProof/>
                <w:webHidden/>
              </w:rPr>
              <w:instrText xml:space="preserve"> PAGEREF _Toc88686136 \h </w:instrText>
            </w:r>
            <w:r w:rsidR="00F07767">
              <w:rPr>
                <w:noProof/>
                <w:webHidden/>
              </w:rPr>
            </w:r>
            <w:r w:rsidR="00F07767">
              <w:rPr>
                <w:noProof/>
                <w:webHidden/>
              </w:rPr>
              <w:fldChar w:fldCharType="separate"/>
            </w:r>
            <w:r w:rsidR="00E6217F">
              <w:rPr>
                <w:noProof/>
                <w:webHidden/>
              </w:rPr>
              <w:t>59</w:t>
            </w:r>
            <w:r w:rsidR="00F07767">
              <w:rPr>
                <w:noProof/>
                <w:webHidden/>
              </w:rPr>
              <w:fldChar w:fldCharType="end"/>
            </w:r>
          </w:hyperlink>
        </w:p>
        <w:p w14:paraId="2032CDFC" w14:textId="02891BA3" w:rsidR="00F07767" w:rsidRDefault="00E063F5" w:rsidP="00F07767">
          <w:pPr>
            <w:pStyle w:val="TOC1"/>
            <w:rPr>
              <w:rFonts w:eastAsiaTheme="minorEastAsia"/>
              <w:sz w:val="22"/>
              <w:lang w:val="en-AU" w:eastAsia="en-AU"/>
            </w:rPr>
          </w:pPr>
          <w:hyperlink w:anchor="_Toc88686137" w:history="1">
            <w:r w:rsidR="00F07767" w:rsidRPr="007806AB">
              <w:rPr>
                <w:rStyle w:val="Hyperlink"/>
              </w:rPr>
              <w:t>6</w:t>
            </w:r>
            <w:r w:rsidR="00F07767">
              <w:rPr>
                <w:rFonts w:eastAsiaTheme="minorEastAsia"/>
                <w:sz w:val="22"/>
                <w:lang w:val="en-AU" w:eastAsia="en-AU"/>
              </w:rPr>
              <w:tab/>
            </w:r>
            <w:r w:rsidR="00F07767" w:rsidRPr="007806AB">
              <w:rPr>
                <w:rStyle w:val="Hyperlink"/>
              </w:rPr>
              <w:t>Sensitivities and uncertainty</w:t>
            </w:r>
            <w:r w:rsidR="00F07767">
              <w:rPr>
                <w:webHidden/>
              </w:rPr>
              <w:tab/>
            </w:r>
            <w:r w:rsidR="00F07767">
              <w:rPr>
                <w:webHidden/>
              </w:rPr>
              <w:fldChar w:fldCharType="begin"/>
            </w:r>
            <w:r w:rsidR="00F07767">
              <w:rPr>
                <w:webHidden/>
              </w:rPr>
              <w:instrText xml:space="preserve"> PAGEREF _Toc88686137 \h </w:instrText>
            </w:r>
            <w:r w:rsidR="00F07767">
              <w:rPr>
                <w:webHidden/>
              </w:rPr>
            </w:r>
            <w:r w:rsidR="00F07767">
              <w:rPr>
                <w:webHidden/>
              </w:rPr>
              <w:fldChar w:fldCharType="separate"/>
            </w:r>
            <w:r w:rsidR="00E6217F">
              <w:rPr>
                <w:webHidden/>
              </w:rPr>
              <w:t>60</w:t>
            </w:r>
            <w:r w:rsidR="00F07767">
              <w:rPr>
                <w:webHidden/>
              </w:rPr>
              <w:fldChar w:fldCharType="end"/>
            </w:r>
          </w:hyperlink>
        </w:p>
        <w:p w14:paraId="581503E1" w14:textId="54F0B6DF" w:rsidR="00F07767" w:rsidRDefault="00E063F5">
          <w:pPr>
            <w:pStyle w:val="TOC2"/>
            <w:rPr>
              <w:rFonts w:eastAsiaTheme="minorEastAsia"/>
              <w:noProof/>
              <w:sz w:val="22"/>
              <w:lang w:val="en-AU" w:eastAsia="en-AU"/>
            </w:rPr>
          </w:pPr>
          <w:hyperlink w:anchor="_Toc88686138" w:history="1">
            <w:r w:rsidR="00F07767" w:rsidRPr="007806AB">
              <w:rPr>
                <w:rStyle w:val="Hyperlink"/>
                <w:noProof/>
              </w:rPr>
              <w:t>6.1</w:t>
            </w:r>
            <w:r w:rsidR="00F07767">
              <w:rPr>
                <w:rFonts w:eastAsiaTheme="minorEastAsia"/>
                <w:noProof/>
                <w:sz w:val="22"/>
                <w:lang w:val="en-AU" w:eastAsia="en-AU"/>
              </w:rPr>
              <w:tab/>
            </w:r>
            <w:r w:rsidR="00F07767" w:rsidRPr="007806AB">
              <w:rPr>
                <w:rStyle w:val="Hyperlink"/>
                <w:noProof/>
              </w:rPr>
              <w:t>AFSR 2020-21 sensitivity and scenarios</w:t>
            </w:r>
            <w:r w:rsidR="00F07767">
              <w:rPr>
                <w:noProof/>
                <w:webHidden/>
              </w:rPr>
              <w:tab/>
            </w:r>
            <w:r w:rsidR="00F07767">
              <w:rPr>
                <w:noProof/>
                <w:webHidden/>
              </w:rPr>
              <w:fldChar w:fldCharType="begin"/>
            </w:r>
            <w:r w:rsidR="00F07767">
              <w:rPr>
                <w:noProof/>
                <w:webHidden/>
              </w:rPr>
              <w:instrText xml:space="preserve"> PAGEREF _Toc88686138 \h </w:instrText>
            </w:r>
            <w:r w:rsidR="00F07767">
              <w:rPr>
                <w:noProof/>
                <w:webHidden/>
              </w:rPr>
            </w:r>
            <w:r w:rsidR="00F07767">
              <w:rPr>
                <w:noProof/>
                <w:webHidden/>
              </w:rPr>
              <w:fldChar w:fldCharType="separate"/>
            </w:r>
            <w:r w:rsidR="00E6217F">
              <w:rPr>
                <w:noProof/>
                <w:webHidden/>
              </w:rPr>
              <w:t>60</w:t>
            </w:r>
            <w:r w:rsidR="00F07767">
              <w:rPr>
                <w:noProof/>
                <w:webHidden/>
              </w:rPr>
              <w:fldChar w:fldCharType="end"/>
            </w:r>
          </w:hyperlink>
        </w:p>
        <w:p w14:paraId="3942A595" w14:textId="0D25D7B4" w:rsidR="00F07767" w:rsidRDefault="00E063F5">
          <w:pPr>
            <w:pStyle w:val="TOC2"/>
            <w:rPr>
              <w:rFonts w:eastAsiaTheme="minorEastAsia"/>
              <w:noProof/>
              <w:sz w:val="22"/>
              <w:lang w:val="en-AU" w:eastAsia="en-AU"/>
            </w:rPr>
          </w:pPr>
          <w:hyperlink w:anchor="_Toc88686139" w:history="1">
            <w:r w:rsidR="00F07767" w:rsidRPr="007806AB">
              <w:rPr>
                <w:rStyle w:val="Hyperlink"/>
                <w:noProof/>
              </w:rPr>
              <w:t>6.2</w:t>
            </w:r>
            <w:r w:rsidR="00F07767">
              <w:rPr>
                <w:rFonts w:eastAsiaTheme="minorEastAsia"/>
                <w:noProof/>
                <w:sz w:val="22"/>
                <w:lang w:val="en-AU" w:eastAsia="en-AU"/>
              </w:rPr>
              <w:tab/>
            </w:r>
            <w:r w:rsidR="00F07767" w:rsidRPr="007806AB">
              <w:rPr>
                <w:rStyle w:val="Hyperlink"/>
                <w:noProof/>
              </w:rPr>
              <w:t>Model sensitivity to assumptions</w:t>
            </w:r>
            <w:r w:rsidR="00F07767">
              <w:rPr>
                <w:noProof/>
                <w:webHidden/>
              </w:rPr>
              <w:tab/>
            </w:r>
            <w:r w:rsidR="00F07767">
              <w:rPr>
                <w:noProof/>
                <w:webHidden/>
              </w:rPr>
              <w:fldChar w:fldCharType="begin"/>
            </w:r>
            <w:r w:rsidR="00F07767">
              <w:rPr>
                <w:noProof/>
                <w:webHidden/>
              </w:rPr>
              <w:instrText xml:space="preserve"> PAGEREF _Toc88686139 \h </w:instrText>
            </w:r>
            <w:r w:rsidR="00F07767">
              <w:rPr>
                <w:noProof/>
                <w:webHidden/>
              </w:rPr>
            </w:r>
            <w:r w:rsidR="00F07767">
              <w:rPr>
                <w:noProof/>
                <w:webHidden/>
              </w:rPr>
              <w:fldChar w:fldCharType="separate"/>
            </w:r>
            <w:r w:rsidR="00E6217F">
              <w:rPr>
                <w:noProof/>
                <w:webHidden/>
              </w:rPr>
              <w:t>61</w:t>
            </w:r>
            <w:r w:rsidR="00F07767">
              <w:rPr>
                <w:noProof/>
                <w:webHidden/>
              </w:rPr>
              <w:fldChar w:fldCharType="end"/>
            </w:r>
          </w:hyperlink>
        </w:p>
        <w:p w14:paraId="4CD70C9C" w14:textId="0822FABA" w:rsidR="00F07767" w:rsidRDefault="00E063F5">
          <w:pPr>
            <w:pStyle w:val="TOC2"/>
            <w:rPr>
              <w:rFonts w:eastAsiaTheme="minorEastAsia"/>
              <w:noProof/>
              <w:sz w:val="22"/>
              <w:lang w:val="en-AU" w:eastAsia="en-AU"/>
            </w:rPr>
          </w:pPr>
          <w:hyperlink w:anchor="_Toc88686140" w:history="1">
            <w:r w:rsidR="00F07767" w:rsidRPr="007806AB">
              <w:rPr>
                <w:rStyle w:val="Hyperlink"/>
                <w:noProof/>
              </w:rPr>
              <w:t>6.3</w:t>
            </w:r>
            <w:r w:rsidR="00F07767">
              <w:rPr>
                <w:rFonts w:eastAsiaTheme="minorEastAsia"/>
                <w:noProof/>
                <w:sz w:val="22"/>
                <w:lang w:val="en-AU" w:eastAsia="en-AU"/>
              </w:rPr>
              <w:tab/>
            </w:r>
            <w:r w:rsidR="00F07767" w:rsidRPr="007806AB">
              <w:rPr>
                <w:rStyle w:val="Hyperlink"/>
                <w:noProof/>
              </w:rPr>
              <w:t>Other model inputs</w:t>
            </w:r>
            <w:r w:rsidR="00F07767">
              <w:rPr>
                <w:noProof/>
                <w:webHidden/>
              </w:rPr>
              <w:tab/>
            </w:r>
            <w:r w:rsidR="00F07767">
              <w:rPr>
                <w:noProof/>
                <w:webHidden/>
              </w:rPr>
              <w:fldChar w:fldCharType="begin"/>
            </w:r>
            <w:r w:rsidR="00F07767">
              <w:rPr>
                <w:noProof/>
                <w:webHidden/>
              </w:rPr>
              <w:instrText xml:space="preserve"> PAGEREF _Toc88686140 \h </w:instrText>
            </w:r>
            <w:r w:rsidR="00F07767">
              <w:rPr>
                <w:noProof/>
                <w:webHidden/>
              </w:rPr>
            </w:r>
            <w:r w:rsidR="00F07767">
              <w:rPr>
                <w:noProof/>
                <w:webHidden/>
              </w:rPr>
              <w:fldChar w:fldCharType="separate"/>
            </w:r>
            <w:r w:rsidR="00E6217F">
              <w:rPr>
                <w:noProof/>
                <w:webHidden/>
              </w:rPr>
              <w:t>62</w:t>
            </w:r>
            <w:r w:rsidR="00F07767">
              <w:rPr>
                <w:noProof/>
                <w:webHidden/>
              </w:rPr>
              <w:fldChar w:fldCharType="end"/>
            </w:r>
          </w:hyperlink>
        </w:p>
        <w:p w14:paraId="710BA173" w14:textId="3D976D26" w:rsidR="00F07767" w:rsidRDefault="00E063F5">
          <w:pPr>
            <w:pStyle w:val="TOC2"/>
            <w:rPr>
              <w:rFonts w:eastAsiaTheme="minorEastAsia"/>
              <w:noProof/>
              <w:sz w:val="22"/>
              <w:lang w:val="en-AU" w:eastAsia="en-AU"/>
            </w:rPr>
          </w:pPr>
          <w:hyperlink w:anchor="_Toc88686141" w:history="1">
            <w:r w:rsidR="00F07767" w:rsidRPr="007806AB">
              <w:rPr>
                <w:rStyle w:val="Hyperlink"/>
                <w:noProof/>
              </w:rPr>
              <w:t>6.4</w:t>
            </w:r>
            <w:r w:rsidR="00F07767">
              <w:rPr>
                <w:rFonts w:eastAsiaTheme="minorEastAsia"/>
                <w:noProof/>
                <w:sz w:val="22"/>
                <w:lang w:val="en-AU" w:eastAsia="en-AU"/>
              </w:rPr>
              <w:tab/>
            </w:r>
            <w:r w:rsidR="00F07767" w:rsidRPr="007806AB">
              <w:rPr>
                <w:rStyle w:val="Hyperlink"/>
                <w:noProof/>
              </w:rPr>
              <w:t>Uncertainty in model forecasts</w:t>
            </w:r>
            <w:r w:rsidR="00F07767">
              <w:rPr>
                <w:noProof/>
                <w:webHidden/>
              </w:rPr>
              <w:tab/>
            </w:r>
            <w:r w:rsidR="00F07767">
              <w:rPr>
                <w:noProof/>
                <w:webHidden/>
              </w:rPr>
              <w:fldChar w:fldCharType="begin"/>
            </w:r>
            <w:r w:rsidR="00F07767">
              <w:rPr>
                <w:noProof/>
                <w:webHidden/>
              </w:rPr>
              <w:instrText xml:space="preserve"> PAGEREF _Toc88686141 \h </w:instrText>
            </w:r>
            <w:r w:rsidR="00F07767">
              <w:rPr>
                <w:noProof/>
                <w:webHidden/>
              </w:rPr>
            </w:r>
            <w:r w:rsidR="00F07767">
              <w:rPr>
                <w:noProof/>
                <w:webHidden/>
              </w:rPr>
              <w:fldChar w:fldCharType="separate"/>
            </w:r>
            <w:r w:rsidR="00E6217F">
              <w:rPr>
                <w:noProof/>
                <w:webHidden/>
              </w:rPr>
              <w:t>63</w:t>
            </w:r>
            <w:r w:rsidR="00F07767">
              <w:rPr>
                <w:noProof/>
                <w:webHidden/>
              </w:rPr>
              <w:fldChar w:fldCharType="end"/>
            </w:r>
          </w:hyperlink>
        </w:p>
        <w:p w14:paraId="663D9E61" w14:textId="2AFBA9F6" w:rsidR="00F07767" w:rsidRDefault="00E063F5" w:rsidP="00F07767">
          <w:pPr>
            <w:pStyle w:val="TOC1"/>
            <w:rPr>
              <w:rFonts w:eastAsiaTheme="minorEastAsia"/>
              <w:sz w:val="22"/>
              <w:lang w:val="en-AU" w:eastAsia="en-AU"/>
            </w:rPr>
          </w:pPr>
          <w:hyperlink w:anchor="_Toc88686142" w:history="1">
            <w:r w:rsidR="00F07767" w:rsidRPr="007806AB">
              <w:rPr>
                <w:rStyle w:val="Hyperlink"/>
              </w:rPr>
              <w:t>7</w:t>
            </w:r>
            <w:r w:rsidR="00F07767">
              <w:rPr>
                <w:rFonts w:eastAsiaTheme="minorEastAsia"/>
                <w:sz w:val="22"/>
                <w:lang w:val="en-AU" w:eastAsia="en-AU"/>
              </w:rPr>
              <w:tab/>
            </w:r>
            <w:r w:rsidR="00F07767" w:rsidRPr="007806AB">
              <w:rPr>
                <w:rStyle w:val="Hyperlink"/>
              </w:rPr>
              <w:t>Further analysis on key assumptions</w:t>
            </w:r>
            <w:r w:rsidR="00F07767">
              <w:rPr>
                <w:webHidden/>
              </w:rPr>
              <w:tab/>
            </w:r>
            <w:r w:rsidR="00F07767">
              <w:rPr>
                <w:webHidden/>
              </w:rPr>
              <w:fldChar w:fldCharType="begin"/>
            </w:r>
            <w:r w:rsidR="00F07767">
              <w:rPr>
                <w:webHidden/>
              </w:rPr>
              <w:instrText xml:space="preserve"> PAGEREF _Toc88686142 \h </w:instrText>
            </w:r>
            <w:r w:rsidR="00F07767">
              <w:rPr>
                <w:webHidden/>
              </w:rPr>
            </w:r>
            <w:r w:rsidR="00F07767">
              <w:rPr>
                <w:webHidden/>
              </w:rPr>
              <w:fldChar w:fldCharType="separate"/>
            </w:r>
            <w:r w:rsidR="00E6217F">
              <w:rPr>
                <w:webHidden/>
              </w:rPr>
              <w:t>64</w:t>
            </w:r>
            <w:r w:rsidR="00F07767">
              <w:rPr>
                <w:webHidden/>
              </w:rPr>
              <w:fldChar w:fldCharType="end"/>
            </w:r>
          </w:hyperlink>
        </w:p>
        <w:p w14:paraId="64F1D4C4" w14:textId="7D498A57" w:rsidR="00F07767" w:rsidRDefault="00E063F5">
          <w:pPr>
            <w:pStyle w:val="TOC2"/>
            <w:rPr>
              <w:rFonts w:eastAsiaTheme="minorEastAsia"/>
              <w:noProof/>
              <w:sz w:val="22"/>
              <w:lang w:val="en-AU" w:eastAsia="en-AU"/>
            </w:rPr>
          </w:pPr>
          <w:hyperlink w:anchor="_Toc88686143" w:history="1">
            <w:r w:rsidR="00F07767" w:rsidRPr="007806AB">
              <w:rPr>
                <w:rStyle w:val="Hyperlink"/>
                <w:noProof/>
              </w:rPr>
              <w:t>7.1</w:t>
            </w:r>
            <w:r w:rsidR="00F07767">
              <w:rPr>
                <w:rFonts w:eastAsiaTheme="minorEastAsia"/>
                <w:noProof/>
                <w:sz w:val="22"/>
                <w:lang w:val="en-AU" w:eastAsia="en-AU"/>
              </w:rPr>
              <w:tab/>
            </w:r>
            <w:r w:rsidR="00F07767" w:rsidRPr="007806AB">
              <w:rPr>
                <w:rStyle w:val="Hyperlink"/>
                <w:noProof/>
              </w:rPr>
              <w:t>Further analysis on participant numbers</w:t>
            </w:r>
            <w:r w:rsidR="00F07767">
              <w:rPr>
                <w:noProof/>
                <w:webHidden/>
              </w:rPr>
              <w:tab/>
            </w:r>
            <w:r w:rsidR="00F07767">
              <w:rPr>
                <w:noProof/>
                <w:webHidden/>
              </w:rPr>
              <w:fldChar w:fldCharType="begin"/>
            </w:r>
            <w:r w:rsidR="00F07767">
              <w:rPr>
                <w:noProof/>
                <w:webHidden/>
              </w:rPr>
              <w:instrText xml:space="preserve"> PAGEREF _Toc88686143 \h </w:instrText>
            </w:r>
            <w:r w:rsidR="00F07767">
              <w:rPr>
                <w:noProof/>
                <w:webHidden/>
              </w:rPr>
            </w:r>
            <w:r w:rsidR="00F07767">
              <w:rPr>
                <w:noProof/>
                <w:webHidden/>
              </w:rPr>
              <w:fldChar w:fldCharType="separate"/>
            </w:r>
            <w:r w:rsidR="00E6217F">
              <w:rPr>
                <w:noProof/>
                <w:webHidden/>
              </w:rPr>
              <w:t>64</w:t>
            </w:r>
            <w:r w:rsidR="00F07767">
              <w:rPr>
                <w:noProof/>
                <w:webHidden/>
              </w:rPr>
              <w:fldChar w:fldCharType="end"/>
            </w:r>
          </w:hyperlink>
        </w:p>
        <w:p w14:paraId="2C7C41C4" w14:textId="6F37C5B9" w:rsidR="00F07767" w:rsidRDefault="00E063F5">
          <w:pPr>
            <w:pStyle w:val="TOC2"/>
            <w:rPr>
              <w:rFonts w:eastAsiaTheme="minorEastAsia"/>
              <w:noProof/>
              <w:sz w:val="22"/>
              <w:lang w:val="en-AU" w:eastAsia="en-AU"/>
            </w:rPr>
          </w:pPr>
          <w:hyperlink w:anchor="_Toc88686144" w:history="1">
            <w:r w:rsidR="00F07767" w:rsidRPr="007806AB">
              <w:rPr>
                <w:rStyle w:val="Hyperlink"/>
                <w:noProof/>
              </w:rPr>
              <w:t>7.2</w:t>
            </w:r>
            <w:r w:rsidR="00F07767">
              <w:rPr>
                <w:rFonts w:eastAsiaTheme="minorEastAsia"/>
                <w:noProof/>
                <w:sz w:val="22"/>
                <w:lang w:val="en-AU" w:eastAsia="en-AU"/>
              </w:rPr>
              <w:tab/>
            </w:r>
            <w:r w:rsidR="00F07767" w:rsidRPr="007806AB">
              <w:rPr>
                <w:rStyle w:val="Hyperlink"/>
                <w:noProof/>
              </w:rPr>
              <w:t>Further analysis of predictors of Scheme cost</w:t>
            </w:r>
            <w:r w:rsidR="00F07767">
              <w:rPr>
                <w:noProof/>
                <w:webHidden/>
              </w:rPr>
              <w:tab/>
            </w:r>
            <w:r w:rsidR="00F07767">
              <w:rPr>
                <w:noProof/>
                <w:webHidden/>
              </w:rPr>
              <w:fldChar w:fldCharType="begin"/>
            </w:r>
            <w:r w:rsidR="00F07767">
              <w:rPr>
                <w:noProof/>
                <w:webHidden/>
              </w:rPr>
              <w:instrText xml:space="preserve"> PAGEREF _Toc88686144 \h </w:instrText>
            </w:r>
            <w:r w:rsidR="00F07767">
              <w:rPr>
                <w:noProof/>
                <w:webHidden/>
              </w:rPr>
            </w:r>
            <w:r w:rsidR="00F07767">
              <w:rPr>
                <w:noProof/>
                <w:webHidden/>
              </w:rPr>
              <w:fldChar w:fldCharType="separate"/>
            </w:r>
            <w:r w:rsidR="00E6217F">
              <w:rPr>
                <w:noProof/>
                <w:webHidden/>
              </w:rPr>
              <w:t>70</w:t>
            </w:r>
            <w:r w:rsidR="00F07767">
              <w:rPr>
                <w:noProof/>
                <w:webHidden/>
              </w:rPr>
              <w:fldChar w:fldCharType="end"/>
            </w:r>
          </w:hyperlink>
        </w:p>
        <w:p w14:paraId="35F3B885" w14:textId="7A6DFFCB" w:rsidR="00F07767" w:rsidRDefault="00E063F5">
          <w:pPr>
            <w:pStyle w:val="TOC2"/>
            <w:rPr>
              <w:rFonts w:eastAsiaTheme="minorEastAsia"/>
              <w:noProof/>
              <w:sz w:val="22"/>
              <w:lang w:val="en-AU" w:eastAsia="en-AU"/>
            </w:rPr>
          </w:pPr>
          <w:hyperlink w:anchor="_Toc88686145" w:history="1">
            <w:r w:rsidR="00F07767" w:rsidRPr="007806AB">
              <w:rPr>
                <w:rStyle w:val="Hyperlink"/>
                <w:noProof/>
              </w:rPr>
              <w:t>7.3</w:t>
            </w:r>
            <w:r w:rsidR="00F07767">
              <w:rPr>
                <w:rFonts w:eastAsiaTheme="minorEastAsia"/>
                <w:noProof/>
                <w:sz w:val="22"/>
                <w:lang w:val="en-AU" w:eastAsia="en-AU"/>
              </w:rPr>
              <w:tab/>
            </w:r>
            <w:r w:rsidR="00F07767" w:rsidRPr="007806AB">
              <w:rPr>
                <w:rStyle w:val="Hyperlink"/>
                <w:noProof/>
              </w:rPr>
              <w:t>Further analysis on Scheme payments</w:t>
            </w:r>
            <w:r w:rsidR="00F07767">
              <w:rPr>
                <w:noProof/>
                <w:webHidden/>
              </w:rPr>
              <w:tab/>
            </w:r>
            <w:r w:rsidR="00F07767">
              <w:rPr>
                <w:noProof/>
                <w:webHidden/>
              </w:rPr>
              <w:fldChar w:fldCharType="begin"/>
            </w:r>
            <w:r w:rsidR="00F07767">
              <w:rPr>
                <w:noProof/>
                <w:webHidden/>
              </w:rPr>
              <w:instrText xml:space="preserve"> PAGEREF _Toc88686145 \h </w:instrText>
            </w:r>
            <w:r w:rsidR="00F07767">
              <w:rPr>
                <w:noProof/>
                <w:webHidden/>
              </w:rPr>
            </w:r>
            <w:r w:rsidR="00F07767">
              <w:rPr>
                <w:noProof/>
                <w:webHidden/>
              </w:rPr>
              <w:fldChar w:fldCharType="separate"/>
            </w:r>
            <w:r w:rsidR="00E6217F">
              <w:rPr>
                <w:noProof/>
                <w:webHidden/>
              </w:rPr>
              <w:t>72</w:t>
            </w:r>
            <w:r w:rsidR="00F07767">
              <w:rPr>
                <w:noProof/>
                <w:webHidden/>
              </w:rPr>
              <w:fldChar w:fldCharType="end"/>
            </w:r>
          </w:hyperlink>
        </w:p>
        <w:p w14:paraId="61FAA89F" w14:textId="01907C94" w:rsidR="00F07767" w:rsidRDefault="00E063F5">
          <w:pPr>
            <w:pStyle w:val="TOC2"/>
            <w:rPr>
              <w:rFonts w:eastAsiaTheme="minorEastAsia"/>
              <w:noProof/>
              <w:sz w:val="22"/>
              <w:lang w:val="en-AU" w:eastAsia="en-AU"/>
            </w:rPr>
          </w:pPr>
          <w:hyperlink w:anchor="_Toc88686146" w:history="1">
            <w:r w:rsidR="00F07767" w:rsidRPr="007806AB">
              <w:rPr>
                <w:rStyle w:val="Hyperlink"/>
                <w:noProof/>
              </w:rPr>
              <w:t>7.4</w:t>
            </w:r>
            <w:r w:rsidR="00F07767">
              <w:rPr>
                <w:rFonts w:eastAsiaTheme="minorEastAsia"/>
                <w:noProof/>
                <w:sz w:val="22"/>
                <w:lang w:val="en-AU" w:eastAsia="en-AU"/>
              </w:rPr>
              <w:tab/>
            </w:r>
            <w:r w:rsidR="00F07767" w:rsidRPr="007806AB">
              <w:rPr>
                <w:rStyle w:val="Hyperlink"/>
                <w:noProof/>
              </w:rPr>
              <w:t>Packages and utilisation</w:t>
            </w:r>
            <w:r w:rsidR="00F07767">
              <w:rPr>
                <w:noProof/>
                <w:webHidden/>
              </w:rPr>
              <w:tab/>
            </w:r>
            <w:r w:rsidR="00F07767">
              <w:rPr>
                <w:noProof/>
                <w:webHidden/>
              </w:rPr>
              <w:fldChar w:fldCharType="begin"/>
            </w:r>
            <w:r w:rsidR="00F07767">
              <w:rPr>
                <w:noProof/>
                <w:webHidden/>
              </w:rPr>
              <w:instrText xml:space="preserve"> PAGEREF _Toc88686146 \h </w:instrText>
            </w:r>
            <w:r w:rsidR="00F07767">
              <w:rPr>
                <w:noProof/>
                <w:webHidden/>
              </w:rPr>
            </w:r>
            <w:r w:rsidR="00F07767">
              <w:rPr>
                <w:noProof/>
                <w:webHidden/>
              </w:rPr>
              <w:fldChar w:fldCharType="separate"/>
            </w:r>
            <w:r w:rsidR="00E6217F">
              <w:rPr>
                <w:noProof/>
                <w:webHidden/>
              </w:rPr>
              <w:t>73</w:t>
            </w:r>
            <w:r w:rsidR="00F07767">
              <w:rPr>
                <w:noProof/>
                <w:webHidden/>
              </w:rPr>
              <w:fldChar w:fldCharType="end"/>
            </w:r>
          </w:hyperlink>
        </w:p>
        <w:p w14:paraId="6823C196" w14:textId="0E72D1B5" w:rsidR="00F07767" w:rsidRDefault="00E063F5">
          <w:pPr>
            <w:pStyle w:val="TOC2"/>
            <w:rPr>
              <w:rFonts w:eastAsiaTheme="minorEastAsia"/>
              <w:noProof/>
              <w:sz w:val="22"/>
              <w:lang w:val="en-AU" w:eastAsia="en-AU"/>
            </w:rPr>
          </w:pPr>
          <w:hyperlink w:anchor="_Toc88686147" w:history="1">
            <w:r w:rsidR="00F07767" w:rsidRPr="007806AB">
              <w:rPr>
                <w:rStyle w:val="Hyperlink"/>
                <w:noProof/>
              </w:rPr>
              <w:t>7.5</w:t>
            </w:r>
            <w:r w:rsidR="00F07767">
              <w:rPr>
                <w:rFonts w:eastAsiaTheme="minorEastAsia"/>
                <w:noProof/>
                <w:sz w:val="22"/>
                <w:lang w:val="en-AU" w:eastAsia="en-AU"/>
              </w:rPr>
              <w:tab/>
            </w:r>
            <w:r w:rsidR="00F07767" w:rsidRPr="007806AB">
              <w:rPr>
                <w:rStyle w:val="Hyperlink"/>
                <w:noProof/>
              </w:rPr>
              <w:t>Typical support packages</w:t>
            </w:r>
            <w:r w:rsidR="00F07767">
              <w:rPr>
                <w:noProof/>
                <w:webHidden/>
              </w:rPr>
              <w:tab/>
            </w:r>
            <w:r w:rsidR="00F07767">
              <w:rPr>
                <w:noProof/>
                <w:webHidden/>
              </w:rPr>
              <w:fldChar w:fldCharType="begin"/>
            </w:r>
            <w:r w:rsidR="00F07767">
              <w:rPr>
                <w:noProof/>
                <w:webHidden/>
              </w:rPr>
              <w:instrText xml:space="preserve"> PAGEREF _Toc88686147 \h </w:instrText>
            </w:r>
            <w:r w:rsidR="00F07767">
              <w:rPr>
                <w:noProof/>
                <w:webHidden/>
              </w:rPr>
            </w:r>
            <w:r w:rsidR="00F07767">
              <w:rPr>
                <w:noProof/>
                <w:webHidden/>
              </w:rPr>
              <w:fldChar w:fldCharType="separate"/>
            </w:r>
            <w:r w:rsidR="00E6217F">
              <w:rPr>
                <w:noProof/>
                <w:webHidden/>
              </w:rPr>
              <w:t>75</w:t>
            </w:r>
            <w:r w:rsidR="00F07767">
              <w:rPr>
                <w:noProof/>
                <w:webHidden/>
              </w:rPr>
              <w:fldChar w:fldCharType="end"/>
            </w:r>
          </w:hyperlink>
        </w:p>
        <w:p w14:paraId="3EC691ED" w14:textId="6F8CFF6F" w:rsidR="00F07767" w:rsidRDefault="00E063F5">
          <w:pPr>
            <w:pStyle w:val="TOC2"/>
            <w:rPr>
              <w:rFonts w:eastAsiaTheme="minorEastAsia"/>
              <w:noProof/>
              <w:sz w:val="22"/>
              <w:lang w:val="en-AU" w:eastAsia="en-AU"/>
            </w:rPr>
          </w:pPr>
          <w:hyperlink w:anchor="_Toc88686148" w:history="1">
            <w:r w:rsidR="00F07767" w:rsidRPr="007806AB">
              <w:rPr>
                <w:rStyle w:val="Hyperlink"/>
                <w:noProof/>
              </w:rPr>
              <w:t>7.6</w:t>
            </w:r>
            <w:r w:rsidR="00F07767">
              <w:rPr>
                <w:rFonts w:eastAsiaTheme="minorEastAsia"/>
                <w:noProof/>
                <w:sz w:val="22"/>
                <w:lang w:val="en-AU" w:eastAsia="en-AU"/>
              </w:rPr>
              <w:tab/>
            </w:r>
            <w:r w:rsidR="00F07767" w:rsidRPr="007806AB">
              <w:rPr>
                <w:rStyle w:val="Hyperlink"/>
                <w:noProof/>
              </w:rPr>
              <w:t>Trends for participants over age 65</w:t>
            </w:r>
            <w:r w:rsidR="00F07767">
              <w:rPr>
                <w:noProof/>
                <w:webHidden/>
              </w:rPr>
              <w:tab/>
            </w:r>
            <w:r w:rsidR="00F07767">
              <w:rPr>
                <w:noProof/>
                <w:webHidden/>
              </w:rPr>
              <w:fldChar w:fldCharType="begin"/>
            </w:r>
            <w:r w:rsidR="00F07767">
              <w:rPr>
                <w:noProof/>
                <w:webHidden/>
              </w:rPr>
              <w:instrText xml:space="preserve"> PAGEREF _Toc88686148 \h </w:instrText>
            </w:r>
            <w:r w:rsidR="00F07767">
              <w:rPr>
                <w:noProof/>
                <w:webHidden/>
              </w:rPr>
            </w:r>
            <w:r w:rsidR="00F07767">
              <w:rPr>
                <w:noProof/>
                <w:webHidden/>
              </w:rPr>
              <w:fldChar w:fldCharType="separate"/>
            </w:r>
            <w:r w:rsidR="00E6217F">
              <w:rPr>
                <w:noProof/>
                <w:webHidden/>
              </w:rPr>
              <w:t>78</w:t>
            </w:r>
            <w:r w:rsidR="00F07767">
              <w:rPr>
                <w:noProof/>
                <w:webHidden/>
              </w:rPr>
              <w:fldChar w:fldCharType="end"/>
            </w:r>
          </w:hyperlink>
        </w:p>
        <w:p w14:paraId="62D9034B" w14:textId="451CB4F0" w:rsidR="00F07767" w:rsidRDefault="00E063F5">
          <w:pPr>
            <w:pStyle w:val="TOC2"/>
            <w:rPr>
              <w:rFonts w:eastAsiaTheme="minorEastAsia"/>
              <w:noProof/>
              <w:sz w:val="22"/>
              <w:lang w:val="en-AU" w:eastAsia="en-AU"/>
            </w:rPr>
          </w:pPr>
          <w:hyperlink w:anchor="_Toc88686149" w:history="1">
            <w:r w:rsidR="00F07767" w:rsidRPr="007806AB">
              <w:rPr>
                <w:rStyle w:val="Hyperlink"/>
                <w:noProof/>
              </w:rPr>
              <w:t>7.7</w:t>
            </w:r>
            <w:r w:rsidR="00F07767">
              <w:rPr>
                <w:rFonts w:eastAsiaTheme="minorEastAsia"/>
                <w:noProof/>
                <w:sz w:val="22"/>
                <w:lang w:val="en-AU" w:eastAsia="en-AU"/>
              </w:rPr>
              <w:tab/>
            </w:r>
            <w:r w:rsidR="00F07767" w:rsidRPr="007806AB">
              <w:rPr>
                <w:rStyle w:val="Hyperlink"/>
                <w:noProof/>
              </w:rPr>
              <w:t>Additional scope of the NDIS compared to original design</w:t>
            </w:r>
            <w:r w:rsidR="00F07767">
              <w:rPr>
                <w:noProof/>
                <w:webHidden/>
              </w:rPr>
              <w:tab/>
            </w:r>
            <w:r w:rsidR="00F07767">
              <w:rPr>
                <w:noProof/>
                <w:webHidden/>
              </w:rPr>
              <w:fldChar w:fldCharType="begin"/>
            </w:r>
            <w:r w:rsidR="00F07767">
              <w:rPr>
                <w:noProof/>
                <w:webHidden/>
              </w:rPr>
              <w:instrText xml:space="preserve"> PAGEREF _Toc88686149 \h </w:instrText>
            </w:r>
            <w:r w:rsidR="00F07767">
              <w:rPr>
                <w:noProof/>
                <w:webHidden/>
              </w:rPr>
            </w:r>
            <w:r w:rsidR="00F07767">
              <w:rPr>
                <w:noProof/>
                <w:webHidden/>
              </w:rPr>
              <w:fldChar w:fldCharType="separate"/>
            </w:r>
            <w:r w:rsidR="00E6217F">
              <w:rPr>
                <w:noProof/>
                <w:webHidden/>
              </w:rPr>
              <w:t>78</w:t>
            </w:r>
            <w:r w:rsidR="00F07767">
              <w:rPr>
                <w:noProof/>
                <w:webHidden/>
              </w:rPr>
              <w:fldChar w:fldCharType="end"/>
            </w:r>
          </w:hyperlink>
        </w:p>
        <w:p w14:paraId="3A60380D" w14:textId="7A6B48A7" w:rsidR="00F07767" w:rsidRDefault="00E063F5" w:rsidP="00F07767">
          <w:pPr>
            <w:pStyle w:val="TOC1"/>
            <w:rPr>
              <w:rFonts w:eastAsiaTheme="minorEastAsia"/>
              <w:sz w:val="22"/>
              <w:lang w:val="en-AU" w:eastAsia="en-AU"/>
            </w:rPr>
          </w:pPr>
          <w:hyperlink w:anchor="_Toc88686150" w:history="1">
            <w:r w:rsidR="00F07767" w:rsidRPr="007806AB">
              <w:rPr>
                <w:rStyle w:val="Hyperlink"/>
              </w:rPr>
              <w:t>8</w:t>
            </w:r>
            <w:r w:rsidR="00F07767">
              <w:rPr>
                <w:rFonts w:eastAsiaTheme="minorEastAsia"/>
                <w:sz w:val="22"/>
                <w:lang w:val="en-AU" w:eastAsia="en-AU"/>
              </w:rPr>
              <w:tab/>
            </w:r>
            <w:r w:rsidR="00F07767" w:rsidRPr="007806AB">
              <w:rPr>
                <w:rStyle w:val="Hyperlink"/>
              </w:rPr>
              <w:t>Consistency across aspects of the Scheme</w:t>
            </w:r>
            <w:r w:rsidR="00F07767">
              <w:rPr>
                <w:webHidden/>
              </w:rPr>
              <w:tab/>
            </w:r>
            <w:r w:rsidR="00F07767">
              <w:rPr>
                <w:webHidden/>
              </w:rPr>
              <w:fldChar w:fldCharType="begin"/>
            </w:r>
            <w:r w:rsidR="00F07767">
              <w:rPr>
                <w:webHidden/>
              </w:rPr>
              <w:instrText xml:space="preserve"> PAGEREF _Toc88686150 \h </w:instrText>
            </w:r>
            <w:r w:rsidR="00F07767">
              <w:rPr>
                <w:webHidden/>
              </w:rPr>
            </w:r>
            <w:r w:rsidR="00F07767">
              <w:rPr>
                <w:webHidden/>
              </w:rPr>
              <w:fldChar w:fldCharType="separate"/>
            </w:r>
            <w:r w:rsidR="00E6217F">
              <w:rPr>
                <w:webHidden/>
              </w:rPr>
              <w:t>80</w:t>
            </w:r>
            <w:r w:rsidR="00F07767">
              <w:rPr>
                <w:webHidden/>
              </w:rPr>
              <w:fldChar w:fldCharType="end"/>
            </w:r>
          </w:hyperlink>
        </w:p>
        <w:p w14:paraId="18532277" w14:textId="264EBDE2" w:rsidR="00F07767" w:rsidRDefault="00E063F5">
          <w:pPr>
            <w:pStyle w:val="TOC2"/>
            <w:rPr>
              <w:rFonts w:eastAsiaTheme="minorEastAsia"/>
              <w:noProof/>
              <w:sz w:val="22"/>
              <w:lang w:val="en-AU" w:eastAsia="en-AU"/>
            </w:rPr>
          </w:pPr>
          <w:hyperlink w:anchor="_Toc88686151" w:history="1">
            <w:r w:rsidR="00F07767" w:rsidRPr="007806AB">
              <w:rPr>
                <w:rStyle w:val="Hyperlink"/>
                <w:noProof/>
              </w:rPr>
              <w:t>8.1</w:t>
            </w:r>
            <w:r w:rsidR="00F07767">
              <w:rPr>
                <w:rFonts w:eastAsiaTheme="minorEastAsia"/>
                <w:noProof/>
                <w:sz w:val="22"/>
                <w:lang w:val="en-AU" w:eastAsia="en-AU"/>
              </w:rPr>
              <w:tab/>
            </w:r>
            <w:r w:rsidR="00F07767" w:rsidRPr="007806AB">
              <w:rPr>
                <w:rStyle w:val="Hyperlink"/>
                <w:noProof/>
              </w:rPr>
              <w:t>Overall comments on consistency</w:t>
            </w:r>
            <w:r w:rsidR="00F07767">
              <w:rPr>
                <w:noProof/>
                <w:webHidden/>
              </w:rPr>
              <w:tab/>
            </w:r>
            <w:r w:rsidR="00F07767">
              <w:rPr>
                <w:noProof/>
                <w:webHidden/>
              </w:rPr>
              <w:fldChar w:fldCharType="begin"/>
            </w:r>
            <w:r w:rsidR="00F07767">
              <w:rPr>
                <w:noProof/>
                <w:webHidden/>
              </w:rPr>
              <w:instrText xml:space="preserve"> PAGEREF _Toc88686151 \h </w:instrText>
            </w:r>
            <w:r w:rsidR="00F07767">
              <w:rPr>
                <w:noProof/>
                <w:webHidden/>
              </w:rPr>
            </w:r>
            <w:r w:rsidR="00F07767">
              <w:rPr>
                <w:noProof/>
                <w:webHidden/>
              </w:rPr>
              <w:fldChar w:fldCharType="separate"/>
            </w:r>
            <w:r w:rsidR="00E6217F">
              <w:rPr>
                <w:noProof/>
                <w:webHidden/>
              </w:rPr>
              <w:t>80</w:t>
            </w:r>
            <w:r w:rsidR="00F07767">
              <w:rPr>
                <w:noProof/>
                <w:webHidden/>
              </w:rPr>
              <w:fldChar w:fldCharType="end"/>
            </w:r>
          </w:hyperlink>
        </w:p>
        <w:p w14:paraId="485DFD9B" w14:textId="1F47E1EA" w:rsidR="00F07767" w:rsidRDefault="00E063F5">
          <w:pPr>
            <w:pStyle w:val="TOC2"/>
            <w:rPr>
              <w:rFonts w:eastAsiaTheme="minorEastAsia"/>
              <w:noProof/>
              <w:sz w:val="22"/>
              <w:lang w:val="en-AU" w:eastAsia="en-AU"/>
            </w:rPr>
          </w:pPr>
          <w:hyperlink w:anchor="_Toc88686152" w:history="1">
            <w:r w:rsidR="00F07767" w:rsidRPr="007806AB">
              <w:rPr>
                <w:rStyle w:val="Hyperlink"/>
                <w:noProof/>
              </w:rPr>
              <w:t>8.2</w:t>
            </w:r>
            <w:r w:rsidR="00F07767">
              <w:rPr>
                <w:rFonts w:eastAsiaTheme="minorEastAsia"/>
                <w:noProof/>
                <w:sz w:val="22"/>
                <w:lang w:val="en-AU" w:eastAsia="en-AU"/>
              </w:rPr>
              <w:tab/>
            </w:r>
            <w:r w:rsidR="00F07767" w:rsidRPr="007806AB">
              <w:rPr>
                <w:rStyle w:val="Hyperlink"/>
                <w:noProof/>
              </w:rPr>
              <w:t>Variation over time</w:t>
            </w:r>
            <w:r w:rsidR="00F07767">
              <w:rPr>
                <w:noProof/>
                <w:webHidden/>
              </w:rPr>
              <w:tab/>
            </w:r>
            <w:r w:rsidR="00F07767">
              <w:rPr>
                <w:noProof/>
                <w:webHidden/>
              </w:rPr>
              <w:fldChar w:fldCharType="begin"/>
            </w:r>
            <w:r w:rsidR="00F07767">
              <w:rPr>
                <w:noProof/>
                <w:webHidden/>
              </w:rPr>
              <w:instrText xml:space="preserve"> PAGEREF _Toc88686152 \h </w:instrText>
            </w:r>
            <w:r w:rsidR="00F07767">
              <w:rPr>
                <w:noProof/>
                <w:webHidden/>
              </w:rPr>
            </w:r>
            <w:r w:rsidR="00F07767">
              <w:rPr>
                <w:noProof/>
                <w:webHidden/>
              </w:rPr>
              <w:fldChar w:fldCharType="separate"/>
            </w:r>
            <w:r w:rsidR="00E6217F">
              <w:rPr>
                <w:noProof/>
                <w:webHidden/>
              </w:rPr>
              <w:t>80</w:t>
            </w:r>
            <w:r w:rsidR="00F07767">
              <w:rPr>
                <w:noProof/>
                <w:webHidden/>
              </w:rPr>
              <w:fldChar w:fldCharType="end"/>
            </w:r>
          </w:hyperlink>
        </w:p>
        <w:p w14:paraId="58D6FCFF" w14:textId="11A86906" w:rsidR="00F07767" w:rsidRDefault="00E063F5">
          <w:pPr>
            <w:pStyle w:val="TOC2"/>
            <w:rPr>
              <w:rFonts w:eastAsiaTheme="minorEastAsia"/>
              <w:noProof/>
              <w:sz w:val="22"/>
              <w:lang w:val="en-AU" w:eastAsia="en-AU"/>
            </w:rPr>
          </w:pPr>
          <w:hyperlink w:anchor="_Toc88686153" w:history="1">
            <w:r w:rsidR="00F07767" w:rsidRPr="007806AB">
              <w:rPr>
                <w:rStyle w:val="Hyperlink"/>
                <w:noProof/>
              </w:rPr>
              <w:t>8.3</w:t>
            </w:r>
            <w:r w:rsidR="00F07767">
              <w:rPr>
                <w:rFonts w:eastAsiaTheme="minorEastAsia"/>
                <w:noProof/>
                <w:sz w:val="22"/>
                <w:lang w:val="en-AU" w:eastAsia="en-AU"/>
              </w:rPr>
              <w:tab/>
            </w:r>
            <w:r w:rsidR="00F07767" w:rsidRPr="007806AB">
              <w:rPr>
                <w:rStyle w:val="Hyperlink"/>
                <w:noProof/>
              </w:rPr>
              <w:t>Variation in cost across geographical regions</w:t>
            </w:r>
            <w:r w:rsidR="00F07767">
              <w:rPr>
                <w:noProof/>
                <w:webHidden/>
              </w:rPr>
              <w:tab/>
            </w:r>
            <w:r w:rsidR="00F07767">
              <w:rPr>
                <w:noProof/>
                <w:webHidden/>
              </w:rPr>
              <w:fldChar w:fldCharType="begin"/>
            </w:r>
            <w:r w:rsidR="00F07767">
              <w:rPr>
                <w:noProof/>
                <w:webHidden/>
              </w:rPr>
              <w:instrText xml:space="preserve"> PAGEREF _Toc88686153 \h </w:instrText>
            </w:r>
            <w:r w:rsidR="00F07767">
              <w:rPr>
                <w:noProof/>
                <w:webHidden/>
              </w:rPr>
            </w:r>
            <w:r w:rsidR="00F07767">
              <w:rPr>
                <w:noProof/>
                <w:webHidden/>
              </w:rPr>
              <w:fldChar w:fldCharType="separate"/>
            </w:r>
            <w:r w:rsidR="00E6217F">
              <w:rPr>
                <w:noProof/>
                <w:webHidden/>
              </w:rPr>
              <w:t>82</w:t>
            </w:r>
            <w:r w:rsidR="00F07767">
              <w:rPr>
                <w:noProof/>
                <w:webHidden/>
              </w:rPr>
              <w:fldChar w:fldCharType="end"/>
            </w:r>
          </w:hyperlink>
        </w:p>
        <w:p w14:paraId="4AB4ACBC" w14:textId="0AE8BF99" w:rsidR="00F07767" w:rsidRDefault="00E063F5">
          <w:pPr>
            <w:pStyle w:val="TOC2"/>
            <w:rPr>
              <w:rFonts w:eastAsiaTheme="minorEastAsia"/>
              <w:noProof/>
              <w:sz w:val="22"/>
              <w:lang w:val="en-AU" w:eastAsia="en-AU"/>
            </w:rPr>
          </w:pPr>
          <w:hyperlink w:anchor="_Toc88686154" w:history="1">
            <w:r w:rsidR="00F07767" w:rsidRPr="007806AB">
              <w:rPr>
                <w:rStyle w:val="Hyperlink"/>
                <w:noProof/>
              </w:rPr>
              <w:t>8.4</w:t>
            </w:r>
            <w:r w:rsidR="00F07767">
              <w:rPr>
                <w:rFonts w:eastAsiaTheme="minorEastAsia"/>
                <w:noProof/>
                <w:sz w:val="22"/>
                <w:lang w:val="en-AU" w:eastAsia="en-AU"/>
              </w:rPr>
              <w:tab/>
            </w:r>
            <w:r w:rsidR="00F07767" w:rsidRPr="007806AB">
              <w:rPr>
                <w:rStyle w:val="Hyperlink"/>
                <w:noProof/>
              </w:rPr>
              <w:t>Variation across package review outcomes</w:t>
            </w:r>
            <w:r w:rsidR="00F07767">
              <w:rPr>
                <w:noProof/>
                <w:webHidden/>
              </w:rPr>
              <w:tab/>
            </w:r>
            <w:r w:rsidR="00F07767">
              <w:rPr>
                <w:noProof/>
                <w:webHidden/>
              </w:rPr>
              <w:fldChar w:fldCharType="begin"/>
            </w:r>
            <w:r w:rsidR="00F07767">
              <w:rPr>
                <w:noProof/>
                <w:webHidden/>
              </w:rPr>
              <w:instrText xml:space="preserve"> PAGEREF _Toc88686154 \h </w:instrText>
            </w:r>
            <w:r w:rsidR="00F07767">
              <w:rPr>
                <w:noProof/>
                <w:webHidden/>
              </w:rPr>
            </w:r>
            <w:r w:rsidR="00F07767">
              <w:rPr>
                <w:noProof/>
                <w:webHidden/>
              </w:rPr>
              <w:fldChar w:fldCharType="separate"/>
            </w:r>
            <w:r w:rsidR="00E6217F">
              <w:rPr>
                <w:noProof/>
                <w:webHidden/>
              </w:rPr>
              <w:t>84</w:t>
            </w:r>
            <w:r w:rsidR="00F07767">
              <w:rPr>
                <w:noProof/>
                <w:webHidden/>
              </w:rPr>
              <w:fldChar w:fldCharType="end"/>
            </w:r>
          </w:hyperlink>
        </w:p>
        <w:p w14:paraId="105389EF" w14:textId="14E66ACE" w:rsidR="00F07767" w:rsidRDefault="00E063F5">
          <w:pPr>
            <w:pStyle w:val="TOC2"/>
            <w:rPr>
              <w:rFonts w:eastAsiaTheme="minorEastAsia"/>
              <w:noProof/>
              <w:sz w:val="22"/>
              <w:lang w:val="en-AU" w:eastAsia="en-AU"/>
            </w:rPr>
          </w:pPr>
          <w:hyperlink w:anchor="_Toc88686155" w:history="1">
            <w:r w:rsidR="00F07767" w:rsidRPr="007806AB">
              <w:rPr>
                <w:rStyle w:val="Hyperlink"/>
                <w:noProof/>
              </w:rPr>
              <w:t>8.5</w:t>
            </w:r>
            <w:r w:rsidR="00F07767">
              <w:rPr>
                <w:rFonts w:eastAsiaTheme="minorEastAsia"/>
                <w:noProof/>
                <w:sz w:val="22"/>
                <w:lang w:val="en-AU" w:eastAsia="en-AU"/>
              </w:rPr>
              <w:tab/>
            </w:r>
            <w:r w:rsidR="00F07767" w:rsidRPr="007806AB">
              <w:rPr>
                <w:rStyle w:val="Hyperlink"/>
                <w:noProof/>
              </w:rPr>
              <w:t>Variation in utilisation by type of plan management</w:t>
            </w:r>
            <w:r w:rsidR="00F07767">
              <w:rPr>
                <w:noProof/>
                <w:webHidden/>
              </w:rPr>
              <w:tab/>
            </w:r>
            <w:r w:rsidR="00F07767">
              <w:rPr>
                <w:noProof/>
                <w:webHidden/>
              </w:rPr>
              <w:fldChar w:fldCharType="begin"/>
            </w:r>
            <w:r w:rsidR="00F07767">
              <w:rPr>
                <w:noProof/>
                <w:webHidden/>
              </w:rPr>
              <w:instrText xml:space="preserve"> PAGEREF _Toc88686155 \h </w:instrText>
            </w:r>
            <w:r w:rsidR="00F07767">
              <w:rPr>
                <w:noProof/>
                <w:webHidden/>
              </w:rPr>
            </w:r>
            <w:r w:rsidR="00F07767">
              <w:rPr>
                <w:noProof/>
                <w:webHidden/>
              </w:rPr>
              <w:fldChar w:fldCharType="separate"/>
            </w:r>
            <w:r w:rsidR="00E6217F">
              <w:rPr>
                <w:noProof/>
                <w:webHidden/>
              </w:rPr>
              <w:t>85</w:t>
            </w:r>
            <w:r w:rsidR="00F07767">
              <w:rPr>
                <w:noProof/>
                <w:webHidden/>
              </w:rPr>
              <w:fldChar w:fldCharType="end"/>
            </w:r>
          </w:hyperlink>
        </w:p>
        <w:p w14:paraId="6FDF3CEF" w14:textId="1E0B19A4" w:rsidR="00F07767" w:rsidRDefault="00E063F5" w:rsidP="00F07767">
          <w:pPr>
            <w:pStyle w:val="TOC1"/>
            <w:rPr>
              <w:rFonts w:eastAsiaTheme="minorEastAsia"/>
              <w:sz w:val="22"/>
              <w:lang w:val="en-AU" w:eastAsia="en-AU"/>
            </w:rPr>
          </w:pPr>
          <w:hyperlink w:anchor="_Toc88686156" w:history="1">
            <w:r w:rsidR="00F07767" w:rsidRPr="007806AB">
              <w:rPr>
                <w:rStyle w:val="Hyperlink"/>
              </w:rPr>
              <w:t>9</w:t>
            </w:r>
            <w:r w:rsidR="00F07767">
              <w:rPr>
                <w:rFonts w:eastAsiaTheme="minorEastAsia"/>
                <w:sz w:val="22"/>
                <w:lang w:val="en-AU" w:eastAsia="en-AU"/>
              </w:rPr>
              <w:tab/>
            </w:r>
            <w:r w:rsidR="00F07767" w:rsidRPr="007806AB">
              <w:rPr>
                <w:rStyle w:val="Hyperlink"/>
              </w:rPr>
              <w:t>Implications</w:t>
            </w:r>
            <w:r w:rsidR="00F07767">
              <w:rPr>
                <w:webHidden/>
              </w:rPr>
              <w:tab/>
            </w:r>
            <w:r w:rsidR="00F07767">
              <w:rPr>
                <w:webHidden/>
              </w:rPr>
              <w:fldChar w:fldCharType="begin"/>
            </w:r>
            <w:r w:rsidR="00F07767">
              <w:rPr>
                <w:webHidden/>
              </w:rPr>
              <w:instrText xml:space="preserve"> PAGEREF _Toc88686156 \h </w:instrText>
            </w:r>
            <w:r w:rsidR="00F07767">
              <w:rPr>
                <w:webHidden/>
              </w:rPr>
            </w:r>
            <w:r w:rsidR="00F07767">
              <w:rPr>
                <w:webHidden/>
              </w:rPr>
              <w:fldChar w:fldCharType="separate"/>
            </w:r>
            <w:r w:rsidR="00E6217F">
              <w:rPr>
                <w:webHidden/>
              </w:rPr>
              <w:t>86</w:t>
            </w:r>
            <w:r w:rsidR="00F07767">
              <w:rPr>
                <w:webHidden/>
              </w:rPr>
              <w:fldChar w:fldCharType="end"/>
            </w:r>
          </w:hyperlink>
        </w:p>
        <w:p w14:paraId="623195FB" w14:textId="2AE35FE0" w:rsidR="00F07767" w:rsidRDefault="00E063F5">
          <w:pPr>
            <w:pStyle w:val="TOC2"/>
            <w:rPr>
              <w:rFonts w:eastAsiaTheme="minorEastAsia"/>
              <w:noProof/>
              <w:sz w:val="22"/>
              <w:lang w:val="en-AU" w:eastAsia="en-AU"/>
            </w:rPr>
          </w:pPr>
          <w:hyperlink w:anchor="_Toc88686157" w:history="1">
            <w:r w:rsidR="00F07767" w:rsidRPr="007806AB">
              <w:rPr>
                <w:rStyle w:val="Hyperlink"/>
                <w:noProof/>
              </w:rPr>
              <w:t>9.1</w:t>
            </w:r>
            <w:r w:rsidR="00F07767">
              <w:rPr>
                <w:rFonts w:eastAsiaTheme="minorEastAsia"/>
                <w:noProof/>
                <w:sz w:val="22"/>
                <w:lang w:val="en-AU" w:eastAsia="en-AU"/>
              </w:rPr>
              <w:tab/>
            </w:r>
            <w:r w:rsidR="00F07767" w:rsidRPr="007806AB">
              <w:rPr>
                <w:rStyle w:val="Hyperlink"/>
                <w:noProof/>
              </w:rPr>
              <w:t>Key considerations</w:t>
            </w:r>
            <w:r w:rsidR="00F07767">
              <w:rPr>
                <w:noProof/>
                <w:webHidden/>
              </w:rPr>
              <w:tab/>
            </w:r>
            <w:r w:rsidR="00F07767">
              <w:rPr>
                <w:noProof/>
                <w:webHidden/>
              </w:rPr>
              <w:fldChar w:fldCharType="begin"/>
            </w:r>
            <w:r w:rsidR="00F07767">
              <w:rPr>
                <w:noProof/>
                <w:webHidden/>
              </w:rPr>
              <w:instrText xml:space="preserve"> PAGEREF _Toc88686157 \h </w:instrText>
            </w:r>
            <w:r w:rsidR="00F07767">
              <w:rPr>
                <w:noProof/>
                <w:webHidden/>
              </w:rPr>
            </w:r>
            <w:r w:rsidR="00F07767">
              <w:rPr>
                <w:noProof/>
                <w:webHidden/>
              </w:rPr>
              <w:fldChar w:fldCharType="separate"/>
            </w:r>
            <w:r w:rsidR="00E6217F">
              <w:rPr>
                <w:noProof/>
                <w:webHidden/>
              </w:rPr>
              <w:t>86</w:t>
            </w:r>
            <w:r w:rsidR="00F07767">
              <w:rPr>
                <w:noProof/>
                <w:webHidden/>
              </w:rPr>
              <w:fldChar w:fldCharType="end"/>
            </w:r>
          </w:hyperlink>
        </w:p>
        <w:p w14:paraId="2353B373" w14:textId="6FE1F029" w:rsidR="00F07767" w:rsidRDefault="00E063F5">
          <w:pPr>
            <w:pStyle w:val="TOC2"/>
            <w:rPr>
              <w:rFonts w:eastAsiaTheme="minorEastAsia"/>
              <w:noProof/>
              <w:sz w:val="22"/>
              <w:lang w:val="en-AU" w:eastAsia="en-AU"/>
            </w:rPr>
          </w:pPr>
          <w:hyperlink w:anchor="_Toc88686158" w:history="1">
            <w:r w:rsidR="00F07767" w:rsidRPr="007806AB">
              <w:rPr>
                <w:rStyle w:val="Hyperlink"/>
                <w:noProof/>
              </w:rPr>
              <w:t>9.2</w:t>
            </w:r>
            <w:r w:rsidR="00F07767">
              <w:rPr>
                <w:rFonts w:eastAsiaTheme="minorEastAsia"/>
                <w:noProof/>
                <w:sz w:val="22"/>
                <w:lang w:val="en-AU" w:eastAsia="en-AU"/>
              </w:rPr>
              <w:tab/>
            </w:r>
            <w:r w:rsidR="00F07767" w:rsidRPr="007806AB">
              <w:rPr>
                <w:rStyle w:val="Hyperlink"/>
                <w:noProof/>
              </w:rPr>
              <w:t>Additional work</w:t>
            </w:r>
            <w:r w:rsidR="00F07767">
              <w:rPr>
                <w:noProof/>
                <w:webHidden/>
              </w:rPr>
              <w:tab/>
            </w:r>
            <w:r w:rsidR="00F07767">
              <w:rPr>
                <w:noProof/>
                <w:webHidden/>
              </w:rPr>
              <w:fldChar w:fldCharType="begin"/>
            </w:r>
            <w:r w:rsidR="00F07767">
              <w:rPr>
                <w:noProof/>
                <w:webHidden/>
              </w:rPr>
              <w:instrText xml:space="preserve"> PAGEREF _Toc88686158 \h </w:instrText>
            </w:r>
            <w:r w:rsidR="00F07767">
              <w:rPr>
                <w:noProof/>
                <w:webHidden/>
              </w:rPr>
            </w:r>
            <w:r w:rsidR="00F07767">
              <w:rPr>
                <w:noProof/>
                <w:webHidden/>
              </w:rPr>
              <w:fldChar w:fldCharType="separate"/>
            </w:r>
            <w:r w:rsidR="00E6217F">
              <w:rPr>
                <w:noProof/>
                <w:webHidden/>
              </w:rPr>
              <w:t>89</w:t>
            </w:r>
            <w:r w:rsidR="00F07767">
              <w:rPr>
                <w:noProof/>
                <w:webHidden/>
              </w:rPr>
              <w:fldChar w:fldCharType="end"/>
            </w:r>
          </w:hyperlink>
        </w:p>
        <w:p w14:paraId="5D180084" w14:textId="49C7424A" w:rsidR="00F07767" w:rsidRDefault="00E063F5" w:rsidP="00F07767">
          <w:pPr>
            <w:pStyle w:val="TOC1"/>
            <w:rPr>
              <w:rFonts w:eastAsiaTheme="minorEastAsia"/>
              <w:sz w:val="22"/>
              <w:lang w:val="en-AU" w:eastAsia="en-AU"/>
            </w:rPr>
          </w:pPr>
          <w:hyperlink w:anchor="_Toc88686159" w:history="1">
            <w:r w:rsidR="00F07767" w:rsidRPr="007806AB">
              <w:rPr>
                <w:rStyle w:val="Hyperlink"/>
              </w:rPr>
              <w:t>Appendix A</w:t>
            </w:r>
            <w:r w:rsidR="00F07767">
              <w:rPr>
                <w:rFonts w:eastAsiaTheme="minorEastAsia"/>
                <w:sz w:val="22"/>
                <w:lang w:val="en-AU" w:eastAsia="en-AU"/>
              </w:rPr>
              <w:tab/>
            </w:r>
            <w:r w:rsidR="00F07767" w:rsidRPr="007806AB">
              <w:rPr>
                <w:rStyle w:val="Hyperlink"/>
              </w:rPr>
              <w:t>Additional results</w:t>
            </w:r>
            <w:r w:rsidR="00F07767">
              <w:rPr>
                <w:webHidden/>
              </w:rPr>
              <w:tab/>
            </w:r>
            <w:r w:rsidR="00F07767">
              <w:rPr>
                <w:webHidden/>
              </w:rPr>
              <w:fldChar w:fldCharType="begin"/>
            </w:r>
            <w:r w:rsidR="00F07767">
              <w:rPr>
                <w:webHidden/>
              </w:rPr>
              <w:instrText xml:space="preserve"> PAGEREF _Toc88686159 \h </w:instrText>
            </w:r>
            <w:r w:rsidR="00F07767">
              <w:rPr>
                <w:webHidden/>
              </w:rPr>
            </w:r>
            <w:r w:rsidR="00F07767">
              <w:rPr>
                <w:webHidden/>
              </w:rPr>
              <w:fldChar w:fldCharType="separate"/>
            </w:r>
            <w:r w:rsidR="00E6217F">
              <w:rPr>
                <w:webHidden/>
              </w:rPr>
              <w:t>90</w:t>
            </w:r>
            <w:r w:rsidR="00F07767">
              <w:rPr>
                <w:webHidden/>
              </w:rPr>
              <w:fldChar w:fldCharType="end"/>
            </w:r>
          </w:hyperlink>
        </w:p>
        <w:p w14:paraId="7CD8BB90" w14:textId="7C46F236" w:rsidR="00F07767" w:rsidRDefault="00E063F5">
          <w:pPr>
            <w:pStyle w:val="TOC2"/>
            <w:rPr>
              <w:rFonts w:eastAsiaTheme="minorEastAsia"/>
              <w:noProof/>
              <w:sz w:val="22"/>
              <w:lang w:val="en-AU" w:eastAsia="en-AU"/>
            </w:rPr>
          </w:pPr>
          <w:hyperlink w:anchor="_Toc88686160" w:history="1">
            <w:r w:rsidR="00F07767" w:rsidRPr="007806AB">
              <w:rPr>
                <w:rStyle w:val="Hyperlink"/>
                <w:noProof/>
              </w:rPr>
              <w:t>A.1</w:t>
            </w:r>
            <w:r w:rsidR="00F07767">
              <w:rPr>
                <w:rFonts w:eastAsiaTheme="minorEastAsia"/>
                <w:noProof/>
                <w:sz w:val="22"/>
                <w:lang w:val="en-AU" w:eastAsia="en-AU"/>
              </w:rPr>
              <w:tab/>
            </w:r>
            <w:r w:rsidR="00F07767" w:rsidRPr="007806AB">
              <w:rPr>
                <w:rStyle w:val="Hyperlink"/>
                <w:noProof/>
              </w:rPr>
              <w:t>Full participant number backtest results</w:t>
            </w:r>
            <w:r w:rsidR="00F07767">
              <w:rPr>
                <w:noProof/>
                <w:webHidden/>
              </w:rPr>
              <w:tab/>
            </w:r>
            <w:r w:rsidR="00F07767">
              <w:rPr>
                <w:noProof/>
                <w:webHidden/>
              </w:rPr>
              <w:fldChar w:fldCharType="begin"/>
            </w:r>
            <w:r w:rsidR="00F07767">
              <w:rPr>
                <w:noProof/>
                <w:webHidden/>
              </w:rPr>
              <w:instrText xml:space="preserve"> PAGEREF _Toc88686160 \h </w:instrText>
            </w:r>
            <w:r w:rsidR="00F07767">
              <w:rPr>
                <w:noProof/>
                <w:webHidden/>
              </w:rPr>
            </w:r>
            <w:r w:rsidR="00F07767">
              <w:rPr>
                <w:noProof/>
                <w:webHidden/>
              </w:rPr>
              <w:fldChar w:fldCharType="separate"/>
            </w:r>
            <w:r w:rsidR="00E6217F">
              <w:rPr>
                <w:noProof/>
                <w:webHidden/>
              </w:rPr>
              <w:t>90</w:t>
            </w:r>
            <w:r w:rsidR="00F07767">
              <w:rPr>
                <w:noProof/>
                <w:webHidden/>
              </w:rPr>
              <w:fldChar w:fldCharType="end"/>
            </w:r>
          </w:hyperlink>
        </w:p>
        <w:p w14:paraId="21A08DEF" w14:textId="48C6FFF2" w:rsidR="00F07767" w:rsidRDefault="00E063F5" w:rsidP="00F07767">
          <w:pPr>
            <w:pStyle w:val="TOC1"/>
            <w:rPr>
              <w:rFonts w:eastAsiaTheme="minorEastAsia"/>
              <w:sz w:val="22"/>
              <w:lang w:val="en-AU" w:eastAsia="en-AU"/>
            </w:rPr>
          </w:pPr>
          <w:hyperlink w:anchor="_Toc88686161" w:history="1">
            <w:r w:rsidR="00F07767" w:rsidRPr="007806AB">
              <w:rPr>
                <w:rStyle w:val="Hyperlink"/>
              </w:rPr>
              <w:t>Appendix B</w:t>
            </w:r>
            <w:r w:rsidR="00F07767">
              <w:rPr>
                <w:rFonts w:eastAsiaTheme="minorEastAsia"/>
                <w:sz w:val="22"/>
                <w:lang w:val="en-AU" w:eastAsia="en-AU"/>
              </w:rPr>
              <w:tab/>
            </w:r>
            <w:r w:rsidR="00F07767" w:rsidRPr="007806AB">
              <w:rPr>
                <w:rStyle w:val="Hyperlink"/>
              </w:rPr>
              <w:t>Further discussion of AFSR model structural elements</w:t>
            </w:r>
            <w:r w:rsidR="00F07767">
              <w:rPr>
                <w:webHidden/>
              </w:rPr>
              <w:tab/>
            </w:r>
            <w:r w:rsidR="00F07767">
              <w:rPr>
                <w:webHidden/>
              </w:rPr>
              <w:fldChar w:fldCharType="begin"/>
            </w:r>
            <w:r w:rsidR="00F07767">
              <w:rPr>
                <w:webHidden/>
              </w:rPr>
              <w:instrText xml:space="preserve"> PAGEREF _Toc88686161 \h </w:instrText>
            </w:r>
            <w:r w:rsidR="00F07767">
              <w:rPr>
                <w:webHidden/>
              </w:rPr>
            </w:r>
            <w:r w:rsidR="00F07767">
              <w:rPr>
                <w:webHidden/>
              </w:rPr>
              <w:fldChar w:fldCharType="separate"/>
            </w:r>
            <w:r w:rsidR="00E6217F">
              <w:rPr>
                <w:webHidden/>
              </w:rPr>
              <w:t>92</w:t>
            </w:r>
            <w:r w:rsidR="00F07767">
              <w:rPr>
                <w:webHidden/>
              </w:rPr>
              <w:fldChar w:fldCharType="end"/>
            </w:r>
          </w:hyperlink>
        </w:p>
        <w:p w14:paraId="2771BECD" w14:textId="1555CA59" w:rsidR="00F07767" w:rsidRDefault="00E063F5">
          <w:pPr>
            <w:pStyle w:val="TOC2"/>
            <w:rPr>
              <w:rFonts w:eastAsiaTheme="minorEastAsia"/>
              <w:noProof/>
              <w:sz w:val="22"/>
              <w:lang w:val="en-AU" w:eastAsia="en-AU"/>
            </w:rPr>
          </w:pPr>
          <w:hyperlink w:anchor="_Toc88686162" w:history="1">
            <w:r w:rsidR="00F07767" w:rsidRPr="007806AB">
              <w:rPr>
                <w:rStyle w:val="Hyperlink"/>
                <w:noProof/>
              </w:rPr>
              <w:t>B.1</w:t>
            </w:r>
            <w:r w:rsidR="00F07767">
              <w:rPr>
                <w:rFonts w:eastAsiaTheme="minorEastAsia"/>
                <w:noProof/>
                <w:sz w:val="22"/>
                <w:lang w:val="en-AU" w:eastAsia="en-AU"/>
              </w:rPr>
              <w:tab/>
            </w:r>
            <w:r w:rsidR="00F07767" w:rsidRPr="007806AB">
              <w:rPr>
                <w:rStyle w:val="Hyperlink"/>
                <w:noProof/>
              </w:rPr>
              <w:t>Superimposed inflation (and total cost escalation) assumptions do not vary by disability type</w:t>
            </w:r>
            <w:r w:rsidR="00F07767">
              <w:rPr>
                <w:noProof/>
                <w:webHidden/>
              </w:rPr>
              <w:tab/>
            </w:r>
            <w:r w:rsidR="00F07767">
              <w:rPr>
                <w:noProof/>
                <w:webHidden/>
              </w:rPr>
              <w:fldChar w:fldCharType="begin"/>
            </w:r>
            <w:r w:rsidR="00F07767">
              <w:rPr>
                <w:noProof/>
                <w:webHidden/>
              </w:rPr>
              <w:instrText xml:space="preserve"> PAGEREF _Toc88686162 \h </w:instrText>
            </w:r>
            <w:r w:rsidR="00F07767">
              <w:rPr>
                <w:noProof/>
                <w:webHidden/>
              </w:rPr>
            </w:r>
            <w:r w:rsidR="00F07767">
              <w:rPr>
                <w:noProof/>
                <w:webHidden/>
              </w:rPr>
              <w:fldChar w:fldCharType="separate"/>
            </w:r>
            <w:r w:rsidR="00E6217F">
              <w:rPr>
                <w:noProof/>
                <w:webHidden/>
              </w:rPr>
              <w:t>92</w:t>
            </w:r>
            <w:r w:rsidR="00F07767">
              <w:rPr>
                <w:noProof/>
                <w:webHidden/>
              </w:rPr>
              <w:fldChar w:fldCharType="end"/>
            </w:r>
          </w:hyperlink>
        </w:p>
        <w:p w14:paraId="51B1820F" w14:textId="17406D3C" w:rsidR="00F07767" w:rsidRDefault="00E063F5">
          <w:pPr>
            <w:pStyle w:val="TOC2"/>
            <w:rPr>
              <w:rFonts w:eastAsiaTheme="minorEastAsia"/>
              <w:noProof/>
              <w:sz w:val="22"/>
              <w:lang w:val="en-AU" w:eastAsia="en-AU"/>
            </w:rPr>
          </w:pPr>
          <w:hyperlink w:anchor="_Toc88686163" w:history="1">
            <w:r w:rsidR="00F07767" w:rsidRPr="007806AB">
              <w:rPr>
                <w:rStyle w:val="Hyperlink"/>
                <w:noProof/>
              </w:rPr>
              <w:t>B.2</w:t>
            </w:r>
            <w:r w:rsidR="00F07767">
              <w:rPr>
                <w:rFonts w:eastAsiaTheme="minorEastAsia"/>
                <w:noProof/>
                <w:sz w:val="22"/>
                <w:lang w:val="en-AU" w:eastAsia="en-AU"/>
              </w:rPr>
              <w:tab/>
            </w:r>
            <w:r w:rsidR="00F07767" w:rsidRPr="007806AB">
              <w:rPr>
                <w:rStyle w:val="Hyperlink"/>
                <w:noProof/>
              </w:rPr>
              <w:t>Future average payment size based on disability, function and age</w:t>
            </w:r>
            <w:r w:rsidR="00F07767">
              <w:rPr>
                <w:noProof/>
                <w:webHidden/>
              </w:rPr>
              <w:tab/>
            </w:r>
            <w:r w:rsidR="00F07767">
              <w:rPr>
                <w:noProof/>
                <w:webHidden/>
              </w:rPr>
              <w:fldChar w:fldCharType="begin"/>
            </w:r>
            <w:r w:rsidR="00F07767">
              <w:rPr>
                <w:noProof/>
                <w:webHidden/>
              </w:rPr>
              <w:instrText xml:space="preserve"> PAGEREF _Toc88686163 \h </w:instrText>
            </w:r>
            <w:r w:rsidR="00F07767">
              <w:rPr>
                <w:noProof/>
                <w:webHidden/>
              </w:rPr>
            </w:r>
            <w:r w:rsidR="00F07767">
              <w:rPr>
                <w:noProof/>
                <w:webHidden/>
              </w:rPr>
              <w:fldChar w:fldCharType="separate"/>
            </w:r>
            <w:r w:rsidR="00E6217F">
              <w:rPr>
                <w:noProof/>
                <w:webHidden/>
              </w:rPr>
              <w:t>93</w:t>
            </w:r>
            <w:r w:rsidR="00F07767">
              <w:rPr>
                <w:noProof/>
                <w:webHidden/>
              </w:rPr>
              <w:fldChar w:fldCharType="end"/>
            </w:r>
          </w:hyperlink>
        </w:p>
        <w:p w14:paraId="21D74D25" w14:textId="1DAB536B" w:rsidR="00F07767" w:rsidRDefault="00E063F5">
          <w:pPr>
            <w:pStyle w:val="TOC2"/>
            <w:rPr>
              <w:rFonts w:eastAsiaTheme="minorEastAsia"/>
              <w:noProof/>
              <w:sz w:val="22"/>
              <w:lang w:val="en-AU" w:eastAsia="en-AU"/>
            </w:rPr>
          </w:pPr>
          <w:hyperlink w:anchor="_Toc88686164" w:history="1">
            <w:r w:rsidR="00F07767" w:rsidRPr="007806AB">
              <w:rPr>
                <w:rStyle w:val="Hyperlink"/>
                <w:noProof/>
              </w:rPr>
              <w:t>B.3</w:t>
            </w:r>
            <w:r w:rsidR="00F07767">
              <w:rPr>
                <w:rFonts w:eastAsiaTheme="minorEastAsia"/>
                <w:noProof/>
                <w:sz w:val="22"/>
                <w:lang w:val="en-AU" w:eastAsia="en-AU"/>
              </w:rPr>
              <w:tab/>
            </w:r>
            <w:r w:rsidR="00F07767" w:rsidRPr="007806AB">
              <w:rPr>
                <w:rStyle w:val="Hyperlink"/>
                <w:noProof/>
              </w:rPr>
              <w:t>Partial allowance for transitions between disability groups</w:t>
            </w:r>
            <w:r w:rsidR="00F07767">
              <w:rPr>
                <w:noProof/>
                <w:webHidden/>
              </w:rPr>
              <w:tab/>
            </w:r>
            <w:r w:rsidR="00F07767">
              <w:rPr>
                <w:noProof/>
                <w:webHidden/>
              </w:rPr>
              <w:fldChar w:fldCharType="begin"/>
            </w:r>
            <w:r w:rsidR="00F07767">
              <w:rPr>
                <w:noProof/>
                <w:webHidden/>
              </w:rPr>
              <w:instrText xml:space="preserve"> PAGEREF _Toc88686164 \h </w:instrText>
            </w:r>
            <w:r w:rsidR="00F07767">
              <w:rPr>
                <w:noProof/>
                <w:webHidden/>
              </w:rPr>
            </w:r>
            <w:r w:rsidR="00F07767">
              <w:rPr>
                <w:noProof/>
                <w:webHidden/>
              </w:rPr>
              <w:fldChar w:fldCharType="separate"/>
            </w:r>
            <w:r w:rsidR="00E6217F">
              <w:rPr>
                <w:noProof/>
                <w:webHidden/>
              </w:rPr>
              <w:t>93</w:t>
            </w:r>
            <w:r w:rsidR="00F07767">
              <w:rPr>
                <w:noProof/>
                <w:webHidden/>
              </w:rPr>
              <w:fldChar w:fldCharType="end"/>
            </w:r>
          </w:hyperlink>
        </w:p>
        <w:p w14:paraId="5BB75A28" w14:textId="50ABE153" w:rsidR="00F07767" w:rsidRDefault="00E063F5">
          <w:pPr>
            <w:pStyle w:val="TOC2"/>
            <w:rPr>
              <w:rFonts w:eastAsiaTheme="minorEastAsia"/>
              <w:noProof/>
              <w:sz w:val="22"/>
              <w:lang w:val="en-AU" w:eastAsia="en-AU"/>
            </w:rPr>
          </w:pPr>
          <w:hyperlink w:anchor="_Toc88686165" w:history="1">
            <w:r w:rsidR="00F07767" w:rsidRPr="007806AB">
              <w:rPr>
                <w:rStyle w:val="Hyperlink"/>
                <w:noProof/>
              </w:rPr>
              <w:t>B.4</w:t>
            </w:r>
            <w:r w:rsidR="00F07767">
              <w:rPr>
                <w:rFonts w:eastAsiaTheme="minorEastAsia"/>
                <w:noProof/>
                <w:sz w:val="22"/>
                <w:lang w:val="en-AU" w:eastAsia="en-AU"/>
              </w:rPr>
              <w:tab/>
            </w:r>
            <w:r w:rsidR="00F07767" w:rsidRPr="007806AB">
              <w:rPr>
                <w:rStyle w:val="Hyperlink"/>
                <w:noProof/>
              </w:rPr>
              <w:t>Unusual projected age distributions for some cohorts</w:t>
            </w:r>
            <w:r w:rsidR="00F07767">
              <w:rPr>
                <w:noProof/>
                <w:webHidden/>
              </w:rPr>
              <w:tab/>
            </w:r>
            <w:r w:rsidR="00F07767">
              <w:rPr>
                <w:noProof/>
                <w:webHidden/>
              </w:rPr>
              <w:fldChar w:fldCharType="begin"/>
            </w:r>
            <w:r w:rsidR="00F07767">
              <w:rPr>
                <w:noProof/>
                <w:webHidden/>
              </w:rPr>
              <w:instrText xml:space="preserve"> PAGEREF _Toc88686165 \h </w:instrText>
            </w:r>
            <w:r w:rsidR="00F07767">
              <w:rPr>
                <w:noProof/>
                <w:webHidden/>
              </w:rPr>
            </w:r>
            <w:r w:rsidR="00F07767">
              <w:rPr>
                <w:noProof/>
                <w:webHidden/>
              </w:rPr>
              <w:fldChar w:fldCharType="separate"/>
            </w:r>
            <w:r w:rsidR="00E6217F">
              <w:rPr>
                <w:noProof/>
                <w:webHidden/>
              </w:rPr>
              <w:t>94</w:t>
            </w:r>
            <w:r w:rsidR="00F07767">
              <w:rPr>
                <w:noProof/>
                <w:webHidden/>
              </w:rPr>
              <w:fldChar w:fldCharType="end"/>
            </w:r>
          </w:hyperlink>
        </w:p>
        <w:p w14:paraId="240AA8F1" w14:textId="6CF0027E" w:rsidR="00F07767" w:rsidRDefault="00E063F5">
          <w:pPr>
            <w:pStyle w:val="TOC2"/>
            <w:rPr>
              <w:rFonts w:eastAsiaTheme="minorEastAsia"/>
              <w:noProof/>
              <w:sz w:val="22"/>
              <w:lang w:val="en-AU" w:eastAsia="en-AU"/>
            </w:rPr>
          </w:pPr>
          <w:hyperlink w:anchor="_Toc88686166" w:history="1">
            <w:r w:rsidR="00F07767" w:rsidRPr="007806AB">
              <w:rPr>
                <w:rStyle w:val="Hyperlink"/>
                <w:noProof/>
              </w:rPr>
              <w:t>B.5</w:t>
            </w:r>
            <w:r w:rsidR="00F07767">
              <w:rPr>
                <w:rFonts w:eastAsiaTheme="minorEastAsia"/>
                <w:noProof/>
                <w:sz w:val="22"/>
                <w:lang w:val="en-AU" w:eastAsia="en-AU"/>
              </w:rPr>
              <w:tab/>
            </w:r>
            <w:r w:rsidR="00F07767" w:rsidRPr="007806AB">
              <w:rPr>
                <w:rStyle w:val="Hyperlink"/>
                <w:noProof/>
              </w:rPr>
              <w:t>SIL status does not follow participants</w:t>
            </w:r>
            <w:r w:rsidR="00F07767">
              <w:rPr>
                <w:noProof/>
                <w:webHidden/>
              </w:rPr>
              <w:tab/>
            </w:r>
            <w:r w:rsidR="00F07767">
              <w:rPr>
                <w:noProof/>
                <w:webHidden/>
              </w:rPr>
              <w:fldChar w:fldCharType="begin"/>
            </w:r>
            <w:r w:rsidR="00F07767">
              <w:rPr>
                <w:noProof/>
                <w:webHidden/>
              </w:rPr>
              <w:instrText xml:space="preserve"> PAGEREF _Toc88686166 \h </w:instrText>
            </w:r>
            <w:r w:rsidR="00F07767">
              <w:rPr>
                <w:noProof/>
                <w:webHidden/>
              </w:rPr>
            </w:r>
            <w:r w:rsidR="00F07767">
              <w:rPr>
                <w:noProof/>
                <w:webHidden/>
              </w:rPr>
              <w:fldChar w:fldCharType="separate"/>
            </w:r>
            <w:r w:rsidR="00E6217F">
              <w:rPr>
                <w:noProof/>
                <w:webHidden/>
              </w:rPr>
              <w:t>95</w:t>
            </w:r>
            <w:r w:rsidR="00F07767">
              <w:rPr>
                <w:noProof/>
                <w:webHidden/>
              </w:rPr>
              <w:fldChar w:fldCharType="end"/>
            </w:r>
          </w:hyperlink>
        </w:p>
        <w:p w14:paraId="47FFFB6B" w14:textId="4E9C97B4" w:rsidR="00F07767" w:rsidRDefault="00E063F5">
          <w:pPr>
            <w:pStyle w:val="TOC2"/>
            <w:rPr>
              <w:rFonts w:eastAsiaTheme="minorEastAsia"/>
              <w:noProof/>
              <w:sz w:val="22"/>
              <w:lang w:val="en-AU" w:eastAsia="en-AU"/>
            </w:rPr>
          </w:pPr>
          <w:hyperlink w:anchor="_Toc88686167" w:history="1">
            <w:r w:rsidR="00F07767" w:rsidRPr="007806AB">
              <w:rPr>
                <w:rStyle w:val="Hyperlink"/>
                <w:noProof/>
              </w:rPr>
              <w:t>B.6</w:t>
            </w:r>
            <w:r w:rsidR="00F07767">
              <w:rPr>
                <w:rFonts w:eastAsiaTheme="minorEastAsia"/>
                <w:noProof/>
                <w:sz w:val="22"/>
                <w:lang w:val="en-AU" w:eastAsia="en-AU"/>
              </w:rPr>
              <w:tab/>
            </w:r>
            <w:r w:rsidR="00F07767" w:rsidRPr="007806AB">
              <w:rPr>
                <w:rStyle w:val="Hyperlink"/>
                <w:noProof/>
              </w:rPr>
              <w:t>Large variation in costs within modelled groups</w:t>
            </w:r>
            <w:r w:rsidR="00F07767">
              <w:rPr>
                <w:noProof/>
                <w:webHidden/>
              </w:rPr>
              <w:tab/>
            </w:r>
            <w:r w:rsidR="00F07767">
              <w:rPr>
                <w:noProof/>
                <w:webHidden/>
              </w:rPr>
              <w:fldChar w:fldCharType="begin"/>
            </w:r>
            <w:r w:rsidR="00F07767">
              <w:rPr>
                <w:noProof/>
                <w:webHidden/>
              </w:rPr>
              <w:instrText xml:space="preserve"> PAGEREF _Toc88686167 \h </w:instrText>
            </w:r>
            <w:r w:rsidR="00F07767">
              <w:rPr>
                <w:noProof/>
                <w:webHidden/>
              </w:rPr>
            </w:r>
            <w:r w:rsidR="00F07767">
              <w:rPr>
                <w:noProof/>
                <w:webHidden/>
              </w:rPr>
              <w:fldChar w:fldCharType="separate"/>
            </w:r>
            <w:r w:rsidR="00E6217F">
              <w:rPr>
                <w:noProof/>
                <w:webHidden/>
              </w:rPr>
              <w:t>96</w:t>
            </w:r>
            <w:r w:rsidR="00F07767">
              <w:rPr>
                <w:noProof/>
                <w:webHidden/>
              </w:rPr>
              <w:fldChar w:fldCharType="end"/>
            </w:r>
          </w:hyperlink>
        </w:p>
        <w:p w14:paraId="425D17DB" w14:textId="6874BF03" w:rsidR="00F07767" w:rsidRDefault="00E063F5">
          <w:pPr>
            <w:pStyle w:val="TOC2"/>
            <w:rPr>
              <w:rFonts w:eastAsiaTheme="minorEastAsia"/>
              <w:noProof/>
              <w:sz w:val="22"/>
              <w:lang w:val="en-AU" w:eastAsia="en-AU"/>
            </w:rPr>
          </w:pPr>
          <w:hyperlink w:anchor="_Toc88686168" w:history="1">
            <w:r w:rsidR="00F07767" w:rsidRPr="007806AB">
              <w:rPr>
                <w:rStyle w:val="Hyperlink"/>
                <w:noProof/>
              </w:rPr>
              <w:t>B.7</w:t>
            </w:r>
            <w:r w:rsidR="00F07767">
              <w:rPr>
                <w:rFonts w:eastAsiaTheme="minorEastAsia"/>
                <w:noProof/>
                <w:sz w:val="22"/>
                <w:lang w:val="en-AU" w:eastAsia="en-AU"/>
              </w:rPr>
              <w:tab/>
            </w:r>
            <w:r w:rsidR="00F07767" w:rsidRPr="007806AB">
              <w:rPr>
                <w:rStyle w:val="Hyperlink"/>
                <w:noProof/>
              </w:rPr>
              <w:t>No link between TSPs, plan and payments</w:t>
            </w:r>
            <w:r w:rsidR="00F07767">
              <w:rPr>
                <w:noProof/>
                <w:webHidden/>
              </w:rPr>
              <w:tab/>
            </w:r>
            <w:r w:rsidR="00F07767">
              <w:rPr>
                <w:noProof/>
                <w:webHidden/>
              </w:rPr>
              <w:fldChar w:fldCharType="begin"/>
            </w:r>
            <w:r w:rsidR="00F07767">
              <w:rPr>
                <w:noProof/>
                <w:webHidden/>
              </w:rPr>
              <w:instrText xml:space="preserve"> PAGEREF _Toc88686168 \h </w:instrText>
            </w:r>
            <w:r w:rsidR="00F07767">
              <w:rPr>
                <w:noProof/>
                <w:webHidden/>
              </w:rPr>
            </w:r>
            <w:r w:rsidR="00F07767">
              <w:rPr>
                <w:noProof/>
                <w:webHidden/>
              </w:rPr>
              <w:fldChar w:fldCharType="separate"/>
            </w:r>
            <w:r w:rsidR="00E6217F">
              <w:rPr>
                <w:noProof/>
                <w:webHidden/>
              </w:rPr>
              <w:t>97</w:t>
            </w:r>
            <w:r w:rsidR="00F07767">
              <w:rPr>
                <w:noProof/>
                <w:webHidden/>
              </w:rPr>
              <w:fldChar w:fldCharType="end"/>
            </w:r>
          </w:hyperlink>
        </w:p>
        <w:p w14:paraId="0868FA30" w14:textId="61D0C222" w:rsidR="00F07767" w:rsidRDefault="00E063F5" w:rsidP="00F07767">
          <w:pPr>
            <w:pStyle w:val="TOC1"/>
            <w:rPr>
              <w:rFonts w:eastAsiaTheme="minorEastAsia"/>
              <w:sz w:val="22"/>
              <w:lang w:val="en-AU" w:eastAsia="en-AU"/>
            </w:rPr>
          </w:pPr>
          <w:hyperlink w:anchor="_Toc88686169" w:history="1">
            <w:r w:rsidR="00F07767" w:rsidRPr="007806AB">
              <w:rPr>
                <w:rStyle w:val="Hyperlink"/>
              </w:rPr>
              <w:t>Appendix C</w:t>
            </w:r>
            <w:r w:rsidR="00F07767">
              <w:rPr>
                <w:rFonts w:eastAsiaTheme="minorEastAsia"/>
                <w:sz w:val="22"/>
                <w:lang w:val="en-AU" w:eastAsia="en-AU"/>
              </w:rPr>
              <w:tab/>
            </w:r>
            <w:r w:rsidR="00F07767" w:rsidRPr="007806AB">
              <w:rPr>
                <w:rStyle w:val="Hyperlink"/>
              </w:rPr>
              <w:t>Further results from steady state analysis</w:t>
            </w:r>
            <w:r w:rsidR="00F07767">
              <w:rPr>
                <w:webHidden/>
              </w:rPr>
              <w:tab/>
            </w:r>
            <w:r w:rsidR="00F07767">
              <w:rPr>
                <w:webHidden/>
              </w:rPr>
              <w:fldChar w:fldCharType="begin"/>
            </w:r>
            <w:r w:rsidR="00F07767">
              <w:rPr>
                <w:webHidden/>
              </w:rPr>
              <w:instrText xml:space="preserve"> PAGEREF _Toc88686169 \h </w:instrText>
            </w:r>
            <w:r w:rsidR="00F07767">
              <w:rPr>
                <w:webHidden/>
              </w:rPr>
            </w:r>
            <w:r w:rsidR="00F07767">
              <w:rPr>
                <w:webHidden/>
              </w:rPr>
              <w:fldChar w:fldCharType="separate"/>
            </w:r>
            <w:r w:rsidR="00E6217F">
              <w:rPr>
                <w:webHidden/>
              </w:rPr>
              <w:t>98</w:t>
            </w:r>
            <w:r w:rsidR="00F07767">
              <w:rPr>
                <w:webHidden/>
              </w:rPr>
              <w:fldChar w:fldCharType="end"/>
            </w:r>
          </w:hyperlink>
        </w:p>
        <w:p w14:paraId="3D013FBF" w14:textId="3E52BDCF" w:rsidR="000F57B5" w:rsidRDefault="000F57B5" w:rsidP="000F57B5">
          <w:r>
            <w:rPr>
              <w:noProof/>
              <w:color w:val="006EC8" w:themeColor="accent1"/>
            </w:rPr>
            <w:fldChar w:fldCharType="end"/>
          </w:r>
        </w:p>
      </w:sdtContent>
    </w:sdt>
    <w:p w14:paraId="672FCA57" w14:textId="77777777" w:rsidR="00BA0FC3" w:rsidRDefault="00BA0FC3" w:rsidP="00810E89"/>
    <w:p w14:paraId="2F724CCA" w14:textId="77777777" w:rsidR="00BA0FC3" w:rsidRDefault="00BA0FC3" w:rsidP="00810E89"/>
    <w:p w14:paraId="4EF8AB69" w14:textId="77777777" w:rsidR="00BA0FC3" w:rsidRDefault="00BA0FC3" w:rsidP="00810E89"/>
    <w:p w14:paraId="34D4C6AB" w14:textId="77777777" w:rsidR="00BA0FC3" w:rsidRPr="00810E89" w:rsidRDefault="00BA0FC3" w:rsidP="00810E89"/>
    <w:p w14:paraId="61D65AB2" w14:textId="77777777" w:rsidR="00C73BF7" w:rsidRPr="004B5CF7" w:rsidRDefault="00C73BF7" w:rsidP="00522ADA">
      <w:pPr>
        <w:sectPr w:rsidR="00C73BF7" w:rsidRPr="004B5CF7" w:rsidSect="00A520C9">
          <w:headerReference w:type="even" r:id="rId36"/>
          <w:headerReference w:type="default" r:id="rId37"/>
          <w:footerReference w:type="default" r:id="rId38"/>
          <w:headerReference w:type="first" r:id="rId39"/>
          <w:pgSz w:w="11906" w:h="16838" w:code="9"/>
          <w:pgMar w:top="1418" w:right="1247" w:bottom="1418" w:left="1247" w:header="709" w:footer="454" w:gutter="0"/>
          <w:pgNumType w:fmt="lowerRoman" w:start="1"/>
          <w:cols w:space="708"/>
          <w:docGrid w:linePitch="360"/>
        </w:sectPr>
      </w:pPr>
    </w:p>
    <w:tbl>
      <w:tblPr>
        <w:tblStyle w:val="TFBlank"/>
        <w:tblW w:w="0" w:type="auto"/>
        <w:tblLayout w:type="fixed"/>
        <w:tblCellMar>
          <w:left w:w="0" w:type="dxa"/>
          <w:right w:w="0" w:type="dxa"/>
        </w:tblCellMar>
        <w:tblLook w:val="04A0" w:firstRow="1" w:lastRow="0" w:firstColumn="1" w:lastColumn="0" w:noHBand="0" w:noVBand="1"/>
      </w:tblPr>
      <w:tblGrid>
        <w:gridCol w:w="9412"/>
      </w:tblGrid>
      <w:tr w:rsidR="007905C0" w14:paraId="11C79461" w14:textId="77777777" w:rsidTr="001A4807">
        <w:trPr>
          <w:trHeight w:val="12043"/>
        </w:trPr>
        <w:tc>
          <w:tcPr>
            <w:tcW w:w="9412" w:type="dxa"/>
            <w:vAlign w:val="bottom"/>
          </w:tcPr>
          <w:p w14:paraId="776250ED" w14:textId="46961617" w:rsidR="007905C0" w:rsidRPr="001A4807" w:rsidRDefault="007905C0" w:rsidP="001A4807">
            <w:pPr>
              <w:pStyle w:val="Sectionnumber"/>
            </w:pPr>
          </w:p>
        </w:tc>
      </w:tr>
      <w:tr w:rsidR="007905C0" w14:paraId="38BE4039" w14:textId="77777777" w:rsidTr="001A4807">
        <w:tc>
          <w:tcPr>
            <w:tcW w:w="9412" w:type="dxa"/>
          </w:tcPr>
          <w:p w14:paraId="3093FF84" w14:textId="2F161949" w:rsidR="007905C0" w:rsidRDefault="00A520C9" w:rsidP="001A4807">
            <w:pPr>
              <w:pStyle w:val="Sectiontitle"/>
            </w:pPr>
            <w:bookmarkStart w:id="17" w:name="_Toc87700449"/>
            <w:bookmarkStart w:id="18" w:name="_Toc88686101"/>
            <w:r>
              <w:t>Introduction</w:t>
            </w:r>
            <w:bookmarkEnd w:id="17"/>
            <w:bookmarkEnd w:id="18"/>
          </w:p>
        </w:tc>
      </w:tr>
    </w:tbl>
    <w:p w14:paraId="75B2994E" w14:textId="77777777" w:rsidR="00D83B84" w:rsidRPr="004B5CF7" w:rsidRDefault="002670EE" w:rsidP="00D83B84">
      <w:r>
        <w:rPr>
          <w:noProof/>
        </w:rPr>
        <w:drawing>
          <wp:anchor distT="0" distB="0" distL="114300" distR="114300" simplePos="0" relativeHeight="251659264" behindDoc="1" locked="0" layoutInCell="1" allowOverlap="1" wp14:anchorId="62E6D517" wp14:editId="3C91ADE3">
            <wp:simplePos x="0" y="0"/>
            <wp:positionH relativeFrom="page">
              <wp:align>left</wp:align>
            </wp:positionH>
            <wp:positionV relativeFrom="page">
              <wp:align>top</wp:align>
            </wp:positionV>
            <wp:extent cx="7560000" cy="10689432"/>
            <wp:effectExtent l="0" t="0" r="3175" b="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a:ext>
                      </a:extLst>
                    </a:blip>
                    <a:stretch>
                      <a:fillRect/>
                    </a:stretch>
                  </pic:blipFill>
                  <pic:spPr>
                    <a:xfrm>
                      <a:off x="0" y="0"/>
                      <a:ext cx="7560000" cy="10689432"/>
                    </a:xfrm>
                    <a:prstGeom prst="rect">
                      <a:avLst/>
                    </a:prstGeom>
                  </pic:spPr>
                </pic:pic>
              </a:graphicData>
            </a:graphic>
            <wp14:sizeRelH relativeFrom="page">
              <wp14:pctWidth>0</wp14:pctWidth>
            </wp14:sizeRelH>
            <wp14:sizeRelV relativeFrom="page">
              <wp14:pctHeight>0</wp14:pctHeight>
            </wp14:sizeRelV>
          </wp:anchor>
        </w:drawing>
      </w:r>
    </w:p>
    <w:p w14:paraId="5FB033EE" w14:textId="77777777" w:rsidR="00DC0855" w:rsidRPr="004B5CF7" w:rsidRDefault="00DC0855" w:rsidP="00522ADA">
      <w:pPr>
        <w:sectPr w:rsidR="00DC0855" w:rsidRPr="004B5CF7" w:rsidSect="00436B04">
          <w:headerReference w:type="even" r:id="rId41"/>
          <w:headerReference w:type="default" r:id="rId42"/>
          <w:footerReference w:type="default" r:id="rId43"/>
          <w:headerReference w:type="first" r:id="rId44"/>
          <w:pgSz w:w="11906" w:h="16838" w:code="9"/>
          <w:pgMar w:top="1418" w:right="1247" w:bottom="1418" w:left="1247" w:header="709" w:footer="454" w:gutter="0"/>
          <w:cols w:space="708"/>
          <w:docGrid w:linePitch="360"/>
        </w:sectPr>
      </w:pPr>
    </w:p>
    <w:p w14:paraId="31EA77BE" w14:textId="77777777" w:rsidR="00A520C9" w:rsidRPr="00D167F3" w:rsidRDefault="00A520C9" w:rsidP="00A520C9">
      <w:pPr>
        <w:pStyle w:val="Heading1"/>
        <w:rPr>
          <w:noProof/>
        </w:rPr>
      </w:pPr>
      <w:bookmarkStart w:id="19" w:name="_Toc83828707"/>
      <w:bookmarkStart w:id="20" w:name="_Toc83828737"/>
      <w:bookmarkStart w:id="21" w:name="_Toc83997752"/>
      <w:bookmarkStart w:id="22" w:name="_Toc87700450"/>
      <w:bookmarkStart w:id="23" w:name="_Toc88686102"/>
      <w:bookmarkStart w:id="24" w:name="_Toc30524230"/>
      <w:bookmarkStart w:id="25" w:name="_Toc34292880"/>
      <w:r w:rsidRPr="00D167F3">
        <w:rPr>
          <w:noProof/>
        </w:rPr>
        <w:t>Introduction</w:t>
      </w:r>
      <w:bookmarkEnd w:id="19"/>
      <w:bookmarkEnd w:id="20"/>
      <w:bookmarkEnd w:id="21"/>
      <w:bookmarkEnd w:id="22"/>
      <w:bookmarkEnd w:id="23"/>
    </w:p>
    <w:p w14:paraId="0B008B65" w14:textId="77777777" w:rsidR="00A520C9" w:rsidRDefault="00A520C9" w:rsidP="00A520C9">
      <w:pPr>
        <w:pStyle w:val="Heading2"/>
      </w:pPr>
      <w:bookmarkStart w:id="26" w:name="_Toc83828708"/>
      <w:bookmarkStart w:id="27" w:name="_Toc83828738"/>
      <w:bookmarkStart w:id="28" w:name="_Toc83997753"/>
      <w:bookmarkStart w:id="29" w:name="_Toc87700451"/>
      <w:bookmarkStart w:id="30" w:name="_Toc88686103"/>
      <w:r>
        <w:t>Background</w:t>
      </w:r>
      <w:bookmarkEnd w:id="26"/>
      <w:bookmarkEnd w:id="27"/>
      <w:bookmarkEnd w:id="28"/>
      <w:bookmarkEnd w:id="29"/>
      <w:bookmarkEnd w:id="30"/>
    </w:p>
    <w:p w14:paraId="2EF04D3A" w14:textId="606C6BA4" w:rsidR="00A520C9" w:rsidRDefault="00A520C9" w:rsidP="00A520C9">
      <w:r>
        <w:t xml:space="preserve">The National Disability Insurance Scheme (NDIS) is a landmark reform that has provided support to nearly half a million Australians with a disability. Increasing </w:t>
      </w:r>
      <w:r w:rsidR="007A5D84">
        <w:t>Scheme</w:t>
      </w:r>
      <w:r>
        <w:t xml:space="preserve"> costs are natural as the </w:t>
      </w:r>
      <w:r w:rsidR="007A5D84">
        <w:t>Scheme</w:t>
      </w:r>
      <w:r>
        <w:t xml:space="preserve"> continues to approach maturity. However, recent years have had faster-than-expected escalation in costs. These trends have in turn been recognised by the Scheme Actuary. The 20</w:t>
      </w:r>
      <w:r w:rsidR="00951232">
        <w:t>20-</w:t>
      </w:r>
      <w:r>
        <w:t xml:space="preserve">21 Annual Financial Sustainability </w:t>
      </w:r>
      <w:r w:rsidR="00FD29A3">
        <w:t xml:space="preserve">Report </w:t>
      </w:r>
      <w:r>
        <w:t>(AFSR) includes estimates significantly higher than those published previously, and higher again than the 2017 Productivity Commission estimation of NDIS costs.</w:t>
      </w:r>
      <w:r w:rsidR="00951232">
        <w:t xml:space="preserve"> For instance, 2024-25 participant costs are forecast to be $41.3B. This is a 34% increase on the $30.8B estimate given in the 2018</w:t>
      </w:r>
      <w:r w:rsidR="00951232">
        <w:noBreakHyphen/>
        <w:t>19 AFSR.</w:t>
      </w:r>
    </w:p>
    <w:p w14:paraId="1D7FF3A9" w14:textId="3007F7C9" w:rsidR="0032676D" w:rsidRDefault="0032676D" w:rsidP="00A520C9">
      <w:r>
        <w:t>This estimate is also higher than other recent estimates such as the Commonwealth 2020-21 Budget ($3</w:t>
      </w:r>
      <w:r w:rsidR="00DB7B7E">
        <w:t>1</w:t>
      </w:r>
      <w:r>
        <w:t>.</w:t>
      </w:r>
      <w:r w:rsidR="00DB7B7E">
        <w:t>9</w:t>
      </w:r>
      <w:r>
        <w:t xml:space="preserve">B by </w:t>
      </w:r>
      <w:r w:rsidR="00DB7B7E">
        <w:t xml:space="preserve">in participant costs by </w:t>
      </w:r>
      <w:r>
        <w:t>2024-25</w:t>
      </w:r>
      <w:r>
        <w:rPr>
          <w:rStyle w:val="FootnoteReference"/>
        </w:rPr>
        <w:footnoteReference w:id="3"/>
      </w:r>
      <w:r w:rsidR="00DB7B7E">
        <w:t>)</w:t>
      </w:r>
      <w:r w:rsidR="009E23C1">
        <w:t xml:space="preserve"> and the Intergenerational Report (1.3% of GDP, perhaps around $31B).</w:t>
      </w:r>
    </w:p>
    <w:p w14:paraId="53CF7200" w14:textId="7ECD6F00" w:rsidR="00A520C9" w:rsidRDefault="00A520C9" w:rsidP="00A520C9">
      <w:r>
        <w:t>The</w:t>
      </w:r>
      <w:r w:rsidR="00F40E7A">
        <w:t xml:space="preserve"> review group</w:t>
      </w:r>
      <w:r>
        <w:t>, chaired by Victorian officials of the Department of Families, Fairness and Housing (DFFH) and comprising officials representing the Commonwealth, the NDIA and all states and territories, has commissioned Taylor Fry (‘us’) to:</w:t>
      </w:r>
    </w:p>
    <w:p w14:paraId="58555239" w14:textId="59000D85" w:rsidR="00A520C9" w:rsidRDefault="00A520C9" w:rsidP="00A520C9">
      <w:pPr>
        <w:pStyle w:val="Bullet1"/>
      </w:pPr>
      <w:r>
        <w:t>Assess the projections presented in the 20</w:t>
      </w:r>
      <w:r w:rsidR="00D320CF">
        <w:t>20-2</w:t>
      </w:r>
      <w:r>
        <w:t>1 AFSR</w:t>
      </w:r>
    </w:p>
    <w:p w14:paraId="5C4047F2" w14:textId="27DB32ED" w:rsidR="00A520C9" w:rsidRDefault="00A520C9" w:rsidP="00A520C9">
      <w:pPr>
        <w:pStyle w:val="Bullet1"/>
      </w:pPr>
      <w:r>
        <w:t>Explore why NDIS costs are greater than previous estimates, including the Productivity Commission’s 2017 report into NDIS Costs.</w:t>
      </w:r>
    </w:p>
    <w:p w14:paraId="2914F6B1" w14:textId="77777777" w:rsidR="00A520C9" w:rsidRPr="005F58F0" w:rsidRDefault="00A520C9" w:rsidP="00A520C9">
      <w:pPr>
        <w:pStyle w:val="Heading2"/>
      </w:pPr>
      <w:bookmarkStart w:id="31" w:name="_Toc83828709"/>
      <w:bookmarkStart w:id="32" w:name="_Toc83828739"/>
      <w:bookmarkStart w:id="33" w:name="_Toc83997754"/>
      <w:bookmarkStart w:id="34" w:name="_Toc87700452"/>
      <w:bookmarkStart w:id="35" w:name="_Toc88686104"/>
      <w:r w:rsidRPr="005F58F0">
        <w:t>Timeframe for the review</w:t>
      </w:r>
      <w:bookmarkEnd w:id="31"/>
      <w:bookmarkEnd w:id="32"/>
      <w:bookmarkEnd w:id="33"/>
      <w:bookmarkEnd w:id="34"/>
      <w:bookmarkEnd w:id="35"/>
    </w:p>
    <w:p w14:paraId="2448ADBC" w14:textId="77777777" w:rsidR="00A520C9" w:rsidRDefault="00A520C9" w:rsidP="00A520C9">
      <w:r>
        <w:t>The engagement for this review commenced on 14 September 2021 with a final report to be provided by the end of November 2021. The timetable to conduct the review is:</w:t>
      </w:r>
    </w:p>
    <w:p w14:paraId="133DB913" w14:textId="77777777" w:rsidR="00A520C9" w:rsidRDefault="00A520C9" w:rsidP="00A520C9">
      <w:pPr>
        <w:pStyle w:val="Bullet1"/>
      </w:pPr>
      <w:r w:rsidRPr="00816208">
        <w:rPr>
          <w:b/>
          <w:bCs/>
        </w:rPr>
        <w:t>1</w:t>
      </w:r>
      <w:r>
        <w:rPr>
          <w:b/>
          <w:bCs/>
        </w:rPr>
        <w:t>4</w:t>
      </w:r>
      <w:r w:rsidRPr="00816208">
        <w:rPr>
          <w:b/>
          <w:bCs/>
        </w:rPr>
        <w:t xml:space="preserve"> September 2021 to 1 October 2021</w:t>
      </w:r>
      <w:r>
        <w:t xml:space="preserve">:  Initial review and interim report </w:t>
      </w:r>
    </w:p>
    <w:p w14:paraId="41F1D516" w14:textId="5F7E55E8" w:rsidR="00A520C9" w:rsidRDefault="00A520C9" w:rsidP="00A520C9">
      <w:pPr>
        <w:pStyle w:val="Bullet1"/>
      </w:pPr>
      <w:r>
        <w:rPr>
          <w:b/>
          <w:bCs/>
        </w:rPr>
        <w:t xml:space="preserve">2 </w:t>
      </w:r>
      <w:r w:rsidRPr="00816208">
        <w:rPr>
          <w:b/>
          <w:bCs/>
        </w:rPr>
        <w:t>October</w:t>
      </w:r>
      <w:r>
        <w:rPr>
          <w:b/>
          <w:bCs/>
        </w:rPr>
        <w:t xml:space="preserve"> to </w:t>
      </w:r>
      <w:r w:rsidR="005F58F0">
        <w:rPr>
          <w:b/>
          <w:bCs/>
        </w:rPr>
        <w:t xml:space="preserve">25 </w:t>
      </w:r>
      <w:r>
        <w:rPr>
          <w:b/>
          <w:bCs/>
        </w:rPr>
        <w:t>November</w:t>
      </w:r>
      <w:r>
        <w:t>: Further analysis and final report.</w:t>
      </w:r>
    </w:p>
    <w:p w14:paraId="058DB3FA" w14:textId="77777777" w:rsidR="005F58F0" w:rsidRDefault="005F58F0" w:rsidP="00376E9C">
      <w:pPr>
        <w:pStyle w:val="NNheading3alt2"/>
      </w:pPr>
      <w:r>
        <w:t>Interim report</w:t>
      </w:r>
    </w:p>
    <w:p w14:paraId="283E3352" w14:textId="171B9084" w:rsidR="005F58F0" w:rsidRDefault="005F58F0" w:rsidP="005F58F0">
      <w:r>
        <w:t xml:space="preserve">Owing to the limited timeframe, the interim report, </w:t>
      </w:r>
      <w:r w:rsidR="00B803EB">
        <w:t>dated</w:t>
      </w:r>
      <w:r>
        <w:t xml:space="preserve"> </w:t>
      </w:r>
      <w:r w:rsidR="00B803EB">
        <w:t>8</w:t>
      </w:r>
      <w:r w:rsidRPr="00F94544">
        <w:rPr>
          <w:rFonts w:ascii="Cambria" w:hAnsi="Cambria" w:cs="Cambria"/>
        </w:rPr>
        <w:t> </w:t>
      </w:r>
      <w:r w:rsidRPr="00F94544">
        <w:t xml:space="preserve">October </w:t>
      </w:r>
      <w:r w:rsidRPr="00B803EB">
        <w:t>2021,</w:t>
      </w:r>
      <w:r>
        <w:rPr>
          <w:rFonts w:ascii="Cambria" w:hAnsi="Cambria"/>
        </w:rPr>
        <w:t xml:space="preserve"> </w:t>
      </w:r>
      <w:r>
        <w:t xml:space="preserve">focused only on high-level issues and had preliminary conclusions. </w:t>
      </w:r>
    </w:p>
    <w:p w14:paraId="75439EC9" w14:textId="57468915" w:rsidR="005F58F0" w:rsidRDefault="005F58F0" w:rsidP="00376E9C">
      <w:pPr>
        <w:pStyle w:val="NNheading3alt2"/>
      </w:pPr>
      <w:r>
        <w:t>Final report</w:t>
      </w:r>
    </w:p>
    <w:p w14:paraId="3E2F8898" w14:textId="77777777" w:rsidR="005F58F0" w:rsidRDefault="005F58F0" w:rsidP="005F58F0">
      <w:r>
        <w:t>Since the interim report, we have conducted:</w:t>
      </w:r>
    </w:p>
    <w:p w14:paraId="4098078F" w14:textId="77777777" w:rsidR="005F58F0" w:rsidRDefault="005F58F0" w:rsidP="005F58F0">
      <w:pPr>
        <w:pStyle w:val="Bullet1"/>
      </w:pPr>
      <w:r>
        <w:t>F</w:t>
      </w:r>
      <w:r w:rsidRPr="00AB6084">
        <w:t xml:space="preserve">urther analysis </w:t>
      </w:r>
      <w:r>
        <w:t xml:space="preserve">on </w:t>
      </w:r>
      <w:r w:rsidRPr="00AB6084">
        <w:t>the overall reasonableness of the projections</w:t>
      </w:r>
      <w:r>
        <w:t xml:space="preserve"> </w:t>
      </w:r>
    </w:p>
    <w:p w14:paraId="2366D8B6" w14:textId="77777777" w:rsidR="005F58F0" w:rsidRPr="00273DD9" w:rsidRDefault="005F58F0" w:rsidP="005F58F0">
      <w:pPr>
        <w:pStyle w:val="Bullet1"/>
      </w:pPr>
      <w:r w:rsidRPr="00273DD9">
        <w:t>Further analysis on drivers and the potential for alternative assumptions</w:t>
      </w:r>
    </w:p>
    <w:p w14:paraId="3B9476D7" w14:textId="77777777" w:rsidR="005F58F0" w:rsidRPr="00273DD9" w:rsidRDefault="005F58F0" w:rsidP="005F58F0">
      <w:pPr>
        <w:pStyle w:val="Bullet1"/>
      </w:pPr>
      <w:r w:rsidRPr="00273DD9">
        <w:t>Investigations into key assumptions</w:t>
      </w:r>
    </w:p>
    <w:p w14:paraId="499FDCD6" w14:textId="77777777" w:rsidR="005F58F0" w:rsidRDefault="005F58F0" w:rsidP="005F58F0">
      <w:pPr>
        <w:pStyle w:val="Bullet1"/>
      </w:pPr>
      <w:r w:rsidRPr="00273DD9">
        <w:t>Discussions on our results with the Scheme Actuary and the technical advisory group.</w:t>
      </w:r>
    </w:p>
    <w:p w14:paraId="14E7E991" w14:textId="77777777" w:rsidR="005F58F0" w:rsidRPr="00273DD9" w:rsidRDefault="005F58F0" w:rsidP="005F58F0">
      <w:r>
        <w:t>This final report is now based on the complete set of analyses.</w:t>
      </w:r>
    </w:p>
    <w:p w14:paraId="5853F69B" w14:textId="77777777" w:rsidR="00A520C9" w:rsidRPr="005F58F0" w:rsidRDefault="00A520C9" w:rsidP="00A520C9">
      <w:pPr>
        <w:pStyle w:val="Heading2"/>
      </w:pPr>
      <w:bookmarkStart w:id="36" w:name="_Toc83828710"/>
      <w:bookmarkStart w:id="37" w:name="_Toc83828740"/>
      <w:bookmarkStart w:id="38" w:name="_Toc83997755"/>
      <w:bookmarkStart w:id="39" w:name="_Toc87700453"/>
      <w:bookmarkStart w:id="40" w:name="_Toc88686105"/>
      <w:r w:rsidRPr="005F58F0">
        <w:t>Status of this report</w:t>
      </w:r>
      <w:bookmarkEnd w:id="36"/>
      <w:bookmarkEnd w:id="37"/>
      <w:bookmarkEnd w:id="38"/>
      <w:bookmarkEnd w:id="39"/>
      <w:bookmarkEnd w:id="40"/>
    </w:p>
    <w:p w14:paraId="335F4597" w14:textId="58EDC58E" w:rsidR="00A520C9" w:rsidRPr="00724157" w:rsidRDefault="005F58F0" w:rsidP="00A520C9">
      <w:r>
        <w:t xml:space="preserve">This report is </w:t>
      </w:r>
      <w:r w:rsidR="000414EF">
        <w:t xml:space="preserve">the final version </w:t>
      </w:r>
      <w:r w:rsidR="001C177D">
        <w:t>the full report</w:t>
      </w:r>
      <w:r w:rsidR="000414EF">
        <w:t xml:space="preserve"> and</w:t>
      </w:r>
      <w:r>
        <w:t xml:space="preserve"> replaces </w:t>
      </w:r>
      <w:r w:rsidR="000414EF">
        <w:t xml:space="preserve">all previous </w:t>
      </w:r>
      <w:r w:rsidR="00FD29A3">
        <w:t>draft</w:t>
      </w:r>
      <w:r w:rsidR="000414EF">
        <w:t>s</w:t>
      </w:r>
      <w:r>
        <w:t xml:space="preserve">. </w:t>
      </w:r>
    </w:p>
    <w:p w14:paraId="68FD760A" w14:textId="77777777" w:rsidR="00A520C9" w:rsidRPr="005F58F0" w:rsidRDefault="00A520C9" w:rsidP="00A520C9">
      <w:pPr>
        <w:pStyle w:val="Heading2"/>
      </w:pPr>
      <w:bookmarkStart w:id="41" w:name="_Toc83828711"/>
      <w:bookmarkStart w:id="42" w:name="_Toc83828741"/>
      <w:bookmarkStart w:id="43" w:name="_Toc83997756"/>
      <w:bookmarkStart w:id="44" w:name="_Toc87700454"/>
      <w:bookmarkStart w:id="45" w:name="_Toc88686106"/>
      <w:r w:rsidRPr="005F58F0">
        <w:t>Structure of this report</w:t>
      </w:r>
      <w:bookmarkEnd w:id="41"/>
      <w:bookmarkEnd w:id="42"/>
      <w:bookmarkEnd w:id="43"/>
      <w:bookmarkEnd w:id="44"/>
      <w:bookmarkEnd w:id="45"/>
    </w:p>
    <w:p w14:paraId="5EA642B6" w14:textId="5F7AF09A" w:rsidR="00A520C9" w:rsidRDefault="00A520C9" w:rsidP="00A520C9">
      <w:r>
        <w:t>We have based our analysis on the 202</w:t>
      </w:r>
      <w:r w:rsidR="00243F4C">
        <w:t>0-2</w:t>
      </w:r>
      <w:r>
        <w:t xml:space="preserve">1 AFSR and payment data to June 2021. This report contains two main sections, with Part A being a review of the Scheme Actuary’s projection model and Part B analysing the key drivers of </w:t>
      </w:r>
      <w:r w:rsidR="007A5D84">
        <w:t>Scheme</w:t>
      </w:r>
      <w:r>
        <w:t xml:space="preserve"> cost increases, both historically and into the future. Part B also contains some scenarios that quantify how sensitive the projected payments are to changes in key assumptions.</w:t>
      </w:r>
    </w:p>
    <w:p w14:paraId="6358ED4A" w14:textId="3F2072F5" w:rsidR="001C177D" w:rsidRDefault="001C177D" w:rsidP="00A520C9">
      <w:r w:rsidRPr="005F58F0">
        <w:t>The 202</w:t>
      </w:r>
      <w:r>
        <w:t>0-2</w:t>
      </w:r>
      <w:r w:rsidRPr="005F58F0">
        <w:t>1 AFSR has been publicly released</w:t>
      </w:r>
      <w:r>
        <w:t xml:space="preserve"> and contains a significant amount of detail around approach, analysis and results. We have not attempted to reproduce all relevant material from that report, so interested readers may choose to read our report jointly with the 2020-21 AFSR. </w:t>
      </w:r>
    </w:p>
    <w:p w14:paraId="2B5A1B3B" w14:textId="77777777" w:rsidR="00A520C9" w:rsidRPr="00404142" w:rsidRDefault="00A520C9" w:rsidP="00A520C9">
      <w:pPr>
        <w:pStyle w:val="Heading2"/>
      </w:pPr>
      <w:bookmarkStart w:id="46" w:name="_Toc83828713"/>
      <w:bookmarkStart w:id="47" w:name="_Toc83828743"/>
      <w:bookmarkStart w:id="48" w:name="_Toc83997757"/>
      <w:bookmarkStart w:id="49" w:name="_Toc87700455"/>
      <w:bookmarkStart w:id="50" w:name="_Toc88686107"/>
      <w:r w:rsidRPr="00404142">
        <w:t>The challenge of projecting the cost of the NDIS</w:t>
      </w:r>
      <w:bookmarkEnd w:id="46"/>
      <w:bookmarkEnd w:id="47"/>
      <w:bookmarkEnd w:id="48"/>
      <w:bookmarkEnd w:id="49"/>
      <w:bookmarkEnd w:id="50"/>
    </w:p>
    <w:p w14:paraId="3AD37B7A" w14:textId="77777777" w:rsidR="00A520C9" w:rsidRDefault="00A520C9" w:rsidP="00A520C9">
      <w:r>
        <w:t>It is important to recognise that the NDIS was launched with significant uncertainties attached to long-term costs.</w:t>
      </w:r>
    </w:p>
    <w:p w14:paraId="5E34D760" w14:textId="77777777" w:rsidR="00A520C9" w:rsidRDefault="00A520C9" w:rsidP="00A520C9">
      <w:pPr>
        <w:pStyle w:val="Bullet1"/>
      </w:pPr>
      <w:r>
        <w:t>While the number of people supported by state and territory disability schemes was known, the NDIS is broader in eligibility. Good statistics did not exist (and indeed, still do not exist) around what the maximum eligible population is as a fraction of the Australian population. Threshold questions are also difficult to assess, with many disabilities existing on a spectrum.</w:t>
      </w:r>
    </w:p>
    <w:p w14:paraId="2C3778D5" w14:textId="77777777" w:rsidR="00A520C9" w:rsidRDefault="00A520C9" w:rsidP="00A520C9">
      <w:pPr>
        <w:pStyle w:val="Bullet1"/>
      </w:pPr>
      <w:r>
        <w:t>The concept of individualised supports that are ‘reasonable and necessary’ represents a departure from previous funding models, which were often capped. There were significant uncertainties around how this approach would translate into average package sizes.</w:t>
      </w:r>
    </w:p>
    <w:p w14:paraId="67235FFD" w14:textId="77777777" w:rsidR="00A520C9" w:rsidRDefault="00A520C9" w:rsidP="00A520C9">
      <w:r>
        <w:t xml:space="preserve">This means that it is not surprising that experience differs from initial expectations. </w:t>
      </w:r>
    </w:p>
    <w:p w14:paraId="53265A3B" w14:textId="41DAC241" w:rsidR="00A520C9" w:rsidRDefault="00A520C9" w:rsidP="00A520C9">
      <w:r>
        <w:t xml:space="preserve">One important related effect is that of anchoring. In the early years of the </w:t>
      </w:r>
      <w:r w:rsidR="007A5D84">
        <w:t>Scheme</w:t>
      </w:r>
      <w:r>
        <w:t xml:space="preserve"> there was still limited evidence on ultimate trends in participant numbers and average participant costs. In the face of limited evidence of change, model assumptions are often set to be consistent with previous estimates. So, it is equally unsurprising that it takes time to recognise cost pressures and reflect these in financial projections.</w:t>
      </w:r>
    </w:p>
    <w:p w14:paraId="016063CD" w14:textId="56E91BBF" w:rsidR="00A520C9" w:rsidRDefault="00A520C9" w:rsidP="00A520C9">
      <w:r>
        <w:t xml:space="preserve">These issues are combined with the natural uncertainty of a </w:t>
      </w:r>
      <w:r w:rsidR="007A5D84">
        <w:t>Scheme</w:t>
      </w:r>
      <w:r>
        <w:t xml:space="preserve"> that is still maturing. </w:t>
      </w:r>
      <w:r>
        <w:fldChar w:fldCharType="begin"/>
      </w:r>
      <w:r>
        <w:instrText xml:space="preserve"> REF _Ref83971651 \h </w:instrText>
      </w:r>
      <w:r>
        <w:fldChar w:fldCharType="separate"/>
      </w:r>
      <w:r w:rsidR="00E6217F">
        <w:t xml:space="preserve">Table </w:t>
      </w:r>
      <w:r w:rsidR="00E6217F">
        <w:rPr>
          <w:noProof/>
        </w:rPr>
        <w:t>1</w:t>
      </w:r>
      <w:r w:rsidR="00E6217F">
        <w:t>.</w:t>
      </w:r>
      <w:r w:rsidR="00E6217F">
        <w:rPr>
          <w:noProof/>
        </w:rPr>
        <w:t>1</w:t>
      </w:r>
      <w:r>
        <w:fldChar w:fldCharType="end"/>
      </w:r>
      <w:r>
        <w:t xml:space="preserve"> summarises the rapid growth in </w:t>
      </w:r>
      <w:r w:rsidR="007A5D84">
        <w:t>Scheme</w:t>
      </w:r>
      <w:r>
        <w:t xml:space="preserve"> numbers and payments. There is judgement required in assessing how quickly such growth will stabilise.</w:t>
      </w:r>
    </w:p>
    <w:p w14:paraId="69E16532" w14:textId="6006AE77" w:rsidR="00A520C9" w:rsidRDefault="00A520C9" w:rsidP="00A520C9">
      <w:pPr>
        <w:pStyle w:val="Caption"/>
      </w:pPr>
      <w:bookmarkStart w:id="51" w:name="_Ref83971651"/>
      <w:r>
        <w:t xml:space="preserve">Table </w:t>
      </w:r>
      <w:r w:rsidR="007F6BE8">
        <w:fldChar w:fldCharType="begin"/>
      </w:r>
      <w:r w:rsidR="007F6BE8">
        <w:instrText xml:space="preserve"> STYLEREF 1 \s </w:instrText>
      </w:r>
      <w:r w:rsidR="007F6BE8">
        <w:fldChar w:fldCharType="separate"/>
      </w:r>
      <w:r w:rsidR="00E6217F">
        <w:rPr>
          <w:noProof/>
        </w:rPr>
        <w:t>1</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w:t>
      </w:r>
      <w:r w:rsidR="007F6BE8">
        <w:fldChar w:fldCharType="end"/>
      </w:r>
      <w:bookmarkEnd w:id="51"/>
      <w:r>
        <w:t xml:space="preserve"> – Summary of </w:t>
      </w:r>
      <w:r w:rsidR="007A5D84">
        <w:t>Scheme</w:t>
      </w:r>
      <w:r>
        <w:t xml:space="preserve"> growth</w:t>
      </w:r>
    </w:p>
    <w:tbl>
      <w:tblPr>
        <w:tblStyle w:val="TFBlue"/>
        <w:tblW w:w="8320" w:type="dxa"/>
        <w:tblLook w:val="04A0" w:firstRow="1" w:lastRow="0" w:firstColumn="1" w:lastColumn="0" w:noHBand="0" w:noVBand="1"/>
      </w:tblPr>
      <w:tblGrid>
        <w:gridCol w:w="3685"/>
        <w:gridCol w:w="1158"/>
        <w:gridCol w:w="1159"/>
        <w:gridCol w:w="1159"/>
        <w:gridCol w:w="1159"/>
      </w:tblGrid>
      <w:tr w:rsidR="00A520C9" w14:paraId="12095E12" w14:textId="77777777" w:rsidTr="00DA0930">
        <w:trPr>
          <w:cnfStyle w:val="100000000000" w:firstRow="1" w:lastRow="0" w:firstColumn="0" w:lastColumn="0" w:oddVBand="0" w:evenVBand="0" w:oddHBand="0" w:evenHBand="0" w:firstRowFirstColumn="0" w:firstRowLastColumn="0" w:lastRowFirstColumn="0" w:lastRowLastColumn="0"/>
          <w:trHeight w:val="441"/>
        </w:trPr>
        <w:tc>
          <w:tcPr>
            <w:tcW w:w="3685" w:type="dxa"/>
            <w:vAlign w:val="center"/>
          </w:tcPr>
          <w:p w14:paraId="06F41213" w14:textId="77777777" w:rsidR="00A520C9" w:rsidRDefault="00A520C9" w:rsidP="00DA0930">
            <w:r>
              <w:t>Item</w:t>
            </w:r>
          </w:p>
        </w:tc>
        <w:tc>
          <w:tcPr>
            <w:tcW w:w="1158" w:type="dxa"/>
          </w:tcPr>
          <w:p w14:paraId="5C6618D9" w14:textId="77777777" w:rsidR="00A520C9" w:rsidRDefault="00A520C9" w:rsidP="00122975">
            <w:pPr>
              <w:jc w:val="right"/>
            </w:pPr>
            <w:r>
              <w:t>2017-18 actual</w:t>
            </w:r>
          </w:p>
        </w:tc>
        <w:tc>
          <w:tcPr>
            <w:tcW w:w="1159" w:type="dxa"/>
          </w:tcPr>
          <w:p w14:paraId="53D434A4" w14:textId="77777777" w:rsidR="00A520C9" w:rsidRDefault="00A520C9" w:rsidP="00122975">
            <w:pPr>
              <w:jc w:val="right"/>
            </w:pPr>
            <w:r>
              <w:t>2018-19 actual</w:t>
            </w:r>
          </w:p>
        </w:tc>
        <w:tc>
          <w:tcPr>
            <w:tcW w:w="1159" w:type="dxa"/>
          </w:tcPr>
          <w:p w14:paraId="0EF4626E" w14:textId="77777777" w:rsidR="00A520C9" w:rsidRDefault="00A520C9" w:rsidP="00122975">
            <w:pPr>
              <w:jc w:val="right"/>
            </w:pPr>
            <w:r>
              <w:t>2019-20 actual</w:t>
            </w:r>
          </w:p>
        </w:tc>
        <w:tc>
          <w:tcPr>
            <w:tcW w:w="1159" w:type="dxa"/>
          </w:tcPr>
          <w:p w14:paraId="5070CA2F" w14:textId="77777777" w:rsidR="00A520C9" w:rsidRDefault="00A520C9" w:rsidP="00122975">
            <w:pPr>
              <w:jc w:val="right"/>
            </w:pPr>
            <w:r>
              <w:t>2020-21 actual</w:t>
            </w:r>
          </w:p>
        </w:tc>
      </w:tr>
      <w:tr w:rsidR="00A520C9" w14:paraId="463D6EB7" w14:textId="77777777" w:rsidTr="00DA0930">
        <w:trPr>
          <w:cnfStyle w:val="000000100000" w:firstRow="0" w:lastRow="0" w:firstColumn="0" w:lastColumn="0" w:oddVBand="0" w:evenVBand="0" w:oddHBand="1" w:evenHBand="0" w:firstRowFirstColumn="0" w:firstRowLastColumn="0" w:lastRowFirstColumn="0" w:lastRowLastColumn="0"/>
          <w:trHeight w:val="291"/>
        </w:trPr>
        <w:tc>
          <w:tcPr>
            <w:tcW w:w="3685" w:type="dxa"/>
          </w:tcPr>
          <w:p w14:paraId="0C6A88B9" w14:textId="2776039C" w:rsidR="00A520C9" w:rsidRDefault="00A520C9" w:rsidP="00DA0930">
            <w:pPr>
              <w:pStyle w:val="Tabletext"/>
            </w:pPr>
            <w:r>
              <w:t>Number of participants (end of year)</w:t>
            </w:r>
          </w:p>
        </w:tc>
        <w:tc>
          <w:tcPr>
            <w:tcW w:w="1158" w:type="dxa"/>
          </w:tcPr>
          <w:p w14:paraId="6E0BCCD0" w14:textId="77777777" w:rsidR="00A520C9" w:rsidRDefault="00A520C9" w:rsidP="00DA0930">
            <w:pPr>
              <w:pStyle w:val="Tablenumbers"/>
            </w:pPr>
            <w:r w:rsidRPr="00DE17A4">
              <w:t>172,333</w:t>
            </w:r>
          </w:p>
        </w:tc>
        <w:tc>
          <w:tcPr>
            <w:tcW w:w="1159" w:type="dxa"/>
          </w:tcPr>
          <w:p w14:paraId="55BD3CD3" w14:textId="77777777" w:rsidR="00A520C9" w:rsidRDefault="00A520C9" w:rsidP="00DA0930">
            <w:pPr>
              <w:pStyle w:val="Tablenumbers"/>
            </w:pPr>
            <w:r w:rsidRPr="00DE17A4">
              <w:t>286,015</w:t>
            </w:r>
          </w:p>
        </w:tc>
        <w:tc>
          <w:tcPr>
            <w:tcW w:w="1159" w:type="dxa"/>
          </w:tcPr>
          <w:p w14:paraId="57D34ED5" w14:textId="77777777" w:rsidR="00A520C9" w:rsidRDefault="00A520C9" w:rsidP="00DA0930">
            <w:pPr>
              <w:pStyle w:val="Tablenumbers"/>
            </w:pPr>
            <w:r w:rsidRPr="00DE17A4">
              <w:t>391,999</w:t>
            </w:r>
          </w:p>
        </w:tc>
        <w:tc>
          <w:tcPr>
            <w:tcW w:w="1159" w:type="dxa"/>
          </w:tcPr>
          <w:p w14:paraId="60841599" w14:textId="77777777" w:rsidR="00A520C9" w:rsidRDefault="00A520C9" w:rsidP="00DA0930">
            <w:pPr>
              <w:pStyle w:val="Tablenumbers"/>
            </w:pPr>
            <w:r w:rsidRPr="00DE17A4">
              <w:t>466,619</w:t>
            </w:r>
          </w:p>
        </w:tc>
      </w:tr>
      <w:tr w:rsidR="00A520C9" w14:paraId="1F9507C5" w14:textId="77777777" w:rsidTr="00DA0930">
        <w:trPr>
          <w:trHeight w:val="441"/>
        </w:trPr>
        <w:tc>
          <w:tcPr>
            <w:tcW w:w="3685" w:type="dxa"/>
          </w:tcPr>
          <w:p w14:paraId="3DCD3E0B" w14:textId="296051A9" w:rsidR="00A520C9" w:rsidRDefault="00A520C9" w:rsidP="00DA0930">
            <w:pPr>
              <w:pStyle w:val="Tabletext"/>
            </w:pPr>
            <w:r>
              <w:t>Average cost per participant</w:t>
            </w:r>
          </w:p>
        </w:tc>
        <w:tc>
          <w:tcPr>
            <w:tcW w:w="1158" w:type="dxa"/>
          </w:tcPr>
          <w:p w14:paraId="05D2047E" w14:textId="77777777" w:rsidR="00A520C9" w:rsidRDefault="00A520C9" w:rsidP="00DA0930">
            <w:pPr>
              <w:pStyle w:val="Tablenumbers"/>
            </w:pPr>
            <w:r>
              <w:t>$38,900</w:t>
            </w:r>
          </w:p>
        </w:tc>
        <w:tc>
          <w:tcPr>
            <w:tcW w:w="1159" w:type="dxa"/>
          </w:tcPr>
          <w:p w14:paraId="6502F6BD" w14:textId="77777777" w:rsidR="00A520C9" w:rsidRDefault="00A520C9" w:rsidP="00DA0930">
            <w:pPr>
              <w:pStyle w:val="Tablenumbers"/>
            </w:pPr>
            <w:r>
              <w:t>$42,400</w:t>
            </w:r>
          </w:p>
        </w:tc>
        <w:tc>
          <w:tcPr>
            <w:tcW w:w="1159" w:type="dxa"/>
          </w:tcPr>
          <w:p w14:paraId="3DC0ADDE" w14:textId="77777777" w:rsidR="00A520C9" w:rsidRDefault="00A520C9" w:rsidP="00DA0930">
            <w:pPr>
              <w:pStyle w:val="Tablenumbers"/>
            </w:pPr>
            <w:r>
              <w:t>$50,800</w:t>
            </w:r>
          </w:p>
        </w:tc>
        <w:tc>
          <w:tcPr>
            <w:tcW w:w="1159" w:type="dxa"/>
          </w:tcPr>
          <w:p w14:paraId="23DAE522" w14:textId="77777777" w:rsidR="00A520C9" w:rsidRDefault="00A520C9" w:rsidP="00DA0930">
            <w:pPr>
              <w:pStyle w:val="Tablenumbers"/>
            </w:pPr>
            <w:r>
              <w:t>$54,300</w:t>
            </w:r>
          </w:p>
        </w:tc>
      </w:tr>
      <w:tr w:rsidR="00A520C9" w14:paraId="4AC58F80" w14:textId="77777777" w:rsidTr="00DA0930">
        <w:trPr>
          <w:cnfStyle w:val="000000100000" w:firstRow="0" w:lastRow="0" w:firstColumn="0" w:lastColumn="0" w:oddVBand="0" w:evenVBand="0" w:oddHBand="1" w:evenHBand="0" w:firstRowFirstColumn="0" w:firstRowLastColumn="0" w:lastRowFirstColumn="0" w:lastRowLastColumn="0"/>
          <w:trHeight w:val="441"/>
        </w:trPr>
        <w:tc>
          <w:tcPr>
            <w:tcW w:w="3685" w:type="dxa"/>
          </w:tcPr>
          <w:p w14:paraId="3357CFCF" w14:textId="1B1709CC" w:rsidR="00A520C9" w:rsidRDefault="00A520C9" w:rsidP="00DA0930">
            <w:pPr>
              <w:pStyle w:val="Tabletext"/>
            </w:pPr>
            <w:r>
              <w:t xml:space="preserve">Total participant costs (accrual) </w:t>
            </w:r>
          </w:p>
        </w:tc>
        <w:tc>
          <w:tcPr>
            <w:tcW w:w="1158" w:type="dxa"/>
          </w:tcPr>
          <w:p w14:paraId="4ACBF75D" w14:textId="77777777" w:rsidR="00A520C9" w:rsidRDefault="00A520C9" w:rsidP="00DA0930">
            <w:pPr>
              <w:pStyle w:val="Tablenumbers"/>
            </w:pPr>
            <w:r>
              <w:t>$5.4B</w:t>
            </w:r>
          </w:p>
        </w:tc>
        <w:tc>
          <w:tcPr>
            <w:tcW w:w="1159" w:type="dxa"/>
          </w:tcPr>
          <w:p w14:paraId="0DDD8959" w14:textId="77777777" w:rsidR="00A520C9" w:rsidRDefault="00A520C9" w:rsidP="00DA0930">
            <w:pPr>
              <w:pStyle w:val="Tablenumbers"/>
            </w:pPr>
            <w:r>
              <w:t>$10.5B</w:t>
            </w:r>
          </w:p>
        </w:tc>
        <w:tc>
          <w:tcPr>
            <w:tcW w:w="1159" w:type="dxa"/>
          </w:tcPr>
          <w:p w14:paraId="06EAD7A7" w14:textId="77777777" w:rsidR="00A520C9" w:rsidRDefault="00A520C9" w:rsidP="00DA0930">
            <w:pPr>
              <w:pStyle w:val="Tablenumbers"/>
            </w:pPr>
            <w:r>
              <w:t>$17.6B</w:t>
            </w:r>
          </w:p>
        </w:tc>
        <w:tc>
          <w:tcPr>
            <w:tcW w:w="1159" w:type="dxa"/>
          </w:tcPr>
          <w:p w14:paraId="7A5FDD9B" w14:textId="77777777" w:rsidR="00A520C9" w:rsidRDefault="00A520C9" w:rsidP="00DA0930">
            <w:pPr>
              <w:pStyle w:val="Tablenumbers"/>
            </w:pPr>
            <w:r>
              <w:t>$23.2B</w:t>
            </w:r>
          </w:p>
        </w:tc>
      </w:tr>
    </w:tbl>
    <w:p w14:paraId="181EF5A6" w14:textId="743DD6FF" w:rsidR="00A520C9" w:rsidRPr="00815E9E" w:rsidRDefault="00404142" w:rsidP="00404142">
      <w:pPr>
        <w:pStyle w:val="Tablenotesnumbers"/>
        <w:numPr>
          <w:ilvl w:val="0"/>
          <w:numId w:val="0"/>
        </w:numPr>
        <w:ind w:left="357" w:hanging="357"/>
      </w:pPr>
      <w:r>
        <w:t xml:space="preserve">Source: </w:t>
      </w:r>
      <w:r w:rsidR="00A520C9">
        <w:t>NDIS June 2021 quarterly report</w:t>
      </w:r>
    </w:p>
    <w:p w14:paraId="21B8AF7F" w14:textId="77777777" w:rsidR="00A520C9" w:rsidRDefault="00A520C9" w:rsidP="00BC1B17">
      <w:pPr>
        <w:pStyle w:val="Heading2"/>
      </w:pPr>
      <w:bookmarkStart w:id="52" w:name="_Toc87700456"/>
      <w:bookmarkStart w:id="53" w:name="_Toc88686108"/>
      <w:r>
        <w:t>What does financial sustainability mean?</w:t>
      </w:r>
      <w:bookmarkEnd w:id="52"/>
      <w:bookmarkEnd w:id="53"/>
    </w:p>
    <w:p w14:paraId="45314CF7" w14:textId="13866E31" w:rsidR="00A520C9" w:rsidRDefault="00A520C9" w:rsidP="00BC1B17">
      <w:pPr>
        <w:keepNext/>
      </w:pPr>
      <w:r>
        <w:t>As</w:t>
      </w:r>
      <w:r w:rsidRPr="00FF0E5C">
        <w:t xml:space="preserve"> described in the NDIS</w:t>
      </w:r>
      <w:r w:rsidR="002B4625">
        <w:t>’</w:t>
      </w:r>
      <w:r w:rsidRPr="00FF0E5C">
        <w:t>s 2016 Insurance Principles and Financial Sustainability Manual</w:t>
      </w:r>
      <w:r>
        <w:rPr>
          <w:rStyle w:val="FootnoteReference"/>
        </w:rPr>
        <w:footnoteReference w:id="4"/>
      </w:r>
      <w:r>
        <w:t>, under s118(1b) of the NDIS Act, the NDIA is responsible “to manage, and to advise and report on, the financial sustainability of the National Disability Insurance Scheme including by:</w:t>
      </w:r>
    </w:p>
    <w:p w14:paraId="0F62718E" w14:textId="273E112A" w:rsidR="00A520C9" w:rsidRDefault="00A9433B" w:rsidP="00A9433B">
      <w:pPr>
        <w:keepNext/>
        <w:ind w:left="294" w:hanging="294"/>
      </w:pPr>
      <w:r>
        <w:t xml:space="preserve">(i)   </w:t>
      </w:r>
      <w:r w:rsidR="00A520C9">
        <w:t>regularly making and assessing estimates of the current and future expenditure of the National Disability Insurance Scheme; and</w:t>
      </w:r>
    </w:p>
    <w:p w14:paraId="4EAB158C" w14:textId="77777777" w:rsidR="00A520C9" w:rsidRDefault="00A520C9" w:rsidP="00BC1B17">
      <w:pPr>
        <w:keepNext/>
        <w:ind w:left="294" w:hanging="294"/>
      </w:pPr>
      <w:r>
        <w:t xml:space="preserve">(ii) identifying and managing risks and issues relevant to the financial sustainability of the National Disability Insurance Scheme; and </w:t>
      </w:r>
    </w:p>
    <w:p w14:paraId="14668835" w14:textId="2A0CA365" w:rsidR="00A520C9" w:rsidRDefault="00A520C9" w:rsidP="00A520C9">
      <w:pPr>
        <w:ind w:left="294" w:hanging="294"/>
      </w:pPr>
      <w:r>
        <w:t xml:space="preserve">(iii) considering actuarial advice, including advice from the </w:t>
      </w:r>
      <w:r w:rsidR="007A5D84">
        <w:t>S</w:t>
      </w:r>
      <w:r>
        <w:t xml:space="preserve">cheme </w:t>
      </w:r>
      <w:r w:rsidR="007A5D84">
        <w:t>A</w:t>
      </w:r>
      <w:r>
        <w:t>ctuary and the reviewing actuary;”</w:t>
      </w:r>
    </w:p>
    <w:p w14:paraId="3C8425C2" w14:textId="77777777" w:rsidR="00A520C9" w:rsidRDefault="00A520C9" w:rsidP="00A520C9">
      <w:r>
        <w:t>In addition, the remainder of s118(1) legislates a range of other functions for the NDIA regarding matters such as:</w:t>
      </w:r>
    </w:p>
    <w:p w14:paraId="34A94869" w14:textId="77777777" w:rsidR="00A520C9" w:rsidRDefault="00A520C9" w:rsidP="00A520C9">
      <w:pPr>
        <w:pStyle w:val="Bullet1"/>
      </w:pPr>
      <w:r>
        <w:t>independence, social and economic participation and choice and control for people with a disability</w:t>
      </w:r>
    </w:p>
    <w:p w14:paraId="5D4BC22E" w14:textId="77777777" w:rsidR="00A520C9" w:rsidRDefault="00A520C9" w:rsidP="00A520C9">
      <w:pPr>
        <w:pStyle w:val="Bullet1"/>
      </w:pPr>
      <w:r>
        <w:t>the provision of high quality and innovative supports</w:t>
      </w:r>
    </w:p>
    <w:p w14:paraId="3E6536FA" w14:textId="77777777" w:rsidR="00A520C9" w:rsidRDefault="00A520C9" w:rsidP="00A520C9">
      <w:pPr>
        <w:pStyle w:val="Bullet1"/>
      </w:pPr>
      <w:r>
        <w:t>the development and enhancement of the disability sector</w:t>
      </w:r>
    </w:p>
    <w:p w14:paraId="4BFAED9C" w14:textId="07403469" w:rsidR="00A520C9" w:rsidRDefault="00A520C9" w:rsidP="00A520C9">
      <w:pPr>
        <w:pStyle w:val="Bullet1"/>
      </w:pPr>
      <w:r>
        <w:t>the development of community awareness of disability and the social contributors t</w:t>
      </w:r>
      <w:r w:rsidR="00D53DA6">
        <w:t>o</w:t>
      </w:r>
      <w:r>
        <w:t xml:space="preserve"> disability</w:t>
      </w:r>
    </w:p>
    <w:p w14:paraId="747A5CE0" w14:textId="77777777" w:rsidR="00A520C9" w:rsidRDefault="00A520C9" w:rsidP="00A520C9">
      <w:pPr>
        <w:pStyle w:val="Bullet1"/>
      </w:pPr>
      <w:r>
        <w:t>undertaking research into disability, disability supports and social contributors to disability.</w:t>
      </w:r>
    </w:p>
    <w:p w14:paraId="1549EA19" w14:textId="07FD233F" w:rsidR="00A520C9" w:rsidRDefault="00A520C9" w:rsidP="00A520C9">
      <w:r>
        <w:t xml:space="preserve">Failure to successfully undertake these functions is likely to put pressure, including financial pressure, on the </w:t>
      </w:r>
      <w:r w:rsidR="007A5D84">
        <w:t>Scheme</w:t>
      </w:r>
      <w:r>
        <w:t>.</w:t>
      </w:r>
    </w:p>
    <w:p w14:paraId="4FA68A23" w14:textId="77777777" w:rsidR="00A520C9" w:rsidRDefault="00A520C9" w:rsidP="00A520C9">
      <w:r>
        <w:t>Therefore, at one level, the NDIS will have satisfied its functions and the NDIS will be sustainable (including financially sustainable) provided that both participants (people with disability) and financial contributors (Governments/taxpayers) continue to believe that it is worthwhile.</w:t>
      </w:r>
    </w:p>
    <w:p w14:paraId="430E3E60" w14:textId="77777777" w:rsidR="00A520C9" w:rsidRDefault="00A520C9" w:rsidP="00A520C9">
      <w:r>
        <w:t>The financial dimension to this is likely to involve:</w:t>
      </w:r>
    </w:p>
    <w:p w14:paraId="147BC4AA" w14:textId="77777777" w:rsidR="00A520C9" w:rsidRDefault="00A520C9" w:rsidP="00A520C9">
      <w:pPr>
        <w:pStyle w:val="Bullet1"/>
      </w:pPr>
      <w:r>
        <w:t>participants believe that they are getting enough money to buy enough high-quality goods and services to allow them reasonable access to life opportunities, and</w:t>
      </w:r>
    </w:p>
    <w:p w14:paraId="6B3474CA" w14:textId="77777777" w:rsidR="00A520C9" w:rsidRDefault="00A520C9" w:rsidP="00A520C9">
      <w:pPr>
        <w:pStyle w:val="Bullet1"/>
      </w:pPr>
      <w:r>
        <w:t>contributors think the cost is affordable, under control, represents value for money and therefore remain willing to contribute what is needed.</w:t>
      </w:r>
    </w:p>
    <w:p w14:paraId="56714AB7" w14:textId="77777777" w:rsidR="00A520C9" w:rsidRDefault="00A520C9" w:rsidP="00A520C9">
      <w:r>
        <w:t xml:space="preserve">Ultimately the NDIS is sustainable if the cost is willingly borne by governments and taxpayers. We do not attempt to make this judgement in our report. </w:t>
      </w:r>
    </w:p>
    <w:p w14:paraId="534C2685" w14:textId="0B69BACC" w:rsidR="00A520C9" w:rsidRDefault="00A520C9" w:rsidP="00A520C9">
      <w:r>
        <w:t xml:space="preserve">More pragmatically, unanticipated growth in </w:t>
      </w:r>
      <w:r w:rsidR="007A5D84">
        <w:t>Scheme</w:t>
      </w:r>
      <w:r>
        <w:t xml:space="preserve"> costs will create fiscal pressures that require funding. This means that growth needs to be understood so it can be managed. This includes exploring issues such as:</w:t>
      </w:r>
    </w:p>
    <w:p w14:paraId="2B6EA691" w14:textId="7780A1FA" w:rsidR="00A520C9" w:rsidRDefault="00A520C9" w:rsidP="00A520C9">
      <w:pPr>
        <w:pStyle w:val="Bullet1"/>
      </w:pPr>
      <w:r>
        <w:t xml:space="preserve">The number of people eligible for the </w:t>
      </w:r>
      <w:r w:rsidR="007A5D84">
        <w:t>Scheme</w:t>
      </w:r>
      <w:r>
        <w:t xml:space="preserve"> entering over time, and the rate of exit from the </w:t>
      </w:r>
      <w:r w:rsidR="007A5D84">
        <w:t>Scheme</w:t>
      </w:r>
    </w:p>
    <w:p w14:paraId="4EF8D1E1" w14:textId="77777777" w:rsidR="00A520C9" w:rsidRDefault="00A520C9" w:rsidP="00A520C9">
      <w:pPr>
        <w:pStyle w:val="Bullet1"/>
      </w:pPr>
      <w:r>
        <w:t>The size of packages approved for participants</w:t>
      </w:r>
    </w:p>
    <w:p w14:paraId="3A989056" w14:textId="77777777" w:rsidR="00A520C9" w:rsidRDefault="00A520C9" w:rsidP="00A520C9">
      <w:pPr>
        <w:pStyle w:val="Bullet1"/>
      </w:pPr>
      <w:r>
        <w:t>The role of price increases versus other types of cost escalation</w:t>
      </w:r>
    </w:p>
    <w:p w14:paraId="09E606CA" w14:textId="77777777" w:rsidR="00A520C9" w:rsidRDefault="00A520C9" w:rsidP="00A520C9">
      <w:pPr>
        <w:pStyle w:val="Bullet1"/>
      </w:pPr>
      <w:r>
        <w:t>Whether increased spending represents value for money</w:t>
      </w:r>
    </w:p>
    <w:p w14:paraId="589F3B2A" w14:textId="32CFFC0E" w:rsidR="00A520C9" w:rsidRPr="002B54E6" w:rsidRDefault="00A520C9" w:rsidP="00A520C9">
      <w:pPr>
        <w:pStyle w:val="Bullet1"/>
      </w:pPr>
      <w:r>
        <w:t xml:space="preserve">Any broader social or economic benefits that may result from the supports provided by the </w:t>
      </w:r>
      <w:r w:rsidR="007A5D84">
        <w:t>Scheme</w:t>
      </w:r>
      <w:r>
        <w:t>.</w:t>
      </w:r>
    </w:p>
    <w:p w14:paraId="6FAD948B" w14:textId="20021089" w:rsidR="00A520C9" w:rsidRDefault="00A520C9" w:rsidP="00A520C9">
      <w:pPr>
        <w:spacing w:before="0" w:after="160" w:line="259" w:lineRule="auto"/>
        <w:rPr>
          <w:rFonts w:asciiTheme="majorHAnsi" w:eastAsiaTheme="majorEastAsia" w:hAnsiTheme="majorHAnsi" w:cstheme="majorBidi"/>
          <w:color w:val="006EC8" w:themeColor="accent1"/>
          <w:sz w:val="28"/>
          <w:szCs w:val="28"/>
        </w:rPr>
      </w:pPr>
      <w:r>
        <w:t xml:space="preserve">Our focus, while relevant to the consideration of financial sustainability, is on the topic of </w:t>
      </w:r>
      <w:r w:rsidR="007A5D84">
        <w:t>Scheme</w:t>
      </w:r>
      <w:r>
        <w:t xml:space="preserve"> costs. We have not assessed the impact of the </w:t>
      </w:r>
      <w:r w:rsidR="007A5D84">
        <w:t>Scheme</w:t>
      </w:r>
      <w:r>
        <w:t xml:space="preserve"> on </w:t>
      </w:r>
      <w:r w:rsidRPr="000F5457">
        <w:t>lifetime benefits and costs</w:t>
      </w:r>
      <w:r>
        <w:t xml:space="preserve"> of the supports on participants, their families, or society more broadly.</w:t>
      </w:r>
      <w:r>
        <w:br w:type="page"/>
      </w:r>
    </w:p>
    <w:p w14:paraId="712893FA" w14:textId="77777777" w:rsidR="00A520C9" w:rsidRPr="00B803EB" w:rsidRDefault="00A520C9" w:rsidP="00A520C9">
      <w:pPr>
        <w:pStyle w:val="Heading2"/>
      </w:pPr>
      <w:bookmarkStart w:id="54" w:name="_Toc83828714"/>
      <w:bookmarkStart w:id="55" w:name="_Toc83828744"/>
      <w:bookmarkStart w:id="56" w:name="_Toc83997758"/>
      <w:bookmarkStart w:id="57" w:name="_Toc87700457"/>
      <w:bookmarkStart w:id="58" w:name="_Toc88686109"/>
      <w:r w:rsidRPr="00B803EB">
        <w:t>Data provided</w:t>
      </w:r>
      <w:bookmarkEnd w:id="54"/>
      <w:bookmarkEnd w:id="55"/>
      <w:bookmarkEnd w:id="56"/>
      <w:bookmarkEnd w:id="57"/>
      <w:bookmarkEnd w:id="58"/>
    </w:p>
    <w:p w14:paraId="3CC1C4D9" w14:textId="77777777" w:rsidR="00A520C9" w:rsidRPr="005060EF" w:rsidRDefault="00A520C9" w:rsidP="00A520C9">
      <w:r>
        <w:t xml:space="preserve">We have </w:t>
      </w:r>
      <w:r w:rsidRPr="005060EF">
        <w:t>been provided the following data:</w:t>
      </w:r>
    </w:p>
    <w:p w14:paraId="70A98961" w14:textId="77777777" w:rsidR="00A520C9" w:rsidRPr="005060EF" w:rsidRDefault="00A520C9" w:rsidP="001C177D">
      <w:pPr>
        <w:pStyle w:val="Bullet1"/>
        <w:spacing w:before="60" w:after="60"/>
      </w:pPr>
      <w:r w:rsidRPr="005060EF">
        <w:t>De-identified unit record data pack which includes the following datasets, as at Jun-21:</w:t>
      </w:r>
    </w:p>
    <w:p w14:paraId="33083232" w14:textId="77777777" w:rsidR="00A520C9" w:rsidRDefault="00A520C9" w:rsidP="001C177D">
      <w:pPr>
        <w:pStyle w:val="Bullet2"/>
        <w:spacing w:before="60" w:after="60"/>
      </w:pPr>
      <w:r w:rsidRPr="005060EF">
        <w:t>Access requests: Information</w:t>
      </w:r>
      <w:r>
        <w:t xml:space="preserve"> on plan approvals, access entry type, exits, etc.</w:t>
      </w:r>
    </w:p>
    <w:p w14:paraId="5C7A67A0" w14:textId="77777777" w:rsidR="00A520C9" w:rsidRDefault="00A520C9" w:rsidP="001C177D">
      <w:pPr>
        <w:pStyle w:val="Bullet2"/>
        <w:spacing w:before="60" w:after="60"/>
      </w:pPr>
      <w:r>
        <w:t>Participant demographic: Information on participant’s age, gender, residence, activeness status, disability type, functional level, etc.</w:t>
      </w:r>
    </w:p>
    <w:p w14:paraId="5EE65F8E" w14:textId="77777777" w:rsidR="00A520C9" w:rsidRDefault="00A520C9" w:rsidP="001C177D">
      <w:pPr>
        <w:pStyle w:val="Bullet2"/>
        <w:spacing w:before="60" w:after="60"/>
      </w:pPr>
      <w:r>
        <w:t>In-kind payments: Information on date and payment amounts</w:t>
      </w:r>
    </w:p>
    <w:p w14:paraId="46ECC325" w14:textId="77777777" w:rsidR="00A520C9" w:rsidRDefault="00A520C9" w:rsidP="001C177D">
      <w:pPr>
        <w:pStyle w:val="Bullet2"/>
        <w:spacing w:before="60" w:after="60"/>
      </w:pPr>
      <w:r>
        <w:t>Payments: Information on support category, payment date, status and amount</w:t>
      </w:r>
    </w:p>
    <w:p w14:paraId="04074640" w14:textId="77777777" w:rsidR="00A520C9" w:rsidRDefault="00A520C9" w:rsidP="001C177D">
      <w:pPr>
        <w:pStyle w:val="Bullet2"/>
        <w:spacing w:before="60" w:after="60"/>
      </w:pPr>
      <w:r>
        <w:t>Plan support: Information on plan effective dates, SIL indicator, budget amount by support category, etc.</w:t>
      </w:r>
    </w:p>
    <w:p w14:paraId="261EB6A1" w14:textId="77777777" w:rsidR="00A520C9" w:rsidRPr="00EE5E97" w:rsidRDefault="00A520C9" w:rsidP="001C177D">
      <w:pPr>
        <w:pStyle w:val="Bullet2"/>
        <w:spacing w:before="60" w:after="60"/>
      </w:pPr>
      <w:r>
        <w:t>Data dictionary defining the terms in the unit record data.</w:t>
      </w:r>
    </w:p>
    <w:p w14:paraId="03510CDE" w14:textId="77777777" w:rsidR="00A520C9" w:rsidRPr="00082453" w:rsidRDefault="00A520C9" w:rsidP="001C177D">
      <w:pPr>
        <w:pStyle w:val="Bullet1"/>
        <w:spacing w:before="60" w:after="60"/>
      </w:pPr>
      <w:r>
        <w:t>Annual snapshots of unit record patient demographic dataset from Jun-17 to Jun-21</w:t>
      </w:r>
    </w:p>
    <w:p w14:paraId="576753F9" w14:textId="77777777" w:rsidR="00A520C9" w:rsidRDefault="00A520C9" w:rsidP="001C177D">
      <w:pPr>
        <w:pStyle w:val="Bullet1"/>
        <w:spacing w:before="60" w:after="60"/>
      </w:pPr>
      <w:r>
        <w:t>AFSR model packs from Jun-16, Jun-18, Jun-19, Dec-19, Jun-20, Dec-20 and Jun-21 reviews which include:</w:t>
      </w:r>
    </w:p>
    <w:p w14:paraId="320D618F" w14:textId="77777777" w:rsidR="00A520C9" w:rsidRDefault="00A520C9" w:rsidP="001C177D">
      <w:pPr>
        <w:pStyle w:val="Bullet2"/>
        <w:spacing w:before="60" w:after="60"/>
      </w:pPr>
      <w:r>
        <w:t>Key assumptions, participant number and cost projection workbooks</w:t>
      </w:r>
    </w:p>
    <w:p w14:paraId="46647D38" w14:textId="77777777" w:rsidR="00A520C9" w:rsidRPr="00E34C62" w:rsidRDefault="00A520C9" w:rsidP="001C177D">
      <w:pPr>
        <w:pStyle w:val="Bullet2"/>
        <w:spacing w:before="60" w:after="60"/>
      </w:pPr>
      <w:r>
        <w:t>Snapshot summaries of key information (in Dec-20 and Jun-21 AFSR packs only)</w:t>
      </w:r>
    </w:p>
    <w:p w14:paraId="1824B81F" w14:textId="77777777" w:rsidR="00A520C9" w:rsidRDefault="00A520C9" w:rsidP="001C177D">
      <w:pPr>
        <w:pStyle w:val="Bullet2"/>
        <w:spacing w:before="60" w:after="60"/>
      </w:pPr>
      <w:r>
        <w:t>Scenario analysis workbooks (not in Jun-16 AFSR pack).</w:t>
      </w:r>
    </w:p>
    <w:p w14:paraId="53B82A84" w14:textId="77777777" w:rsidR="00A520C9" w:rsidRDefault="00A520C9" w:rsidP="001C177D">
      <w:pPr>
        <w:pStyle w:val="Bullet1"/>
        <w:spacing w:before="60" w:after="60"/>
      </w:pPr>
      <w:r>
        <w:t>NDIA’s analysis on changes in level of functionality over time</w:t>
      </w:r>
    </w:p>
    <w:p w14:paraId="5B43FF11" w14:textId="38203A3E" w:rsidR="00A520C9" w:rsidRDefault="00A520C9" w:rsidP="001C177D">
      <w:pPr>
        <w:pStyle w:val="Bullet1"/>
        <w:spacing w:before="60" w:after="60"/>
      </w:pPr>
      <w:r>
        <w:t>Mapping between level of functionality and severity score by disability type</w:t>
      </w:r>
    </w:p>
    <w:p w14:paraId="3B659D5E" w14:textId="7D6C0438" w:rsidR="00B803EB" w:rsidRDefault="00B803EB" w:rsidP="001C177D">
      <w:pPr>
        <w:pStyle w:val="Bullet1"/>
        <w:spacing w:before="60" w:after="60"/>
      </w:pPr>
      <w:r>
        <w:t>Breakdown of superimposed inflation from the 201</w:t>
      </w:r>
      <w:r w:rsidR="00243F4C">
        <w:t>8-1</w:t>
      </w:r>
      <w:r>
        <w:t>9, 20</w:t>
      </w:r>
      <w:r w:rsidR="00243F4C">
        <w:t>19-</w:t>
      </w:r>
      <w:r>
        <w:t>20 and 20</w:t>
      </w:r>
      <w:r w:rsidR="00243F4C">
        <w:t>20-</w:t>
      </w:r>
      <w:r>
        <w:t>21 AFSR</w:t>
      </w:r>
    </w:p>
    <w:p w14:paraId="4452E49B" w14:textId="77777777" w:rsidR="00B803EB" w:rsidRDefault="00B803EB" w:rsidP="001C177D">
      <w:pPr>
        <w:pStyle w:val="Bullet1"/>
        <w:spacing w:before="60" w:after="60"/>
      </w:pPr>
      <w:r>
        <w:t>Jun-21 snapshot with young people in residential aged care indicator flag</w:t>
      </w:r>
    </w:p>
    <w:p w14:paraId="3B18F6C2" w14:textId="77777777" w:rsidR="00B803EB" w:rsidRDefault="00B803EB" w:rsidP="001C177D">
      <w:pPr>
        <w:pStyle w:val="Bullet1"/>
        <w:spacing w:before="60" w:after="60"/>
      </w:pPr>
      <w:r>
        <w:t>Summary data on participants who entered via s25, as at 30 June 2021</w:t>
      </w:r>
    </w:p>
    <w:p w14:paraId="47BF5242" w14:textId="77777777" w:rsidR="00B803EB" w:rsidRDefault="00B803EB" w:rsidP="001C177D">
      <w:pPr>
        <w:pStyle w:val="Bullet1"/>
        <w:spacing w:before="60" w:after="60"/>
      </w:pPr>
      <w:r>
        <w:t>Assumed monthly seasonality factors for new participant entries and payments for 2021/22</w:t>
      </w:r>
    </w:p>
    <w:p w14:paraId="11C38964" w14:textId="77777777" w:rsidR="00B803EB" w:rsidRPr="00657195" w:rsidRDefault="00B803EB" w:rsidP="001C177D">
      <w:pPr>
        <w:pStyle w:val="Bullet1"/>
        <w:spacing w:before="60" w:after="60"/>
      </w:pPr>
      <w:r>
        <w:t>Reference package cost mapping for FY 2020/21</w:t>
      </w:r>
    </w:p>
    <w:p w14:paraId="157A8BE2" w14:textId="77777777" w:rsidR="00B803EB" w:rsidRDefault="00B803EB" w:rsidP="001C177D">
      <w:pPr>
        <w:pStyle w:val="Bullet1"/>
        <w:spacing w:before="60" w:after="60"/>
      </w:pPr>
      <w:r>
        <w:t>NDIA’s report on Participant Level of Function and Primary Disability Type Change Analysis dated 30 September 2019</w:t>
      </w:r>
    </w:p>
    <w:p w14:paraId="19552CAE" w14:textId="77777777" w:rsidR="00B803EB" w:rsidRDefault="00B803EB" w:rsidP="001C177D">
      <w:pPr>
        <w:pStyle w:val="Bullet1"/>
        <w:spacing w:before="60" w:after="60"/>
      </w:pPr>
      <w:r>
        <w:t>NDIA’s report on New Incidence Rates Analysis as at Dec-20 and Jun-21</w:t>
      </w:r>
    </w:p>
    <w:p w14:paraId="739FBEF0" w14:textId="77777777" w:rsidR="00B803EB" w:rsidRDefault="00B803EB" w:rsidP="001C177D">
      <w:pPr>
        <w:pStyle w:val="Bullet1"/>
        <w:spacing w:before="60" w:after="60"/>
      </w:pPr>
      <w:r>
        <w:t>NDIA’s report on Disability-Related Health Supports dated June 2020</w:t>
      </w:r>
    </w:p>
    <w:p w14:paraId="526CF213" w14:textId="77777777" w:rsidR="00B803EB" w:rsidRPr="00B00798" w:rsidRDefault="00B803EB" w:rsidP="001C177D">
      <w:pPr>
        <w:pStyle w:val="Bullet1"/>
        <w:spacing w:before="60" w:after="60"/>
      </w:pPr>
      <w:r>
        <w:t>NDIA’s report on NDIS implementation and Productivity Commission costing</w:t>
      </w:r>
    </w:p>
    <w:p w14:paraId="388FAA87" w14:textId="77777777" w:rsidR="00B803EB" w:rsidRPr="00B00798" w:rsidRDefault="00B803EB" w:rsidP="001C177D">
      <w:pPr>
        <w:pStyle w:val="Bullet1"/>
        <w:spacing w:before="60" w:after="60"/>
      </w:pPr>
      <w:r>
        <w:t>NDIA’s report on Reference Package and Guided Planning Framework Review dated Apr-18</w:t>
      </w:r>
    </w:p>
    <w:p w14:paraId="5A9D0558" w14:textId="0A583D5A" w:rsidR="00A520C9" w:rsidRDefault="00B803EB" w:rsidP="001C177D">
      <w:pPr>
        <w:pStyle w:val="Bullet1"/>
        <w:spacing w:before="60" w:after="60"/>
      </w:pPr>
      <w:r>
        <w:t>NDIA’s reports on analyses on exits, new incidences and payments as at Dec-19</w:t>
      </w:r>
    </w:p>
    <w:p w14:paraId="76364C05" w14:textId="6CA9057C" w:rsidR="00567940" w:rsidRPr="00567940" w:rsidRDefault="00567940" w:rsidP="00567940">
      <w:r>
        <w:t>Over the course of the review, the Scheme Actuary has also provided responses and analysis to a range of questions that we have raised.</w:t>
      </w:r>
    </w:p>
    <w:p w14:paraId="4E103790" w14:textId="3E3B0C78" w:rsidR="003721C9" w:rsidRPr="00BC641D" w:rsidRDefault="003721C9" w:rsidP="003721C9">
      <w:pPr>
        <w:pStyle w:val="Heading2"/>
      </w:pPr>
      <w:bookmarkStart w:id="59" w:name="_Toc87700458"/>
      <w:bookmarkStart w:id="60" w:name="_Toc88686110"/>
      <w:r w:rsidRPr="00BC641D">
        <w:t>Reliances and Limitations</w:t>
      </w:r>
      <w:bookmarkEnd w:id="59"/>
      <w:bookmarkEnd w:id="60"/>
    </w:p>
    <w:p w14:paraId="1C084397" w14:textId="5B1FFA42" w:rsidR="00B218C6" w:rsidRDefault="00B218C6" w:rsidP="00B218C6">
      <w:r>
        <w:t>In performing the analysis, we have relied on the accuracy of the data and although we have performed detailed checks</w:t>
      </w:r>
      <w:r w:rsidR="001C177D">
        <w:t xml:space="preserve"> and reconciled most key aggregates</w:t>
      </w:r>
      <w:r>
        <w:t>, we have not independently audited it. We have no reason to believe the data is not reliable, but our analysis and conclusions rely on its accuracy. If the data is not complete or is inaccurate, the conclusions set out in this report may need to be altered.</w:t>
      </w:r>
    </w:p>
    <w:p w14:paraId="216088C0" w14:textId="568D57BE" w:rsidR="00CC53C1" w:rsidRPr="006D53FB" w:rsidRDefault="00B218C6" w:rsidP="00CC53C1">
      <w:r>
        <w:t xml:space="preserve">This report has been prepared for the use of State, Territory and Commonwealth governments as an independent review of the </w:t>
      </w:r>
      <w:r w:rsidR="00CC53C1">
        <w:t xml:space="preserve">2020-21 AFSR </w:t>
      </w:r>
      <w:r>
        <w:t xml:space="preserve">financial projections performed by the </w:t>
      </w:r>
      <w:r w:rsidR="00CC53C1">
        <w:t xml:space="preserve">NDIS </w:t>
      </w:r>
      <w:r>
        <w:t>Scheme Actuary</w:t>
      </w:r>
      <w:r w:rsidR="00CC53C1">
        <w:t xml:space="preserve">. It should not be used for any other purpose. This report should be read in conjunction with the </w:t>
      </w:r>
      <w:r w:rsidR="00CC53C1" w:rsidRPr="005F58F0">
        <w:t>20</w:t>
      </w:r>
      <w:r w:rsidR="00CC53C1">
        <w:t>20-</w:t>
      </w:r>
      <w:r w:rsidR="00CC53C1" w:rsidRPr="005F58F0">
        <w:t xml:space="preserve">21 AFSR </w:t>
      </w:r>
      <w:r w:rsidR="00CC53C1">
        <w:t xml:space="preserve">as it provides further </w:t>
      </w:r>
      <w:r w:rsidR="00CC53C1" w:rsidRPr="005F58F0">
        <w:t xml:space="preserve">details and context </w:t>
      </w:r>
      <w:r w:rsidR="00CC53C1">
        <w:t xml:space="preserve">related to </w:t>
      </w:r>
      <w:r w:rsidR="007A5D84">
        <w:t>Scheme</w:t>
      </w:r>
      <w:r w:rsidR="00CC53C1">
        <w:t xml:space="preserve"> experience and assumptions.</w:t>
      </w:r>
    </w:p>
    <w:p w14:paraId="4732FA4A" w14:textId="77777777" w:rsidR="00CC53C1" w:rsidRDefault="00CC53C1" w:rsidP="00B218C6"/>
    <w:p w14:paraId="08F3AC97" w14:textId="12D63659" w:rsidR="003721C9" w:rsidRPr="00CA7F03" w:rsidRDefault="003721C9" w:rsidP="00A520C9">
      <w:pPr>
        <w:sectPr w:rsidR="003721C9" w:rsidRPr="00CA7F03" w:rsidSect="00BA76C8">
          <w:headerReference w:type="even" r:id="rId45"/>
          <w:headerReference w:type="default" r:id="rId46"/>
          <w:footerReference w:type="default" r:id="rId47"/>
          <w:headerReference w:type="first" r:id="rId48"/>
          <w:pgSz w:w="11906" w:h="16838" w:code="9"/>
          <w:pgMar w:top="1418" w:right="1247" w:bottom="1418" w:left="1247" w:header="709" w:footer="454" w:gutter="0"/>
          <w:pgNumType w:start="1"/>
          <w:cols w:space="708"/>
          <w:docGrid w:linePitch="360"/>
        </w:sectPr>
      </w:pPr>
    </w:p>
    <w:tbl>
      <w:tblPr>
        <w:tblStyle w:val="TFBlank"/>
        <w:tblW w:w="0" w:type="auto"/>
        <w:tblLayout w:type="fixed"/>
        <w:tblCellMar>
          <w:left w:w="0" w:type="dxa"/>
          <w:right w:w="0" w:type="dxa"/>
        </w:tblCellMar>
        <w:tblLook w:val="04A0" w:firstRow="1" w:lastRow="0" w:firstColumn="1" w:lastColumn="0" w:noHBand="0" w:noVBand="1"/>
      </w:tblPr>
      <w:tblGrid>
        <w:gridCol w:w="9412"/>
      </w:tblGrid>
      <w:tr w:rsidR="00A520C9" w14:paraId="75F1A758" w14:textId="77777777" w:rsidTr="00DA0930">
        <w:trPr>
          <w:trHeight w:val="12043"/>
        </w:trPr>
        <w:tc>
          <w:tcPr>
            <w:tcW w:w="9412" w:type="dxa"/>
            <w:vAlign w:val="bottom"/>
          </w:tcPr>
          <w:p w14:paraId="0730CB3D" w14:textId="1D7A1A11" w:rsidR="00A520C9" w:rsidRPr="001A4807" w:rsidRDefault="00A520C9" w:rsidP="00DA0930">
            <w:pPr>
              <w:pStyle w:val="Sectionnumber"/>
            </w:pPr>
            <w:bookmarkStart w:id="61" w:name="_Toc83997759"/>
            <w:bookmarkStart w:id="62" w:name="_Toc87700459"/>
            <w:bookmarkStart w:id="63" w:name="_Toc88686111"/>
            <w:r>
              <w:t>A</w:t>
            </w:r>
            <w:bookmarkEnd w:id="61"/>
            <w:bookmarkEnd w:id="62"/>
            <w:bookmarkEnd w:id="63"/>
          </w:p>
        </w:tc>
      </w:tr>
      <w:tr w:rsidR="00A520C9" w14:paraId="6EAD678B" w14:textId="77777777" w:rsidTr="00DA0930">
        <w:tc>
          <w:tcPr>
            <w:tcW w:w="9412" w:type="dxa"/>
          </w:tcPr>
          <w:p w14:paraId="52ADC00C" w14:textId="7E098DC8" w:rsidR="00A520C9" w:rsidRDefault="00A520C9" w:rsidP="00DA0930">
            <w:pPr>
              <w:pStyle w:val="Sectiontitle"/>
            </w:pPr>
            <w:bookmarkStart w:id="64" w:name="_Toc83828715"/>
            <w:bookmarkStart w:id="65" w:name="_Toc83997760"/>
            <w:bookmarkStart w:id="66" w:name="_Toc87700460"/>
            <w:bookmarkStart w:id="67" w:name="_Toc88686112"/>
            <w:r>
              <w:t xml:space="preserve">Understanding the </w:t>
            </w:r>
            <w:r w:rsidR="00F07767">
              <w:t>Scheme A</w:t>
            </w:r>
            <w:r>
              <w:t>ctuary’s model</w:t>
            </w:r>
            <w:bookmarkEnd w:id="64"/>
            <w:bookmarkEnd w:id="65"/>
            <w:bookmarkEnd w:id="66"/>
            <w:bookmarkEnd w:id="67"/>
          </w:p>
        </w:tc>
      </w:tr>
    </w:tbl>
    <w:p w14:paraId="0D6A41E0" w14:textId="4F9124D2" w:rsidR="00A520C9" w:rsidRPr="004B5CF7" w:rsidRDefault="00137FBA" w:rsidP="00DE6F11">
      <w:r>
        <w:rPr>
          <w:noProof/>
        </w:rPr>
        <w:drawing>
          <wp:anchor distT="0" distB="0" distL="114300" distR="114300" simplePos="0" relativeHeight="251656192" behindDoc="1" locked="0" layoutInCell="1" allowOverlap="1" wp14:anchorId="167E326B" wp14:editId="0D431D35">
            <wp:simplePos x="0" y="0"/>
            <wp:positionH relativeFrom="page">
              <wp:align>left</wp:align>
            </wp:positionH>
            <wp:positionV relativeFrom="page">
              <wp:align>top</wp:align>
            </wp:positionV>
            <wp:extent cx="7559660" cy="10692000"/>
            <wp:effectExtent l="0" t="0" r="3810" b="0"/>
            <wp:wrapNone/>
            <wp:docPr id="152" name="Picture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a:ext>
                      </a:extLst>
                    </a:blip>
                    <a:stretch>
                      <a:fillRect/>
                    </a:stretch>
                  </pic:blipFill>
                  <pic:spPr>
                    <a:xfrm>
                      <a:off x="0" y="0"/>
                      <a:ext cx="7559660" cy="10692000"/>
                    </a:xfrm>
                    <a:prstGeom prst="rect">
                      <a:avLst/>
                    </a:prstGeom>
                  </pic:spPr>
                </pic:pic>
              </a:graphicData>
            </a:graphic>
            <wp14:sizeRelH relativeFrom="page">
              <wp14:pctWidth>0</wp14:pctWidth>
            </wp14:sizeRelH>
            <wp14:sizeRelV relativeFrom="page">
              <wp14:pctHeight>0</wp14:pctHeight>
            </wp14:sizeRelV>
          </wp:anchor>
        </w:drawing>
      </w:r>
    </w:p>
    <w:p w14:paraId="406DE3F3" w14:textId="77777777" w:rsidR="00A520C9" w:rsidRPr="004B5CF7" w:rsidRDefault="00A520C9" w:rsidP="00A520C9">
      <w:pPr>
        <w:sectPr w:rsidR="00A520C9" w:rsidRPr="004B5CF7" w:rsidSect="00436B04">
          <w:headerReference w:type="even" r:id="rId50"/>
          <w:headerReference w:type="default" r:id="rId51"/>
          <w:footerReference w:type="default" r:id="rId52"/>
          <w:headerReference w:type="first" r:id="rId53"/>
          <w:pgSz w:w="11906" w:h="16838" w:code="9"/>
          <w:pgMar w:top="1418" w:right="1247" w:bottom="1418" w:left="1247" w:header="709" w:footer="454" w:gutter="0"/>
          <w:cols w:space="708"/>
          <w:docGrid w:linePitch="360"/>
        </w:sectPr>
      </w:pPr>
    </w:p>
    <w:p w14:paraId="247D0C65" w14:textId="053E6B20" w:rsidR="00E4084A" w:rsidRDefault="00E4084A" w:rsidP="00A520C9">
      <w:pPr>
        <w:pStyle w:val="Heading1"/>
      </w:pPr>
      <w:bookmarkStart w:id="68" w:name="_Ref87532561"/>
      <w:bookmarkStart w:id="69" w:name="_Toc87700461"/>
      <w:bookmarkStart w:id="70" w:name="_Toc88686113"/>
      <w:bookmarkStart w:id="71" w:name="_Toc83828716"/>
      <w:bookmarkStart w:id="72" w:name="_Toc83828745"/>
      <w:bookmarkStart w:id="73" w:name="_Toc83997761"/>
      <w:r>
        <w:t>Overall assessment of the 20</w:t>
      </w:r>
      <w:r w:rsidR="00243F4C">
        <w:t>20-</w:t>
      </w:r>
      <w:r>
        <w:t>21 AFSR financial projection</w:t>
      </w:r>
      <w:bookmarkEnd w:id="68"/>
      <w:bookmarkEnd w:id="69"/>
      <w:bookmarkEnd w:id="70"/>
    </w:p>
    <w:p w14:paraId="25736F87" w14:textId="1291DAB1" w:rsidR="00E4084A" w:rsidRDefault="00E4084A" w:rsidP="00E4084A">
      <w:r>
        <w:t>In assessing the 20</w:t>
      </w:r>
      <w:r w:rsidR="00243F4C">
        <w:t>20-</w:t>
      </w:r>
      <w:r>
        <w:t xml:space="preserve">21 </w:t>
      </w:r>
      <w:r w:rsidR="003936E1">
        <w:t xml:space="preserve">AFSR financial projections </w:t>
      </w:r>
      <w:r>
        <w:t>we have looked at:</w:t>
      </w:r>
    </w:p>
    <w:p w14:paraId="5053DF12" w14:textId="312137F8" w:rsidR="00E4084A" w:rsidRDefault="00E4084A" w:rsidP="00E4084A">
      <w:pPr>
        <w:pStyle w:val="Bullet1"/>
      </w:pPr>
      <w:r>
        <w:t>The suitability of the model structure itself</w:t>
      </w:r>
    </w:p>
    <w:p w14:paraId="4B597434" w14:textId="5449B361" w:rsidR="00E4084A" w:rsidRDefault="00E4084A" w:rsidP="00E4084A">
      <w:pPr>
        <w:pStyle w:val="Bullet1"/>
      </w:pPr>
      <w:r>
        <w:t>The process and selection of assumptions at various points of the model</w:t>
      </w:r>
    </w:p>
    <w:p w14:paraId="61C3E940" w14:textId="0244E67B" w:rsidR="00E4084A" w:rsidRDefault="00E4084A" w:rsidP="00E4084A">
      <w:pPr>
        <w:pStyle w:val="Bullet1"/>
      </w:pPr>
      <w:r>
        <w:t>Drivers of change over time and how these have been reflected in the AFSR assumptions over time</w:t>
      </w:r>
    </w:p>
    <w:p w14:paraId="6B9F24E1" w14:textId="3AE1858F" w:rsidR="00E4084A" w:rsidRDefault="00E4084A" w:rsidP="00E4084A">
      <w:pPr>
        <w:pStyle w:val="Bullet1"/>
      </w:pPr>
      <w:r>
        <w:t xml:space="preserve">Sensitivities and uncertainties </w:t>
      </w:r>
      <w:r w:rsidR="001F5811">
        <w:t>in the assumption-setting process</w:t>
      </w:r>
    </w:p>
    <w:p w14:paraId="626CF2B8" w14:textId="17EFF538" w:rsidR="00E4084A" w:rsidRDefault="00E4084A" w:rsidP="00E4084A">
      <w:pPr>
        <w:pStyle w:val="Bullet1"/>
      </w:pPr>
      <w:r>
        <w:t>Trends and features that are apparent in the underlying data.</w:t>
      </w:r>
    </w:p>
    <w:p w14:paraId="0560CDC5" w14:textId="4EEAB5DB" w:rsidR="00E4084A" w:rsidRDefault="00E4084A" w:rsidP="00E4084A">
      <w:r>
        <w:t xml:space="preserve">Each of these </w:t>
      </w:r>
      <w:r w:rsidR="001F5811">
        <w:t xml:space="preserve">aspects </w:t>
      </w:r>
      <w:r w:rsidR="00C601EB">
        <w:t xml:space="preserve">is </w:t>
      </w:r>
      <w:r w:rsidR="001F5811">
        <w:t>described in more detail in subsequent sections. However, we give an overall opinion here that points to some of the most material considerations.</w:t>
      </w:r>
    </w:p>
    <w:p w14:paraId="7CD0BBDA" w14:textId="10FDA3C2" w:rsidR="00734F9A" w:rsidRDefault="001F5811" w:rsidP="00E4084A">
      <w:r>
        <w:t>First, we note that the AFSR includes both a point (‘baseline’) estimate and a plausible range.</w:t>
      </w:r>
      <w:r w:rsidR="0015504F">
        <w:t xml:space="preserve"> The baseline estimate of participant costs</w:t>
      </w:r>
      <w:r w:rsidR="000C38E1">
        <w:t xml:space="preserve"> (on an accrual basis)</w:t>
      </w:r>
      <w:r w:rsidR="0015504F">
        <w:t xml:space="preserve"> in 2024-25 is </w:t>
      </w:r>
      <w:r w:rsidR="006E1D3B">
        <w:t xml:space="preserve">$41.4B, which lies in the estimated plausible range of $39.0B to $47.8B. </w:t>
      </w:r>
      <w:r w:rsidR="00734F9A">
        <w:t>These are shown in the table and figure below.</w:t>
      </w:r>
      <w:r w:rsidR="00580151">
        <w:t xml:space="preserve"> ‘Plausible range’ does not have an explicit statistical interpretation but is intended to provide a range in which future costs are likely to occur.</w:t>
      </w:r>
      <w:r w:rsidR="00181A3B" w:rsidRPr="00181A3B">
        <w:t xml:space="preserve"> </w:t>
      </w:r>
      <w:r w:rsidR="00181A3B">
        <w:t>We also note that the current baseline estimate for 2024-25 sits outside the range of scenarios considered in the 2018-19 AFSR, indicating that actual payments are not guaranteed to fall in the plausible range.</w:t>
      </w:r>
    </w:p>
    <w:p w14:paraId="2A10E444" w14:textId="3821280B" w:rsidR="00734F9A" w:rsidRDefault="00734F9A" w:rsidP="00E4084A">
      <w:r>
        <w:t>The plausible range is driven by scenario testing</w:t>
      </w:r>
      <w:r w:rsidR="00E30167">
        <w:t xml:space="preserve"> which in turn </w:t>
      </w:r>
      <w:r>
        <w:t xml:space="preserve">is dominated by the scenario </w:t>
      </w:r>
      <w:r w:rsidR="00806732">
        <w:t>that modifies cost escalation assumptions</w:t>
      </w:r>
      <w:r w:rsidR="003936E1">
        <w:t xml:space="preserve"> over the short-term</w:t>
      </w:r>
      <w:r w:rsidR="00806732">
        <w:t xml:space="preserve">. The ‘high’ case </w:t>
      </w:r>
      <w:r>
        <w:t xml:space="preserve">assumes </w:t>
      </w:r>
      <w:r w:rsidR="003936E1">
        <w:t xml:space="preserve">that cost </w:t>
      </w:r>
      <w:r>
        <w:t xml:space="preserve">escalation </w:t>
      </w:r>
      <w:r w:rsidR="003936E1">
        <w:t xml:space="preserve">observed </w:t>
      </w:r>
      <w:r>
        <w:t>over the past three years persists for the next two years</w:t>
      </w:r>
      <w:r w:rsidR="00806732">
        <w:t>, and the ‘low’ case assumes th</w:t>
      </w:r>
      <w:r w:rsidR="003936E1">
        <w:t>at</w:t>
      </w:r>
      <w:r w:rsidR="00806732">
        <w:t xml:space="preserve"> cost escalation settles to the long-term rate one year earlier</w:t>
      </w:r>
      <w:r w:rsidR="003936E1">
        <w:t xml:space="preserve"> than the baseline</w:t>
      </w:r>
      <w:r w:rsidR="00806732">
        <w:t>.</w:t>
      </w:r>
    </w:p>
    <w:p w14:paraId="1BFA5C48" w14:textId="2B44AA87" w:rsidR="0015504F" w:rsidRDefault="006E1D3B" w:rsidP="006E1D3B">
      <w:pPr>
        <w:pStyle w:val="Caption"/>
      </w:pPr>
      <w:r>
        <w:t xml:space="preserve">Table </w:t>
      </w:r>
      <w:r w:rsidR="007F6BE8">
        <w:fldChar w:fldCharType="begin"/>
      </w:r>
      <w:r w:rsidR="007F6BE8">
        <w:instrText xml:space="preserve"> STYLEREF 1 \s </w:instrText>
      </w:r>
      <w:r w:rsidR="007F6BE8">
        <w:fldChar w:fldCharType="separate"/>
      </w:r>
      <w:r w:rsidR="00E6217F">
        <w:rPr>
          <w:noProof/>
        </w:rPr>
        <w:t>2</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w:t>
      </w:r>
      <w:r w:rsidR="007F6BE8">
        <w:fldChar w:fldCharType="end"/>
      </w:r>
      <w:r>
        <w:t xml:space="preserve"> </w:t>
      </w:r>
      <w:r w:rsidR="001C13F1">
        <w:t xml:space="preserve">– </w:t>
      </w:r>
      <w:r>
        <w:t>AFSR 2020-21 baseline estimates and plausible range</w:t>
      </w:r>
      <w:r w:rsidR="000C38E1">
        <w:t xml:space="preserve"> (</w:t>
      </w:r>
      <w:r w:rsidR="003E0DC3">
        <w:t xml:space="preserve">$B, </w:t>
      </w:r>
      <w:r w:rsidR="000C38E1">
        <w:t>accrual basis)</w:t>
      </w:r>
    </w:p>
    <w:tbl>
      <w:tblPr>
        <w:tblStyle w:val="TFBlue"/>
        <w:tblW w:w="9212" w:type="dxa"/>
        <w:tblLook w:val="04A0" w:firstRow="1" w:lastRow="0" w:firstColumn="1" w:lastColumn="0" w:noHBand="0" w:noVBand="1"/>
      </w:tblPr>
      <w:tblGrid>
        <w:gridCol w:w="2127"/>
        <w:gridCol w:w="1417"/>
        <w:gridCol w:w="1417"/>
        <w:gridCol w:w="1417"/>
        <w:gridCol w:w="1417"/>
        <w:gridCol w:w="1417"/>
      </w:tblGrid>
      <w:tr w:rsidR="0015504F" w14:paraId="3AE8F7F9" w14:textId="77777777" w:rsidTr="00C13EB8">
        <w:trPr>
          <w:cnfStyle w:val="100000000000" w:firstRow="1" w:lastRow="0" w:firstColumn="0" w:lastColumn="0" w:oddVBand="0" w:evenVBand="0" w:oddHBand="0" w:evenHBand="0" w:firstRowFirstColumn="0" w:firstRowLastColumn="0" w:lastRowFirstColumn="0" w:lastRowLastColumn="0"/>
        </w:trPr>
        <w:tc>
          <w:tcPr>
            <w:tcW w:w="2127" w:type="dxa"/>
          </w:tcPr>
          <w:p w14:paraId="564F2902" w14:textId="31F4607F" w:rsidR="0015504F" w:rsidRDefault="0015504F" w:rsidP="00E4084A">
            <w:r>
              <w:t>Scenario</w:t>
            </w:r>
          </w:p>
        </w:tc>
        <w:tc>
          <w:tcPr>
            <w:tcW w:w="1417" w:type="dxa"/>
            <w:vAlign w:val="center"/>
          </w:tcPr>
          <w:p w14:paraId="35E503C6" w14:textId="05B872F0" w:rsidR="0015504F" w:rsidRDefault="0015504F" w:rsidP="00C13EB8">
            <w:pPr>
              <w:jc w:val="right"/>
            </w:pPr>
            <w:r>
              <w:t>2021-22</w:t>
            </w:r>
          </w:p>
        </w:tc>
        <w:tc>
          <w:tcPr>
            <w:tcW w:w="1417" w:type="dxa"/>
            <w:vAlign w:val="center"/>
          </w:tcPr>
          <w:p w14:paraId="2DCE98CD" w14:textId="38EF7690" w:rsidR="0015504F" w:rsidRDefault="0015504F" w:rsidP="00C13EB8">
            <w:pPr>
              <w:jc w:val="right"/>
            </w:pPr>
            <w:r>
              <w:t>2022-23</w:t>
            </w:r>
          </w:p>
        </w:tc>
        <w:tc>
          <w:tcPr>
            <w:tcW w:w="1417" w:type="dxa"/>
            <w:vAlign w:val="center"/>
          </w:tcPr>
          <w:p w14:paraId="69C8AA17" w14:textId="2AC247F0" w:rsidR="0015504F" w:rsidRDefault="0015504F" w:rsidP="00C13EB8">
            <w:pPr>
              <w:jc w:val="right"/>
            </w:pPr>
            <w:r>
              <w:t>2023-24</w:t>
            </w:r>
          </w:p>
        </w:tc>
        <w:tc>
          <w:tcPr>
            <w:tcW w:w="1417" w:type="dxa"/>
            <w:vAlign w:val="center"/>
          </w:tcPr>
          <w:p w14:paraId="52322858" w14:textId="5F5182EA" w:rsidR="0015504F" w:rsidRDefault="0015504F" w:rsidP="00C13EB8">
            <w:pPr>
              <w:jc w:val="right"/>
            </w:pPr>
            <w:r>
              <w:t>2024-25</w:t>
            </w:r>
          </w:p>
        </w:tc>
        <w:tc>
          <w:tcPr>
            <w:tcW w:w="1417" w:type="dxa"/>
            <w:vAlign w:val="center"/>
          </w:tcPr>
          <w:p w14:paraId="694298B3" w14:textId="7897CBD1" w:rsidR="0015504F" w:rsidRDefault="0015504F" w:rsidP="00C13EB8">
            <w:pPr>
              <w:jc w:val="right"/>
            </w:pPr>
            <w:r>
              <w:t>2029-30</w:t>
            </w:r>
          </w:p>
        </w:tc>
      </w:tr>
      <w:tr w:rsidR="0015504F" w14:paraId="52950549" w14:textId="77777777" w:rsidTr="00C13EB8">
        <w:trPr>
          <w:cnfStyle w:val="000000100000" w:firstRow="0" w:lastRow="0" w:firstColumn="0" w:lastColumn="0" w:oddVBand="0" w:evenVBand="0" w:oddHBand="1" w:evenHBand="0" w:firstRowFirstColumn="0" w:firstRowLastColumn="0" w:lastRowFirstColumn="0" w:lastRowLastColumn="0"/>
        </w:trPr>
        <w:tc>
          <w:tcPr>
            <w:tcW w:w="2127" w:type="dxa"/>
          </w:tcPr>
          <w:p w14:paraId="167DE958" w14:textId="2AB27768" w:rsidR="0015504F" w:rsidRDefault="0015504F" w:rsidP="003936E1">
            <w:pPr>
              <w:pStyle w:val="Tabletext"/>
            </w:pPr>
            <w:r>
              <w:t>Baseline projection</w:t>
            </w:r>
          </w:p>
        </w:tc>
        <w:tc>
          <w:tcPr>
            <w:tcW w:w="1417" w:type="dxa"/>
            <w:vAlign w:val="center"/>
          </w:tcPr>
          <w:p w14:paraId="776D9F4B" w14:textId="098F0FE6" w:rsidR="0015504F" w:rsidRDefault="0015504F" w:rsidP="003936E1">
            <w:pPr>
              <w:pStyle w:val="Tablenumbers"/>
            </w:pPr>
            <w:r>
              <w:t>29.2</w:t>
            </w:r>
          </w:p>
        </w:tc>
        <w:tc>
          <w:tcPr>
            <w:tcW w:w="1417" w:type="dxa"/>
            <w:vAlign w:val="center"/>
          </w:tcPr>
          <w:p w14:paraId="438507A4" w14:textId="4D9A22D6" w:rsidR="0015504F" w:rsidRDefault="0015504F" w:rsidP="003936E1">
            <w:pPr>
              <w:pStyle w:val="Tablenumbers"/>
            </w:pPr>
            <w:r>
              <w:t>33.9</w:t>
            </w:r>
          </w:p>
        </w:tc>
        <w:tc>
          <w:tcPr>
            <w:tcW w:w="1417" w:type="dxa"/>
            <w:vAlign w:val="center"/>
          </w:tcPr>
          <w:p w14:paraId="6183011B" w14:textId="2050F32D" w:rsidR="0015504F" w:rsidRDefault="0015504F" w:rsidP="003936E1">
            <w:pPr>
              <w:pStyle w:val="Tablenumbers"/>
            </w:pPr>
            <w:r>
              <w:t>38.0</w:t>
            </w:r>
          </w:p>
        </w:tc>
        <w:tc>
          <w:tcPr>
            <w:tcW w:w="1417" w:type="dxa"/>
            <w:vAlign w:val="center"/>
          </w:tcPr>
          <w:p w14:paraId="79CE638A" w14:textId="36C95045" w:rsidR="0015504F" w:rsidRDefault="0015504F" w:rsidP="003936E1">
            <w:pPr>
              <w:pStyle w:val="Tablenumbers"/>
            </w:pPr>
            <w:r>
              <w:t>41.4</w:t>
            </w:r>
          </w:p>
        </w:tc>
        <w:tc>
          <w:tcPr>
            <w:tcW w:w="1417" w:type="dxa"/>
            <w:vAlign w:val="center"/>
          </w:tcPr>
          <w:p w14:paraId="7DCD9333" w14:textId="01DA3ADD" w:rsidR="0015504F" w:rsidRDefault="0015504F" w:rsidP="003936E1">
            <w:pPr>
              <w:pStyle w:val="Tablenumbers"/>
            </w:pPr>
            <w:r>
              <w:t>59.3</w:t>
            </w:r>
          </w:p>
        </w:tc>
      </w:tr>
      <w:tr w:rsidR="0015504F" w14:paraId="6D6278A8" w14:textId="77777777" w:rsidTr="00C13EB8">
        <w:tc>
          <w:tcPr>
            <w:tcW w:w="2127" w:type="dxa"/>
          </w:tcPr>
          <w:p w14:paraId="1C674F50" w14:textId="54994489" w:rsidR="0015504F" w:rsidRDefault="0015504F" w:rsidP="003936E1">
            <w:pPr>
              <w:pStyle w:val="Tabletext"/>
            </w:pPr>
            <w:r>
              <w:t>Plausible low case</w:t>
            </w:r>
          </w:p>
        </w:tc>
        <w:tc>
          <w:tcPr>
            <w:tcW w:w="1417" w:type="dxa"/>
            <w:vAlign w:val="center"/>
          </w:tcPr>
          <w:p w14:paraId="425A79F1" w14:textId="50F871DC" w:rsidR="0015504F" w:rsidRDefault="0015504F" w:rsidP="003936E1">
            <w:pPr>
              <w:pStyle w:val="Tablenumbers"/>
            </w:pPr>
            <w:r>
              <w:t>28.3</w:t>
            </w:r>
          </w:p>
        </w:tc>
        <w:tc>
          <w:tcPr>
            <w:tcW w:w="1417" w:type="dxa"/>
            <w:vAlign w:val="center"/>
          </w:tcPr>
          <w:p w14:paraId="2404F023" w14:textId="1325370D" w:rsidR="0015504F" w:rsidRDefault="00B05256" w:rsidP="003936E1">
            <w:pPr>
              <w:pStyle w:val="Tablenumbers"/>
            </w:pPr>
            <w:r>
              <w:t>32</w:t>
            </w:r>
            <w:r w:rsidR="0015504F">
              <w:t>.5</w:t>
            </w:r>
          </w:p>
        </w:tc>
        <w:tc>
          <w:tcPr>
            <w:tcW w:w="1417" w:type="dxa"/>
            <w:vAlign w:val="center"/>
          </w:tcPr>
          <w:p w14:paraId="6C7D4388" w14:textId="76AE2922" w:rsidR="0015504F" w:rsidRDefault="0015504F" w:rsidP="003936E1">
            <w:pPr>
              <w:pStyle w:val="Tablenumbers"/>
            </w:pPr>
            <w:r>
              <w:t>36.0</w:t>
            </w:r>
          </w:p>
        </w:tc>
        <w:tc>
          <w:tcPr>
            <w:tcW w:w="1417" w:type="dxa"/>
            <w:vAlign w:val="center"/>
          </w:tcPr>
          <w:p w14:paraId="1C94A9ED" w14:textId="379A28E7" w:rsidR="0015504F" w:rsidRDefault="0015504F" w:rsidP="003936E1">
            <w:pPr>
              <w:pStyle w:val="Tablenumbers"/>
            </w:pPr>
            <w:r>
              <w:t>39.0</w:t>
            </w:r>
          </w:p>
        </w:tc>
        <w:tc>
          <w:tcPr>
            <w:tcW w:w="1417" w:type="dxa"/>
            <w:vAlign w:val="center"/>
          </w:tcPr>
          <w:p w14:paraId="0E47A3C5" w14:textId="43914E6D" w:rsidR="0015504F" w:rsidRDefault="0015504F" w:rsidP="003936E1">
            <w:pPr>
              <w:pStyle w:val="Tablenumbers"/>
            </w:pPr>
            <w:r>
              <w:t>53.2</w:t>
            </w:r>
          </w:p>
        </w:tc>
      </w:tr>
      <w:tr w:rsidR="0015504F" w14:paraId="1D7B15ED" w14:textId="77777777" w:rsidTr="00C13EB8">
        <w:trPr>
          <w:cnfStyle w:val="000000100000" w:firstRow="0" w:lastRow="0" w:firstColumn="0" w:lastColumn="0" w:oddVBand="0" w:evenVBand="0" w:oddHBand="1" w:evenHBand="0" w:firstRowFirstColumn="0" w:firstRowLastColumn="0" w:lastRowFirstColumn="0" w:lastRowLastColumn="0"/>
        </w:trPr>
        <w:tc>
          <w:tcPr>
            <w:tcW w:w="2127" w:type="dxa"/>
          </w:tcPr>
          <w:p w14:paraId="3D9D90D6" w14:textId="53B63BD9" w:rsidR="0015504F" w:rsidRDefault="0015504F" w:rsidP="003936E1">
            <w:pPr>
              <w:pStyle w:val="Tabletext"/>
            </w:pPr>
            <w:r>
              <w:t>Plausible high case</w:t>
            </w:r>
          </w:p>
        </w:tc>
        <w:tc>
          <w:tcPr>
            <w:tcW w:w="1417" w:type="dxa"/>
            <w:vAlign w:val="center"/>
          </w:tcPr>
          <w:p w14:paraId="60CA31FD" w14:textId="63D6C3BA" w:rsidR="0015504F" w:rsidRDefault="0015504F" w:rsidP="003936E1">
            <w:pPr>
              <w:pStyle w:val="Tablenumbers"/>
            </w:pPr>
            <w:r>
              <w:t>30.5</w:t>
            </w:r>
          </w:p>
        </w:tc>
        <w:tc>
          <w:tcPr>
            <w:tcW w:w="1417" w:type="dxa"/>
            <w:vAlign w:val="center"/>
          </w:tcPr>
          <w:p w14:paraId="47ECA55B" w14:textId="1DA348AD" w:rsidR="0015504F" w:rsidRDefault="0015504F" w:rsidP="003936E1">
            <w:pPr>
              <w:pStyle w:val="Tablenumbers"/>
            </w:pPr>
            <w:r>
              <w:t>36.6</w:t>
            </w:r>
          </w:p>
        </w:tc>
        <w:tc>
          <w:tcPr>
            <w:tcW w:w="1417" w:type="dxa"/>
            <w:vAlign w:val="center"/>
          </w:tcPr>
          <w:p w14:paraId="5C9063DB" w14:textId="23B36909" w:rsidR="0015504F" w:rsidRDefault="0015504F" w:rsidP="003936E1">
            <w:pPr>
              <w:pStyle w:val="Tablenumbers"/>
            </w:pPr>
            <w:r>
              <w:t>41.9</w:t>
            </w:r>
          </w:p>
        </w:tc>
        <w:tc>
          <w:tcPr>
            <w:tcW w:w="1417" w:type="dxa"/>
            <w:vAlign w:val="center"/>
          </w:tcPr>
          <w:p w14:paraId="2A53B38F" w14:textId="13EA58FE" w:rsidR="0015504F" w:rsidRDefault="0015504F" w:rsidP="003936E1">
            <w:pPr>
              <w:pStyle w:val="Tablenumbers"/>
            </w:pPr>
            <w:r>
              <w:t>47.8</w:t>
            </w:r>
          </w:p>
        </w:tc>
        <w:tc>
          <w:tcPr>
            <w:tcW w:w="1417" w:type="dxa"/>
            <w:vAlign w:val="center"/>
          </w:tcPr>
          <w:p w14:paraId="681C371C" w14:textId="4709286F" w:rsidR="0015504F" w:rsidRDefault="0015504F" w:rsidP="003936E1">
            <w:pPr>
              <w:pStyle w:val="Tablenumbers"/>
            </w:pPr>
            <w:r>
              <w:t>74.2</w:t>
            </w:r>
          </w:p>
        </w:tc>
      </w:tr>
    </w:tbl>
    <w:p w14:paraId="4A6C43EA" w14:textId="5C2C9516" w:rsidR="003A2617" w:rsidRDefault="003A2617" w:rsidP="003A2617">
      <w:pPr>
        <w:pStyle w:val="Tablenotesorsource"/>
      </w:pPr>
      <w:r>
        <w:t xml:space="preserve">Note: This accrual basis is consistent with the AFSR presentation. Cash basis is about 1% lower ($40.8B in 2024-25 and $58.5B in 2029-30 for the baseline scenario) and is used for detailed modelling such as results presented in Section </w:t>
      </w:r>
      <w:r>
        <w:fldChar w:fldCharType="begin"/>
      </w:r>
      <w:r>
        <w:instrText xml:space="preserve"> REF _Ref88582485 \r \h </w:instrText>
      </w:r>
      <w:r>
        <w:fldChar w:fldCharType="separate"/>
      </w:r>
      <w:r w:rsidR="00E6217F">
        <w:t>5</w:t>
      </w:r>
      <w:r>
        <w:fldChar w:fldCharType="end"/>
      </w:r>
      <w:r>
        <w:t>.</w:t>
      </w:r>
    </w:p>
    <w:p w14:paraId="3D9E7DB7" w14:textId="091FF311" w:rsidR="001F5811" w:rsidRDefault="00734F9A" w:rsidP="00734F9A">
      <w:pPr>
        <w:pStyle w:val="Caption"/>
      </w:pPr>
      <w:r>
        <w:t xml:space="preserve">Figure </w:t>
      </w:r>
      <w:r w:rsidR="009366CE">
        <w:fldChar w:fldCharType="begin"/>
      </w:r>
      <w:r w:rsidR="009366CE">
        <w:instrText xml:space="preserve"> STYLEREF 1 \s </w:instrText>
      </w:r>
      <w:r w:rsidR="009366CE">
        <w:fldChar w:fldCharType="separate"/>
      </w:r>
      <w:r w:rsidR="00E6217F">
        <w:rPr>
          <w:noProof/>
        </w:rPr>
        <w:t>2</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w:t>
      </w:r>
      <w:r w:rsidR="009366CE">
        <w:fldChar w:fldCharType="end"/>
      </w:r>
      <w:r>
        <w:t xml:space="preserve"> </w:t>
      </w:r>
      <w:r w:rsidR="001C13F1">
        <w:t xml:space="preserve">– </w:t>
      </w:r>
      <w:r>
        <w:t>Baseline estimates and plausible range</w:t>
      </w:r>
      <w:r w:rsidR="00C13EB8">
        <w:t>, 2020-21 AFSR</w:t>
      </w:r>
      <w:r w:rsidR="000C38E1">
        <w:t xml:space="preserve"> (</w:t>
      </w:r>
      <w:r w:rsidR="003E0DC3">
        <w:t xml:space="preserve">$B, </w:t>
      </w:r>
      <w:r w:rsidR="000C38E1">
        <w:t>accrual basis)</w:t>
      </w:r>
    </w:p>
    <w:p w14:paraId="1006234A" w14:textId="7BE76C44" w:rsidR="00734F9A" w:rsidRDefault="00734F9A" w:rsidP="00E4084A">
      <w:r w:rsidRPr="00734F9A">
        <w:rPr>
          <w:noProof/>
        </w:rPr>
        <w:drawing>
          <wp:inline distT="0" distB="0" distL="0" distR="0" wp14:anchorId="698D46F7" wp14:editId="6B0D5DB1">
            <wp:extent cx="3967701" cy="2488010"/>
            <wp:effectExtent l="0" t="0" r="0" b="7620"/>
            <wp:docPr id="11" name="Picture 11" descr="2020-2021. 2021 AFSR Baseline. 23.2. Plausible low case. 23.2. Plausible high case. 23.2.&#10;2021-2022. Baseline. 29.2. low. 28.3. high. 30.5.&#10;2022-2023. Baseline. 33.9. low. 32.5. high. 36.6.&#10;2023-2024. Baseline. 38. low. 36. high. 41.9.&#10;2024-2025. Baseline. 41.4. low. 39. high. 47.8.&#10;2025-2026. Baseline. 44.5. low. 41.5. high. 52.&#10;2026-2027. Baseline. 47.8. low. 44.1. high. 56.6.&#10;2027-2028. Baseline. 51.3. low. 47. high. 61.8.&#10;2028-2029. Baseline. 55.2. low. 50. high. 67.6.&#10;2029-2030. Baseline. 59.3. low. 53.2. high.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2020-2021. 2021 AFSR Baseline. 23.2. Plausible low case. 23.2. Plausible high case. 23.2.&#10;2021-2022. Baseline. 29.2. low. 28.3. high. 30.5.&#10;2022-2023. Baseline. 33.9. low. 32.5. high. 36.6.&#10;2023-2024. Baseline. 38. low. 36. high. 41.9.&#10;2024-2025. Baseline. 41.4. low. 39. high. 47.8.&#10;2025-2026. Baseline. 44.5. low. 41.5. high. 52.&#10;2026-2027. Baseline. 47.8. low. 44.1. high. 56.6.&#10;2027-2028. Baseline. 51.3. low. 47. high. 61.8.&#10;2028-2029. Baseline. 55.2. low. 50. high. 67.6.&#10;2029-2030. Baseline. 59.3. low. 53.2. high. 74.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979305" cy="2495286"/>
                    </a:xfrm>
                    <a:prstGeom prst="rect">
                      <a:avLst/>
                    </a:prstGeom>
                    <a:noFill/>
                    <a:ln>
                      <a:noFill/>
                    </a:ln>
                  </pic:spPr>
                </pic:pic>
              </a:graphicData>
            </a:graphic>
          </wp:inline>
        </w:drawing>
      </w:r>
    </w:p>
    <w:p w14:paraId="78317020" w14:textId="7F9E55BA" w:rsidR="00734F9A" w:rsidRDefault="00734F9A" w:rsidP="00490F44">
      <w:pPr>
        <w:keepNext/>
      </w:pPr>
      <w:r>
        <w:t xml:space="preserve">Some important </w:t>
      </w:r>
      <w:r w:rsidR="003936E1">
        <w:t xml:space="preserve">comments </w:t>
      </w:r>
      <w:r>
        <w:t>on these forecasts:</w:t>
      </w:r>
    </w:p>
    <w:p w14:paraId="689DCB7C" w14:textId="5ACC2135" w:rsidR="00734F9A" w:rsidRDefault="00734F9A" w:rsidP="00734F9A">
      <w:pPr>
        <w:pStyle w:val="Bullet1"/>
      </w:pPr>
      <w:r>
        <w:t xml:space="preserve">The baseline estimates are set using assumptions that the </w:t>
      </w:r>
      <w:r w:rsidR="00132D7A">
        <w:t>S</w:t>
      </w:r>
      <w:r>
        <w:t xml:space="preserve">cheme </w:t>
      </w:r>
      <w:r w:rsidR="00132D7A">
        <w:t>A</w:t>
      </w:r>
      <w:r>
        <w:t xml:space="preserve">ctuary judges to be most </w:t>
      </w:r>
      <w:r w:rsidR="00806732">
        <w:t>appropriate</w:t>
      </w:r>
      <w:r>
        <w:t xml:space="preserve">. </w:t>
      </w:r>
      <w:r w:rsidR="00806732">
        <w:t xml:space="preserve">They carry more upside risk than downside risk (see Section 6.1 of the </w:t>
      </w:r>
      <w:r w:rsidR="003936E1">
        <w:t>20</w:t>
      </w:r>
      <w:r w:rsidR="009A1371">
        <w:t>20-</w:t>
      </w:r>
      <w:r w:rsidR="003936E1">
        <w:t xml:space="preserve">21 </w:t>
      </w:r>
      <w:r w:rsidR="00806732">
        <w:t xml:space="preserve">AFSR), meaning that baseline estimates sit towards the lower end of the plausible range. In this sense the baseline estimate is not a </w:t>
      </w:r>
      <w:r w:rsidR="00132D7A">
        <w:t xml:space="preserve">statistical average </w:t>
      </w:r>
      <w:r w:rsidR="00806732">
        <w:t>of future costs</w:t>
      </w:r>
      <w:r w:rsidR="003936E1">
        <w:t xml:space="preserve"> which </w:t>
      </w:r>
      <w:r w:rsidR="00806732">
        <w:t xml:space="preserve">also means </w:t>
      </w:r>
      <w:r w:rsidR="003936E1">
        <w:t>there is a greater chance of underestimating costs than overestimating</w:t>
      </w:r>
      <w:r w:rsidR="00243F4C">
        <w:rPr>
          <w:rStyle w:val="FootnoteReference"/>
        </w:rPr>
        <w:footnoteReference w:id="5"/>
      </w:r>
      <w:r w:rsidR="00806732">
        <w:t>.</w:t>
      </w:r>
    </w:p>
    <w:p w14:paraId="1745873D" w14:textId="3489001E" w:rsidR="00806732" w:rsidRDefault="00806732" w:rsidP="00806732">
      <w:pPr>
        <w:pStyle w:val="Bullet1"/>
      </w:pPr>
      <w:r>
        <w:t xml:space="preserve">The plausible range is </w:t>
      </w:r>
      <w:r w:rsidR="00580151">
        <w:t xml:space="preserve">relatively large. For 2024-25 the range is </w:t>
      </w:r>
      <w:r>
        <w:t xml:space="preserve">$8.9B, </w:t>
      </w:r>
      <w:r w:rsidR="00580151">
        <w:t xml:space="preserve">about a fifth of the baseline estimate. This </w:t>
      </w:r>
      <w:r>
        <w:t>reflects a high degree of uncertainty</w:t>
      </w:r>
      <w:r w:rsidR="00580151">
        <w:t xml:space="preserve"> in some assumptions</w:t>
      </w:r>
      <w:r>
        <w:t xml:space="preserve">. Cost escalation assumptions dominate this </w:t>
      </w:r>
      <w:r w:rsidR="00580151">
        <w:t xml:space="preserve">uncertainty in the short-term, but participant numbers are a significant </w:t>
      </w:r>
      <w:r w:rsidR="003936E1">
        <w:t xml:space="preserve">source </w:t>
      </w:r>
      <w:r w:rsidR="00580151">
        <w:t>of longer-term uncertainty.</w:t>
      </w:r>
    </w:p>
    <w:p w14:paraId="1F772025" w14:textId="33E35865" w:rsidR="00580151" w:rsidRDefault="00580151" w:rsidP="00580151">
      <w:pPr>
        <w:pStyle w:val="Bullet1"/>
      </w:pPr>
      <w:r>
        <w:t xml:space="preserve">The plausible range grows in width as the time horizon lengthens. The range as a fraction of baseline estimates </w:t>
      </w:r>
      <w:r w:rsidR="00EF083B">
        <w:t>rises from 21% in 2024-25 to 35% in 2029-30. Uncertainty in assumption-setting compounds over time, creating an expanding ‘funnel of doubt’.</w:t>
      </w:r>
    </w:p>
    <w:tbl>
      <w:tblPr>
        <w:tblStyle w:val="TFBlue"/>
        <w:tblW w:w="0" w:type="auto"/>
        <w:tblLook w:val="04A0" w:firstRow="1" w:lastRow="0" w:firstColumn="1" w:lastColumn="0" w:noHBand="0" w:noVBand="1"/>
      </w:tblPr>
      <w:tblGrid>
        <w:gridCol w:w="9412"/>
      </w:tblGrid>
      <w:tr w:rsidR="00490F44" w14:paraId="1F0B3AB4" w14:textId="77777777" w:rsidTr="00490F44">
        <w:trPr>
          <w:cnfStyle w:val="100000000000" w:firstRow="1" w:lastRow="0" w:firstColumn="0" w:lastColumn="0" w:oddVBand="0" w:evenVBand="0" w:oddHBand="0" w:evenHBand="0" w:firstRowFirstColumn="0" w:firstRowLastColumn="0" w:lastRowFirstColumn="0" w:lastRowLastColumn="0"/>
        </w:trPr>
        <w:tc>
          <w:tcPr>
            <w:tcW w:w="9628" w:type="dxa"/>
            <w:tcBorders>
              <w:top w:val="nil"/>
              <w:bottom w:val="nil"/>
            </w:tcBorders>
            <w:shd w:val="clear" w:color="auto" w:fill="DDF0FF"/>
          </w:tcPr>
          <w:p w14:paraId="5CFE3384" w14:textId="3A0655A6" w:rsidR="00490F44" w:rsidRDefault="00490F44" w:rsidP="00580151">
            <w:r w:rsidRPr="00490F44">
              <w:t xml:space="preserve">Overall, we </w:t>
            </w:r>
            <w:r w:rsidR="009A1371">
              <w:t xml:space="preserve">find </w:t>
            </w:r>
            <w:r w:rsidRPr="00490F44">
              <w:t>that that baseline estimates may represent a moderate underestimate of the expected value of future costs. The plausible ranges set out in the AFSR 2020-21 are reasonable.</w:t>
            </w:r>
          </w:p>
        </w:tc>
      </w:tr>
    </w:tbl>
    <w:p w14:paraId="02F1A292" w14:textId="3353EF3B" w:rsidR="006606FA" w:rsidRDefault="006606FA" w:rsidP="00580151">
      <w:r>
        <w:t xml:space="preserve">While this report does not seek to introduce a new estimate of NDIS costs to compete with those already in circulation, we regard the middle of the AFSR plausible range as a better guide to expected </w:t>
      </w:r>
      <w:r w:rsidR="007A5D84">
        <w:t>Scheme</w:t>
      </w:r>
      <w:r>
        <w:t xml:space="preserve"> costs.</w:t>
      </w:r>
    </w:p>
    <w:p w14:paraId="7C3F2B37" w14:textId="3608FB0B" w:rsidR="00D302EF" w:rsidRDefault="00D302EF" w:rsidP="00580151">
      <w:r>
        <w:t xml:space="preserve">In coming to our judgement of a </w:t>
      </w:r>
      <w:r w:rsidR="00DA2EE6">
        <w:t xml:space="preserve">likely </w:t>
      </w:r>
      <w:r>
        <w:t>moderate under</w:t>
      </w:r>
      <w:r w:rsidR="00A9248A">
        <w:t>estimation</w:t>
      </w:r>
      <w:r>
        <w:t xml:space="preserve">, we </w:t>
      </w:r>
      <w:r w:rsidR="00842C8C">
        <w:t xml:space="preserve">acknowledge the high </w:t>
      </w:r>
      <w:r w:rsidR="00DA2EE6">
        <w:t>degree</w:t>
      </w:r>
      <w:r w:rsidR="00842C8C">
        <w:t xml:space="preserve"> of uncertainty but believe a number of factors </w:t>
      </w:r>
      <w:r w:rsidR="009A1371">
        <w:t xml:space="preserve">will lead to </w:t>
      </w:r>
      <w:r w:rsidR="00842C8C">
        <w:t>further upwards cost pressure</w:t>
      </w:r>
      <w:r>
        <w:t>:</w:t>
      </w:r>
    </w:p>
    <w:p w14:paraId="577E217A" w14:textId="79A03124" w:rsidR="006B28A0" w:rsidRDefault="006B28A0" w:rsidP="006B28A0">
      <w:pPr>
        <w:pStyle w:val="Bullet1"/>
      </w:pPr>
      <w:r>
        <w:t xml:space="preserve">Long-term entry numbers have been set at 60,000 a year (plus </w:t>
      </w:r>
      <w:r w:rsidR="009A1371">
        <w:t xml:space="preserve">an </w:t>
      </w:r>
      <w:r>
        <w:t>adjustment for population growth)</w:t>
      </w:r>
      <w:r w:rsidR="004C4393" w:rsidRPr="004C4393">
        <w:t xml:space="preserve"> </w:t>
      </w:r>
      <w:r w:rsidR="004C4393">
        <w:t xml:space="preserve">in the 2020-21 AFSR, a significant increase on previous reviews. This increase seems justified given the recent entry numbers, ongoing high enrolment numbers in trial regions and shifts in prevalence rates. The adopted rate </w:t>
      </w:r>
      <w:r>
        <w:t xml:space="preserve">sits below the entry rates recently seen </w:t>
      </w:r>
      <w:r w:rsidR="00DD0175">
        <w:t xml:space="preserve">(70,000 in 2020-21 excluding those transferring from State and Commonwealth programs) </w:t>
      </w:r>
      <w:r w:rsidR="004C4393">
        <w:t>and appears reasonable</w:t>
      </w:r>
      <w:r>
        <w:t xml:space="preserve">. </w:t>
      </w:r>
      <w:r w:rsidR="006606FA">
        <w:t xml:space="preserve">Beyond 2024-25 there is both upside and downside risk; it may be that </w:t>
      </w:r>
      <w:r w:rsidR="004C4393">
        <w:t>new entrant numbers plateau, on the other hand, disability prevalence as implied by the number of participants in the Scheme may continue to rise</w:t>
      </w:r>
      <w:r w:rsidR="006606FA">
        <w:t>.</w:t>
      </w:r>
    </w:p>
    <w:p w14:paraId="71AB4820" w14:textId="0CEE440C" w:rsidR="00DD0175" w:rsidRDefault="00DD0175" w:rsidP="00DD0175">
      <w:pPr>
        <w:pStyle w:val="Bullet1"/>
      </w:pPr>
      <w:r>
        <w:t xml:space="preserve">Longer-term non-mortality exit rates have been set at three times the current exit rate. </w:t>
      </w:r>
      <w:r w:rsidR="009A1371">
        <w:t>Without a concerted effort and new initiatives, t</w:t>
      </w:r>
      <w:r>
        <w:t>his appears unlikely to occur</w:t>
      </w:r>
      <w:r w:rsidR="009A1371">
        <w:t>.</w:t>
      </w:r>
    </w:p>
    <w:p w14:paraId="705B0638" w14:textId="41C16D13" w:rsidR="008A20FB" w:rsidRDefault="008A20FB" w:rsidP="008A20FB">
      <w:pPr>
        <w:pStyle w:val="Bullet1"/>
      </w:pPr>
      <w:r>
        <w:t>Base inflation (relating to the prices paid for goods and services) has been reduced from 4% p.a. to 3.2% p.a. in the 2020-21 AFSR, with close to no allowance for ‘superimposed inflation’ above this level beyond 2024-25. While 3.2% p.a. is plausible, it does not represent the mid-range of potential cost escalation scenarios; there is a material likelihood that increasing demand for additional services (either breadth or volume), plus the potential for wages to grow faster than 3.5%, means that we would adopt a higher rate in the later years.</w:t>
      </w:r>
    </w:p>
    <w:p w14:paraId="6AC4B867" w14:textId="4EC0871A" w:rsidR="006B28A0" w:rsidRDefault="00C7178F" w:rsidP="006B28A0">
      <w:pPr>
        <w:pStyle w:val="Bullet1"/>
      </w:pPr>
      <w:bookmarkStart w:id="74" w:name="_Hlk87709655"/>
      <w:r>
        <w:t xml:space="preserve">The superimposed inflation assumption </w:t>
      </w:r>
      <w:r w:rsidR="002A6AA8">
        <w:t xml:space="preserve">incorporates </w:t>
      </w:r>
      <w:r>
        <w:t xml:space="preserve">a </w:t>
      </w:r>
      <w:r w:rsidR="002A6AA8">
        <w:t xml:space="preserve">range </w:t>
      </w:r>
      <w:r>
        <w:t xml:space="preserve">of </w:t>
      </w:r>
      <w:r w:rsidR="002A6AA8">
        <w:t>potential cost drivers</w:t>
      </w:r>
      <w:r>
        <w:t xml:space="preserve">. </w:t>
      </w:r>
      <w:r w:rsidR="00A77878" w:rsidRPr="00332DAA">
        <w:t>It encompasses</w:t>
      </w:r>
      <w:r w:rsidR="00A77878">
        <w:t xml:space="preserve"> duration effects (people learn to use the plans more effectively over time), functional ability changes (a significant portion of the </w:t>
      </w:r>
      <w:r w:rsidR="007A5D84">
        <w:t>Scheme</w:t>
      </w:r>
      <w:r w:rsidR="00A77878">
        <w:t xml:space="preserve"> population is recorded as moving to a lower level of functional ability) and changing volumes and breadth of supports. </w:t>
      </w:r>
      <w:r w:rsidR="00A77878" w:rsidRPr="0046638C">
        <w:t xml:space="preserve">More generally, </w:t>
      </w:r>
      <w:r w:rsidR="00A77878">
        <w:t xml:space="preserve">there is </w:t>
      </w:r>
      <w:r w:rsidR="00A77878" w:rsidRPr="0046638C">
        <w:t>minimal allowance for superimposed inflation from 2025-26</w:t>
      </w:r>
      <w:r w:rsidR="00A77878">
        <w:t xml:space="preserve"> onwards which assumes very tight </w:t>
      </w:r>
      <w:r w:rsidR="007A5D84">
        <w:t>Scheme</w:t>
      </w:r>
      <w:r w:rsidR="00A77878">
        <w:t xml:space="preserve"> management will be able to be maintained for many years, and therefore we consider the current allowance to be on the low side.</w:t>
      </w:r>
    </w:p>
    <w:bookmarkEnd w:id="74"/>
    <w:p w14:paraId="558A0FE7" w14:textId="40FF40E9" w:rsidR="00490F44" w:rsidRDefault="00490F44" w:rsidP="00842C8C">
      <w:r>
        <w:t xml:space="preserve">Impacts of varying specific assumptions are explored in Section </w:t>
      </w:r>
      <w:r w:rsidR="00BD2EF1">
        <w:fldChar w:fldCharType="begin"/>
      </w:r>
      <w:r w:rsidR="00BD2EF1">
        <w:instrText xml:space="preserve"> REF _Ref87710792 \r \h </w:instrText>
      </w:r>
      <w:r w:rsidR="00BD2EF1">
        <w:fldChar w:fldCharType="separate"/>
      </w:r>
      <w:r w:rsidR="00E6217F">
        <w:t>6.2</w:t>
      </w:r>
      <w:r w:rsidR="00BD2EF1">
        <w:fldChar w:fldCharType="end"/>
      </w:r>
      <w:r>
        <w:t>.</w:t>
      </w:r>
    </w:p>
    <w:p w14:paraId="4A339438" w14:textId="4A387D61" w:rsidR="00842C8C" w:rsidRDefault="009A1371" w:rsidP="00842C8C">
      <w:r>
        <w:t xml:space="preserve">The baseline estimate potentially being a moderate </w:t>
      </w:r>
      <w:r w:rsidR="00360451">
        <w:t>underestimation</w:t>
      </w:r>
      <w:r>
        <w:t xml:space="preserve"> of future costs </w:t>
      </w:r>
      <w:r w:rsidR="00842C8C" w:rsidRPr="00A9248A">
        <w:t xml:space="preserve">is </w:t>
      </w:r>
      <w:r w:rsidR="00477793" w:rsidRPr="00A9248A">
        <w:t xml:space="preserve">based on the current operating model of the </w:t>
      </w:r>
      <w:r w:rsidR="007A5D84">
        <w:t>Scheme</w:t>
      </w:r>
      <w:r w:rsidR="00A9248A">
        <w:t xml:space="preserve"> and</w:t>
      </w:r>
      <w:r w:rsidR="00477793" w:rsidRPr="00A9248A">
        <w:t xml:space="preserve"> does not allow for potential operational changes that may alter the growth trajectory</w:t>
      </w:r>
      <w:r w:rsidR="00842C8C" w:rsidRPr="00A9248A">
        <w:t xml:space="preserve">. </w:t>
      </w:r>
      <w:r w:rsidR="00BB075C">
        <w:t xml:space="preserve">Future changes to the </w:t>
      </w:r>
      <w:r w:rsidR="007A5D84">
        <w:t>Scheme</w:t>
      </w:r>
      <w:r w:rsidR="00BB075C">
        <w:t xml:space="preserve"> would obviously have implications for the forecasts</w:t>
      </w:r>
      <w:r w:rsidR="00A9248A" w:rsidRPr="00A9248A">
        <w:t>.</w:t>
      </w:r>
      <w:r w:rsidR="00A9248A">
        <w:t xml:space="preserve"> In our opinion, t</w:t>
      </w:r>
      <w:r w:rsidR="00477793" w:rsidRPr="00A9248A">
        <w:t>he three key areas where the NDIA has some degree of control and which will determine future costs are</w:t>
      </w:r>
      <w:r w:rsidR="00A9248A">
        <w:t>:</w:t>
      </w:r>
      <w:r w:rsidR="00477793" w:rsidRPr="00A9248A">
        <w:t xml:space="preserve"> the number of participants</w:t>
      </w:r>
      <w:r w:rsidR="00A4062D">
        <w:t xml:space="preserve"> entering and leaving the </w:t>
      </w:r>
      <w:r w:rsidR="007A5D84">
        <w:t>Scheme</w:t>
      </w:r>
      <w:r w:rsidR="00477793" w:rsidRPr="00A9248A">
        <w:t xml:space="preserve">, </w:t>
      </w:r>
      <w:r w:rsidR="00842C8C" w:rsidRPr="00A9248A">
        <w:t xml:space="preserve">growth in committed supports </w:t>
      </w:r>
      <w:r w:rsidR="00477793" w:rsidRPr="00A9248A">
        <w:t>and prices paid for services. Of these, control</w:t>
      </w:r>
      <w:r w:rsidR="00A9248A" w:rsidRPr="00A9248A">
        <w:t xml:space="preserve">ling the rate of </w:t>
      </w:r>
      <w:r w:rsidR="00477793" w:rsidRPr="00A9248A">
        <w:t>growth in committed supports</w:t>
      </w:r>
      <w:r w:rsidR="007A5D84">
        <w:t xml:space="preserve"> </w:t>
      </w:r>
      <w:r w:rsidR="006606FA">
        <w:t>may</w:t>
      </w:r>
      <w:r w:rsidR="00A9248A" w:rsidRPr="00A9248A">
        <w:t xml:space="preserve"> have the largest and most immediate impact</w:t>
      </w:r>
      <w:r w:rsidR="009D1821">
        <w:t xml:space="preserve"> on </w:t>
      </w:r>
      <w:r w:rsidR="007A5D84">
        <w:t>Scheme</w:t>
      </w:r>
      <w:r w:rsidR="009D1821">
        <w:t xml:space="preserve"> costs, while recognising that packages </w:t>
      </w:r>
      <w:r w:rsidR="006D3E3D">
        <w:t>should</w:t>
      </w:r>
      <w:r w:rsidR="009D1821">
        <w:t xml:space="preserve"> continue to meet the reasonable and necessary support needs of participants</w:t>
      </w:r>
      <w:r w:rsidR="00A9248A" w:rsidRPr="00A9248A">
        <w:t>.</w:t>
      </w:r>
      <w:r w:rsidR="00A9248A">
        <w:t xml:space="preserve"> </w:t>
      </w:r>
      <w:r w:rsidR="00CB3C8B">
        <w:t xml:space="preserve">See also Section </w:t>
      </w:r>
      <w:r w:rsidR="00CB3C8B">
        <w:fldChar w:fldCharType="begin"/>
      </w:r>
      <w:r w:rsidR="00CB3C8B">
        <w:instrText xml:space="preserve"> REF _Ref87543774 \r \h </w:instrText>
      </w:r>
      <w:r w:rsidR="00CB3C8B">
        <w:fldChar w:fldCharType="separate"/>
      </w:r>
      <w:r w:rsidR="00E6217F">
        <w:t>3.5</w:t>
      </w:r>
      <w:r w:rsidR="00CB3C8B">
        <w:fldChar w:fldCharType="end"/>
      </w:r>
      <w:r w:rsidR="00CB3C8B">
        <w:t xml:space="preserve">, which </w:t>
      </w:r>
      <w:r w:rsidR="009D1821">
        <w:t>shows some evidence that growth in committed supports is moderating</w:t>
      </w:r>
      <w:r w:rsidR="00CB3C8B">
        <w:t xml:space="preserve">. </w:t>
      </w:r>
      <w:r w:rsidR="00E16D0D">
        <w:t xml:space="preserve">Increases and decreases in plans must reflect the changing needs, health and independence of participants which organisationally </w:t>
      </w:r>
      <w:r w:rsidR="00A9248A">
        <w:t xml:space="preserve">will require improved consistency in decision making, a strong monitoring framework and processes </w:t>
      </w:r>
      <w:r w:rsidR="00360451">
        <w:t>that</w:t>
      </w:r>
      <w:r w:rsidR="00360451" w:rsidRPr="00A9248A">
        <w:t xml:space="preserve"> </w:t>
      </w:r>
      <w:r w:rsidR="00A9248A" w:rsidRPr="00A9248A">
        <w:t>are sustainable</w:t>
      </w:r>
      <w:r w:rsidR="00A9248A">
        <w:t xml:space="preserve"> into the future</w:t>
      </w:r>
      <w:r w:rsidR="00A9248A" w:rsidRPr="00A9248A">
        <w:t xml:space="preserve">. </w:t>
      </w:r>
    </w:p>
    <w:p w14:paraId="38739BE6" w14:textId="41103BAE" w:rsidR="00842C8C" w:rsidRDefault="00C42D4C" w:rsidP="006B28A0">
      <w:pPr>
        <w:rPr>
          <w:i/>
          <w:iCs/>
        </w:rPr>
      </w:pPr>
      <w:r>
        <w:t xml:space="preserve">We further discuss the implications of our analysis in </w:t>
      </w:r>
      <w:r w:rsidRPr="00C42D4C">
        <w:t xml:space="preserve">Section </w:t>
      </w:r>
      <w:r w:rsidRPr="00C42D4C">
        <w:fldChar w:fldCharType="begin"/>
      </w:r>
      <w:r w:rsidRPr="00C42D4C">
        <w:instrText xml:space="preserve"> REF _Ref87480034 \r \h </w:instrText>
      </w:r>
      <w:r>
        <w:instrText xml:space="preserve"> \* MERGEFORMAT </w:instrText>
      </w:r>
      <w:r w:rsidRPr="00C42D4C">
        <w:fldChar w:fldCharType="separate"/>
      </w:r>
      <w:r w:rsidR="00E6217F">
        <w:t>9</w:t>
      </w:r>
      <w:r w:rsidRPr="00C42D4C">
        <w:fldChar w:fldCharType="end"/>
      </w:r>
      <w:r w:rsidRPr="00C42D4C">
        <w:t xml:space="preserve"> </w:t>
      </w:r>
      <w:r>
        <w:t>–</w:t>
      </w:r>
      <w:r w:rsidRPr="00C42D4C">
        <w:t xml:space="preserve"> </w:t>
      </w:r>
      <w:r w:rsidRPr="00C42D4C">
        <w:rPr>
          <w:i/>
          <w:iCs/>
        </w:rPr>
        <w:t>Implications</w:t>
      </w:r>
      <w:r>
        <w:rPr>
          <w:i/>
          <w:iCs/>
        </w:rPr>
        <w:t>.</w:t>
      </w:r>
    </w:p>
    <w:p w14:paraId="63639971" w14:textId="17FB9D15" w:rsidR="00951232" w:rsidRDefault="00951232" w:rsidP="00951232">
      <w:r>
        <w:t xml:space="preserve">Our conclusion means that we are confirming a large increase in future </w:t>
      </w:r>
      <w:r w:rsidR="007A5D84">
        <w:t>Scheme</w:t>
      </w:r>
      <w:r>
        <w:t xml:space="preserve"> costs compared to previous estimates. We also make the point here that some of the higher </w:t>
      </w:r>
      <w:r w:rsidR="007A5D84">
        <w:t>Scheme</w:t>
      </w:r>
      <w:r>
        <w:t xml:space="preserve"> costs are effectively ‘locked in’, even with policy and operational responses. For example, suppose we assume:</w:t>
      </w:r>
    </w:p>
    <w:p w14:paraId="7F025DF6" w14:textId="77777777" w:rsidR="00951232" w:rsidRDefault="00951232" w:rsidP="00951232">
      <w:pPr>
        <w:pStyle w:val="Bullet1"/>
      </w:pPr>
      <w:r>
        <w:t>Plans only increase with inflation (3.2%, a blend of price and wage components), and</w:t>
      </w:r>
    </w:p>
    <w:p w14:paraId="18DBA560" w14:textId="71154A24" w:rsidR="00951232" w:rsidRPr="00DC1520" w:rsidRDefault="00951232" w:rsidP="00951232">
      <w:pPr>
        <w:pStyle w:val="Bullet1"/>
      </w:pPr>
      <w:r>
        <w:t xml:space="preserve">Existing participants remain in the </w:t>
      </w:r>
      <w:r w:rsidR="007A5D84">
        <w:t>Scheme</w:t>
      </w:r>
      <w:r>
        <w:t xml:space="preserve"> and increase their plan utilisation by 10 percentage points.</w:t>
      </w:r>
    </w:p>
    <w:p w14:paraId="33EBDCF9" w14:textId="280DEAB2" w:rsidR="00951232" w:rsidRPr="006B28A0" w:rsidRDefault="00951232" w:rsidP="00951232">
      <w:r>
        <w:t>Then 2024-25 costs would be expected to be $3</w:t>
      </w:r>
      <w:r w:rsidR="00D23E1F">
        <w:t>2</w:t>
      </w:r>
      <w:r>
        <w:t xml:space="preserve">B before any allowance for new </w:t>
      </w:r>
      <w:r w:rsidR="007A5D84">
        <w:t>Scheme</w:t>
      </w:r>
      <w:r>
        <w:t xml:space="preserve"> entrants. Therefore</w:t>
      </w:r>
      <w:r w:rsidR="00896394">
        <w:t>,</w:t>
      </w:r>
      <w:r>
        <w:t xml:space="preserve"> we believe that the plausible range sits above baseline estimates made </w:t>
      </w:r>
      <w:r w:rsidR="000F1E12">
        <w:t>previously, such as the 2018-19 AFSR</w:t>
      </w:r>
      <w:r>
        <w:t>.</w:t>
      </w:r>
    </w:p>
    <w:p w14:paraId="52CEB63F" w14:textId="494CDB12" w:rsidR="00A520C9" w:rsidRDefault="00A520C9" w:rsidP="00A520C9">
      <w:pPr>
        <w:pStyle w:val="Heading1"/>
      </w:pPr>
      <w:bookmarkStart w:id="75" w:name="_Toc87700462"/>
      <w:bookmarkStart w:id="76" w:name="_Toc88686114"/>
      <w:r>
        <w:t>Assessment of the Scheme Actuary AFSR model structure</w:t>
      </w:r>
      <w:bookmarkEnd w:id="71"/>
      <w:bookmarkEnd w:id="72"/>
      <w:bookmarkEnd w:id="73"/>
      <w:bookmarkEnd w:id="75"/>
      <w:bookmarkEnd w:id="76"/>
    </w:p>
    <w:p w14:paraId="22D122E2" w14:textId="77777777" w:rsidR="00E30167" w:rsidRDefault="00E30167" w:rsidP="00E30167">
      <w:pPr>
        <w:pStyle w:val="Heading2"/>
      </w:pPr>
      <w:bookmarkStart w:id="77" w:name="_Ref87628444"/>
      <w:bookmarkStart w:id="78" w:name="_Toc87700463"/>
      <w:bookmarkStart w:id="79" w:name="_Toc88686115"/>
      <w:r>
        <w:t>Description of the model</w:t>
      </w:r>
      <w:bookmarkEnd w:id="77"/>
      <w:bookmarkEnd w:id="78"/>
      <w:bookmarkEnd w:id="79"/>
    </w:p>
    <w:p w14:paraId="4C33F3F8" w14:textId="50DD965F" w:rsidR="00E30167" w:rsidRDefault="00E30167" w:rsidP="00E30167">
      <w:r>
        <w:t>This section descri</w:t>
      </w:r>
      <w:r w:rsidR="00B670CC">
        <w:t>bes</w:t>
      </w:r>
      <w:r>
        <w:t xml:space="preserve"> how the actuarial estimates of </w:t>
      </w:r>
      <w:r w:rsidR="007A5D84">
        <w:t>Scheme</w:t>
      </w:r>
      <w:r>
        <w:t xml:space="preserve"> cost are constructed. The projection extends for 20 years, although natural uncertainty means that later years carry far greater uncertainty, but they are useful for seeing the impact of continued action of model assumptions. </w:t>
      </w:r>
    </w:p>
    <w:p w14:paraId="00234FF5" w14:textId="77777777" w:rsidR="00E30167" w:rsidRDefault="00E30167" w:rsidP="00E30167">
      <w:r>
        <w:t>The model itself is implemented in three spreadsheets (assumptions, participant numbers and costs). A core part of the structure is the splitting of participants into cohorts, with separate assumptions (e.g. average payments per year) set for each. The main splits are:</w:t>
      </w:r>
    </w:p>
    <w:p w14:paraId="65BF1BD4" w14:textId="77777777" w:rsidR="00E30167" w:rsidRDefault="00E30167" w:rsidP="00E30167">
      <w:pPr>
        <w:pStyle w:val="Bullet1"/>
      </w:pPr>
      <w:r>
        <w:t>Disability-severity groups – There are 15 disability groups, each of which are split into somewhere between 1 and 9 subgroups based on assessed severity (or functional capacity). These are summarised in the figure below.</w:t>
      </w:r>
    </w:p>
    <w:p w14:paraId="6F9B8C33" w14:textId="6A326457" w:rsidR="00E30167" w:rsidRDefault="00E30167" w:rsidP="00E30167">
      <w:pPr>
        <w:pStyle w:val="Bullet1"/>
      </w:pPr>
      <w:r>
        <w:t xml:space="preserve">Age groups – Nine age groups, including 3 for those under 18:  0-6, 7-14, 15-18, 19-24, 25-34, </w:t>
      </w:r>
      <w:r w:rsidR="00D53DA6">
        <w:t xml:space="preserve">35-44, </w:t>
      </w:r>
      <w:r>
        <w:t>45-54, 55-64 and 65+.</w:t>
      </w:r>
    </w:p>
    <w:p w14:paraId="3D5E763D" w14:textId="77777777" w:rsidR="00E30167" w:rsidRDefault="00E30167" w:rsidP="00E30167">
      <w:pPr>
        <w:pStyle w:val="Bullet1"/>
      </w:pPr>
      <w:r>
        <w:t>Gender – 2 groups</w:t>
      </w:r>
    </w:p>
    <w:p w14:paraId="6BEAE9C9" w14:textId="77777777" w:rsidR="00E30167" w:rsidRDefault="00E30167" w:rsidP="00E30167">
      <w:pPr>
        <w:pStyle w:val="Bullet1"/>
      </w:pPr>
      <w:r>
        <w:t>Indicator for Supported Independent Living – 2 groups.</w:t>
      </w:r>
    </w:p>
    <w:p w14:paraId="2E17A5E1" w14:textId="67CCB3AE" w:rsidR="00E30167" w:rsidRDefault="00E30167" w:rsidP="00E30167">
      <w:r>
        <w:t xml:space="preserve">Multiplying these gives </w:t>
      </w:r>
      <w:r w:rsidRPr="007F35BE">
        <w:rPr>
          <w:b/>
          <w:bCs/>
        </w:rPr>
        <w:t>2</w:t>
      </w:r>
      <w:r w:rsidR="00B670CC">
        <w:rPr>
          <w:b/>
          <w:bCs/>
        </w:rPr>
        <w:t>,</w:t>
      </w:r>
      <w:r w:rsidRPr="007F35BE">
        <w:rPr>
          <w:b/>
          <w:bCs/>
        </w:rPr>
        <w:t>052 cohorts</w:t>
      </w:r>
      <w:r>
        <w:t>, for which assumptions such as numbers and size are then set. While many assumptions are set for all 2,052, some are share</w:t>
      </w:r>
      <w:r w:rsidR="00B670CC">
        <w:t>d</w:t>
      </w:r>
      <w:r>
        <w:t xml:space="preserve"> (e.g. some assumptions might be consistent across gender).</w:t>
      </w:r>
    </w:p>
    <w:p w14:paraId="2082ECA7" w14:textId="74EB98A4" w:rsidR="00E30167" w:rsidRDefault="00E30167" w:rsidP="00946075">
      <w:pPr>
        <w:pStyle w:val="Caption"/>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w:t>
      </w:r>
      <w:r w:rsidR="009366CE">
        <w:fldChar w:fldCharType="end"/>
      </w:r>
      <w:r>
        <w:t xml:space="preserve"> – Severity thresholds for cohort splitting in the AFSR</w:t>
      </w:r>
    </w:p>
    <w:tbl>
      <w:tblPr>
        <w:tblW w:w="8811" w:type="dxa"/>
        <w:tblLook w:val="04A0" w:firstRow="1" w:lastRow="0" w:firstColumn="1" w:lastColumn="0" w:noHBand="0" w:noVBand="1"/>
      </w:tblPr>
      <w:tblGrid>
        <w:gridCol w:w="2835"/>
        <w:gridCol w:w="686"/>
        <w:gridCol w:w="686"/>
        <w:gridCol w:w="686"/>
        <w:gridCol w:w="686"/>
        <w:gridCol w:w="686"/>
        <w:gridCol w:w="686"/>
        <w:gridCol w:w="686"/>
        <w:gridCol w:w="686"/>
        <w:gridCol w:w="686"/>
      </w:tblGrid>
      <w:tr w:rsidR="00946075" w:rsidRPr="00946075" w14:paraId="75516DDA" w14:textId="77777777" w:rsidTr="003F577D">
        <w:trPr>
          <w:trHeight w:val="370"/>
          <w:tblHeader/>
        </w:trPr>
        <w:tc>
          <w:tcPr>
            <w:tcW w:w="2835" w:type="dxa"/>
            <w:tcBorders>
              <w:top w:val="nil"/>
              <w:left w:val="nil"/>
              <w:bottom w:val="nil"/>
              <w:right w:val="nil"/>
            </w:tcBorders>
            <w:shd w:val="clear" w:color="auto" w:fill="auto"/>
            <w:noWrap/>
            <w:vAlign w:val="bottom"/>
            <w:hideMark/>
          </w:tcPr>
          <w:p w14:paraId="3359D462" w14:textId="77777777" w:rsidR="00946075" w:rsidRPr="00946075" w:rsidRDefault="00946075" w:rsidP="00946075">
            <w:pPr>
              <w:spacing w:before="0" w:after="0"/>
              <w:rPr>
                <w:rFonts w:ascii="Times New Roman" w:eastAsia="Times New Roman" w:hAnsi="Times New Roman" w:cs="Times New Roman"/>
                <w:sz w:val="20"/>
                <w:szCs w:val="20"/>
                <w:lang w:val="en-AU" w:eastAsia="zh-CN"/>
              </w:rPr>
            </w:pPr>
          </w:p>
        </w:tc>
        <w:tc>
          <w:tcPr>
            <w:tcW w:w="488" w:type="dxa"/>
            <w:tcBorders>
              <w:top w:val="single" w:sz="4" w:space="0" w:color="FFFFFF"/>
              <w:left w:val="single" w:sz="4" w:space="0" w:color="FFFFFF"/>
              <w:bottom w:val="single" w:sz="4" w:space="0" w:color="FFFFFF"/>
              <w:right w:val="single" w:sz="4" w:space="0" w:color="FFFFFF"/>
            </w:tcBorders>
            <w:shd w:val="clear" w:color="000000" w:fill="006EC8"/>
            <w:noWrap/>
            <w:vAlign w:val="bottom"/>
            <w:hideMark/>
          </w:tcPr>
          <w:p w14:paraId="183574B8"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1</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55CB6466"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2</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76D787AD"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3</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457CE3E5"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4</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633F9F55"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5</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1AD0633D"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6</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477BC917"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7</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72DE5E74"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8</w:t>
            </w:r>
          </w:p>
        </w:tc>
        <w:tc>
          <w:tcPr>
            <w:tcW w:w="686" w:type="dxa"/>
            <w:tcBorders>
              <w:top w:val="single" w:sz="4" w:space="0" w:color="FFFFFF"/>
              <w:left w:val="nil"/>
              <w:bottom w:val="single" w:sz="4" w:space="0" w:color="FFFFFF"/>
              <w:right w:val="single" w:sz="4" w:space="0" w:color="FFFFFF"/>
            </w:tcBorders>
            <w:shd w:val="clear" w:color="000000" w:fill="006EC8"/>
            <w:noWrap/>
            <w:vAlign w:val="bottom"/>
            <w:hideMark/>
          </w:tcPr>
          <w:p w14:paraId="57DA85F2" w14:textId="77777777" w:rsidR="00946075" w:rsidRPr="00946075" w:rsidRDefault="00946075" w:rsidP="00946075">
            <w:pPr>
              <w:spacing w:before="0" w:after="0"/>
              <w:jc w:val="center"/>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Band 9</w:t>
            </w:r>
          </w:p>
        </w:tc>
      </w:tr>
      <w:tr w:rsidR="00946075" w:rsidRPr="00946075" w14:paraId="3927A18B" w14:textId="77777777" w:rsidTr="00946075">
        <w:trPr>
          <w:trHeight w:val="370"/>
        </w:trPr>
        <w:tc>
          <w:tcPr>
            <w:tcW w:w="2835" w:type="dxa"/>
            <w:tcBorders>
              <w:top w:val="single" w:sz="4" w:space="0" w:color="FFFFFF"/>
              <w:left w:val="single" w:sz="4" w:space="0" w:color="FFFFFF"/>
              <w:bottom w:val="single" w:sz="4" w:space="0" w:color="FFFFFF"/>
              <w:right w:val="single" w:sz="4" w:space="0" w:color="FFFFFF"/>
            </w:tcBorders>
            <w:shd w:val="clear" w:color="000000" w:fill="006EC8"/>
            <w:noWrap/>
            <w:vAlign w:val="center"/>
            <w:hideMark/>
          </w:tcPr>
          <w:p w14:paraId="4FF03556"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Acquired Brain Injury (ABI)</w:t>
            </w:r>
          </w:p>
        </w:tc>
        <w:tc>
          <w:tcPr>
            <w:tcW w:w="488" w:type="dxa"/>
            <w:tcBorders>
              <w:top w:val="nil"/>
              <w:left w:val="nil"/>
              <w:bottom w:val="single" w:sz="4" w:space="0" w:color="FFFFFF"/>
              <w:right w:val="single" w:sz="4" w:space="0" w:color="FFFFFF"/>
            </w:tcBorders>
            <w:shd w:val="clear" w:color="000000" w:fill="BFE2FF"/>
            <w:noWrap/>
            <w:vAlign w:val="center"/>
            <w:hideMark/>
          </w:tcPr>
          <w:p w14:paraId="4D3B08DF"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1-4</w:t>
            </w:r>
          </w:p>
        </w:tc>
        <w:tc>
          <w:tcPr>
            <w:tcW w:w="686" w:type="dxa"/>
            <w:tcBorders>
              <w:top w:val="nil"/>
              <w:left w:val="nil"/>
              <w:bottom w:val="single" w:sz="4" w:space="0" w:color="FFFFFF"/>
              <w:right w:val="single" w:sz="4" w:space="0" w:color="FFFFFF"/>
            </w:tcBorders>
            <w:shd w:val="clear" w:color="000000" w:fill="BFE2FF"/>
            <w:noWrap/>
            <w:vAlign w:val="center"/>
            <w:hideMark/>
          </w:tcPr>
          <w:p w14:paraId="6CD02AAD"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5-7</w:t>
            </w:r>
          </w:p>
        </w:tc>
        <w:tc>
          <w:tcPr>
            <w:tcW w:w="686" w:type="dxa"/>
            <w:tcBorders>
              <w:top w:val="nil"/>
              <w:left w:val="nil"/>
              <w:bottom w:val="single" w:sz="4" w:space="0" w:color="FFFFFF"/>
              <w:right w:val="single" w:sz="4" w:space="0" w:color="FFFFFF"/>
            </w:tcBorders>
            <w:shd w:val="clear" w:color="000000" w:fill="BFE2FF"/>
            <w:noWrap/>
            <w:vAlign w:val="center"/>
            <w:hideMark/>
          </w:tcPr>
          <w:p w14:paraId="09021C9F"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8</w:t>
            </w:r>
          </w:p>
        </w:tc>
        <w:tc>
          <w:tcPr>
            <w:tcW w:w="686" w:type="dxa"/>
            <w:tcBorders>
              <w:top w:val="nil"/>
              <w:left w:val="nil"/>
              <w:bottom w:val="single" w:sz="4" w:space="0" w:color="FFFFFF"/>
              <w:right w:val="single" w:sz="4" w:space="0" w:color="FFFFFF"/>
            </w:tcBorders>
            <w:shd w:val="clear" w:color="000000" w:fill="BFE2FF"/>
            <w:noWrap/>
            <w:vAlign w:val="center"/>
            <w:hideMark/>
          </w:tcPr>
          <w:p w14:paraId="3110B749"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w:t>
            </w:r>
          </w:p>
        </w:tc>
        <w:tc>
          <w:tcPr>
            <w:tcW w:w="686" w:type="dxa"/>
            <w:tcBorders>
              <w:top w:val="nil"/>
              <w:left w:val="nil"/>
              <w:bottom w:val="single" w:sz="4" w:space="0" w:color="FFFFFF"/>
              <w:right w:val="single" w:sz="4" w:space="0" w:color="FFFFFF"/>
            </w:tcBorders>
            <w:shd w:val="clear" w:color="000000" w:fill="BFE2FF"/>
            <w:noWrap/>
            <w:vAlign w:val="center"/>
            <w:hideMark/>
          </w:tcPr>
          <w:p w14:paraId="695435D9"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10-11</w:t>
            </w:r>
          </w:p>
        </w:tc>
        <w:tc>
          <w:tcPr>
            <w:tcW w:w="686" w:type="dxa"/>
            <w:tcBorders>
              <w:top w:val="nil"/>
              <w:left w:val="nil"/>
              <w:bottom w:val="single" w:sz="4" w:space="0" w:color="FFFFFF"/>
              <w:right w:val="single" w:sz="4" w:space="0" w:color="FFFFFF"/>
            </w:tcBorders>
            <w:shd w:val="clear" w:color="000000" w:fill="BFE2FF"/>
            <w:noWrap/>
            <w:vAlign w:val="center"/>
            <w:hideMark/>
          </w:tcPr>
          <w:p w14:paraId="5EA2A6DD"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12-13</w:t>
            </w:r>
          </w:p>
        </w:tc>
        <w:tc>
          <w:tcPr>
            <w:tcW w:w="686" w:type="dxa"/>
            <w:tcBorders>
              <w:top w:val="nil"/>
              <w:left w:val="nil"/>
              <w:bottom w:val="single" w:sz="4" w:space="0" w:color="FFFFFF"/>
              <w:right w:val="single" w:sz="4" w:space="0" w:color="FFFFFF"/>
            </w:tcBorders>
            <w:shd w:val="clear" w:color="000000" w:fill="BFE2FF"/>
            <w:noWrap/>
            <w:vAlign w:val="center"/>
            <w:hideMark/>
          </w:tcPr>
          <w:p w14:paraId="20E84EBE"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14-15</w:t>
            </w:r>
          </w:p>
        </w:tc>
        <w:tc>
          <w:tcPr>
            <w:tcW w:w="686" w:type="dxa"/>
            <w:tcBorders>
              <w:top w:val="nil"/>
              <w:left w:val="nil"/>
              <w:bottom w:val="single" w:sz="4" w:space="0" w:color="FFFFFF"/>
              <w:right w:val="single" w:sz="4" w:space="0" w:color="FFFFFF"/>
            </w:tcBorders>
            <w:shd w:val="clear" w:color="000000" w:fill="FFFFFF"/>
            <w:noWrap/>
            <w:vAlign w:val="center"/>
            <w:hideMark/>
          </w:tcPr>
          <w:p w14:paraId="0B219C6E" w14:textId="02996D4F"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37ACD6D" w14:textId="530311B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3A851740"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406D2E42"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Autism</w:t>
            </w:r>
          </w:p>
        </w:tc>
        <w:tc>
          <w:tcPr>
            <w:tcW w:w="488" w:type="dxa"/>
            <w:tcBorders>
              <w:top w:val="nil"/>
              <w:left w:val="nil"/>
              <w:bottom w:val="single" w:sz="4" w:space="0" w:color="FFFFFF"/>
              <w:right w:val="single" w:sz="4" w:space="0" w:color="FFFFFF"/>
            </w:tcBorders>
            <w:shd w:val="clear" w:color="000000" w:fill="BFE2FF"/>
            <w:noWrap/>
            <w:vAlign w:val="center"/>
            <w:hideMark/>
          </w:tcPr>
          <w:p w14:paraId="37946EDF"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1-5</w:t>
            </w:r>
          </w:p>
        </w:tc>
        <w:tc>
          <w:tcPr>
            <w:tcW w:w="686" w:type="dxa"/>
            <w:tcBorders>
              <w:top w:val="nil"/>
              <w:left w:val="nil"/>
              <w:bottom w:val="single" w:sz="4" w:space="0" w:color="FFFFFF"/>
              <w:right w:val="single" w:sz="4" w:space="0" w:color="FFFFFF"/>
            </w:tcBorders>
            <w:shd w:val="clear" w:color="000000" w:fill="BFE2FF"/>
            <w:noWrap/>
            <w:vAlign w:val="center"/>
            <w:hideMark/>
          </w:tcPr>
          <w:p w14:paraId="546E3322"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6-9</w:t>
            </w:r>
          </w:p>
        </w:tc>
        <w:tc>
          <w:tcPr>
            <w:tcW w:w="686" w:type="dxa"/>
            <w:tcBorders>
              <w:top w:val="nil"/>
              <w:left w:val="nil"/>
              <w:bottom w:val="single" w:sz="4" w:space="0" w:color="FFFFFF"/>
              <w:right w:val="single" w:sz="4" w:space="0" w:color="FFFFFF"/>
            </w:tcBorders>
            <w:shd w:val="clear" w:color="000000" w:fill="BFE2FF"/>
            <w:noWrap/>
            <w:vAlign w:val="center"/>
            <w:hideMark/>
          </w:tcPr>
          <w:p w14:paraId="22AC7C31"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10-11</w:t>
            </w:r>
          </w:p>
        </w:tc>
        <w:tc>
          <w:tcPr>
            <w:tcW w:w="686" w:type="dxa"/>
            <w:tcBorders>
              <w:top w:val="nil"/>
              <w:left w:val="nil"/>
              <w:bottom w:val="single" w:sz="4" w:space="0" w:color="FFFFFF"/>
              <w:right w:val="single" w:sz="4" w:space="0" w:color="FFFFFF"/>
            </w:tcBorders>
            <w:shd w:val="clear" w:color="000000" w:fill="BFE2FF"/>
            <w:noWrap/>
            <w:vAlign w:val="center"/>
            <w:hideMark/>
          </w:tcPr>
          <w:p w14:paraId="4E25194D"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12-15</w:t>
            </w:r>
          </w:p>
        </w:tc>
        <w:tc>
          <w:tcPr>
            <w:tcW w:w="686" w:type="dxa"/>
            <w:tcBorders>
              <w:top w:val="nil"/>
              <w:left w:val="nil"/>
              <w:bottom w:val="single" w:sz="4" w:space="0" w:color="FFFFFF"/>
              <w:right w:val="single" w:sz="4" w:space="0" w:color="FFFFFF"/>
            </w:tcBorders>
            <w:shd w:val="clear" w:color="000000" w:fill="FFFFFF"/>
            <w:noWrap/>
            <w:vAlign w:val="center"/>
            <w:hideMark/>
          </w:tcPr>
          <w:p w14:paraId="00486CFA" w14:textId="37CB8528"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58969AA" w14:textId="15C01AB0"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3A79D77" w14:textId="05CC8C89"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050A616" w14:textId="133818E6"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1007B3F" w14:textId="6A1FDAB6"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4D5299B4"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1ED9B35D"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Cerebral Palsy</w:t>
            </w:r>
          </w:p>
        </w:tc>
        <w:tc>
          <w:tcPr>
            <w:tcW w:w="488" w:type="dxa"/>
            <w:tcBorders>
              <w:top w:val="nil"/>
              <w:left w:val="nil"/>
              <w:bottom w:val="single" w:sz="4" w:space="0" w:color="FFFFFF"/>
              <w:right w:val="single" w:sz="4" w:space="0" w:color="FFFFFF"/>
            </w:tcBorders>
            <w:shd w:val="clear" w:color="000000" w:fill="BFE2FF"/>
            <w:noWrap/>
            <w:vAlign w:val="center"/>
            <w:hideMark/>
          </w:tcPr>
          <w:p w14:paraId="20C2CAB5"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w:t>
            </w:r>
          </w:p>
        </w:tc>
        <w:tc>
          <w:tcPr>
            <w:tcW w:w="686" w:type="dxa"/>
            <w:tcBorders>
              <w:top w:val="nil"/>
              <w:left w:val="nil"/>
              <w:bottom w:val="single" w:sz="4" w:space="0" w:color="FFFFFF"/>
              <w:right w:val="single" w:sz="4" w:space="0" w:color="FFFFFF"/>
            </w:tcBorders>
            <w:shd w:val="clear" w:color="000000" w:fill="BFE2FF"/>
            <w:noWrap/>
            <w:vAlign w:val="center"/>
            <w:hideMark/>
          </w:tcPr>
          <w:p w14:paraId="6BE74603"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2-6</w:t>
            </w:r>
          </w:p>
        </w:tc>
        <w:tc>
          <w:tcPr>
            <w:tcW w:w="686" w:type="dxa"/>
            <w:tcBorders>
              <w:top w:val="nil"/>
              <w:left w:val="nil"/>
              <w:bottom w:val="single" w:sz="4" w:space="0" w:color="FFFFFF"/>
              <w:right w:val="single" w:sz="4" w:space="0" w:color="FFFFFF"/>
            </w:tcBorders>
            <w:shd w:val="clear" w:color="000000" w:fill="BFE2FF"/>
            <w:noWrap/>
            <w:vAlign w:val="center"/>
            <w:hideMark/>
          </w:tcPr>
          <w:p w14:paraId="2275CD23"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7-10</w:t>
            </w:r>
          </w:p>
        </w:tc>
        <w:tc>
          <w:tcPr>
            <w:tcW w:w="686" w:type="dxa"/>
            <w:tcBorders>
              <w:top w:val="nil"/>
              <w:left w:val="nil"/>
              <w:bottom w:val="single" w:sz="4" w:space="0" w:color="FFFFFF"/>
              <w:right w:val="single" w:sz="4" w:space="0" w:color="FFFFFF"/>
            </w:tcBorders>
            <w:shd w:val="clear" w:color="000000" w:fill="BFE2FF"/>
            <w:noWrap/>
            <w:vAlign w:val="center"/>
            <w:hideMark/>
          </w:tcPr>
          <w:p w14:paraId="1C4B8EDC"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11-15</w:t>
            </w:r>
          </w:p>
        </w:tc>
        <w:tc>
          <w:tcPr>
            <w:tcW w:w="686" w:type="dxa"/>
            <w:tcBorders>
              <w:top w:val="nil"/>
              <w:left w:val="nil"/>
              <w:bottom w:val="single" w:sz="4" w:space="0" w:color="FFFFFF"/>
              <w:right w:val="single" w:sz="4" w:space="0" w:color="FFFFFF"/>
            </w:tcBorders>
            <w:shd w:val="clear" w:color="000000" w:fill="FFFFFF"/>
            <w:noWrap/>
            <w:vAlign w:val="center"/>
            <w:hideMark/>
          </w:tcPr>
          <w:p w14:paraId="19B44AEB" w14:textId="631669E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4AAC74E" w14:textId="6DEACC4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6ACBC14" w14:textId="63AC243F"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BB7FC57" w14:textId="5DF77E58"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5C5894D5" w14:textId="7AB6E0A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4706683E"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74DF5E90"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Hearing Impairment</w:t>
            </w:r>
          </w:p>
        </w:tc>
        <w:tc>
          <w:tcPr>
            <w:tcW w:w="488" w:type="dxa"/>
            <w:tcBorders>
              <w:top w:val="nil"/>
              <w:left w:val="nil"/>
              <w:bottom w:val="single" w:sz="4" w:space="0" w:color="FFFFFF"/>
              <w:right w:val="single" w:sz="4" w:space="0" w:color="FFFFFF"/>
            </w:tcBorders>
            <w:shd w:val="clear" w:color="000000" w:fill="BFE2FF"/>
            <w:noWrap/>
            <w:vAlign w:val="center"/>
            <w:hideMark/>
          </w:tcPr>
          <w:p w14:paraId="383BA1CA"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1-5</w:t>
            </w:r>
          </w:p>
        </w:tc>
        <w:tc>
          <w:tcPr>
            <w:tcW w:w="686" w:type="dxa"/>
            <w:tcBorders>
              <w:top w:val="nil"/>
              <w:left w:val="nil"/>
              <w:bottom w:val="single" w:sz="4" w:space="0" w:color="FFFFFF"/>
              <w:right w:val="single" w:sz="4" w:space="0" w:color="FFFFFF"/>
            </w:tcBorders>
            <w:shd w:val="clear" w:color="000000" w:fill="BFE2FF"/>
            <w:noWrap/>
            <w:vAlign w:val="center"/>
            <w:hideMark/>
          </w:tcPr>
          <w:p w14:paraId="62BA9660"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6-15</w:t>
            </w:r>
          </w:p>
        </w:tc>
        <w:tc>
          <w:tcPr>
            <w:tcW w:w="686" w:type="dxa"/>
            <w:tcBorders>
              <w:top w:val="nil"/>
              <w:left w:val="nil"/>
              <w:bottom w:val="single" w:sz="4" w:space="0" w:color="FFFFFF"/>
              <w:right w:val="single" w:sz="4" w:space="0" w:color="FFFFFF"/>
            </w:tcBorders>
            <w:shd w:val="clear" w:color="000000" w:fill="FFFFFF"/>
            <w:noWrap/>
            <w:vAlign w:val="center"/>
            <w:hideMark/>
          </w:tcPr>
          <w:p w14:paraId="2B27D278" w14:textId="54D5CCC6"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1C20728" w14:textId="291D9AE1"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B9960E5" w14:textId="6FCB6022"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6272974" w14:textId="6833F39B"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76E0F25" w14:textId="2C1579DF"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0447EDA4" w14:textId="4EF11D7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56744EF8" w14:textId="1303C2E2"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581A8BF3"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5BD9FECB"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Intellectual Disability</w:t>
            </w:r>
          </w:p>
        </w:tc>
        <w:tc>
          <w:tcPr>
            <w:tcW w:w="488" w:type="dxa"/>
            <w:tcBorders>
              <w:top w:val="nil"/>
              <w:left w:val="nil"/>
              <w:bottom w:val="single" w:sz="4" w:space="0" w:color="FFFFFF"/>
              <w:right w:val="single" w:sz="4" w:space="0" w:color="FFFFFF"/>
            </w:tcBorders>
            <w:shd w:val="clear" w:color="000000" w:fill="BFE2FF"/>
            <w:noWrap/>
            <w:vAlign w:val="center"/>
            <w:hideMark/>
          </w:tcPr>
          <w:p w14:paraId="55109DA4"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1-5</w:t>
            </w:r>
          </w:p>
        </w:tc>
        <w:tc>
          <w:tcPr>
            <w:tcW w:w="686" w:type="dxa"/>
            <w:tcBorders>
              <w:top w:val="nil"/>
              <w:left w:val="nil"/>
              <w:bottom w:val="single" w:sz="4" w:space="0" w:color="FFFFFF"/>
              <w:right w:val="single" w:sz="4" w:space="0" w:color="FFFFFF"/>
            </w:tcBorders>
            <w:shd w:val="clear" w:color="000000" w:fill="BFE2FF"/>
            <w:noWrap/>
            <w:vAlign w:val="center"/>
            <w:hideMark/>
          </w:tcPr>
          <w:p w14:paraId="797C8BFE"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6-8</w:t>
            </w:r>
          </w:p>
        </w:tc>
        <w:tc>
          <w:tcPr>
            <w:tcW w:w="686" w:type="dxa"/>
            <w:tcBorders>
              <w:top w:val="nil"/>
              <w:left w:val="nil"/>
              <w:bottom w:val="single" w:sz="4" w:space="0" w:color="FFFFFF"/>
              <w:right w:val="single" w:sz="4" w:space="0" w:color="FFFFFF"/>
            </w:tcBorders>
            <w:shd w:val="clear" w:color="000000" w:fill="BFE2FF"/>
            <w:noWrap/>
            <w:vAlign w:val="center"/>
            <w:hideMark/>
          </w:tcPr>
          <w:p w14:paraId="3A13934C"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9-11</w:t>
            </w:r>
          </w:p>
        </w:tc>
        <w:tc>
          <w:tcPr>
            <w:tcW w:w="686" w:type="dxa"/>
            <w:tcBorders>
              <w:top w:val="nil"/>
              <w:left w:val="nil"/>
              <w:bottom w:val="single" w:sz="4" w:space="0" w:color="FFFFFF"/>
              <w:right w:val="single" w:sz="4" w:space="0" w:color="FFFFFF"/>
            </w:tcBorders>
            <w:shd w:val="clear" w:color="000000" w:fill="BFE2FF"/>
            <w:noWrap/>
            <w:vAlign w:val="center"/>
            <w:hideMark/>
          </w:tcPr>
          <w:p w14:paraId="1C06A68D"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12-15</w:t>
            </w:r>
          </w:p>
        </w:tc>
        <w:tc>
          <w:tcPr>
            <w:tcW w:w="686" w:type="dxa"/>
            <w:tcBorders>
              <w:top w:val="nil"/>
              <w:left w:val="nil"/>
              <w:bottom w:val="single" w:sz="4" w:space="0" w:color="FFFFFF"/>
              <w:right w:val="single" w:sz="4" w:space="0" w:color="FFFFFF"/>
            </w:tcBorders>
            <w:shd w:val="clear" w:color="000000" w:fill="FFFFFF"/>
            <w:noWrap/>
            <w:vAlign w:val="center"/>
            <w:hideMark/>
          </w:tcPr>
          <w:p w14:paraId="46301DD4" w14:textId="1258267B"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EF5271B" w14:textId="5AC8F002"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5DEA0F86" w14:textId="69AC66D3"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76263EA" w14:textId="15F18E49"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49FF8DA" w14:textId="6EEC53F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1C173451"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0D77D16E"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Multiple Sclerosis</w:t>
            </w:r>
          </w:p>
        </w:tc>
        <w:tc>
          <w:tcPr>
            <w:tcW w:w="488" w:type="dxa"/>
            <w:tcBorders>
              <w:top w:val="nil"/>
              <w:left w:val="nil"/>
              <w:bottom w:val="single" w:sz="4" w:space="0" w:color="FFFFFF"/>
              <w:right w:val="single" w:sz="4" w:space="0" w:color="FFFFFF"/>
            </w:tcBorders>
            <w:shd w:val="clear" w:color="000000" w:fill="BFE2FF"/>
            <w:noWrap/>
            <w:vAlign w:val="center"/>
            <w:hideMark/>
          </w:tcPr>
          <w:p w14:paraId="48AA2EDE"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w:t>
            </w:r>
          </w:p>
        </w:tc>
        <w:tc>
          <w:tcPr>
            <w:tcW w:w="686" w:type="dxa"/>
            <w:tcBorders>
              <w:top w:val="nil"/>
              <w:left w:val="nil"/>
              <w:bottom w:val="single" w:sz="4" w:space="0" w:color="FFFFFF"/>
              <w:right w:val="single" w:sz="4" w:space="0" w:color="FFFFFF"/>
            </w:tcBorders>
            <w:shd w:val="clear" w:color="000000" w:fill="BFE2FF"/>
            <w:noWrap/>
            <w:vAlign w:val="center"/>
            <w:hideMark/>
          </w:tcPr>
          <w:p w14:paraId="43D4E68C"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2-5</w:t>
            </w:r>
          </w:p>
        </w:tc>
        <w:tc>
          <w:tcPr>
            <w:tcW w:w="686" w:type="dxa"/>
            <w:tcBorders>
              <w:top w:val="nil"/>
              <w:left w:val="nil"/>
              <w:bottom w:val="single" w:sz="4" w:space="0" w:color="FFFFFF"/>
              <w:right w:val="single" w:sz="4" w:space="0" w:color="FFFFFF"/>
            </w:tcBorders>
            <w:shd w:val="clear" w:color="000000" w:fill="BFE2FF"/>
            <w:noWrap/>
            <w:vAlign w:val="center"/>
            <w:hideMark/>
          </w:tcPr>
          <w:p w14:paraId="599D51EA"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6-8</w:t>
            </w:r>
          </w:p>
        </w:tc>
        <w:tc>
          <w:tcPr>
            <w:tcW w:w="686" w:type="dxa"/>
            <w:tcBorders>
              <w:top w:val="nil"/>
              <w:left w:val="nil"/>
              <w:bottom w:val="single" w:sz="4" w:space="0" w:color="FFFFFF"/>
              <w:right w:val="single" w:sz="4" w:space="0" w:color="FFFFFF"/>
            </w:tcBorders>
            <w:shd w:val="clear" w:color="000000" w:fill="BFE2FF"/>
            <w:noWrap/>
            <w:vAlign w:val="center"/>
            <w:hideMark/>
          </w:tcPr>
          <w:p w14:paraId="035C5BAC"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w:t>
            </w:r>
          </w:p>
        </w:tc>
        <w:tc>
          <w:tcPr>
            <w:tcW w:w="686" w:type="dxa"/>
            <w:tcBorders>
              <w:top w:val="nil"/>
              <w:left w:val="nil"/>
              <w:bottom w:val="single" w:sz="4" w:space="0" w:color="FFFFFF"/>
              <w:right w:val="single" w:sz="4" w:space="0" w:color="FFFFFF"/>
            </w:tcBorders>
            <w:shd w:val="clear" w:color="000000" w:fill="BFE2FF"/>
            <w:noWrap/>
            <w:vAlign w:val="center"/>
            <w:hideMark/>
          </w:tcPr>
          <w:p w14:paraId="09358AE9"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10-11</w:t>
            </w:r>
          </w:p>
        </w:tc>
        <w:tc>
          <w:tcPr>
            <w:tcW w:w="686" w:type="dxa"/>
            <w:tcBorders>
              <w:top w:val="nil"/>
              <w:left w:val="nil"/>
              <w:bottom w:val="single" w:sz="4" w:space="0" w:color="FFFFFF"/>
              <w:right w:val="single" w:sz="4" w:space="0" w:color="FFFFFF"/>
            </w:tcBorders>
            <w:shd w:val="clear" w:color="000000" w:fill="BFE2FF"/>
            <w:noWrap/>
            <w:vAlign w:val="center"/>
            <w:hideMark/>
          </w:tcPr>
          <w:p w14:paraId="661ED3AD"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12-15</w:t>
            </w:r>
          </w:p>
        </w:tc>
        <w:tc>
          <w:tcPr>
            <w:tcW w:w="686" w:type="dxa"/>
            <w:tcBorders>
              <w:top w:val="nil"/>
              <w:left w:val="nil"/>
              <w:bottom w:val="single" w:sz="4" w:space="0" w:color="FFFFFF"/>
              <w:right w:val="single" w:sz="4" w:space="0" w:color="FFFFFF"/>
            </w:tcBorders>
            <w:shd w:val="clear" w:color="000000" w:fill="FFFFFF"/>
            <w:noWrap/>
            <w:vAlign w:val="center"/>
            <w:hideMark/>
          </w:tcPr>
          <w:p w14:paraId="47AB752E" w14:textId="7B5F306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7BB3DAE" w14:textId="0DD1E13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0539F922" w14:textId="47BA2BE3"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13DE24FE"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413ECC49"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Delay</w:t>
            </w:r>
          </w:p>
        </w:tc>
        <w:tc>
          <w:tcPr>
            <w:tcW w:w="488" w:type="dxa"/>
            <w:tcBorders>
              <w:top w:val="nil"/>
              <w:left w:val="nil"/>
              <w:bottom w:val="single" w:sz="4" w:space="0" w:color="FFFFFF"/>
              <w:right w:val="single" w:sz="4" w:space="0" w:color="FFFFFF"/>
            </w:tcBorders>
            <w:shd w:val="clear" w:color="000000" w:fill="BFE2FF"/>
            <w:noWrap/>
            <w:vAlign w:val="center"/>
            <w:hideMark/>
          </w:tcPr>
          <w:p w14:paraId="212FE397"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1-8</w:t>
            </w:r>
          </w:p>
        </w:tc>
        <w:tc>
          <w:tcPr>
            <w:tcW w:w="686" w:type="dxa"/>
            <w:tcBorders>
              <w:top w:val="nil"/>
              <w:left w:val="nil"/>
              <w:bottom w:val="single" w:sz="4" w:space="0" w:color="FFFFFF"/>
              <w:right w:val="single" w:sz="4" w:space="0" w:color="FFFFFF"/>
            </w:tcBorders>
            <w:shd w:val="clear" w:color="000000" w:fill="BFE2FF"/>
            <w:noWrap/>
            <w:vAlign w:val="center"/>
            <w:hideMark/>
          </w:tcPr>
          <w:p w14:paraId="453ACDE1"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9-15</w:t>
            </w:r>
          </w:p>
        </w:tc>
        <w:tc>
          <w:tcPr>
            <w:tcW w:w="686" w:type="dxa"/>
            <w:tcBorders>
              <w:top w:val="nil"/>
              <w:left w:val="nil"/>
              <w:bottom w:val="single" w:sz="4" w:space="0" w:color="FFFFFF"/>
              <w:right w:val="single" w:sz="4" w:space="0" w:color="FFFFFF"/>
            </w:tcBorders>
            <w:shd w:val="clear" w:color="000000" w:fill="FFFFFF"/>
            <w:noWrap/>
            <w:vAlign w:val="center"/>
            <w:hideMark/>
          </w:tcPr>
          <w:p w14:paraId="7BF90926" w14:textId="4C3277AF"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BE103E6" w14:textId="472654B5"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25F433B" w14:textId="248C7F51"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BA2FC82" w14:textId="3CFD1EEB"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6BDEB67" w14:textId="5597E4B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EFCC900" w14:textId="3F2DA43C"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2B7E521" w14:textId="5502594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1FD35E2A"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4C3DDD71"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Other</w:t>
            </w:r>
          </w:p>
        </w:tc>
        <w:tc>
          <w:tcPr>
            <w:tcW w:w="488" w:type="dxa"/>
            <w:tcBorders>
              <w:top w:val="nil"/>
              <w:left w:val="nil"/>
              <w:bottom w:val="single" w:sz="4" w:space="0" w:color="FFFFFF"/>
              <w:right w:val="single" w:sz="4" w:space="0" w:color="FFFFFF"/>
            </w:tcBorders>
            <w:shd w:val="clear" w:color="000000" w:fill="BFE2FF"/>
            <w:noWrap/>
            <w:vAlign w:val="center"/>
            <w:hideMark/>
          </w:tcPr>
          <w:p w14:paraId="7C652897"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1-15</w:t>
            </w:r>
          </w:p>
        </w:tc>
        <w:tc>
          <w:tcPr>
            <w:tcW w:w="686" w:type="dxa"/>
            <w:tcBorders>
              <w:top w:val="nil"/>
              <w:left w:val="nil"/>
              <w:bottom w:val="single" w:sz="4" w:space="0" w:color="FFFFFF"/>
              <w:right w:val="single" w:sz="4" w:space="0" w:color="FFFFFF"/>
            </w:tcBorders>
            <w:shd w:val="clear" w:color="000000" w:fill="FFFFFF"/>
            <w:noWrap/>
            <w:vAlign w:val="center"/>
            <w:hideMark/>
          </w:tcPr>
          <w:p w14:paraId="4FD32250" w14:textId="5627DD92"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1D841D5" w14:textId="526C0FA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062825E" w14:textId="16A0EC1C"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E2FF889" w14:textId="368EA65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015E75F1" w14:textId="199146D5"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FDF4DAF" w14:textId="75571552"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54B3EFB7" w14:textId="28D9D09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6002D37" w14:textId="4725118B"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39BA7270"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0AD03A2B"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Other Neurological</w:t>
            </w:r>
          </w:p>
        </w:tc>
        <w:tc>
          <w:tcPr>
            <w:tcW w:w="488" w:type="dxa"/>
            <w:tcBorders>
              <w:top w:val="nil"/>
              <w:left w:val="nil"/>
              <w:bottom w:val="single" w:sz="4" w:space="0" w:color="FFFFFF"/>
              <w:right w:val="single" w:sz="4" w:space="0" w:color="FFFFFF"/>
            </w:tcBorders>
            <w:shd w:val="clear" w:color="000000" w:fill="BFE2FF"/>
            <w:noWrap/>
            <w:vAlign w:val="center"/>
            <w:hideMark/>
          </w:tcPr>
          <w:p w14:paraId="71542CFB"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1-8</w:t>
            </w:r>
          </w:p>
        </w:tc>
        <w:tc>
          <w:tcPr>
            <w:tcW w:w="686" w:type="dxa"/>
            <w:tcBorders>
              <w:top w:val="nil"/>
              <w:left w:val="nil"/>
              <w:bottom w:val="single" w:sz="4" w:space="0" w:color="FFFFFF"/>
              <w:right w:val="single" w:sz="4" w:space="0" w:color="FFFFFF"/>
            </w:tcBorders>
            <w:shd w:val="clear" w:color="000000" w:fill="BFE2FF"/>
            <w:noWrap/>
            <w:vAlign w:val="center"/>
            <w:hideMark/>
          </w:tcPr>
          <w:p w14:paraId="454E7D36"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9-11</w:t>
            </w:r>
          </w:p>
        </w:tc>
        <w:tc>
          <w:tcPr>
            <w:tcW w:w="686" w:type="dxa"/>
            <w:tcBorders>
              <w:top w:val="nil"/>
              <w:left w:val="nil"/>
              <w:bottom w:val="single" w:sz="4" w:space="0" w:color="FFFFFF"/>
              <w:right w:val="single" w:sz="4" w:space="0" w:color="FFFFFF"/>
            </w:tcBorders>
            <w:shd w:val="clear" w:color="000000" w:fill="BFE2FF"/>
            <w:noWrap/>
            <w:vAlign w:val="center"/>
            <w:hideMark/>
          </w:tcPr>
          <w:p w14:paraId="6F266D56"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12-15</w:t>
            </w:r>
          </w:p>
        </w:tc>
        <w:tc>
          <w:tcPr>
            <w:tcW w:w="686" w:type="dxa"/>
            <w:tcBorders>
              <w:top w:val="nil"/>
              <w:left w:val="nil"/>
              <w:bottom w:val="single" w:sz="4" w:space="0" w:color="FFFFFF"/>
              <w:right w:val="single" w:sz="4" w:space="0" w:color="FFFFFF"/>
            </w:tcBorders>
            <w:shd w:val="clear" w:color="000000" w:fill="FFFFFF"/>
            <w:noWrap/>
            <w:vAlign w:val="center"/>
            <w:hideMark/>
          </w:tcPr>
          <w:p w14:paraId="303D6B96" w14:textId="741EDAA8"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F553056" w14:textId="5EB7651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22C1AB9" w14:textId="3CAD8875"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10A0FFD" w14:textId="6858C253"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A141C26" w14:textId="3023D17B"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088C356" w14:textId="692821A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7158FA1C"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40C5155E"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Other Physical</w:t>
            </w:r>
          </w:p>
        </w:tc>
        <w:tc>
          <w:tcPr>
            <w:tcW w:w="488" w:type="dxa"/>
            <w:tcBorders>
              <w:top w:val="nil"/>
              <w:left w:val="nil"/>
              <w:bottom w:val="single" w:sz="4" w:space="0" w:color="FFFFFF"/>
              <w:right w:val="single" w:sz="4" w:space="0" w:color="FFFFFF"/>
            </w:tcBorders>
            <w:shd w:val="clear" w:color="000000" w:fill="BFE2FF"/>
            <w:noWrap/>
            <w:vAlign w:val="center"/>
            <w:hideMark/>
          </w:tcPr>
          <w:p w14:paraId="63D19974"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1-8</w:t>
            </w:r>
          </w:p>
        </w:tc>
        <w:tc>
          <w:tcPr>
            <w:tcW w:w="686" w:type="dxa"/>
            <w:tcBorders>
              <w:top w:val="nil"/>
              <w:left w:val="nil"/>
              <w:bottom w:val="single" w:sz="4" w:space="0" w:color="FFFFFF"/>
              <w:right w:val="single" w:sz="4" w:space="0" w:color="FFFFFF"/>
            </w:tcBorders>
            <w:shd w:val="clear" w:color="000000" w:fill="BFE2FF"/>
            <w:noWrap/>
            <w:vAlign w:val="center"/>
            <w:hideMark/>
          </w:tcPr>
          <w:p w14:paraId="7AF8DCF7"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9-11</w:t>
            </w:r>
          </w:p>
        </w:tc>
        <w:tc>
          <w:tcPr>
            <w:tcW w:w="686" w:type="dxa"/>
            <w:tcBorders>
              <w:top w:val="nil"/>
              <w:left w:val="nil"/>
              <w:bottom w:val="single" w:sz="4" w:space="0" w:color="FFFFFF"/>
              <w:right w:val="single" w:sz="4" w:space="0" w:color="FFFFFF"/>
            </w:tcBorders>
            <w:shd w:val="clear" w:color="000000" w:fill="BFE2FF"/>
            <w:noWrap/>
            <w:vAlign w:val="center"/>
            <w:hideMark/>
          </w:tcPr>
          <w:p w14:paraId="3841EA2A"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12-15</w:t>
            </w:r>
          </w:p>
        </w:tc>
        <w:tc>
          <w:tcPr>
            <w:tcW w:w="686" w:type="dxa"/>
            <w:tcBorders>
              <w:top w:val="nil"/>
              <w:left w:val="nil"/>
              <w:bottom w:val="single" w:sz="4" w:space="0" w:color="FFFFFF"/>
              <w:right w:val="single" w:sz="4" w:space="0" w:color="FFFFFF"/>
            </w:tcBorders>
            <w:shd w:val="clear" w:color="000000" w:fill="FFFFFF"/>
            <w:noWrap/>
            <w:vAlign w:val="center"/>
            <w:hideMark/>
          </w:tcPr>
          <w:p w14:paraId="53C11F9A" w14:textId="43A0699F"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2E648B0" w14:textId="7C00E40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77F5770" w14:textId="4939F17C"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B4A32CF" w14:textId="4EF1FA63"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88C2835" w14:textId="341F87B9"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3EF6094" w14:textId="38A6A34B"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0DD10565"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7D7FF709" w14:textId="2D333871"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Other SensorySpeech</w:t>
            </w:r>
          </w:p>
        </w:tc>
        <w:tc>
          <w:tcPr>
            <w:tcW w:w="488" w:type="dxa"/>
            <w:tcBorders>
              <w:top w:val="nil"/>
              <w:left w:val="nil"/>
              <w:bottom w:val="single" w:sz="4" w:space="0" w:color="FFFFFF"/>
              <w:right w:val="single" w:sz="4" w:space="0" w:color="FFFFFF"/>
            </w:tcBorders>
            <w:shd w:val="clear" w:color="000000" w:fill="BFE2FF"/>
            <w:noWrap/>
            <w:vAlign w:val="center"/>
            <w:hideMark/>
          </w:tcPr>
          <w:p w14:paraId="3134FFA5"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1-15</w:t>
            </w:r>
          </w:p>
        </w:tc>
        <w:tc>
          <w:tcPr>
            <w:tcW w:w="686" w:type="dxa"/>
            <w:tcBorders>
              <w:top w:val="nil"/>
              <w:left w:val="nil"/>
              <w:bottom w:val="single" w:sz="4" w:space="0" w:color="FFFFFF"/>
              <w:right w:val="single" w:sz="4" w:space="0" w:color="FFFFFF"/>
            </w:tcBorders>
            <w:shd w:val="clear" w:color="000000" w:fill="FFFFFF"/>
            <w:noWrap/>
            <w:vAlign w:val="center"/>
            <w:hideMark/>
          </w:tcPr>
          <w:p w14:paraId="59401BA8" w14:textId="6BD33AF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0B71D726" w14:textId="218A74A5"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9577B7D" w14:textId="57A9A01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C29241C" w14:textId="216FEE32"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15AF466" w14:textId="5E11CB7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95EF007" w14:textId="6BB7126E"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5A2B29DD" w14:textId="694AF860"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4F1DDA6" w14:textId="7C2762CC"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578FD7CE"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26C8B03C"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Psychosocial disability</w:t>
            </w:r>
          </w:p>
        </w:tc>
        <w:tc>
          <w:tcPr>
            <w:tcW w:w="488" w:type="dxa"/>
            <w:tcBorders>
              <w:top w:val="nil"/>
              <w:left w:val="nil"/>
              <w:bottom w:val="single" w:sz="4" w:space="0" w:color="FFFFFF"/>
              <w:right w:val="single" w:sz="4" w:space="0" w:color="FFFFFF"/>
            </w:tcBorders>
            <w:shd w:val="clear" w:color="000000" w:fill="BFE2FF"/>
            <w:noWrap/>
            <w:vAlign w:val="center"/>
            <w:hideMark/>
          </w:tcPr>
          <w:p w14:paraId="7C1DBEA4"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w:t>
            </w:r>
          </w:p>
        </w:tc>
        <w:tc>
          <w:tcPr>
            <w:tcW w:w="686" w:type="dxa"/>
            <w:tcBorders>
              <w:top w:val="nil"/>
              <w:left w:val="nil"/>
              <w:bottom w:val="single" w:sz="4" w:space="0" w:color="FFFFFF"/>
              <w:right w:val="single" w:sz="4" w:space="0" w:color="FFFFFF"/>
            </w:tcBorders>
            <w:shd w:val="clear" w:color="000000" w:fill="BFE2FF"/>
            <w:noWrap/>
            <w:vAlign w:val="center"/>
            <w:hideMark/>
          </w:tcPr>
          <w:p w14:paraId="1C279969"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3-7</w:t>
            </w:r>
          </w:p>
        </w:tc>
        <w:tc>
          <w:tcPr>
            <w:tcW w:w="686" w:type="dxa"/>
            <w:tcBorders>
              <w:top w:val="nil"/>
              <w:left w:val="nil"/>
              <w:bottom w:val="single" w:sz="4" w:space="0" w:color="FFFFFF"/>
              <w:right w:val="single" w:sz="4" w:space="0" w:color="FFFFFF"/>
            </w:tcBorders>
            <w:shd w:val="clear" w:color="000000" w:fill="BFE2FF"/>
            <w:noWrap/>
            <w:vAlign w:val="center"/>
            <w:hideMark/>
          </w:tcPr>
          <w:p w14:paraId="36350020"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8-9</w:t>
            </w:r>
          </w:p>
        </w:tc>
        <w:tc>
          <w:tcPr>
            <w:tcW w:w="686" w:type="dxa"/>
            <w:tcBorders>
              <w:top w:val="nil"/>
              <w:left w:val="nil"/>
              <w:bottom w:val="single" w:sz="4" w:space="0" w:color="FFFFFF"/>
              <w:right w:val="single" w:sz="4" w:space="0" w:color="FFFFFF"/>
            </w:tcBorders>
            <w:shd w:val="clear" w:color="000000" w:fill="BFE2FF"/>
            <w:noWrap/>
            <w:vAlign w:val="center"/>
            <w:hideMark/>
          </w:tcPr>
          <w:p w14:paraId="2A52A132"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10-11</w:t>
            </w:r>
          </w:p>
        </w:tc>
        <w:tc>
          <w:tcPr>
            <w:tcW w:w="686" w:type="dxa"/>
            <w:tcBorders>
              <w:top w:val="nil"/>
              <w:left w:val="nil"/>
              <w:bottom w:val="single" w:sz="4" w:space="0" w:color="FFFFFF"/>
              <w:right w:val="single" w:sz="4" w:space="0" w:color="FFFFFF"/>
            </w:tcBorders>
            <w:shd w:val="clear" w:color="000000" w:fill="BFE2FF"/>
            <w:noWrap/>
            <w:vAlign w:val="center"/>
            <w:hideMark/>
          </w:tcPr>
          <w:p w14:paraId="3EFEBF46"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12-15</w:t>
            </w:r>
          </w:p>
        </w:tc>
        <w:tc>
          <w:tcPr>
            <w:tcW w:w="686" w:type="dxa"/>
            <w:tcBorders>
              <w:top w:val="nil"/>
              <w:left w:val="nil"/>
              <w:bottom w:val="single" w:sz="4" w:space="0" w:color="FFFFFF"/>
              <w:right w:val="single" w:sz="4" w:space="0" w:color="FFFFFF"/>
            </w:tcBorders>
            <w:shd w:val="clear" w:color="000000" w:fill="FFFFFF"/>
            <w:noWrap/>
            <w:vAlign w:val="center"/>
            <w:hideMark/>
          </w:tcPr>
          <w:p w14:paraId="4DFCBE8A" w14:textId="0E0629D8"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426935D" w14:textId="1D7FEF28"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06F051D2" w14:textId="50068109"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C7FA2A8" w14:textId="24911641"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2A899165"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4456CC55"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Spinal Cord Injury</w:t>
            </w:r>
          </w:p>
        </w:tc>
        <w:tc>
          <w:tcPr>
            <w:tcW w:w="488" w:type="dxa"/>
            <w:tcBorders>
              <w:top w:val="nil"/>
              <w:left w:val="nil"/>
              <w:bottom w:val="single" w:sz="4" w:space="0" w:color="FFFFFF"/>
              <w:right w:val="single" w:sz="4" w:space="0" w:color="FFFFFF"/>
            </w:tcBorders>
            <w:shd w:val="clear" w:color="000000" w:fill="BFE2FF"/>
            <w:noWrap/>
            <w:vAlign w:val="center"/>
            <w:hideMark/>
          </w:tcPr>
          <w:p w14:paraId="50E9B231"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1-4</w:t>
            </w:r>
          </w:p>
        </w:tc>
        <w:tc>
          <w:tcPr>
            <w:tcW w:w="686" w:type="dxa"/>
            <w:tcBorders>
              <w:top w:val="nil"/>
              <w:left w:val="nil"/>
              <w:bottom w:val="single" w:sz="4" w:space="0" w:color="FFFFFF"/>
              <w:right w:val="single" w:sz="4" w:space="0" w:color="FFFFFF"/>
            </w:tcBorders>
            <w:shd w:val="clear" w:color="000000" w:fill="BFE2FF"/>
            <w:noWrap/>
            <w:vAlign w:val="center"/>
            <w:hideMark/>
          </w:tcPr>
          <w:p w14:paraId="3065EF6C"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5-7</w:t>
            </w:r>
          </w:p>
        </w:tc>
        <w:tc>
          <w:tcPr>
            <w:tcW w:w="686" w:type="dxa"/>
            <w:tcBorders>
              <w:top w:val="nil"/>
              <w:left w:val="nil"/>
              <w:bottom w:val="single" w:sz="4" w:space="0" w:color="FFFFFF"/>
              <w:right w:val="single" w:sz="4" w:space="0" w:color="FFFFFF"/>
            </w:tcBorders>
            <w:shd w:val="clear" w:color="000000" w:fill="BFE2FF"/>
            <w:noWrap/>
            <w:vAlign w:val="center"/>
            <w:hideMark/>
          </w:tcPr>
          <w:p w14:paraId="519ED21B"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8</w:t>
            </w:r>
          </w:p>
        </w:tc>
        <w:tc>
          <w:tcPr>
            <w:tcW w:w="686" w:type="dxa"/>
            <w:tcBorders>
              <w:top w:val="nil"/>
              <w:left w:val="nil"/>
              <w:bottom w:val="single" w:sz="4" w:space="0" w:color="FFFFFF"/>
              <w:right w:val="single" w:sz="4" w:space="0" w:color="FFFFFF"/>
            </w:tcBorders>
            <w:shd w:val="clear" w:color="000000" w:fill="BFE2FF"/>
            <w:noWrap/>
            <w:vAlign w:val="center"/>
            <w:hideMark/>
          </w:tcPr>
          <w:p w14:paraId="54EF47C6"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9</w:t>
            </w:r>
          </w:p>
        </w:tc>
        <w:tc>
          <w:tcPr>
            <w:tcW w:w="686" w:type="dxa"/>
            <w:tcBorders>
              <w:top w:val="nil"/>
              <w:left w:val="nil"/>
              <w:bottom w:val="single" w:sz="4" w:space="0" w:color="FFFFFF"/>
              <w:right w:val="single" w:sz="4" w:space="0" w:color="FFFFFF"/>
            </w:tcBorders>
            <w:shd w:val="clear" w:color="000000" w:fill="BFE2FF"/>
            <w:noWrap/>
            <w:vAlign w:val="center"/>
            <w:hideMark/>
          </w:tcPr>
          <w:p w14:paraId="7AA15B55"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10-11</w:t>
            </w:r>
          </w:p>
        </w:tc>
        <w:tc>
          <w:tcPr>
            <w:tcW w:w="686" w:type="dxa"/>
            <w:tcBorders>
              <w:top w:val="nil"/>
              <w:left w:val="nil"/>
              <w:bottom w:val="single" w:sz="4" w:space="0" w:color="FFFFFF"/>
              <w:right w:val="single" w:sz="4" w:space="0" w:color="FFFFFF"/>
            </w:tcBorders>
            <w:shd w:val="clear" w:color="000000" w:fill="BFE2FF"/>
            <w:noWrap/>
            <w:vAlign w:val="center"/>
            <w:hideMark/>
          </w:tcPr>
          <w:p w14:paraId="1B39B502"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12</w:t>
            </w:r>
          </w:p>
        </w:tc>
        <w:tc>
          <w:tcPr>
            <w:tcW w:w="686" w:type="dxa"/>
            <w:tcBorders>
              <w:top w:val="nil"/>
              <w:left w:val="nil"/>
              <w:bottom w:val="single" w:sz="4" w:space="0" w:color="FFFFFF"/>
              <w:right w:val="single" w:sz="4" w:space="0" w:color="FFFFFF"/>
            </w:tcBorders>
            <w:shd w:val="clear" w:color="000000" w:fill="BFE2FF"/>
            <w:noWrap/>
            <w:vAlign w:val="center"/>
            <w:hideMark/>
          </w:tcPr>
          <w:p w14:paraId="0FE1BB36"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13</w:t>
            </w:r>
          </w:p>
        </w:tc>
        <w:tc>
          <w:tcPr>
            <w:tcW w:w="686" w:type="dxa"/>
            <w:tcBorders>
              <w:top w:val="nil"/>
              <w:left w:val="nil"/>
              <w:bottom w:val="single" w:sz="4" w:space="0" w:color="FFFFFF"/>
              <w:right w:val="single" w:sz="4" w:space="0" w:color="FFFFFF"/>
            </w:tcBorders>
            <w:shd w:val="clear" w:color="000000" w:fill="BFE2FF"/>
            <w:noWrap/>
            <w:vAlign w:val="center"/>
            <w:hideMark/>
          </w:tcPr>
          <w:p w14:paraId="61D7C3E8"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14</w:t>
            </w:r>
          </w:p>
        </w:tc>
        <w:tc>
          <w:tcPr>
            <w:tcW w:w="686" w:type="dxa"/>
            <w:tcBorders>
              <w:top w:val="nil"/>
              <w:left w:val="nil"/>
              <w:bottom w:val="single" w:sz="4" w:space="0" w:color="FFFFFF"/>
              <w:right w:val="single" w:sz="4" w:space="0" w:color="FFFFFF"/>
            </w:tcBorders>
            <w:shd w:val="clear" w:color="000000" w:fill="BFE2FF"/>
            <w:noWrap/>
            <w:vAlign w:val="center"/>
            <w:hideMark/>
          </w:tcPr>
          <w:p w14:paraId="2D838B73"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15</w:t>
            </w:r>
          </w:p>
        </w:tc>
      </w:tr>
      <w:tr w:rsidR="00946075" w:rsidRPr="00946075" w14:paraId="19A30B74"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7A9BA8A1"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Stroke</w:t>
            </w:r>
          </w:p>
        </w:tc>
        <w:tc>
          <w:tcPr>
            <w:tcW w:w="488" w:type="dxa"/>
            <w:tcBorders>
              <w:top w:val="nil"/>
              <w:left w:val="nil"/>
              <w:bottom w:val="single" w:sz="4" w:space="0" w:color="FFFFFF"/>
              <w:right w:val="single" w:sz="4" w:space="0" w:color="FFFFFF"/>
            </w:tcBorders>
            <w:shd w:val="clear" w:color="000000" w:fill="BFE2FF"/>
            <w:noWrap/>
            <w:vAlign w:val="center"/>
            <w:hideMark/>
          </w:tcPr>
          <w:p w14:paraId="40A119A1"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1-3</w:t>
            </w:r>
          </w:p>
        </w:tc>
        <w:tc>
          <w:tcPr>
            <w:tcW w:w="686" w:type="dxa"/>
            <w:tcBorders>
              <w:top w:val="nil"/>
              <w:left w:val="nil"/>
              <w:bottom w:val="single" w:sz="4" w:space="0" w:color="FFFFFF"/>
              <w:right w:val="single" w:sz="4" w:space="0" w:color="FFFFFF"/>
            </w:tcBorders>
            <w:shd w:val="clear" w:color="000000" w:fill="BFE2FF"/>
            <w:noWrap/>
            <w:vAlign w:val="center"/>
            <w:hideMark/>
          </w:tcPr>
          <w:p w14:paraId="7F611A1D"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4-9</w:t>
            </w:r>
          </w:p>
        </w:tc>
        <w:tc>
          <w:tcPr>
            <w:tcW w:w="686" w:type="dxa"/>
            <w:tcBorders>
              <w:top w:val="nil"/>
              <w:left w:val="nil"/>
              <w:bottom w:val="single" w:sz="4" w:space="0" w:color="FFFFFF"/>
              <w:right w:val="single" w:sz="4" w:space="0" w:color="FFFFFF"/>
            </w:tcBorders>
            <w:shd w:val="clear" w:color="000000" w:fill="BFE2FF"/>
            <w:noWrap/>
            <w:vAlign w:val="center"/>
            <w:hideMark/>
          </w:tcPr>
          <w:p w14:paraId="4B33C890"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10-12</w:t>
            </w:r>
          </w:p>
        </w:tc>
        <w:tc>
          <w:tcPr>
            <w:tcW w:w="686" w:type="dxa"/>
            <w:tcBorders>
              <w:top w:val="nil"/>
              <w:left w:val="nil"/>
              <w:bottom w:val="single" w:sz="4" w:space="0" w:color="FFFFFF"/>
              <w:right w:val="single" w:sz="4" w:space="0" w:color="FFFFFF"/>
            </w:tcBorders>
            <w:shd w:val="clear" w:color="000000" w:fill="BFE2FF"/>
            <w:noWrap/>
            <w:vAlign w:val="center"/>
            <w:hideMark/>
          </w:tcPr>
          <w:p w14:paraId="1CA22A3C"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13-15</w:t>
            </w:r>
          </w:p>
        </w:tc>
        <w:tc>
          <w:tcPr>
            <w:tcW w:w="686" w:type="dxa"/>
            <w:tcBorders>
              <w:top w:val="nil"/>
              <w:left w:val="nil"/>
              <w:bottom w:val="single" w:sz="4" w:space="0" w:color="FFFFFF"/>
              <w:right w:val="single" w:sz="4" w:space="0" w:color="FFFFFF"/>
            </w:tcBorders>
            <w:shd w:val="clear" w:color="000000" w:fill="FFFFFF"/>
            <w:noWrap/>
            <w:vAlign w:val="center"/>
            <w:hideMark/>
          </w:tcPr>
          <w:p w14:paraId="143B052F" w14:textId="6D0F893D"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7429732" w14:textId="0810C9E5"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10AF18B5" w14:textId="071E1CDA"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8538C6E" w14:textId="294595B0"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283F260A" w14:textId="6D8C4725"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r w:rsidR="00946075" w:rsidRPr="00946075" w14:paraId="19F5A642" w14:textId="77777777" w:rsidTr="00946075">
        <w:trPr>
          <w:trHeight w:val="370"/>
        </w:trPr>
        <w:tc>
          <w:tcPr>
            <w:tcW w:w="2835" w:type="dxa"/>
            <w:tcBorders>
              <w:top w:val="nil"/>
              <w:left w:val="single" w:sz="4" w:space="0" w:color="FFFFFF"/>
              <w:bottom w:val="single" w:sz="4" w:space="0" w:color="FFFFFF"/>
              <w:right w:val="single" w:sz="4" w:space="0" w:color="FFFFFF"/>
            </w:tcBorders>
            <w:shd w:val="clear" w:color="000000" w:fill="006EC8"/>
            <w:noWrap/>
            <w:vAlign w:val="center"/>
            <w:hideMark/>
          </w:tcPr>
          <w:p w14:paraId="1EFB0F00" w14:textId="77777777" w:rsidR="00946075" w:rsidRPr="00946075" w:rsidRDefault="00946075" w:rsidP="00946075">
            <w:pPr>
              <w:spacing w:before="0" w:after="0"/>
              <w:rPr>
                <w:rFonts w:ascii="Blanco" w:eastAsia="Times New Roman" w:hAnsi="Blanco" w:cs="Times New Roman"/>
                <w:b/>
                <w:bCs/>
                <w:color w:val="FFFFFF"/>
                <w:sz w:val="20"/>
                <w:szCs w:val="20"/>
                <w:lang w:val="en-AU" w:eastAsia="zh-CN"/>
              </w:rPr>
            </w:pPr>
            <w:r w:rsidRPr="00946075">
              <w:rPr>
                <w:rFonts w:ascii="Blanco" w:eastAsia="Times New Roman" w:hAnsi="Blanco" w:cs="Times New Roman"/>
                <w:b/>
                <w:bCs/>
                <w:color w:val="FFFFFF"/>
                <w:sz w:val="20"/>
                <w:szCs w:val="20"/>
                <w:lang w:val="en-AU" w:eastAsia="zh-CN"/>
              </w:rPr>
              <w:t>Visual Impairment</w:t>
            </w:r>
          </w:p>
        </w:tc>
        <w:tc>
          <w:tcPr>
            <w:tcW w:w="488" w:type="dxa"/>
            <w:tcBorders>
              <w:top w:val="nil"/>
              <w:left w:val="nil"/>
              <w:bottom w:val="single" w:sz="4" w:space="0" w:color="FFFFFF"/>
              <w:right w:val="single" w:sz="4" w:space="0" w:color="FFFFFF"/>
            </w:tcBorders>
            <w:shd w:val="clear" w:color="000000" w:fill="BFE2FF"/>
            <w:noWrap/>
            <w:vAlign w:val="center"/>
            <w:hideMark/>
          </w:tcPr>
          <w:p w14:paraId="207B2CC6"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1-4</w:t>
            </w:r>
          </w:p>
        </w:tc>
        <w:tc>
          <w:tcPr>
            <w:tcW w:w="686" w:type="dxa"/>
            <w:tcBorders>
              <w:top w:val="nil"/>
              <w:left w:val="nil"/>
              <w:bottom w:val="single" w:sz="4" w:space="0" w:color="FFFFFF"/>
              <w:right w:val="single" w:sz="4" w:space="0" w:color="FFFFFF"/>
            </w:tcBorders>
            <w:shd w:val="clear" w:color="000000" w:fill="BFE2FF"/>
            <w:noWrap/>
            <w:vAlign w:val="center"/>
            <w:hideMark/>
          </w:tcPr>
          <w:p w14:paraId="30715D21" w14:textId="77777777"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r w:rsidRPr="00946075">
              <w:rPr>
                <w:rFonts w:ascii="Blanco" w:eastAsia="Times New Roman" w:hAnsi="Blanco" w:cs="Times New Roman"/>
                <w:color w:val="231F20"/>
                <w:sz w:val="20"/>
                <w:szCs w:val="20"/>
                <w:lang w:val="en-AU" w:eastAsia="zh-CN"/>
              </w:rPr>
              <w:t>5-15</w:t>
            </w:r>
          </w:p>
        </w:tc>
        <w:tc>
          <w:tcPr>
            <w:tcW w:w="686" w:type="dxa"/>
            <w:tcBorders>
              <w:top w:val="nil"/>
              <w:left w:val="nil"/>
              <w:bottom w:val="single" w:sz="4" w:space="0" w:color="FFFFFF"/>
              <w:right w:val="single" w:sz="4" w:space="0" w:color="FFFFFF"/>
            </w:tcBorders>
            <w:shd w:val="clear" w:color="000000" w:fill="FFFFFF"/>
            <w:noWrap/>
            <w:vAlign w:val="center"/>
            <w:hideMark/>
          </w:tcPr>
          <w:p w14:paraId="080E937B" w14:textId="399237D9"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323C9D04" w14:textId="39755EC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5A60794B" w14:textId="66C1645C"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421A2017" w14:textId="2434117D"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7F4DF721" w14:textId="7C8FA9BF"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D0EB8F4" w14:textId="2E6FED36"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c>
          <w:tcPr>
            <w:tcW w:w="686" w:type="dxa"/>
            <w:tcBorders>
              <w:top w:val="nil"/>
              <w:left w:val="nil"/>
              <w:bottom w:val="single" w:sz="4" w:space="0" w:color="FFFFFF"/>
              <w:right w:val="single" w:sz="4" w:space="0" w:color="FFFFFF"/>
            </w:tcBorders>
            <w:shd w:val="clear" w:color="000000" w:fill="FFFFFF"/>
            <w:noWrap/>
            <w:vAlign w:val="center"/>
            <w:hideMark/>
          </w:tcPr>
          <w:p w14:paraId="68DA4E2B" w14:textId="16EC0EF4" w:rsidR="00946075" w:rsidRPr="00946075" w:rsidRDefault="00946075" w:rsidP="00946075">
            <w:pPr>
              <w:spacing w:before="0" w:after="0"/>
              <w:jc w:val="center"/>
              <w:rPr>
                <w:rFonts w:ascii="Blanco" w:eastAsia="Times New Roman" w:hAnsi="Blanco" w:cs="Times New Roman"/>
                <w:color w:val="231F20"/>
                <w:sz w:val="20"/>
                <w:szCs w:val="20"/>
                <w:lang w:val="en-AU" w:eastAsia="zh-CN"/>
              </w:rPr>
            </w:pPr>
          </w:p>
        </w:tc>
      </w:tr>
    </w:tbl>
    <w:p w14:paraId="0B6EC6BC" w14:textId="77777777" w:rsidR="00E517E0" w:rsidRDefault="00E517E0" w:rsidP="00E30167"/>
    <w:p w14:paraId="57725832" w14:textId="6FBEF2A0" w:rsidR="00E30167" w:rsidRDefault="00E30167" w:rsidP="00E517E0">
      <w:pPr>
        <w:keepNext/>
      </w:pPr>
      <w:r>
        <w:t>The first stage of the model is a projection of participant numbers. This is a flow-based model where the population is split into individual age years and ‘aged’ through the projection years. This means that within each of the 57 disability-severity-gender groups, assumptions are applied relating to:</w:t>
      </w:r>
    </w:p>
    <w:p w14:paraId="58AE4F67" w14:textId="28B9E7E5" w:rsidR="00E30167" w:rsidRDefault="00E30167" w:rsidP="00E517E0">
      <w:pPr>
        <w:pStyle w:val="Bullet1"/>
        <w:keepNext/>
      </w:pPr>
      <w:r w:rsidRPr="00A34202">
        <w:rPr>
          <w:b/>
          <w:bCs/>
          <w:shd w:val="clear" w:color="auto" w:fill="57E1FF" w:themeFill="accent2" w:themeFillTint="99"/>
        </w:rPr>
        <w:t>Natural aging</w:t>
      </w:r>
      <w:r w:rsidRPr="00CB5855">
        <w:rPr>
          <w:color w:val="006EC8" w:themeColor="accent1"/>
        </w:rPr>
        <w:t xml:space="preserve"> </w:t>
      </w:r>
      <w:r>
        <w:t>of participants where cohorts move up in age every year</w:t>
      </w:r>
    </w:p>
    <w:p w14:paraId="32290912" w14:textId="77777777" w:rsidR="00E30167" w:rsidRDefault="00E30167" w:rsidP="00E517E0">
      <w:pPr>
        <w:pStyle w:val="Bullet1"/>
        <w:keepNext/>
      </w:pPr>
      <w:r w:rsidRPr="00A34202">
        <w:rPr>
          <w:b/>
          <w:bCs/>
          <w:shd w:val="clear" w:color="auto" w:fill="FFA496" w:themeFill="background2" w:themeFillTint="99"/>
        </w:rPr>
        <w:t>Exits from the Scheme</w:t>
      </w:r>
      <w:r w:rsidRPr="00A34202">
        <w:t xml:space="preserve"> </w:t>
      </w:r>
      <w:r>
        <w:t>due to deaths, eligibility being revoked and other reasons</w:t>
      </w:r>
    </w:p>
    <w:p w14:paraId="6B4DCB88" w14:textId="12425639" w:rsidR="00E30167" w:rsidRDefault="00E30167" w:rsidP="00E517E0">
      <w:pPr>
        <w:pStyle w:val="Bullet1"/>
        <w:keepNext/>
      </w:pPr>
      <w:r w:rsidRPr="00A34202">
        <w:rPr>
          <w:b/>
          <w:bCs/>
          <w:shd w:val="clear" w:color="auto" w:fill="53FFE5" w:themeFill="accent6" w:themeFillTint="99"/>
        </w:rPr>
        <w:t>New entrants to the Scheme</w:t>
      </w:r>
      <w:r w:rsidRPr="00A34202">
        <w:t xml:space="preserve"> </w:t>
      </w:r>
      <w:r>
        <w:t xml:space="preserve">arising from new incidences of disabilities, participants transitioning from state and Commonwealth schemes, </w:t>
      </w:r>
      <w:r w:rsidR="00B670CC">
        <w:t xml:space="preserve">and </w:t>
      </w:r>
      <w:r>
        <w:t>previously unmet needs</w:t>
      </w:r>
    </w:p>
    <w:p w14:paraId="22861200" w14:textId="77777777" w:rsidR="00E30167" w:rsidRDefault="00E30167" w:rsidP="00E517E0">
      <w:pPr>
        <w:pStyle w:val="Bullet1"/>
        <w:keepNext/>
      </w:pPr>
      <w:r w:rsidRPr="00A34202">
        <w:rPr>
          <w:b/>
          <w:bCs/>
          <w:shd w:val="clear" w:color="auto" w:fill="FF7297" w:themeFill="accent5" w:themeFillTint="99"/>
        </w:rPr>
        <w:t>Selected transitions between disability groups</w:t>
      </w:r>
      <w:r w:rsidRPr="00A34202">
        <w:t xml:space="preserve"> </w:t>
      </w:r>
      <w:r>
        <w:t>– Participants, already within the Scheme, transitioning in and out of disability types (applicable only for developmental delay, autism and intellectual disabilities).</w:t>
      </w:r>
    </w:p>
    <w:p w14:paraId="0C6D4B91" w14:textId="751C6C3F" w:rsidR="00E30167" w:rsidRPr="00733DFE" w:rsidRDefault="00E30167" w:rsidP="00E30167">
      <w:r>
        <w:t>Once projected, the total number of active participants in each year is separated into</w:t>
      </w:r>
      <w:r w:rsidR="00294E16">
        <w:t xml:space="preserve"> supported independent living (</w:t>
      </w:r>
      <w:r>
        <w:t>SIL</w:t>
      </w:r>
      <w:r w:rsidR="00294E16">
        <w:t>)</w:t>
      </w:r>
      <w:r>
        <w:t xml:space="preserve"> and non-SIL categories using assumptions around future SIL proportions.</w:t>
      </w:r>
    </w:p>
    <w:p w14:paraId="79B8A71B" w14:textId="2F86A027" w:rsidR="00E30167" w:rsidRDefault="00E30167" w:rsidP="00A70124">
      <w:pPr>
        <w:pStyle w:val="Caption"/>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2</w:t>
      </w:r>
      <w:r w:rsidR="009366CE">
        <w:fldChar w:fldCharType="end"/>
      </w:r>
      <w:r>
        <w:t xml:space="preserve"> – Participant numbers flow model for each Disability-severity-gender group</w:t>
      </w:r>
    </w:p>
    <w:p w14:paraId="607366B3" w14:textId="4F9AF0CC" w:rsidR="00A70124" w:rsidRPr="00BE2A24" w:rsidRDefault="00A70124" w:rsidP="00E30167">
      <w:r w:rsidRPr="00A70124">
        <w:rPr>
          <w:noProof/>
        </w:rPr>
        <w:drawing>
          <wp:inline distT="0" distB="0" distL="0" distR="0" wp14:anchorId="0614A205" wp14:editId="447C4D53">
            <wp:extent cx="5976000" cy="3605987"/>
            <wp:effectExtent l="0" t="0" r="5715" b="0"/>
            <wp:docPr id="28" name="Graphic 28" descr="New entrants to scheme - New incidences, transfer from other schemes, previously unmet demand.&#10;&#10;National Disability Insurance Scheme. Active participants aged X in 2021.&#10;&#10;Transition in from other disability group.&#10;&#10;Transition out to other disability group.&#10;&#10;Active participants aged X+1 in 2022. SIL participants. Non-SIL participants.&#10;&#10;Exits from the Scheme - Deaths, other ex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28" descr="New entrants to scheme - New incidences, transfer from other schemes, previously unmet demand.&#10;&#10;National Disability Insurance Scheme. Active participants aged X in 2021.&#10;&#10;Transition in from other disability group.&#10;&#10;Transition out to other disability group.&#10;&#10;Active participants aged X+1 in 2022. SIL participants. Non-SIL participants.&#10;&#10;Exits from the Scheme - Deaths, other exits."/>
                    <pic:cNvPicPr/>
                  </pic:nvPicPr>
                  <pic:blipFill>
                    <a:blip r:embed="rId55">
                      <a:extLst>
                        <a:ext uri="{96DAC541-7B7A-43D3-8B79-37D633B846F1}">
                          <asvg:svgBlip xmlns:asvg="http://schemas.microsoft.com/office/drawing/2016/SVG/main" r:embed="rId56"/>
                        </a:ext>
                      </a:extLst>
                    </a:blip>
                    <a:stretch>
                      <a:fillRect/>
                    </a:stretch>
                  </pic:blipFill>
                  <pic:spPr>
                    <a:xfrm>
                      <a:off x="0" y="0"/>
                      <a:ext cx="5976000" cy="3605987"/>
                    </a:xfrm>
                    <a:prstGeom prst="rect">
                      <a:avLst/>
                    </a:prstGeom>
                  </pic:spPr>
                </pic:pic>
              </a:graphicData>
            </a:graphic>
          </wp:inline>
        </w:drawing>
      </w:r>
    </w:p>
    <w:p w14:paraId="3BEFA51B" w14:textId="77777777" w:rsidR="00E30167" w:rsidRDefault="00E30167" w:rsidP="00E30167"/>
    <w:p w14:paraId="739DBEAB" w14:textId="6ACCBE8F" w:rsidR="00E30167" w:rsidRDefault="00E30167" w:rsidP="00E30167">
      <w:r>
        <w:t>The second step is applying average cost assumptions. There are 15 support categories (spread across core supports, capital and capacity building groups). For each of the 2,052 cohorts a starting level of average payments is set (based on recent history).</w:t>
      </w:r>
    </w:p>
    <w:p w14:paraId="1C9E7FA0" w14:textId="09425009" w:rsidR="00490F44" w:rsidRDefault="00490F44" w:rsidP="00490F44">
      <w:pPr>
        <w:keepNext/>
      </w:pPr>
      <w:r>
        <w:fldChar w:fldCharType="begin"/>
      </w:r>
      <w:r>
        <w:instrText xml:space="preserve"> REF _Ref87022450 \h </w:instrText>
      </w:r>
      <w:r>
        <w:fldChar w:fldCharType="separate"/>
      </w:r>
      <w:r w:rsidR="00E6217F">
        <w:t xml:space="preserve">Table </w:t>
      </w:r>
      <w:r w:rsidR="00E6217F">
        <w:rPr>
          <w:noProof/>
        </w:rPr>
        <w:t>3</w:t>
      </w:r>
      <w:r w:rsidR="00E6217F">
        <w:t>.</w:t>
      </w:r>
      <w:r w:rsidR="00E6217F">
        <w:rPr>
          <w:noProof/>
        </w:rPr>
        <w:t>1</w:t>
      </w:r>
      <w:r>
        <w:fldChar w:fldCharType="end"/>
      </w:r>
      <w:r>
        <w:t xml:space="preserve"> summarises the allocation of 2020-21 payments to different support categories. Core services related to Daily Activities and </w:t>
      </w:r>
      <w:r w:rsidRPr="00942784">
        <w:t>Social Community Civic</w:t>
      </w:r>
      <w:r>
        <w:t xml:space="preserve"> were 73% of payments during 2020-21, which increases to 85% after including </w:t>
      </w:r>
      <w:r w:rsidRPr="00942784">
        <w:t>CB Daily Activities</w:t>
      </w:r>
      <w:r>
        <w:t>. The extent to which these three costs increase will have a large bearing on total future payments and will therefore be areas of focus for this report. While capital purchases can</w:t>
      </w:r>
      <w:r w:rsidR="00B670CC">
        <w:t xml:space="preserve"> be</w:t>
      </w:r>
      <w:r>
        <w:t xml:space="preserve"> </w:t>
      </w:r>
      <w:r w:rsidR="00636FA6">
        <w:t>expensive and</w:t>
      </w:r>
      <w:r>
        <w:t xml:space="preserve"> </w:t>
      </w:r>
      <w:r w:rsidR="00B670CC">
        <w:t xml:space="preserve">may be </w:t>
      </w:r>
      <w:r>
        <w:t>potentially higher recently due to the large number of new joiners than they will be once participants numbers stabilise, they represent only 3.5% of payments and are not a large cause of higher projected payments.</w:t>
      </w:r>
    </w:p>
    <w:p w14:paraId="4BB77307" w14:textId="77777777" w:rsidR="00490F44" w:rsidRDefault="00490F44" w:rsidP="00E30167"/>
    <w:p w14:paraId="05A8995D" w14:textId="7E95060F" w:rsidR="00E30167" w:rsidRDefault="00E30167" w:rsidP="00490F44">
      <w:pPr>
        <w:pStyle w:val="Caption"/>
      </w:pPr>
      <w:bookmarkStart w:id="80" w:name="_Ref87022450"/>
      <w:r>
        <w:t xml:space="preserve">Table </w:t>
      </w:r>
      <w:r w:rsidR="007F6BE8">
        <w:fldChar w:fldCharType="begin"/>
      </w:r>
      <w:r w:rsidR="007F6BE8">
        <w:instrText xml:space="preserve"> STYLEREF 1 \s </w:instrText>
      </w:r>
      <w:r w:rsidR="007F6BE8">
        <w:fldChar w:fldCharType="separate"/>
      </w:r>
      <w:r w:rsidR="00E6217F">
        <w:rPr>
          <w:noProof/>
        </w:rPr>
        <w:t>3</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w:t>
      </w:r>
      <w:r w:rsidR="007F6BE8">
        <w:fldChar w:fldCharType="end"/>
      </w:r>
      <w:bookmarkEnd w:id="80"/>
      <w:r>
        <w:t xml:space="preserve"> – List of Support categories for payment models</w:t>
      </w:r>
    </w:p>
    <w:tbl>
      <w:tblPr>
        <w:tblStyle w:val="TFBlue"/>
        <w:tblW w:w="0" w:type="auto"/>
        <w:tblLook w:val="04A0" w:firstRow="1" w:lastRow="0" w:firstColumn="1" w:lastColumn="0" w:noHBand="0" w:noVBand="1"/>
      </w:tblPr>
      <w:tblGrid>
        <w:gridCol w:w="3146"/>
        <w:gridCol w:w="2808"/>
        <w:gridCol w:w="1701"/>
      </w:tblGrid>
      <w:tr w:rsidR="00E30167" w14:paraId="61B6931A" w14:textId="77777777" w:rsidTr="00640732">
        <w:trPr>
          <w:cnfStyle w:val="100000000000" w:firstRow="1" w:lastRow="0" w:firstColumn="0" w:lastColumn="0" w:oddVBand="0" w:evenVBand="0" w:oddHBand="0" w:evenHBand="0" w:firstRowFirstColumn="0" w:firstRowLastColumn="0" w:lastRowFirstColumn="0" w:lastRowLastColumn="0"/>
        </w:trPr>
        <w:tc>
          <w:tcPr>
            <w:tcW w:w="3146" w:type="dxa"/>
          </w:tcPr>
          <w:p w14:paraId="30104659" w14:textId="6A0A3CA3" w:rsidR="00E30167" w:rsidRPr="00942784" w:rsidRDefault="00E30167" w:rsidP="00490F44">
            <w:pPr>
              <w:keepNext/>
              <w:spacing w:before="20" w:after="20"/>
            </w:pPr>
            <w:r>
              <w:tab/>
            </w:r>
          </w:p>
        </w:tc>
        <w:tc>
          <w:tcPr>
            <w:tcW w:w="2808" w:type="dxa"/>
          </w:tcPr>
          <w:p w14:paraId="7B679BB2" w14:textId="77777777" w:rsidR="00E30167" w:rsidRDefault="00E30167" w:rsidP="00490F44">
            <w:pPr>
              <w:keepNext/>
              <w:spacing w:before="20" w:after="20"/>
            </w:pPr>
            <w:r w:rsidRPr="00942784">
              <w:t>Support Category</w:t>
            </w:r>
          </w:p>
        </w:tc>
        <w:tc>
          <w:tcPr>
            <w:tcW w:w="1701" w:type="dxa"/>
          </w:tcPr>
          <w:p w14:paraId="50CCF3EC" w14:textId="77777777" w:rsidR="00E30167" w:rsidRPr="00942784" w:rsidRDefault="00E30167" w:rsidP="00490F44">
            <w:pPr>
              <w:keepNext/>
              <w:spacing w:before="20" w:after="20"/>
              <w:jc w:val="center"/>
            </w:pPr>
            <w:r>
              <w:t>% of payments in 2020-21</w:t>
            </w:r>
          </w:p>
        </w:tc>
      </w:tr>
      <w:tr w:rsidR="00E30167" w14:paraId="4F454CD0"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Pr>
          <w:p w14:paraId="34363BA4" w14:textId="77777777" w:rsidR="00E30167" w:rsidRPr="005046A1" w:rsidRDefault="00E30167" w:rsidP="00490F44">
            <w:pPr>
              <w:keepNext/>
              <w:spacing w:before="20" w:after="20"/>
              <w:rPr>
                <w:b/>
                <w:bCs/>
              </w:rPr>
            </w:pPr>
            <w:r w:rsidRPr="005046A1">
              <w:rPr>
                <w:b/>
                <w:bCs/>
              </w:rPr>
              <w:t>Core</w:t>
            </w:r>
          </w:p>
        </w:tc>
        <w:tc>
          <w:tcPr>
            <w:tcW w:w="2808" w:type="dxa"/>
          </w:tcPr>
          <w:p w14:paraId="1F9ACB56" w14:textId="77777777" w:rsidR="00E30167" w:rsidRDefault="00E30167" w:rsidP="00490F44">
            <w:pPr>
              <w:keepNext/>
              <w:spacing w:before="20" w:after="20"/>
            </w:pPr>
            <w:r w:rsidRPr="00942784">
              <w:t>Consumables</w:t>
            </w:r>
          </w:p>
        </w:tc>
        <w:tc>
          <w:tcPr>
            <w:tcW w:w="1701" w:type="dxa"/>
          </w:tcPr>
          <w:p w14:paraId="10776408" w14:textId="77777777" w:rsidR="00E30167" w:rsidRPr="00942784" w:rsidRDefault="00E30167" w:rsidP="00490F44">
            <w:pPr>
              <w:keepNext/>
              <w:spacing w:before="20" w:after="20"/>
              <w:ind w:right="462"/>
              <w:jc w:val="right"/>
            </w:pPr>
            <w:r>
              <w:rPr>
                <w:rFonts w:ascii="Blanco" w:hAnsi="Blanco" w:cs="Blanco"/>
                <w:color w:val="333333"/>
                <w:szCs w:val="21"/>
              </w:rPr>
              <w:t>1.9%</w:t>
            </w:r>
          </w:p>
        </w:tc>
      </w:tr>
      <w:tr w:rsidR="00E30167" w14:paraId="3E255B7B" w14:textId="77777777" w:rsidTr="00640732">
        <w:tc>
          <w:tcPr>
            <w:tcW w:w="3146" w:type="dxa"/>
          </w:tcPr>
          <w:p w14:paraId="30A0B376" w14:textId="77777777" w:rsidR="00E30167" w:rsidRPr="005046A1" w:rsidRDefault="00E30167" w:rsidP="00490F44">
            <w:pPr>
              <w:keepNext/>
              <w:spacing w:before="20" w:after="20"/>
              <w:rPr>
                <w:b/>
                <w:bCs/>
              </w:rPr>
            </w:pPr>
          </w:p>
        </w:tc>
        <w:tc>
          <w:tcPr>
            <w:tcW w:w="2808" w:type="dxa"/>
          </w:tcPr>
          <w:p w14:paraId="20117EED" w14:textId="77777777" w:rsidR="00E30167" w:rsidRDefault="00E30167" w:rsidP="00490F44">
            <w:pPr>
              <w:keepNext/>
              <w:spacing w:before="20" w:after="20"/>
            </w:pPr>
            <w:r w:rsidRPr="00942784">
              <w:t>Daily Activities</w:t>
            </w:r>
          </w:p>
        </w:tc>
        <w:tc>
          <w:tcPr>
            <w:tcW w:w="1701" w:type="dxa"/>
          </w:tcPr>
          <w:p w14:paraId="5A3F0165" w14:textId="77777777" w:rsidR="00E30167" w:rsidRPr="00942784" w:rsidRDefault="00E30167" w:rsidP="00490F44">
            <w:pPr>
              <w:keepNext/>
              <w:spacing w:before="20" w:after="20"/>
              <w:ind w:right="462"/>
              <w:jc w:val="right"/>
            </w:pPr>
            <w:r>
              <w:rPr>
                <w:rFonts w:ascii="Blanco" w:hAnsi="Blanco" w:cs="Blanco"/>
                <w:color w:val="333333"/>
                <w:szCs w:val="21"/>
              </w:rPr>
              <w:t>56.1%</w:t>
            </w:r>
          </w:p>
        </w:tc>
      </w:tr>
      <w:tr w:rsidR="00E30167" w14:paraId="452DFE53"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Borders>
              <w:bottom w:val="nil"/>
            </w:tcBorders>
          </w:tcPr>
          <w:p w14:paraId="3A3344B7" w14:textId="77777777" w:rsidR="00E30167" w:rsidRPr="005046A1" w:rsidRDefault="00E30167" w:rsidP="00490F44">
            <w:pPr>
              <w:keepNext/>
              <w:spacing w:before="20" w:after="20"/>
              <w:rPr>
                <w:b/>
                <w:bCs/>
              </w:rPr>
            </w:pPr>
          </w:p>
        </w:tc>
        <w:tc>
          <w:tcPr>
            <w:tcW w:w="2808" w:type="dxa"/>
            <w:tcBorders>
              <w:bottom w:val="nil"/>
            </w:tcBorders>
          </w:tcPr>
          <w:p w14:paraId="5BE001D0" w14:textId="77777777" w:rsidR="00E30167" w:rsidRDefault="00E30167" w:rsidP="00490F44">
            <w:pPr>
              <w:keepNext/>
              <w:spacing w:before="20" w:after="20"/>
            </w:pPr>
            <w:r w:rsidRPr="00942784">
              <w:t>Social Community Civic</w:t>
            </w:r>
          </w:p>
        </w:tc>
        <w:tc>
          <w:tcPr>
            <w:tcW w:w="1701" w:type="dxa"/>
            <w:tcBorders>
              <w:bottom w:val="nil"/>
            </w:tcBorders>
          </w:tcPr>
          <w:p w14:paraId="3BB26087" w14:textId="77777777" w:rsidR="00E30167" w:rsidRPr="00942784" w:rsidRDefault="00E30167" w:rsidP="00490F44">
            <w:pPr>
              <w:keepNext/>
              <w:spacing w:before="20" w:after="20"/>
              <w:ind w:right="462"/>
              <w:jc w:val="right"/>
            </w:pPr>
            <w:r>
              <w:rPr>
                <w:rFonts w:ascii="Blanco" w:hAnsi="Blanco" w:cs="Blanco"/>
                <w:color w:val="333333"/>
                <w:szCs w:val="21"/>
              </w:rPr>
              <w:t>17.0%</w:t>
            </w:r>
          </w:p>
        </w:tc>
      </w:tr>
      <w:tr w:rsidR="00E30167" w14:paraId="18CA29DA" w14:textId="77777777" w:rsidTr="00640732">
        <w:tc>
          <w:tcPr>
            <w:tcW w:w="3146" w:type="dxa"/>
            <w:tcBorders>
              <w:top w:val="nil"/>
              <w:bottom w:val="single" w:sz="4" w:space="0" w:color="006EC8" w:themeColor="accent1"/>
            </w:tcBorders>
          </w:tcPr>
          <w:p w14:paraId="1082837B" w14:textId="77777777" w:rsidR="00E30167" w:rsidRPr="005046A1" w:rsidRDefault="00E30167" w:rsidP="00490F44">
            <w:pPr>
              <w:keepNext/>
              <w:spacing w:before="20" w:after="20"/>
              <w:rPr>
                <w:b/>
                <w:bCs/>
              </w:rPr>
            </w:pPr>
          </w:p>
        </w:tc>
        <w:tc>
          <w:tcPr>
            <w:tcW w:w="2808" w:type="dxa"/>
            <w:tcBorders>
              <w:top w:val="nil"/>
              <w:bottom w:val="single" w:sz="4" w:space="0" w:color="006EC8" w:themeColor="accent1"/>
            </w:tcBorders>
          </w:tcPr>
          <w:p w14:paraId="79FACA8A" w14:textId="77777777" w:rsidR="00E30167" w:rsidRDefault="00E30167" w:rsidP="00490F44">
            <w:pPr>
              <w:keepNext/>
              <w:spacing w:before="20" w:after="20"/>
            </w:pPr>
            <w:r w:rsidRPr="00942784">
              <w:t>Transport</w:t>
            </w:r>
          </w:p>
        </w:tc>
        <w:tc>
          <w:tcPr>
            <w:tcW w:w="1701" w:type="dxa"/>
            <w:tcBorders>
              <w:top w:val="nil"/>
              <w:bottom w:val="single" w:sz="4" w:space="0" w:color="006EC8" w:themeColor="accent1"/>
            </w:tcBorders>
          </w:tcPr>
          <w:p w14:paraId="25390D91" w14:textId="77777777" w:rsidR="00E30167" w:rsidRPr="00942784" w:rsidRDefault="00E30167" w:rsidP="00490F44">
            <w:pPr>
              <w:keepNext/>
              <w:spacing w:before="20" w:after="20"/>
              <w:ind w:right="462"/>
              <w:jc w:val="right"/>
            </w:pPr>
            <w:r>
              <w:rPr>
                <w:rFonts w:ascii="Blanco" w:hAnsi="Blanco" w:cs="Blanco"/>
                <w:color w:val="333333"/>
                <w:szCs w:val="21"/>
              </w:rPr>
              <w:t>2.9%</w:t>
            </w:r>
          </w:p>
        </w:tc>
      </w:tr>
      <w:tr w:rsidR="00E30167" w14:paraId="421D3FD2"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Borders>
              <w:top w:val="single" w:sz="4" w:space="0" w:color="006EC8" w:themeColor="accent1"/>
              <w:bottom w:val="nil"/>
            </w:tcBorders>
          </w:tcPr>
          <w:p w14:paraId="1EB45030" w14:textId="77777777" w:rsidR="00E30167" w:rsidRPr="005046A1" w:rsidRDefault="00E30167" w:rsidP="00490F44">
            <w:pPr>
              <w:keepNext/>
              <w:spacing w:before="20" w:after="20"/>
              <w:rPr>
                <w:b/>
                <w:bCs/>
              </w:rPr>
            </w:pPr>
            <w:r w:rsidRPr="005046A1">
              <w:rPr>
                <w:b/>
                <w:bCs/>
              </w:rPr>
              <w:t>Capital</w:t>
            </w:r>
          </w:p>
        </w:tc>
        <w:tc>
          <w:tcPr>
            <w:tcW w:w="2808" w:type="dxa"/>
            <w:tcBorders>
              <w:top w:val="single" w:sz="4" w:space="0" w:color="006EC8" w:themeColor="accent1"/>
              <w:bottom w:val="nil"/>
            </w:tcBorders>
          </w:tcPr>
          <w:p w14:paraId="0674F990" w14:textId="77777777" w:rsidR="00E30167" w:rsidRDefault="00E30167" w:rsidP="00490F44">
            <w:pPr>
              <w:keepNext/>
              <w:spacing w:before="20" w:after="20"/>
            </w:pPr>
            <w:r w:rsidRPr="00942784">
              <w:t>Assistive Technology</w:t>
            </w:r>
          </w:p>
        </w:tc>
        <w:tc>
          <w:tcPr>
            <w:tcW w:w="1701" w:type="dxa"/>
            <w:tcBorders>
              <w:top w:val="single" w:sz="4" w:space="0" w:color="006EC8" w:themeColor="accent1"/>
              <w:bottom w:val="nil"/>
            </w:tcBorders>
          </w:tcPr>
          <w:p w14:paraId="5096BEA9" w14:textId="77777777" w:rsidR="00E30167" w:rsidRPr="00942784" w:rsidRDefault="00E30167" w:rsidP="00490F44">
            <w:pPr>
              <w:keepNext/>
              <w:spacing w:before="20" w:after="20"/>
              <w:ind w:right="462"/>
              <w:jc w:val="right"/>
            </w:pPr>
            <w:r>
              <w:rPr>
                <w:rFonts w:ascii="Blanco" w:hAnsi="Blanco" w:cs="Blanco"/>
                <w:color w:val="333333"/>
                <w:szCs w:val="21"/>
              </w:rPr>
              <w:t>2.4%</w:t>
            </w:r>
          </w:p>
        </w:tc>
      </w:tr>
      <w:tr w:rsidR="00E30167" w14:paraId="58D87C8B" w14:textId="77777777" w:rsidTr="00640732">
        <w:tc>
          <w:tcPr>
            <w:tcW w:w="3146" w:type="dxa"/>
            <w:tcBorders>
              <w:top w:val="nil"/>
              <w:bottom w:val="single" w:sz="4" w:space="0" w:color="006EC8" w:themeColor="accent1"/>
            </w:tcBorders>
          </w:tcPr>
          <w:p w14:paraId="772640BD" w14:textId="77777777" w:rsidR="00E30167" w:rsidRPr="005046A1" w:rsidRDefault="00E30167" w:rsidP="00490F44">
            <w:pPr>
              <w:keepNext/>
              <w:spacing w:before="20" w:after="20"/>
              <w:rPr>
                <w:b/>
                <w:bCs/>
              </w:rPr>
            </w:pPr>
          </w:p>
        </w:tc>
        <w:tc>
          <w:tcPr>
            <w:tcW w:w="2808" w:type="dxa"/>
            <w:tcBorders>
              <w:top w:val="nil"/>
              <w:bottom w:val="single" w:sz="4" w:space="0" w:color="006EC8" w:themeColor="accent1"/>
            </w:tcBorders>
          </w:tcPr>
          <w:p w14:paraId="118E909E" w14:textId="77777777" w:rsidR="00E30167" w:rsidRDefault="00E30167" w:rsidP="00490F44">
            <w:pPr>
              <w:keepNext/>
              <w:spacing w:before="20" w:after="20"/>
            </w:pPr>
            <w:r w:rsidRPr="00942784">
              <w:t>Home Modifications</w:t>
            </w:r>
          </w:p>
        </w:tc>
        <w:tc>
          <w:tcPr>
            <w:tcW w:w="1701" w:type="dxa"/>
            <w:tcBorders>
              <w:top w:val="nil"/>
              <w:bottom w:val="single" w:sz="4" w:space="0" w:color="006EC8" w:themeColor="accent1"/>
            </w:tcBorders>
          </w:tcPr>
          <w:p w14:paraId="254EBDEA" w14:textId="77777777" w:rsidR="00E30167" w:rsidRPr="00942784" w:rsidRDefault="00E30167" w:rsidP="00490F44">
            <w:pPr>
              <w:keepNext/>
              <w:spacing w:before="20" w:after="20"/>
              <w:ind w:right="462"/>
              <w:jc w:val="right"/>
            </w:pPr>
            <w:r>
              <w:rPr>
                <w:rFonts w:ascii="Blanco" w:hAnsi="Blanco" w:cs="Blanco"/>
                <w:color w:val="333333"/>
                <w:szCs w:val="21"/>
              </w:rPr>
              <w:t>1.0%</w:t>
            </w:r>
          </w:p>
        </w:tc>
      </w:tr>
      <w:tr w:rsidR="00E30167" w14:paraId="7EDBAE19"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Borders>
              <w:top w:val="single" w:sz="4" w:space="0" w:color="006EC8" w:themeColor="accent1"/>
            </w:tcBorders>
          </w:tcPr>
          <w:p w14:paraId="042EC5BA" w14:textId="77777777" w:rsidR="00E30167" w:rsidRPr="005046A1" w:rsidRDefault="00E30167" w:rsidP="00490F44">
            <w:pPr>
              <w:keepNext/>
              <w:spacing w:before="20" w:after="20"/>
              <w:rPr>
                <w:b/>
                <w:bCs/>
              </w:rPr>
            </w:pPr>
            <w:r w:rsidRPr="005046A1">
              <w:rPr>
                <w:b/>
                <w:bCs/>
              </w:rPr>
              <w:t>Capacity building (CB)</w:t>
            </w:r>
          </w:p>
        </w:tc>
        <w:tc>
          <w:tcPr>
            <w:tcW w:w="2808" w:type="dxa"/>
            <w:tcBorders>
              <w:top w:val="single" w:sz="4" w:space="0" w:color="006EC8" w:themeColor="accent1"/>
            </w:tcBorders>
          </w:tcPr>
          <w:p w14:paraId="11643342" w14:textId="77777777" w:rsidR="00E30167" w:rsidRDefault="00E30167" w:rsidP="00490F44">
            <w:pPr>
              <w:keepNext/>
              <w:spacing w:before="20" w:after="20"/>
            </w:pPr>
            <w:r w:rsidRPr="00942784">
              <w:t>CB Choice Control</w:t>
            </w:r>
          </w:p>
        </w:tc>
        <w:tc>
          <w:tcPr>
            <w:tcW w:w="1701" w:type="dxa"/>
            <w:tcBorders>
              <w:top w:val="single" w:sz="4" w:space="0" w:color="006EC8" w:themeColor="accent1"/>
            </w:tcBorders>
          </w:tcPr>
          <w:p w14:paraId="4C0F37C7" w14:textId="77777777" w:rsidR="00E30167" w:rsidRPr="00942784" w:rsidRDefault="00E30167" w:rsidP="00490F44">
            <w:pPr>
              <w:keepNext/>
              <w:spacing w:before="20" w:after="20"/>
              <w:ind w:right="462"/>
              <w:jc w:val="right"/>
            </w:pPr>
            <w:r>
              <w:rPr>
                <w:rFonts w:ascii="Blanco" w:hAnsi="Blanco" w:cs="Blanco"/>
                <w:color w:val="333333"/>
                <w:szCs w:val="21"/>
              </w:rPr>
              <w:t>1.3%</w:t>
            </w:r>
          </w:p>
        </w:tc>
      </w:tr>
      <w:tr w:rsidR="00E30167" w14:paraId="0DDB16AB" w14:textId="77777777" w:rsidTr="00640732">
        <w:tc>
          <w:tcPr>
            <w:tcW w:w="3146" w:type="dxa"/>
          </w:tcPr>
          <w:p w14:paraId="4CB2E8FF" w14:textId="77777777" w:rsidR="00E30167" w:rsidRPr="00942784" w:rsidRDefault="00E30167" w:rsidP="00490F44">
            <w:pPr>
              <w:keepNext/>
              <w:spacing w:before="20" w:after="20"/>
            </w:pPr>
          </w:p>
        </w:tc>
        <w:tc>
          <w:tcPr>
            <w:tcW w:w="2808" w:type="dxa"/>
          </w:tcPr>
          <w:p w14:paraId="06A1587B" w14:textId="77777777" w:rsidR="00E30167" w:rsidRDefault="00E30167" w:rsidP="00490F44">
            <w:pPr>
              <w:keepNext/>
              <w:spacing w:before="20" w:after="20"/>
            </w:pPr>
            <w:r w:rsidRPr="00942784">
              <w:t>CB Daily Activities</w:t>
            </w:r>
          </w:p>
        </w:tc>
        <w:tc>
          <w:tcPr>
            <w:tcW w:w="1701" w:type="dxa"/>
          </w:tcPr>
          <w:p w14:paraId="76CC11FD" w14:textId="77777777" w:rsidR="00E30167" w:rsidRPr="00942784" w:rsidRDefault="00E30167" w:rsidP="00490F44">
            <w:pPr>
              <w:keepNext/>
              <w:spacing w:before="20" w:after="20"/>
              <w:ind w:right="462"/>
              <w:jc w:val="right"/>
            </w:pPr>
            <w:r>
              <w:rPr>
                <w:rFonts w:ascii="Blanco" w:hAnsi="Blanco" w:cs="Blanco"/>
                <w:color w:val="333333"/>
                <w:szCs w:val="21"/>
              </w:rPr>
              <w:t>12.2%</w:t>
            </w:r>
          </w:p>
        </w:tc>
      </w:tr>
      <w:tr w:rsidR="00E30167" w14:paraId="1C261C5D"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Pr>
          <w:p w14:paraId="2901460F" w14:textId="77777777" w:rsidR="00E30167" w:rsidRPr="00942784" w:rsidRDefault="00E30167" w:rsidP="00490F44">
            <w:pPr>
              <w:keepNext/>
              <w:spacing w:before="20" w:after="20"/>
            </w:pPr>
          </w:p>
        </w:tc>
        <w:tc>
          <w:tcPr>
            <w:tcW w:w="2808" w:type="dxa"/>
          </w:tcPr>
          <w:p w14:paraId="30E9802C" w14:textId="77777777" w:rsidR="00E30167" w:rsidRDefault="00E30167" w:rsidP="00490F44">
            <w:pPr>
              <w:keepNext/>
              <w:spacing w:before="20" w:after="20"/>
            </w:pPr>
            <w:r w:rsidRPr="00942784">
              <w:t>CB Employment</w:t>
            </w:r>
          </w:p>
        </w:tc>
        <w:tc>
          <w:tcPr>
            <w:tcW w:w="1701" w:type="dxa"/>
          </w:tcPr>
          <w:p w14:paraId="08E6DFD8" w14:textId="77777777" w:rsidR="00E30167" w:rsidRPr="00942784" w:rsidRDefault="00E30167" w:rsidP="00490F44">
            <w:pPr>
              <w:keepNext/>
              <w:spacing w:before="20" w:after="20"/>
              <w:ind w:right="462"/>
              <w:jc w:val="right"/>
            </w:pPr>
            <w:r>
              <w:rPr>
                <w:rFonts w:ascii="Blanco" w:hAnsi="Blanco" w:cs="Blanco"/>
                <w:color w:val="333333"/>
                <w:szCs w:val="21"/>
              </w:rPr>
              <w:t>0.9%</w:t>
            </w:r>
          </w:p>
        </w:tc>
      </w:tr>
      <w:tr w:rsidR="00E30167" w14:paraId="454C0FCC" w14:textId="77777777" w:rsidTr="00640732">
        <w:tc>
          <w:tcPr>
            <w:tcW w:w="3146" w:type="dxa"/>
          </w:tcPr>
          <w:p w14:paraId="7D1AECC7" w14:textId="77777777" w:rsidR="00E30167" w:rsidRPr="00942784" w:rsidRDefault="00E30167" w:rsidP="00490F44">
            <w:pPr>
              <w:keepNext/>
              <w:spacing w:before="20" w:after="20"/>
            </w:pPr>
          </w:p>
        </w:tc>
        <w:tc>
          <w:tcPr>
            <w:tcW w:w="2808" w:type="dxa"/>
          </w:tcPr>
          <w:p w14:paraId="0CFA9C10" w14:textId="77777777" w:rsidR="00E30167" w:rsidRDefault="00E30167" w:rsidP="00490F44">
            <w:pPr>
              <w:keepNext/>
              <w:spacing w:before="20" w:after="20"/>
            </w:pPr>
            <w:r w:rsidRPr="00942784">
              <w:t>CB Health Wellbeing</w:t>
            </w:r>
          </w:p>
        </w:tc>
        <w:tc>
          <w:tcPr>
            <w:tcW w:w="1701" w:type="dxa"/>
          </w:tcPr>
          <w:p w14:paraId="0541B868" w14:textId="77777777" w:rsidR="00E30167" w:rsidRPr="00942784" w:rsidRDefault="00E30167" w:rsidP="00490F44">
            <w:pPr>
              <w:keepNext/>
              <w:spacing w:before="20" w:after="20"/>
              <w:ind w:right="462"/>
              <w:jc w:val="right"/>
            </w:pPr>
            <w:r>
              <w:rPr>
                <w:rFonts w:ascii="Blanco" w:hAnsi="Blanco" w:cs="Blanco"/>
                <w:color w:val="333333"/>
                <w:szCs w:val="21"/>
              </w:rPr>
              <w:t>0.2%</w:t>
            </w:r>
          </w:p>
        </w:tc>
      </w:tr>
      <w:tr w:rsidR="00E30167" w14:paraId="45B8FE9B"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Pr>
          <w:p w14:paraId="1206F0C9" w14:textId="77777777" w:rsidR="00E30167" w:rsidRPr="00942784" w:rsidRDefault="00E30167" w:rsidP="00490F44">
            <w:pPr>
              <w:keepNext/>
              <w:spacing w:before="20" w:after="20"/>
            </w:pPr>
          </w:p>
        </w:tc>
        <w:tc>
          <w:tcPr>
            <w:tcW w:w="2808" w:type="dxa"/>
          </w:tcPr>
          <w:p w14:paraId="2F50032C" w14:textId="77777777" w:rsidR="00E30167" w:rsidRDefault="00E30167" w:rsidP="00490F44">
            <w:pPr>
              <w:keepNext/>
              <w:spacing w:before="20" w:after="20"/>
            </w:pPr>
            <w:r w:rsidRPr="00942784">
              <w:t>CB Home Living</w:t>
            </w:r>
          </w:p>
        </w:tc>
        <w:tc>
          <w:tcPr>
            <w:tcW w:w="1701" w:type="dxa"/>
          </w:tcPr>
          <w:p w14:paraId="2B9672A5" w14:textId="77777777" w:rsidR="00E30167" w:rsidRPr="00942784" w:rsidRDefault="00E30167" w:rsidP="00490F44">
            <w:pPr>
              <w:keepNext/>
              <w:spacing w:before="20" w:after="20"/>
              <w:ind w:right="462"/>
              <w:jc w:val="right"/>
            </w:pPr>
            <w:r>
              <w:rPr>
                <w:rFonts w:ascii="Blanco" w:hAnsi="Blanco" w:cs="Blanco"/>
                <w:color w:val="333333"/>
                <w:szCs w:val="21"/>
              </w:rPr>
              <w:t>0.0%</w:t>
            </w:r>
          </w:p>
        </w:tc>
      </w:tr>
      <w:tr w:rsidR="00E30167" w14:paraId="2060380A" w14:textId="77777777" w:rsidTr="00640732">
        <w:tc>
          <w:tcPr>
            <w:tcW w:w="3146" w:type="dxa"/>
          </w:tcPr>
          <w:p w14:paraId="650C51E7" w14:textId="77777777" w:rsidR="00E30167" w:rsidRPr="00942784" w:rsidRDefault="00E30167" w:rsidP="00490F44">
            <w:pPr>
              <w:keepNext/>
              <w:spacing w:before="20" w:after="20"/>
            </w:pPr>
          </w:p>
        </w:tc>
        <w:tc>
          <w:tcPr>
            <w:tcW w:w="2808" w:type="dxa"/>
          </w:tcPr>
          <w:p w14:paraId="24AF03B4" w14:textId="77777777" w:rsidR="00E30167" w:rsidRDefault="00E30167" w:rsidP="00490F44">
            <w:pPr>
              <w:keepNext/>
              <w:spacing w:before="20" w:after="20"/>
            </w:pPr>
            <w:r w:rsidRPr="00942784">
              <w:t>CB Lifelong Learning</w:t>
            </w:r>
          </w:p>
        </w:tc>
        <w:tc>
          <w:tcPr>
            <w:tcW w:w="1701" w:type="dxa"/>
          </w:tcPr>
          <w:p w14:paraId="692DE2BC" w14:textId="77777777" w:rsidR="00E30167" w:rsidRPr="00942784" w:rsidRDefault="00E30167" w:rsidP="00490F44">
            <w:pPr>
              <w:keepNext/>
              <w:spacing w:before="20" w:after="20"/>
              <w:ind w:right="462"/>
              <w:jc w:val="right"/>
            </w:pPr>
            <w:r>
              <w:rPr>
                <w:rFonts w:ascii="Blanco" w:hAnsi="Blanco" w:cs="Blanco"/>
                <w:color w:val="333333"/>
                <w:szCs w:val="21"/>
              </w:rPr>
              <w:t>0.0%</w:t>
            </w:r>
          </w:p>
        </w:tc>
      </w:tr>
      <w:tr w:rsidR="00E30167" w14:paraId="5C08FEFB"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Pr>
          <w:p w14:paraId="2652A722" w14:textId="77777777" w:rsidR="00E30167" w:rsidRPr="00942784" w:rsidRDefault="00E30167" w:rsidP="00490F44">
            <w:pPr>
              <w:keepNext/>
              <w:spacing w:before="20" w:after="20"/>
            </w:pPr>
          </w:p>
        </w:tc>
        <w:tc>
          <w:tcPr>
            <w:tcW w:w="2808" w:type="dxa"/>
          </w:tcPr>
          <w:p w14:paraId="4BE2927A" w14:textId="77777777" w:rsidR="00E30167" w:rsidRDefault="00E30167" w:rsidP="00490F44">
            <w:pPr>
              <w:keepNext/>
              <w:spacing w:before="20" w:after="20"/>
            </w:pPr>
            <w:r w:rsidRPr="00942784">
              <w:t>CB Relationships</w:t>
            </w:r>
          </w:p>
        </w:tc>
        <w:tc>
          <w:tcPr>
            <w:tcW w:w="1701" w:type="dxa"/>
          </w:tcPr>
          <w:p w14:paraId="4E1A24F7" w14:textId="77777777" w:rsidR="00E30167" w:rsidRPr="00942784" w:rsidRDefault="00E30167" w:rsidP="00490F44">
            <w:pPr>
              <w:keepNext/>
              <w:spacing w:before="20" w:after="20"/>
              <w:ind w:right="462"/>
              <w:jc w:val="right"/>
            </w:pPr>
            <w:r>
              <w:rPr>
                <w:rFonts w:ascii="Blanco" w:hAnsi="Blanco" w:cs="Blanco"/>
                <w:color w:val="333333"/>
                <w:szCs w:val="21"/>
              </w:rPr>
              <w:t>0.9%</w:t>
            </w:r>
          </w:p>
        </w:tc>
      </w:tr>
      <w:tr w:rsidR="00E30167" w14:paraId="2A89DBF2" w14:textId="77777777" w:rsidTr="00640732">
        <w:tc>
          <w:tcPr>
            <w:tcW w:w="3146" w:type="dxa"/>
          </w:tcPr>
          <w:p w14:paraId="602AC88F" w14:textId="77777777" w:rsidR="00E30167" w:rsidRPr="00942784" w:rsidRDefault="00E30167" w:rsidP="00490F44">
            <w:pPr>
              <w:keepNext/>
              <w:spacing w:before="20" w:after="20"/>
            </w:pPr>
          </w:p>
        </w:tc>
        <w:tc>
          <w:tcPr>
            <w:tcW w:w="2808" w:type="dxa"/>
          </w:tcPr>
          <w:p w14:paraId="645D0CEF" w14:textId="77777777" w:rsidR="00E30167" w:rsidRDefault="00E30167" w:rsidP="00490F44">
            <w:pPr>
              <w:keepNext/>
              <w:spacing w:before="20" w:after="20"/>
            </w:pPr>
            <w:r w:rsidRPr="00942784">
              <w:t>CB Social Community Civic</w:t>
            </w:r>
          </w:p>
        </w:tc>
        <w:tc>
          <w:tcPr>
            <w:tcW w:w="1701" w:type="dxa"/>
          </w:tcPr>
          <w:p w14:paraId="60C617BF" w14:textId="77777777" w:rsidR="00E30167" w:rsidRPr="00942784" w:rsidRDefault="00E30167" w:rsidP="00490F44">
            <w:pPr>
              <w:keepNext/>
              <w:spacing w:before="20" w:after="20"/>
              <w:ind w:right="462"/>
              <w:jc w:val="right"/>
            </w:pPr>
            <w:r>
              <w:rPr>
                <w:rFonts w:ascii="Blanco" w:hAnsi="Blanco" w:cs="Blanco"/>
                <w:color w:val="333333"/>
                <w:szCs w:val="21"/>
              </w:rPr>
              <w:t>0.5%</w:t>
            </w:r>
          </w:p>
        </w:tc>
      </w:tr>
      <w:tr w:rsidR="00E30167" w14:paraId="0E348F0F" w14:textId="77777777" w:rsidTr="00640732">
        <w:trPr>
          <w:cnfStyle w:val="000000100000" w:firstRow="0" w:lastRow="0" w:firstColumn="0" w:lastColumn="0" w:oddVBand="0" w:evenVBand="0" w:oddHBand="1" w:evenHBand="0" w:firstRowFirstColumn="0" w:firstRowLastColumn="0" w:lastRowFirstColumn="0" w:lastRowLastColumn="0"/>
        </w:trPr>
        <w:tc>
          <w:tcPr>
            <w:tcW w:w="3146" w:type="dxa"/>
          </w:tcPr>
          <w:p w14:paraId="05C7996D" w14:textId="77777777" w:rsidR="00E30167" w:rsidRPr="00942784" w:rsidRDefault="00E30167" w:rsidP="00640732">
            <w:pPr>
              <w:spacing w:before="20" w:after="20"/>
            </w:pPr>
          </w:p>
        </w:tc>
        <w:tc>
          <w:tcPr>
            <w:tcW w:w="2808" w:type="dxa"/>
          </w:tcPr>
          <w:p w14:paraId="55559B26" w14:textId="77777777" w:rsidR="00E30167" w:rsidRDefault="00E30167" w:rsidP="00640732">
            <w:pPr>
              <w:spacing w:before="20" w:after="20"/>
            </w:pPr>
            <w:r w:rsidRPr="00942784">
              <w:t>Support Coordination</w:t>
            </w:r>
          </w:p>
        </w:tc>
        <w:tc>
          <w:tcPr>
            <w:tcW w:w="1701" w:type="dxa"/>
          </w:tcPr>
          <w:p w14:paraId="502DF59E" w14:textId="77777777" w:rsidR="00E30167" w:rsidRPr="00942784" w:rsidRDefault="00E30167" w:rsidP="00640732">
            <w:pPr>
              <w:spacing w:before="20" w:after="20"/>
              <w:ind w:right="462"/>
              <w:jc w:val="right"/>
            </w:pPr>
            <w:r>
              <w:rPr>
                <w:rFonts w:ascii="Blanco" w:hAnsi="Blanco" w:cs="Blanco"/>
                <w:color w:val="333333"/>
                <w:szCs w:val="21"/>
              </w:rPr>
              <w:t>2.6%</w:t>
            </w:r>
          </w:p>
        </w:tc>
      </w:tr>
    </w:tbl>
    <w:p w14:paraId="4F3331D1" w14:textId="77777777" w:rsidR="00E30167" w:rsidRDefault="00E30167" w:rsidP="00E30167">
      <w:pPr>
        <w:keepNext/>
      </w:pPr>
      <w:r>
        <w:t>To each average payment amount two inflation assumptions are applied to increase over the projection years:</w:t>
      </w:r>
    </w:p>
    <w:p w14:paraId="7A0B0F3D" w14:textId="77777777" w:rsidR="00E30167" w:rsidRDefault="00E30167" w:rsidP="00E30167">
      <w:pPr>
        <w:pStyle w:val="Bullet1"/>
        <w:keepNext/>
      </w:pPr>
      <w:r w:rsidRPr="00FA71DC">
        <w:rPr>
          <w:b/>
          <w:bCs/>
        </w:rPr>
        <w:t>Inflation</w:t>
      </w:r>
      <w:r>
        <w:t xml:space="preserve"> –This is the expected change in prices for NDIS-funded services (which may differ from other inflation measures such as CPI or wage growth).</w:t>
      </w:r>
    </w:p>
    <w:p w14:paraId="1554A215" w14:textId="77777777" w:rsidR="00E30167" w:rsidRDefault="00E30167" w:rsidP="00E30167">
      <w:pPr>
        <w:pStyle w:val="Bullet1"/>
      </w:pPr>
      <w:r w:rsidRPr="00FA71DC">
        <w:rPr>
          <w:b/>
          <w:bCs/>
        </w:rPr>
        <w:t>Superimposed inflation</w:t>
      </w:r>
      <w:r>
        <w:t xml:space="preserve"> – Cost escalation beyond standard inflation.</w:t>
      </w:r>
      <w:r w:rsidRPr="00882A56">
        <w:t xml:space="preserve"> </w:t>
      </w:r>
      <w:r>
        <w:t>We understand that this allowance is mainly aimed at capturing growth in costs which is not attributable to price increases, for example increased volume of services, higher utilisation of packages, or a shift to more expensive service items.</w:t>
      </w:r>
    </w:p>
    <w:p w14:paraId="6ADAAA1C" w14:textId="77777777" w:rsidR="00E30167" w:rsidRDefault="00E30167" w:rsidP="00E30167">
      <w:r>
        <w:t>These inflation assumptions vary (somewhat) by support category but are otherwise constant across different cohorts (so superimposed inflation for daily activities is assumed to be the same for different disability types and age groups).</w:t>
      </w:r>
    </w:p>
    <w:p w14:paraId="61BCF3FF" w14:textId="6CD3D816" w:rsidR="00E30167" w:rsidRDefault="00E30167" w:rsidP="00E30167">
      <w:r>
        <w:t xml:space="preserve">A summary list of assumptions, and what groups they vary over, is provided at the start </w:t>
      </w:r>
      <w:r w:rsidRPr="008F57D6">
        <w:t>of section</w:t>
      </w:r>
      <w:r>
        <w:t xml:space="preserve"> </w:t>
      </w:r>
      <w:r w:rsidRPr="008F57D6">
        <w:fldChar w:fldCharType="begin"/>
      </w:r>
      <w:r w:rsidRPr="008F57D6">
        <w:instrText xml:space="preserve"> REF _Ref83828843 \r \h </w:instrText>
      </w:r>
      <w:r>
        <w:instrText xml:space="preserve"> \* MERGEFORMAT </w:instrText>
      </w:r>
      <w:r w:rsidRPr="008F57D6">
        <w:fldChar w:fldCharType="separate"/>
      </w:r>
      <w:r w:rsidR="00E6217F">
        <w:t>4</w:t>
      </w:r>
      <w:r w:rsidRPr="008F57D6">
        <w:fldChar w:fldCharType="end"/>
      </w:r>
      <w:r>
        <w:t>.</w:t>
      </w:r>
    </w:p>
    <w:p w14:paraId="28E97958" w14:textId="0C1551D8" w:rsidR="00C34085" w:rsidRDefault="00E30167" w:rsidP="00E30167">
      <w:r>
        <w:t>The numbers and average payment sizes (for 2020-21) for the 57 disability-severity cohorts are shown below for convenience. Apart from some volatility in the smaller cohorts, payment levels increase with severity band in a natural way.</w:t>
      </w:r>
    </w:p>
    <w:p w14:paraId="28F188E9" w14:textId="77777777" w:rsidR="00C34085" w:rsidRDefault="00C34085">
      <w:pPr>
        <w:spacing w:before="0" w:after="160" w:line="259" w:lineRule="auto"/>
      </w:pPr>
      <w:r>
        <w:br w:type="page"/>
      </w:r>
    </w:p>
    <w:p w14:paraId="14F8443F" w14:textId="54F4BEBB" w:rsidR="00E30167" w:rsidRDefault="00E30167" w:rsidP="00C34085">
      <w:pPr>
        <w:pStyle w:val="Caption"/>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3</w:t>
      </w:r>
      <w:r w:rsidR="009366CE">
        <w:fldChar w:fldCharType="end"/>
      </w:r>
      <w:r>
        <w:t xml:space="preserve"> – Numbers in disability-severity bands, June 2021</w:t>
      </w:r>
    </w:p>
    <w:tbl>
      <w:tblPr>
        <w:tblW w:w="9926" w:type="dxa"/>
        <w:tblLook w:val="04A0" w:firstRow="1" w:lastRow="0" w:firstColumn="1" w:lastColumn="0" w:noHBand="0" w:noVBand="1"/>
      </w:tblPr>
      <w:tblGrid>
        <w:gridCol w:w="2780"/>
        <w:gridCol w:w="794"/>
        <w:gridCol w:w="794"/>
        <w:gridCol w:w="794"/>
        <w:gridCol w:w="794"/>
        <w:gridCol w:w="794"/>
        <w:gridCol w:w="794"/>
        <w:gridCol w:w="794"/>
        <w:gridCol w:w="794"/>
        <w:gridCol w:w="794"/>
      </w:tblGrid>
      <w:tr w:rsidR="00C34085" w:rsidRPr="00C34085" w14:paraId="6893EFC0" w14:textId="77777777" w:rsidTr="003F577D">
        <w:trPr>
          <w:trHeight w:val="367"/>
          <w:tblHeader/>
        </w:trPr>
        <w:tc>
          <w:tcPr>
            <w:tcW w:w="2780" w:type="dxa"/>
            <w:tcBorders>
              <w:top w:val="nil"/>
              <w:left w:val="nil"/>
              <w:bottom w:val="nil"/>
              <w:right w:val="nil"/>
            </w:tcBorders>
            <w:shd w:val="clear" w:color="auto" w:fill="auto"/>
            <w:noWrap/>
            <w:vAlign w:val="bottom"/>
            <w:hideMark/>
          </w:tcPr>
          <w:p w14:paraId="1B3BB37C" w14:textId="77777777" w:rsidR="00C34085" w:rsidRPr="00C34085" w:rsidRDefault="00C34085" w:rsidP="00C34085">
            <w:pPr>
              <w:spacing w:before="0" w:after="0"/>
              <w:rPr>
                <w:rFonts w:ascii="Times New Roman" w:eastAsia="Times New Roman" w:hAnsi="Times New Roman" w:cs="Times New Roman"/>
                <w:sz w:val="20"/>
                <w:szCs w:val="20"/>
                <w:lang w:val="en-AU" w:eastAsia="zh-CN"/>
              </w:rPr>
            </w:pPr>
          </w:p>
        </w:tc>
        <w:tc>
          <w:tcPr>
            <w:tcW w:w="794" w:type="dxa"/>
            <w:tcBorders>
              <w:top w:val="single" w:sz="4" w:space="0" w:color="FFFFFF"/>
              <w:left w:val="single" w:sz="4" w:space="0" w:color="FFFFFF"/>
              <w:bottom w:val="single" w:sz="4" w:space="0" w:color="FFFFFF"/>
              <w:right w:val="single" w:sz="4" w:space="0" w:color="FFFFFF"/>
            </w:tcBorders>
            <w:shd w:val="clear" w:color="000000" w:fill="006EC8"/>
            <w:noWrap/>
            <w:vAlign w:val="bottom"/>
            <w:hideMark/>
          </w:tcPr>
          <w:p w14:paraId="5C61499A"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1</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1B518392"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2</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21313DB9"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3</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7919B932"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4</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6AE2AEF1"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5</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155E5674"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6</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5F276034"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7</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04A29059"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8</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6B88578F" w14:textId="77777777" w:rsidR="00C34085" w:rsidRPr="00C34085" w:rsidRDefault="00C34085" w:rsidP="00C34085">
            <w:pPr>
              <w:spacing w:before="0" w:after="0"/>
              <w:jc w:val="center"/>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Band 9</w:t>
            </w:r>
          </w:p>
        </w:tc>
      </w:tr>
      <w:tr w:rsidR="00C34085" w:rsidRPr="00C34085" w14:paraId="775947AD" w14:textId="77777777" w:rsidTr="0022376D">
        <w:trPr>
          <w:trHeight w:val="367"/>
        </w:trPr>
        <w:tc>
          <w:tcPr>
            <w:tcW w:w="2780" w:type="dxa"/>
            <w:tcBorders>
              <w:top w:val="single" w:sz="4" w:space="0" w:color="FFFFFF"/>
              <w:left w:val="single" w:sz="4" w:space="0" w:color="FFFFFF"/>
              <w:bottom w:val="single" w:sz="4" w:space="0" w:color="FFFFFF"/>
              <w:right w:val="single" w:sz="4" w:space="0" w:color="FFFFFF"/>
            </w:tcBorders>
            <w:shd w:val="clear" w:color="000000" w:fill="006EC8"/>
            <w:noWrap/>
            <w:vAlign w:val="center"/>
            <w:hideMark/>
          </w:tcPr>
          <w:p w14:paraId="0E617AAF"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Acquired Brain Injury (ABI)</w:t>
            </w:r>
          </w:p>
        </w:tc>
        <w:tc>
          <w:tcPr>
            <w:tcW w:w="794" w:type="dxa"/>
            <w:tcBorders>
              <w:top w:val="nil"/>
              <w:left w:val="nil"/>
              <w:bottom w:val="single" w:sz="4" w:space="0" w:color="FFFFFF"/>
              <w:right w:val="single" w:sz="4" w:space="0" w:color="FFFFFF"/>
            </w:tcBorders>
            <w:shd w:val="clear" w:color="000000" w:fill="BFE2FF"/>
            <w:noWrap/>
            <w:vAlign w:val="center"/>
            <w:hideMark/>
          </w:tcPr>
          <w:p w14:paraId="4CAC4E8F"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323</w:t>
            </w:r>
          </w:p>
        </w:tc>
        <w:tc>
          <w:tcPr>
            <w:tcW w:w="794" w:type="dxa"/>
            <w:tcBorders>
              <w:top w:val="nil"/>
              <w:left w:val="nil"/>
              <w:bottom w:val="single" w:sz="4" w:space="0" w:color="FFFFFF"/>
              <w:right w:val="single" w:sz="4" w:space="0" w:color="FFFFFF"/>
            </w:tcBorders>
            <w:shd w:val="clear" w:color="000000" w:fill="BFE2FF"/>
            <w:noWrap/>
            <w:vAlign w:val="center"/>
            <w:hideMark/>
          </w:tcPr>
          <w:p w14:paraId="094EACA1"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1,307</w:t>
            </w:r>
          </w:p>
        </w:tc>
        <w:tc>
          <w:tcPr>
            <w:tcW w:w="794" w:type="dxa"/>
            <w:tcBorders>
              <w:top w:val="nil"/>
              <w:left w:val="nil"/>
              <w:bottom w:val="single" w:sz="4" w:space="0" w:color="FFFFFF"/>
              <w:right w:val="single" w:sz="4" w:space="0" w:color="FFFFFF"/>
            </w:tcBorders>
            <w:shd w:val="clear" w:color="000000" w:fill="BFE2FF"/>
            <w:noWrap/>
            <w:vAlign w:val="center"/>
            <w:hideMark/>
          </w:tcPr>
          <w:p w14:paraId="2A414673"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1,528</w:t>
            </w:r>
          </w:p>
        </w:tc>
        <w:tc>
          <w:tcPr>
            <w:tcW w:w="794" w:type="dxa"/>
            <w:tcBorders>
              <w:top w:val="nil"/>
              <w:left w:val="nil"/>
              <w:bottom w:val="single" w:sz="4" w:space="0" w:color="FFFFFF"/>
              <w:right w:val="single" w:sz="4" w:space="0" w:color="FFFFFF"/>
            </w:tcBorders>
            <w:shd w:val="clear" w:color="000000" w:fill="BFE2FF"/>
            <w:noWrap/>
            <w:vAlign w:val="center"/>
            <w:hideMark/>
          </w:tcPr>
          <w:p w14:paraId="253878D4"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447</w:t>
            </w:r>
          </w:p>
        </w:tc>
        <w:tc>
          <w:tcPr>
            <w:tcW w:w="794" w:type="dxa"/>
            <w:tcBorders>
              <w:top w:val="nil"/>
              <w:left w:val="nil"/>
              <w:bottom w:val="single" w:sz="4" w:space="0" w:color="FFFFFF"/>
              <w:right w:val="single" w:sz="4" w:space="0" w:color="FFFFFF"/>
            </w:tcBorders>
            <w:shd w:val="clear" w:color="000000" w:fill="BFE2FF"/>
            <w:noWrap/>
            <w:vAlign w:val="center"/>
            <w:hideMark/>
          </w:tcPr>
          <w:p w14:paraId="028028B3"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3,437</w:t>
            </w:r>
          </w:p>
        </w:tc>
        <w:tc>
          <w:tcPr>
            <w:tcW w:w="794" w:type="dxa"/>
            <w:tcBorders>
              <w:top w:val="nil"/>
              <w:left w:val="nil"/>
              <w:bottom w:val="single" w:sz="4" w:space="0" w:color="FFFFFF"/>
              <w:right w:val="single" w:sz="4" w:space="0" w:color="FFFFFF"/>
            </w:tcBorders>
            <w:shd w:val="clear" w:color="000000" w:fill="BFE2FF"/>
            <w:noWrap/>
            <w:vAlign w:val="center"/>
            <w:hideMark/>
          </w:tcPr>
          <w:p w14:paraId="09A5F9AD"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7,221</w:t>
            </w:r>
          </w:p>
        </w:tc>
        <w:tc>
          <w:tcPr>
            <w:tcW w:w="794" w:type="dxa"/>
            <w:tcBorders>
              <w:top w:val="nil"/>
              <w:left w:val="nil"/>
              <w:bottom w:val="single" w:sz="4" w:space="0" w:color="FFFFFF"/>
              <w:right w:val="single" w:sz="4" w:space="0" w:color="FFFFFF"/>
            </w:tcBorders>
            <w:shd w:val="clear" w:color="000000" w:fill="BFE2FF"/>
            <w:noWrap/>
            <w:vAlign w:val="center"/>
            <w:hideMark/>
          </w:tcPr>
          <w:p w14:paraId="3F68207E"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657</w:t>
            </w:r>
          </w:p>
        </w:tc>
        <w:tc>
          <w:tcPr>
            <w:tcW w:w="794" w:type="dxa"/>
            <w:tcBorders>
              <w:top w:val="nil"/>
              <w:left w:val="nil"/>
              <w:bottom w:val="single" w:sz="4" w:space="0" w:color="FFFFFF"/>
              <w:right w:val="single" w:sz="4" w:space="0" w:color="FFFFFF"/>
            </w:tcBorders>
            <w:shd w:val="clear" w:color="000000" w:fill="FFFFFF"/>
            <w:noWrap/>
            <w:vAlign w:val="center"/>
            <w:hideMark/>
          </w:tcPr>
          <w:p w14:paraId="18B3468D" w14:textId="7D230DEA"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0A65009" w14:textId="44D9D66C"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614A473A"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371FB2F5"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Autism</w:t>
            </w:r>
          </w:p>
        </w:tc>
        <w:tc>
          <w:tcPr>
            <w:tcW w:w="794" w:type="dxa"/>
            <w:tcBorders>
              <w:top w:val="nil"/>
              <w:left w:val="nil"/>
              <w:bottom w:val="single" w:sz="4" w:space="0" w:color="FFFFFF"/>
              <w:right w:val="single" w:sz="4" w:space="0" w:color="FFFFFF"/>
            </w:tcBorders>
            <w:shd w:val="clear" w:color="000000" w:fill="BFE2FF"/>
            <w:noWrap/>
            <w:vAlign w:val="center"/>
            <w:hideMark/>
          </w:tcPr>
          <w:p w14:paraId="56212543"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28,369</w:t>
            </w:r>
          </w:p>
        </w:tc>
        <w:tc>
          <w:tcPr>
            <w:tcW w:w="794" w:type="dxa"/>
            <w:tcBorders>
              <w:top w:val="nil"/>
              <w:left w:val="nil"/>
              <w:bottom w:val="single" w:sz="4" w:space="0" w:color="FFFFFF"/>
              <w:right w:val="single" w:sz="4" w:space="0" w:color="FFFFFF"/>
            </w:tcBorders>
            <w:shd w:val="clear" w:color="000000" w:fill="BFE2FF"/>
            <w:noWrap/>
            <w:vAlign w:val="center"/>
            <w:hideMark/>
          </w:tcPr>
          <w:p w14:paraId="509F6763"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85,497</w:t>
            </w:r>
          </w:p>
        </w:tc>
        <w:tc>
          <w:tcPr>
            <w:tcW w:w="794" w:type="dxa"/>
            <w:tcBorders>
              <w:top w:val="nil"/>
              <w:left w:val="nil"/>
              <w:bottom w:val="single" w:sz="4" w:space="0" w:color="FFFFFF"/>
              <w:right w:val="single" w:sz="4" w:space="0" w:color="FFFFFF"/>
            </w:tcBorders>
            <w:shd w:val="clear" w:color="000000" w:fill="BFE2FF"/>
            <w:noWrap/>
            <w:vAlign w:val="center"/>
            <w:hideMark/>
          </w:tcPr>
          <w:p w14:paraId="0E4E17F6"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9,370</w:t>
            </w:r>
          </w:p>
        </w:tc>
        <w:tc>
          <w:tcPr>
            <w:tcW w:w="794" w:type="dxa"/>
            <w:tcBorders>
              <w:top w:val="nil"/>
              <w:left w:val="nil"/>
              <w:bottom w:val="single" w:sz="4" w:space="0" w:color="FFFFFF"/>
              <w:right w:val="single" w:sz="4" w:space="0" w:color="FFFFFF"/>
            </w:tcBorders>
            <w:shd w:val="clear" w:color="000000" w:fill="BFE2FF"/>
            <w:noWrap/>
            <w:vAlign w:val="center"/>
            <w:hideMark/>
          </w:tcPr>
          <w:p w14:paraId="64F9E76C"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28,197</w:t>
            </w:r>
          </w:p>
        </w:tc>
        <w:tc>
          <w:tcPr>
            <w:tcW w:w="794" w:type="dxa"/>
            <w:tcBorders>
              <w:top w:val="nil"/>
              <w:left w:val="nil"/>
              <w:bottom w:val="single" w:sz="4" w:space="0" w:color="FFFFFF"/>
              <w:right w:val="single" w:sz="4" w:space="0" w:color="FFFFFF"/>
            </w:tcBorders>
            <w:shd w:val="clear" w:color="000000" w:fill="FFFFFF"/>
            <w:noWrap/>
            <w:vAlign w:val="center"/>
            <w:hideMark/>
          </w:tcPr>
          <w:p w14:paraId="622FF6C5" w14:textId="7403D65B"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51AC9EB" w14:textId="52435B3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FC11ADB" w14:textId="7D0E43A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E301F45" w14:textId="2745A014"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572C807E" w14:textId="351AED6B"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29394438"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799B53A9"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Cerebral Palsy</w:t>
            </w:r>
          </w:p>
        </w:tc>
        <w:tc>
          <w:tcPr>
            <w:tcW w:w="794" w:type="dxa"/>
            <w:tcBorders>
              <w:top w:val="nil"/>
              <w:left w:val="nil"/>
              <w:bottom w:val="single" w:sz="4" w:space="0" w:color="FFFFFF"/>
              <w:right w:val="single" w:sz="4" w:space="0" w:color="FFFFFF"/>
            </w:tcBorders>
            <w:shd w:val="clear" w:color="000000" w:fill="BFE2FF"/>
            <w:noWrap/>
            <w:vAlign w:val="center"/>
            <w:hideMark/>
          </w:tcPr>
          <w:p w14:paraId="56E56132"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1,097</w:t>
            </w:r>
          </w:p>
        </w:tc>
        <w:tc>
          <w:tcPr>
            <w:tcW w:w="794" w:type="dxa"/>
            <w:tcBorders>
              <w:top w:val="nil"/>
              <w:left w:val="nil"/>
              <w:bottom w:val="single" w:sz="4" w:space="0" w:color="FFFFFF"/>
              <w:right w:val="single" w:sz="4" w:space="0" w:color="FFFFFF"/>
            </w:tcBorders>
            <w:shd w:val="clear" w:color="000000" w:fill="BFE2FF"/>
            <w:noWrap/>
            <w:vAlign w:val="center"/>
            <w:hideMark/>
          </w:tcPr>
          <w:p w14:paraId="38CE9D19"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4,948</w:t>
            </w:r>
          </w:p>
        </w:tc>
        <w:tc>
          <w:tcPr>
            <w:tcW w:w="794" w:type="dxa"/>
            <w:tcBorders>
              <w:top w:val="nil"/>
              <w:left w:val="nil"/>
              <w:bottom w:val="single" w:sz="4" w:space="0" w:color="FFFFFF"/>
              <w:right w:val="single" w:sz="4" w:space="0" w:color="FFFFFF"/>
            </w:tcBorders>
            <w:shd w:val="clear" w:color="000000" w:fill="BFE2FF"/>
            <w:noWrap/>
            <w:vAlign w:val="center"/>
            <w:hideMark/>
          </w:tcPr>
          <w:p w14:paraId="696D8B11"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2,204</w:t>
            </w:r>
          </w:p>
        </w:tc>
        <w:tc>
          <w:tcPr>
            <w:tcW w:w="794" w:type="dxa"/>
            <w:tcBorders>
              <w:top w:val="nil"/>
              <w:left w:val="nil"/>
              <w:bottom w:val="single" w:sz="4" w:space="0" w:color="FFFFFF"/>
              <w:right w:val="single" w:sz="4" w:space="0" w:color="FFFFFF"/>
            </w:tcBorders>
            <w:shd w:val="clear" w:color="000000" w:fill="BFE2FF"/>
            <w:noWrap/>
            <w:vAlign w:val="center"/>
            <w:hideMark/>
          </w:tcPr>
          <w:p w14:paraId="2A7CF3DA"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8,323</w:t>
            </w:r>
          </w:p>
        </w:tc>
        <w:tc>
          <w:tcPr>
            <w:tcW w:w="794" w:type="dxa"/>
            <w:tcBorders>
              <w:top w:val="nil"/>
              <w:left w:val="nil"/>
              <w:bottom w:val="single" w:sz="4" w:space="0" w:color="FFFFFF"/>
              <w:right w:val="single" w:sz="4" w:space="0" w:color="FFFFFF"/>
            </w:tcBorders>
            <w:shd w:val="clear" w:color="000000" w:fill="FFFFFF"/>
            <w:noWrap/>
            <w:vAlign w:val="center"/>
            <w:hideMark/>
          </w:tcPr>
          <w:p w14:paraId="16A3C285" w14:textId="6512E6A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36A375E" w14:textId="21278B2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CDADCD4" w14:textId="05115180"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3567607" w14:textId="04704D2E"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6FAA930" w14:textId="634DA19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4059A1F2"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14FAF183"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Hearing Impairment</w:t>
            </w:r>
          </w:p>
        </w:tc>
        <w:tc>
          <w:tcPr>
            <w:tcW w:w="794" w:type="dxa"/>
            <w:tcBorders>
              <w:top w:val="nil"/>
              <w:left w:val="nil"/>
              <w:bottom w:val="single" w:sz="4" w:space="0" w:color="FFFFFF"/>
              <w:right w:val="single" w:sz="4" w:space="0" w:color="FFFFFF"/>
            </w:tcBorders>
            <w:shd w:val="clear" w:color="000000" w:fill="BFE2FF"/>
            <w:noWrap/>
            <w:vAlign w:val="center"/>
            <w:hideMark/>
          </w:tcPr>
          <w:p w14:paraId="7A0FE7E8"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17,195</w:t>
            </w:r>
          </w:p>
        </w:tc>
        <w:tc>
          <w:tcPr>
            <w:tcW w:w="794" w:type="dxa"/>
            <w:tcBorders>
              <w:top w:val="nil"/>
              <w:left w:val="nil"/>
              <w:bottom w:val="single" w:sz="4" w:space="0" w:color="FFFFFF"/>
              <w:right w:val="single" w:sz="4" w:space="0" w:color="FFFFFF"/>
            </w:tcBorders>
            <w:shd w:val="clear" w:color="000000" w:fill="BFE2FF"/>
            <w:noWrap/>
            <w:vAlign w:val="center"/>
            <w:hideMark/>
          </w:tcPr>
          <w:p w14:paraId="4F40ADC2"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5,168</w:t>
            </w:r>
          </w:p>
        </w:tc>
        <w:tc>
          <w:tcPr>
            <w:tcW w:w="794" w:type="dxa"/>
            <w:tcBorders>
              <w:top w:val="nil"/>
              <w:left w:val="nil"/>
              <w:bottom w:val="single" w:sz="4" w:space="0" w:color="FFFFFF"/>
              <w:right w:val="single" w:sz="4" w:space="0" w:color="FFFFFF"/>
            </w:tcBorders>
            <w:shd w:val="clear" w:color="000000" w:fill="FFFFFF"/>
            <w:noWrap/>
            <w:vAlign w:val="center"/>
            <w:hideMark/>
          </w:tcPr>
          <w:p w14:paraId="7F56DCB1" w14:textId="343D33CA"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25D5DC0" w14:textId="2AF8919E"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2E25483" w14:textId="1CF72DF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0FD0DD31" w14:textId="51AA64B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5AC24BBC" w14:textId="10E5DAF5"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AE04835" w14:textId="5D0D97C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93EFC16" w14:textId="6D83D480"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71396F07"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49A6A578"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Intellectual Disability</w:t>
            </w:r>
          </w:p>
        </w:tc>
        <w:tc>
          <w:tcPr>
            <w:tcW w:w="794" w:type="dxa"/>
            <w:tcBorders>
              <w:top w:val="nil"/>
              <w:left w:val="nil"/>
              <w:bottom w:val="single" w:sz="4" w:space="0" w:color="FFFFFF"/>
              <w:right w:val="single" w:sz="4" w:space="0" w:color="FFFFFF"/>
            </w:tcBorders>
            <w:shd w:val="clear" w:color="000000" w:fill="BFE2FF"/>
            <w:noWrap/>
            <w:vAlign w:val="center"/>
            <w:hideMark/>
          </w:tcPr>
          <w:p w14:paraId="1926BD4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16,431</w:t>
            </w:r>
          </w:p>
        </w:tc>
        <w:tc>
          <w:tcPr>
            <w:tcW w:w="794" w:type="dxa"/>
            <w:tcBorders>
              <w:top w:val="nil"/>
              <w:left w:val="nil"/>
              <w:bottom w:val="single" w:sz="4" w:space="0" w:color="FFFFFF"/>
              <w:right w:val="single" w:sz="4" w:space="0" w:color="FFFFFF"/>
            </w:tcBorders>
            <w:shd w:val="clear" w:color="000000" w:fill="BFE2FF"/>
            <w:noWrap/>
            <w:vAlign w:val="center"/>
            <w:hideMark/>
          </w:tcPr>
          <w:p w14:paraId="7E38B1C5"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29,246</w:t>
            </w:r>
          </w:p>
        </w:tc>
        <w:tc>
          <w:tcPr>
            <w:tcW w:w="794" w:type="dxa"/>
            <w:tcBorders>
              <w:top w:val="nil"/>
              <w:left w:val="nil"/>
              <w:bottom w:val="single" w:sz="4" w:space="0" w:color="FFFFFF"/>
              <w:right w:val="single" w:sz="4" w:space="0" w:color="FFFFFF"/>
            </w:tcBorders>
            <w:shd w:val="clear" w:color="000000" w:fill="BFE2FF"/>
            <w:noWrap/>
            <w:vAlign w:val="center"/>
            <w:hideMark/>
          </w:tcPr>
          <w:p w14:paraId="6008D65D"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21,908</w:t>
            </w:r>
          </w:p>
        </w:tc>
        <w:tc>
          <w:tcPr>
            <w:tcW w:w="794" w:type="dxa"/>
            <w:tcBorders>
              <w:top w:val="nil"/>
              <w:left w:val="nil"/>
              <w:bottom w:val="single" w:sz="4" w:space="0" w:color="FFFFFF"/>
              <w:right w:val="single" w:sz="4" w:space="0" w:color="FFFFFF"/>
            </w:tcBorders>
            <w:shd w:val="clear" w:color="000000" w:fill="BFE2FF"/>
            <w:noWrap/>
            <w:vAlign w:val="center"/>
            <w:hideMark/>
          </w:tcPr>
          <w:p w14:paraId="4E149B1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23,726</w:t>
            </w:r>
          </w:p>
        </w:tc>
        <w:tc>
          <w:tcPr>
            <w:tcW w:w="794" w:type="dxa"/>
            <w:tcBorders>
              <w:top w:val="nil"/>
              <w:left w:val="nil"/>
              <w:bottom w:val="single" w:sz="4" w:space="0" w:color="FFFFFF"/>
              <w:right w:val="single" w:sz="4" w:space="0" w:color="FFFFFF"/>
            </w:tcBorders>
            <w:shd w:val="clear" w:color="000000" w:fill="FFFFFF"/>
            <w:noWrap/>
            <w:vAlign w:val="center"/>
            <w:hideMark/>
          </w:tcPr>
          <w:p w14:paraId="078F352D" w14:textId="757C2955"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BF7B513" w14:textId="374AA56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08EA5673" w14:textId="45B74BAF"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1032444" w14:textId="23DF636D"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092F7CF" w14:textId="4BF600D3"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67C460AF"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43654D8A"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Multiple Sclerosis</w:t>
            </w:r>
          </w:p>
        </w:tc>
        <w:tc>
          <w:tcPr>
            <w:tcW w:w="794" w:type="dxa"/>
            <w:tcBorders>
              <w:top w:val="nil"/>
              <w:left w:val="nil"/>
              <w:bottom w:val="single" w:sz="4" w:space="0" w:color="FFFFFF"/>
              <w:right w:val="single" w:sz="4" w:space="0" w:color="FFFFFF"/>
            </w:tcBorders>
            <w:shd w:val="clear" w:color="000000" w:fill="BFE2FF"/>
            <w:noWrap/>
            <w:vAlign w:val="center"/>
            <w:hideMark/>
          </w:tcPr>
          <w:p w14:paraId="205C737D"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18</w:t>
            </w:r>
          </w:p>
        </w:tc>
        <w:tc>
          <w:tcPr>
            <w:tcW w:w="794" w:type="dxa"/>
            <w:tcBorders>
              <w:top w:val="nil"/>
              <w:left w:val="nil"/>
              <w:bottom w:val="single" w:sz="4" w:space="0" w:color="FFFFFF"/>
              <w:right w:val="single" w:sz="4" w:space="0" w:color="FFFFFF"/>
            </w:tcBorders>
            <w:shd w:val="clear" w:color="000000" w:fill="BFE2FF"/>
            <w:noWrap/>
            <w:vAlign w:val="center"/>
            <w:hideMark/>
          </w:tcPr>
          <w:p w14:paraId="15C73969"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844</w:t>
            </w:r>
          </w:p>
        </w:tc>
        <w:tc>
          <w:tcPr>
            <w:tcW w:w="794" w:type="dxa"/>
            <w:tcBorders>
              <w:top w:val="nil"/>
              <w:left w:val="nil"/>
              <w:bottom w:val="single" w:sz="4" w:space="0" w:color="FFFFFF"/>
              <w:right w:val="single" w:sz="4" w:space="0" w:color="FFFFFF"/>
            </w:tcBorders>
            <w:shd w:val="clear" w:color="000000" w:fill="BFE2FF"/>
            <w:noWrap/>
            <w:vAlign w:val="center"/>
            <w:hideMark/>
          </w:tcPr>
          <w:p w14:paraId="16F23110"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1,438</w:t>
            </w:r>
          </w:p>
        </w:tc>
        <w:tc>
          <w:tcPr>
            <w:tcW w:w="794" w:type="dxa"/>
            <w:tcBorders>
              <w:top w:val="nil"/>
              <w:left w:val="nil"/>
              <w:bottom w:val="single" w:sz="4" w:space="0" w:color="FFFFFF"/>
              <w:right w:val="single" w:sz="4" w:space="0" w:color="FFFFFF"/>
            </w:tcBorders>
            <w:shd w:val="clear" w:color="000000" w:fill="BFE2FF"/>
            <w:noWrap/>
            <w:vAlign w:val="center"/>
            <w:hideMark/>
          </w:tcPr>
          <w:p w14:paraId="6450E3F7"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1,480</w:t>
            </w:r>
          </w:p>
        </w:tc>
        <w:tc>
          <w:tcPr>
            <w:tcW w:w="794" w:type="dxa"/>
            <w:tcBorders>
              <w:top w:val="nil"/>
              <w:left w:val="nil"/>
              <w:bottom w:val="single" w:sz="4" w:space="0" w:color="FFFFFF"/>
              <w:right w:val="single" w:sz="4" w:space="0" w:color="FFFFFF"/>
            </w:tcBorders>
            <w:shd w:val="clear" w:color="000000" w:fill="BFE2FF"/>
            <w:noWrap/>
            <w:vAlign w:val="center"/>
            <w:hideMark/>
          </w:tcPr>
          <w:p w14:paraId="0E465A91"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1,878</w:t>
            </w:r>
          </w:p>
        </w:tc>
        <w:tc>
          <w:tcPr>
            <w:tcW w:w="794" w:type="dxa"/>
            <w:tcBorders>
              <w:top w:val="nil"/>
              <w:left w:val="nil"/>
              <w:bottom w:val="single" w:sz="4" w:space="0" w:color="FFFFFF"/>
              <w:right w:val="single" w:sz="4" w:space="0" w:color="FFFFFF"/>
            </w:tcBorders>
            <w:shd w:val="clear" w:color="000000" w:fill="BFE2FF"/>
            <w:noWrap/>
            <w:vAlign w:val="center"/>
            <w:hideMark/>
          </w:tcPr>
          <w:p w14:paraId="3C0D2C5E"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2,870</w:t>
            </w:r>
          </w:p>
        </w:tc>
        <w:tc>
          <w:tcPr>
            <w:tcW w:w="794" w:type="dxa"/>
            <w:tcBorders>
              <w:top w:val="nil"/>
              <w:left w:val="nil"/>
              <w:bottom w:val="single" w:sz="4" w:space="0" w:color="FFFFFF"/>
              <w:right w:val="single" w:sz="4" w:space="0" w:color="FFFFFF"/>
            </w:tcBorders>
            <w:shd w:val="clear" w:color="000000" w:fill="FFFFFF"/>
            <w:noWrap/>
            <w:vAlign w:val="center"/>
            <w:hideMark/>
          </w:tcPr>
          <w:p w14:paraId="606BD4C2" w14:textId="378A694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3CE02AD" w14:textId="53F5C5B3"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149656A" w14:textId="16AE3600"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71ED3DE7"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73BDF6DB"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Delay</w:t>
            </w:r>
          </w:p>
        </w:tc>
        <w:tc>
          <w:tcPr>
            <w:tcW w:w="794" w:type="dxa"/>
            <w:tcBorders>
              <w:top w:val="nil"/>
              <w:left w:val="nil"/>
              <w:bottom w:val="single" w:sz="4" w:space="0" w:color="FFFFFF"/>
              <w:right w:val="single" w:sz="4" w:space="0" w:color="FFFFFF"/>
            </w:tcBorders>
            <w:shd w:val="clear" w:color="000000" w:fill="BFE2FF"/>
            <w:noWrap/>
            <w:vAlign w:val="center"/>
            <w:hideMark/>
          </w:tcPr>
          <w:p w14:paraId="59B4353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46,061</w:t>
            </w:r>
          </w:p>
        </w:tc>
        <w:tc>
          <w:tcPr>
            <w:tcW w:w="794" w:type="dxa"/>
            <w:tcBorders>
              <w:top w:val="nil"/>
              <w:left w:val="nil"/>
              <w:bottom w:val="single" w:sz="4" w:space="0" w:color="FFFFFF"/>
              <w:right w:val="single" w:sz="4" w:space="0" w:color="FFFFFF"/>
            </w:tcBorders>
            <w:shd w:val="clear" w:color="000000" w:fill="BFE2FF"/>
            <w:noWrap/>
            <w:vAlign w:val="center"/>
            <w:hideMark/>
          </w:tcPr>
          <w:p w14:paraId="716AF411"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1,172</w:t>
            </w:r>
          </w:p>
        </w:tc>
        <w:tc>
          <w:tcPr>
            <w:tcW w:w="794" w:type="dxa"/>
            <w:tcBorders>
              <w:top w:val="nil"/>
              <w:left w:val="nil"/>
              <w:bottom w:val="single" w:sz="4" w:space="0" w:color="FFFFFF"/>
              <w:right w:val="single" w:sz="4" w:space="0" w:color="FFFFFF"/>
            </w:tcBorders>
            <w:shd w:val="clear" w:color="000000" w:fill="FFFFFF"/>
            <w:noWrap/>
            <w:vAlign w:val="center"/>
            <w:hideMark/>
          </w:tcPr>
          <w:p w14:paraId="2F223600" w14:textId="345A6CE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E7E615C" w14:textId="0C1097AA"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169EB93" w14:textId="7396FBA5"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77F487C" w14:textId="0240CD33"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90C8DF9" w14:textId="0B0CD28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1AF4386" w14:textId="05F46274"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BBE631E" w14:textId="0B71C07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1CBB54F7"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356CB61D"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Other</w:t>
            </w:r>
          </w:p>
        </w:tc>
        <w:tc>
          <w:tcPr>
            <w:tcW w:w="794" w:type="dxa"/>
            <w:tcBorders>
              <w:top w:val="nil"/>
              <w:left w:val="nil"/>
              <w:bottom w:val="single" w:sz="4" w:space="0" w:color="FFFFFF"/>
              <w:right w:val="single" w:sz="4" w:space="0" w:color="FFFFFF"/>
            </w:tcBorders>
            <w:shd w:val="clear" w:color="000000" w:fill="BFE2FF"/>
            <w:noWrap/>
            <w:vAlign w:val="center"/>
            <w:hideMark/>
          </w:tcPr>
          <w:p w14:paraId="26933F4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3,760</w:t>
            </w:r>
          </w:p>
        </w:tc>
        <w:tc>
          <w:tcPr>
            <w:tcW w:w="794" w:type="dxa"/>
            <w:tcBorders>
              <w:top w:val="nil"/>
              <w:left w:val="nil"/>
              <w:bottom w:val="single" w:sz="4" w:space="0" w:color="FFFFFF"/>
              <w:right w:val="single" w:sz="4" w:space="0" w:color="FFFFFF"/>
            </w:tcBorders>
            <w:shd w:val="clear" w:color="000000" w:fill="FFFFFF"/>
            <w:noWrap/>
            <w:vAlign w:val="center"/>
            <w:hideMark/>
          </w:tcPr>
          <w:p w14:paraId="79EFE208" w14:textId="25F178FD"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02BF392F" w14:textId="3BBB5A1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7D015F51" w14:textId="1D7C0D4C"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8B29CD1" w14:textId="3B16CBD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736C82E" w14:textId="7495D50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BAA66C6" w14:textId="331A986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335A081" w14:textId="1E54A079"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B5B6841" w14:textId="2F9D16A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262A8E2A"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59B748EB"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Other Neurological</w:t>
            </w:r>
          </w:p>
        </w:tc>
        <w:tc>
          <w:tcPr>
            <w:tcW w:w="794" w:type="dxa"/>
            <w:tcBorders>
              <w:top w:val="nil"/>
              <w:left w:val="nil"/>
              <w:bottom w:val="single" w:sz="4" w:space="0" w:color="FFFFFF"/>
              <w:right w:val="single" w:sz="4" w:space="0" w:color="FFFFFF"/>
            </w:tcBorders>
            <w:shd w:val="clear" w:color="000000" w:fill="BFE2FF"/>
            <w:noWrap/>
            <w:vAlign w:val="center"/>
            <w:hideMark/>
          </w:tcPr>
          <w:p w14:paraId="67753A42"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4,751</w:t>
            </w:r>
          </w:p>
        </w:tc>
        <w:tc>
          <w:tcPr>
            <w:tcW w:w="794" w:type="dxa"/>
            <w:tcBorders>
              <w:top w:val="nil"/>
              <w:left w:val="nil"/>
              <w:bottom w:val="single" w:sz="4" w:space="0" w:color="FFFFFF"/>
              <w:right w:val="single" w:sz="4" w:space="0" w:color="FFFFFF"/>
            </w:tcBorders>
            <w:shd w:val="clear" w:color="000000" w:fill="BFE2FF"/>
            <w:noWrap/>
            <w:vAlign w:val="center"/>
            <w:hideMark/>
          </w:tcPr>
          <w:p w14:paraId="1748DC7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4,312</w:t>
            </w:r>
          </w:p>
        </w:tc>
        <w:tc>
          <w:tcPr>
            <w:tcW w:w="794" w:type="dxa"/>
            <w:tcBorders>
              <w:top w:val="nil"/>
              <w:left w:val="nil"/>
              <w:bottom w:val="single" w:sz="4" w:space="0" w:color="FFFFFF"/>
              <w:right w:val="single" w:sz="4" w:space="0" w:color="FFFFFF"/>
            </w:tcBorders>
            <w:shd w:val="clear" w:color="000000" w:fill="BFE2FF"/>
            <w:noWrap/>
            <w:vAlign w:val="center"/>
            <w:hideMark/>
          </w:tcPr>
          <w:p w14:paraId="613F20BD"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10,435</w:t>
            </w:r>
          </w:p>
        </w:tc>
        <w:tc>
          <w:tcPr>
            <w:tcW w:w="794" w:type="dxa"/>
            <w:tcBorders>
              <w:top w:val="nil"/>
              <w:left w:val="nil"/>
              <w:bottom w:val="single" w:sz="4" w:space="0" w:color="FFFFFF"/>
              <w:right w:val="single" w:sz="4" w:space="0" w:color="FFFFFF"/>
            </w:tcBorders>
            <w:shd w:val="clear" w:color="000000" w:fill="FFFFFF"/>
            <w:noWrap/>
            <w:vAlign w:val="center"/>
            <w:hideMark/>
          </w:tcPr>
          <w:p w14:paraId="4DD7EC7E" w14:textId="3879DBB5"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F9884F2" w14:textId="35EE719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9313CB0" w14:textId="17888899"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00F200B0" w14:textId="6BED07C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5F10FDC2" w14:textId="7F50785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9E3E08F" w14:textId="4D24B496"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1A104F0B"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499CAE49"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Other Physical</w:t>
            </w:r>
          </w:p>
        </w:tc>
        <w:tc>
          <w:tcPr>
            <w:tcW w:w="794" w:type="dxa"/>
            <w:tcBorders>
              <w:top w:val="nil"/>
              <w:left w:val="nil"/>
              <w:bottom w:val="single" w:sz="4" w:space="0" w:color="FFFFFF"/>
              <w:right w:val="single" w:sz="4" w:space="0" w:color="FFFFFF"/>
            </w:tcBorders>
            <w:shd w:val="clear" w:color="000000" w:fill="BFE2FF"/>
            <w:noWrap/>
            <w:vAlign w:val="center"/>
            <w:hideMark/>
          </w:tcPr>
          <w:p w14:paraId="1AD6F5DF"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7,892</w:t>
            </w:r>
          </w:p>
        </w:tc>
        <w:tc>
          <w:tcPr>
            <w:tcW w:w="794" w:type="dxa"/>
            <w:tcBorders>
              <w:top w:val="nil"/>
              <w:left w:val="nil"/>
              <w:bottom w:val="single" w:sz="4" w:space="0" w:color="FFFFFF"/>
              <w:right w:val="single" w:sz="4" w:space="0" w:color="FFFFFF"/>
            </w:tcBorders>
            <w:shd w:val="clear" w:color="000000" w:fill="BFE2FF"/>
            <w:noWrap/>
            <w:vAlign w:val="center"/>
            <w:hideMark/>
          </w:tcPr>
          <w:p w14:paraId="43A32D33"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4,627</w:t>
            </w:r>
          </w:p>
        </w:tc>
        <w:tc>
          <w:tcPr>
            <w:tcW w:w="794" w:type="dxa"/>
            <w:tcBorders>
              <w:top w:val="nil"/>
              <w:left w:val="nil"/>
              <w:bottom w:val="single" w:sz="4" w:space="0" w:color="FFFFFF"/>
              <w:right w:val="single" w:sz="4" w:space="0" w:color="FFFFFF"/>
            </w:tcBorders>
            <w:shd w:val="clear" w:color="000000" w:fill="BFE2FF"/>
            <w:noWrap/>
            <w:vAlign w:val="center"/>
            <w:hideMark/>
          </w:tcPr>
          <w:p w14:paraId="6609D86A"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6,098</w:t>
            </w:r>
          </w:p>
        </w:tc>
        <w:tc>
          <w:tcPr>
            <w:tcW w:w="794" w:type="dxa"/>
            <w:tcBorders>
              <w:top w:val="nil"/>
              <w:left w:val="nil"/>
              <w:bottom w:val="single" w:sz="4" w:space="0" w:color="FFFFFF"/>
              <w:right w:val="single" w:sz="4" w:space="0" w:color="FFFFFF"/>
            </w:tcBorders>
            <w:shd w:val="clear" w:color="000000" w:fill="FFFFFF"/>
            <w:noWrap/>
            <w:vAlign w:val="center"/>
            <w:hideMark/>
          </w:tcPr>
          <w:p w14:paraId="22C04103" w14:textId="1430AD65"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48AD626" w14:textId="2A78B96F"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1D464347" w14:textId="746EA493"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B8FBB9C" w14:textId="53AC7FA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441D07B8" w14:textId="1BAA2B5F"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8BDF297" w14:textId="6A4E9F1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0EAA6A64"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7EB517B5"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Other SensorySpeech</w:t>
            </w:r>
          </w:p>
        </w:tc>
        <w:tc>
          <w:tcPr>
            <w:tcW w:w="794" w:type="dxa"/>
            <w:tcBorders>
              <w:top w:val="nil"/>
              <w:left w:val="nil"/>
              <w:bottom w:val="single" w:sz="4" w:space="0" w:color="FFFFFF"/>
              <w:right w:val="single" w:sz="4" w:space="0" w:color="FFFFFF"/>
            </w:tcBorders>
            <w:shd w:val="clear" w:color="000000" w:fill="BFE2FF"/>
            <w:noWrap/>
            <w:vAlign w:val="center"/>
            <w:hideMark/>
          </w:tcPr>
          <w:p w14:paraId="045B7C3C"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2,778</w:t>
            </w:r>
          </w:p>
        </w:tc>
        <w:tc>
          <w:tcPr>
            <w:tcW w:w="794" w:type="dxa"/>
            <w:tcBorders>
              <w:top w:val="nil"/>
              <w:left w:val="nil"/>
              <w:bottom w:val="single" w:sz="4" w:space="0" w:color="FFFFFF"/>
              <w:right w:val="single" w:sz="4" w:space="0" w:color="FFFFFF"/>
            </w:tcBorders>
            <w:shd w:val="clear" w:color="000000" w:fill="FFFFFF"/>
            <w:noWrap/>
            <w:vAlign w:val="center"/>
            <w:hideMark/>
          </w:tcPr>
          <w:p w14:paraId="44B9B87A" w14:textId="653A55C6"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3E70061" w14:textId="09F98904"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70065DD4" w14:textId="450A0A23"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F4A90FE" w14:textId="2D33B696"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AA9273B" w14:textId="33F0521D"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652DCCC" w14:textId="258AF02A"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3ED5A33" w14:textId="5E2C35A0"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3AA1311" w14:textId="6112281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750D854C"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3AC0316E"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Psychosocial disability</w:t>
            </w:r>
          </w:p>
        </w:tc>
        <w:tc>
          <w:tcPr>
            <w:tcW w:w="794" w:type="dxa"/>
            <w:tcBorders>
              <w:top w:val="nil"/>
              <w:left w:val="nil"/>
              <w:bottom w:val="single" w:sz="4" w:space="0" w:color="FFFFFF"/>
              <w:right w:val="single" w:sz="4" w:space="0" w:color="FFFFFF"/>
            </w:tcBorders>
            <w:shd w:val="clear" w:color="000000" w:fill="BFE2FF"/>
            <w:noWrap/>
            <w:vAlign w:val="center"/>
            <w:hideMark/>
          </w:tcPr>
          <w:p w14:paraId="7A351E27"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96</w:t>
            </w:r>
          </w:p>
        </w:tc>
        <w:tc>
          <w:tcPr>
            <w:tcW w:w="794" w:type="dxa"/>
            <w:tcBorders>
              <w:top w:val="nil"/>
              <w:left w:val="nil"/>
              <w:bottom w:val="single" w:sz="4" w:space="0" w:color="FFFFFF"/>
              <w:right w:val="single" w:sz="4" w:space="0" w:color="FFFFFF"/>
            </w:tcBorders>
            <w:shd w:val="clear" w:color="000000" w:fill="BFE2FF"/>
            <w:noWrap/>
            <w:vAlign w:val="center"/>
            <w:hideMark/>
          </w:tcPr>
          <w:p w14:paraId="62D2AC29"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8,443</w:t>
            </w:r>
          </w:p>
        </w:tc>
        <w:tc>
          <w:tcPr>
            <w:tcW w:w="794" w:type="dxa"/>
            <w:tcBorders>
              <w:top w:val="nil"/>
              <w:left w:val="nil"/>
              <w:bottom w:val="single" w:sz="4" w:space="0" w:color="FFFFFF"/>
              <w:right w:val="single" w:sz="4" w:space="0" w:color="FFFFFF"/>
            </w:tcBorders>
            <w:shd w:val="clear" w:color="000000" w:fill="BFE2FF"/>
            <w:noWrap/>
            <w:vAlign w:val="center"/>
            <w:hideMark/>
          </w:tcPr>
          <w:p w14:paraId="4723939C"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9,920</w:t>
            </w:r>
          </w:p>
        </w:tc>
        <w:tc>
          <w:tcPr>
            <w:tcW w:w="794" w:type="dxa"/>
            <w:tcBorders>
              <w:top w:val="nil"/>
              <w:left w:val="nil"/>
              <w:bottom w:val="single" w:sz="4" w:space="0" w:color="FFFFFF"/>
              <w:right w:val="single" w:sz="4" w:space="0" w:color="FFFFFF"/>
            </w:tcBorders>
            <w:shd w:val="clear" w:color="000000" w:fill="BFE2FF"/>
            <w:noWrap/>
            <w:vAlign w:val="center"/>
            <w:hideMark/>
          </w:tcPr>
          <w:p w14:paraId="3AE2A508"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15,123</w:t>
            </w:r>
          </w:p>
        </w:tc>
        <w:tc>
          <w:tcPr>
            <w:tcW w:w="794" w:type="dxa"/>
            <w:tcBorders>
              <w:top w:val="nil"/>
              <w:left w:val="nil"/>
              <w:bottom w:val="single" w:sz="4" w:space="0" w:color="FFFFFF"/>
              <w:right w:val="single" w:sz="4" w:space="0" w:color="FFFFFF"/>
            </w:tcBorders>
            <w:shd w:val="clear" w:color="000000" w:fill="BFE2FF"/>
            <w:noWrap/>
            <w:vAlign w:val="center"/>
            <w:hideMark/>
          </w:tcPr>
          <w:p w14:paraId="23E20A2F"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0</w:t>
            </w:r>
          </w:p>
        </w:tc>
        <w:tc>
          <w:tcPr>
            <w:tcW w:w="794" w:type="dxa"/>
            <w:tcBorders>
              <w:top w:val="nil"/>
              <w:left w:val="nil"/>
              <w:bottom w:val="single" w:sz="4" w:space="0" w:color="FFFFFF"/>
              <w:right w:val="single" w:sz="4" w:space="0" w:color="FFFFFF"/>
            </w:tcBorders>
            <w:shd w:val="clear" w:color="000000" w:fill="FFFFFF"/>
            <w:noWrap/>
            <w:vAlign w:val="center"/>
            <w:hideMark/>
          </w:tcPr>
          <w:p w14:paraId="31AD8497" w14:textId="1098186D"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68C474B0" w14:textId="35EDD7ED"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53BD69FD" w14:textId="0081802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497F7E3" w14:textId="031D5473"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083F2265"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22BF998A"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Spinal Cord Injury</w:t>
            </w:r>
          </w:p>
        </w:tc>
        <w:tc>
          <w:tcPr>
            <w:tcW w:w="794" w:type="dxa"/>
            <w:tcBorders>
              <w:top w:val="nil"/>
              <w:left w:val="nil"/>
              <w:bottom w:val="single" w:sz="4" w:space="0" w:color="FFFFFF"/>
              <w:right w:val="single" w:sz="4" w:space="0" w:color="FFFFFF"/>
            </w:tcBorders>
            <w:shd w:val="clear" w:color="000000" w:fill="BFE2FF"/>
            <w:noWrap/>
            <w:vAlign w:val="center"/>
            <w:hideMark/>
          </w:tcPr>
          <w:p w14:paraId="2B721063"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487</w:t>
            </w:r>
          </w:p>
        </w:tc>
        <w:tc>
          <w:tcPr>
            <w:tcW w:w="794" w:type="dxa"/>
            <w:tcBorders>
              <w:top w:val="nil"/>
              <w:left w:val="nil"/>
              <w:bottom w:val="single" w:sz="4" w:space="0" w:color="FFFFFF"/>
              <w:right w:val="single" w:sz="4" w:space="0" w:color="FFFFFF"/>
            </w:tcBorders>
            <w:shd w:val="clear" w:color="000000" w:fill="BFE2FF"/>
            <w:noWrap/>
            <w:vAlign w:val="center"/>
            <w:hideMark/>
          </w:tcPr>
          <w:p w14:paraId="51EB63D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239</w:t>
            </w:r>
          </w:p>
        </w:tc>
        <w:tc>
          <w:tcPr>
            <w:tcW w:w="794" w:type="dxa"/>
            <w:tcBorders>
              <w:top w:val="nil"/>
              <w:left w:val="nil"/>
              <w:bottom w:val="single" w:sz="4" w:space="0" w:color="FFFFFF"/>
              <w:right w:val="single" w:sz="4" w:space="0" w:color="FFFFFF"/>
            </w:tcBorders>
            <w:shd w:val="clear" w:color="000000" w:fill="BFE2FF"/>
            <w:noWrap/>
            <w:vAlign w:val="center"/>
            <w:hideMark/>
          </w:tcPr>
          <w:p w14:paraId="4E62A3BF"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690</w:t>
            </w:r>
          </w:p>
        </w:tc>
        <w:tc>
          <w:tcPr>
            <w:tcW w:w="794" w:type="dxa"/>
            <w:tcBorders>
              <w:top w:val="nil"/>
              <w:left w:val="nil"/>
              <w:bottom w:val="single" w:sz="4" w:space="0" w:color="FFFFFF"/>
              <w:right w:val="single" w:sz="4" w:space="0" w:color="FFFFFF"/>
            </w:tcBorders>
            <w:shd w:val="clear" w:color="000000" w:fill="BFE2FF"/>
            <w:noWrap/>
            <w:vAlign w:val="center"/>
            <w:hideMark/>
          </w:tcPr>
          <w:p w14:paraId="3930B266"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391</w:t>
            </w:r>
          </w:p>
        </w:tc>
        <w:tc>
          <w:tcPr>
            <w:tcW w:w="794" w:type="dxa"/>
            <w:tcBorders>
              <w:top w:val="nil"/>
              <w:left w:val="nil"/>
              <w:bottom w:val="single" w:sz="4" w:space="0" w:color="FFFFFF"/>
              <w:right w:val="single" w:sz="4" w:space="0" w:color="FFFFFF"/>
            </w:tcBorders>
            <w:shd w:val="clear" w:color="000000" w:fill="BFE2FF"/>
            <w:noWrap/>
            <w:vAlign w:val="center"/>
            <w:hideMark/>
          </w:tcPr>
          <w:p w14:paraId="1C38CEFF"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1,432</w:t>
            </w:r>
          </w:p>
        </w:tc>
        <w:tc>
          <w:tcPr>
            <w:tcW w:w="794" w:type="dxa"/>
            <w:tcBorders>
              <w:top w:val="nil"/>
              <w:left w:val="nil"/>
              <w:bottom w:val="single" w:sz="4" w:space="0" w:color="FFFFFF"/>
              <w:right w:val="single" w:sz="4" w:space="0" w:color="FFFFFF"/>
            </w:tcBorders>
            <w:shd w:val="clear" w:color="000000" w:fill="BFE2FF"/>
            <w:noWrap/>
            <w:vAlign w:val="center"/>
            <w:hideMark/>
          </w:tcPr>
          <w:p w14:paraId="4A69BB3E"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1,005</w:t>
            </w:r>
          </w:p>
        </w:tc>
        <w:tc>
          <w:tcPr>
            <w:tcW w:w="794" w:type="dxa"/>
            <w:tcBorders>
              <w:top w:val="nil"/>
              <w:left w:val="nil"/>
              <w:bottom w:val="single" w:sz="4" w:space="0" w:color="FFFFFF"/>
              <w:right w:val="single" w:sz="4" w:space="0" w:color="FFFFFF"/>
            </w:tcBorders>
            <w:shd w:val="clear" w:color="000000" w:fill="BFE2FF"/>
            <w:noWrap/>
            <w:vAlign w:val="center"/>
            <w:hideMark/>
          </w:tcPr>
          <w:p w14:paraId="5541129D"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222</w:t>
            </w:r>
          </w:p>
        </w:tc>
        <w:tc>
          <w:tcPr>
            <w:tcW w:w="794" w:type="dxa"/>
            <w:tcBorders>
              <w:top w:val="nil"/>
              <w:left w:val="nil"/>
              <w:bottom w:val="single" w:sz="4" w:space="0" w:color="FFFFFF"/>
              <w:right w:val="single" w:sz="4" w:space="0" w:color="FFFFFF"/>
            </w:tcBorders>
            <w:shd w:val="clear" w:color="000000" w:fill="BFE2FF"/>
            <w:noWrap/>
            <w:vAlign w:val="center"/>
            <w:hideMark/>
          </w:tcPr>
          <w:p w14:paraId="3C73E9C0"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549</w:t>
            </w:r>
          </w:p>
        </w:tc>
        <w:tc>
          <w:tcPr>
            <w:tcW w:w="794" w:type="dxa"/>
            <w:tcBorders>
              <w:top w:val="nil"/>
              <w:left w:val="nil"/>
              <w:bottom w:val="single" w:sz="4" w:space="0" w:color="FFFFFF"/>
              <w:right w:val="single" w:sz="4" w:space="0" w:color="FFFFFF"/>
            </w:tcBorders>
            <w:shd w:val="clear" w:color="000000" w:fill="BFE2FF"/>
            <w:noWrap/>
            <w:vAlign w:val="center"/>
            <w:hideMark/>
          </w:tcPr>
          <w:p w14:paraId="45DB46FD"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119</w:t>
            </w:r>
          </w:p>
        </w:tc>
      </w:tr>
      <w:tr w:rsidR="00C34085" w:rsidRPr="00C34085" w14:paraId="2847C5EF"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79171EEE"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Stroke</w:t>
            </w:r>
          </w:p>
        </w:tc>
        <w:tc>
          <w:tcPr>
            <w:tcW w:w="794" w:type="dxa"/>
            <w:tcBorders>
              <w:top w:val="nil"/>
              <w:left w:val="nil"/>
              <w:bottom w:val="single" w:sz="4" w:space="0" w:color="FFFFFF"/>
              <w:right w:val="single" w:sz="4" w:space="0" w:color="FFFFFF"/>
            </w:tcBorders>
            <w:shd w:val="clear" w:color="000000" w:fill="BFE2FF"/>
            <w:noWrap/>
            <w:vAlign w:val="center"/>
            <w:hideMark/>
          </w:tcPr>
          <w:p w14:paraId="070A910B"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76</w:t>
            </w:r>
          </w:p>
        </w:tc>
        <w:tc>
          <w:tcPr>
            <w:tcW w:w="794" w:type="dxa"/>
            <w:tcBorders>
              <w:top w:val="nil"/>
              <w:left w:val="nil"/>
              <w:bottom w:val="single" w:sz="4" w:space="0" w:color="FFFFFF"/>
              <w:right w:val="single" w:sz="4" w:space="0" w:color="FFFFFF"/>
            </w:tcBorders>
            <w:shd w:val="clear" w:color="000000" w:fill="BFE2FF"/>
            <w:noWrap/>
            <w:vAlign w:val="center"/>
            <w:hideMark/>
          </w:tcPr>
          <w:p w14:paraId="3B6AFAC9"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1,389</w:t>
            </w:r>
          </w:p>
        </w:tc>
        <w:tc>
          <w:tcPr>
            <w:tcW w:w="794" w:type="dxa"/>
            <w:tcBorders>
              <w:top w:val="nil"/>
              <w:left w:val="nil"/>
              <w:bottom w:val="single" w:sz="4" w:space="0" w:color="FFFFFF"/>
              <w:right w:val="single" w:sz="4" w:space="0" w:color="FFFFFF"/>
            </w:tcBorders>
            <w:shd w:val="clear" w:color="000000" w:fill="BFE2FF"/>
            <w:noWrap/>
            <w:vAlign w:val="center"/>
            <w:hideMark/>
          </w:tcPr>
          <w:p w14:paraId="1223B5CF"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4,719</w:t>
            </w:r>
          </w:p>
        </w:tc>
        <w:tc>
          <w:tcPr>
            <w:tcW w:w="794" w:type="dxa"/>
            <w:tcBorders>
              <w:top w:val="nil"/>
              <w:left w:val="nil"/>
              <w:bottom w:val="single" w:sz="4" w:space="0" w:color="FFFFFF"/>
              <w:right w:val="single" w:sz="4" w:space="0" w:color="FFFFFF"/>
            </w:tcBorders>
            <w:shd w:val="clear" w:color="000000" w:fill="BFE2FF"/>
            <w:noWrap/>
            <w:vAlign w:val="center"/>
            <w:hideMark/>
          </w:tcPr>
          <w:p w14:paraId="7F026FEE"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771</w:t>
            </w:r>
          </w:p>
        </w:tc>
        <w:tc>
          <w:tcPr>
            <w:tcW w:w="794" w:type="dxa"/>
            <w:tcBorders>
              <w:top w:val="nil"/>
              <w:left w:val="nil"/>
              <w:bottom w:val="single" w:sz="4" w:space="0" w:color="FFFFFF"/>
              <w:right w:val="single" w:sz="4" w:space="0" w:color="FFFFFF"/>
            </w:tcBorders>
            <w:shd w:val="clear" w:color="000000" w:fill="FFFFFF"/>
            <w:noWrap/>
            <w:vAlign w:val="center"/>
            <w:hideMark/>
          </w:tcPr>
          <w:p w14:paraId="1B8D0456" w14:textId="173D66D2"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0BEC08EC" w14:textId="299E374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791F099E" w14:textId="35BA8335"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6C0E1F8" w14:textId="4F48482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0A9AC68" w14:textId="2304013E"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r w:rsidR="00C34085" w:rsidRPr="00C34085" w14:paraId="60D837BE" w14:textId="77777777" w:rsidTr="0022376D">
        <w:trPr>
          <w:trHeight w:val="367"/>
        </w:trPr>
        <w:tc>
          <w:tcPr>
            <w:tcW w:w="2780" w:type="dxa"/>
            <w:tcBorders>
              <w:top w:val="nil"/>
              <w:left w:val="single" w:sz="4" w:space="0" w:color="FFFFFF"/>
              <w:bottom w:val="single" w:sz="4" w:space="0" w:color="FFFFFF"/>
              <w:right w:val="single" w:sz="4" w:space="0" w:color="FFFFFF"/>
            </w:tcBorders>
            <w:shd w:val="clear" w:color="000000" w:fill="006EC8"/>
            <w:noWrap/>
            <w:vAlign w:val="center"/>
            <w:hideMark/>
          </w:tcPr>
          <w:p w14:paraId="6481257C" w14:textId="77777777" w:rsidR="00C34085" w:rsidRPr="00C34085" w:rsidRDefault="00C34085" w:rsidP="00C34085">
            <w:pPr>
              <w:spacing w:before="0" w:after="0"/>
              <w:rPr>
                <w:rFonts w:ascii="Blanco" w:eastAsia="Times New Roman" w:hAnsi="Blanco" w:cs="Times New Roman"/>
                <w:b/>
                <w:bCs/>
                <w:color w:val="FFFFFF"/>
                <w:sz w:val="20"/>
                <w:szCs w:val="20"/>
                <w:lang w:val="en-AU" w:eastAsia="zh-CN"/>
              </w:rPr>
            </w:pPr>
            <w:r w:rsidRPr="00C34085">
              <w:rPr>
                <w:rFonts w:ascii="Blanco" w:eastAsia="Times New Roman" w:hAnsi="Blanco" w:cs="Times New Roman"/>
                <w:b/>
                <w:bCs/>
                <w:color w:val="FFFFFF"/>
                <w:sz w:val="20"/>
                <w:szCs w:val="20"/>
                <w:lang w:val="en-AU" w:eastAsia="zh-CN"/>
              </w:rPr>
              <w:t>Visual Impairment</w:t>
            </w:r>
          </w:p>
        </w:tc>
        <w:tc>
          <w:tcPr>
            <w:tcW w:w="794" w:type="dxa"/>
            <w:tcBorders>
              <w:top w:val="nil"/>
              <w:left w:val="nil"/>
              <w:bottom w:val="single" w:sz="4" w:space="0" w:color="FFFFFF"/>
              <w:right w:val="single" w:sz="4" w:space="0" w:color="FFFFFF"/>
            </w:tcBorders>
            <w:shd w:val="clear" w:color="000000" w:fill="BFE2FF"/>
            <w:noWrap/>
            <w:vAlign w:val="center"/>
            <w:hideMark/>
          </w:tcPr>
          <w:p w14:paraId="4987E0B6"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4,038</w:t>
            </w:r>
          </w:p>
        </w:tc>
        <w:tc>
          <w:tcPr>
            <w:tcW w:w="794" w:type="dxa"/>
            <w:tcBorders>
              <w:top w:val="nil"/>
              <w:left w:val="nil"/>
              <w:bottom w:val="single" w:sz="4" w:space="0" w:color="FFFFFF"/>
              <w:right w:val="single" w:sz="4" w:space="0" w:color="FFFFFF"/>
            </w:tcBorders>
            <w:shd w:val="clear" w:color="000000" w:fill="BFE2FF"/>
            <w:noWrap/>
            <w:vAlign w:val="center"/>
            <w:hideMark/>
          </w:tcPr>
          <w:p w14:paraId="7CC477B6" w14:textId="77777777"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r w:rsidRPr="00C34085">
              <w:rPr>
                <w:rFonts w:ascii="Blanco" w:eastAsia="Times New Roman" w:hAnsi="Blanco" w:cs="Times New Roman"/>
                <w:color w:val="231F20"/>
                <w:sz w:val="20"/>
                <w:szCs w:val="20"/>
                <w:lang w:val="en-AU" w:eastAsia="zh-CN"/>
              </w:rPr>
              <w:t>5,019</w:t>
            </w:r>
          </w:p>
        </w:tc>
        <w:tc>
          <w:tcPr>
            <w:tcW w:w="794" w:type="dxa"/>
            <w:tcBorders>
              <w:top w:val="nil"/>
              <w:left w:val="nil"/>
              <w:bottom w:val="single" w:sz="4" w:space="0" w:color="FFFFFF"/>
              <w:right w:val="single" w:sz="4" w:space="0" w:color="FFFFFF"/>
            </w:tcBorders>
            <w:shd w:val="clear" w:color="000000" w:fill="FFFFFF"/>
            <w:noWrap/>
            <w:vAlign w:val="center"/>
            <w:hideMark/>
          </w:tcPr>
          <w:p w14:paraId="183179E8" w14:textId="6BB06689"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D1E6544" w14:textId="695A8CC1"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521FAD15" w14:textId="51D6B309"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243FCE21" w14:textId="349F41D4"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ED3971D" w14:textId="5CAD2886"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5659062E" w14:textId="79F8739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vAlign w:val="center"/>
            <w:hideMark/>
          </w:tcPr>
          <w:p w14:paraId="304EF9F7" w14:textId="4B778308" w:rsidR="00C34085" w:rsidRPr="00C34085" w:rsidRDefault="00C34085" w:rsidP="00C34085">
            <w:pPr>
              <w:spacing w:before="0" w:after="0"/>
              <w:jc w:val="center"/>
              <w:rPr>
                <w:rFonts w:ascii="Blanco" w:eastAsia="Times New Roman" w:hAnsi="Blanco" w:cs="Times New Roman"/>
                <w:color w:val="231F20"/>
                <w:sz w:val="20"/>
                <w:szCs w:val="20"/>
                <w:lang w:val="en-AU" w:eastAsia="zh-CN"/>
              </w:rPr>
            </w:pPr>
          </w:p>
        </w:tc>
      </w:tr>
    </w:tbl>
    <w:p w14:paraId="135EDCA3" w14:textId="21090E4F" w:rsidR="00E30167" w:rsidRDefault="00E30167" w:rsidP="00E30167">
      <w:pPr>
        <w:pStyle w:val="Caption"/>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4</w:t>
      </w:r>
      <w:r w:rsidR="009366CE">
        <w:fldChar w:fldCharType="end"/>
      </w:r>
      <w:r>
        <w:t xml:space="preserve"> – Average payments by disability-severity cohort, 2020-21</w:t>
      </w:r>
      <w:r w:rsidR="00140FA0">
        <w:t>, rounded</w:t>
      </w:r>
    </w:p>
    <w:tbl>
      <w:tblPr>
        <w:tblW w:w="9924" w:type="dxa"/>
        <w:tblLayout w:type="fixed"/>
        <w:tblLook w:val="04A0" w:firstRow="1" w:lastRow="0" w:firstColumn="1" w:lastColumn="0" w:noHBand="0" w:noVBand="1"/>
      </w:tblPr>
      <w:tblGrid>
        <w:gridCol w:w="2778"/>
        <w:gridCol w:w="794"/>
        <w:gridCol w:w="794"/>
        <w:gridCol w:w="794"/>
        <w:gridCol w:w="794"/>
        <w:gridCol w:w="794"/>
        <w:gridCol w:w="794"/>
        <w:gridCol w:w="794"/>
        <w:gridCol w:w="794"/>
        <w:gridCol w:w="794"/>
      </w:tblGrid>
      <w:tr w:rsidR="00DB12C8" w:rsidRPr="00DB12C8" w14:paraId="72BC8BCB" w14:textId="77777777" w:rsidTr="003F577D">
        <w:trPr>
          <w:trHeight w:val="371"/>
          <w:tblHeader/>
        </w:trPr>
        <w:tc>
          <w:tcPr>
            <w:tcW w:w="2778" w:type="dxa"/>
            <w:tcBorders>
              <w:top w:val="nil"/>
              <w:left w:val="nil"/>
              <w:bottom w:val="nil"/>
              <w:right w:val="nil"/>
            </w:tcBorders>
            <w:shd w:val="clear" w:color="auto" w:fill="auto"/>
            <w:noWrap/>
            <w:vAlign w:val="bottom"/>
            <w:hideMark/>
          </w:tcPr>
          <w:p w14:paraId="405977CC" w14:textId="77777777" w:rsidR="00DB12C8" w:rsidRPr="00DB12C8" w:rsidRDefault="00DB12C8" w:rsidP="00DB12C8">
            <w:pPr>
              <w:spacing w:before="0" w:after="0"/>
              <w:rPr>
                <w:rFonts w:ascii="Times New Roman" w:eastAsia="Times New Roman" w:hAnsi="Times New Roman" w:cs="Times New Roman"/>
                <w:sz w:val="20"/>
                <w:szCs w:val="20"/>
                <w:lang w:eastAsia="zh-CN"/>
              </w:rPr>
            </w:pPr>
          </w:p>
        </w:tc>
        <w:tc>
          <w:tcPr>
            <w:tcW w:w="794" w:type="dxa"/>
            <w:tcBorders>
              <w:top w:val="single" w:sz="4" w:space="0" w:color="FFFFFF"/>
              <w:left w:val="single" w:sz="4" w:space="0" w:color="FFFFFF"/>
              <w:bottom w:val="single" w:sz="4" w:space="0" w:color="FFFFFF"/>
              <w:right w:val="single" w:sz="4" w:space="0" w:color="FFFFFF"/>
            </w:tcBorders>
            <w:shd w:val="clear" w:color="000000" w:fill="006EC8"/>
            <w:noWrap/>
            <w:vAlign w:val="bottom"/>
            <w:hideMark/>
          </w:tcPr>
          <w:p w14:paraId="4355ADC4" w14:textId="77777777"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 1</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48F81E2E" w14:textId="77777777"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 2</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71AAACB7" w14:textId="1619EFC6"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3</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3BB0D8CC" w14:textId="17FF8833"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4</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0A79EEBE" w14:textId="71B2482F"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5</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02C8A055" w14:textId="02C8AEB9"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6</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65BB7DEC" w14:textId="22078F35"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7</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64DAA48C" w14:textId="047379B5"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8</w:t>
            </w:r>
          </w:p>
        </w:tc>
        <w:tc>
          <w:tcPr>
            <w:tcW w:w="794" w:type="dxa"/>
            <w:tcBorders>
              <w:top w:val="single" w:sz="4" w:space="0" w:color="FFFFFF"/>
              <w:left w:val="nil"/>
              <w:bottom w:val="single" w:sz="4" w:space="0" w:color="FFFFFF"/>
              <w:right w:val="single" w:sz="4" w:space="0" w:color="FFFFFF"/>
            </w:tcBorders>
            <w:shd w:val="clear" w:color="000000" w:fill="006EC8"/>
            <w:noWrap/>
            <w:vAlign w:val="bottom"/>
            <w:hideMark/>
          </w:tcPr>
          <w:p w14:paraId="32E76939" w14:textId="66462378" w:rsidR="00DB12C8" w:rsidRPr="00DB12C8" w:rsidRDefault="00DB12C8" w:rsidP="00DB12C8">
            <w:pPr>
              <w:spacing w:before="0" w:after="0"/>
              <w:jc w:val="center"/>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Band</w:t>
            </w:r>
            <w:r>
              <w:rPr>
                <w:rFonts w:ascii="Blanco" w:eastAsia="Times New Roman" w:hAnsi="Blanco" w:cs="Times New Roman"/>
                <w:b/>
                <w:bCs/>
                <w:color w:val="FFFFFF"/>
                <w:sz w:val="20"/>
                <w:szCs w:val="20"/>
                <w:lang w:val="en-AU" w:eastAsia="zh-CN"/>
              </w:rPr>
              <w:br/>
            </w:r>
            <w:r w:rsidRPr="00DB12C8">
              <w:rPr>
                <w:rFonts w:ascii="Blanco" w:eastAsia="Times New Roman" w:hAnsi="Blanco" w:cs="Times New Roman"/>
                <w:b/>
                <w:bCs/>
                <w:color w:val="FFFFFF"/>
                <w:sz w:val="20"/>
                <w:szCs w:val="20"/>
                <w:lang w:val="en-AU" w:eastAsia="zh-CN"/>
              </w:rPr>
              <w:t>9</w:t>
            </w:r>
          </w:p>
        </w:tc>
      </w:tr>
      <w:tr w:rsidR="00DB12C8" w:rsidRPr="00DB12C8" w14:paraId="56175C89" w14:textId="77777777" w:rsidTr="0022376D">
        <w:trPr>
          <w:trHeight w:val="371"/>
        </w:trPr>
        <w:tc>
          <w:tcPr>
            <w:tcW w:w="2778" w:type="dxa"/>
            <w:tcBorders>
              <w:top w:val="single" w:sz="4" w:space="0" w:color="FFFFFF"/>
              <w:left w:val="single" w:sz="4" w:space="0" w:color="FFFFFF"/>
              <w:bottom w:val="single" w:sz="4" w:space="0" w:color="FFFFFF"/>
              <w:right w:val="single" w:sz="4" w:space="0" w:color="FFFFFF"/>
            </w:tcBorders>
            <w:shd w:val="clear" w:color="000000" w:fill="006EC8"/>
            <w:noWrap/>
            <w:vAlign w:val="center"/>
            <w:hideMark/>
          </w:tcPr>
          <w:p w14:paraId="464BCDA7"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Acquired Brain Injury (ABI)</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51D5083"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16,200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0A6B16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28,600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5F12B12"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38,300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00DF2CF"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83,400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228BB8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79,400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FAFED95"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165,700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B3A5368"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350,800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79EAB4E" w14:textId="705E074B"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D1E7FBD" w14:textId="624AC4A0"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69C8C0C3"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5945DCAB"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Autism</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82F7159"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10,600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F1C4C61"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17,400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BAB1866"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45,600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DD4084C"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83,000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A4F4690" w14:textId="69661C0B"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E53055D" w14:textId="0D4EBDB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2018EC9" w14:textId="20D20382"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0CF923A" w14:textId="33DD51C4"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629B9C6" w14:textId="4C96A73E"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7EFA4A5B"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5597DEE4"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Cerebral Palsy</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E4EB9C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12,300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D3AD9A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24,900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5BD5A0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60,500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C3471F9"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205,400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30541B7" w14:textId="4A9AC399"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BB6BE4E" w14:textId="2E4EA8C3"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CAF9259" w14:textId="1AAD1510"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68E3C45" w14:textId="7D0DC094"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9AAF80A" w14:textId="13A1EFB2"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07BA6596"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63038423"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Hearing Impairment</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8F10EF4"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4,800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2D7711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15,000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E1B7ADE" w14:textId="467531F1"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F4570F1" w14:textId="1909BFD2"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60A7C4E" w14:textId="2610A9E4"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B4FA35E" w14:textId="6852580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93AF756" w14:textId="3A09152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62F5BD6" w14:textId="097E8ED5"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1E2E00E" w14:textId="573A444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39FA3EE2"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14D7DF92"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Intellectual Disability</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8A8A0B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20,800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82B04B8"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44,700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560D810"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90,100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F4DDA1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162,700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8B597D9" w14:textId="715AAC9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98F4FB3" w14:textId="3E9BF14D"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9F16736" w14:textId="7F84E5B8"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D114CA5" w14:textId="286DC060"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BB64177" w14:textId="1579F885"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07C1DFDC"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504B36F9"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Multiple Sclerosis</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088C43F"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8,000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9DDA444"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15,000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6F39673"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24,500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9DF9A22"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39,700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228FAD1"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61,700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292B166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163,200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507CF53" w14:textId="033FD16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7A995CB" w14:textId="4250E9AE"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FE4634A" w14:textId="352197D3"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6A6024AE"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33B5A376"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Delay</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A4CA39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9,300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92D64EC"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21,600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D8595FC" w14:textId="64CA3B70"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8D7E619" w14:textId="3D5723F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DA3292B" w14:textId="530B59E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76F3988" w14:textId="7584BBF8"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0FEC0E4" w14:textId="002C1D1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83AC44B" w14:textId="3765E3D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1894670" w14:textId="5AE25DB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460D00BA"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056C19EE"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Other</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F2B7676"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71,300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16C4CC8" w14:textId="3931F698"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2CA6C2D" w14:textId="4CCDF923"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AA4B3D0" w14:textId="14DB9E5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B933EFB" w14:textId="4856354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AE3E5F1" w14:textId="2E472EE0"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3F948B0" w14:textId="7BDE1CC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D663E69" w14:textId="13037449"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6751E02" w14:textId="0690D49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5958CFE2"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7BE1BCC7"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Other Neurological</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E141D00"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22,100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4A94279"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56,800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C67DBA5"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159,600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76231EA" w14:textId="7D383D94"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D21CA48" w14:textId="719F54B8"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459F1B0" w14:textId="0881FDB9"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999DC5C" w14:textId="7DEF64D1"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EA76CB8" w14:textId="63FB921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802AAA2" w14:textId="45219431"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0BD30F2C"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3F2BF26F"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Other Physical</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400644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19,900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E144E29"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46,800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C076E96"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100,200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42A3559" w14:textId="343EE8F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24D94C3" w14:textId="6C7C9C1B"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550D93A" w14:textId="037D971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9AA5E7C" w14:textId="041B358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7F7A1C7" w14:textId="22E1A83B"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20603F8" w14:textId="45FFA2A5"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2E9A6615"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3AF9C8CD"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Other SensorySpeech</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B9934B2"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7,600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F874A6F" w14:textId="7B0F6B28"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43F5FE2" w14:textId="198EC7DB"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E4E5FF4" w14:textId="1595ECC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FC40156" w14:textId="33AA8948"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D741716" w14:textId="30615EF5"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9A66E79" w14:textId="2284A1A4"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0E8FCBC" w14:textId="5539D2BD"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5349DE6" w14:textId="26568569"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00B1DE51"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744B122F"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Psychosocial disability</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F059E1D"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33,000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58FC748"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22,500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7DCDBAA"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33,900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EE3DFAC"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58,400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708BE4D"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93,300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5794A57" w14:textId="6048E46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925D88D" w14:textId="6770679D"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BF17742" w14:textId="5E43E473"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978F73F" w14:textId="6D9FF7A0"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7B63C5AA"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42AA8645"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Spinal Cord Injury</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22EDCB6D"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53,000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7A1E90B"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30,100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97619AC"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56,400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2C3AAB0"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106,100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2777D531"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112,000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B3A7592"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156,300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CBD386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218,800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22ABE5D"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283,800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CD5A691"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505,700</w:t>
            </w:r>
          </w:p>
        </w:tc>
      </w:tr>
      <w:tr w:rsidR="00DB12C8" w:rsidRPr="00DB12C8" w14:paraId="23CAE392"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3DA3056A"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Stroke</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2139AAF"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10,900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52209FC"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30,300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5E5DD4A"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103,100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E674A6F"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241,100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B9F4331" w14:textId="2CEBABE3"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7E1717D" w14:textId="682DF98E"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ECB9536" w14:textId="46CBB179"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328196D" w14:textId="0F645696"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4643826" w14:textId="175A73FD"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r w:rsidR="00DB12C8" w:rsidRPr="00DB12C8" w14:paraId="365517E2" w14:textId="77777777" w:rsidTr="0022376D">
        <w:trPr>
          <w:trHeight w:val="371"/>
        </w:trPr>
        <w:tc>
          <w:tcPr>
            <w:tcW w:w="2778" w:type="dxa"/>
            <w:tcBorders>
              <w:top w:val="nil"/>
              <w:left w:val="single" w:sz="4" w:space="0" w:color="FFFFFF"/>
              <w:bottom w:val="single" w:sz="4" w:space="0" w:color="FFFFFF"/>
              <w:right w:val="single" w:sz="4" w:space="0" w:color="FFFFFF"/>
            </w:tcBorders>
            <w:shd w:val="clear" w:color="000000" w:fill="006EC8"/>
            <w:noWrap/>
            <w:vAlign w:val="center"/>
            <w:hideMark/>
          </w:tcPr>
          <w:p w14:paraId="398922BE" w14:textId="77777777" w:rsidR="00DB12C8" w:rsidRPr="00DB12C8" w:rsidRDefault="00DB12C8" w:rsidP="00DB12C8">
            <w:pPr>
              <w:spacing w:before="0" w:after="0"/>
              <w:rPr>
                <w:rFonts w:ascii="Blanco" w:eastAsia="Times New Roman" w:hAnsi="Blanco" w:cs="Times New Roman"/>
                <w:b/>
                <w:bCs/>
                <w:color w:val="FFFFFF"/>
                <w:sz w:val="20"/>
                <w:szCs w:val="20"/>
                <w:lang w:val="en-AU" w:eastAsia="zh-CN"/>
              </w:rPr>
            </w:pPr>
            <w:r w:rsidRPr="00DB12C8">
              <w:rPr>
                <w:rFonts w:ascii="Blanco" w:eastAsia="Times New Roman" w:hAnsi="Blanco" w:cs="Times New Roman"/>
                <w:b/>
                <w:bCs/>
                <w:color w:val="FFFFFF"/>
                <w:sz w:val="20"/>
                <w:szCs w:val="20"/>
                <w:lang w:val="en-AU" w:eastAsia="zh-CN"/>
              </w:rPr>
              <w:t>Visual Impairment</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D06B088"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18,200</w:t>
            </w:r>
          </w:p>
        </w:tc>
        <w:tc>
          <w:tcPr>
            <w:tcW w:w="794"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4AF459E" w14:textId="77777777"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color w:val="231F20"/>
                <w:sz w:val="20"/>
                <w:szCs w:val="20"/>
                <w:lang w:val="en-AU" w:eastAsia="zh-CN"/>
              </w:rPr>
              <w:t>39,800</w:t>
            </w: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30EB409" w14:textId="04206CEF"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61D9DDA" w14:textId="6AFFACE4"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93D9334" w14:textId="6D989D23"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A451804" w14:textId="12D140B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7B74166" w14:textId="00ACE08A"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C54A7C4" w14:textId="032EADC2"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c>
          <w:tcPr>
            <w:tcW w:w="794"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6B4EF82" w14:textId="30CC919E" w:rsidR="00DB12C8" w:rsidRPr="00DB12C8" w:rsidRDefault="00DB12C8" w:rsidP="00DB12C8">
            <w:pPr>
              <w:spacing w:before="0" w:after="0"/>
              <w:jc w:val="center"/>
              <w:rPr>
                <w:rFonts w:ascii="Blanco" w:eastAsia="Times New Roman" w:hAnsi="Blanco" w:cs="Times New Roman"/>
                <w:color w:val="231F20"/>
                <w:sz w:val="20"/>
                <w:szCs w:val="20"/>
                <w:lang w:val="en-AU" w:eastAsia="zh-CN"/>
              </w:rPr>
            </w:pPr>
          </w:p>
        </w:tc>
      </w:tr>
    </w:tbl>
    <w:p w14:paraId="5F3267FA" w14:textId="07647416" w:rsidR="00A520C9" w:rsidRDefault="00E30167" w:rsidP="00A520C9">
      <w:pPr>
        <w:pStyle w:val="Heading2"/>
      </w:pPr>
      <w:bookmarkStart w:id="81" w:name="_Ref87651624"/>
      <w:bookmarkStart w:id="82" w:name="_Toc87700464"/>
      <w:bookmarkStart w:id="83" w:name="_Ref88220348"/>
      <w:bookmarkStart w:id="84" w:name="_Ref88220410"/>
      <w:bookmarkStart w:id="85" w:name="_Toc88686116"/>
      <w:r>
        <w:t>Overall view of the model structure</w:t>
      </w:r>
      <w:bookmarkEnd w:id="81"/>
      <w:bookmarkEnd w:id="82"/>
      <w:bookmarkEnd w:id="83"/>
      <w:bookmarkEnd w:id="84"/>
      <w:bookmarkEnd w:id="85"/>
    </w:p>
    <w:p w14:paraId="199D02E4" w14:textId="77777777" w:rsidR="00DE154C" w:rsidRDefault="00DE154C" w:rsidP="00DE154C">
      <w:bookmarkStart w:id="86" w:name="_Ref83826973"/>
      <w:r>
        <w:t>An appropriate model structure should enable:</w:t>
      </w:r>
    </w:p>
    <w:p w14:paraId="3784B60D" w14:textId="77777777" w:rsidR="00DE154C" w:rsidRDefault="00DE154C" w:rsidP="00DE154C">
      <w:pPr>
        <w:pStyle w:val="Bullet1"/>
      </w:pPr>
      <w:r>
        <w:t>Good predictions of aggregate future cost</w:t>
      </w:r>
    </w:p>
    <w:p w14:paraId="7948E6AA" w14:textId="77777777" w:rsidR="00DE154C" w:rsidRDefault="00DE154C" w:rsidP="00DE154C">
      <w:pPr>
        <w:pStyle w:val="Bullet1"/>
      </w:pPr>
      <w:r>
        <w:t>Useful splits of future costs, including projected numbers and average payments for important cohorts</w:t>
      </w:r>
    </w:p>
    <w:p w14:paraId="7CC5EEB5" w14:textId="0E4BA8FD" w:rsidR="00DE154C" w:rsidRDefault="00DE154C" w:rsidP="00DE154C">
      <w:pPr>
        <w:pStyle w:val="Bullet1"/>
      </w:pPr>
      <w:r>
        <w:t xml:space="preserve">Identification and allowance for important drivers of cost </w:t>
      </w:r>
    </w:p>
    <w:p w14:paraId="506385C5" w14:textId="46F4379D" w:rsidR="00DE154C" w:rsidRDefault="00DE154C" w:rsidP="00DE154C">
      <w:pPr>
        <w:pStyle w:val="Bullet1"/>
      </w:pPr>
      <w:r>
        <w:t xml:space="preserve">Assumptions that reflect </w:t>
      </w:r>
      <w:r w:rsidR="007A5D84">
        <w:t>Scheme</w:t>
      </w:r>
      <w:r>
        <w:t xml:space="preserve"> drivers and have reasonable basis for selection </w:t>
      </w:r>
    </w:p>
    <w:p w14:paraId="150FC5B0" w14:textId="77777777" w:rsidR="00DE154C" w:rsidRDefault="00DE154C" w:rsidP="00DE154C">
      <w:r>
        <w:t xml:space="preserve">At the same time, a modeller needs to balance the complexity of the model with the additional time it </w:t>
      </w:r>
      <w:r w:rsidRPr="007C6107">
        <w:t>takes to create this</w:t>
      </w:r>
      <w:r>
        <w:t>.</w:t>
      </w:r>
    </w:p>
    <w:p w14:paraId="191FB2BA" w14:textId="10353E7D" w:rsidR="00DE154C" w:rsidRDefault="00DE154C" w:rsidP="00DE154C">
      <w:r w:rsidRPr="00B670CC">
        <w:t xml:space="preserve">Ultimately, any model that includes assumptions for </w:t>
      </w:r>
      <w:r w:rsidR="007A5D84">
        <w:t>Scheme</w:t>
      </w:r>
      <w:r w:rsidRPr="00B670CC">
        <w:t xml:space="preserve"> numbers and average participant costs can be viewed as ‘good enough’ if suitable assumptions are made around growth in these two components. A careful choice of superimposed inflation can allow for the material factors not built into the model. Better models can facilitate this process – for instance, a model with explicit </w:t>
      </w:r>
      <w:r w:rsidR="007A5D84">
        <w:t>Scheme</w:t>
      </w:r>
      <w:r w:rsidRPr="00B670CC">
        <w:t xml:space="preserve"> duration effects would not need an implicit adjustment to be made to superimposed</w:t>
      </w:r>
      <w:r>
        <w:t xml:space="preserve"> inflation. </w:t>
      </w:r>
    </w:p>
    <w:p w14:paraId="70184F7A" w14:textId="29B9B22D" w:rsidR="00DE154C" w:rsidRDefault="00DE154C" w:rsidP="00DE154C">
      <w:r>
        <w:t xml:space="preserve">In our opinion, the current structure of the model </w:t>
      </w:r>
      <w:r w:rsidR="00294E16">
        <w:t xml:space="preserve">is </w:t>
      </w:r>
      <w:r w:rsidR="00967157">
        <w:t xml:space="preserve">largely </w:t>
      </w:r>
      <w:r w:rsidR="00294E16">
        <w:t xml:space="preserve">appropriate and should </w:t>
      </w:r>
      <w:r>
        <w:t xml:space="preserve">be increasingly appropriate as the </w:t>
      </w:r>
      <w:r w:rsidR="007A5D84">
        <w:t>Scheme</w:t>
      </w:r>
      <w:r>
        <w:t xml:space="preserve"> matures</w:t>
      </w:r>
      <w:r w:rsidR="00294E16">
        <w:t>. I</w:t>
      </w:r>
      <w:r>
        <w:t>ndeed</w:t>
      </w:r>
      <w:r w:rsidR="00294E16">
        <w:t>,</w:t>
      </w:r>
      <w:r>
        <w:t xml:space="preserve"> as we have found in </w:t>
      </w:r>
      <w:r w:rsidRPr="00B670CC">
        <w:t xml:space="preserve">Section </w:t>
      </w:r>
      <w:r w:rsidR="00294E16">
        <w:fldChar w:fldCharType="begin"/>
      </w:r>
      <w:r w:rsidR="00294E16">
        <w:instrText xml:space="preserve"> REF _Ref87532561 \r \h </w:instrText>
      </w:r>
      <w:r w:rsidR="00294E16">
        <w:fldChar w:fldCharType="separate"/>
      </w:r>
      <w:r w:rsidR="00E6217F">
        <w:t>2</w:t>
      </w:r>
      <w:r w:rsidR="00294E16">
        <w:fldChar w:fldCharType="end"/>
      </w:r>
      <w:r w:rsidRPr="00B670CC">
        <w:t xml:space="preserve">, </w:t>
      </w:r>
      <w:r w:rsidR="00294E16">
        <w:t xml:space="preserve">it </w:t>
      </w:r>
      <w:r>
        <w:t xml:space="preserve">produces </w:t>
      </w:r>
      <w:r w:rsidR="00294E16">
        <w:t xml:space="preserve">estimates that lie within </w:t>
      </w:r>
      <w:r>
        <w:t xml:space="preserve">a plausible range. </w:t>
      </w:r>
    </w:p>
    <w:p w14:paraId="6FADE737" w14:textId="77777777" w:rsidR="00DE154C" w:rsidRDefault="00DE154C" w:rsidP="00DE154C">
      <w:r>
        <w:t>There are aspects of the current structure that make assumption setting difficult. The most relevant are:</w:t>
      </w:r>
    </w:p>
    <w:p w14:paraId="7D8C1865" w14:textId="17FFA066" w:rsidR="00DE154C" w:rsidRDefault="00DE154C" w:rsidP="00DE154C">
      <w:pPr>
        <w:pStyle w:val="Bullet1"/>
      </w:pPr>
      <w:r>
        <w:t xml:space="preserve">No </w:t>
      </w:r>
      <w:r w:rsidRPr="00E730E9">
        <w:t xml:space="preserve">explicit assumption of </w:t>
      </w:r>
      <w:r>
        <w:t xml:space="preserve">future </w:t>
      </w:r>
      <w:r w:rsidRPr="00E730E9">
        <w:t>movement between levels of functional ability</w:t>
      </w:r>
      <w:r>
        <w:t xml:space="preserve">. This creates an inconsistency (historical movements are </w:t>
      </w:r>
      <w:r w:rsidR="00636FA6">
        <w:t>recognised and</w:t>
      </w:r>
      <w:r>
        <w:t xml:space="preserve"> make comparisons more difficult) and creates greater dependence on an adequate superimposed inflation assumption.</w:t>
      </w:r>
    </w:p>
    <w:p w14:paraId="0290DECB" w14:textId="633D73A3" w:rsidR="00DE154C" w:rsidRDefault="00EF4A36" w:rsidP="00DE154C">
      <w:pPr>
        <w:pStyle w:val="Bullet1"/>
      </w:pPr>
      <w:r>
        <w:t>The model projects participant numbers independent of the prevalence rate it implies. Under the current assumptions there is i</w:t>
      </w:r>
      <w:r w:rsidRPr="00EB3835">
        <w:t>ndefinite growth in participant numbers</w:t>
      </w:r>
      <w:r>
        <w:t xml:space="preserve"> as a proportion of the Australian population.</w:t>
      </w:r>
      <w:r w:rsidR="00DE154C">
        <w:t xml:space="preserve"> While the high entry rates are consistent with experience and appropriate for the next few years (based on trial site and broader prevalence data), in later years this assumption </w:t>
      </w:r>
      <w:r w:rsidR="002402A6">
        <w:t>does not allow NDIS participation to stabilise as a fraction of the Australian population</w:t>
      </w:r>
      <w:r w:rsidR="00DE154C">
        <w:t>. Participant numbers aged 0-64 are projected to grow from 2.1% to 3.5% of the relevant population by 2030 and keep growing beyond that.</w:t>
      </w:r>
    </w:p>
    <w:p w14:paraId="0ABFCE38" w14:textId="5FE664ED" w:rsidR="00DE154C" w:rsidRPr="002518D5" w:rsidRDefault="00DE154C" w:rsidP="00DE154C">
      <w:pPr>
        <w:pStyle w:val="Bullet1"/>
      </w:pPr>
      <w:r w:rsidRPr="002518D5">
        <w:t xml:space="preserve">The model is highly dependent on </w:t>
      </w:r>
      <w:r w:rsidR="00760DC2">
        <w:t xml:space="preserve">assumptions for </w:t>
      </w:r>
      <w:r w:rsidRPr="002518D5">
        <w:t>‘unanticipated superimposed inflation’. This must allow for factors</w:t>
      </w:r>
      <w:r>
        <w:rPr>
          <w:rStyle w:val="FootnoteReference"/>
        </w:rPr>
        <w:footnoteReference w:id="6"/>
      </w:r>
      <w:r w:rsidRPr="002518D5">
        <w:t xml:space="preserve"> such as </w:t>
      </w:r>
    </w:p>
    <w:p w14:paraId="7B56DDDC" w14:textId="41A65E64" w:rsidR="00DE154C" w:rsidRDefault="00DE154C" w:rsidP="00DE154C">
      <w:pPr>
        <w:pStyle w:val="Bullet2"/>
      </w:pPr>
      <w:r w:rsidRPr="00625619">
        <w:t>High</w:t>
      </w:r>
      <w:r w:rsidR="00A4062D">
        <w:t>er</w:t>
      </w:r>
      <w:r w:rsidRPr="00625619">
        <w:t xml:space="preserve"> volumes and broader range of good</w:t>
      </w:r>
      <w:r w:rsidR="003E3693">
        <w:t>s</w:t>
      </w:r>
      <w:r w:rsidRPr="00625619">
        <w:t xml:space="preserve"> and services accessed by participants</w:t>
      </w:r>
    </w:p>
    <w:p w14:paraId="4E8A3580" w14:textId="151BBCA1" w:rsidR="00DE154C" w:rsidRPr="00625619" w:rsidRDefault="00DE154C" w:rsidP="00DE154C">
      <w:pPr>
        <w:pStyle w:val="Bullet2"/>
      </w:pPr>
      <w:r>
        <w:t xml:space="preserve">Increased utilisation of packages by participants </w:t>
      </w:r>
    </w:p>
    <w:p w14:paraId="2733527B" w14:textId="53795117" w:rsidR="00DE154C" w:rsidRPr="00625619" w:rsidRDefault="00DE154C" w:rsidP="00DE154C">
      <w:pPr>
        <w:pStyle w:val="Bullet2"/>
      </w:pPr>
      <w:r w:rsidRPr="00625619">
        <w:t>Price increases beyond standard CPI and wage inflation, including quality-related improvements</w:t>
      </w:r>
    </w:p>
    <w:p w14:paraId="76F0107F" w14:textId="77777777" w:rsidR="00DE154C" w:rsidRPr="00625619" w:rsidRDefault="00DE154C" w:rsidP="00DE154C">
      <w:pPr>
        <w:pStyle w:val="Bullet2"/>
      </w:pPr>
      <w:r w:rsidRPr="00625619">
        <w:t>Transitions to lower level of functional ability</w:t>
      </w:r>
    </w:p>
    <w:p w14:paraId="72B5D3D7" w14:textId="1BEB5A5F" w:rsidR="00DE154C" w:rsidRPr="00625619" w:rsidRDefault="00DE154C" w:rsidP="00DE154C">
      <w:pPr>
        <w:pStyle w:val="Bullet2"/>
      </w:pPr>
      <w:r w:rsidRPr="00625619">
        <w:t>Changes in the proportion of cohorts accessing SIL</w:t>
      </w:r>
      <w:r>
        <w:t xml:space="preserve"> and </w:t>
      </w:r>
      <w:r w:rsidR="00294E16">
        <w:t>specialist disability accommodation (</w:t>
      </w:r>
      <w:r>
        <w:t>SDA</w:t>
      </w:r>
      <w:r w:rsidR="00294E16">
        <w:t>)</w:t>
      </w:r>
    </w:p>
    <w:p w14:paraId="448CDB1D" w14:textId="14F668A8" w:rsidR="00DE154C" w:rsidRDefault="00DE154C" w:rsidP="00DE154C">
      <w:pPr>
        <w:pStyle w:val="Bullet2"/>
      </w:pPr>
      <w:r w:rsidRPr="00625619">
        <w:t xml:space="preserve">Duration effects (e.g. </w:t>
      </w:r>
      <w:r w:rsidR="00760DC2">
        <w:t xml:space="preserve">participant packages tend to increase at a faster </w:t>
      </w:r>
      <w:r w:rsidR="00CF34E2">
        <w:t>rate</w:t>
      </w:r>
      <w:r w:rsidR="00CF34E2" w:rsidRPr="00625619" w:rsidDel="003F41A4">
        <w:t xml:space="preserve"> </w:t>
      </w:r>
      <w:r w:rsidR="00CF34E2">
        <w:t>in</w:t>
      </w:r>
      <w:r w:rsidRPr="00625619">
        <w:t xml:space="preserve"> the first few reviews)</w:t>
      </w:r>
    </w:p>
    <w:p w14:paraId="6ABEB2B0" w14:textId="77777777" w:rsidR="00DE154C" w:rsidRPr="00E517E0" w:rsidRDefault="00DE154C" w:rsidP="00DE154C">
      <w:pPr>
        <w:pStyle w:val="Bullet2"/>
      </w:pPr>
      <w:r>
        <w:t xml:space="preserve">Participants becoming less </w:t>
      </w:r>
      <w:r w:rsidRPr="00E517E0">
        <w:t>reliant on informal care supports over time</w:t>
      </w:r>
    </w:p>
    <w:p w14:paraId="30D9EAE5" w14:textId="49F5EB42" w:rsidR="00DE154C" w:rsidRPr="00E517E0" w:rsidRDefault="00DE154C" w:rsidP="00DE154C">
      <w:pPr>
        <w:pStyle w:val="Bullet2"/>
      </w:pPr>
      <w:r w:rsidRPr="00E517E0">
        <w:t xml:space="preserve">Cross-sectional effects (e.g. </w:t>
      </w:r>
      <w:r w:rsidR="00760DC2">
        <w:t>participants aging</w:t>
      </w:r>
      <w:r w:rsidR="00760DC2" w:rsidRPr="00625619">
        <w:t xml:space="preserve"> </w:t>
      </w:r>
      <w:r w:rsidR="00760DC2">
        <w:t xml:space="preserve">into older </w:t>
      </w:r>
      <w:r w:rsidR="00760DC2" w:rsidRPr="00625619">
        <w:t xml:space="preserve">age bands </w:t>
      </w:r>
      <w:r w:rsidR="00760DC2">
        <w:t>without assumed consequential changes in</w:t>
      </w:r>
      <w:r w:rsidR="00760DC2" w:rsidRPr="00625619">
        <w:t xml:space="preserve"> </w:t>
      </w:r>
      <w:r w:rsidR="00760DC2">
        <w:t>costs</w:t>
      </w:r>
      <w:r w:rsidRPr="00E517E0">
        <w:t>)</w:t>
      </w:r>
    </w:p>
    <w:p w14:paraId="4EAC9ABB" w14:textId="478A2B80" w:rsidR="00DE154C" w:rsidRPr="00E517E0" w:rsidRDefault="00DE154C" w:rsidP="00E517E0">
      <w:pPr>
        <w:pStyle w:val="Bullet1"/>
        <w:numPr>
          <w:ilvl w:val="0"/>
          <w:numId w:val="0"/>
        </w:numPr>
        <w:ind w:left="360"/>
      </w:pPr>
      <w:r w:rsidRPr="00E517E0">
        <w:t>Cost escalation for continuing participants ha</w:t>
      </w:r>
      <w:r w:rsidR="00294E16" w:rsidRPr="00E517E0">
        <w:t>s</w:t>
      </w:r>
      <w:r w:rsidRPr="00E517E0">
        <w:t xml:space="preserve"> been about 12% p.a. higher than projected for the past two years</w:t>
      </w:r>
      <w:r w:rsidR="00690C13">
        <w:rPr>
          <w:rStyle w:val="FootnoteReference"/>
        </w:rPr>
        <w:footnoteReference w:id="7"/>
      </w:r>
      <w:r w:rsidRPr="00E517E0">
        <w:t>. By comparison, the total allowance for other additional inflation is 1</w:t>
      </w:r>
      <w:r w:rsidR="007109E9" w:rsidRPr="00E517E0">
        <w:t>4</w:t>
      </w:r>
      <w:r w:rsidRPr="00E517E0">
        <w:t xml:space="preserve">% over the next four years (about </w:t>
      </w:r>
      <w:r w:rsidR="007109E9" w:rsidRPr="00E517E0">
        <w:t>3</w:t>
      </w:r>
      <w:r w:rsidRPr="00E517E0">
        <w:t>.5% p.a.).</w:t>
      </w:r>
    </w:p>
    <w:p w14:paraId="4EB8E9C0" w14:textId="19F233DE" w:rsidR="00DE154C" w:rsidRPr="00E517E0" w:rsidRDefault="00DE154C" w:rsidP="00DE154C">
      <w:r w:rsidRPr="00E517E0">
        <w:t xml:space="preserve">With the benefit of hindsight, the modelling approach may have been a contributing factor to the underestimation of </w:t>
      </w:r>
      <w:r w:rsidR="007A5D84">
        <w:t>Scheme</w:t>
      </w:r>
      <w:r w:rsidRPr="00E517E0">
        <w:t xml:space="preserve"> costs in past AFSRs (relative to current forecasts). Model structures that work well in a mature </w:t>
      </w:r>
      <w:r w:rsidR="007A5D84">
        <w:t>Scheme</w:t>
      </w:r>
      <w:r w:rsidRPr="00E517E0">
        <w:t xml:space="preserve"> struggle to handle the rapid changes observed. This underestimation would then come through as regular upward revisions as assumptions around the number of people in lower-function groups, higher proportions </w:t>
      </w:r>
      <w:r w:rsidR="001A1468" w:rsidRPr="00E517E0">
        <w:t>i</w:t>
      </w:r>
      <w:r w:rsidRPr="00E517E0">
        <w:t>n SIL for some groups, or higher starting points for average payments are recognised. This appears consistent with the recent past.</w:t>
      </w:r>
    </w:p>
    <w:p w14:paraId="26EC4138" w14:textId="73E193CC" w:rsidR="00DE154C" w:rsidRDefault="00DE154C" w:rsidP="00DE154C">
      <w:r w:rsidRPr="00E517E0">
        <w:t>An alternative structure is a more person-centred model, where existing supports become the starting point for estimating what costs will be</w:t>
      </w:r>
      <w:r>
        <w:t xml:space="preserve"> next year, at either an individual or cohort level (e.g. cohorts could be defined based on payment levels). Such an approach is adopted for many of the motor-injury lifetime care </w:t>
      </w:r>
      <w:r w:rsidR="007A5D84">
        <w:t>Scheme</w:t>
      </w:r>
      <w:r>
        <w:t>s which were set</w:t>
      </w:r>
      <w:r w:rsidR="00A60CE4">
        <w:t xml:space="preserve"> </w:t>
      </w:r>
      <w:r>
        <w:t xml:space="preserve">up in parallel to the NDIS. This does not solve all issues; there are still uncertainties related to the distribution of new entrants and some </w:t>
      </w:r>
      <w:r w:rsidR="003A76F9">
        <w:t xml:space="preserve">aspects </w:t>
      </w:r>
      <w:r>
        <w:t>of cost escalation. But it gives a more direct way of understanding year-on-year increases unhindered by the current cohort definitions.</w:t>
      </w:r>
    </w:p>
    <w:p w14:paraId="508ECC59" w14:textId="204BA224" w:rsidR="00DE154C" w:rsidRPr="00F301DC" w:rsidRDefault="00DE154C" w:rsidP="00DE154C">
      <w:r>
        <w:t>Another alternative is to expli</w:t>
      </w:r>
      <w:r w:rsidRPr="00F301DC">
        <w:t>citly build more complexity into certain elements of the model likely to have a larger impact on the projection; for instance</w:t>
      </w:r>
      <w:r w:rsidR="003A76F9" w:rsidRPr="00F301DC">
        <w:t>,</w:t>
      </w:r>
      <w:r w:rsidRPr="00F301DC">
        <w:t xml:space="preserve"> explicit increases associated with recorded changes to severity levels, the number and cost of SIL assumptions, or cost assumptions for low function groups. </w:t>
      </w:r>
    </w:p>
    <w:p w14:paraId="1142455B" w14:textId="2E2E3CDD" w:rsidR="00DE154C" w:rsidRDefault="00DE154C" w:rsidP="00DE154C">
      <w:r w:rsidRPr="00F301DC">
        <w:t xml:space="preserve">We discuss the bullet points above in detail in the following subsections. Additionally, we have listed further structural items in </w:t>
      </w:r>
      <w:r w:rsidR="003A76F9" w:rsidRPr="00F301DC">
        <w:t>S</w:t>
      </w:r>
      <w:r w:rsidRPr="00F301DC">
        <w:t xml:space="preserve">ection </w:t>
      </w:r>
      <w:r w:rsidR="00E517E0" w:rsidRPr="00F301DC">
        <w:fldChar w:fldCharType="begin"/>
      </w:r>
      <w:r w:rsidR="00E517E0" w:rsidRPr="00F301DC">
        <w:instrText xml:space="preserve"> REF _Ref87627808 \r \h </w:instrText>
      </w:r>
      <w:r w:rsidR="00F301DC">
        <w:instrText xml:space="preserve"> \* MERGEFORMAT </w:instrText>
      </w:r>
      <w:r w:rsidR="00E517E0" w:rsidRPr="00F301DC">
        <w:fldChar w:fldCharType="separate"/>
      </w:r>
      <w:r w:rsidR="00E6217F">
        <w:t>3.6</w:t>
      </w:r>
      <w:r w:rsidR="00E517E0" w:rsidRPr="00F301DC">
        <w:fldChar w:fldCharType="end"/>
      </w:r>
      <w:r w:rsidR="00E517E0">
        <w:t xml:space="preserve">, </w:t>
      </w:r>
      <w:r w:rsidRPr="003A76F9">
        <w:t>with relevant detail in</w:t>
      </w:r>
      <w:r w:rsidR="003A76F9" w:rsidRPr="003A76F9">
        <w:t xml:space="preserve"> </w:t>
      </w:r>
      <w:r w:rsidR="003A76F9" w:rsidRPr="003A76F9">
        <w:fldChar w:fldCharType="begin"/>
      </w:r>
      <w:r w:rsidR="003A76F9" w:rsidRPr="003A76F9">
        <w:instrText xml:space="preserve"> REF _Ref87533930 \r \h </w:instrText>
      </w:r>
      <w:r w:rsidR="003A76F9">
        <w:instrText xml:space="preserve"> \* MERGEFORMAT </w:instrText>
      </w:r>
      <w:r w:rsidR="003A76F9" w:rsidRPr="003A76F9">
        <w:fldChar w:fldCharType="separate"/>
      </w:r>
      <w:r w:rsidR="00E6217F">
        <w:t>Appendix B</w:t>
      </w:r>
      <w:r w:rsidR="003A76F9" w:rsidRPr="003A76F9">
        <w:fldChar w:fldCharType="end"/>
      </w:r>
      <w:r w:rsidRPr="003A76F9">
        <w:t>.</w:t>
      </w:r>
    </w:p>
    <w:p w14:paraId="366B716D" w14:textId="5D9CDD25" w:rsidR="00DE154C" w:rsidRPr="00E30167" w:rsidRDefault="00DE154C" w:rsidP="00DE154C">
      <w:bookmarkStart w:id="87" w:name="_Ref83744137"/>
      <w:bookmarkStart w:id="88" w:name="_Toc83828718"/>
      <w:bookmarkStart w:id="89" w:name="_Toc83828747"/>
      <w:bookmarkStart w:id="90" w:name="_Toc83997763"/>
      <w:r>
        <w:t xml:space="preserve">Verifying model forecasts requires </w:t>
      </w:r>
      <w:r w:rsidRPr="003A76F9">
        <w:t>assess</w:t>
      </w:r>
      <w:r w:rsidR="003A76F9" w:rsidRPr="003A76F9">
        <w:t>ing</w:t>
      </w:r>
      <w:r w:rsidRPr="003A76F9">
        <w:t xml:space="preserve"> both the model structure and the corresponding assumptions. Our review of assumptions is given in Section </w:t>
      </w:r>
      <w:r w:rsidR="003A76F9" w:rsidRPr="003A76F9">
        <w:fldChar w:fldCharType="begin"/>
      </w:r>
      <w:r w:rsidR="003A76F9" w:rsidRPr="003A76F9">
        <w:instrText xml:space="preserve"> REF _Ref87534067 \r \h </w:instrText>
      </w:r>
      <w:r w:rsidR="003A76F9">
        <w:instrText xml:space="preserve"> \* MERGEFORMAT </w:instrText>
      </w:r>
      <w:r w:rsidR="003A76F9" w:rsidRPr="003A76F9">
        <w:fldChar w:fldCharType="separate"/>
      </w:r>
      <w:r w:rsidR="00E6217F">
        <w:t>4</w:t>
      </w:r>
      <w:r w:rsidR="003A76F9" w:rsidRPr="003A76F9">
        <w:fldChar w:fldCharType="end"/>
      </w:r>
      <w:r w:rsidRPr="003A76F9">
        <w:t xml:space="preserve">. These taken together with model structure considerations have led to our conclusions in Section </w:t>
      </w:r>
      <w:r w:rsidR="003A76F9" w:rsidRPr="003A76F9">
        <w:fldChar w:fldCharType="begin"/>
      </w:r>
      <w:r w:rsidR="003A76F9" w:rsidRPr="003A76F9">
        <w:instrText xml:space="preserve"> REF _Ref87532561 \r \h </w:instrText>
      </w:r>
      <w:r w:rsidR="003A76F9">
        <w:instrText xml:space="preserve"> \* MERGEFORMAT </w:instrText>
      </w:r>
      <w:r w:rsidR="003A76F9" w:rsidRPr="003A76F9">
        <w:fldChar w:fldCharType="separate"/>
      </w:r>
      <w:r w:rsidR="00E6217F">
        <w:t>2</w:t>
      </w:r>
      <w:r w:rsidR="003A76F9" w:rsidRPr="003A76F9">
        <w:fldChar w:fldCharType="end"/>
      </w:r>
      <w:r w:rsidRPr="003A76F9">
        <w:t>.</w:t>
      </w:r>
      <w:r>
        <w:t xml:space="preserve"> </w:t>
      </w:r>
      <w:bookmarkStart w:id="91" w:name="_Toc83828719"/>
      <w:bookmarkStart w:id="92" w:name="_Toc83828748"/>
      <w:bookmarkStart w:id="93" w:name="_Toc83997764"/>
      <w:bookmarkEnd w:id="87"/>
      <w:bookmarkEnd w:id="88"/>
      <w:bookmarkEnd w:id="89"/>
      <w:bookmarkEnd w:id="90"/>
    </w:p>
    <w:p w14:paraId="43DAC753" w14:textId="111A1D34" w:rsidR="00A520C9" w:rsidRDefault="0018354F" w:rsidP="0018354F">
      <w:pPr>
        <w:pStyle w:val="Heading2"/>
      </w:pPr>
      <w:bookmarkStart w:id="94" w:name="_Ref87627330"/>
      <w:bookmarkStart w:id="95" w:name="_Ref87628405"/>
      <w:bookmarkStart w:id="96" w:name="_Ref87650961"/>
      <w:bookmarkStart w:id="97" w:name="_Toc87700465"/>
      <w:bookmarkStart w:id="98" w:name="_Toc88686117"/>
      <w:bookmarkEnd w:id="91"/>
      <w:bookmarkEnd w:id="92"/>
      <w:bookmarkEnd w:id="93"/>
      <w:r>
        <w:t xml:space="preserve">Handling of </w:t>
      </w:r>
      <w:r w:rsidR="00A520C9">
        <w:t>movement between levels of functional ability</w:t>
      </w:r>
      <w:bookmarkEnd w:id="86"/>
      <w:bookmarkEnd w:id="94"/>
      <w:bookmarkEnd w:id="95"/>
      <w:bookmarkEnd w:id="96"/>
      <w:bookmarkEnd w:id="97"/>
      <w:bookmarkEnd w:id="98"/>
      <w:r w:rsidR="00A520C9">
        <w:t xml:space="preserve"> </w:t>
      </w:r>
    </w:p>
    <w:p w14:paraId="3B1D827C" w14:textId="77777777" w:rsidR="00A520C9" w:rsidRDefault="00A520C9" w:rsidP="00A520C9">
      <w:r>
        <w:t>Each disability-function subgroup is modelled as an independent cohort (with the exception of some movements out of the Developmental Delay into Intellectual Disability and Autism groups). This means that the observed movements between functional groups</w:t>
      </w:r>
      <w:r>
        <w:rPr>
          <w:rStyle w:val="FootnoteReference"/>
        </w:rPr>
        <w:footnoteReference w:id="8"/>
      </w:r>
      <w:r>
        <w:t xml:space="preserve"> are not reflected as part of the model structure. </w:t>
      </w:r>
    </w:p>
    <w:p w14:paraId="7623A5E3" w14:textId="6B2ADC42" w:rsidR="00504F94" w:rsidRDefault="00A520C9" w:rsidP="00A520C9">
      <w:r>
        <w:t xml:space="preserve">This affects movements between the functional bands in the AFSR model. Average transition rates to a higher severity band are shown in </w:t>
      </w:r>
      <w:r>
        <w:rPr>
          <w:highlight w:val="yellow"/>
        </w:rPr>
        <w:fldChar w:fldCharType="begin"/>
      </w:r>
      <w:r>
        <w:instrText xml:space="preserve"> REF _Ref83762864 \h </w:instrText>
      </w:r>
      <w:r>
        <w:rPr>
          <w:highlight w:val="yellow"/>
        </w:rPr>
      </w:r>
      <w:r>
        <w:rPr>
          <w:highlight w:val="yellow"/>
        </w:rPr>
        <w:fldChar w:fldCharType="separate"/>
      </w:r>
      <w:r w:rsidR="00E6217F">
        <w:t xml:space="preserve">Figure </w:t>
      </w:r>
      <w:r w:rsidR="00E6217F">
        <w:rPr>
          <w:noProof/>
        </w:rPr>
        <w:t>3</w:t>
      </w:r>
      <w:r w:rsidR="00E6217F">
        <w:t>.</w:t>
      </w:r>
      <w:r w:rsidR="00E6217F">
        <w:rPr>
          <w:noProof/>
        </w:rPr>
        <w:t>5</w:t>
      </w:r>
      <w:r>
        <w:rPr>
          <w:highlight w:val="yellow"/>
        </w:rPr>
        <w:fldChar w:fldCharType="end"/>
      </w:r>
      <w:r>
        <w:t xml:space="preserve">. The rates are high – we estimate that overall, 12% of participants move up a band and about half that number move down a band. For example, 32% of ABI level 3 participants (top row of </w:t>
      </w:r>
      <w:r>
        <w:rPr>
          <w:highlight w:val="yellow"/>
        </w:rPr>
        <w:fldChar w:fldCharType="begin"/>
      </w:r>
      <w:r>
        <w:instrText xml:space="preserve"> REF _Ref83762864 \h </w:instrText>
      </w:r>
      <w:r>
        <w:rPr>
          <w:highlight w:val="yellow"/>
        </w:rPr>
      </w:r>
      <w:r>
        <w:rPr>
          <w:highlight w:val="yellow"/>
        </w:rPr>
        <w:fldChar w:fldCharType="separate"/>
      </w:r>
      <w:r w:rsidR="00E6217F">
        <w:t xml:space="preserve">Figure </w:t>
      </w:r>
      <w:r w:rsidR="00E6217F">
        <w:rPr>
          <w:noProof/>
        </w:rPr>
        <w:t>3</w:t>
      </w:r>
      <w:r w:rsidR="00E6217F">
        <w:t>.</w:t>
      </w:r>
      <w:r w:rsidR="00E6217F">
        <w:rPr>
          <w:noProof/>
        </w:rPr>
        <w:t>5</w:t>
      </w:r>
      <w:r>
        <w:rPr>
          <w:highlight w:val="yellow"/>
        </w:rPr>
        <w:fldChar w:fldCharType="end"/>
      </w:r>
      <w:r>
        <w:t xml:space="preserve">) increased to severity level 4, 5 or 6 over </w:t>
      </w:r>
      <w:r w:rsidR="00936D3E">
        <w:t xml:space="preserve">the </w:t>
      </w:r>
      <w:r>
        <w:t>past two years.</w:t>
      </w:r>
    </w:p>
    <w:p w14:paraId="6650C6A9" w14:textId="77777777" w:rsidR="00504F94" w:rsidRDefault="00504F94">
      <w:pPr>
        <w:spacing w:before="0" w:after="160" w:line="259" w:lineRule="auto"/>
      </w:pPr>
      <w:r>
        <w:br w:type="page"/>
      </w:r>
    </w:p>
    <w:p w14:paraId="509FE34F" w14:textId="1CE289A1" w:rsidR="00A520C9" w:rsidRDefault="00A520C9" w:rsidP="00482CB4">
      <w:pPr>
        <w:pStyle w:val="Caption"/>
        <w:spacing w:before="0" w:after="40"/>
      </w:pPr>
      <w:bookmarkStart w:id="99" w:name="_Ref83762864"/>
      <w:bookmarkStart w:id="100" w:name="_Ref87652376"/>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5</w:t>
      </w:r>
      <w:r w:rsidR="009366CE">
        <w:fldChar w:fldCharType="end"/>
      </w:r>
      <w:bookmarkEnd w:id="99"/>
      <w:r>
        <w:t xml:space="preserve"> – Average transition rates to a higher severity band, all participants in 2020 and 2021</w:t>
      </w:r>
      <w:bookmarkEnd w:id="100"/>
    </w:p>
    <w:tbl>
      <w:tblPr>
        <w:tblW w:w="9546" w:type="dxa"/>
        <w:tblInd w:w="5" w:type="dxa"/>
        <w:tblLook w:val="04A0" w:firstRow="1" w:lastRow="0" w:firstColumn="1" w:lastColumn="0" w:noHBand="0" w:noVBand="1"/>
      </w:tblPr>
      <w:tblGrid>
        <w:gridCol w:w="2689"/>
        <w:gridCol w:w="737"/>
        <w:gridCol w:w="765"/>
        <w:gridCol w:w="765"/>
        <w:gridCol w:w="765"/>
        <w:gridCol w:w="765"/>
        <w:gridCol w:w="765"/>
        <w:gridCol w:w="765"/>
        <w:gridCol w:w="765"/>
        <w:gridCol w:w="765"/>
      </w:tblGrid>
      <w:tr w:rsidR="00482CB4" w:rsidRPr="00504F94" w14:paraId="00128C55" w14:textId="77777777" w:rsidTr="003F577D">
        <w:trPr>
          <w:trHeight w:val="259"/>
          <w:tblHeader/>
        </w:trPr>
        <w:tc>
          <w:tcPr>
            <w:tcW w:w="2689" w:type="dxa"/>
            <w:tcBorders>
              <w:top w:val="nil"/>
              <w:left w:val="nil"/>
              <w:bottom w:val="nil"/>
              <w:right w:val="nil"/>
            </w:tcBorders>
            <w:shd w:val="clear" w:color="auto" w:fill="auto"/>
            <w:noWrap/>
            <w:tcMar>
              <w:left w:w="57" w:type="dxa"/>
              <w:right w:w="57" w:type="dxa"/>
            </w:tcMar>
            <w:vAlign w:val="bottom"/>
          </w:tcPr>
          <w:p w14:paraId="0892DA73"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p>
        </w:tc>
        <w:tc>
          <w:tcPr>
            <w:tcW w:w="737" w:type="dxa"/>
            <w:tcBorders>
              <w:top w:val="single" w:sz="4" w:space="0" w:color="FFFFFF"/>
              <w:left w:val="single" w:sz="4" w:space="0" w:color="FFFFFF"/>
              <w:bottom w:val="single" w:sz="4" w:space="0" w:color="FFFFFF"/>
              <w:right w:val="single" w:sz="4" w:space="0" w:color="FFFFFF"/>
            </w:tcBorders>
            <w:shd w:val="clear" w:color="000000" w:fill="006EC8"/>
            <w:noWrap/>
            <w:tcMar>
              <w:left w:w="57" w:type="dxa"/>
              <w:right w:w="57" w:type="dxa"/>
            </w:tcMar>
            <w:vAlign w:val="bottom"/>
          </w:tcPr>
          <w:p w14:paraId="04D335DD" w14:textId="7DB9FFD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1</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35C608B9" w14:textId="6A52ED8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2</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094965D8" w14:textId="7429888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3</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5FD4D1A1" w14:textId="45CFDC3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4</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027AF63E" w14:textId="2488182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5</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42455974" w14:textId="7361EAD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6</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79858211" w14:textId="530CD00B"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7</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11DBCF99" w14:textId="6FEA81E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8</w:t>
            </w:r>
          </w:p>
        </w:tc>
        <w:tc>
          <w:tcPr>
            <w:tcW w:w="765" w:type="dxa"/>
            <w:tcBorders>
              <w:top w:val="single" w:sz="4" w:space="0" w:color="FFFFFF"/>
              <w:left w:val="nil"/>
              <w:bottom w:val="single" w:sz="4" w:space="0" w:color="FFFFFF"/>
              <w:right w:val="single" w:sz="4" w:space="0" w:color="FFFFFF"/>
            </w:tcBorders>
            <w:shd w:val="clear" w:color="000000" w:fill="006EC8"/>
            <w:noWrap/>
            <w:tcMar>
              <w:left w:w="57" w:type="dxa"/>
              <w:right w:w="57" w:type="dxa"/>
            </w:tcMar>
            <w:vAlign w:val="bottom"/>
          </w:tcPr>
          <w:p w14:paraId="38B7D927" w14:textId="6654D8BB"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DB12C8">
              <w:rPr>
                <w:rFonts w:ascii="Blanco" w:eastAsia="Times New Roman" w:hAnsi="Blanco" w:cs="Times New Roman"/>
                <w:b/>
                <w:bCs/>
                <w:color w:val="FFFFFF"/>
                <w:sz w:val="20"/>
                <w:szCs w:val="20"/>
                <w:lang w:val="en-AU" w:eastAsia="zh-CN"/>
              </w:rPr>
              <w:t>Band</w:t>
            </w:r>
            <w:r w:rsidR="00482CB4">
              <w:rPr>
                <w:rFonts w:ascii="Blanco" w:eastAsia="Times New Roman" w:hAnsi="Blanco" w:cs="Times New Roman"/>
                <w:b/>
                <w:bCs/>
                <w:color w:val="FFFFFF"/>
                <w:sz w:val="20"/>
                <w:szCs w:val="20"/>
                <w:lang w:val="en-AU" w:eastAsia="zh-CN"/>
              </w:rPr>
              <w:t xml:space="preserve"> </w:t>
            </w:r>
            <w:r w:rsidRPr="00DB12C8">
              <w:rPr>
                <w:rFonts w:ascii="Blanco" w:eastAsia="Times New Roman" w:hAnsi="Blanco" w:cs="Times New Roman"/>
                <w:b/>
                <w:bCs/>
                <w:color w:val="FFFFFF"/>
                <w:sz w:val="20"/>
                <w:szCs w:val="20"/>
                <w:lang w:val="en-AU" w:eastAsia="zh-CN"/>
              </w:rPr>
              <w:t>9</w:t>
            </w:r>
          </w:p>
        </w:tc>
      </w:tr>
      <w:tr w:rsidR="00504F94" w:rsidRPr="00504F94" w14:paraId="6A86EB4F" w14:textId="77777777" w:rsidTr="00647D05">
        <w:trPr>
          <w:trHeight w:val="283"/>
        </w:trPr>
        <w:tc>
          <w:tcPr>
            <w:tcW w:w="2689" w:type="dxa"/>
            <w:tcBorders>
              <w:top w:val="single" w:sz="4" w:space="0" w:color="FFFFFF"/>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33954430"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Acquired Brain Injury (ABI)</w:t>
            </w:r>
          </w:p>
        </w:tc>
        <w:tc>
          <w:tcPr>
            <w:tcW w:w="737" w:type="dxa"/>
            <w:tcBorders>
              <w:top w:val="single" w:sz="4" w:space="0" w:color="FFFFFF"/>
              <w:left w:val="nil"/>
              <w:bottom w:val="single" w:sz="4" w:space="0" w:color="FFFFFF"/>
              <w:right w:val="single" w:sz="4" w:space="0" w:color="FFFFFF"/>
            </w:tcBorders>
            <w:shd w:val="clear" w:color="000000" w:fill="BFE2FF"/>
            <w:noWrap/>
            <w:tcMar>
              <w:left w:w="57" w:type="dxa"/>
              <w:right w:w="57" w:type="dxa"/>
            </w:tcMar>
            <w:vAlign w:val="center"/>
            <w:hideMark/>
          </w:tcPr>
          <w:p w14:paraId="0065B83D"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35%</w:t>
            </w:r>
          </w:p>
        </w:tc>
        <w:tc>
          <w:tcPr>
            <w:tcW w:w="765" w:type="dxa"/>
            <w:tcBorders>
              <w:top w:val="single" w:sz="4" w:space="0" w:color="FFFFFF"/>
              <w:left w:val="nil"/>
              <w:bottom w:val="single" w:sz="4" w:space="0" w:color="FFFFFF"/>
              <w:right w:val="single" w:sz="4" w:space="0" w:color="FFFFFF"/>
            </w:tcBorders>
            <w:shd w:val="clear" w:color="000000" w:fill="BFE2FF"/>
            <w:noWrap/>
            <w:tcMar>
              <w:left w:w="57" w:type="dxa"/>
              <w:right w:w="57" w:type="dxa"/>
            </w:tcMar>
            <w:vAlign w:val="center"/>
            <w:hideMark/>
          </w:tcPr>
          <w:p w14:paraId="5959A49F"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34%</w:t>
            </w:r>
          </w:p>
        </w:tc>
        <w:tc>
          <w:tcPr>
            <w:tcW w:w="765" w:type="dxa"/>
            <w:tcBorders>
              <w:top w:val="single" w:sz="4" w:space="0" w:color="FFFFFF"/>
              <w:left w:val="nil"/>
              <w:bottom w:val="single" w:sz="4" w:space="0" w:color="FFFFFF"/>
              <w:right w:val="single" w:sz="4" w:space="0" w:color="FFFFFF"/>
            </w:tcBorders>
            <w:shd w:val="clear" w:color="000000" w:fill="BFE2FF"/>
            <w:noWrap/>
            <w:tcMar>
              <w:left w:w="57" w:type="dxa"/>
              <w:right w:w="57" w:type="dxa"/>
            </w:tcMar>
            <w:vAlign w:val="center"/>
            <w:hideMark/>
          </w:tcPr>
          <w:p w14:paraId="5F0D44E6"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32%</w:t>
            </w:r>
          </w:p>
        </w:tc>
        <w:tc>
          <w:tcPr>
            <w:tcW w:w="765" w:type="dxa"/>
            <w:tcBorders>
              <w:top w:val="single" w:sz="4" w:space="0" w:color="FFFFFF"/>
              <w:left w:val="nil"/>
              <w:bottom w:val="single" w:sz="4" w:space="0" w:color="FFFFFF"/>
              <w:right w:val="single" w:sz="4" w:space="0" w:color="FFFFFF"/>
            </w:tcBorders>
            <w:shd w:val="clear" w:color="000000" w:fill="BFE2FF"/>
            <w:noWrap/>
            <w:tcMar>
              <w:left w:w="57" w:type="dxa"/>
              <w:right w:w="57" w:type="dxa"/>
            </w:tcMar>
            <w:vAlign w:val="center"/>
            <w:hideMark/>
          </w:tcPr>
          <w:p w14:paraId="1B190B51"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24%</w:t>
            </w:r>
          </w:p>
        </w:tc>
        <w:tc>
          <w:tcPr>
            <w:tcW w:w="765" w:type="dxa"/>
            <w:tcBorders>
              <w:top w:val="single" w:sz="4" w:space="0" w:color="FFFFFF"/>
              <w:left w:val="nil"/>
              <w:bottom w:val="single" w:sz="4" w:space="0" w:color="FFFFFF"/>
              <w:right w:val="single" w:sz="4" w:space="0" w:color="FFFFFF"/>
            </w:tcBorders>
            <w:shd w:val="clear" w:color="000000" w:fill="BFE2FF"/>
            <w:noWrap/>
            <w:tcMar>
              <w:left w:w="57" w:type="dxa"/>
              <w:right w:w="57" w:type="dxa"/>
            </w:tcMar>
            <w:vAlign w:val="center"/>
            <w:hideMark/>
          </w:tcPr>
          <w:p w14:paraId="2AD3DB26"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20%</w:t>
            </w:r>
          </w:p>
        </w:tc>
        <w:tc>
          <w:tcPr>
            <w:tcW w:w="765" w:type="dxa"/>
            <w:tcBorders>
              <w:top w:val="single" w:sz="4" w:space="0" w:color="FFFFFF"/>
              <w:left w:val="nil"/>
              <w:bottom w:val="single" w:sz="4" w:space="0" w:color="FFFFFF"/>
              <w:right w:val="single" w:sz="4" w:space="0" w:color="FFFFFF"/>
            </w:tcBorders>
            <w:shd w:val="clear" w:color="000000" w:fill="BFE2FF"/>
            <w:noWrap/>
            <w:tcMar>
              <w:left w:w="57" w:type="dxa"/>
              <w:right w:w="57" w:type="dxa"/>
            </w:tcMar>
            <w:vAlign w:val="center"/>
            <w:hideMark/>
          </w:tcPr>
          <w:p w14:paraId="1C8B078A"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w:t>
            </w:r>
          </w:p>
        </w:tc>
        <w:tc>
          <w:tcPr>
            <w:tcW w:w="765" w:type="dxa"/>
            <w:tcBorders>
              <w:top w:val="single" w:sz="4" w:space="0" w:color="FFFFFF"/>
              <w:left w:val="nil"/>
              <w:bottom w:val="single" w:sz="4" w:space="0" w:color="FFFFFF"/>
              <w:right w:val="single" w:sz="4" w:space="0" w:color="FFFFFF"/>
            </w:tcBorders>
            <w:shd w:val="clear" w:color="000000" w:fill="EAE8E9"/>
            <w:noWrap/>
            <w:tcMar>
              <w:left w:w="57" w:type="dxa"/>
              <w:right w:w="57" w:type="dxa"/>
            </w:tcMar>
            <w:vAlign w:val="center"/>
            <w:hideMark/>
          </w:tcPr>
          <w:p w14:paraId="1CACFE98" w14:textId="20A6916A"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single" w:sz="4" w:space="0" w:color="FFFFFF"/>
              <w:left w:val="nil"/>
              <w:bottom w:val="single" w:sz="4" w:space="0" w:color="FFFFFF"/>
              <w:right w:val="single" w:sz="4" w:space="0" w:color="FFFFFF"/>
            </w:tcBorders>
            <w:shd w:val="clear" w:color="000000" w:fill="FFFFFF"/>
            <w:noWrap/>
            <w:tcMar>
              <w:left w:w="57" w:type="dxa"/>
              <w:right w:w="57" w:type="dxa"/>
            </w:tcMar>
            <w:vAlign w:val="center"/>
            <w:hideMark/>
          </w:tcPr>
          <w:p w14:paraId="33AFCF4E" w14:textId="312559EA"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single" w:sz="4" w:space="0" w:color="FFFFFF"/>
              <w:left w:val="nil"/>
              <w:bottom w:val="single" w:sz="4" w:space="0" w:color="FFFFFF"/>
              <w:right w:val="single" w:sz="4" w:space="0" w:color="FFFFFF"/>
            </w:tcBorders>
            <w:shd w:val="clear" w:color="000000" w:fill="FFFFFF"/>
            <w:noWrap/>
            <w:tcMar>
              <w:left w:w="57" w:type="dxa"/>
              <w:right w:w="57" w:type="dxa"/>
            </w:tcMar>
            <w:vAlign w:val="center"/>
            <w:hideMark/>
          </w:tcPr>
          <w:p w14:paraId="7AB0C51D" w14:textId="00F727A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6B4EBE54"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54FE269D"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Autism</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51C4AF9"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30%</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975088D"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7%</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9D5D7C0"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15%</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5BC2A203" w14:textId="24B8C34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4CE2EF2" w14:textId="5F28489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4EBDC4D" w14:textId="2774DCD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76F160A" w14:textId="49493DD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BAD73F2" w14:textId="19D6F04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845DD7C" w14:textId="65CC6E9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51786C77"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46E88604"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Cerebral Palsy</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16A17B3"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20%</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E1C1C79"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13%</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77D1DC1"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15%</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75EB601C" w14:textId="6EBC7E4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1D2FAB2" w14:textId="50459D05"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5E8677C" w14:textId="19A5B53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FD704AB" w14:textId="0526B8A2"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6DB0171" w14:textId="3985DFAA"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AD3267D" w14:textId="5FE25B2A"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1B0F6A8D"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13E5F005"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Hearing Impairment</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7359AAC"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6%</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5E7BB4CA" w14:textId="09D0555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AD39069" w14:textId="1867BB5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157DC9E" w14:textId="5E8A90F5"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2B77663" w14:textId="04E7E21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3457767" w14:textId="4EDA6DF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B02702D" w14:textId="2CB8969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7964C4E" w14:textId="4076B34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BFA4400" w14:textId="24C8145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053B7BFF"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39775FB1"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Intellectual Disability</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339ED32E"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30%</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F18694B"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17%</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68C5D6E"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14%</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21E9101E"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0%</w:t>
            </w: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51C097F" w14:textId="2AC02E62"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FA50243" w14:textId="29C03FF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85495DD" w14:textId="4F62C2D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0060ABE" w14:textId="1AD8AED5"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2D6CB22" w14:textId="05B7F23B"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0897B677"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56109FF3"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Multiple Sclerosis</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6D50B68"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41%</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6236C26"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26%</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7F8BFB3"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26%</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CDF2452"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22%</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7814604"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16%</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5567D467" w14:textId="7CD47488"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B4C622A" w14:textId="7D8780F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C5EAA92" w14:textId="526B4B7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6C25731" w14:textId="7939DB1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46A94D24"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3F3FA788"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Delay</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80ADE02"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23F39EC9" w14:textId="3B9694D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41F575D" w14:textId="1AD8B84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1677C87" w14:textId="072229C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A21168C" w14:textId="44AA652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26AA19F" w14:textId="57F86908"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FC72368" w14:textId="6FE23125"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5A63408" w14:textId="53843F18"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426FC48" w14:textId="13754FD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477A90C6"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68014900"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Other</w:t>
            </w:r>
          </w:p>
        </w:tc>
        <w:tc>
          <w:tcPr>
            <w:tcW w:w="737"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145A668F" w14:textId="1685AA7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B1D4274" w14:textId="20E8DD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C8B596B" w14:textId="2084CFF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8F252AF" w14:textId="222BC16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35AE43C" w14:textId="03A75182"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0F29169" w14:textId="44EE877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4C14B27" w14:textId="0DCFFCF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66CE11F" w14:textId="7F2902B8"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A0546D1" w14:textId="635A4F5E"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3E6C3A9B"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4410D565"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Other Neurological</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54D758E2"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24%</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479C418"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26%</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2E64BF6F" w14:textId="1AA3B32D"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A10E2AF" w14:textId="151D79A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4D539DA" w14:textId="26D0A6E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31937B7" w14:textId="2D9FBE5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97B20F4" w14:textId="6455E1F3"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3ABF055" w14:textId="4DCA1905"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62FAF7E" w14:textId="5D2EA45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33633189"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5911313C"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Other Physical</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39ABE57"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14%</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284C687"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16%</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1AC1085B" w14:textId="6162868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A6A4054" w14:textId="1BD0A1D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932DC56" w14:textId="2DDEA8E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F3BB8F8" w14:textId="520264E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133C0E3" w14:textId="40E6F573"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97B802F" w14:textId="77630155"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1F15BFF" w14:textId="2C3721CD"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3250670B"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7F701DD2"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Other SensorySpeech</w:t>
            </w:r>
          </w:p>
        </w:tc>
        <w:tc>
          <w:tcPr>
            <w:tcW w:w="737"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0B350551" w14:textId="5A187C2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C19AA01" w14:textId="785EE2D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4F9B96F8" w14:textId="6B313EAD"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EFB8130" w14:textId="5B3E545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3197C0CA" w14:textId="0136007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5CBE19F" w14:textId="0FBDC3C8"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99B5B3E" w14:textId="7E0C999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8082220" w14:textId="446DE5BA"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B122633" w14:textId="4712EFF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0EAB44C4"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518DD5DB"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Psychosocial disability</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95209A0"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44%</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B481B82"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28%</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8544901"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24%</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4819217"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13%</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59CE5751" w14:textId="3C8C463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BF8ABE5" w14:textId="6C6FBA3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DE7587D" w14:textId="154806A9"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5F3AAD9E" w14:textId="07342EE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9236A20" w14:textId="77F72B0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4A4AB01D"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5B79BF56"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Spinal Cord Injury</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8AE1F8E"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21%</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AFD7834"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31%</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8F95920"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18%</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0DD12BE"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11%</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7C24CEFF"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12%</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2B2613E2"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9%</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ED599B1"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13761E47"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357450C0" w14:textId="603A9BB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6761F265"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2E5324A0"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Stroke</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46B0CAAB"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43%</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075BD2F9"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21%</w:t>
            </w:r>
          </w:p>
        </w:tc>
        <w:tc>
          <w:tcPr>
            <w:tcW w:w="765"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68B94D8E"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4%</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27E13C25" w14:textId="43746BC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6CD1F14" w14:textId="6458C41B"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062DE842" w14:textId="3C682CD4"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A33E2FA" w14:textId="038CA5E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39750BC" w14:textId="45C42238"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F0113CF" w14:textId="10619FC1"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r w:rsidR="00504F94" w:rsidRPr="00504F94" w14:paraId="7EC9602D" w14:textId="77777777" w:rsidTr="00647D05">
        <w:trPr>
          <w:trHeight w:val="283"/>
        </w:trPr>
        <w:tc>
          <w:tcPr>
            <w:tcW w:w="2689" w:type="dxa"/>
            <w:tcBorders>
              <w:top w:val="nil"/>
              <w:left w:val="single" w:sz="4" w:space="0" w:color="FFFFFF"/>
              <w:bottom w:val="single" w:sz="4" w:space="0" w:color="FFFFFF"/>
              <w:right w:val="single" w:sz="4" w:space="0" w:color="FFFFFF"/>
            </w:tcBorders>
            <w:shd w:val="clear" w:color="000000" w:fill="006EC8"/>
            <w:noWrap/>
            <w:tcMar>
              <w:left w:w="57" w:type="dxa"/>
              <w:right w:w="57" w:type="dxa"/>
            </w:tcMar>
            <w:vAlign w:val="center"/>
            <w:hideMark/>
          </w:tcPr>
          <w:p w14:paraId="339CF2D2" w14:textId="77777777" w:rsidR="00504F94" w:rsidRPr="00504F94" w:rsidRDefault="00504F94" w:rsidP="00504F94">
            <w:pPr>
              <w:spacing w:before="0" w:after="0"/>
              <w:rPr>
                <w:rFonts w:ascii="Blanco" w:eastAsia="Times New Roman" w:hAnsi="Blanco" w:cs="Times New Roman"/>
                <w:b/>
                <w:bCs/>
                <w:color w:val="FFFFFF"/>
                <w:sz w:val="20"/>
                <w:szCs w:val="20"/>
                <w:lang w:val="en-AU" w:eastAsia="zh-CN"/>
              </w:rPr>
            </w:pPr>
            <w:r w:rsidRPr="00504F94">
              <w:rPr>
                <w:rFonts w:ascii="Blanco" w:eastAsia="Times New Roman" w:hAnsi="Blanco" w:cs="Times New Roman"/>
                <w:b/>
                <w:bCs/>
                <w:color w:val="FFFFFF"/>
                <w:sz w:val="20"/>
                <w:szCs w:val="20"/>
                <w:lang w:val="en-AU" w:eastAsia="zh-CN"/>
              </w:rPr>
              <w:t>Visual Impairment</w:t>
            </w:r>
          </w:p>
        </w:tc>
        <w:tc>
          <w:tcPr>
            <w:tcW w:w="737" w:type="dxa"/>
            <w:tcBorders>
              <w:top w:val="nil"/>
              <w:left w:val="nil"/>
              <w:bottom w:val="single" w:sz="4" w:space="0" w:color="FFFFFF"/>
              <w:right w:val="single" w:sz="4" w:space="0" w:color="FFFFFF"/>
            </w:tcBorders>
            <w:shd w:val="clear" w:color="000000" w:fill="BFE2FF"/>
            <w:noWrap/>
            <w:tcMar>
              <w:left w:w="57" w:type="dxa"/>
              <w:right w:w="57" w:type="dxa"/>
            </w:tcMar>
            <w:vAlign w:val="center"/>
            <w:hideMark/>
          </w:tcPr>
          <w:p w14:paraId="271C2BDF" w14:textId="77777777"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r w:rsidRPr="00504F94">
              <w:rPr>
                <w:rFonts w:ascii="Blanco" w:eastAsia="Times New Roman" w:hAnsi="Blanco" w:cs="Times New Roman"/>
                <w:color w:val="231F20"/>
                <w:sz w:val="20"/>
                <w:szCs w:val="20"/>
                <w:lang w:val="en-AU" w:eastAsia="zh-CN"/>
              </w:rPr>
              <w:t>16%</w:t>
            </w:r>
          </w:p>
        </w:tc>
        <w:tc>
          <w:tcPr>
            <w:tcW w:w="765" w:type="dxa"/>
            <w:tcBorders>
              <w:top w:val="nil"/>
              <w:left w:val="nil"/>
              <w:bottom w:val="single" w:sz="4" w:space="0" w:color="FFFFFF"/>
              <w:right w:val="single" w:sz="4" w:space="0" w:color="FFFFFF"/>
            </w:tcBorders>
            <w:shd w:val="clear" w:color="000000" w:fill="EAE8E9"/>
            <w:noWrap/>
            <w:tcMar>
              <w:left w:w="57" w:type="dxa"/>
              <w:right w:w="57" w:type="dxa"/>
            </w:tcMar>
            <w:vAlign w:val="center"/>
            <w:hideMark/>
          </w:tcPr>
          <w:p w14:paraId="7ECBCBB8" w14:textId="0C3A67B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6B535D82" w14:textId="37A883BC"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837343E" w14:textId="56D290FF"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8DC1DA4" w14:textId="67116E56"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2F6A04CE" w14:textId="22C2C212"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1471FCA" w14:textId="249BE47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709B50C3" w14:textId="0B97638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c>
          <w:tcPr>
            <w:tcW w:w="765" w:type="dxa"/>
            <w:tcBorders>
              <w:top w:val="nil"/>
              <w:left w:val="nil"/>
              <w:bottom w:val="single" w:sz="4" w:space="0" w:color="FFFFFF"/>
              <w:right w:val="single" w:sz="4" w:space="0" w:color="FFFFFF"/>
            </w:tcBorders>
            <w:shd w:val="clear" w:color="000000" w:fill="FFFFFF"/>
            <w:noWrap/>
            <w:tcMar>
              <w:left w:w="57" w:type="dxa"/>
              <w:right w:w="57" w:type="dxa"/>
            </w:tcMar>
            <w:vAlign w:val="center"/>
            <w:hideMark/>
          </w:tcPr>
          <w:p w14:paraId="11763484" w14:textId="49D0CB90" w:rsidR="00504F94" w:rsidRPr="00504F94" w:rsidRDefault="00504F94" w:rsidP="00504F94">
            <w:pPr>
              <w:spacing w:before="0" w:after="0"/>
              <w:jc w:val="center"/>
              <w:rPr>
                <w:rFonts w:ascii="Blanco" w:eastAsia="Times New Roman" w:hAnsi="Blanco" w:cs="Times New Roman"/>
                <w:color w:val="231F20"/>
                <w:sz w:val="20"/>
                <w:szCs w:val="20"/>
                <w:lang w:val="en-AU" w:eastAsia="zh-CN"/>
              </w:rPr>
            </w:pPr>
          </w:p>
        </w:tc>
      </w:tr>
    </w:tbl>
    <w:p w14:paraId="540317AA" w14:textId="23D6A64F" w:rsidR="00A520C9" w:rsidRDefault="00A520C9" w:rsidP="00A520C9">
      <w:r>
        <w:t>We agree with the view of the Scheme Actuary that the bulk of the transitions are not related to genuine deterioration in function; it is unlikely that a large number of people would see such a rapid decline in function due to their disabilities. So</w:t>
      </w:r>
      <w:r w:rsidR="00936D3E">
        <w:t>,</w:t>
      </w:r>
      <w:r>
        <w:t xml:space="preserve"> the changes are either:</w:t>
      </w:r>
    </w:p>
    <w:p w14:paraId="15AFB20C" w14:textId="77777777" w:rsidR="00A520C9" w:rsidRDefault="00A520C9" w:rsidP="00975CD2">
      <w:pPr>
        <w:pStyle w:val="Bullet1"/>
        <w:spacing w:before="80" w:after="80"/>
      </w:pPr>
      <w:r>
        <w:t>Improved functional assessment – in some cases a revised functional assessment may improve on an initial one</w:t>
      </w:r>
    </w:p>
    <w:p w14:paraId="104E2F4F" w14:textId="1421A694" w:rsidR="00A520C9" w:rsidRDefault="00A520C9" w:rsidP="00975CD2">
      <w:pPr>
        <w:pStyle w:val="Bullet1"/>
        <w:spacing w:before="80" w:after="80"/>
      </w:pPr>
      <w:r>
        <w:t xml:space="preserve">Behavioural – a revised functional rating may make it easier for planners to justify an increase to an approved package. </w:t>
      </w:r>
      <w:r w:rsidR="0018354F">
        <w:t xml:space="preserve">We discuss the package review process </w:t>
      </w:r>
      <w:r w:rsidR="0018354F" w:rsidRPr="00936D3E">
        <w:t xml:space="preserve">further in Section </w:t>
      </w:r>
      <w:r w:rsidR="003B6D26" w:rsidRPr="00936D3E">
        <w:fldChar w:fldCharType="begin"/>
      </w:r>
      <w:r w:rsidR="003B6D26" w:rsidRPr="00936D3E">
        <w:instrText xml:space="preserve"> REF _Ref87515800 \r \h </w:instrText>
      </w:r>
      <w:r w:rsidR="00936D3E">
        <w:instrText xml:space="preserve"> \* MERGEFORMAT </w:instrText>
      </w:r>
      <w:r w:rsidR="003B6D26" w:rsidRPr="00936D3E">
        <w:fldChar w:fldCharType="separate"/>
      </w:r>
      <w:r w:rsidR="00E6217F">
        <w:t>7.5</w:t>
      </w:r>
      <w:r w:rsidR="003B6D26" w:rsidRPr="00936D3E">
        <w:fldChar w:fldCharType="end"/>
      </w:r>
      <w:r w:rsidR="0018354F">
        <w:t>.</w:t>
      </w:r>
    </w:p>
    <w:p w14:paraId="22799EFA" w14:textId="61ADD310" w:rsidR="00A520C9" w:rsidRDefault="00A520C9" w:rsidP="00A520C9">
      <w:r>
        <w:t>Even if this is the case, the movement as recorded in the data represents a source of cost escalation</w:t>
      </w:r>
      <w:r w:rsidR="0018354F">
        <w:t xml:space="preserve">, and future movements are </w:t>
      </w:r>
      <w:r>
        <w:t xml:space="preserve">not </w:t>
      </w:r>
      <w:r w:rsidR="0018354F">
        <w:t xml:space="preserve">explicitly </w:t>
      </w:r>
      <w:r>
        <w:t xml:space="preserve">recognised by the projection model. We have confirmed that </w:t>
      </w:r>
      <w:r w:rsidR="00936D3E">
        <w:t xml:space="preserve">participants </w:t>
      </w:r>
      <w:r>
        <w:t>moving bands ha</w:t>
      </w:r>
      <w:r w:rsidR="00936D3E">
        <w:t>d</w:t>
      </w:r>
      <w:r>
        <w:t xml:space="preserve"> significantly higher cost increases; for instance</w:t>
      </w:r>
      <w:r w:rsidR="00936D3E">
        <w:t>,</w:t>
      </w:r>
      <w:r>
        <w:t xml:space="preserve"> people in psychosocial bands 2 or 3 who have been in the </w:t>
      </w:r>
      <w:r w:rsidR="007A5D84">
        <w:t>Scheme</w:t>
      </w:r>
      <w:r>
        <w:t xml:space="preserve"> since June 2019 and move</w:t>
      </w:r>
      <w:r w:rsidR="007B1DB5">
        <w:t>d</w:t>
      </w:r>
      <w:r>
        <w:t xml:space="preserve"> to a higher band in 2021 saw a 55% increase in payments between 2020 and 2021, compared to 25% for those who remained in those bands.</w:t>
      </w:r>
    </w:p>
    <w:p w14:paraId="30574A11" w14:textId="5765CA63" w:rsidR="00B30BE0" w:rsidRDefault="00B30BE0" w:rsidP="00B30BE0">
      <w:r>
        <w:t>There is also an inconsistency in treatment. Historical changes in functional level are recognised (people are projected according to their June 2021 status), whereas future changes are only recognised through superimposed inflation. This means that projected numbers of people within each functional band cannot be directly compared with actual values</w:t>
      </w:r>
      <w:r w:rsidR="00444DF8">
        <w:t>.</w:t>
      </w:r>
    </w:p>
    <w:p w14:paraId="1FC146F8" w14:textId="6B844CEA" w:rsidR="00B30BE0" w:rsidRDefault="00B30BE0" w:rsidP="00B30BE0">
      <w:r>
        <w:t xml:space="preserve">The issue also affects </w:t>
      </w:r>
      <w:r w:rsidR="00444DF8">
        <w:t xml:space="preserve">the </w:t>
      </w:r>
      <w:r>
        <w:t>calculation of other components</w:t>
      </w:r>
      <w:r w:rsidR="00444DF8">
        <w:t xml:space="preserve"> </w:t>
      </w:r>
      <w:r w:rsidR="00636FA6">
        <w:t>as cohort</w:t>
      </w:r>
      <w:r>
        <w:t xml:space="preserve">-based superimposed inflation estimates will understate the degree of cost escalation if it does not properly allow for the movement between groups. </w:t>
      </w:r>
    </w:p>
    <w:p w14:paraId="2ED495EB" w14:textId="2F2BCCAD" w:rsidR="00A520C9" w:rsidRDefault="00A520C9" w:rsidP="00A520C9">
      <w:r>
        <w:t>We have tested the impact of the changes in function over time</w:t>
      </w:r>
      <w:r w:rsidR="00444DF8">
        <w:t>.</w:t>
      </w:r>
      <w:r>
        <w:t xml:space="preserve"> A naïve estimate of impact (multiplying average payments within each cohort allowing for the transition rates</w:t>
      </w:r>
      <w:r w:rsidR="00D53DA6">
        <w:t>)</w:t>
      </w:r>
      <w:r>
        <w:t xml:space="preserve"> suggest</w:t>
      </w:r>
      <w:r w:rsidR="002817E4">
        <w:t>s</w:t>
      </w:r>
      <w:r>
        <w:t xml:space="preserve"> that the transition behaviour could add 2</w:t>
      </w:r>
      <w:r w:rsidR="0018354F">
        <w:t>-3</w:t>
      </w:r>
      <w:r>
        <w:t xml:space="preserve">% to </w:t>
      </w:r>
      <w:r w:rsidR="007A5D84">
        <w:t>Scheme</w:t>
      </w:r>
      <w:r>
        <w:t xml:space="preserve"> cost growth per year. Some of this may be implicitly allowed for in superimposed inflation assumptions but </w:t>
      </w:r>
      <w:r w:rsidR="00444DF8">
        <w:t xml:space="preserve">this </w:t>
      </w:r>
      <w:r>
        <w:t xml:space="preserve">appears to </w:t>
      </w:r>
      <w:r w:rsidR="00444DF8">
        <w:t>have been</w:t>
      </w:r>
      <w:r>
        <w:t xml:space="preserve"> a genuine dynamic contributing to increasing costs.</w:t>
      </w:r>
    </w:p>
    <w:p w14:paraId="2C881B95" w14:textId="3A09CBC9" w:rsidR="00A520C9" w:rsidRDefault="00A520C9" w:rsidP="00A520C9">
      <w:r>
        <w:t xml:space="preserve">We can also test the impact of the transition behaviour via </w:t>
      </w:r>
      <w:r w:rsidR="00444DF8">
        <w:t xml:space="preserve">a </w:t>
      </w:r>
      <w:r>
        <w:t>back-test. Suppose we:</w:t>
      </w:r>
    </w:p>
    <w:p w14:paraId="7C96FA58" w14:textId="77777777" w:rsidR="00A520C9" w:rsidRDefault="00A520C9" w:rsidP="00975CD2">
      <w:pPr>
        <w:pStyle w:val="Bullet1"/>
        <w:spacing w:before="80" w:after="80"/>
      </w:pPr>
      <w:r>
        <w:t>Start with the actual numbers of people at 30 June 2017</w:t>
      </w:r>
    </w:p>
    <w:p w14:paraId="470EEC4B" w14:textId="77777777" w:rsidR="00A520C9" w:rsidRDefault="00A520C9" w:rsidP="00975CD2">
      <w:pPr>
        <w:pStyle w:val="Bullet1"/>
        <w:spacing w:before="80" w:after="80"/>
      </w:pPr>
      <w:r>
        <w:t>Use actual entries over the next four years</w:t>
      </w:r>
    </w:p>
    <w:p w14:paraId="228BC97F" w14:textId="77777777" w:rsidR="00A520C9" w:rsidRPr="00783F45" w:rsidRDefault="00A520C9" w:rsidP="00975CD2">
      <w:pPr>
        <w:pStyle w:val="Bullet1"/>
        <w:spacing w:before="80" w:after="80"/>
      </w:pPr>
      <w:r>
        <w:t>Use the AFSR model assumptions to project forward participant numbers.</w:t>
      </w:r>
    </w:p>
    <w:p w14:paraId="67BDD537" w14:textId="1DFC0FE3" w:rsidR="00A520C9" w:rsidRDefault="00A520C9" w:rsidP="00975CD2">
      <w:pPr>
        <w:spacing w:before="0" w:after="0"/>
      </w:pPr>
      <w:r>
        <w:t>We can then see how well the model reproduces the actual numbers at 30 June 2021.The figure below shows the results for two disability types.</w:t>
      </w:r>
    </w:p>
    <w:p w14:paraId="1CCB7114" w14:textId="6AE2028F" w:rsidR="00A520C9" w:rsidRDefault="00A520C9" w:rsidP="007834F2">
      <w:pPr>
        <w:pStyle w:val="Caption"/>
        <w:spacing w:before="120" w:after="0"/>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6</w:t>
      </w:r>
      <w:r w:rsidR="009366CE">
        <w:fldChar w:fldCharType="end"/>
      </w:r>
      <w:r>
        <w:t xml:space="preserve"> – Back-test results for ABI and psychosocial disability groups under perfect information about entrants and latest exit assumptions.</w:t>
      </w:r>
    </w:p>
    <w:p w14:paraId="438DE8D4" w14:textId="38E81395" w:rsidR="007834F2" w:rsidRDefault="007834F2" w:rsidP="00482CB4">
      <w:pPr>
        <w:spacing w:before="0" w:after="60"/>
      </w:pPr>
      <w:r>
        <w:rPr>
          <w:noProof/>
        </w:rPr>
        <w:drawing>
          <wp:inline distT="0" distB="0" distL="0" distR="0" wp14:anchorId="3A441904" wp14:editId="48E17A40">
            <wp:extent cx="5976620" cy="2077085"/>
            <wp:effectExtent l="0" t="0" r="5080" b="0"/>
            <wp:docPr id="2" name="Graphic 2" descr="ABI&#10;Cohort severity band 1. Projected. 423. Actual. 323. Difference. -100.&#10;Band 2. Projected. 1,842. Actual. 1,307. Difference. -535.&#10;Band 3. Projected. 1,782. Actual. 1,528. Difference. -254.&#10;Band 4. Projected. 458. Actual. 447. Difference. -11.&#10;Band 5. Projected. 3,228. Actual. 3,437. Difference. 209.&#10;Band 6. Projected. 5,918. Actual. 7,217. Difference. 1,299.&#10;Band 7. Projected. 430. Actual. 657. Difference. 227.&#10;&#10;Psychosocial&#10;Cohort severity band 1. Projected. 81. Actual. 96. Difference. 15.&#10;Band 2. Projected. 11,131. Actual. 8,443. Difference. -2,688.&#10;Band 3. Projected. 9,998. Actual. 9,920. Difference. -78.&#10;Band 4. Projected. 13,276. Actual. 15,092. Difference. 1,816.&#10;Band 5. Projected. 12,226. Actual. 14,878. Difference.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ABI&#10;Cohort severity band 1. Projected. 423. Actual. 323. Difference. -100.&#10;Band 2. Projected. 1,842. Actual. 1,307. Difference. -535.&#10;Band 3. Projected. 1,782. Actual. 1,528. Difference. -254.&#10;Band 4. Projected. 458. Actual. 447. Difference. -11.&#10;Band 5. Projected. 3,228. Actual. 3,437. Difference. 209.&#10;Band 6. Projected. 5,918. Actual. 7,217. Difference. 1,299.&#10;Band 7. Projected. 430. Actual. 657. Difference. 227.&#10;&#10;Psychosocial&#10;Cohort severity band 1. Projected. 81. Actual. 96. Difference. 15.&#10;Band 2. Projected. 11,131. Actual. 8,443. Difference. -2,688.&#10;Band 3. Projected. 9,998. Actual. 9,920. Difference. -78.&#10;Band 4. Projected. 13,276. Actual. 15,092. Difference. 1,816.&#10;Band 5. Projected. 12,226. Actual. 14,878. Difference. 2,652."/>
                    <pic:cNvPicPr/>
                  </pic:nvPicPr>
                  <pic:blipFill>
                    <a:blip r:embed="rId57" cstate="print">
                      <a:extLst>
                        <a:ext uri="{28A0092B-C50C-407E-A947-70E740481C1C}">
                          <a14:useLocalDpi xmlns:a14="http://schemas.microsoft.com/office/drawing/2010/main"/>
                        </a:ext>
                        <a:ext uri="{96DAC541-7B7A-43D3-8B79-37D633B846F1}">
                          <asvg:svgBlip xmlns:asvg="http://schemas.microsoft.com/office/drawing/2016/SVG/main" r:embed="rId58"/>
                        </a:ext>
                      </a:extLst>
                    </a:blip>
                    <a:stretch>
                      <a:fillRect/>
                    </a:stretch>
                  </pic:blipFill>
                  <pic:spPr>
                    <a:xfrm>
                      <a:off x="0" y="0"/>
                      <a:ext cx="5976620" cy="2077085"/>
                    </a:xfrm>
                    <a:prstGeom prst="rect">
                      <a:avLst/>
                    </a:prstGeom>
                  </pic:spPr>
                </pic:pic>
              </a:graphicData>
            </a:graphic>
          </wp:inline>
        </w:drawing>
      </w:r>
    </w:p>
    <w:p w14:paraId="43BDCE6D" w14:textId="44A87927" w:rsidR="00A520C9" w:rsidRDefault="00A520C9" w:rsidP="00A520C9">
      <w:pPr>
        <w:spacing w:before="0"/>
      </w:pPr>
      <w:r>
        <w:t>The results show that the AFSR model does not accurately reproduce the numbers within each band, with transition behaviour the primary driver of</w:t>
      </w:r>
      <w:r w:rsidR="00444DF8">
        <w:t xml:space="preserve"> the</w:t>
      </w:r>
      <w:r>
        <w:t xml:space="preserve"> difference. For instance, actual numbers in the two most severe psychosocial disability bands are 18% higher than projected while the two least severe band are 24% lower.</w:t>
      </w:r>
    </w:p>
    <w:p w14:paraId="63A51458" w14:textId="391F4208" w:rsidR="00A520C9" w:rsidRDefault="00A520C9" w:rsidP="00A520C9">
      <w:pPr>
        <w:spacing w:before="0"/>
      </w:pPr>
      <w:r>
        <w:t>Similar results are found for most disability types</w:t>
      </w:r>
      <w:r w:rsidR="00444DF8">
        <w:t xml:space="preserve"> and</w:t>
      </w:r>
      <w:r>
        <w:t xml:space="preserve"> full results are provided in </w:t>
      </w:r>
      <w:r>
        <w:fldChar w:fldCharType="begin"/>
      </w:r>
      <w:r>
        <w:instrText xml:space="preserve"> REF _Ref84509592 \r \h </w:instrText>
      </w:r>
      <w:r>
        <w:fldChar w:fldCharType="separate"/>
      </w:r>
      <w:r w:rsidR="00E6217F">
        <w:t>Appendix A</w:t>
      </w:r>
      <w:r>
        <w:fldChar w:fldCharType="end"/>
      </w:r>
      <w:r>
        <w:t>. Transfer effects appear large for autism, cerebral palsy, intellectual disability, multiple s</w:t>
      </w:r>
      <w:r w:rsidRPr="00490429">
        <w:t>clerosis</w:t>
      </w:r>
      <w:r>
        <w:t xml:space="preserve"> and other neurological. The effects are less pronounced for some disability types such as hearing impairment and spinal cord</w:t>
      </w:r>
      <w:r w:rsidR="00444DF8">
        <w:t>.</w:t>
      </w:r>
    </w:p>
    <w:p w14:paraId="5EB5D20D" w14:textId="4AC6106E" w:rsidR="00A520C9" w:rsidRPr="00EB3835" w:rsidRDefault="00A520C9" w:rsidP="00482CB4">
      <w:pPr>
        <w:pStyle w:val="Heading2"/>
        <w:spacing w:before="120"/>
      </w:pPr>
      <w:bookmarkStart w:id="101" w:name="_Toc87700466"/>
      <w:bookmarkStart w:id="102" w:name="_Toc88686118"/>
      <w:r w:rsidRPr="00EB3835">
        <w:t>Indefinite growth in participant numbers</w:t>
      </w:r>
      <w:r>
        <w:t xml:space="preserve"> as a </w:t>
      </w:r>
      <w:r w:rsidR="003F4047">
        <w:t xml:space="preserve">proportion </w:t>
      </w:r>
      <w:r>
        <w:t>of population</w:t>
      </w:r>
      <w:bookmarkEnd w:id="101"/>
      <w:bookmarkEnd w:id="102"/>
    </w:p>
    <w:p w14:paraId="00482F24" w14:textId="3156334B" w:rsidR="00A520C9" w:rsidRDefault="00A520C9" w:rsidP="00A520C9">
      <w:r>
        <w:t xml:space="preserve">The number of new entrants into the </w:t>
      </w:r>
      <w:r w:rsidR="007A5D84">
        <w:t>Scheme</w:t>
      </w:r>
      <w:r>
        <w:t xml:space="preserve"> is driven by top-level assumptions of the total number of entrants. These are shown below; as a fraction of the Australian population aged 0-64, the fraction of participants is forecast to grow from 2.1% </w:t>
      </w:r>
      <w:r w:rsidRPr="002057E9">
        <w:t xml:space="preserve">to </w:t>
      </w:r>
      <w:r w:rsidR="00444DF8" w:rsidRPr="002057E9">
        <w:t>3.5</w:t>
      </w:r>
      <w:r w:rsidRPr="002057E9">
        <w:t>%</w:t>
      </w:r>
      <w:r w:rsidR="000632E0">
        <w:t xml:space="preserve"> by </w:t>
      </w:r>
      <w:r w:rsidR="002057E9">
        <w:t>2030</w:t>
      </w:r>
      <w:r>
        <w:t xml:space="preserve">. As discussed in </w:t>
      </w:r>
      <w:r w:rsidRPr="00D75291">
        <w:t xml:space="preserve">Section </w:t>
      </w:r>
      <w:r w:rsidR="00444DF8">
        <w:fldChar w:fldCharType="begin"/>
      </w:r>
      <w:r w:rsidR="00444DF8">
        <w:instrText xml:space="preserve"> REF _Ref87534738 \r \h </w:instrText>
      </w:r>
      <w:r w:rsidR="00444DF8">
        <w:fldChar w:fldCharType="separate"/>
      </w:r>
      <w:r w:rsidR="00E6217F">
        <w:t>4.2</w:t>
      </w:r>
      <w:r w:rsidR="00444DF8">
        <w:fldChar w:fldCharType="end"/>
      </w:r>
      <w:r w:rsidRPr="00D75291">
        <w:t>, these</w:t>
      </w:r>
      <w:r>
        <w:t xml:space="preserve"> numbers have increased substantially in recent years. While a strong trend reflects recent experience and appears appropriate </w:t>
      </w:r>
      <w:r w:rsidR="00444DF8">
        <w:t xml:space="preserve">over </w:t>
      </w:r>
      <w:r>
        <w:t xml:space="preserve">the short-term part, there is still significant uncertainty as to when a plateau will be reached; at some point growth as a </w:t>
      </w:r>
      <w:r w:rsidR="00444DF8">
        <w:t xml:space="preserve">proportion </w:t>
      </w:r>
      <w:r>
        <w:t>of the Australian population will slow.</w:t>
      </w:r>
    </w:p>
    <w:p w14:paraId="6C453990" w14:textId="021DD0E1" w:rsidR="00A520C9" w:rsidRDefault="00A520C9" w:rsidP="007834F2">
      <w:pPr>
        <w:pStyle w:val="Caption"/>
        <w:spacing w:before="120"/>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7</w:t>
      </w:r>
      <w:r w:rsidR="009366CE">
        <w:fldChar w:fldCharType="end"/>
      </w:r>
      <w:r>
        <w:t xml:space="preserve"> – Forecast number of participants aged 0-64</w:t>
      </w:r>
    </w:p>
    <w:p w14:paraId="36BE4014" w14:textId="6A235626" w:rsidR="007834F2" w:rsidRDefault="00A520C9" w:rsidP="00444DF8">
      <w:pPr>
        <w:spacing w:before="40" w:after="0"/>
      </w:pPr>
      <w:r w:rsidRPr="00242958">
        <w:rPr>
          <w:noProof/>
        </w:rPr>
        <w:drawing>
          <wp:inline distT="0" distB="0" distL="0" distR="0" wp14:anchorId="6E61AF0F" wp14:editId="55D1A3B7">
            <wp:extent cx="4344381" cy="2544793"/>
            <wp:effectExtent l="0" t="0" r="0" b="8255"/>
            <wp:docPr id="56" name="Picture 56" descr="Financial Year 2019. Number, Age 0-64. 279,039. Proportion of Australian population. 1.3%.&#10;2020. Number. 380,523. Proportion. 1.8%. &#10;2021. Number. 450,038. Proportion. 2.1%. &#10;2022. Number. 508,974. Proportion. 2.4%.&#10;2023. Number. 559,846. Proportion. 2.6%.&#10;2024. Number. 598,491. Proportion. 2.8%.&#10;2025. Number. 633,596. Proportion. 2.9%.&#10;2026. Number. 667,802. Proportion. 3.0%.&#10;2027. Number. 701,085. Proportion. 3.2%.&#10;2028. Number. 733,848. Proportion. 3.3%.&#10;2029. Number. 766,194. Proportion. 3.4%.&#10;2030. Number. 798,341. Proportion. 3.5%.&#10;2031. Number. 830,239. Proportion. 3.6%.&#10;2032. Number. 862,040. Proportion. 3.7%.&#10;2033. Number. 893,743. Proportion. 3.8%.&#10;2034. Number. 925,173. Proportion. 3.9%.&#10;2035. Number. 956,358. Proportio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nancial Year 2019. Number, Age 0-64. 279,039. Proportion of Australian population. 1.3%.&#10;2020. Number. 380,523. Proportion. 1.8%. &#10;2021. Number. 450,038. Proportion. 2.1%. &#10;2022. Number. 508,974. Proportion. 2.4%.&#10;2023. Number. 559,846. Proportion. 2.6%.&#10;2024. Number. 598,491. Proportion. 2.8%.&#10;2025. Number. 633,596. Proportion. 2.9%.&#10;2026. Number. 667,802. Proportion. 3.0%.&#10;2027. Number. 701,085. Proportion. 3.2%.&#10;2028. Number. 733,848. Proportion. 3.3%.&#10;2029. Number. 766,194. Proportion. 3.4%.&#10;2030. Number. 798,341. Proportion. 3.5%.&#10;2031. Number. 830,239. Proportion. 3.6%.&#10;2032. Number. 862,040. Proportion. 3.7%.&#10;2033. Number. 893,743. Proportion. 3.8%.&#10;2034. Number. 925,173. Proportion. 3.9%.&#10;2035. Number. 956,358. Proportion. 4.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4344381" cy="2544793"/>
                    </a:xfrm>
                    <a:prstGeom prst="rect">
                      <a:avLst/>
                    </a:prstGeom>
                    <a:noFill/>
                    <a:ln>
                      <a:noFill/>
                    </a:ln>
                  </pic:spPr>
                </pic:pic>
              </a:graphicData>
            </a:graphic>
          </wp:inline>
        </w:drawing>
      </w:r>
    </w:p>
    <w:p w14:paraId="68ACED75" w14:textId="77777777" w:rsidR="007834F2" w:rsidRDefault="007834F2">
      <w:pPr>
        <w:spacing w:before="0" w:after="160" w:line="259" w:lineRule="auto"/>
      </w:pPr>
      <w:r>
        <w:br w:type="page"/>
      </w:r>
    </w:p>
    <w:p w14:paraId="3BACFD62" w14:textId="77777777" w:rsidR="00A520C9" w:rsidRDefault="00A520C9" w:rsidP="00A520C9">
      <w:r>
        <w:t>The assumed entry rates of between 60,000-70,000 people per year is enough to drive steady growth in the number of participants, both in absolute terms and as a fraction of the Australian population. As a result, there is no intrinsic anchor in the assumptions about what a future steady state could be.</w:t>
      </w:r>
    </w:p>
    <w:p w14:paraId="76816254" w14:textId="2EFF914D" w:rsidR="00A520C9" w:rsidRDefault="00A520C9" w:rsidP="00A520C9">
      <w:r w:rsidRPr="009311F3">
        <w:t xml:space="preserve">This </w:t>
      </w:r>
      <w:r>
        <w:t>varies</w:t>
      </w:r>
      <w:r w:rsidRPr="009311F3">
        <w:t xml:space="preserve"> by disability type. Large gains are forecast for autism, intellectual disability, delay and psychosocial disabilities</w:t>
      </w:r>
      <w:r w:rsidR="00444DF8">
        <w:t>, whereas</w:t>
      </w:r>
      <w:r w:rsidRPr="009311F3">
        <w:t xml:space="preserve">, ABI, Spinal, Other Sensory/Speech are forecast to be stable as a fraction of the Australian population. </w:t>
      </w:r>
    </w:p>
    <w:p w14:paraId="5CA62687" w14:textId="55CCD11C" w:rsidR="00A520C9" w:rsidRDefault="00A520C9" w:rsidP="00A520C9">
      <w:pPr>
        <w:pStyle w:val="Caption"/>
      </w:pPr>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8</w:t>
      </w:r>
      <w:r w:rsidR="009366CE">
        <w:fldChar w:fldCharType="end"/>
      </w:r>
      <w:r>
        <w:t xml:space="preserve"> – Forecast number of participants by disability type, aged 0-64, as a proportion of the Australian population</w:t>
      </w:r>
      <w:r w:rsidR="002B4625">
        <w:t>, at 30 June each year</w:t>
      </w:r>
    </w:p>
    <w:p w14:paraId="6D20E62D" w14:textId="77777777" w:rsidR="00A520C9" w:rsidRDefault="00A520C9" w:rsidP="00A520C9">
      <w:r w:rsidRPr="00527075">
        <w:rPr>
          <w:noProof/>
        </w:rPr>
        <w:drawing>
          <wp:inline distT="0" distB="0" distL="0" distR="0" wp14:anchorId="0D11A0DE" wp14:editId="379FC0C4">
            <wp:extent cx="5976620" cy="2185670"/>
            <wp:effectExtent l="0" t="0" r="5080" b="5080"/>
            <wp:docPr id="57" name="Picture 57" descr="Larger disability groups&#10;&#10;2021.&#10;Autism. % of Australian 0-64 population. 0.71%.&#10;Hearing Impairment. 0.10%.&#10;Intellectual Disability. 0.42%.&#10;Delay. 0.22%.&#10;Other Physical. 0.08%.&#10;Psychosocial disability. 0.21%.&#10;&#10;2022.&#10;Autism. 0.82%.&#10;Hearing Impairment. 0.11%.&#10;Intellectual Disability. 0.45%.&#10;Delay. 0.28%.&#10;Other Physical. 0.08%.&#10;Psychosocial disability. 0.24%.&#10;&#10;2023.&#10;Autism. 0.92%.&#10;Hearing Impairment. 0.12%.&#10;Intellectual Disability. 0.47%.&#10;Delay. 0.33%.&#10;Other Physical. 0.09%.&#10;Psychosocial disability. 0.27%.&#10;&#10;2024.&#10;Autism. 1.01%.&#10;Hearing Impairment. 0.13%.&#10;Intellectual Disability. 0.49%.&#10;Delay. 0.36%.&#10;Other Physical. 0.09%.&#10;Psychosocial disability. 0.28%.&#10;&#10;2025.&#10;Autism. 1.08%.&#10;Hearing Impairment. 0.14%.&#10;Intellectual Disability. 0.51%.&#10;Delay. 0.37%.&#10;Other Physical. 0.09%.&#10;Psychosocial disability. 0.29%.&#10;&#10;2026.&#10;Autism. 1.16%.&#10;Hearing Impairment. 0.14%.&#10;Intellectual Disability. 0.53%.&#10;Delay. 0.38%.&#10;Other Physical. 0.09%.&#10;Psychosocial disability. 0.30%.&#10;&#10;2027.&#10;Autism. 1.24%.&#10;Hearing Impairment. 0.15%.&#10;Intellectual Disability. 0.55%.&#10;Delay. 0.39%.&#10;Other Physical. 0.09%.&#10;Psychosocial disability. 0.31%.&#10;&#10;2028.&#10;Autism. 1.32%.&#10;Hearing Impairment. 0.16%.&#10;Intellectual Disability. 0.56%.&#10;Delay. 0.39%.&#10;Other Physical. 0.09%.&#10;Psychosocial disability. 0.31%.&#10;&#10;2029.&#10;Autism. 1.40%.&#10;Hearing Impairment. 0.16%.&#10;Intellectual Disability. 0.58%.&#10;Delay. 0.39%.&#10;Other Physical. 0.10%.&#10;Psychosocial disability. 0.32%.&#10;&#10;2030.&#10;Autism. 1.47%.&#10;Hearing Impairment. 0.17%.&#10;Intellectual Disability. 0.60%.&#10;Delay. 0.39%.&#10;Other Physical. 0.10%.&#10;Psychosocial disability. 0.33%.&#10;&#10;Smaller disability groups&#10;2021.&#10;ABI. % of Australian 0-64 population. 0.06%.&#10;Cerebral Palsy. 0.08%.&#10;Multiple Sclerosis. 0.03%.&#10;Other. 0.02%.&#10;Other Neurological. 0.08%.&#10;Other SensorySpeech. 0.01%.&#10;Spinal Cord Injury. 0.02%.&#10;Stroke. 0.03%.&#10;Visual Impairment. 0.04%.&#10;&#10;2022.&#10;ABI. 0.07%.&#10;Cerebral Palsy. 0.08%.&#10;Multiple Sclerosis. 0.04%.&#10;Other. 0.02%.&#10;Other Neurological. 0.08%.&#10;Other SensorySpeech. 0.01%.&#10;Spinal Cord Injury. 0.02%.&#10;Stroke. 0.03%.&#10;Visual Impairment. 0.04%.&#10;&#10;&#10;2023.&#10;ABI. 0.07%.&#10;Cerebral Palsy. 0.08%.&#10;Multiple Sclerosis. 0.04%.&#10;Other. 0.03%.&#10;Other Neurological. 0.09%.&#10;Other SensorySpeech. 0.01%.&#10;Spinal Cord Injury. 0.02%.&#10;Stroke. 0.03%.&#10;Visual Impairment. 0.04%.&#10;&#10;2024.&#10;ABI. 0.07%.&#10;Cerebral Palsy. 0.08%.&#10;Multiple Sclerosis. 0.04%.&#10;Other. 0.03%.&#10;Other Neurological. 0.09%.&#10;Other SensorySpeech. 0.01%.&#10;Spinal Cord Injury. 0.02%.&#10;Stroke. 0.03%.&#10;Visual Impairment. 0.04%.&#10;&#10;2025.&#10;ABI. 0.07%.&#10;Cerebral Palsy. 0.08%.&#10;Multiple Sclerosis. 0.04%.&#10;Other. 0.03%.&#10;Other Neurological. 0.09%.&#10;Other SensorySpeech. 0.01%.&#10;Spinal Cord Injury. 0.02%.&#10;Stroke. 0.03%.&#10;Visual Impairment. 0.04%.&#10;&#10;2026.&#10;ABI. 0.07%.&#10;Cerebral Palsy. 0.08%.&#10;Multiple Sclerosis. 0.04%.&#10;Other. 0.03%.&#10;Other Neurological. 0.09%.&#10;Other SensorySpeech. 0.01%.&#10;Spinal Cord Injury. 0.02%.&#10;Stroke. 0.03%.&#10;Visual Impairment. 0.04%.&#10;&#10;2027.&#10;ABI. 0.07%.&#10;Cerebral Palsy. 0.09%.&#10;Multiple Sclerosis. 0.04%.&#10;Other. 0.03%.&#10;Other Neurological. 0.09%.&#10;Other SensorySpeech. 0.01%.&#10;Spinal Cord Injury. 0.02%.&#10;Stroke. 0.03%.&#10;Visual Impairment. 0.04%.&#10;&#10;2028.&#10;ABI. 0.07%.&#10;Cerebral Palsy. 0.09%.&#10;Multiple Sclerosis. 0.04%.&#10;Other. 0.03%.&#10;Other Neurological. 0.09%.&#10;Other SensorySpeech. 0.01%.&#10;Spinal Cord Injury. 0.02%.&#10;Stroke. 0.03%.&#10;Visual Impairment. 0.04%.&#10;&#10;2029.&#10;ABI. 0.07%.&#10;Cerebral Palsy. 0.09%.&#10;Multiple Sclerosis. 0.04%.&#10;Other. 0.03%.&#10;Other Neurological. 0.09%.&#10;Other SensorySpeech. 0.01%.&#10;Spinal Cord Injury. 0.02%.&#10;Stroke. 0.03%.&#10;Visual Impairment. 0.04%.&#10;&#10;2030.&#10;ABI. 0.06%.&#10;Cerebral Palsy. 0.09%.&#10;Multiple Sclerosis. 0.04%.&#10;Other. 0.03%.&#10;Other Neurological. 0.10%.&#10;Other SensorySpeech. 0.01%.&#10;Spinal Cord Injury. 0.02%.&#10;Stroke. 0.04%.&#10;Visual Impairment.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arger disability groups&#10;&#10;2021.&#10;Autism. % of Australian 0-64 population. 0.71%.&#10;Hearing Impairment. 0.10%.&#10;Intellectual Disability. 0.42%.&#10;Delay. 0.22%.&#10;Other Physical. 0.08%.&#10;Psychosocial disability. 0.21%.&#10;&#10;2022.&#10;Autism. 0.82%.&#10;Hearing Impairment. 0.11%.&#10;Intellectual Disability. 0.45%.&#10;Delay. 0.28%.&#10;Other Physical. 0.08%.&#10;Psychosocial disability. 0.24%.&#10;&#10;2023.&#10;Autism. 0.92%.&#10;Hearing Impairment. 0.12%.&#10;Intellectual Disability. 0.47%.&#10;Delay. 0.33%.&#10;Other Physical. 0.09%.&#10;Psychosocial disability. 0.27%.&#10;&#10;2024.&#10;Autism. 1.01%.&#10;Hearing Impairment. 0.13%.&#10;Intellectual Disability. 0.49%.&#10;Delay. 0.36%.&#10;Other Physical. 0.09%.&#10;Psychosocial disability. 0.28%.&#10;&#10;2025.&#10;Autism. 1.08%.&#10;Hearing Impairment. 0.14%.&#10;Intellectual Disability. 0.51%.&#10;Delay. 0.37%.&#10;Other Physical. 0.09%.&#10;Psychosocial disability. 0.29%.&#10;&#10;2026.&#10;Autism. 1.16%.&#10;Hearing Impairment. 0.14%.&#10;Intellectual Disability. 0.53%.&#10;Delay. 0.38%.&#10;Other Physical. 0.09%.&#10;Psychosocial disability. 0.30%.&#10;&#10;2027.&#10;Autism. 1.24%.&#10;Hearing Impairment. 0.15%.&#10;Intellectual Disability. 0.55%.&#10;Delay. 0.39%.&#10;Other Physical. 0.09%.&#10;Psychosocial disability. 0.31%.&#10;&#10;2028.&#10;Autism. 1.32%.&#10;Hearing Impairment. 0.16%.&#10;Intellectual Disability. 0.56%.&#10;Delay. 0.39%.&#10;Other Physical. 0.09%.&#10;Psychosocial disability. 0.31%.&#10;&#10;2029.&#10;Autism. 1.40%.&#10;Hearing Impairment. 0.16%.&#10;Intellectual Disability. 0.58%.&#10;Delay. 0.39%.&#10;Other Physical. 0.10%.&#10;Psychosocial disability. 0.32%.&#10;&#10;2030.&#10;Autism. 1.47%.&#10;Hearing Impairment. 0.17%.&#10;Intellectual Disability. 0.60%.&#10;Delay. 0.39%.&#10;Other Physical. 0.10%.&#10;Psychosocial disability. 0.33%.&#10;&#10;Smaller disability groups&#10;2021.&#10;ABI. % of Australian 0-64 population. 0.06%.&#10;Cerebral Palsy. 0.08%.&#10;Multiple Sclerosis. 0.03%.&#10;Other. 0.02%.&#10;Other Neurological. 0.08%.&#10;Other SensorySpeech. 0.01%.&#10;Spinal Cord Injury. 0.02%.&#10;Stroke. 0.03%.&#10;Visual Impairment. 0.04%.&#10;&#10;2022.&#10;ABI. 0.07%.&#10;Cerebral Palsy. 0.08%.&#10;Multiple Sclerosis. 0.04%.&#10;Other. 0.02%.&#10;Other Neurological. 0.08%.&#10;Other SensorySpeech. 0.01%.&#10;Spinal Cord Injury. 0.02%.&#10;Stroke. 0.03%.&#10;Visual Impairment. 0.04%.&#10;&#10;&#10;2023.&#10;ABI. 0.07%.&#10;Cerebral Palsy. 0.08%.&#10;Multiple Sclerosis. 0.04%.&#10;Other. 0.03%.&#10;Other Neurological. 0.09%.&#10;Other SensorySpeech. 0.01%.&#10;Spinal Cord Injury. 0.02%.&#10;Stroke. 0.03%.&#10;Visual Impairment. 0.04%.&#10;&#10;2024.&#10;ABI. 0.07%.&#10;Cerebral Palsy. 0.08%.&#10;Multiple Sclerosis. 0.04%.&#10;Other. 0.03%.&#10;Other Neurological. 0.09%.&#10;Other SensorySpeech. 0.01%.&#10;Spinal Cord Injury. 0.02%.&#10;Stroke. 0.03%.&#10;Visual Impairment. 0.04%.&#10;&#10;2025.&#10;ABI. 0.07%.&#10;Cerebral Palsy. 0.08%.&#10;Multiple Sclerosis. 0.04%.&#10;Other. 0.03%.&#10;Other Neurological. 0.09%.&#10;Other SensorySpeech. 0.01%.&#10;Spinal Cord Injury. 0.02%.&#10;Stroke. 0.03%.&#10;Visual Impairment. 0.04%.&#10;&#10;2026.&#10;ABI. 0.07%.&#10;Cerebral Palsy. 0.08%.&#10;Multiple Sclerosis. 0.04%.&#10;Other. 0.03%.&#10;Other Neurological. 0.09%.&#10;Other SensorySpeech. 0.01%.&#10;Spinal Cord Injury. 0.02%.&#10;Stroke. 0.03%.&#10;Visual Impairment. 0.04%.&#10;&#10;2027.&#10;ABI. 0.07%.&#10;Cerebral Palsy. 0.09%.&#10;Multiple Sclerosis. 0.04%.&#10;Other. 0.03%.&#10;Other Neurological. 0.09%.&#10;Other SensorySpeech. 0.01%.&#10;Spinal Cord Injury. 0.02%.&#10;Stroke. 0.03%.&#10;Visual Impairment. 0.04%.&#10;&#10;2028.&#10;ABI. 0.07%.&#10;Cerebral Palsy. 0.09%.&#10;Multiple Sclerosis. 0.04%.&#10;Other. 0.03%.&#10;Other Neurological. 0.09%.&#10;Other SensorySpeech. 0.01%.&#10;Spinal Cord Injury. 0.02%.&#10;Stroke. 0.03%.&#10;Visual Impairment. 0.04%.&#10;&#10;2029.&#10;ABI. 0.07%.&#10;Cerebral Palsy. 0.09%.&#10;Multiple Sclerosis. 0.04%.&#10;Other. 0.03%.&#10;Other Neurological. 0.09%.&#10;Other SensorySpeech. 0.01%.&#10;Spinal Cord Injury. 0.02%.&#10;Stroke. 0.03%.&#10;Visual Impairment. 0.04%.&#10;&#10;2030.&#10;ABI. 0.06%.&#10;Cerebral Palsy. 0.09%.&#10;Multiple Sclerosis. 0.04%.&#10;Other. 0.03%.&#10;Other Neurological. 0.10%.&#10;Other SensorySpeech. 0.01%.&#10;Spinal Cord Injury. 0.02%.&#10;Stroke. 0.04%.&#10;Visual Impairment. 0.0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976620" cy="2185670"/>
                    </a:xfrm>
                    <a:prstGeom prst="rect">
                      <a:avLst/>
                    </a:prstGeom>
                    <a:noFill/>
                    <a:ln>
                      <a:noFill/>
                    </a:ln>
                  </pic:spPr>
                </pic:pic>
              </a:graphicData>
            </a:graphic>
          </wp:inline>
        </w:drawing>
      </w:r>
    </w:p>
    <w:p w14:paraId="222B4416" w14:textId="59AB5F89" w:rsidR="00A520C9" w:rsidRDefault="00A520C9" w:rsidP="00A520C9">
      <w:r>
        <w:t xml:space="preserve">One consequence is that estimates of participant numbers are very uncertain, particularly in the medium to long term (beyond 2025, say). Newer entrants tend to have lower-than-average package costs, so the impact on total costs is relatively smaller. </w:t>
      </w:r>
    </w:p>
    <w:p w14:paraId="512963CB" w14:textId="74E84CF4" w:rsidR="00A520C9" w:rsidRDefault="00A520C9" w:rsidP="000632E0">
      <w:pPr>
        <w:pStyle w:val="Heading2"/>
      </w:pPr>
      <w:bookmarkStart w:id="103" w:name="_Ref87543774"/>
      <w:bookmarkStart w:id="104" w:name="_Toc87700467"/>
      <w:bookmarkStart w:id="105" w:name="_Toc88686119"/>
      <w:r>
        <w:t xml:space="preserve">Reliance on aggregate </w:t>
      </w:r>
      <w:r w:rsidRPr="00882A56">
        <w:t>cost escalation assumptions</w:t>
      </w:r>
      <w:bookmarkEnd w:id="103"/>
      <w:bookmarkEnd w:id="104"/>
      <w:bookmarkEnd w:id="105"/>
    </w:p>
    <w:p w14:paraId="3BE651A4" w14:textId="77777777" w:rsidR="00A520C9" w:rsidRDefault="00A520C9" w:rsidP="00A520C9">
      <w:r>
        <w:t>The model has components for inflation (which can be thought of as the core per-unit price increases as goods become more expensive over time and wages increase in line with Fair Work rulings) and superimposed inflation.</w:t>
      </w:r>
    </w:p>
    <w:p w14:paraId="0DD6D3D4" w14:textId="4EF64A0C" w:rsidR="00A520C9" w:rsidRDefault="00A520C9" w:rsidP="00A520C9">
      <w:r>
        <w:t>The structure of the model means that</w:t>
      </w:r>
      <w:r w:rsidR="005C664C">
        <w:t xml:space="preserve"> the</w:t>
      </w:r>
      <w:r>
        <w:t xml:space="preserve"> superimposed inflation component is accounting for a variety of effects, including:</w:t>
      </w:r>
    </w:p>
    <w:p w14:paraId="058917ED" w14:textId="77777777" w:rsidR="00A520C9" w:rsidRDefault="00A520C9" w:rsidP="00A520C9">
      <w:pPr>
        <w:pStyle w:val="Bullet1"/>
      </w:pPr>
      <w:r>
        <w:t>Participants moving to a lower functional band (item 1 above)</w:t>
      </w:r>
    </w:p>
    <w:p w14:paraId="7767A381" w14:textId="77777777" w:rsidR="00A520C9" w:rsidRDefault="00A520C9" w:rsidP="00A520C9">
      <w:pPr>
        <w:pStyle w:val="Bullet1"/>
      </w:pPr>
      <w:r>
        <w:t>Participants utilising more of their plan packages</w:t>
      </w:r>
    </w:p>
    <w:p w14:paraId="5DF885D8" w14:textId="77777777" w:rsidR="00A520C9" w:rsidRDefault="00A520C9" w:rsidP="00A520C9">
      <w:pPr>
        <w:pStyle w:val="Bullet1"/>
      </w:pPr>
      <w:r>
        <w:t>Participants increasing the volume of a service consumed (e.g. more hours of attendant care)</w:t>
      </w:r>
    </w:p>
    <w:p w14:paraId="2233A495" w14:textId="77777777" w:rsidR="00A520C9" w:rsidRPr="00A7020A" w:rsidRDefault="00A520C9" w:rsidP="00A520C9">
      <w:pPr>
        <w:pStyle w:val="Bullet1"/>
      </w:pPr>
      <w:r>
        <w:t xml:space="preserve">Participants </w:t>
      </w:r>
      <w:r w:rsidRPr="00A7020A">
        <w:t>changing their use of SIL and SDA</w:t>
      </w:r>
    </w:p>
    <w:p w14:paraId="323DBE4C" w14:textId="77777777" w:rsidR="00A520C9" w:rsidRDefault="00A520C9" w:rsidP="00A520C9">
      <w:pPr>
        <w:pStyle w:val="Bullet1"/>
      </w:pPr>
      <w:r w:rsidRPr="00A7020A">
        <w:t xml:space="preserve">Participants becoming aware of other services or components they can add to packages </w:t>
      </w:r>
    </w:p>
    <w:p w14:paraId="05BA3F1B" w14:textId="465D728D" w:rsidR="00A520C9" w:rsidRPr="00A70412" w:rsidRDefault="00A520C9" w:rsidP="00A520C9">
      <w:pPr>
        <w:pStyle w:val="Bullet1"/>
      </w:pPr>
      <w:r>
        <w:t>Participants becoming less relian</w:t>
      </w:r>
      <w:r w:rsidR="005C664C">
        <w:t>t</w:t>
      </w:r>
      <w:r>
        <w:t xml:space="preserve"> on informal care and support</w:t>
      </w:r>
    </w:p>
    <w:p w14:paraId="5513ABF3" w14:textId="77777777" w:rsidR="00A520C9" w:rsidRPr="00A7020A" w:rsidRDefault="00A520C9" w:rsidP="00A520C9">
      <w:pPr>
        <w:pStyle w:val="Bullet1"/>
      </w:pPr>
      <w:r w:rsidRPr="00A7020A">
        <w:t xml:space="preserve">Unanticipated price changes, </w:t>
      </w:r>
      <w:r>
        <w:t>noting that some price changes are anticipated and allowed for (</w:t>
      </w:r>
      <w:r w:rsidRPr="00A7020A">
        <w:t>such as those applied in July 2019 which included substantial increases for therapy, attendant care and community participation</w:t>
      </w:r>
      <w:r>
        <w:t>)</w:t>
      </w:r>
      <w:r w:rsidRPr="00A7020A">
        <w:t>.</w:t>
      </w:r>
    </w:p>
    <w:p w14:paraId="6EB86B81" w14:textId="7CD5C63B" w:rsidR="00A520C9" w:rsidRPr="005060EF" w:rsidRDefault="00A520C9" w:rsidP="00DE6F11">
      <w:r w:rsidRPr="00A7020A">
        <w:t xml:space="preserve">We understand that the current assumptions are based on a combination of judgement and historical experience. </w:t>
      </w:r>
      <w:r>
        <w:t xml:space="preserve">In AFSRs up to December 2020 components of superimposed inflation were separately estimated and summed. For example, the December 2020 interim AFSR, Table 15 provided a breakdown of the aggregate superimposed inflation assumption. The June 2021 assumption does not have a formal split but involves consideration of a similar list of components – </w:t>
      </w:r>
      <w:r w:rsidR="005C664C">
        <w:t xml:space="preserve">as part of this review </w:t>
      </w:r>
      <w:r>
        <w:t xml:space="preserve">we have been provided with </w:t>
      </w:r>
      <w:r w:rsidR="005C664C">
        <w:t xml:space="preserve">the </w:t>
      </w:r>
      <w:r>
        <w:t>work</w:t>
      </w:r>
      <w:r w:rsidR="005C664C">
        <w:t>ings</w:t>
      </w:r>
      <w:r>
        <w:t xml:space="preserve"> </w:t>
      </w:r>
      <w:r w:rsidR="005C664C">
        <w:t xml:space="preserve">underlying </w:t>
      </w:r>
      <w:r>
        <w:t>th</w:t>
      </w:r>
      <w:r w:rsidR="005C664C">
        <w:t>ese assumptions</w:t>
      </w:r>
      <w:r w:rsidR="009E2DB3">
        <w:t xml:space="preserve">, which we explore in Section </w:t>
      </w:r>
      <w:r w:rsidR="009E2DB3">
        <w:fldChar w:fldCharType="begin"/>
      </w:r>
      <w:r w:rsidR="009E2DB3">
        <w:instrText xml:space="preserve"> REF _Ref83714389 \r \h </w:instrText>
      </w:r>
      <w:r w:rsidR="009E2DB3">
        <w:fldChar w:fldCharType="separate"/>
      </w:r>
      <w:r w:rsidR="00E6217F">
        <w:t>4.6</w:t>
      </w:r>
      <w:r w:rsidR="009E2DB3">
        <w:fldChar w:fldCharType="end"/>
      </w:r>
      <w:r>
        <w:t xml:space="preserve">. </w:t>
      </w:r>
    </w:p>
    <w:p w14:paraId="34013916" w14:textId="77777777" w:rsidR="00A520C9" w:rsidRPr="005060EF" w:rsidRDefault="00A520C9" w:rsidP="00A520C9">
      <w:r w:rsidRPr="005060EF">
        <w:t xml:space="preserve">While the Scheme Actuary considers a broad range of factors when setting inflation assumptions, </w:t>
      </w:r>
      <w:r>
        <w:t xml:space="preserve">the large number of implicit and unanticipated sources of escalation may have contributed to the </w:t>
      </w:r>
      <w:r w:rsidRPr="005060EF">
        <w:t xml:space="preserve">persistent underestimation of </w:t>
      </w:r>
      <w:r>
        <w:t>cost escalation over the past few years</w:t>
      </w:r>
      <w:r w:rsidRPr="005060EF">
        <w:t>.</w:t>
      </w:r>
      <w:r w:rsidRPr="00A70412">
        <w:t xml:space="preserve"> </w:t>
      </w:r>
      <w:r>
        <w:t>It is likely that without understanding and explicitly incorporating these types of operational dynamics related to how plans are approved most modelling approaches would have to some degree underestimated growth in payments.</w:t>
      </w:r>
    </w:p>
    <w:p w14:paraId="2DF7D956" w14:textId="7D20098C" w:rsidR="00A520C9" w:rsidRDefault="005C664C" w:rsidP="00DE6F11">
      <w:r>
        <w:fldChar w:fldCharType="begin"/>
      </w:r>
      <w:r>
        <w:instrText xml:space="preserve"> REF _Ref87020661 \h </w:instrText>
      </w:r>
      <w:r>
        <w:fldChar w:fldCharType="separate"/>
      </w:r>
      <w:r w:rsidR="00E6217F">
        <w:t xml:space="preserve">Figure </w:t>
      </w:r>
      <w:r w:rsidR="00E6217F">
        <w:rPr>
          <w:noProof/>
        </w:rPr>
        <w:t>3</w:t>
      </w:r>
      <w:r w:rsidR="00E6217F">
        <w:t>.</w:t>
      </w:r>
      <w:r w:rsidR="00E6217F">
        <w:rPr>
          <w:noProof/>
        </w:rPr>
        <w:t>9</w:t>
      </w:r>
      <w:r>
        <w:fldChar w:fldCharType="end"/>
      </w:r>
      <w:r>
        <w:t xml:space="preserve"> </w:t>
      </w:r>
      <w:r w:rsidR="00A520C9" w:rsidRPr="005060EF">
        <w:t>below compares historical and assumed escalation factors</w:t>
      </w:r>
      <w:r w:rsidR="00A520C9">
        <w:t>. In calculating these:</w:t>
      </w:r>
    </w:p>
    <w:p w14:paraId="185971A4" w14:textId="1DA46E60" w:rsidR="00A520C9" w:rsidRDefault="00A520C9" w:rsidP="00A520C9">
      <w:pPr>
        <w:pStyle w:val="Bullet1"/>
      </w:pPr>
      <w:r>
        <w:t xml:space="preserve">There are multiple ways to calculate historical rates, since there are compositional effects too. We have estimated these in a relatively simple fashion; for an annual escalation between two years (2019-20 to 2020-21 say) we take everyone in the </w:t>
      </w:r>
      <w:r w:rsidR="007A5D84">
        <w:t>Scheme</w:t>
      </w:r>
      <w:r>
        <w:t xml:space="preserve"> for the full two years (and three months prior to the first). Then we simply total payments </w:t>
      </w:r>
      <w:r w:rsidR="005C664C">
        <w:t xml:space="preserve">(including in-kind amounts) </w:t>
      </w:r>
      <w:r>
        <w:t xml:space="preserve">in the two financial years and divide one by the other. This will tend to produce larger estimates of escalation than average participant costs, since it is not offset by the lower payments </w:t>
      </w:r>
      <w:r w:rsidR="005C664C">
        <w:t xml:space="preserve">made </w:t>
      </w:r>
      <w:r>
        <w:t xml:space="preserve">to new entrants. </w:t>
      </w:r>
    </w:p>
    <w:p w14:paraId="3A69594D" w14:textId="5D6E2127" w:rsidR="00A520C9" w:rsidRDefault="00A520C9" w:rsidP="00A520C9">
      <w:pPr>
        <w:pStyle w:val="Bullet1"/>
      </w:pPr>
      <w:r>
        <w:t>Projected rates are the combination of inflation, superimposed and other adjustments, expressed as a weighted average, from AFSR models. We take the weighted average across payment support types, with weights set using the first year of the 20</w:t>
      </w:r>
      <w:r w:rsidR="00243F4C">
        <w:t>20-</w:t>
      </w:r>
      <w:r>
        <w:t xml:space="preserve">21 AFSR. </w:t>
      </w:r>
    </w:p>
    <w:p w14:paraId="7693A5B4" w14:textId="1108ADAE" w:rsidR="00A520C9" w:rsidRPr="005060EF" w:rsidRDefault="00A520C9" w:rsidP="00DE6F11">
      <w:r w:rsidRPr="005060EF">
        <w:t xml:space="preserve">Measured on this basis, historical cost </w:t>
      </w:r>
      <w:r w:rsidRPr="00F364FB">
        <w:t xml:space="preserve">escalation for people remaining in the </w:t>
      </w:r>
      <w:r w:rsidR="007A5D84">
        <w:t>Scheme</w:t>
      </w:r>
      <w:r w:rsidRPr="00F364FB">
        <w:t xml:space="preserve"> has been 1</w:t>
      </w:r>
      <w:r w:rsidR="00F364FB" w:rsidRPr="00F364FB">
        <w:t>6</w:t>
      </w:r>
      <w:r w:rsidRPr="00F364FB">
        <w:t>%, 2</w:t>
      </w:r>
      <w:r w:rsidR="00F364FB" w:rsidRPr="00F364FB">
        <w:t>8</w:t>
      </w:r>
      <w:r w:rsidRPr="00F364FB">
        <w:t>% and 15% for the past three years respectively.</w:t>
      </w:r>
      <w:r w:rsidR="00DE6F11" w:rsidRPr="00F364FB">
        <w:t xml:space="preserve"> </w:t>
      </w:r>
      <w:r w:rsidRPr="00F364FB">
        <w:t>This compares</w:t>
      </w:r>
      <w:r w:rsidRPr="005060EF">
        <w:t xml:space="preserve"> </w:t>
      </w:r>
      <w:r w:rsidR="00713E2E">
        <w:t>against</w:t>
      </w:r>
      <w:r w:rsidR="00713E2E" w:rsidRPr="005060EF">
        <w:t xml:space="preserve"> </w:t>
      </w:r>
      <w:r w:rsidRPr="005060EF">
        <w:t>a</w:t>
      </w:r>
      <w:r>
        <w:t>n assumption of</w:t>
      </w:r>
      <w:r w:rsidRPr="005060EF">
        <w:t xml:space="preserve"> </w:t>
      </w:r>
      <w:r>
        <w:t xml:space="preserve">about 12% falling to </w:t>
      </w:r>
      <w:r w:rsidRPr="005060EF">
        <w:t>4% used in the 201</w:t>
      </w:r>
      <w:r w:rsidR="00D320CF">
        <w:t>8-19</w:t>
      </w:r>
      <w:r w:rsidRPr="005060EF">
        <w:t xml:space="preserve"> AFSR</w:t>
      </w:r>
      <w:r>
        <w:t>, a range of 4-6% for the 20</w:t>
      </w:r>
      <w:r w:rsidR="00D320CF">
        <w:t>19-20</w:t>
      </w:r>
      <w:r>
        <w:t xml:space="preserve"> AFSR</w:t>
      </w:r>
      <w:r w:rsidRPr="005060EF">
        <w:t xml:space="preserve"> and a 9.7% decreasing to 3.2% assumption for the 202</w:t>
      </w:r>
      <w:r w:rsidR="00D320CF">
        <w:t>0-21</w:t>
      </w:r>
      <w:r w:rsidRPr="005060EF">
        <w:t xml:space="preserve"> AFSR.</w:t>
      </w:r>
      <w:r w:rsidR="00DE6F11">
        <w:t xml:space="preserve"> We estimate that the volume and mix of services delivered grew by more than 10% in each of the past two years or approximately 30% in total. While price increases were close to broader levels of economic inflation in 2021, it follows two years of much larger increases. Based on the most recent NDIS Price Guide, </w:t>
      </w:r>
      <w:r w:rsidR="00713E2E">
        <w:t xml:space="preserve">the cost </w:t>
      </w:r>
      <w:r w:rsidR="00DE6F11">
        <w:t xml:space="preserve">for many daily activity services </w:t>
      </w:r>
      <w:r w:rsidR="00713E2E">
        <w:t xml:space="preserve">is </w:t>
      </w:r>
      <w:r w:rsidR="00DE6F11">
        <w:t>again likely to increase by more than inflation.</w:t>
      </w:r>
    </w:p>
    <w:p w14:paraId="792BAB1F" w14:textId="1AADBB87" w:rsidR="003B6D26" w:rsidRDefault="00A520C9" w:rsidP="00713E2E">
      <w:pPr>
        <w:pStyle w:val="Caption"/>
        <w:spacing w:after="0"/>
      </w:pPr>
      <w:bookmarkStart w:id="106" w:name="_Ref87020661"/>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9</w:t>
      </w:r>
      <w:r w:rsidR="009366CE">
        <w:fldChar w:fldCharType="end"/>
      </w:r>
      <w:bookmarkEnd w:id="106"/>
      <w:r>
        <w:t xml:space="preserve"> – </w:t>
      </w:r>
      <w:r w:rsidRPr="002736B0">
        <w:t xml:space="preserve">Actual </w:t>
      </w:r>
      <w:r>
        <w:t xml:space="preserve">and projected annual </w:t>
      </w:r>
      <w:r w:rsidRPr="002736B0">
        <w:t>cost escalation</w:t>
      </w:r>
    </w:p>
    <w:p w14:paraId="15FFE457" w14:textId="7ACC81F9" w:rsidR="0004762D" w:rsidRPr="0004762D" w:rsidRDefault="0004762D" w:rsidP="0004762D">
      <w:r w:rsidRPr="0004762D">
        <w:rPr>
          <w:noProof/>
        </w:rPr>
        <w:drawing>
          <wp:inline distT="0" distB="0" distL="0" distR="0" wp14:anchorId="5C2D25E1" wp14:editId="216FF416">
            <wp:extent cx="5654675" cy="3284220"/>
            <wp:effectExtent l="0" t="0" r="3175" b="0"/>
            <wp:docPr id="20" name="Picture 20" descr="2017-2018.&#10;Price increases. Change on previous year. 3.60%.&#10;Volume &amp; types of services. -3.40%.&#10;2019 AFSR. -.&#10;2020 AFSR. -.&#10;2021 AFSR. -.&#10;&#10;&#10;2018-2019.&#10;Price increases. 5.90%.&#10;Volume &amp; types of services. 10.40%.&#10;2019 AFSR. -.&#10;2020 AFSR. -.&#10;2021 AFSR. -.&#10;&#10;&#10;&#10;2019-2020.&#10;Price increases. 10.30%.&#10;Volume &amp; types of services. 17.80%.&#10;2019 AFSR. 12.40%.&#10;2020 AFSR. -.&#10;2021 AFSR. -.&#10;&#10;&#10;2020-2021.&#10;Price increases. 2.50%.&#10;Volume &amp; types of services. 13.20%.&#10;2019 AFSR. 3.00%.&#10;2020 AFSR. 4.60%.&#10;2021 AFSR. -.&#10;&#10;&#10;2021-2022.&#10;Price increases. -.&#10;Volume &amp; types of services. -.&#10;2019 AFSR. 4.00%.&#10;2020 AFSR. 6.00%.&#10;2021 AFSR. 9.00%.&#10;&#10;&#10;2022-2023.&#10;Price increases. -.&#10;Volume &amp; types of services. -.&#10;2019 AFSR. 3.60%.&#10;2020 AFSR. 4.10%.&#10;2021 AFSR. 7.90%.&#10;&#10;&#10;2023-2024.&#10;Price increases. -.&#10;Volume &amp; types of services. -.&#10;2019 AFSR. 3.50%.&#10;2020 AFSR. 4.50%.&#10;2021 AFSR. 5.80%.&#10;&#10;&#10;2024-2025.&#10;Price increases. -.&#10;Volume &amp; types of services. -.&#10;2019 AFSR. 3.30%.&#10;2020 AFSR. 4.90%.&#10;2021 AFSR. 4.00%.&#10;&#10;&#10;2025-2026.&#10;Price increases. -.&#10;Volume &amp; types of services. -.&#10;2019 AFSR. 4.00%.&#10;2020 AFSR. 4.70%.&#10;2021 AFSR.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2017-2018.&#10;Price increases. Change on previous year. 3.60%.&#10;Volume &amp; types of services. -3.40%.&#10;2019 AFSR. -.&#10;2020 AFSR. -.&#10;2021 AFSR. -.&#10;&#10;&#10;2018-2019.&#10;Price increases. 5.90%.&#10;Volume &amp; types of services. 10.40%.&#10;2019 AFSR. -.&#10;2020 AFSR. -.&#10;2021 AFSR. -.&#10;&#10;&#10;&#10;2019-2020.&#10;Price increases. 10.30%.&#10;Volume &amp; types of services. 17.80%.&#10;2019 AFSR. 12.40%.&#10;2020 AFSR. -.&#10;2021 AFSR. -.&#10;&#10;&#10;2020-2021.&#10;Price increases. 2.50%.&#10;Volume &amp; types of services. 13.20%.&#10;2019 AFSR. 3.00%.&#10;2020 AFSR. 4.60%.&#10;2021 AFSR. -.&#10;&#10;&#10;2021-2022.&#10;Price increases. -.&#10;Volume &amp; types of services. -.&#10;2019 AFSR. 4.00%.&#10;2020 AFSR. 6.00%.&#10;2021 AFSR. 9.00%.&#10;&#10;&#10;2022-2023.&#10;Price increases. -.&#10;Volume &amp; types of services. -.&#10;2019 AFSR. 3.60%.&#10;2020 AFSR. 4.10%.&#10;2021 AFSR. 7.90%.&#10;&#10;&#10;2023-2024.&#10;Price increases. -.&#10;Volume &amp; types of services. -.&#10;2019 AFSR. 3.50%.&#10;2020 AFSR. 4.50%.&#10;2021 AFSR. 5.80%.&#10;&#10;&#10;2024-2025.&#10;Price increases. -.&#10;Volume &amp; types of services. -.&#10;2019 AFSR. 3.30%.&#10;2020 AFSR. 4.90%.&#10;2021 AFSR. 4.00%.&#10;&#10;&#10;2025-2026.&#10;Price increases. -.&#10;Volume &amp; types of services. -.&#10;2019 AFSR. 4.00%.&#10;2020 AFSR. 4.70%.&#10;2021 AFSR. 3.20%."/>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654675" cy="3284220"/>
                    </a:xfrm>
                    <a:prstGeom prst="rect">
                      <a:avLst/>
                    </a:prstGeom>
                    <a:noFill/>
                    <a:ln>
                      <a:noFill/>
                    </a:ln>
                  </pic:spPr>
                </pic:pic>
              </a:graphicData>
            </a:graphic>
          </wp:inline>
        </w:drawing>
      </w:r>
    </w:p>
    <w:p w14:paraId="0BE52CF2" w14:textId="347D4343" w:rsidR="001F01A5" w:rsidRDefault="001F01A5" w:rsidP="00713E2E">
      <w:pPr>
        <w:pStyle w:val="Tablenotesorsource"/>
        <w:spacing w:before="0"/>
      </w:pPr>
      <w:r>
        <w:t>Note: Escalation</w:t>
      </w:r>
      <w:r w:rsidR="00713E2E">
        <w:t xml:space="preserve"> is</w:t>
      </w:r>
      <w:r>
        <w:t xml:space="preserve"> </w:t>
      </w:r>
      <w:r w:rsidR="00713E2E">
        <w:t xml:space="preserve">the </w:t>
      </w:r>
      <w:r>
        <w:t xml:space="preserve">percentage </w:t>
      </w:r>
      <w:r w:rsidR="00713E2E">
        <w:t xml:space="preserve">change </w:t>
      </w:r>
      <w:r>
        <w:t>in payments for people in</w:t>
      </w:r>
      <w:r w:rsidR="00713E2E">
        <w:t xml:space="preserve"> the</w:t>
      </w:r>
      <w:r>
        <w:t xml:space="preserve"> </w:t>
      </w:r>
      <w:r w:rsidR="007A5D84">
        <w:t>Scheme</w:t>
      </w:r>
      <w:r>
        <w:t xml:space="preserve"> </w:t>
      </w:r>
      <w:r w:rsidR="00713E2E">
        <w:t xml:space="preserve">for </w:t>
      </w:r>
      <w:r>
        <w:t xml:space="preserve">both years and </w:t>
      </w:r>
      <w:r w:rsidR="00713E2E">
        <w:t xml:space="preserve">who </w:t>
      </w:r>
      <w:r>
        <w:t>enter</w:t>
      </w:r>
      <w:r w:rsidR="00713E2E">
        <w:t>ed</w:t>
      </w:r>
      <w:r>
        <w:t xml:space="preserve"> </w:t>
      </w:r>
      <w:r w:rsidR="00713E2E">
        <w:t xml:space="preserve">at least </w:t>
      </w:r>
      <w:r>
        <w:t xml:space="preserve">six months </w:t>
      </w:r>
      <w:r w:rsidR="00713E2E">
        <w:t>prior</w:t>
      </w:r>
      <w:r>
        <w:t>. So</w:t>
      </w:r>
      <w:r w:rsidR="00713E2E">
        <w:t>,</w:t>
      </w:r>
      <w:r>
        <w:t xml:space="preserve"> the 2021 bar </w:t>
      </w:r>
      <w:r w:rsidR="00713E2E">
        <w:t xml:space="preserve">is people joining </w:t>
      </w:r>
      <w:r>
        <w:t xml:space="preserve">before December 2018 and in the </w:t>
      </w:r>
      <w:r w:rsidR="00232FFF">
        <w:t>Scheme</w:t>
      </w:r>
      <w:r>
        <w:t xml:space="preserve"> for all of 2019</w:t>
      </w:r>
      <w:r w:rsidR="00713E2E">
        <w:t>-</w:t>
      </w:r>
      <w:r>
        <w:t>20 and 2020</w:t>
      </w:r>
      <w:r w:rsidR="00713E2E">
        <w:t>-</w:t>
      </w:r>
      <w:r>
        <w:t xml:space="preserve">21. </w:t>
      </w:r>
    </w:p>
    <w:p w14:paraId="59E153D4" w14:textId="60CB90B3" w:rsidR="00A520C9" w:rsidRDefault="00A520C9" w:rsidP="00A520C9">
      <w:r>
        <w:t>The historical increases mean that the starting point for each successive AFSR is higher. It also means that assumptions made in the 201</w:t>
      </w:r>
      <w:r w:rsidR="00D320CF">
        <w:t>8-1</w:t>
      </w:r>
      <w:r>
        <w:t>9 and 20</w:t>
      </w:r>
      <w:r w:rsidR="00D320CF">
        <w:t>19-</w:t>
      </w:r>
      <w:r>
        <w:t>20 AFSRs assumed far greater cost control than was observed. Some of this underestimation has been reflected in the 20</w:t>
      </w:r>
      <w:r w:rsidR="00243F4C">
        <w:t>20-</w:t>
      </w:r>
      <w:r>
        <w:t>21 AFSR, but rates are still less than half those seen previously.</w:t>
      </w:r>
    </w:p>
    <w:bookmarkStart w:id="107" w:name="_Ref87022588"/>
    <w:p w14:paraId="38562651" w14:textId="43560A44" w:rsidR="00DE154C" w:rsidRDefault="00485F4E" w:rsidP="00DE154C">
      <w:r>
        <w:fldChar w:fldCharType="begin"/>
      </w:r>
      <w:r>
        <w:instrText xml:space="preserve"> REF _Ref87536362 \h </w:instrText>
      </w:r>
      <w:r>
        <w:fldChar w:fldCharType="separate"/>
      </w:r>
      <w:r w:rsidR="00E6217F">
        <w:t xml:space="preserve">Figure </w:t>
      </w:r>
      <w:r w:rsidR="00E6217F">
        <w:rPr>
          <w:noProof/>
        </w:rPr>
        <w:t>3</w:t>
      </w:r>
      <w:r w:rsidR="00E6217F">
        <w:t>.</w:t>
      </w:r>
      <w:r w:rsidR="00E6217F">
        <w:rPr>
          <w:noProof/>
        </w:rPr>
        <w:t>10</w:t>
      </w:r>
      <w:r>
        <w:fldChar w:fldCharType="end"/>
      </w:r>
      <w:r>
        <w:t xml:space="preserve"> </w:t>
      </w:r>
      <w:r w:rsidR="00DE154C">
        <w:t>shows the split between price and other factors in the historical cost escalation. Price is the smaller component, representing 2.5 percentage points out of a total 1</w:t>
      </w:r>
      <w:r>
        <w:t>6</w:t>
      </w:r>
      <w:r w:rsidR="00DE154C">
        <w:t xml:space="preserve">. Splitting the remainder between new supports and support volumes is difficult on the payment data; many different payment codes are used for similar supports. </w:t>
      </w:r>
      <w:r w:rsidR="00713E2E">
        <w:t xml:space="preserve">In </w:t>
      </w:r>
      <w:r w:rsidR="00713E2E">
        <w:fldChar w:fldCharType="begin"/>
      </w:r>
      <w:r w:rsidR="00713E2E">
        <w:instrText xml:space="preserve"> REF _Ref87536362 \h </w:instrText>
      </w:r>
      <w:r w:rsidR="00713E2E">
        <w:fldChar w:fldCharType="separate"/>
      </w:r>
      <w:r w:rsidR="00E6217F">
        <w:t xml:space="preserve">Figure </w:t>
      </w:r>
      <w:r w:rsidR="00E6217F">
        <w:rPr>
          <w:noProof/>
        </w:rPr>
        <w:t>3</w:t>
      </w:r>
      <w:r w:rsidR="00E6217F">
        <w:t>.</w:t>
      </w:r>
      <w:r w:rsidR="00E6217F">
        <w:rPr>
          <w:noProof/>
        </w:rPr>
        <w:t>10</w:t>
      </w:r>
      <w:r w:rsidR="00713E2E">
        <w:fldChar w:fldCharType="end"/>
      </w:r>
      <w:r w:rsidR="00713E2E">
        <w:t xml:space="preserve"> w</w:t>
      </w:r>
      <w:r w:rsidR="00DE154C">
        <w:t>e have (crudely) estimated that, of the remainder:</w:t>
      </w:r>
    </w:p>
    <w:p w14:paraId="5C08D335" w14:textId="717466DF" w:rsidR="00DE154C" w:rsidRDefault="00DE154C" w:rsidP="00DE154C">
      <w:pPr>
        <w:pStyle w:val="Bullet1"/>
      </w:pPr>
      <w:r>
        <w:t xml:space="preserve">5 percentage points relate to payment categories (the 15 groups in </w:t>
      </w:r>
      <w:r>
        <w:fldChar w:fldCharType="begin"/>
      </w:r>
      <w:r>
        <w:instrText xml:space="preserve"> REF _Ref87022450 \h </w:instrText>
      </w:r>
      <w:r>
        <w:fldChar w:fldCharType="separate"/>
      </w:r>
      <w:r w:rsidR="00E6217F">
        <w:t xml:space="preserve">Table </w:t>
      </w:r>
      <w:r w:rsidR="00E6217F">
        <w:rPr>
          <w:noProof/>
        </w:rPr>
        <w:t>3</w:t>
      </w:r>
      <w:r w:rsidR="00E6217F">
        <w:t>.</w:t>
      </w:r>
      <w:r w:rsidR="00E6217F">
        <w:rPr>
          <w:noProof/>
        </w:rPr>
        <w:t>1</w:t>
      </w:r>
      <w:r>
        <w:fldChar w:fldCharType="end"/>
      </w:r>
      <w:r>
        <w:t>) that people received in 2020-21 but not 2019-20; these can be reasonably assumed to be new types of supports.</w:t>
      </w:r>
    </w:p>
    <w:p w14:paraId="599B73AA" w14:textId="23E4E722" w:rsidR="00DE154C" w:rsidRDefault="00DE154C" w:rsidP="00DE154C">
      <w:pPr>
        <w:pStyle w:val="Bullet1"/>
      </w:pPr>
      <w:r>
        <w:t xml:space="preserve">The remaining </w:t>
      </w:r>
      <w:r w:rsidR="0022029D">
        <w:t>8</w:t>
      </w:r>
      <w:r>
        <w:t xml:space="preserve"> percentage points </w:t>
      </w:r>
      <w:r w:rsidR="00574A14">
        <w:t xml:space="preserve">are </w:t>
      </w:r>
      <w:r>
        <w:t xml:space="preserve">split between new types of supports within a category plus volume increases. Volume appears to be a reasonable fraction of this, so we have adopted a </w:t>
      </w:r>
      <w:r w:rsidR="0022029D">
        <w:t>4-4</w:t>
      </w:r>
      <w:r>
        <w:t xml:space="preserve"> percentage point split.</w:t>
      </w:r>
    </w:p>
    <w:p w14:paraId="28A6E29C" w14:textId="1822DB30" w:rsidR="00D753C4" w:rsidRDefault="00D753C4" w:rsidP="00713E2E">
      <w:pPr>
        <w:pStyle w:val="Caption"/>
        <w:spacing w:after="0"/>
      </w:pPr>
      <w:bookmarkStart w:id="108" w:name="_Ref87536362"/>
      <w:r>
        <w:t xml:space="preserve">Figure </w:t>
      </w:r>
      <w:r w:rsidR="009366CE">
        <w:fldChar w:fldCharType="begin"/>
      </w:r>
      <w:r w:rsidR="009366CE">
        <w:instrText xml:space="preserve"> STYLEREF 1 \s </w:instrText>
      </w:r>
      <w:r w:rsidR="009366CE">
        <w:fldChar w:fldCharType="separate"/>
      </w:r>
      <w:r w:rsidR="00E6217F">
        <w:rPr>
          <w:noProof/>
        </w:rPr>
        <w:t>3</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10</w:t>
      </w:r>
      <w:r w:rsidR="009366CE">
        <w:fldChar w:fldCharType="end"/>
      </w:r>
      <w:bookmarkEnd w:id="107"/>
      <w:bookmarkEnd w:id="108"/>
      <w:r>
        <w:t xml:space="preserve"> </w:t>
      </w:r>
      <w:r w:rsidR="00713E2E">
        <w:t xml:space="preserve">– </w:t>
      </w:r>
      <w:r>
        <w:t>Estimated split of 2020-21</w:t>
      </w:r>
      <w:r w:rsidR="00582017">
        <w:t xml:space="preserve"> cost escalation </w:t>
      </w:r>
      <w:r w:rsidR="00690C13">
        <w:t xml:space="preserve">of 16% </w:t>
      </w:r>
      <w:r w:rsidR="00582017">
        <w:t>into price, new supports and volumes</w:t>
      </w:r>
    </w:p>
    <w:p w14:paraId="48C5D80F" w14:textId="39903B1B" w:rsidR="00C73348" w:rsidRDefault="001F01A5" w:rsidP="00713E2E">
      <w:pPr>
        <w:spacing w:before="0" w:after="0"/>
      </w:pPr>
      <w:r w:rsidRPr="001F01A5">
        <w:t xml:space="preserve"> </w:t>
      </w:r>
      <w:r w:rsidR="00CD066D" w:rsidRPr="00CD066D">
        <w:rPr>
          <w:noProof/>
        </w:rPr>
        <w:drawing>
          <wp:inline distT="0" distB="0" distL="0" distR="0" wp14:anchorId="60CA6B85" wp14:editId="1546081E">
            <wp:extent cx="2836718" cy="2228850"/>
            <wp:effectExtent l="0" t="0" r="1905" b="0"/>
            <wp:docPr id="95" name="Picture 95" descr="Price. Cost escalation. 2.5%.&#10;New support categories. Cost escalation. 4.6%.&#10;Other new supports (est.). Cost escalation. 4.3%.&#10;Increased volumes (est.). Cost escalatio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rice. Cost escalation. 2.5%.&#10;New support categories. Cost escalation. 4.6%.&#10;Other new supports (est.). Cost escalation. 4.3%.&#10;Increased volumes (est.). Cost escalation. 4.3%."/>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l="17887" t="15050" r="20319" b="4292"/>
                    <a:stretch/>
                  </pic:blipFill>
                  <pic:spPr bwMode="auto">
                    <a:xfrm>
                      <a:off x="0" y="0"/>
                      <a:ext cx="2855873" cy="2243900"/>
                    </a:xfrm>
                    <a:prstGeom prst="rect">
                      <a:avLst/>
                    </a:prstGeom>
                    <a:noFill/>
                    <a:ln>
                      <a:noFill/>
                    </a:ln>
                    <a:extLst>
                      <a:ext uri="{53640926-AAD7-44D8-BBD7-CCE9431645EC}">
                        <a14:shadowObscured xmlns:a14="http://schemas.microsoft.com/office/drawing/2010/main"/>
                      </a:ext>
                    </a:extLst>
                  </pic:spPr>
                </pic:pic>
              </a:graphicData>
            </a:graphic>
          </wp:inline>
        </w:drawing>
      </w:r>
    </w:p>
    <w:p w14:paraId="6116CECD" w14:textId="136F118D" w:rsidR="00690C13" w:rsidRDefault="00690C13" w:rsidP="00690C13">
      <w:pPr>
        <w:pStyle w:val="Tablenotesorsource"/>
      </w:pPr>
      <w:r>
        <w:t>Note: ‘New support categories’ refers to participants receiving support in one of the 15 main payment categories that they previously did not. ‘Other new supports’ relate to claim codes that a</w:t>
      </w:r>
      <w:r w:rsidR="00C34A73">
        <w:t>re</w:t>
      </w:r>
      <w:r>
        <w:t xml:space="preserve"> new for a participant, but within an existing category.</w:t>
      </w:r>
    </w:p>
    <w:p w14:paraId="23109EA9" w14:textId="7C768453" w:rsidR="00AB7D43" w:rsidRDefault="00A520C9" w:rsidP="00A520C9">
      <w:r>
        <w:t xml:space="preserve">There will be reasons to expect falling rates over time. Compositional factors appear to have slowed (e.g. fewer people moving into SIL) and increases associated with </w:t>
      </w:r>
      <w:r w:rsidR="00232FFF">
        <w:t>Scheme</w:t>
      </w:r>
      <w:r>
        <w:t xml:space="preserve"> duration tend to plateau after the first few years. But it is important to recognise that the current assumptions </w:t>
      </w:r>
      <w:r w:rsidR="00DB1801">
        <w:t xml:space="preserve">imply </w:t>
      </w:r>
      <w:r>
        <w:t>tighter control of payment escalation.</w:t>
      </w:r>
    </w:p>
    <w:p w14:paraId="72A678A0" w14:textId="2D68CE3D" w:rsidR="00A520C9" w:rsidRDefault="00A520C9" w:rsidP="00A520C9">
      <w:r>
        <w:t xml:space="preserve">While there is little evidence of </w:t>
      </w:r>
      <w:r w:rsidRPr="00DB1801">
        <w:t xml:space="preserve">a reduction of cost escalation, we do note there is evidence that growth in committed supports has started to flatten in the second half of 2020-21 – see </w:t>
      </w:r>
      <w:r w:rsidR="00DB1801" w:rsidRPr="00DB1801">
        <w:fldChar w:fldCharType="begin"/>
      </w:r>
      <w:r w:rsidR="00DB1801" w:rsidRPr="00DB1801">
        <w:instrText xml:space="preserve"> REF _Ref87536922 \h </w:instrText>
      </w:r>
      <w:r w:rsidR="00DB1801">
        <w:instrText xml:space="preserve"> \* MERGEFORMAT </w:instrText>
      </w:r>
      <w:r w:rsidR="00DB1801" w:rsidRPr="00DB1801">
        <w:fldChar w:fldCharType="separate"/>
      </w:r>
      <w:r w:rsidR="00E6217F" w:rsidRPr="002057E9">
        <w:t xml:space="preserve">Figure </w:t>
      </w:r>
      <w:r w:rsidR="00E6217F">
        <w:rPr>
          <w:noProof/>
        </w:rPr>
        <w:t>3</w:t>
      </w:r>
      <w:r w:rsidR="00E6217F" w:rsidRPr="002057E9">
        <w:rPr>
          <w:noProof/>
        </w:rPr>
        <w:t>.</w:t>
      </w:r>
      <w:r w:rsidR="00E6217F">
        <w:rPr>
          <w:noProof/>
        </w:rPr>
        <w:t>11</w:t>
      </w:r>
      <w:r w:rsidR="00DB1801" w:rsidRPr="00DB1801">
        <w:fldChar w:fldCharType="end"/>
      </w:r>
      <w:r w:rsidRPr="00DB1801">
        <w:t>. This means much of the increase</w:t>
      </w:r>
      <w:r>
        <w:t xml:space="preserve"> in payments </w:t>
      </w:r>
      <w:r w:rsidR="00132A33">
        <w:t xml:space="preserve">is </w:t>
      </w:r>
      <w:r>
        <w:t>due to participants using a higher proportion of existing packages. Although this does not make a large difference to payments over the short-term, over the longer</w:t>
      </w:r>
      <w:r w:rsidR="0056706B">
        <w:t xml:space="preserve"> </w:t>
      </w:r>
      <w:r>
        <w:t>term if this persists it would limit the scope for growth in future payments. Limiting growth in committed supports is an important first step to controlling growth over the long-term. Further, SIL participants tend to have much higher utilisation than non-SIL participants which we understand is one reason why escalation assumptions are lower for SIL participants.</w:t>
      </w:r>
    </w:p>
    <w:p w14:paraId="776E848A" w14:textId="7D8E33EE" w:rsidR="00A520C9" w:rsidRDefault="00AB731F" w:rsidP="00D167F3">
      <w:r>
        <w:t xml:space="preserve">We understand that </w:t>
      </w:r>
      <w:r w:rsidR="00D167F3">
        <w:t>t</w:t>
      </w:r>
      <w:r w:rsidR="00A520C9">
        <w:t xml:space="preserve">he Scheme Actuary has not explicitly factored into the projections any future operational initiatives or strategies that could reduce the rate of growth in costs. </w:t>
      </w:r>
    </w:p>
    <w:p w14:paraId="65DF8A0E" w14:textId="7CAAA48B" w:rsidR="00A520C9" w:rsidRDefault="00DB1801" w:rsidP="00A520C9">
      <w:pPr>
        <w:pStyle w:val="Caption"/>
      </w:pPr>
      <w:bookmarkStart w:id="109" w:name="_Ref87536922"/>
      <w:bookmarkStart w:id="110" w:name="_Ref84520849"/>
      <w:r w:rsidRPr="002057E9">
        <w:t xml:space="preserve">Figure </w:t>
      </w:r>
      <w:r w:rsidRPr="002057E9">
        <w:fldChar w:fldCharType="begin"/>
      </w:r>
      <w:r w:rsidRPr="002057E9">
        <w:instrText xml:space="preserve"> STYLEREF 1 \s </w:instrText>
      </w:r>
      <w:r w:rsidRPr="002057E9">
        <w:fldChar w:fldCharType="separate"/>
      </w:r>
      <w:r w:rsidR="00E6217F">
        <w:rPr>
          <w:noProof/>
        </w:rPr>
        <w:t>3</w:t>
      </w:r>
      <w:r w:rsidRPr="002057E9">
        <w:fldChar w:fldCharType="end"/>
      </w:r>
      <w:r w:rsidRPr="002057E9">
        <w:t>.</w:t>
      </w:r>
      <w:r w:rsidRPr="002057E9">
        <w:fldChar w:fldCharType="begin"/>
      </w:r>
      <w:r w:rsidRPr="002057E9">
        <w:instrText xml:space="preserve"> SEQ Figure \* ARABIC \s 1 </w:instrText>
      </w:r>
      <w:r w:rsidRPr="002057E9">
        <w:fldChar w:fldCharType="separate"/>
      </w:r>
      <w:r w:rsidR="00E6217F">
        <w:rPr>
          <w:noProof/>
        </w:rPr>
        <w:t>11</w:t>
      </w:r>
      <w:r w:rsidRPr="002057E9">
        <w:fldChar w:fldCharType="end"/>
      </w:r>
      <w:bookmarkEnd w:id="109"/>
      <w:bookmarkEnd w:id="110"/>
      <w:r w:rsidR="00A520C9" w:rsidRPr="002057E9">
        <w:t xml:space="preserve"> </w:t>
      </w:r>
      <w:r w:rsidR="00713E2E" w:rsidRPr="002057E9">
        <w:t xml:space="preserve">– </w:t>
      </w:r>
      <w:r w:rsidR="00A520C9" w:rsidRPr="002057E9">
        <w:t xml:space="preserve">For plans approved in a quarter for existing participants, average change in </w:t>
      </w:r>
      <w:r w:rsidR="00AB731F" w:rsidRPr="002057E9">
        <w:t xml:space="preserve">annualised </w:t>
      </w:r>
      <w:r w:rsidR="00A520C9" w:rsidRPr="002057E9">
        <w:t>plan allowance relative to their previous plan</w:t>
      </w:r>
    </w:p>
    <w:p w14:paraId="4BC038E4" w14:textId="4C9640C6" w:rsidR="00A520C9" w:rsidRDefault="00AB731F" w:rsidP="006C4709">
      <w:pPr>
        <w:spacing w:after="0"/>
      </w:pPr>
      <w:r w:rsidRPr="00AB731F">
        <w:t xml:space="preserve"> </w:t>
      </w:r>
      <w:r w:rsidRPr="00AB731F">
        <w:rPr>
          <w:noProof/>
        </w:rPr>
        <w:drawing>
          <wp:inline distT="0" distB="0" distL="0" distR="0" wp14:anchorId="142910F9" wp14:editId="4013AC51">
            <wp:extent cx="4359349" cy="3016128"/>
            <wp:effectExtent l="0" t="0" r="3175" b="0"/>
            <wp:docPr id="21" name="Picture 21" descr="July 2018. Average change in annualised plan on previous plan. 17%. &#10;August 2018. 12%.&#10;September 2018. 10%.&#10;October 2018. 10%.&#10;November 2018. 8%.&#10;December 2018. 14%.&#10;January 2019. 18%.&#10;February 2019. 21%.&#10;March 2019. 19%.&#10;April 2019. 22%.&#10;May 2019. 24%.&#10;June 2019. 22%.&#10;July 2019. 18%.&#10;August 2019. 20%.&#10;September 2019. 19%.&#10;October 2019. 21%.&#10;November 2019. 22%.&#10;December 2019. 24%.&#10;January 2020. 24%.&#10;February 2020. 25%.&#10;March 2020. 24%.&#10;April 2020. 23%.&#10;May 2020. 20%.&#10;June 2020. 13%.&#10;July 2020. 10%.&#10;August 2020. 9%.&#10;September 2020. 6%.&#10;October 2020. 2%.&#10;November 2020. 1%.&#10;December 2020. 1%.&#10;January 2021. -1%.&#10;February 2021. -1%.&#10;March 2021. -3%.&#10;April 2021. -2%.&#10;May 2021. -3%.&#10;June 202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July 2018. Average change in annualised plan on previous plan. 17%. &#10;August 2018. 12%.&#10;September 2018. 10%.&#10;October 2018. 10%.&#10;November 2018. 8%.&#10;December 2018. 14%.&#10;January 2019. 18%.&#10;February 2019. 21%.&#10;March 2019. 19%.&#10;April 2019. 22%.&#10;May 2019. 24%.&#10;June 2019. 22%.&#10;July 2019. 18%.&#10;August 2019. 20%.&#10;September 2019. 19%.&#10;October 2019. 21%.&#10;November 2019. 22%.&#10;December 2019. 24%.&#10;January 2020. 24%.&#10;February 2020. 25%.&#10;March 2020. 24%.&#10;April 2020. 23%.&#10;May 2020. 20%.&#10;June 2020. 13%.&#10;July 2020. 10%.&#10;August 2020. 9%.&#10;September 2020. 6%.&#10;October 2020. 2%.&#10;November 2020. 1%.&#10;December 2020. 1%.&#10;January 2021. -1%.&#10;February 2021. -1%.&#10;March 2021. -3%.&#10;April 2021. -2%.&#10;May 2021. -3%.&#10;June 2021. -4%."/>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4363131" cy="3018744"/>
                    </a:xfrm>
                    <a:prstGeom prst="rect">
                      <a:avLst/>
                    </a:prstGeom>
                    <a:noFill/>
                    <a:ln>
                      <a:noFill/>
                    </a:ln>
                  </pic:spPr>
                </pic:pic>
              </a:graphicData>
            </a:graphic>
          </wp:inline>
        </w:drawing>
      </w:r>
    </w:p>
    <w:p w14:paraId="13B2EC46" w14:textId="14BF429C" w:rsidR="0056706B" w:rsidRPr="0056706B" w:rsidRDefault="0056706B" w:rsidP="0056706B">
      <w:pPr>
        <w:pStyle w:val="Tablenotesorsource"/>
      </w:pPr>
      <w:r w:rsidRPr="0056706B">
        <w:t xml:space="preserve">Note: Figures are similar to, but don’t exactly match, </w:t>
      </w:r>
      <w:r w:rsidR="00DF0355">
        <w:t xml:space="preserve">equivalent NDIS estimate such as </w:t>
      </w:r>
      <w:r w:rsidRPr="0056706B">
        <w:t xml:space="preserve">those provided at Figure 70 in the NDIS September 2021 quarterly report due to slight differences in rules applied to compare successive plans Specifically, NDIS business rules exclude plan auto-extensions and additional checks to exclude revoked </w:t>
      </w:r>
      <w:r>
        <w:t xml:space="preserve">or pending </w:t>
      </w:r>
      <w:r w:rsidRPr="0056706B">
        <w:t>plans.</w:t>
      </w:r>
    </w:p>
    <w:p w14:paraId="1FC8A98C" w14:textId="4E8F6E3D" w:rsidR="00582017" w:rsidRDefault="00582017" w:rsidP="00A520C9">
      <w:r>
        <w:t xml:space="preserve">Further discussion of the trends in committed supports, including splits of the </w:t>
      </w:r>
      <w:r w:rsidRPr="002057E9">
        <w:t>above figure</w:t>
      </w:r>
      <w:r>
        <w:t xml:space="preserve"> into components, is in section </w:t>
      </w:r>
      <w:r w:rsidR="002057E9">
        <w:rPr>
          <w:highlight w:val="yellow"/>
        </w:rPr>
        <w:fldChar w:fldCharType="begin"/>
      </w:r>
      <w:r w:rsidR="002057E9">
        <w:instrText xml:space="preserve"> REF _Ref87624847 \n \h </w:instrText>
      </w:r>
      <w:r w:rsidR="002057E9">
        <w:rPr>
          <w:highlight w:val="yellow"/>
        </w:rPr>
      </w:r>
      <w:r w:rsidR="002057E9">
        <w:rPr>
          <w:highlight w:val="yellow"/>
        </w:rPr>
        <w:fldChar w:fldCharType="separate"/>
      </w:r>
      <w:r w:rsidR="00E6217F">
        <w:t>7.4</w:t>
      </w:r>
      <w:r w:rsidR="002057E9">
        <w:rPr>
          <w:highlight w:val="yellow"/>
        </w:rPr>
        <w:fldChar w:fldCharType="end"/>
      </w:r>
    </w:p>
    <w:p w14:paraId="0B72DB0B" w14:textId="77777777" w:rsidR="00DB1801" w:rsidRDefault="00DB1801">
      <w:pPr>
        <w:spacing w:before="0" w:after="160" w:line="259" w:lineRule="auto"/>
        <w:rPr>
          <w:rFonts w:asciiTheme="majorHAnsi" w:eastAsiaTheme="majorEastAsia" w:hAnsiTheme="majorHAnsi" w:cstheme="majorBidi"/>
          <w:color w:val="006EC8" w:themeColor="accent1"/>
          <w:sz w:val="28"/>
          <w:szCs w:val="28"/>
        </w:rPr>
      </w:pPr>
      <w:bookmarkStart w:id="111" w:name="_Toc83828720"/>
      <w:bookmarkStart w:id="112" w:name="_Toc83828749"/>
      <w:bookmarkStart w:id="113" w:name="_Toc83997765"/>
      <w:bookmarkStart w:id="114" w:name="_Ref87533917"/>
      <w:r>
        <w:br w:type="page"/>
      </w:r>
    </w:p>
    <w:p w14:paraId="28535BB2" w14:textId="14513BE1" w:rsidR="00A520C9" w:rsidRDefault="00A520C9" w:rsidP="00A520C9">
      <w:pPr>
        <w:pStyle w:val="Heading2"/>
      </w:pPr>
      <w:bookmarkStart w:id="115" w:name="_Ref87627808"/>
      <w:bookmarkStart w:id="116" w:name="_Toc87700468"/>
      <w:bookmarkStart w:id="117" w:name="_Toc88686120"/>
      <w:r>
        <w:t>Other structural items</w:t>
      </w:r>
      <w:bookmarkEnd w:id="111"/>
      <w:bookmarkEnd w:id="112"/>
      <w:bookmarkEnd w:id="113"/>
      <w:bookmarkEnd w:id="114"/>
      <w:bookmarkEnd w:id="115"/>
      <w:bookmarkEnd w:id="116"/>
      <w:bookmarkEnd w:id="117"/>
    </w:p>
    <w:p w14:paraId="749BFD83" w14:textId="5BC227F6" w:rsidR="002518D5" w:rsidRDefault="00DB1801" w:rsidP="002518D5">
      <w:r>
        <w:t xml:space="preserve">This section lists some </w:t>
      </w:r>
      <w:r w:rsidR="002518D5">
        <w:t xml:space="preserve">other limitations </w:t>
      </w:r>
      <w:r>
        <w:t xml:space="preserve">of </w:t>
      </w:r>
      <w:r w:rsidR="002518D5">
        <w:t xml:space="preserve">the </w:t>
      </w:r>
      <w:r>
        <w:t xml:space="preserve">current </w:t>
      </w:r>
      <w:r w:rsidR="002518D5">
        <w:t>model</w:t>
      </w:r>
      <w:r>
        <w:t>ling approach</w:t>
      </w:r>
      <w:r w:rsidR="002518D5">
        <w:t xml:space="preserve">, with further detail in </w:t>
      </w:r>
      <w:r>
        <w:fldChar w:fldCharType="begin"/>
      </w:r>
      <w:r>
        <w:instrText xml:space="preserve"> REF _Ref87533930 \r \h </w:instrText>
      </w:r>
      <w:r>
        <w:fldChar w:fldCharType="separate"/>
      </w:r>
      <w:r w:rsidR="00E6217F">
        <w:t>Appendix B</w:t>
      </w:r>
      <w:r>
        <w:fldChar w:fldCharType="end"/>
      </w:r>
      <w:r w:rsidR="002518D5">
        <w:t xml:space="preserve">. </w:t>
      </w:r>
      <w:r>
        <w:t xml:space="preserve">Although there may be scope for refining the approach, </w:t>
      </w:r>
      <w:r w:rsidR="00F301DC">
        <w:t xml:space="preserve">we take the view that </w:t>
      </w:r>
      <w:r>
        <w:t xml:space="preserve">based on materiality, available data and </w:t>
      </w:r>
      <w:r w:rsidR="00232FFF">
        <w:t>Scheme</w:t>
      </w:r>
      <w:r>
        <w:t xml:space="preserve"> experience, many of the simplifications adopted are </w:t>
      </w:r>
      <w:r w:rsidR="002518D5">
        <w:t>reasonable</w:t>
      </w:r>
      <w:r>
        <w:t>. Below w</w:t>
      </w:r>
      <w:r w:rsidR="002518D5">
        <w:t xml:space="preserve">e </w:t>
      </w:r>
      <w:r>
        <w:t xml:space="preserve">have </w:t>
      </w:r>
      <w:r w:rsidR="002518D5">
        <w:t>list</w:t>
      </w:r>
      <w:r>
        <w:t>ed</w:t>
      </w:r>
      <w:r w:rsidR="002518D5">
        <w:t xml:space="preserve"> </w:t>
      </w:r>
      <w:r>
        <w:t xml:space="preserve">some further suggestions </w:t>
      </w:r>
      <w:r w:rsidR="002518D5">
        <w:t>for completeness, and some of it is relevant for other parts of our discussion</w:t>
      </w:r>
      <w:r w:rsidR="000E0C7E">
        <w:t>:</w:t>
      </w:r>
      <w:r w:rsidR="002518D5">
        <w:t xml:space="preserve"> </w:t>
      </w:r>
    </w:p>
    <w:p w14:paraId="0EC22070" w14:textId="6A7A55BC" w:rsidR="0005603E" w:rsidRPr="0005603E" w:rsidRDefault="0005603E" w:rsidP="00A24BD3">
      <w:pPr>
        <w:pStyle w:val="Bullet1"/>
      </w:pPr>
      <w:r w:rsidRPr="00582017">
        <w:rPr>
          <w:b/>
          <w:bCs/>
        </w:rPr>
        <w:t xml:space="preserve">Superimposed inflation </w:t>
      </w:r>
      <w:r w:rsidR="002A6936" w:rsidRPr="00582017">
        <w:rPr>
          <w:b/>
          <w:bCs/>
        </w:rPr>
        <w:t xml:space="preserve">(and total cost escalation) </w:t>
      </w:r>
      <w:r w:rsidRPr="00582017">
        <w:rPr>
          <w:b/>
          <w:bCs/>
        </w:rPr>
        <w:t>assumptions do not vary by disability type, only payment type</w:t>
      </w:r>
      <w:r w:rsidR="002A6936" w:rsidRPr="00582017">
        <w:rPr>
          <w:b/>
          <w:bCs/>
        </w:rPr>
        <w:t>.</w:t>
      </w:r>
      <w:r w:rsidR="00404013">
        <w:t xml:space="preserve"> There is reasonable evidence that the </w:t>
      </w:r>
      <w:r w:rsidR="00582017">
        <w:t xml:space="preserve">disability types have seen different rates of cost escalation over the past few years. This is consistent with a reasonable portion of the escalation relating to volume and breadth of supports rather than price; the former </w:t>
      </w:r>
      <w:r w:rsidR="006A0C0C">
        <w:t xml:space="preserve">being </w:t>
      </w:r>
      <w:r w:rsidR="00582017">
        <w:t>more likely to vary by disability type.</w:t>
      </w:r>
    </w:p>
    <w:p w14:paraId="45E15F44" w14:textId="1094D719" w:rsidR="00D2697D" w:rsidRDefault="009F2C4F" w:rsidP="00D2697D">
      <w:pPr>
        <w:pStyle w:val="Bullet1"/>
      </w:pPr>
      <w:r>
        <w:rPr>
          <w:b/>
          <w:bCs/>
        </w:rPr>
        <w:t>Future a</w:t>
      </w:r>
      <w:r w:rsidR="00D2697D" w:rsidRPr="00811F85">
        <w:rPr>
          <w:b/>
          <w:bCs/>
        </w:rPr>
        <w:t>verage payment size</w:t>
      </w:r>
      <w:r>
        <w:rPr>
          <w:b/>
          <w:bCs/>
        </w:rPr>
        <w:t>s</w:t>
      </w:r>
      <w:r w:rsidR="00D2697D" w:rsidRPr="00811F85">
        <w:rPr>
          <w:b/>
          <w:bCs/>
        </w:rPr>
        <w:t xml:space="preserve"> </w:t>
      </w:r>
      <w:r>
        <w:rPr>
          <w:b/>
          <w:bCs/>
        </w:rPr>
        <w:t>for a participant are</w:t>
      </w:r>
      <w:r w:rsidR="00D2697D" w:rsidRPr="00811F85">
        <w:rPr>
          <w:b/>
          <w:bCs/>
        </w:rPr>
        <w:t xml:space="preserve"> not driven by </w:t>
      </w:r>
      <w:r>
        <w:rPr>
          <w:b/>
          <w:bCs/>
        </w:rPr>
        <w:t xml:space="preserve">their </w:t>
      </w:r>
      <w:r w:rsidR="00D2697D" w:rsidRPr="00811F85">
        <w:rPr>
          <w:b/>
          <w:bCs/>
        </w:rPr>
        <w:t>current costs and in many cases is assumed to decrease as they age</w:t>
      </w:r>
      <w:r w:rsidR="007567E0" w:rsidRPr="00811F85">
        <w:rPr>
          <w:b/>
          <w:bCs/>
        </w:rPr>
        <w:t>.</w:t>
      </w:r>
      <w:r w:rsidR="007567E0">
        <w:t xml:space="preserve"> If a cohort current</w:t>
      </w:r>
      <w:r w:rsidR="000E0C7E">
        <w:t>ly</w:t>
      </w:r>
      <w:r w:rsidR="007567E0">
        <w:t xml:space="preserve"> has lower costs at higher ages, these are applied to people as they age in the </w:t>
      </w:r>
      <w:r w:rsidR="00232FFF">
        <w:t>Scheme</w:t>
      </w:r>
      <w:r w:rsidR="007567E0">
        <w:t xml:space="preserve">. However, longitudinally we do not see much evidence of decreases with age. </w:t>
      </w:r>
    </w:p>
    <w:p w14:paraId="0AEB611C" w14:textId="4A9779ED" w:rsidR="00D2697D" w:rsidRDefault="00D2697D" w:rsidP="00D2697D">
      <w:pPr>
        <w:pStyle w:val="Bullet1"/>
      </w:pPr>
      <w:r w:rsidRPr="00811F85">
        <w:rPr>
          <w:b/>
          <w:bCs/>
        </w:rPr>
        <w:t>Partial allowance for transitions</w:t>
      </w:r>
      <w:r>
        <w:t xml:space="preserve"> </w:t>
      </w:r>
      <w:r w:rsidRPr="00811F85">
        <w:rPr>
          <w:b/>
          <w:bCs/>
        </w:rPr>
        <w:t>between disability groups</w:t>
      </w:r>
      <w:r w:rsidR="007567E0" w:rsidRPr="00811F85">
        <w:rPr>
          <w:b/>
          <w:bCs/>
        </w:rPr>
        <w:t>.</w:t>
      </w:r>
      <w:r w:rsidR="007567E0">
        <w:t xml:space="preserve"> Primary disability type can vary over time. The two largest transitions are allowed for (</w:t>
      </w:r>
      <w:r w:rsidR="006A0C0C">
        <w:t>d</w:t>
      </w:r>
      <w:r w:rsidR="007567E0">
        <w:t xml:space="preserve">elay to autism and delay to intellectual disability). </w:t>
      </w:r>
      <w:r w:rsidR="00636FA6">
        <w:t>However, other</w:t>
      </w:r>
      <w:r w:rsidR="007567E0">
        <w:t xml:space="preserve"> transitions (such as movements between autism, intellectual disability and psychosocial disability) also occur in material numbers. </w:t>
      </w:r>
    </w:p>
    <w:p w14:paraId="02F9389B" w14:textId="69768FAC" w:rsidR="00D2697D" w:rsidRDefault="00D2697D" w:rsidP="00D2697D">
      <w:pPr>
        <w:pStyle w:val="Bullet1"/>
      </w:pPr>
      <w:r w:rsidRPr="00811F85">
        <w:rPr>
          <w:b/>
          <w:bCs/>
        </w:rPr>
        <w:t>Unusual projected age distributions for some cohorts</w:t>
      </w:r>
      <w:r w:rsidR="007567E0" w:rsidRPr="00811F85">
        <w:rPr>
          <w:b/>
          <w:bCs/>
        </w:rPr>
        <w:t>.</w:t>
      </w:r>
      <w:r w:rsidR="007567E0">
        <w:t xml:space="preserve"> The ‘aging plus new entries’ structure can produce oddities. For ins</w:t>
      </w:r>
      <w:r w:rsidR="00811F85">
        <w:t>t</w:t>
      </w:r>
      <w:r w:rsidR="007567E0">
        <w:t>ance</w:t>
      </w:r>
      <w:r w:rsidR="00811F85">
        <w:t xml:space="preserve">, the age distribution for the </w:t>
      </w:r>
      <w:r w:rsidR="00811F85" w:rsidRPr="00811F85">
        <w:t>second-lowest function group</w:t>
      </w:r>
      <w:r w:rsidR="007567E0">
        <w:t xml:space="preserve"> </w:t>
      </w:r>
      <w:r w:rsidR="00811F85">
        <w:t xml:space="preserve">for males with autism is projected to move from a single peak at age 15 to twin peaks at 10 and 25, which </w:t>
      </w:r>
      <w:r w:rsidR="006A0C0C">
        <w:t>seems unlikely</w:t>
      </w:r>
      <w:r w:rsidR="00811F85">
        <w:t xml:space="preserve">. </w:t>
      </w:r>
    </w:p>
    <w:p w14:paraId="2DFD4616" w14:textId="7A040A7E" w:rsidR="00D2697D" w:rsidRDefault="00D2697D" w:rsidP="00D2697D">
      <w:pPr>
        <w:pStyle w:val="Bullet1"/>
      </w:pPr>
      <w:r w:rsidRPr="007968AA">
        <w:rPr>
          <w:b/>
          <w:bCs/>
        </w:rPr>
        <w:t>SIL status does not follow participants</w:t>
      </w:r>
      <w:r w:rsidR="00811F85" w:rsidRPr="007968AA">
        <w:rPr>
          <w:b/>
          <w:bCs/>
        </w:rPr>
        <w:t>.</w:t>
      </w:r>
      <w:r w:rsidR="00811F85">
        <w:t xml:space="preserve"> The number of people in SIL is a simple proportional allocation within each cohort (disability type – severity band – age band). As the population ages, we’d expect SIL status to evolve in line with those currently in SIL. In some cases</w:t>
      </w:r>
      <w:r w:rsidR="006A0C0C">
        <w:t>,</w:t>
      </w:r>
      <w:r w:rsidR="00811F85">
        <w:t xml:space="preserve"> the model effectively assumes a large exit from SIL (e.g. </w:t>
      </w:r>
      <w:r w:rsidR="002B4625">
        <w:t xml:space="preserve">when </w:t>
      </w:r>
      <w:r w:rsidR="00811F85">
        <w:t xml:space="preserve">participants turn 65). </w:t>
      </w:r>
    </w:p>
    <w:p w14:paraId="6876812D" w14:textId="310B111A" w:rsidR="00D2697D" w:rsidRPr="001275CA" w:rsidRDefault="00D2697D" w:rsidP="00D2697D">
      <w:pPr>
        <w:pStyle w:val="Bullet1"/>
      </w:pPr>
      <w:r w:rsidRPr="001275CA">
        <w:rPr>
          <w:b/>
          <w:bCs/>
        </w:rPr>
        <w:t>Large variation in costs within modelled groups</w:t>
      </w:r>
      <w:r w:rsidR="00811F85" w:rsidRPr="001275CA">
        <w:rPr>
          <w:b/>
          <w:bCs/>
        </w:rPr>
        <w:t>.</w:t>
      </w:r>
      <w:r w:rsidR="00811F85" w:rsidRPr="001275CA">
        <w:t xml:space="preserve"> While the selected cohorts have different average costs</w:t>
      </w:r>
      <w:r w:rsidR="007968AA" w:rsidRPr="001275CA">
        <w:t xml:space="preserve">, the variation within any individual band is large. Within the group with lowest functional ability, aged 35-44 and not in SIL, </w:t>
      </w:r>
      <w:r w:rsidR="001275CA" w:rsidRPr="001275CA">
        <w:t xml:space="preserve">the most expensive 20% of participants accounted for </w:t>
      </w:r>
      <w:r w:rsidR="007968AA" w:rsidRPr="001275CA">
        <w:t>two</w:t>
      </w:r>
      <w:r w:rsidR="006A0C0C" w:rsidRPr="001275CA">
        <w:t>-</w:t>
      </w:r>
      <w:r w:rsidR="007968AA" w:rsidRPr="001275CA">
        <w:t xml:space="preserve">thirds of payments in 2020-21 </w:t>
      </w:r>
      <w:r w:rsidR="001275CA" w:rsidRPr="001275CA">
        <w:t>compared to the least expensive 40% whose cost</w:t>
      </w:r>
      <w:r w:rsidR="001275CA">
        <w:t>s</w:t>
      </w:r>
      <w:r w:rsidR="001275CA" w:rsidRPr="001275CA">
        <w:t xml:space="preserve"> were only </w:t>
      </w:r>
      <w:r w:rsidR="007968AA" w:rsidRPr="001275CA">
        <w:t>2.5% of payments. This range makes it hard to meaningfully talk to trends within the group.</w:t>
      </w:r>
    </w:p>
    <w:p w14:paraId="25467B42" w14:textId="109BF175" w:rsidR="00D2697D" w:rsidRDefault="00D2697D" w:rsidP="00D2697D">
      <w:pPr>
        <w:pStyle w:val="Bullet1"/>
      </w:pPr>
      <w:r w:rsidRPr="009F2C4F">
        <w:rPr>
          <w:b/>
          <w:bCs/>
        </w:rPr>
        <w:t>No link between TSPs, plan and payments</w:t>
      </w:r>
      <w:r w:rsidR="00267BEF" w:rsidRPr="009F2C4F">
        <w:rPr>
          <w:b/>
          <w:bCs/>
        </w:rPr>
        <w:t>.</w:t>
      </w:r>
      <w:r w:rsidR="00267BEF">
        <w:t xml:space="preserve"> Growth in payments is estimated directly, without reference to plan committed supports. In previous years the strong growth in plans could have been used as a lead indicator for payment growth. </w:t>
      </w:r>
    </w:p>
    <w:p w14:paraId="62DB8D50" w14:textId="038CE2F5" w:rsidR="00A520C9" w:rsidRDefault="00D2697D" w:rsidP="00DE6F11">
      <w:pPr>
        <w:pStyle w:val="Bullet1"/>
      </w:pPr>
      <w:r w:rsidRPr="009F2C4F">
        <w:rPr>
          <w:b/>
          <w:bCs/>
        </w:rPr>
        <w:t xml:space="preserve">Other variables </w:t>
      </w:r>
      <w:r w:rsidR="009F2C4F">
        <w:rPr>
          <w:b/>
          <w:bCs/>
        </w:rPr>
        <w:t xml:space="preserve">are </w:t>
      </w:r>
      <w:r w:rsidRPr="009F2C4F">
        <w:rPr>
          <w:b/>
          <w:bCs/>
        </w:rPr>
        <w:t>not incorporated into the model</w:t>
      </w:r>
      <w:r w:rsidR="00267BEF" w:rsidRPr="009F2C4F">
        <w:rPr>
          <w:b/>
          <w:bCs/>
        </w:rPr>
        <w:t>.</w:t>
      </w:r>
      <w:r w:rsidR="00267BEF">
        <w:t xml:space="preserve"> Duration, regional effects (including socioeconomic level of a region) and package management arrangements are all predictive of costs. By not modelling, the model assumes these effects are constant over time, or allowed for implicitly in superimposed inflation assumptions.</w:t>
      </w:r>
      <w:r w:rsidR="00A97F27">
        <w:t xml:space="preserve"> Duration effects (the tendency for plans to increase from year to year) in particular are visible and would therefore form some of the superimposed allowance. </w:t>
      </w:r>
    </w:p>
    <w:p w14:paraId="1BC92C9A" w14:textId="36E75644" w:rsidR="00A520C9" w:rsidRDefault="00A520C9" w:rsidP="00A520C9">
      <w:pPr>
        <w:pStyle w:val="Heading1"/>
      </w:pPr>
      <w:bookmarkStart w:id="118" w:name="_Toc83828722"/>
      <w:bookmarkStart w:id="119" w:name="_Toc83828751"/>
      <w:bookmarkStart w:id="120" w:name="_Ref83828843"/>
      <w:bookmarkStart w:id="121" w:name="_Toc83997767"/>
      <w:bookmarkStart w:id="122" w:name="_Ref87534067"/>
      <w:bookmarkStart w:id="123" w:name="_Toc87700469"/>
      <w:bookmarkStart w:id="124" w:name="_Toc88686121"/>
      <w:r>
        <w:t>Review of AFSR Projection Assumptions</w:t>
      </w:r>
      <w:bookmarkEnd w:id="118"/>
      <w:bookmarkEnd w:id="119"/>
      <w:bookmarkEnd w:id="120"/>
      <w:bookmarkEnd w:id="121"/>
      <w:bookmarkEnd w:id="122"/>
      <w:bookmarkEnd w:id="123"/>
      <w:bookmarkEnd w:id="124"/>
    </w:p>
    <w:p w14:paraId="7DDBD809" w14:textId="3A7ED950" w:rsidR="007837E0" w:rsidRDefault="007837E0" w:rsidP="007837E0">
      <w:pPr>
        <w:pStyle w:val="Heading2"/>
      </w:pPr>
      <w:bookmarkStart w:id="125" w:name="_Toc87700470"/>
      <w:bookmarkStart w:id="126" w:name="_Toc88686122"/>
      <w:r>
        <w:t>Summary of assumptions required in the model</w:t>
      </w:r>
      <w:bookmarkEnd w:id="125"/>
      <w:bookmarkEnd w:id="126"/>
    </w:p>
    <w:p w14:paraId="0FC0D110" w14:textId="3D8B1228" w:rsidR="00A520C9" w:rsidRDefault="00A520C9" w:rsidP="00A520C9">
      <w:r>
        <w:t xml:space="preserve">To implement the AFSR model, given its structure, a series of assumptions must be set. </w:t>
      </w:r>
      <w:r>
        <w:fldChar w:fldCharType="begin"/>
      </w:r>
      <w:r>
        <w:instrText xml:space="preserve"> REF _Ref83804819 \h </w:instrText>
      </w:r>
      <w:r>
        <w:fldChar w:fldCharType="separate"/>
      </w:r>
      <w:r w:rsidR="00E6217F">
        <w:t xml:space="preserve">Table </w:t>
      </w:r>
      <w:r w:rsidR="00E6217F">
        <w:rPr>
          <w:noProof/>
        </w:rPr>
        <w:t>4</w:t>
      </w:r>
      <w:r w:rsidR="00E6217F">
        <w:t>.</w:t>
      </w:r>
      <w:r w:rsidR="00E6217F">
        <w:rPr>
          <w:noProof/>
        </w:rPr>
        <w:t>1</w:t>
      </w:r>
      <w:r>
        <w:fldChar w:fldCharType="end"/>
      </w:r>
      <w:r>
        <w:t xml:space="preserve"> summarises these and how they vary by different model variables. This section explores the appropriateness of current assumptions. </w:t>
      </w:r>
    </w:p>
    <w:p w14:paraId="7321005E" w14:textId="1BA1CB42" w:rsidR="00A520C9" w:rsidRDefault="00A520C9" w:rsidP="00A520C9">
      <w:pPr>
        <w:pStyle w:val="Caption"/>
      </w:pPr>
      <w:bookmarkStart w:id="127" w:name="_Ref83804819"/>
      <w:r>
        <w:t xml:space="preserve">Table </w:t>
      </w:r>
      <w:r w:rsidR="007F6BE8">
        <w:fldChar w:fldCharType="begin"/>
      </w:r>
      <w:r w:rsidR="007F6BE8">
        <w:instrText xml:space="preserve"> STYLEREF 1 \s </w:instrText>
      </w:r>
      <w:r w:rsidR="007F6BE8">
        <w:fldChar w:fldCharType="separate"/>
      </w:r>
      <w:r w:rsidR="00E6217F">
        <w:rPr>
          <w:noProof/>
        </w:rPr>
        <w:t>4</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w:t>
      </w:r>
      <w:r w:rsidR="007F6BE8">
        <w:fldChar w:fldCharType="end"/>
      </w:r>
      <w:bookmarkEnd w:id="127"/>
      <w:r>
        <w:t xml:space="preserve"> – Main assumptions built into the AFSR model and what dimensions they vary by</w:t>
      </w:r>
    </w:p>
    <w:tbl>
      <w:tblPr>
        <w:tblStyle w:val="GridTable1Light-Accent1"/>
        <w:tblW w:w="9405" w:type="dxa"/>
        <w:tblLayout w:type="fixed"/>
        <w:tblCellMar>
          <w:left w:w="57" w:type="dxa"/>
          <w:right w:w="57" w:type="dxa"/>
        </w:tblCellMar>
        <w:tblLook w:val="04A0" w:firstRow="1" w:lastRow="0" w:firstColumn="1" w:lastColumn="0" w:noHBand="0" w:noVBand="1"/>
      </w:tblPr>
      <w:tblGrid>
        <w:gridCol w:w="1918"/>
        <w:gridCol w:w="1474"/>
        <w:gridCol w:w="2835"/>
        <w:gridCol w:w="454"/>
        <w:gridCol w:w="454"/>
        <w:gridCol w:w="454"/>
        <w:gridCol w:w="454"/>
        <w:gridCol w:w="454"/>
        <w:gridCol w:w="454"/>
        <w:gridCol w:w="454"/>
      </w:tblGrid>
      <w:tr w:rsidR="00A520C9" w14:paraId="63E465D3" w14:textId="77777777" w:rsidTr="004E6C81">
        <w:trPr>
          <w:cnfStyle w:val="100000000000" w:firstRow="1" w:lastRow="0" w:firstColumn="0" w:lastColumn="0" w:oddVBand="0" w:evenVBand="0" w:oddHBand="0" w:evenHBand="0" w:firstRowFirstColumn="0" w:firstRowLastColumn="0" w:lastRowFirstColumn="0" w:lastRowLastColumn="0"/>
          <w:trHeight w:val="1587"/>
          <w:tblHeader/>
        </w:trPr>
        <w:tc>
          <w:tcPr>
            <w:cnfStyle w:val="001000000000" w:firstRow="0" w:lastRow="0" w:firstColumn="1" w:lastColumn="0" w:oddVBand="0" w:evenVBand="0" w:oddHBand="0" w:evenHBand="0" w:firstRowFirstColumn="0" w:firstRowLastColumn="0" w:lastRowFirstColumn="0" w:lastRowLastColumn="0"/>
            <w:tcW w:w="1918" w:type="dxa"/>
          </w:tcPr>
          <w:p w14:paraId="541800C5" w14:textId="77777777" w:rsidR="00A520C9" w:rsidRPr="00E16493" w:rsidRDefault="00A520C9" w:rsidP="00DA0930">
            <w:pPr>
              <w:rPr>
                <w:sz w:val="18"/>
                <w:szCs w:val="18"/>
              </w:rPr>
            </w:pPr>
            <w:r w:rsidRPr="00E16493">
              <w:rPr>
                <w:sz w:val="18"/>
                <w:szCs w:val="18"/>
              </w:rPr>
              <w:t>Assumption group</w:t>
            </w:r>
          </w:p>
        </w:tc>
        <w:tc>
          <w:tcPr>
            <w:tcW w:w="1474" w:type="dxa"/>
          </w:tcPr>
          <w:p w14:paraId="37E271B0" w14:textId="77777777" w:rsidR="00A520C9" w:rsidRPr="00E16493" w:rsidRDefault="00A520C9" w:rsidP="00DA0930">
            <w:pPr>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Assumption</w:t>
            </w:r>
          </w:p>
        </w:tc>
        <w:tc>
          <w:tcPr>
            <w:tcW w:w="2835" w:type="dxa"/>
          </w:tcPr>
          <w:p w14:paraId="05304AE7" w14:textId="77777777" w:rsidR="00A520C9" w:rsidRPr="00E16493" w:rsidRDefault="00A520C9" w:rsidP="00DA0930">
            <w:pPr>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Description</w:t>
            </w:r>
          </w:p>
        </w:tc>
        <w:tc>
          <w:tcPr>
            <w:tcW w:w="454" w:type="dxa"/>
            <w:textDirection w:val="btLr"/>
          </w:tcPr>
          <w:p w14:paraId="28B62ADB"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Age</w:t>
            </w:r>
          </w:p>
        </w:tc>
        <w:tc>
          <w:tcPr>
            <w:tcW w:w="454" w:type="dxa"/>
            <w:textDirection w:val="btLr"/>
          </w:tcPr>
          <w:p w14:paraId="6F96CA1B"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Age group</w:t>
            </w:r>
          </w:p>
        </w:tc>
        <w:tc>
          <w:tcPr>
            <w:tcW w:w="454" w:type="dxa"/>
            <w:textDirection w:val="btLr"/>
          </w:tcPr>
          <w:p w14:paraId="06D450A5"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Disability group</w:t>
            </w:r>
          </w:p>
        </w:tc>
        <w:tc>
          <w:tcPr>
            <w:tcW w:w="454" w:type="dxa"/>
            <w:textDirection w:val="btLr"/>
          </w:tcPr>
          <w:p w14:paraId="1A266D89"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Severity</w:t>
            </w:r>
          </w:p>
        </w:tc>
        <w:tc>
          <w:tcPr>
            <w:tcW w:w="454" w:type="dxa"/>
            <w:textDirection w:val="btLr"/>
          </w:tcPr>
          <w:p w14:paraId="4F44DEF6"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Gender</w:t>
            </w:r>
          </w:p>
        </w:tc>
        <w:tc>
          <w:tcPr>
            <w:tcW w:w="454" w:type="dxa"/>
            <w:textDirection w:val="btLr"/>
          </w:tcPr>
          <w:p w14:paraId="202A5411"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SIL/non-SIL</w:t>
            </w:r>
          </w:p>
        </w:tc>
        <w:tc>
          <w:tcPr>
            <w:tcW w:w="454" w:type="dxa"/>
            <w:textDirection w:val="btLr"/>
          </w:tcPr>
          <w:p w14:paraId="12E7DBB5" w14:textId="77777777" w:rsidR="00A520C9" w:rsidRPr="00E16493" w:rsidRDefault="00A520C9" w:rsidP="00DA0930">
            <w:pPr>
              <w:spacing w:before="0" w:after="0"/>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E16493">
              <w:rPr>
                <w:sz w:val="18"/>
                <w:szCs w:val="18"/>
              </w:rPr>
              <w:t>Year</w:t>
            </w:r>
          </w:p>
        </w:tc>
      </w:tr>
      <w:tr w:rsidR="004E6C81" w14:paraId="5534F61B"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4C233CE6" w14:textId="77777777" w:rsidR="004E6C81" w:rsidRPr="00E16493" w:rsidRDefault="004E6C81" w:rsidP="004E6C81">
            <w:pPr>
              <w:pStyle w:val="Tabletext"/>
              <w:rPr>
                <w:sz w:val="18"/>
                <w:szCs w:val="18"/>
              </w:rPr>
            </w:pPr>
            <w:r w:rsidRPr="00E16493">
              <w:rPr>
                <w:sz w:val="18"/>
                <w:szCs w:val="18"/>
              </w:rPr>
              <w:t>Starting participant numbers</w:t>
            </w:r>
          </w:p>
        </w:tc>
        <w:tc>
          <w:tcPr>
            <w:tcW w:w="1474" w:type="dxa"/>
          </w:tcPr>
          <w:p w14:paraId="7EE416F2"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2835" w:type="dxa"/>
          </w:tcPr>
          <w:p w14:paraId="0F51487D" w14:textId="3623AA7A"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 xml:space="preserve">Taken from those in the </w:t>
            </w:r>
            <w:r>
              <w:rPr>
                <w:sz w:val="18"/>
                <w:szCs w:val="18"/>
              </w:rPr>
              <w:t>Scheme</w:t>
            </w:r>
            <w:r w:rsidRPr="00E16493">
              <w:rPr>
                <w:sz w:val="18"/>
                <w:szCs w:val="18"/>
              </w:rPr>
              <w:t xml:space="preserve"> at 30 June 2021</w:t>
            </w:r>
          </w:p>
        </w:tc>
        <w:tc>
          <w:tcPr>
            <w:tcW w:w="454" w:type="dxa"/>
          </w:tcPr>
          <w:p w14:paraId="3C569F94" w14:textId="34AF8990"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454" w:type="dxa"/>
          </w:tcPr>
          <w:p w14:paraId="6234C522" w14:textId="407D6CE4"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454" w:type="dxa"/>
          </w:tcPr>
          <w:p w14:paraId="1D7B976C" w14:textId="3970F95E"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625140">
              <w:rPr>
                <w:sz w:val="18"/>
                <w:szCs w:val="18"/>
              </w:rPr>
              <w:t>Yes</w:t>
            </w:r>
          </w:p>
        </w:tc>
        <w:tc>
          <w:tcPr>
            <w:tcW w:w="454" w:type="dxa"/>
          </w:tcPr>
          <w:p w14:paraId="296CDD8E" w14:textId="3BA7D376"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625140">
              <w:rPr>
                <w:sz w:val="18"/>
                <w:szCs w:val="18"/>
              </w:rPr>
              <w:t>Yes</w:t>
            </w:r>
          </w:p>
        </w:tc>
        <w:tc>
          <w:tcPr>
            <w:tcW w:w="454" w:type="dxa"/>
          </w:tcPr>
          <w:p w14:paraId="507C69D3" w14:textId="29317676"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625140">
              <w:rPr>
                <w:sz w:val="18"/>
                <w:szCs w:val="18"/>
              </w:rPr>
              <w:t>Yes</w:t>
            </w:r>
          </w:p>
        </w:tc>
        <w:tc>
          <w:tcPr>
            <w:tcW w:w="454" w:type="dxa"/>
          </w:tcPr>
          <w:p w14:paraId="4FF4AA4E" w14:textId="5FDC6808"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625140">
              <w:rPr>
                <w:sz w:val="18"/>
                <w:szCs w:val="18"/>
              </w:rPr>
              <w:t>Yes</w:t>
            </w:r>
          </w:p>
        </w:tc>
        <w:tc>
          <w:tcPr>
            <w:tcW w:w="454" w:type="dxa"/>
          </w:tcPr>
          <w:p w14:paraId="78364654"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413B31E7"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6BD251BB" w14:textId="5F85E248" w:rsidR="004E6C81" w:rsidRPr="00E16493" w:rsidRDefault="004E6C81" w:rsidP="004E6C81">
            <w:pPr>
              <w:pStyle w:val="Tabletext"/>
              <w:rPr>
                <w:sz w:val="18"/>
                <w:szCs w:val="18"/>
              </w:rPr>
            </w:pPr>
            <w:r w:rsidRPr="00E16493">
              <w:rPr>
                <w:sz w:val="18"/>
                <w:szCs w:val="18"/>
              </w:rPr>
              <w:t>Entrants – New incidence</w:t>
            </w:r>
            <w:r>
              <w:rPr>
                <w:sz w:val="18"/>
                <w:szCs w:val="18"/>
              </w:rPr>
              <w:t>s</w:t>
            </w:r>
          </w:p>
        </w:tc>
        <w:tc>
          <w:tcPr>
            <w:tcW w:w="1474" w:type="dxa"/>
          </w:tcPr>
          <w:p w14:paraId="7E9670A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New total entrants</w:t>
            </w:r>
          </w:p>
        </w:tc>
        <w:tc>
          <w:tcPr>
            <w:tcW w:w="2835" w:type="dxa"/>
          </w:tcPr>
          <w:p w14:paraId="6C6CFBCD"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Total estimated new incidences for 2021</w:t>
            </w:r>
            <w:r>
              <w:rPr>
                <w:sz w:val="18"/>
                <w:szCs w:val="18"/>
              </w:rPr>
              <w:t>-</w:t>
            </w:r>
            <w:r w:rsidRPr="00E16493">
              <w:rPr>
                <w:sz w:val="18"/>
                <w:szCs w:val="18"/>
              </w:rPr>
              <w:t>22</w:t>
            </w:r>
          </w:p>
        </w:tc>
        <w:tc>
          <w:tcPr>
            <w:tcW w:w="454" w:type="dxa"/>
          </w:tcPr>
          <w:p w14:paraId="2C04E3C8"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2A33052"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9818A43" w14:textId="01F67CCD"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CB1CB2">
              <w:rPr>
                <w:sz w:val="18"/>
                <w:szCs w:val="18"/>
              </w:rPr>
              <w:t>Yes</w:t>
            </w:r>
          </w:p>
        </w:tc>
        <w:tc>
          <w:tcPr>
            <w:tcW w:w="454" w:type="dxa"/>
          </w:tcPr>
          <w:p w14:paraId="59A20953" w14:textId="7456D22A"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CB1CB2">
              <w:rPr>
                <w:sz w:val="18"/>
                <w:szCs w:val="18"/>
              </w:rPr>
              <w:t>Yes</w:t>
            </w:r>
          </w:p>
        </w:tc>
        <w:tc>
          <w:tcPr>
            <w:tcW w:w="454" w:type="dxa"/>
          </w:tcPr>
          <w:p w14:paraId="384C9EF4" w14:textId="6B3E7B38"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CB1CB2">
              <w:rPr>
                <w:sz w:val="18"/>
                <w:szCs w:val="18"/>
              </w:rPr>
              <w:t>Yes</w:t>
            </w:r>
          </w:p>
        </w:tc>
        <w:tc>
          <w:tcPr>
            <w:tcW w:w="454" w:type="dxa"/>
          </w:tcPr>
          <w:p w14:paraId="6E7ABC65"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59A7303" w14:textId="3563B8A6"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r>
      <w:tr w:rsidR="004E6C81" w14:paraId="554A339C"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16F62F7B" w14:textId="77777777" w:rsidR="004E6C81" w:rsidRPr="00E16493" w:rsidRDefault="004E6C81" w:rsidP="004E6C81">
            <w:pPr>
              <w:pStyle w:val="Tabletext"/>
              <w:rPr>
                <w:sz w:val="18"/>
                <w:szCs w:val="18"/>
              </w:rPr>
            </w:pPr>
          </w:p>
        </w:tc>
        <w:tc>
          <w:tcPr>
            <w:tcW w:w="1474" w:type="dxa"/>
          </w:tcPr>
          <w:p w14:paraId="7D883CE0"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Age distribution</w:t>
            </w:r>
          </w:p>
        </w:tc>
        <w:tc>
          <w:tcPr>
            <w:tcW w:w="2835" w:type="dxa"/>
          </w:tcPr>
          <w:p w14:paraId="6E944A3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Breakdown of new incidences by age</w:t>
            </w:r>
          </w:p>
        </w:tc>
        <w:tc>
          <w:tcPr>
            <w:tcW w:w="454" w:type="dxa"/>
          </w:tcPr>
          <w:p w14:paraId="49F129E1" w14:textId="13ECE085"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292538">
              <w:rPr>
                <w:sz w:val="18"/>
                <w:szCs w:val="18"/>
              </w:rPr>
              <w:t>Yes</w:t>
            </w:r>
          </w:p>
        </w:tc>
        <w:tc>
          <w:tcPr>
            <w:tcW w:w="454" w:type="dxa"/>
          </w:tcPr>
          <w:p w14:paraId="43E0723B" w14:textId="75BA69BB"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292538">
              <w:rPr>
                <w:sz w:val="18"/>
                <w:szCs w:val="18"/>
              </w:rPr>
              <w:t>Yes</w:t>
            </w:r>
          </w:p>
        </w:tc>
        <w:tc>
          <w:tcPr>
            <w:tcW w:w="454" w:type="dxa"/>
          </w:tcPr>
          <w:p w14:paraId="148B24F1" w14:textId="767F5242"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292538">
              <w:rPr>
                <w:sz w:val="18"/>
                <w:szCs w:val="18"/>
              </w:rPr>
              <w:t>Yes</w:t>
            </w:r>
          </w:p>
        </w:tc>
        <w:tc>
          <w:tcPr>
            <w:tcW w:w="454" w:type="dxa"/>
          </w:tcPr>
          <w:p w14:paraId="3914ED6B"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2E500BA" w14:textId="0E621C2F"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454" w:type="dxa"/>
          </w:tcPr>
          <w:p w14:paraId="5659DE20"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0AB4385"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A520C9" w14:paraId="53A6C3BF"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1AAACFE6" w14:textId="77777777" w:rsidR="00A520C9" w:rsidRPr="00E16493" w:rsidRDefault="00A520C9" w:rsidP="00DA0930">
            <w:pPr>
              <w:pStyle w:val="Tabletext"/>
              <w:rPr>
                <w:sz w:val="18"/>
                <w:szCs w:val="18"/>
              </w:rPr>
            </w:pPr>
          </w:p>
        </w:tc>
        <w:tc>
          <w:tcPr>
            <w:tcW w:w="1474" w:type="dxa"/>
          </w:tcPr>
          <w:p w14:paraId="25F6776F"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Australian population growth</w:t>
            </w:r>
          </w:p>
        </w:tc>
        <w:tc>
          <w:tcPr>
            <w:tcW w:w="2835" w:type="dxa"/>
          </w:tcPr>
          <w:p w14:paraId="7B509EBC"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Applied to new entrant assumptions after 2021</w:t>
            </w:r>
            <w:r>
              <w:rPr>
                <w:sz w:val="18"/>
                <w:szCs w:val="18"/>
              </w:rPr>
              <w:t>-</w:t>
            </w:r>
            <w:r w:rsidRPr="00E16493">
              <w:rPr>
                <w:sz w:val="18"/>
                <w:szCs w:val="18"/>
              </w:rPr>
              <w:t>22</w:t>
            </w:r>
          </w:p>
        </w:tc>
        <w:tc>
          <w:tcPr>
            <w:tcW w:w="454" w:type="dxa"/>
          </w:tcPr>
          <w:p w14:paraId="5EE68217"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C19867E"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0A497D52"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0597BB2"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3EB2B63"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2FEC58FF"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91EF4EC" w14:textId="7A5E0CA5" w:rsidR="00A520C9" w:rsidRPr="00E16493" w:rsidRDefault="004E6C81"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r>
      <w:tr w:rsidR="00A520C9" w14:paraId="74C79D12"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3FB05133" w14:textId="77777777" w:rsidR="00A520C9" w:rsidRPr="00E16493" w:rsidRDefault="00A520C9" w:rsidP="00DA0930">
            <w:pPr>
              <w:pStyle w:val="Tabletext"/>
              <w:rPr>
                <w:sz w:val="18"/>
                <w:szCs w:val="18"/>
              </w:rPr>
            </w:pPr>
            <w:r w:rsidRPr="00E16493">
              <w:rPr>
                <w:sz w:val="18"/>
                <w:szCs w:val="18"/>
              </w:rPr>
              <w:t>Entrants – State/Comm</w:t>
            </w:r>
            <w:r>
              <w:rPr>
                <w:sz w:val="18"/>
                <w:szCs w:val="18"/>
              </w:rPr>
              <w:t xml:space="preserve"> </w:t>
            </w:r>
            <w:r w:rsidRPr="00E16493">
              <w:rPr>
                <w:sz w:val="18"/>
                <w:szCs w:val="18"/>
              </w:rPr>
              <w:t>schemes</w:t>
            </w:r>
          </w:p>
        </w:tc>
        <w:tc>
          <w:tcPr>
            <w:tcW w:w="1474" w:type="dxa"/>
          </w:tcPr>
          <w:p w14:paraId="6A27F10F"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2835" w:type="dxa"/>
          </w:tcPr>
          <w:p w14:paraId="1957BCFF"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 xml:space="preserve">Projected entrants transitioning from state and </w:t>
            </w:r>
            <w:r>
              <w:rPr>
                <w:sz w:val="18"/>
                <w:szCs w:val="18"/>
              </w:rPr>
              <w:t>C</w:t>
            </w:r>
            <w:r w:rsidRPr="00E16493">
              <w:rPr>
                <w:sz w:val="18"/>
                <w:szCs w:val="18"/>
              </w:rPr>
              <w:t xml:space="preserve">ommonwealth </w:t>
            </w:r>
            <w:r>
              <w:rPr>
                <w:sz w:val="18"/>
                <w:szCs w:val="18"/>
              </w:rPr>
              <w:t>programs</w:t>
            </w:r>
            <w:r w:rsidRPr="00E16493">
              <w:rPr>
                <w:sz w:val="18"/>
                <w:szCs w:val="18"/>
              </w:rPr>
              <w:t>. Currently set to 0.</w:t>
            </w:r>
          </w:p>
        </w:tc>
        <w:tc>
          <w:tcPr>
            <w:tcW w:w="454" w:type="dxa"/>
          </w:tcPr>
          <w:p w14:paraId="55FA2F5E"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9F813D8"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D1E387C"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B69BFFE"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2F75009"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4C63E2A"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44BA361"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769E03EA"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28E1BDC4" w14:textId="77777777" w:rsidR="004E6C81" w:rsidRPr="00E16493" w:rsidRDefault="004E6C81" w:rsidP="004E6C81">
            <w:pPr>
              <w:pStyle w:val="Tabletext"/>
              <w:rPr>
                <w:sz w:val="18"/>
                <w:szCs w:val="18"/>
              </w:rPr>
            </w:pPr>
            <w:r w:rsidRPr="00E16493">
              <w:rPr>
                <w:sz w:val="18"/>
                <w:szCs w:val="18"/>
              </w:rPr>
              <w:t xml:space="preserve">Entrants – </w:t>
            </w:r>
            <w:r>
              <w:rPr>
                <w:sz w:val="18"/>
                <w:szCs w:val="18"/>
              </w:rPr>
              <w:t>Previously unmet need (PUN)</w:t>
            </w:r>
          </w:p>
        </w:tc>
        <w:tc>
          <w:tcPr>
            <w:tcW w:w="1474" w:type="dxa"/>
          </w:tcPr>
          <w:p w14:paraId="7739D65A"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Total unmet need</w:t>
            </w:r>
          </w:p>
        </w:tc>
        <w:tc>
          <w:tcPr>
            <w:tcW w:w="2835" w:type="dxa"/>
          </w:tcPr>
          <w:p w14:paraId="00E125D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Entrants from outside existing schemes – set as top-level assumption, decr</w:t>
            </w:r>
            <w:r w:rsidRPr="00A7020A">
              <w:rPr>
                <w:sz w:val="18"/>
                <w:szCs w:val="18"/>
              </w:rPr>
              <w:t>easing over 3 years to a stable population fraction</w:t>
            </w:r>
            <w:r>
              <w:rPr>
                <w:sz w:val="18"/>
                <w:szCs w:val="18"/>
              </w:rPr>
              <w:t xml:space="preserve"> </w:t>
            </w:r>
          </w:p>
        </w:tc>
        <w:tc>
          <w:tcPr>
            <w:tcW w:w="454" w:type="dxa"/>
          </w:tcPr>
          <w:p w14:paraId="58759FB7"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37D1DED"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61F1E85C" w14:textId="6C861EA9"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556577">
              <w:rPr>
                <w:sz w:val="18"/>
                <w:szCs w:val="18"/>
              </w:rPr>
              <w:t>Yes</w:t>
            </w:r>
          </w:p>
        </w:tc>
        <w:tc>
          <w:tcPr>
            <w:tcW w:w="454" w:type="dxa"/>
          </w:tcPr>
          <w:p w14:paraId="186BF468" w14:textId="4314DCEB"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556577">
              <w:rPr>
                <w:sz w:val="18"/>
                <w:szCs w:val="18"/>
              </w:rPr>
              <w:t>Yes</w:t>
            </w:r>
          </w:p>
        </w:tc>
        <w:tc>
          <w:tcPr>
            <w:tcW w:w="454" w:type="dxa"/>
          </w:tcPr>
          <w:p w14:paraId="008BEB3D"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2CC3225"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EAC64A6" w14:textId="748E8763"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r>
      <w:tr w:rsidR="004E6C81" w14:paraId="61ACFE64"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270914CE" w14:textId="77777777" w:rsidR="004E6C81" w:rsidRPr="00E16493" w:rsidRDefault="004E6C81" w:rsidP="004E6C81">
            <w:pPr>
              <w:pStyle w:val="Tabletext"/>
              <w:rPr>
                <w:sz w:val="18"/>
                <w:szCs w:val="18"/>
              </w:rPr>
            </w:pPr>
          </w:p>
        </w:tc>
        <w:tc>
          <w:tcPr>
            <w:tcW w:w="1474" w:type="dxa"/>
          </w:tcPr>
          <w:p w14:paraId="226FF2C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Age and disability distribution</w:t>
            </w:r>
          </w:p>
        </w:tc>
        <w:tc>
          <w:tcPr>
            <w:tcW w:w="2835" w:type="dxa"/>
          </w:tcPr>
          <w:p w14:paraId="3BC1DB97"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Breakdown of new PUN entrants by age</w:t>
            </w:r>
          </w:p>
        </w:tc>
        <w:tc>
          <w:tcPr>
            <w:tcW w:w="454" w:type="dxa"/>
          </w:tcPr>
          <w:p w14:paraId="17121024" w14:textId="77C76928"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2B01F837" w14:textId="55E014C6"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059C263C"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2736D84"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13D30C1" w14:textId="34CF8EFE"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37F55">
              <w:rPr>
                <w:sz w:val="18"/>
                <w:szCs w:val="18"/>
              </w:rPr>
              <w:t>Yes</w:t>
            </w:r>
          </w:p>
        </w:tc>
        <w:tc>
          <w:tcPr>
            <w:tcW w:w="454" w:type="dxa"/>
          </w:tcPr>
          <w:p w14:paraId="138420C0"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EE927E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40BEBA5B"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44A83FFC" w14:textId="77777777" w:rsidR="004E6C81" w:rsidRPr="00E16493" w:rsidRDefault="004E6C81" w:rsidP="004E6C81">
            <w:pPr>
              <w:pStyle w:val="Tabletext"/>
              <w:rPr>
                <w:sz w:val="18"/>
                <w:szCs w:val="18"/>
              </w:rPr>
            </w:pPr>
            <w:r w:rsidRPr="00E16493">
              <w:rPr>
                <w:sz w:val="18"/>
                <w:szCs w:val="18"/>
              </w:rPr>
              <w:t>Exits – Mortality</w:t>
            </w:r>
          </w:p>
        </w:tc>
        <w:tc>
          <w:tcPr>
            <w:tcW w:w="1474" w:type="dxa"/>
          </w:tcPr>
          <w:p w14:paraId="05AB717B"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Base mortality (ALT 16</w:t>
            </w:r>
            <w:r>
              <w:rPr>
                <w:sz w:val="18"/>
                <w:szCs w:val="18"/>
              </w:rPr>
              <w:t>-</w:t>
            </w:r>
            <w:r w:rsidRPr="00E16493">
              <w:rPr>
                <w:sz w:val="18"/>
                <w:szCs w:val="18"/>
              </w:rPr>
              <w:t>18)</w:t>
            </w:r>
          </w:p>
        </w:tc>
        <w:tc>
          <w:tcPr>
            <w:tcW w:w="2835" w:type="dxa"/>
          </w:tcPr>
          <w:p w14:paraId="1D2D2160"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Mortality rates for general Australian population</w:t>
            </w:r>
          </w:p>
        </w:tc>
        <w:tc>
          <w:tcPr>
            <w:tcW w:w="454" w:type="dxa"/>
          </w:tcPr>
          <w:p w14:paraId="6766215C" w14:textId="5D6C79F5"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541ABD2F" w14:textId="13364369"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20D88A18"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2E368247"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C30A32C" w14:textId="3083056C"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37F55">
              <w:rPr>
                <w:sz w:val="18"/>
                <w:szCs w:val="18"/>
              </w:rPr>
              <w:t>Yes</w:t>
            </w:r>
          </w:p>
        </w:tc>
        <w:tc>
          <w:tcPr>
            <w:tcW w:w="454" w:type="dxa"/>
          </w:tcPr>
          <w:p w14:paraId="70F0D6D4"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626E68F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6E6EF955"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700005FB" w14:textId="77777777" w:rsidR="004E6C81" w:rsidRPr="00E16493" w:rsidRDefault="004E6C81" w:rsidP="004E6C81">
            <w:pPr>
              <w:pStyle w:val="Tabletext"/>
              <w:rPr>
                <w:sz w:val="18"/>
                <w:szCs w:val="18"/>
              </w:rPr>
            </w:pPr>
          </w:p>
        </w:tc>
        <w:tc>
          <w:tcPr>
            <w:tcW w:w="1474" w:type="dxa"/>
          </w:tcPr>
          <w:p w14:paraId="4BF24E9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Mortality multiplier</w:t>
            </w:r>
          </w:p>
        </w:tc>
        <w:tc>
          <w:tcPr>
            <w:tcW w:w="2835" w:type="dxa"/>
          </w:tcPr>
          <w:p w14:paraId="29BED48C"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Factors to adjust base mortality rates for higher mortality rates observed in disabled people</w:t>
            </w:r>
          </w:p>
        </w:tc>
        <w:tc>
          <w:tcPr>
            <w:tcW w:w="454" w:type="dxa"/>
          </w:tcPr>
          <w:p w14:paraId="18ECCDD6" w14:textId="0F815076"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4FA14F73" w14:textId="511B3B61"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7A71DE44" w14:textId="221D015A"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95242">
              <w:rPr>
                <w:sz w:val="18"/>
                <w:szCs w:val="18"/>
              </w:rPr>
              <w:t>Yes</w:t>
            </w:r>
          </w:p>
        </w:tc>
        <w:tc>
          <w:tcPr>
            <w:tcW w:w="454" w:type="dxa"/>
          </w:tcPr>
          <w:p w14:paraId="7D68E1B1" w14:textId="4C6429AE"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95242">
              <w:rPr>
                <w:sz w:val="18"/>
                <w:szCs w:val="18"/>
              </w:rPr>
              <w:t>Yes</w:t>
            </w:r>
          </w:p>
        </w:tc>
        <w:tc>
          <w:tcPr>
            <w:tcW w:w="454" w:type="dxa"/>
          </w:tcPr>
          <w:p w14:paraId="3BA74168" w14:textId="5095FBAB"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37F55">
              <w:rPr>
                <w:sz w:val="18"/>
                <w:szCs w:val="18"/>
              </w:rPr>
              <w:t>Yes</w:t>
            </w:r>
          </w:p>
        </w:tc>
        <w:tc>
          <w:tcPr>
            <w:tcW w:w="454" w:type="dxa"/>
          </w:tcPr>
          <w:p w14:paraId="1A85013C"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B8D151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3E926E8E"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326013F6" w14:textId="77777777" w:rsidR="004E6C81" w:rsidRPr="00E16493" w:rsidRDefault="004E6C81" w:rsidP="004E6C81">
            <w:pPr>
              <w:pStyle w:val="Tabletext"/>
              <w:rPr>
                <w:sz w:val="18"/>
                <w:szCs w:val="18"/>
              </w:rPr>
            </w:pPr>
            <w:r w:rsidRPr="00E16493">
              <w:rPr>
                <w:sz w:val="18"/>
                <w:szCs w:val="18"/>
              </w:rPr>
              <w:t>Exits – Other</w:t>
            </w:r>
          </w:p>
        </w:tc>
        <w:tc>
          <w:tcPr>
            <w:tcW w:w="1474" w:type="dxa"/>
          </w:tcPr>
          <w:p w14:paraId="2AEA955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Exit rate</w:t>
            </w:r>
          </w:p>
        </w:tc>
        <w:tc>
          <w:tcPr>
            <w:tcW w:w="2835" w:type="dxa"/>
          </w:tcPr>
          <w:p w14:paraId="0470F831" w14:textId="6871EC9F"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 xml:space="preserve">Rate of participants leaving the </w:t>
            </w:r>
            <w:r>
              <w:rPr>
                <w:sz w:val="18"/>
                <w:szCs w:val="18"/>
              </w:rPr>
              <w:t>Scheme</w:t>
            </w:r>
            <w:r w:rsidRPr="00E16493">
              <w:rPr>
                <w:sz w:val="18"/>
                <w:szCs w:val="18"/>
              </w:rPr>
              <w:t xml:space="preserve"> other than due to mortality</w:t>
            </w:r>
          </w:p>
        </w:tc>
        <w:tc>
          <w:tcPr>
            <w:tcW w:w="454" w:type="dxa"/>
          </w:tcPr>
          <w:p w14:paraId="7CEE1663" w14:textId="4D0802FA"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54DDC2B5" w14:textId="52B09A6B"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0083B">
              <w:rPr>
                <w:sz w:val="18"/>
                <w:szCs w:val="18"/>
              </w:rPr>
              <w:t>Yes</w:t>
            </w:r>
          </w:p>
        </w:tc>
        <w:tc>
          <w:tcPr>
            <w:tcW w:w="454" w:type="dxa"/>
          </w:tcPr>
          <w:p w14:paraId="5A838593" w14:textId="6ABDBC22"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C9639C">
              <w:rPr>
                <w:sz w:val="18"/>
                <w:szCs w:val="18"/>
              </w:rPr>
              <w:t>Yes</w:t>
            </w:r>
          </w:p>
        </w:tc>
        <w:tc>
          <w:tcPr>
            <w:tcW w:w="454" w:type="dxa"/>
          </w:tcPr>
          <w:p w14:paraId="02A840DB" w14:textId="470C4D21"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C9639C">
              <w:rPr>
                <w:sz w:val="18"/>
                <w:szCs w:val="18"/>
              </w:rPr>
              <w:t>Yes</w:t>
            </w:r>
          </w:p>
        </w:tc>
        <w:tc>
          <w:tcPr>
            <w:tcW w:w="454" w:type="dxa"/>
          </w:tcPr>
          <w:p w14:paraId="0BCCCCFB"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AE06E3C"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EF1D55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A520C9" w14:paraId="23191236"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12A81268" w14:textId="77777777" w:rsidR="00A520C9" w:rsidRPr="00E16493" w:rsidRDefault="00A520C9" w:rsidP="00DA0930">
            <w:pPr>
              <w:pStyle w:val="Tabletext"/>
              <w:rPr>
                <w:sz w:val="18"/>
                <w:szCs w:val="18"/>
              </w:rPr>
            </w:pPr>
          </w:p>
        </w:tc>
        <w:tc>
          <w:tcPr>
            <w:tcW w:w="1474" w:type="dxa"/>
          </w:tcPr>
          <w:p w14:paraId="54D6EAEF" w14:textId="77777777" w:rsidR="00A520C9"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New entrants adjustment</w:t>
            </w:r>
          </w:p>
        </w:tc>
        <w:tc>
          <w:tcPr>
            <w:tcW w:w="2835" w:type="dxa"/>
          </w:tcPr>
          <w:p w14:paraId="53FFB3C8"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Adjustment factor to reflect the lower exit rates for new entrants</w:t>
            </w:r>
          </w:p>
        </w:tc>
        <w:tc>
          <w:tcPr>
            <w:tcW w:w="454" w:type="dxa"/>
          </w:tcPr>
          <w:p w14:paraId="13A0DB26"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D03EBF7"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A802E2F"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6278978A"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75A7A80"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51A5385"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0E02F90D"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A520C9" w14:paraId="11073CA7"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13DC54B9" w14:textId="77777777" w:rsidR="00A520C9" w:rsidRPr="00E16493" w:rsidRDefault="00A520C9" w:rsidP="00DA0930">
            <w:pPr>
              <w:pStyle w:val="Tabletext"/>
              <w:rPr>
                <w:sz w:val="18"/>
                <w:szCs w:val="18"/>
              </w:rPr>
            </w:pPr>
          </w:p>
        </w:tc>
        <w:tc>
          <w:tcPr>
            <w:tcW w:w="1474" w:type="dxa"/>
          </w:tcPr>
          <w:p w14:paraId="06AAEC0B"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Short term adjustment</w:t>
            </w:r>
          </w:p>
        </w:tc>
        <w:tc>
          <w:tcPr>
            <w:tcW w:w="2835" w:type="dxa"/>
          </w:tcPr>
          <w:p w14:paraId="662E0343" w14:textId="19C756A3"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Adjustment factor to reflect the lower exit rates in recent times</w:t>
            </w:r>
            <w:r w:rsidR="00F36406">
              <w:rPr>
                <w:sz w:val="18"/>
                <w:szCs w:val="18"/>
              </w:rPr>
              <w:t>, reverting to longer-term rate</w:t>
            </w:r>
          </w:p>
        </w:tc>
        <w:tc>
          <w:tcPr>
            <w:tcW w:w="454" w:type="dxa"/>
          </w:tcPr>
          <w:p w14:paraId="0E40140F"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B4E3A72"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3250DB2"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0F8B16D2"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65F72FC2"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6F00B87"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1F72304" w14:textId="53377C35" w:rsidR="00A520C9" w:rsidRPr="00E16493" w:rsidRDefault="004E6C81"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r>
      <w:tr w:rsidR="004E6C81" w14:paraId="1AC57E11"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607DCEDF" w14:textId="77777777" w:rsidR="004E6C81" w:rsidRPr="00E16493" w:rsidRDefault="004E6C81" w:rsidP="004E6C81">
            <w:pPr>
              <w:pStyle w:val="Tabletext"/>
              <w:rPr>
                <w:sz w:val="18"/>
                <w:szCs w:val="18"/>
              </w:rPr>
            </w:pPr>
            <w:r w:rsidRPr="00E16493">
              <w:rPr>
                <w:sz w:val="18"/>
                <w:szCs w:val="18"/>
              </w:rPr>
              <w:t>Transitions</w:t>
            </w:r>
          </w:p>
        </w:tc>
        <w:tc>
          <w:tcPr>
            <w:tcW w:w="1474" w:type="dxa"/>
          </w:tcPr>
          <w:p w14:paraId="5576285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Disability type t</w:t>
            </w:r>
            <w:r w:rsidRPr="00E16493">
              <w:rPr>
                <w:sz w:val="18"/>
                <w:szCs w:val="18"/>
              </w:rPr>
              <w:t>ransition rates</w:t>
            </w:r>
          </w:p>
        </w:tc>
        <w:tc>
          <w:tcPr>
            <w:tcW w:w="2835" w:type="dxa"/>
          </w:tcPr>
          <w:p w14:paraId="30F65797"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Rate of participants with developmental delay transitioning to autism and intellectual disability groups.</w:t>
            </w:r>
          </w:p>
        </w:tc>
        <w:tc>
          <w:tcPr>
            <w:tcW w:w="454" w:type="dxa"/>
          </w:tcPr>
          <w:p w14:paraId="758B085B" w14:textId="5824914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11701">
              <w:rPr>
                <w:sz w:val="18"/>
                <w:szCs w:val="18"/>
              </w:rPr>
              <w:t>Yes</w:t>
            </w:r>
          </w:p>
        </w:tc>
        <w:tc>
          <w:tcPr>
            <w:tcW w:w="454" w:type="dxa"/>
          </w:tcPr>
          <w:p w14:paraId="71CC765A" w14:textId="54D2B9EF"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11701">
              <w:rPr>
                <w:sz w:val="18"/>
                <w:szCs w:val="18"/>
              </w:rPr>
              <w:t>Yes</w:t>
            </w:r>
          </w:p>
        </w:tc>
        <w:tc>
          <w:tcPr>
            <w:tcW w:w="454" w:type="dxa"/>
          </w:tcPr>
          <w:p w14:paraId="4BE55F18" w14:textId="679F93DC"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11701">
              <w:rPr>
                <w:sz w:val="18"/>
                <w:szCs w:val="18"/>
              </w:rPr>
              <w:t>Yes</w:t>
            </w:r>
          </w:p>
        </w:tc>
        <w:tc>
          <w:tcPr>
            <w:tcW w:w="454" w:type="dxa"/>
          </w:tcPr>
          <w:p w14:paraId="397DF40F" w14:textId="23864168"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411701">
              <w:rPr>
                <w:sz w:val="18"/>
                <w:szCs w:val="18"/>
              </w:rPr>
              <w:t>Yes</w:t>
            </w:r>
          </w:p>
        </w:tc>
        <w:tc>
          <w:tcPr>
            <w:tcW w:w="454" w:type="dxa"/>
          </w:tcPr>
          <w:p w14:paraId="3008C335"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B35A75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4617B57"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4299ED9B"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25821444" w14:textId="77777777" w:rsidR="004E6C81" w:rsidRPr="00E16493" w:rsidRDefault="004E6C81" w:rsidP="004E6C81">
            <w:pPr>
              <w:pStyle w:val="Tabletext"/>
              <w:rPr>
                <w:sz w:val="18"/>
                <w:szCs w:val="18"/>
              </w:rPr>
            </w:pPr>
            <w:r w:rsidRPr="00E16493">
              <w:rPr>
                <w:sz w:val="18"/>
                <w:szCs w:val="18"/>
              </w:rPr>
              <w:t>SIL</w:t>
            </w:r>
          </w:p>
        </w:tc>
        <w:tc>
          <w:tcPr>
            <w:tcW w:w="1474" w:type="dxa"/>
          </w:tcPr>
          <w:p w14:paraId="0A503020"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SIL proportion – short term</w:t>
            </w:r>
          </w:p>
        </w:tc>
        <w:tc>
          <w:tcPr>
            <w:tcW w:w="2835" w:type="dxa"/>
          </w:tcPr>
          <w:p w14:paraId="4152F0AD"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16493">
              <w:rPr>
                <w:sz w:val="18"/>
                <w:szCs w:val="18"/>
              </w:rPr>
              <w:t>Proportion of population with SIL, with pathway assumed over about 10 years (short/medium/long assumptions)</w:t>
            </w:r>
          </w:p>
        </w:tc>
        <w:tc>
          <w:tcPr>
            <w:tcW w:w="454" w:type="dxa"/>
          </w:tcPr>
          <w:p w14:paraId="25E7E767"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CA529FE" w14:textId="5FF05282"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7748CB5D" w14:textId="21194D8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3EAEA3AC" w14:textId="4CEF3196"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4CC9E51C"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867450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2CCFFFED" w14:textId="299E739C"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r>
      <w:tr w:rsidR="004E6C81" w14:paraId="23EBF297"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263D2A3A" w14:textId="77777777" w:rsidR="004E6C81" w:rsidRPr="00E16493" w:rsidRDefault="004E6C81" w:rsidP="004E6C81">
            <w:pPr>
              <w:pStyle w:val="Tabletext"/>
              <w:rPr>
                <w:sz w:val="18"/>
                <w:szCs w:val="18"/>
              </w:rPr>
            </w:pPr>
            <w:r>
              <w:rPr>
                <w:sz w:val="18"/>
                <w:szCs w:val="18"/>
              </w:rPr>
              <w:t>Costs</w:t>
            </w:r>
          </w:p>
        </w:tc>
        <w:tc>
          <w:tcPr>
            <w:tcW w:w="1474" w:type="dxa"/>
          </w:tcPr>
          <w:p w14:paraId="1389C18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Average support payments</w:t>
            </w:r>
          </w:p>
        </w:tc>
        <w:tc>
          <w:tcPr>
            <w:tcW w:w="2835" w:type="dxa"/>
          </w:tcPr>
          <w:p w14:paraId="26D1EBFA"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Average support payments per participant for each support type </w:t>
            </w:r>
          </w:p>
        </w:tc>
        <w:tc>
          <w:tcPr>
            <w:tcW w:w="454" w:type="dxa"/>
          </w:tcPr>
          <w:p w14:paraId="5E56956F"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AAFA555" w14:textId="32F9A614"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7F6677D4" w14:textId="7AE77F88"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19100AEF" w14:textId="46D403D9"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178043AD"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2EB0F6F3" w14:textId="1F84F8D9"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9402EE">
              <w:rPr>
                <w:sz w:val="18"/>
                <w:szCs w:val="18"/>
              </w:rPr>
              <w:t>Yes</w:t>
            </w:r>
          </w:p>
        </w:tc>
        <w:tc>
          <w:tcPr>
            <w:tcW w:w="454" w:type="dxa"/>
          </w:tcPr>
          <w:p w14:paraId="55FE9D78"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6C2CF8BD"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2DC65735" w14:textId="77777777" w:rsidR="004E6C81" w:rsidRDefault="004E6C81" w:rsidP="004E6C81">
            <w:pPr>
              <w:pStyle w:val="Tabletext"/>
              <w:rPr>
                <w:sz w:val="18"/>
                <w:szCs w:val="18"/>
              </w:rPr>
            </w:pPr>
          </w:p>
        </w:tc>
        <w:tc>
          <w:tcPr>
            <w:tcW w:w="1474" w:type="dxa"/>
          </w:tcPr>
          <w:p w14:paraId="2D0C699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New entrant adjustment</w:t>
            </w:r>
          </w:p>
        </w:tc>
        <w:tc>
          <w:tcPr>
            <w:tcW w:w="2835" w:type="dxa"/>
          </w:tcPr>
          <w:p w14:paraId="503C9250" w14:textId="77777777" w:rsidR="004E6C81"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An adjustment to average support payments to reflect the low support required by new entrants</w:t>
            </w:r>
          </w:p>
        </w:tc>
        <w:tc>
          <w:tcPr>
            <w:tcW w:w="454" w:type="dxa"/>
          </w:tcPr>
          <w:p w14:paraId="3EC5DE94"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7F8B399" w14:textId="782CF8E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2B0EDAA3" w14:textId="1394ED68"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73E661D3" w14:textId="16517883"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145442">
              <w:rPr>
                <w:sz w:val="18"/>
                <w:szCs w:val="18"/>
              </w:rPr>
              <w:t>Yes</w:t>
            </w:r>
          </w:p>
        </w:tc>
        <w:tc>
          <w:tcPr>
            <w:tcW w:w="454" w:type="dxa"/>
          </w:tcPr>
          <w:p w14:paraId="6843C7D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0B56B4C4" w14:textId="239F7503"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9402EE">
              <w:rPr>
                <w:sz w:val="18"/>
                <w:szCs w:val="18"/>
              </w:rPr>
              <w:t>Yes</w:t>
            </w:r>
          </w:p>
        </w:tc>
        <w:tc>
          <w:tcPr>
            <w:tcW w:w="454" w:type="dxa"/>
          </w:tcPr>
          <w:p w14:paraId="18616A05"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r w:rsidR="004E6C81" w14:paraId="48D044C9"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144F49F9" w14:textId="77777777" w:rsidR="004E6C81" w:rsidRDefault="004E6C81" w:rsidP="004E6C81">
            <w:pPr>
              <w:pStyle w:val="Tabletext"/>
              <w:rPr>
                <w:sz w:val="18"/>
                <w:szCs w:val="18"/>
              </w:rPr>
            </w:pPr>
            <w:r>
              <w:rPr>
                <w:sz w:val="18"/>
                <w:szCs w:val="18"/>
              </w:rPr>
              <w:t>Cost increases</w:t>
            </w:r>
          </w:p>
        </w:tc>
        <w:tc>
          <w:tcPr>
            <w:tcW w:w="1474" w:type="dxa"/>
          </w:tcPr>
          <w:p w14:paraId="40D58ABB" w14:textId="77777777" w:rsidR="004E6C81" w:rsidRPr="000C3D67"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8B069D">
              <w:rPr>
                <w:sz w:val="18"/>
                <w:szCs w:val="18"/>
              </w:rPr>
              <w:t>Price</w:t>
            </w:r>
            <w:r w:rsidRPr="000C3D67">
              <w:rPr>
                <w:sz w:val="18"/>
                <w:szCs w:val="18"/>
              </w:rPr>
              <w:t xml:space="preserve"> inflation</w:t>
            </w:r>
          </w:p>
        </w:tc>
        <w:tc>
          <w:tcPr>
            <w:tcW w:w="2835" w:type="dxa"/>
          </w:tcPr>
          <w:p w14:paraId="5B380764" w14:textId="77777777" w:rsidR="004E6C81"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w:t>
            </w:r>
            <w:r w:rsidRPr="0094102A">
              <w:rPr>
                <w:sz w:val="18"/>
                <w:szCs w:val="18"/>
              </w:rPr>
              <w:t>verage price change for each support category</w:t>
            </w:r>
          </w:p>
        </w:tc>
        <w:tc>
          <w:tcPr>
            <w:tcW w:w="454" w:type="dxa"/>
          </w:tcPr>
          <w:p w14:paraId="0F8070E8"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D782522"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53573A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EA38405"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220C9B4B"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8AE602A" w14:textId="6040AA6A"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9402EE">
              <w:rPr>
                <w:sz w:val="18"/>
                <w:szCs w:val="18"/>
              </w:rPr>
              <w:t>Yes</w:t>
            </w:r>
          </w:p>
        </w:tc>
        <w:tc>
          <w:tcPr>
            <w:tcW w:w="454" w:type="dxa"/>
          </w:tcPr>
          <w:p w14:paraId="34AC15E2" w14:textId="459D2F55"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002BD">
              <w:rPr>
                <w:sz w:val="18"/>
                <w:szCs w:val="18"/>
              </w:rPr>
              <w:t>Yes</w:t>
            </w:r>
          </w:p>
        </w:tc>
      </w:tr>
      <w:tr w:rsidR="004E6C81" w14:paraId="42AF1F1E"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78EBAA02" w14:textId="77777777" w:rsidR="004E6C81" w:rsidRDefault="004E6C81" w:rsidP="004E6C81">
            <w:pPr>
              <w:pStyle w:val="Tabletext"/>
              <w:rPr>
                <w:sz w:val="18"/>
                <w:szCs w:val="18"/>
              </w:rPr>
            </w:pPr>
          </w:p>
        </w:tc>
        <w:tc>
          <w:tcPr>
            <w:tcW w:w="1474" w:type="dxa"/>
          </w:tcPr>
          <w:p w14:paraId="03E60A83" w14:textId="77777777" w:rsidR="004E6C81" w:rsidRPr="000C3D67"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0C3D67">
              <w:rPr>
                <w:sz w:val="18"/>
                <w:szCs w:val="18"/>
              </w:rPr>
              <w:t>Superimposed inflation</w:t>
            </w:r>
          </w:p>
        </w:tc>
        <w:tc>
          <w:tcPr>
            <w:tcW w:w="2835" w:type="dxa"/>
          </w:tcPr>
          <w:p w14:paraId="2B2DF9C4" w14:textId="77777777" w:rsidR="004E6C81"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w:t>
            </w:r>
            <w:r w:rsidRPr="0094102A">
              <w:rPr>
                <w:sz w:val="18"/>
                <w:szCs w:val="18"/>
              </w:rPr>
              <w:t>verage allowance for changes above for price inflation and non-price related changes for each support category</w:t>
            </w:r>
          </w:p>
        </w:tc>
        <w:tc>
          <w:tcPr>
            <w:tcW w:w="454" w:type="dxa"/>
          </w:tcPr>
          <w:p w14:paraId="1DD39432"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8E8FA49"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CD69E3A"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508123DC"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05499474"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2D0DE56" w14:textId="60241DB5"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9402EE">
              <w:rPr>
                <w:sz w:val="18"/>
                <w:szCs w:val="18"/>
              </w:rPr>
              <w:t>Yes</w:t>
            </w:r>
          </w:p>
        </w:tc>
        <w:tc>
          <w:tcPr>
            <w:tcW w:w="454" w:type="dxa"/>
          </w:tcPr>
          <w:p w14:paraId="51EE6BEC" w14:textId="076CCBA5"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002BD">
              <w:rPr>
                <w:sz w:val="18"/>
                <w:szCs w:val="18"/>
              </w:rPr>
              <w:t>Yes</w:t>
            </w:r>
          </w:p>
        </w:tc>
      </w:tr>
      <w:tr w:rsidR="004E6C81" w14:paraId="4EED85C4"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53498855" w14:textId="77777777" w:rsidR="004E6C81" w:rsidRDefault="004E6C81" w:rsidP="004E6C81">
            <w:pPr>
              <w:pStyle w:val="Tabletext"/>
              <w:rPr>
                <w:sz w:val="18"/>
                <w:szCs w:val="18"/>
              </w:rPr>
            </w:pPr>
          </w:p>
        </w:tc>
        <w:tc>
          <w:tcPr>
            <w:tcW w:w="1474" w:type="dxa"/>
          </w:tcPr>
          <w:p w14:paraId="46FFF4D4" w14:textId="77777777" w:rsidR="004E6C81" w:rsidRPr="006976B1"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6976B1">
              <w:rPr>
                <w:sz w:val="18"/>
                <w:szCs w:val="18"/>
              </w:rPr>
              <w:t>Payment adjustments</w:t>
            </w:r>
          </w:p>
        </w:tc>
        <w:tc>
          <w:tcPr>
            <w:tcW w:w="2835" w:type="dxa"/>
          </w:tcPr>
          <w:p w14:paraId="64603B96" w14:textId="77777777" w:rsidR="004E6C81"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Additional adjustments for some support types</w:t>
            </w:r>
          </w:p>
        </w:tc>
        <w:tc>
          <w:tcPr>
            <w:tcW w:w="454" w:type="dxa"/>
          </w:tcPr>
          <w:p w14:paraId="5ADAC9C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67B9A6E"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EE03E36"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BBF65B3"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8AD53D4" w14:textId="77777777"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C75B0A6" w14:textId="32FDB4E3"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9402EE">
              <w:rPr>
                <w:sz w:val="18"/>
                <w:szCs w:val="18"/>
              </w:rPr>
              <w:t>Yes</w:t>
            </w:r>
          </w:p>
        </w:tc>
        <w:tc>
          <w:tcPr>
            <w:tcW w:w="454" w:type="dxa"/>
          </w:tcPr>
          <w:p w14:paraId="5A06B8D4" w14:textId="222DAB09" w:rsidR="004E6C81" w:rsidRPr="00E16493" w:rsidRDefault="004E6C81" w:rsidP="004E6C81">
            <w:pPr>
              <w:pStyle w:val="Tabletext"/>
              <w:cnfStyle w:val="000000000000" w:firstRow="0" w:lastRow="0" w:firstColumn="0" w:lastColumn="0" w:oddVBand="0" w:evenVBand="0" w:oddHBand="0" w:evenHBand="0" w:firstRowFirstColumn="0" w:firstRowLastColumn="0" w:lastRowFirstColumn="0" w:lastRowLastColumn="0"/>
              <w:rPr>
                <w:sz w:val="18"/>
                <w:szCs w:val="18"/>
              </w:rPr>
            </w:pPr>
            <w:r w:rsidRPr="00E002BD">
              <w:rPr>
                <w:sz w:val="18"/>
                <w:szCs w:val="18"/>
              </w:rPr>
              <w:t>Yes</w:t>
            </w:r>
          </w:p>
        </w:tc>
      </w:tr>
      <w:tr w:rsidR="00A520C9" w14:paraId="23405BEC" w14:textId="77777777" w:rsidTr="004E6C81">
        <w:tc>
          <w:tcPr>
            <w:cnfStyle w:val="001000000000" w:firstRow="0" w:lastRow="0" w:firstColumn="1" w:lastColumn="0" w:oddVBand="0" w:evenVBand="0" w:oddHBand="0" w:evenHBand="0" w:firstRowFirstColumn="0" w:firstRowLastColumn="0" w:lastRowFirstColumn="0" w:lastRowLastColumn="0"/>
            <w:tcW w:w="1918" w:type="dxa"/>
          </w:tcPr>
          <w:p w14:paraId="09318780" w14:textId="77777777" w:rsidR="00A520C9" w:rsidRDefault="00A520C9" w:rsidP="00DA0930">
            <w:pPr>
              <w:pStyle w:val="Tabletext"/>
              <w:rPr>
                <w:sz w:val="18"/>
                <w:szCs w:val="18"/>
              </w:rPr>
            </w:pPr>
            <w:r>
              <w:rPr>
                <w:sz w:val="18"/>
                <w:szCs w:val="18"/>
              </w:rPr>
              <w:t>Over age 65 loading</w:t>
            </w:r>
          </w:p>
        </w:tc>
        <w:tc>
          <w:tcPr>
            <w:tcW w:w="1474" w:type="dxa"/>
          </w:tcPr>
          <w:p w14:paraId="4C27DE11"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Additional adjustment</w:t>
            </w:r>
          </w:p>
        </w:tc>
        <w:tc>
          <w:tcPr>
            <w:tcW w:w="2835" w:type="dxa"/>
          </w:tcPr>
          <w:p w14:paraId="307EFE3B" w14:textId="77777777" w:rsidR="00A520C9"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Additional cost adjustment applied for 65+</w:t>
            </w:r>
          </w:p>
        </w:tc>
        <w:tc>
          <w:tcPr>
            <w:tcW w:w="454" w:type="dxa"/>
          </w:tcPr>
          <w:p w14:paraId="12EBDEED"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7DD3D421"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427DF25F" w14:textId="63D3383E" w:rsidR="00A520C9" w:rsidRPr="00E16493" w:rsidRDefault="004E6C81"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Yes</w:t>
            </w:r>
          </w:p>
        </w:tc>
        <w:tc>
          <w:tcPr>
            <w:tcW w:w="454" w:type="dxa"/>
          </w:tcPr>
          <w:p w14:paraId="74C7EE11"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504EDEC"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1928585E"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c>
          <w:tcPr>
            <w:tcW w:w="454" w:type="dxa"/>
          </w:tcPr>
          <w:p w14:paraId="3BD2DBA0" w14:textId="77777777" w:rsidR="00A520C9" w:rsidRPr="00E16493" w:rsidRDefault="00A520C9" w:rsidP="00DA0930">
            <w:pPr>
              <w:pStyle w:val="Tabletext"/>
              <w:cnfStyle w:val="000000000000" w:firstRow="0" w:lastRow="0" w:firstColumn="0" w:lastColumn="0" w:oddVBand="0" w:evenVBand="0" w:oddHBand="0" w:evenHBand="0" w:firstRowFirstColumn="0" w:firstRowLastColumn="0" w:lastRowFirstColumn="0" w:lastRowLastColumn="0"/>
              <w:rPr>
                <w:sz w:val="18"/>
                <w:szCs w:val="18"/>
              </w:rPr>
            </w:pPr>
          </w:p>
        </w:tc>
      </w:tr>
    </w:tbl>
    <w:p w14:paraId="6589B911" w14:textId="77C1BAEF" w:rsidR="00CD066D" w:rsidRDefault="007837E0" w:rsidP="001275CA">
      <w:bookmarkStart w:id="128" w:name="_Toc83828723"/>
      <w:bookmarkStart w:id="129" w:name="_Toc83828752"/>
      <w:bookmarkStart w:id="130" w:name="_Ref83919488"/>
      <w:bookmarkStart w:id="131" w:name="_Toc83997768"/>
      <w:r>
        <w:t xml:space="preserve">We have reviewed the assumption setting basis for the AFSR, focusing on areas we judged most material. </w:t>
      </w:r>
      <w:r w:rsidR="00CD066D">
        <w:t xml:space="preserve">We focus our </w:t>
      </w:r>
      <w:r w:rsidR="00CD066D" w:rsidRPr="00F36406">
        <w:t xml:space="preserve">discussion on the </w:t>
      </w:r>
      <w:r w:rsidR="001275CA" w:rsidRPr="00F36406">
        <w:t xml:space="preserve">five </w:t>
      </w:r>
      <w:r w:rsidR="00CD066D" w:rsidRPr="00F36406">
        <w:t>most</w:t>
      </w:r>
      <w:r w:rsidR="00CD066D">
        <w:t xml:space="preserve"> important sets of assumptions, and then briefly describe our findings on other assumptions. The </w:t>
      </w:r>
      <w:r w:rsidR="001275CA">
        <w:t xml:space="preserve">key </w:t>
      </w:r>
      <w:r w:rsidR="00CD066D">
        <w:t>assumptions are:</w:t>
      </w:r>
    </w:p>
    <w:p w14:paraId="62F29374" w14:textId="19B8644A" w:rsidR="00CD066D" w:rsidRDefault="001275CA" w:rsidP="00CD066D">
      <w:pPr>
        <w:pStyle w:val="Bullet1"/>
      </w:pPr>
      <w:r>
        <w:fldChar w:fldCharType="begin"/>
      </w:r>
      <w:r>
        <w:instrText xml:space="preserve"> REF _Ref87534738 \h </w:instrText>
      </w:r>
      <w:r>
        <w:fldChar w:fldCharType="separate"/>
      </w:r>
      <w:r w:rsidR="00E6217F">
        <w:t>Participant entry numbers and mix</w:t>
      </w:r>
      <w:r>
        <w:fldChar w:fldCharType="end"/>
      </w:r>
    </w:p>
    <w:p w14:paraId="4CC3F887" w14:textId="4D330C81" w:rsidR="00CD066D" w:rsidRDefault="001275CA" w:rsidP="00CD066D">
      <w:pPr>
        <w:pStyle w:val="Bullet1"/>
      </w:pPr>
      <w:r>
        <w:fldChar w:fldCharType="begin"/>
      </w:r>
      <w:r>
        <w:instrText xml:space="preserve"> REF _Ref87540517 \h </w:instrText>
      </w:r>
      <w:r>
        <w:fldChar w:fldCharType="separate"/>
      </w:r>
      <w:r w:rsidR="00E6217F">
        <w:t>Participant non-mortality exits</w:t>
      </w:r>
      <w:r>
        <w:fldChar w:fldCharType="end"/>
      </w:r>
    </w:p>
    <w:p w14:paraId="6D8BF016" w14:textId="619817A4" w:rsidR="001275CA" w:rsidRDefault="001275CA" w:rsidP="001275CA">
      <w:pPr>
        <w:pStyle w:val="Bullet1"/>
      </w:pPr>
      <w:r>
        <w:fldChar w:fldCharType="begin"/>
      </w:r>
      <w:r>
        <w:instrText xml:space="preserve"> REF _Ref87540530 \h  \* MERGEFORMAT </w:instrText>
      </w:r>
      <w:r>
        <w:fldChar w:fldCharType="separate"/>
      </w:r>
      <w:r w:rsidR="00E6217F">
        <w:t>Number of participants accessing SIL</w:t>
      </w:r>
      <w:r>
        <w:fldChar w:fldCharType="end"/>
      </w:r>
    </w:p>
    <w:p w14:paraId="4D417740" w14:textId="1021D53C" w:rsidR="001275CA" w:rsidRDefault="001275CA" w:rsidP="001275CA">
      <w:pPr>
        <w:pStyle w:val="Bullet1"/>
      </w:pPr>
      <w:r>
        <w:fldChar w:fldCharType="begin"/>
      </w:r>
      <w:r>
        <w:instrText xml:space="preserve"> REF _Ref87540532 \h  \* MERGEFORMAT </w:instrText>
      </w:r>
      <w:r>
        <w:fldChar w:fldCharType="separate"/>
      </w:r>
      <w:r w:rsidR="00E6217F">
        <w:t>Cost assumptions</w:t>
      </w:r>
      <w:r>
        <w:fldChar w:fldCharType="end"/>
      </w:r>
    </w:p>
    <w:p w14:paraId="2B71C445" w14:textId="59483B0F" w:rsidR="007837E0" w:rsidRDefault="001275CA" w:rsidP="00AE18A2">
      <w:pPr>
        <w:pStyle w:val="Bullet1"/>
      </w:pPr>
      <w:r>
        <w:fldChar w:fldCharType="begin"/>
      </w:r>
      <w:r>
        <w:instrText xml:space="preserve"> REF _Ref83714389 \h  \* MERGEFORMAT </w:instrText>
      </w:r>
      <w:r>
        <w:fldChar w:fldCharType="separate"/>
      </w:r>
      <w:r w:rsidR="00E6217F">
        <w:t>Inflation assumptions</w:t>
      </w:r>
      <w:r>
        <w:fldChar w:fldCharType="end"/>
      </w:r>
    </w:p>
    <w:p w14:paraId="2E0159F7" w14:textId="3162D5E3" w:rsidR="00CD066D" w:rsidRDefault="00CD066D" w:rsidP="00A520C9">
      <w:pPr>
        <w:pStyle w:val="Heading2"/>
      </w:pPr>
      <w:bookmarkStart w:id="132" w:name="_Ref87534738"/>
      <w:bookmarkStart w:id="133" w:name="_Toc87700471"/>
      <w:bookmarkStart w:id="134" w:name="_Toc88686123"/>
      <w:r>
        <w:t>Participant entry numbers and mix</w:t>
      </w:r>
      <w:bookmarkEnd w:id="132"/>
      <w:bookmarkEnd w:id="133"/>
      <w:bookmarkEnd w:id="134"/>
    </w:p>
    <w:p w14:paraId="1C333B80" w14:textId="77777777" w:rsidR="003B572C" w:rsidRDefault="003B572C" w:rsidP="003B572C">
      <w:r>
        <w:t xml:space="preserve">New entrant assumptions are material, albeit more material over the medium and long term, where there is greater uncertainty of trends. </w:t>
      </w:r>
    </w:p>
    <w:p w14:paraId="747E6DAC" w14:textId="7194875D" w:rsidR="003B572C" w:rsidRDefault="003B572C" w:rsidP="003B572C">
      <w:r>
        <w:t>Since the numbers of people in previous State, Territory and Commonwealth schemes were known, the overwhelming bulk of unanticipated entrants relate to those entering from outside other schemes.</w:t>
      </w:r>
    </w:p>
    <w:p w14:paraId="314246F6" w14:textId="50C21EF8" w:rsidR="003B572C" w:rsidRDefault="003B572C" w:rsidP="003B572C">
      <w:r>
        <w:t xml:space="preserve">Entries were 25% higher than expected in 2019-20 and 2020-21 compared to the </w:t>
      </w:r>
      <w:r w:rsidR="00D320CF">
        <w:t>2018-19 AFSR</w:t>
      </w:r>
      <w:r>
        <w:t xml:space="preserve"> projections. The experience is not uniform across disability types; some types have seen lower-than-expected entries, and the entire difference is more than explained by two disability types (Autism and Delay). Although intellectual disability entries were lower than expected, many entrants in the delay group will transition into intellectual disability as they age. </w:t>
      </w:r>
    </w:p>
    <w:p w14:paraId="3124FE04" w14:textId="3EF810B9" w:rsidR="003B572C" w:rsidRDefault="003B572C" w:rsidP="003B572C">
      <w:pPr>
        <w:pStyle w:val="Caption"/>
      </w:pPr>
      <w:r>
        <w:t xml:space="preserve">Table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Table \* ARABIC \s 1 </w:instrText>
      </w:r>
      <w:r>
        <w:fldChar w:fldCharType="separate"/>
      </w:r>
      <w:r w:rsidR="00E6217F">
        <w:rPr>
          <w:noProof/>
        </w:rPr>
        <w:t>2</w:t>
      </w:r>
      <w:r>
        <w:fldChar w:fldCharType="end"/>
      </w:r>
      <w:r>
        <w:t xml:space="preserve"> – Comparison of actual new entrants in 2020-21 compared to those expected in the 201</w:t>
      </w:r>
      <w:r w:rsidR="00DF6582">
        <w:t>8-19</w:t>
      </w:r>
      <w:r>
        <w:t xml:space="preserve"> AFSR</w:t>
      </w:r>
    </w:p>
    <w:tbl>
      <w:tblPr>
        <w:tblStyle w:val="TFBlue"/>
        <w:tblW w:w="7536" w:type="dxa"/>
        <w:tblLook w:val="04E0" w:firstRow="1" w:lastRow="1" w:firstColumn="1" w:lastColumn="0" w:noHBand="0" w:noVBand="1"/>
      </w:tblPr>
      <w:tblGrid>
        <w:gridCol w:w="2211"/>
        <w:gridCol w:w="1583"/>
        <w:gridCol w:w="1134"/>
        <w:gridCol w:w="1304"/>
        <w:gridCol w:w="1304"/>
      </w:tblGrid>
      <w:tr w:rsidR="003B572C" w14:paraId="679D863B" w14:textId="77777777" w:rsidTr="00DF6582">
        <w:trPr>
          <w:cnfStyle w:val="100000000000" w:firstRow="1" w:lastRow="0" w:firstColumn="0" w:lastColumn="0" w:oddVBand="0" w:evenVBand="0" w:oddHBand="0" w:evenHBand="0" w:firstRowFirstColumn="0" w:firstRowLastColumn="0" w:lastRowFirstColumn="0" w:lastRowLastColumn="0"/>
        </w:trPr>
        <w:tc>
          <w:tcPr>
            <w:tcW w:w="2211" w:type="dxa"/>
            <w:vAlign w:val="center"/>
          </w:tcPr>
          <w:p w14:paraId="7331A103" w14:textId="77777777" w:rsidR="003B572C" w:rsidRPr="00DF6582" w:rsidRDefault="003B572C" w:rsidP="00CB47D6">
            <w:pPr>
              <w:pStyle w:val="Tabletext"/>
              <w:rPr>
                <w:sz w:val="18"/>
                <w:szCs w:val="18"/>
              </w:rPr>
            </w:pPr>
            <w:r w:rsidRPr="00DF6582">
              <w:rPr>
                <w:sz w:val="18"/>
                <w:szCs w:val="18"/>
              </w:rPr>
              <w:t>Disability group</w:t>
            </w:r>
          </w:p>
        </w:tc>
        <w:tc>
          <w:tcPr>
            <w:tcW w:w="1583" w:type="dxa"/>
            <w:vAlign w:val="center"/>
          </w:tcPr>
          <w:p w14:paraId="51FAEDD2" w14:textId="76FCD0AE" w:rsidR="003B572C" w:rsidRPr="00DF6582" w:rsidRDefault="003B572C" w:rsidP="00CB47D6">
            <w:pPr>
              <w:pStyle w:val="Tabletext"/>
              <w:jc w:val="center"/>
              <w:rPr>
                <w:sz w:val="18"/>
                <w:szCs w:val="18"/>
              </w:rPr>
            </w:pPr>
            <w:r w:rsidRPr="00DF6582">
              <w:rPr>
                <w:sz w:val="18"/>
                <w:szCs w:val="18"/>
              </w:rPr>
              <w:t xml:space="preserve">Expected </w:t>
            </w:r>
            <w:r w:rsidR="00DF6582" w:rsidRPr="00DF6582">
              <w:rPr>
                <w:sz w:val="18"/>
                <w:szCs w:val="18"/>
              </w:rPr>
              <w:t xml:space="preserve">in 2020-21 </w:t>
            </w:r>
            <w:r w:rsidR="00DF6582" w:rsidRPr="00DF6582">
              <w:rPr>
                <w:sz w:val="18"/>
                <w:szCs w:val="18"/>
              </w:rPr>
              <w:br/>
            </w:r>
            <w:r w:rsidRPr="00DF6582">
              <w:rPr>
                <w:sz w:val="18"/>
                <w:szCs w:val="18"/>
              </w:rPr>
              <w:t>(201</w:t>
            </w:r>
            <w:r w:rsidR="00DF6582" w:rsidRPr="00DF6582">
              <w:rPr>
                <w:sz w:val="18"/>
                <w:szCs w:val="18"/>
              </w:rPr>
              <w:t>8-1</w:t>
            </w:r>
            <w:r w:rsidRPr="00DF6582">
              <w:rPr>
                <w:sz w:val="18"/>
                <w:szCs w:val="18"/>
              </w:rPr>
              <w:t>9 AFSR)</w:t>
            </w:r>
          </w:p>
        </w:tc>
        <w:tc>
          <w:tcPr>
            <w:tcW w:w="1134" w:type="dxa"/>
            <w:vAlign w:val="center"/>
          </w:tcPr>
          <w:p w14:paraId="22826356" w14:textId="77777777" w:rsidR="003B572C" w:rsidRPr="00DF6582" w:rsidRDefault="003B572C" w:rsidP="003B572C">
            <w:pPr>
              <w:pStyle w:val="NormalIndent"/>
              <w:rPr>
                <w:sz w:val="18"/>
                <w:szCs w:val="18"/>
              </w:rPr>
            </w:pPr>
            <w:r w:rsidRPr="00DF6582">
              <w:rPr>
                <w:sz w:val="18"/>
                <w:szCs w:val="18"/>
              </w:rPr>
              <w:t>Actual</w:t>
            </w:r>
          </w:p>
        </w:tc>
        <w:tc>
          <w:tcPr>
            <w:tcW w:w="1304" w:type="dxa"/>
            <w:vAlign w:val="center"/>
          </w:tcPr>
          <w:p w14:paraId="7F29B01B" w14:textId="77777777" w:rsidR="003B572C" w:rsidRPr="00DF6582" w:rsidRDefault="003B572C" w:rsidP="00DF6582">
            <w:pPr>
              <w:pStyle w:val="Tabletext"/>
              <w:jc w:val="right"/>
              <w:rPr>
                <w:sz w:val="18"/>
                <w:szCs w:val="18"/>
              </w:rPr>
            </w:pPr>
            <w:r w:rsidRPr="00DF6582">
              <w:rPr>
                <w:sz w:val="18"/>
                <w:szCs w:val="18"/>
              </w:rPr>
              <w:t>Difference</w:t>
            </w:r>
          </w:p>
        </w:tc>
        <w:tc>
          <w:tcPr>
            <w:tcW w:w="1304" w:type="dxa"/>
            <w:vAlign w:val="center"/>
          </w:tcPr>
          <w:p w14:paraId="7D560227" w14:textId="77777777" w:rsidR="003B572C" w:rsidRPr="00DF6582" w:rsidRDefault="003B572C" w:rsidP="00DF6582">
            <w:pPr>
              <w:pStyle w:val="Tabletext"/>
              <w:jc w:val="right"/>
              <w:rPr>
                <w:sz w:val="18"/>
                <w:szCs w:val="18"/>
              </w:rPr>
            </w:pPr>
            <w:r w:rsidRPr="00DF6582">
              <w:rPr>
                <w:sz w:val="18"/>
                <w:szCs w:val="18"/>
              </w:rPr>
              <w:t>Ratio</w:t>
            </w:r>
          </w:p>
        </w:tc>
      </w:tr>
      <w:tr w:rsidR="00DF6582" w14:paraId="75C32D68"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21336D36" w14:textId="77777777" w:rsidR="00DF6582" w:rsidRPr="00DF6582" w:rsidRDefault="00DF6582" w:rsidP="00DF6582">
            <w:pPr>
              <w:pStyle w:val="Tabletext"/>
              <w:rPr>
                <w:sz w:val="18"/>
                <w:szCs w:val="18"/>
              </w:rPr>
            </w:pPr>
            <w:r w:rsidRPr="00DF6582">
              <w:rPr>
                <w:sz w:val="18"/>
                <w:szCs w:val="18"/>
              </w:rPr>
              <w:t>ABI</w:t>
            </w:r>
          </w:p>
        </w:tc>
        <w:tc>
          <w:tcPr>
            <w:tcW w:w="1583" w:type="dxa"/>
            <w:vAlign w:val="center"/>
          </w:tcPr>
          <w:p w14:paraId="4CF17A0C" w14:textId="163E3BF1" w:rsidR="00DF6582" w:rsidRPr="00DF6582" w:rsidRDefault="00DF6582" w:rsidP="00DF6582">
            <w:pPr>
              <w:pStyle w:val="Tablenumbers"/>
              <w:rPr>
                <w:sz w:val="18"/>
                <w:szCs w:val="18"/>
              </w:rPr>
            </w:pPr>
            <w:r w:rsidRPr="00DF6582">
              <w:rPr>
                <w:rFonts w:ascii="Blanco" w:hAnsi="Blanco" w:cs="Calibri"/>
                <w:color w:val="231F20"/>
                <w:sz w:val="18"/>
                <w:szCs w:val="18"/>
              </w:rPr>
              <w:t>2,309</w:t>
            </w:r>
          </w:p>
        </w:tc>
        <w:tc>
          <w:tcPr>
            <w:tcW w:w="1134" w:type="dxa"/>
            <w:vAlign w:val="center"/>
          </w:tcPr>
          <w:p w14:paraId="66E3F87F" w14:textId="28D0977E" w:rsidR="00DF6582" w:rsidRPr="00DF6582" w:rsidRDefault="00DF6582" w:rsidP="00DF6582">
            <w:pPr>
              <w:pStyle w:val="Tablenumbers"/>
              <w:rPr>
                <w:sz w:val="18"/>
                <w:szCs w:val="18"/>
              </w:rPr>
            </w:pPr>
            <w:r w:rsidRPr="00DF6582">
              <w:rPr>
                <w:rFonts w:ascii="Blanco" w:hAnsi="Blanco" w:cs="Calibri"/>
                <w:color w:val="231F20"/>
                <w:sz w:val="18"/>
                <w:szCs w:val="18"/>
              </w:rPr>
              <w:t>2,249</w:t>
            </w:r>
          </w:p>
        </w:tc>
        <w:tc>
          <w:tcPr>
            <w:tcW w:w="1304" w:type="dxa"/>
            <w:vAlign w:val="center"/>
          </w:tcPr>
          <w:p w14:paraId="52C10DAE" w14:textId="5C44FE05" w:rsidR="00DF6582" w:rsidRPr="00DF6582" w:rsidRDefault="00DF6582" w:rsidP="00DF6582">
            <w:pPr>
              <w:pStyle w:val="Tablenumbers"/>
              <w:rPr>
                <w:sz w:val="18"/>
                <w:szCs w:val="18"/>
              </w:rPr>
            </w:pPr>
            <w:r w:rsidRPr="00DF6582">
              <w:rPr>
                <w:rFonts w:ascii="Blanco" w:hAnsi="Blanco" w:cs="Calibri"/>
                <w:color w:val="231F20"/>
                <w:sz w:val="18"/>
                <w:szCs w:val="18"/>
              </w:rPr>
              <w:t>-60</w:t>
            </w:r>
          </w:p>
        </w:tc>
        <w:tc>
          <w:tcPr>
            <w:tcW w:w="1304" w:type="dxa"/>
            <w:vAlign w:val="center"/>
          </w:tcPr>
          <w:p w14:paraId="5336BB7B" w14:textId="5B329706" w:rsidR="00DF6582" w:rsidRPr="00DF6582" w:rsidRDefault="00DF6582" w:rsidP="00DF6582">
            <w:pPr>
              <w:pStyle w:val="Tablenumbers"/>
              <w:rPr>
                <w:sz w:val="18"/>
                <w:szCs w:val="18"/>
              </w:rPr>
            </w:pPr>
            <w:r w:rsidRPr="00DF6582">
              <w:rPr>
                <w:rFonts w:ascii="Blanco" w:hAnsi="Blanco" w:cs="Calibri"/>
                <w:color w:val="231F20"/>
                <w:sz w:val="18"/>
                <w:szCs w:val="18"/>
              </w:rPr>
              <w:t>97%</w:t>
            </w:r>
          </w:p>
        </w:tc>
      </w:tr>
      <w:tr w:rsidR="00DF6582" w14:paraId="0850B6BA" w14:textId="77777777" w:rsidTr="00DF6582">
        <w:tc>
          <w:tcPr>
            <w:tcW w:w="2211" w:type="dxa"/>
            <w:vAlign w:val="center"/>
          </w:tcPr>
          <w:p w14:paraId="5BB1D2CF" w14:textId="77777777" w:rsidR="00DF6582" w:rsidRPr="00DF6582" w:rsidRDefault="00DF6582" w:rsidP="00DF6582">
            <w:pPr>
              <w:pStyle w:val="Tabletext"/>
              <w:rPr>
                <w:sz w:val="18"/>
                <w:szCs w:val="18"/>
              </w:rPr>
            </w:pPr>
            <w:r w:rsidRPr="00DF6582">
              <w:rPr>
                <w:sz w:val="18"/>
                <w:szCs w:val="18"/>
              </w:rPr>
              <w:t>Autism</w:t>
            </w:r>
          </w:p>
        </w:tc>
        <w:tc>
          <w:tcPr>
            <w:tcW w:w="1583" w:type="dxa"/>
            <w:vAlign w:val="center"/>
          </w:tcPr>
          <w:p w14:paraId="4FF13BEB" w14:textId="19D93CCC" w:rsidR="00DF6582" w:rsidRPr="00DF6582" w:rsidRDefault="00DF6582" w:rsidP="00DF6582">
            <w:pPr>
              <w:pStyle w:val="Tablenumbers"/>
              <w:rPr>
                <w:sz w:val="18"/>
                <w:szCs w:val="18"/>
              </w:rPr>
            </w:pPr>
            <w:r w:rsidRPr="00DF6582">
              <w:rPr>
                <w:rFonts w:ascii="Blanco" w:hAnsi="Blanco" w:cs="Calibri"/>
                <w:color w:val="231F20"/>
                <w:sz w:val="18"/>
                <w:szCs w:val="18"/>
              </w:rPr>
              <w:t>16,229</w:t>
            </w:r>
          </w:p>
        </w:tc>
        <w:tc>
          <w:tcPr>
            <w:tcW w:w="1134" w:type="dxa"/>
            <w:vAlign w:val="center"/>
          </w:tcPr>
          <w:p w14:paraId="749495B6" w14:textId="58E9A2A9" w:rsidR="00DF6582" w:rsidRPr="00DF6582" w:rsidRDefault="00DF6582" w:rsidP="00DF6582">
            <w:pPr>
              <w:pStyle w:val="Tablenumbers"/>
              <w:rPr>
                <w:sz w:val="18"/>
                <w:szCs w:val="18"/>
              </w:rPr>
            </w:pPr>
            <w:r w:rsidRPr="00DF6582">
              <w:rPr>
                <w:rFonts w:ascii="Blanco" w:hAnsi="Blanco" w:cs="Calibri"/>
                <w:color w:val="231F20"/>
                <w:sz w:val="18"/>
                <w:szCs w:val="18"/>
              </w:rPr>
              <w:t>23,371</w:t>
            </w:r>
          </w:p>
        </w:tc>
        <w:tc>
          <w:tcPr>
            <w:tcW w:w="1304" w:type="dxa"/>
            <w:vAlign w:val="center"/>
          </w:tcPr>
          <w:p w14:paraId="0340642D" w14:textId="4E6146D0" w:rsidR="00DF6582" w:rsidRPr="00DF6582" w:rsidRDefault="00DF6582" w:rsidP="00DF6582">
            <w:pPr>
              <w:pStyle w:val="Tablenumbers"/>
              <w:rPr>
                <w:sz w:val="18"/>
                <w:szCs w:val="18"/>
              </w:rPr>
            </w:pPr>
            <w:r w:rsidRPr="00DF6582">
              <w:rPr>
                <w:rFonts w:ascii="Blanco" w:hAnsi="Blanco" w:cs="Calibri"/>
                <w:color w:val="231F20"/>
                <w:sz w:val="18"/>
                <w:szCs w:val="18"/>
              </w:rPr>
              <w:t>7,142</w:t>
            </w:r>
          </w:p>
        </w:tc>
        <w:tc>
          <w:tcPr>
            <w:tcW w:w="1304" w:type="dxa"/>
            <w:vAlign w:val="center"/>
          </w:tcPr>
          <w:p w14:paraId="584FCBF7" w14:textId="15F1DE98" w:rsidR="00DF6582" w:rsidRPr="00DF6582" w:rsidRDefault="00DF6582" w:rsidP="00DF6582">
            <w:pPr>
              <w:pStyle w:val="Tablenumbers"/>
              <w:rPr>
                <w:sz w:val="18"/>
                <w:szCs w:val="18"/>
              </w:rPr>
            </w:pPr>
            <w:r w:rsidRPr="00DF6582">
              <w:rPr>
                <w:rFonts w:ascii="Blanco" w:hAnsi="Blanco" w:cs="Calibri"/>
                <w:color w:val="231F20"/>
                <w:sz w:val="18"/>
                <w:szCs w:val="18"/>
              </w:rPr>
              <w:t>144%</w:t>
            </w:r>
          </w:p>
        </w:tc>
      </w:tr>
      <w:tr w:rsidR="00DF6582" w14:paraId="48AF24B0"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1B7EA895" w14:textId="77777777" w:rsidR="00DF6582" w:rsidRPr="00DF6582" w:rsidRDefault="00DF6582" w:rsidP="00DF6582">
            <w:pPr>
              <w:pStyle w:val="Tabletext"/>
              <w:rPr>
                <w:sz w:val="18"/>
                <w:szCs w:val="18"/>
              </w:rPr>
            </w:pPr>
            <w:r w:rsidRPr="00DF6582">
              <w:rPr>
                <w:sz w:val="18"/>
                <w:szCs w:val="18"/>
              </w:rPr>
              <w:t>Cerebral Palsy</w:t>
            </w:r>
          </w:p>
        </w:tc>
        <w:tc>
          <w:tcPr>
            <w:tcW w:w="1583" w:type="dxa"/>
            <w:vAlign w:val="center"/>
          </w:tcPr>
          <w:p w14:paraId="651619A5" w14:textId="2CDC7155" w:rsidR="00DF6582" w:rsidRPr="00DF6582" w:rsidRDefault="00DF6582" w:rsidP="00DF6582">
            <w:pPr>
              <w:pStyle w:val="Tablenumbers"/>
              <w:rPr>
                <w:sz w:val="18"/>
                <w:szCs w:val="18"/>
              </w:rPr>
            </w:pPr>
            <w:r w:rsidRPr="00DF6582">
              <w:rPr>
                <w:rFonts w:ascii="Blanco" w:hAnsi="Blanco" w:cs="Calibri"/>
                <w:color w:val="231F20"/>
                <w:sz w:val="18"/>
                <w:szCs w:val="18"/>
              </w:rPr>
              <w:t>1,940</w:t>
            </w:r>
          </w:p>
        </w:tc>
        <w:tc>
          <w:tcPr>
            <w:tcW w:w="1134" w:type="dxa"/>
            <w:vAlign w:val="center"/>
          </w:tcPr>
          <w:p w14:paraId="1BE2ADA7" w14:textId="04FAB562" w:rsidR="00DF6582" w:rsidRPr="00DF6582" w:rsidRDefault="00DF6582" w:rsidP="00DF6582">
            <w:pPr>
              <w:pStyle w:val="Tablenumbers"/>
              <w:rPr>
                <w:sz w:val="18"/>
                <w:szCs w:val="18"/>
              </w:rPr>
            </w:pPr>
            <w:r w:rsidRPr="00DF6582">
              <w:rPr>
                <w:rFonts w:ascii="Blanco" w:hAnsi="Blanco" w:cs="Calibri"/>
                <w:color w:val="231F20"/>
                <w:sz w:val="18"/>
                <w:szCs w:val="18"/>
              </w:rPr>
              <w:t>846</w:t>
            </w:r>
          </w:p>
        </w:tc>
        <w:tc>
          <w:tcPr>
            <w:tcW w:w="1304" w:type="dxa"/>
            <w:vAlign w:val="center"/>
          </w:tcPr>
          <w:p w14:paraId="622CA9EC" w14:textId="12E585A5" w:rsidR="00DF6582" w:rsidRPr="00DF6582" w:rsidRDefault="00DF6582" w:rsidP="00DF6582">
            <w:pPr>
              <w:pStyle w:val="Tablenumbers"/>
              <w:rPr>
                <w:sz w:val="18"/>
                <w:szCs w:val="18"/>
              </w:rPr>
            </w:pPr>
            <w:r w:rsidRPr="00DF6582">
              <w:rPr>
                <w:rFonts w:ascii="Blanco" w:hAnsi="Blanco" w:cs="Calibri"/>
                <w:color w:val="231F20"/>
                <w:sz w:val="18"/>
                <w:szCs w:val="18"/>
              </w:rPr>
              <w:t>-1,094</w:t>
            </w:r>
          </w:p>
        </w:tc>
        <w:tc>
          <w:tcPr>
            <w:tcW w:w="1304" w:type="dxa"/>
            <w:vAlign w:val="center"/>
          </w:tcPr>
          <w:p w14:paraId="667F9CCC" w14:textId="0A3E6110" w:rsidR="00DF6582" w:rsidRPr="00DF6582" w:rsidRDefault="00DF6582" w:rsidP="00DF6582">
            <w:pPr>
              <w:pStyle w:val="Tablenumbers"/>
              <w:rPr>
                <w:sz w:val="18"/>
                <w:szCs w:val="18"/>
              </w:rPr>
            </w:pPr>
            <w:r w:rsidRPr="00DF6582">
              <w:rPr>
                <w:rFonts w:ascii="Blanco" w:hAnsi="Blanco" w:cs="Calibri"/>
                <w:color w:val="231F20"/>
                <w:sz w:val="18"/>
                <w:szCs w:val="18"/>
              </w:rPr>
              <w:t>44%</w:t>
            </w:r>
          </w:p>
        </w:tc>
      </w:tr>
      <w:tr w:rsidR="00DF6582" w14:paraId="0A0F847C" w14:textId="77777777" w:rsidTr="00DF6582">
        <w:tc>
          <w:tcPr>
            <w:tcW w:w="2211" w:type="dxa"/>
            <w:vAlign w:val="center"/>
          </w:tcPr>
          <w:p w14:paraId="021F40F8" w14:textId="77777777" w:rsidR="00DF6582" w:rsidRPr="00DF6582" w:rsidRDefault="00DF6582" w:rsidP="00DF6582">
            <w:pPr>
              <w:pStyle w:val="Tabletext"/>
              <w:rPr>
                <w:sz w:val="18"/>
                <w:szCs w:val="18"/>
              </w:rPr>
            </w:pPr>
            <w:r w:rsidRPr="00DF6582">
              <w:rPr>
                <w:sz w:val="18"/>
                <w:szCs w:val="18"/>
              </w:rPr>
              <w:t>Delay</w:t>
            </w:r>
          </w:p>
        </w:tc>
        <w:tc>
          <w:tcPr>
            <w:tcW w:w="1583" w:type="dxa"/>
            <w:vAlign w:val="center"/>
          </w:tcPr>
          <w:p w14:paraId="040C1315" w14:textId="27484AE1" w:rsidR="00DF6582" w:rsidRPr="00DF6582" w:rsidRDefault="00DF6582" w:rsidP="00DF6582">
            <w:pPr>
              <w:pStyle w:val="Tablenumbers"/>
              <w:rPr>
                <w:sz w:val="18"/>
                <w:szCs w:val="18"/>
              </w:rPr>
            </w:pPr>
            <w:r w:rsidRPr="00DF6582">
              <w:rPr>
                <w:rFonts w:ascii="Blanco" w:hAnsi="Blanco" w:cs="Calibri"/>
                <w:color w:val="231F20"/>
                <w:sz w:val="18"/>
                <w:szCs w:val="18"/>
              </w:rPr>
              <w:t>7,121</w:t>
            </w:r>
          </w:p>
        </w:tc>
        <w:tc>
          <w:tcPr>
            <w:tcW w:w="1134" w:type="dxa"/>
            <w:vAlign w:val="center"/>
          </w:tcPr>
          <w:p w14:paraId="5E44CDD1" w14:textId="50F7C670" w:rsidR="00DF6582" w:rsidRPr="00DF6582" w:rsidRDefault="00DF6582" w:rsidP="00DF6582">
            <w:pPr>
              <w:pStyle w:val="Tablenumbers"/>
              <w:rPr>
                <w:sz w:val="18"/>
                <w:szCs w:val="18"/>
              </w:rPr>
            </w:pPr>
            <w:r w:rsidRPr="00DF6582">
              <w:rPr>
                <w:rFonts w:ascii="Blanco" w:hAnsi="Blanco" w:cs="Calibri"/>
                <w:color w:val="231F20"/>
                <w:sz w:val="18"/>
                <w:szCs w:val="18"/>
              </w:rPr>
              <w:t>20,677</w:t>
            </w:r>
          </w:p>
        </w:tc>
        <w:tc>
          <w:tcPr>
            <w:tcW w:w="1304" w:type="dxa"/>
            <w:vAlign w:val="center"/>
          </w:tcPr>
          <w:p w14:paraId="1098BCD0" w14:textId="14981D7E" w:rsidR="00DF6582" w:rsidRPr="00DF6582" w:rsidRDefault="00DF6582" w:rsidP="00DF6582">
            <w:pPr>
              <w:pStyle w:val="Tablenumbers"/>
              <w:rPr>
                <w:sz w:val="18"/>
                <w:szCs w:val="18"/>
              </w:rPr>
            </w:pPr>
            <w:r w:rsidRPr="00DF6582">
              <w:rPr>
                <w:rFonts w:ascii="Blanco" w:hAnsi="Blanco" w:cs="Calibri"/>
                <w:color w:val="231F20"/>
                <w:sz w:val="18"/>
                <w:szCs w:val="18"/>
              </w:rPr>
              <w:t>13,556</w:t>
            </w:r>
          </w:p>
        </w:tc>
        <w:tc>
          <w:tcPr>
            <w:tcW w:w="1304" w:type="dxa"/>
            <w:vAlign w:val="center"/>
          </w:tcPr>
          <w:p w14:paraId="4E901F59" w14:textId="4528A505" w:rsidR="00DF6582" w:rsidRPr="00DF6582" w:rsidRDefault="00DF6582" w:rsidP="00DF6582">
            <w:pPr>
              <w:pStyle w:val="Tablenumbers"/>
              <w:rPr>
                <w:sz w:val="18"/>
                <w:szCs w:val="18"/>
              </w:rPr>
            </w:pPr>
            <w:r w:rsidRPr="00DF6582">
              <w:rPr>
                <w:rFonts w:ascii="Blanco" w:hAnsi="Blanco" w:cs="Calibri"/>
                <w:color w:val="231F20"/>
                <w:sz w:val="18"/>
                <w:szCs w:val="18"/>
              </w:rPr>
              <w:t>290%</w:t>
            </w:r>
          </w:p>
        </w:tc>
      </w:tr>
      <w:tr w:rsidR="00DF6582" w14:paraId="18C4D51E"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105A32C9" w14:textId="77777777" w:rsidR="00DF6582" w:rsidRPr="00DF6582" w:rsidRDefault="00DF6582" w:rsidP="00DF6582">
            <w:pPr>
              <w:pStyle w:val="Tabletext"/>
              <w:rPr>
                <w:sz w:val="18"/>
                <w:szCs w:val="18"/>
              </w:rPr>
            </w:pPr>
            <w:r w:rsidRPr="00DF6582">
              <w:rPr>
                <w:sz w:val="18"/>
                <w:szCs w:val="18"/>
              </w:rPr>
              <w:t>Hearing Impairment</w:t>
            </w:r>
          </w:p>
        </w:tc>
        <w:tc>
          <w:tcPr>
            <w:tcW w:w="1583" w:type="dxa"/>
            <w:vAlign w:val="center"/>
          </w:tcPr>
          <w:p w14:paraId="6F5B0329" w14:textId="5E95548B" w:rsidR="00DF6582" w:rsidRPr="00DF6582" w:rsidRDefault="00DF6582" w:rsidP="00DF6582">
            <w:pPr>
              <w:pStyle w:val="Tablenumbers"/>
              <w:rPr>
                <w:sz w:val="18"/>
                <w:szCs w:val="18"/>
              </w:rPr>
            </w:pPr>
            <w:r w:rsidRPr="00DF6582">
              <w:rPr>
                <w:rFonts w:ascii="Blanco" w:hAnsi="Blanco" w:cs="Calibri"/>
                <w:color w:val="231F20"/>
                <w:sz w:val="18"/>
                <w:szCs w:val="18"/>
              </w:rPr>
              <w:t>3,958</w:t>
            </w:r>
          </w:p>
        </w:tc>
        <w:tc>
          <w:tcPr>
            <w:tcW w:w="1134" w:type="dxa"/>
            <w:vAlign w:val="center"/>
          </w:tcPr>
          <w:p w14:paraId="11953A4D" w14:textId="298BA3F1" w:rsidR="00DF6582" w:rsidRPr="00DF6582" w:rsidRDefault="00DF6582" w:rsidP="00DF6582">
            <w:pPr>
              <w:pStyle w:val="Tablenumbers"/>
              <w:rPr>
                <w:sz w:val="18"/>
                <w:szCs w:val="18"/>
              </w:rPr>
            </w:pPr>
            <w:r w:rsidRPr="00DF6582">
              <w:rPr>
                <w:rFonts w:ascii="Blanco" w:hAnsi="Blanco" w:cs="Calibri"/>
                <w:color w:val="231F20"/>
                <w:sz w:val="18"/>
                <w:szCs w:val="18"/>
              </w:rPr>
              <w:t>3,628</w:t>
            </w:r>
          </w:p>
        </w:tc>
        <w:tc>
          <w:tcPr>
            <w:tcW w:w="1304" w:type="dxa"/>
            <w:vAlign w:val="center"/>
          </w:tcPr>
          <w:p w14:paraId="24EA5FEF" w14:textId="138F43BF" w:rsidR="00DF6582" w:rsidRPr="00DF6582" w:rsidRDefault="00DF6582" w:rsidP="00DF6582">
            <w:pPr>
              <w:pStyle w:val="Tablenumbers"/>
              <w:rPr>
                <w:sz w:val="18"/>
                <w:szCs w:val="18"/>
              </w:rPr>
            </w:pPr>
            <w:r w:rsidRPr="00DF6582">
              <w:rPr>
                <w:rFonts w:ascii="Blanco" w:hAnsi="Blanco" w:cs="Calibri"/>
                <w:color w:val="231F20"/>
                <w:sz w:val="18"/>
                <w:szCs w:val="18"/>
              </w:rPr>
              <w:t>-330</w:t>
            </w:r>
          </w:p>
        </w:tc>
        <w:tc>
          <w:tcPr>
            <w:tcW w:w="1304" w:type="dxa"/>
            <w:vAlign w:val="center"/>
          </w:tcPr>
          <w:p w14:paraId="4E6F23FF" w14:textId="3701E3F6" w:rsidR="00DF6582" w:rsidRPr="00DF6582" w:rsidRDefault="00DF6582" w:rsidP="00DF6582">
            <w:pPr>
              <w:pStyle w:val="Tablenumbers"/>
              <w:rPr>
                <w:sz w:val="18"/>
                <w:szCs w:val="18"/>
              </w:rPr>
            </w:pPr>
            <w:r w:rsidRPr="00DF6582">
              <w:rPr>
                <w:rFonts w:ascii="Blanco" w:hAnsi="Blanco" w:cs="Calibri"/>
                <w:color w:val="231F20"/>
                <w:sz w:val="18"/>
                <w:szCs w:val="18"/>
              </w:rPr>
              <w:t>92%</w:t>
            </w:r>
          </w:p>
        </w:tc>
      </w:tr>
      <w:tr w:rsidR="00DF6582" w14:paraId="54403F45" w14:textId="77777777" w:rsidTr="00DF6582">
        <w:tc>
          <w:tcPr>
            <w:tcW w:w="2211" w:type="dxa"/>
            <w:vAlign w:val="center"/>
          </w:tcPr>
          <w:p w14:paraId="52308D74" w14:textId="77777777" w:rsidR="00DF6582" w:rsidRPr="00DF6582" w:rsidRDefault="00DF6582" w:rsidP="00DF6582">
            <w:pPr>
              <w:pStyle w:val="Tabletext"/>
              <w:rPr>
                <w:sz w:val="18"/>
                <w:szCs w:val="18"/>
              </w:rPr>
            </w:pPr>
            <w:r w:rsidRPr="00DF6582">
              <w:rPr>
                <w:sz w:val="18"/>
                <w:szCs w:val="18"/>
              </w:rPr>
              <w:t>Intellectual Disability</w:t>
            </w:r>
          </w:p>
        </w:tc>
        <w:tc>
          <w:tcPr>
            <w:tcW w:w="1583" w:type="dxa"/>
            <w:vAlign w:val="center"/>
          </w:tcPr>
          <w:p w14:paraId="2BAF85C4" w14:textId="4C3B9D23" w:rsidR="00DF6582" w:rsidRPr="00DF6582" w:rsidRDefault="00DF6582" w:rsidP="00DF6582">
            <w:pPr>
              <w:pStyle w:val="Tablenumbers"/>
              <w:rPr>
                <w:sz w:val="18"/>
                <w:szCs w:val="18"/>
              </w:rPr>
            </w:pPr>
            <w:r w:rsidRPr="00DF6582">
              <w:rPr>
                <w:rFonts w:ascii="Blanco" w:hAnsi="Blanco" w:cs="Calibri"/>
                <w:color w:val="231F20"/>
                <w:sz w:val="18"/>
                <w:szCs w:val="18"/>
              </w:rPr>
              <w:t>10,962</w:t>
            </w:r>
          </w:p>
        </w:tc>
        <w:tc>
          <w:tcPr>
            <w:tcW w:w="1134" w:type="dxa"/>
            <w:vAlign w:val="center"/>
          </w:tcPr>
          <w:p w14:paraId="07AB75E4" w14:textId="215DD1DD" w:rsidR="00DF6582" w:rsidRPr="00DF6582" w:rsidRDefault="00DF6582" w:rsidP="00DF6582">
            <w:pPr>
              <w:pStyle w:val="Tablenumbers"/>
              <w:rPr>
                <w:sz w:val="18"/>
                <w:szCs w:val="18"/>
              </w:rPr>
            </w:pPr>
            <w:r w:rsidRPr="00DF6582">
              <w:rPr>
                <w:rFonts w:ascii="Blanco" w:hAnsi="Blanco" w:cs="Calibri"/>
                <w:color w:val="231F20"/>
                <w:sz w:val="18"/>
                <w:szCs w:val="18"/>
              </w:rPr>
              <w:t>6,803</w:t>
            </w:r>
          </w:p>
        </w:tc>
        <w:tc>
          <w:tcPr>
            <w:tcW w:w="1304" w:type="dxa"/>
            <w:vAlign w:val="center"/>
          </w:tcPr>
          <w:p w14:paraId="57D65C75" w14:textId="2EB97A45" w:rsidR="00DF6582" w:rsidRPr="00DF6582" w:rsidRDefault="00DF6582" w:rsidP="00DF6582">
            <w:pPr>
              <w:pStyle w:val="Tablenumbers"/>
              <w:rPr>
                <w:sz w:val="18"/>
                <w:szCs w:val="18"/>
              </w:rPr>
            </w:pPr>
            <w:r w:rsidRPr="00DF6582">
              <w:rPr>
                <w:rFonts w:ascii="Blanco" w:hAnsi="Blanco" w:cs="Calibri"/>
                <w:color w:val="231F20"/>
                <w:sz w:val="18"/>
                <w:szCs w:val="18"/>
              </w:rPr>
              <w:t>-4,159</w:t>
            </w:r>
          </w:p>
        </w:tc>
        <w:tc>
          <w:tcPr>
            <w:tcW w:w="1304" w:type="dxa"/>
            <w:vAlign w:val="center"/>
          </w:tcPr>
          <w:p w14:paraId="55A5C9EC" w14:textId="05A0304A" w:rsidR="00DF6582" w:rsidRPr="00DF6582" w:rsidRDefault="00DF6582" w:rsidP="00DF6582">
            <w:pPr>
              <w:pStyle w:val="Tablenumbers"/>
              <w:rPr>
                <w:sz w:val="18"/>
                <w:szCs w:val="18"/>
              </w:rPr>
            </w:pPr>
            <w:r w:rsidRPr="00DF6582">
              <w:rPr>
                <w:rFonts w:ascii="Blanco" w:hAnsi="Blanco" w:cs="Calibri"/>
                <w:color w:val="231F20"/>
                <w:sz w:val="18"/>
                <w:szCs w:val="18"/>
              </w:rPr>
              <w:t>62%</w:t>
            </w:r>
          </w:p>
        </w:tc>
      </w:tr>
      <w:tr w:rsidR="00DF6582" w14:paraId="029D4809"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3FC8206B" w14:textId="77777777" w:rsidR="00DF6582" w:rsidRPr="00DF6582" w:rsidRDefault="00DF6582" w:rsidP="00DF6582">
            <w:pPr>
              <w:pStyle w:val="Tabletext"/>
              <w:rPr>
                <w:sz w:val="18"/>
                <w:szCs w:val="18"/>
              </w:rPr>
            </w:pPr>
            <w:r w:rsidRPr="00DF6582">
              <w:rPr>
                <w:sz w:val="18"/>
                <w:szCs w:val="18"/>
              </w:rPr>
              <w:t>Multiple Sclerosis</w:t>
            </w:r>
          </w:p>
        </w:tc>
        <w:tc>
          <w:tcPr>
            <w:tcW w:w="1583" w:type="dxa"/>
            <w:vAlign w:val="center"/>
          </w:tcPr>
          <w:p w14:paraId="7B90875A" w14:textId="780AB770" w:rsidR="00DF6582" w:rsidRPr="00DF6582" w:rsidRDefault="00DF6582" w:rsidP="00DF6582">
            <w:pPr>
              <w:pStyle w:val="Tablenumbers"/>
              <w:rPr>
                <w:sz w:val="18"/>
                <w:szCs w:val="18"/>
              </w:rPr>
            </w:pPr>
            <w:r w:rsidRPr="00DF6582">
              <w:rPr>
                <w:rFonts w:ascii="Blanco" w:hAnsi="Blanco" w:cs="Calibri"/>
                <w:color w:val="231F20"/>
                <w:sz w:val="18"/>
                <w:szCs w:val="18"/>
              </w:rPr>
              <w:t>1,410</w:t>
            </w:r>
          </w:p>
        </w:tc>
        <w:tc>
          <w:tcPr>
            <w:tcW w:w="1134" w:type="dxa"/>
            <w:vAlign w:val="center"/>
          </w:tcPr>
          <w:p w14:paraId="72A589C5" w14:textId="10D3EEFF" w:rsidR="00DF6582" w:rsidRPr="00DF6582" w:rsidRDefault="00DF6582" w:rsidP="00DF6582">
            <w:pPr>
              <w:pStyle w:val="Tablenumbers"/>
              <w:rPr>
                <w:sz w:val="18"/>
                <w:szCs w:val="18"/>
              </w:rPr>
            </w:pPr>
            <w:r w:rsidRPr="00DF6582">
              <w:rPr>
                <w:rFonts w:ascii="Blanco" w:hAnsi="Blanco" w:cs="Calibri"/>
                <w:color w:val="231F20"/>
                <w:sz w:val="18"/>
                <w:szCs w:val="18"/>
              </w:rPr>
              <w:t>1,079</w:t>
            </w:r>
          </w:p>
        </w:tc>
        <w:tc>
          <w:tcPr>
            <w:tcW w:w="1304" w:type="dxa"/>
            <w:vAlign w:val="center"/>
          </w:tcPr>
          <w:p w14:paraId="53A330FE" w14:textId="4A14ADF5" w:rsidR="00DF6582" w:rsidRPr="00DF6582" w:rsidRDefault="00DF6582" w:rsidP="00DF6582">
            <w:pPr>
              <w:pStyle w:val="Tablenumbers"/>
              <w:rPr>
                <w:sz w:val="18"/>
                <w:szCs w:val="18"/>
              </w:rPr>
            </w:pPr>
            <w:r w:rsidRPr="00DF6582">
              <w:rPr>
                <w:rFonts w:ascii="Blanco" w:hAnsi="Blanco" w:cs="Calibri"/>
                <w:color w:val="231F20"/>
                <w:sz w:val="18"/>
                <w:szCs w:val="18"/>
              </w:rPr>
              <w:t>-331</w:t>
            </w:r>
          </w:p>
        </w:tc>
        <w:tc>
          <w:tcPr>
            <w:tcW w:w="1304" w:type="dxa"/>
            <w:vAlign w:val="center"/>
          </w:tcPr>
          <w:p w14:paraId="369B65CD" w14:textId="591BAE49" w:rsidR="00DF6582" w:rsidRPr="00DF6582" w:rsidRDefault="00DF6582" w:rsidP="00DF6582">
            <w:pPr>
              <w:pStyle w:val="Tablenumbers"/>
              <w:rPr>
                <w:sz w:val="18"/>
                <w:szCs w:val="18"/>
              </w:rPr>
            </w:pPr>
            <w:r w:rsidRPr="00DF6582">
              <w:rPr>
                <w:rFonts w:ascii="Blanco" w:hAnsi="Blanco" w:cs="Calibri"/>
                <w:color w:val="231F20"/>
                <w:sz w:val="18"/>
                <w:szCs w:val="18"/>
              </w:rPr>
              <w:t>77%</w:t>
            </w:r>
          </w:p>
        </w:tc>
      </w:tr>
      <w:tr w:rsidR="00DF6582" w14:paraId="2B0F130A" w14:textId="77777777" w:rsidTr="00DF6582">
        <w:tc>
          <w:tcPr>
            <w:tcW w:w="2211" w:type="dxa"/>
            <w:vAlign w:val="center"/>
          </w:tcPr>
          <w:p w14:paraId="66E13D96" w14:textId="53DDBC3B" w:rsidR="00DF6582" w:rsidRPr="00DF6582" w:rsidRDefault="00DF6582" w:rsidP="00DF6582">
            <w:pPr>
              <w:pStyle w:val="Tabletext"/>
              <w:rPr>
                <w:sz w:val="18"/>
                <w:szCs w:val="18"/>
              </w:rPr>
            </w:pPr>
            <w:r w:rsidRPr="00DF6582">
              <w:rPr>
                <w:sz w:val="18"/>
                <w:szCs w:val="18"/>
              </w:rPr>
              <w:t>Other</w:t>
            </w:r>
            <w:r w:rsidR="009923B9">
              <w:rPr>
                <w:sz w:val="18"/>
                <w:szCs w:val="18"/>
              </w:rPr>
              <w:t>*</w:t>
            </w:r>
          </w:p>
        </w:tc>
        <w:tc>
          <w:tcPr>
            <w:tcW w:w="1583" w:type="dxa"/>
            <w:vAlign w:val="center"/>
          </w:tcPr>
          <w:p w14:paraId="6A0485CC" w14:textId="349EA791" w:rsidR="00DF6582" w:rsidRPr="00DF6582" w:rsidRDefault="00DF6582" w:rsidP="00DF6582">
            <w:pPr>
              <w:pStyle w:val="Tablenumbers"/>
              <w:rPr>
                <w:sz w:val="18"/>
                <w:szCs w:val="18"/>
              </w:rPr>
            </w:pPr>
            <w:r w:rsidRPr="00DF6582">
              <w:rPr>
                <w:rFonts w:ascii="Blanco" w:hAnsi="Blanco" w:cs="Calibri"/>
                <w:color w:val="231F20"/>
                <w:sz w:val="18"/>
                <w:szCs w:val="18"/>
              </w:rPr>
              <w:t>129</w:t>
            </w:r>
          </w:p>
        </w:tc>
        <w:tc>
          <w:tcPr>
            <w:tcW w:w="1134" w:type="dxa"/>
            <w:vAlign w:val="center"/>
          </w:tcPr>
          <w:p w14:paraId="4A8DDFF1" w14:textId="222E6C04" w:rsidR="00DF6582" w:rsidRPr="00DF6582" w:rsidRDefault="00DF6582" w:rsidP="00DF6582">
            <w:pPr>
              <w:pStyle w:val="Tablenumbers"/>
              <w:rPr>
                <w:sz w:val="18"/>
                <w:szCs w:val="18"/>
              </w:rPr>
            </w:pPr>
            <w:r w:rsidRPr="00DF6582">
              <w:rPr>
                <w:rFonts w:ascii="Blanco" w:hAnsi="Blanco" w:cs="Calibri"/>
                <w:color w:val="231F20"/>
                <w:sz w:val="18"/>
                <w:szCs w:val="18"/>
              </w:rPr>
              <w:t>2,282</w:t>
            </w:r>
          </w:p>
        </w:tc>
        <w:tc>
          <w:tcPr>
            <w:tcW w:w="1304" w:type="dxa"/>
            <w:vAlign w:val="center"/>
          </w:tcPr>
          <w:p w14:paraId="3FD4EB8E" w14:textId="1CEB510D" w:rsidR="00DF6582" w:rsidRPr="00DF6582" w:rsidRDefault="00DF6582" w:rsidP="00DF6582">
            <w:pPr>
              <w:pStyle w:val="Tablenumbers"/>
              <w:rPr>
                <w:sz w:val="18"/>
                <w:szCs w:val="18"/>
              </w:rPr>
            </w:pPr>
            <w:r w:rsidRPr="00DF6582">
              <w:rPr>
                <w:rFonts w:ascii="Blanco" w:hAnsi="Blanco" w:cs="Calibri"/>
                <w:color w:val="231F20"/>
                <w:sz w:val="18"/>
                <w:szCs w:val="18"/>
              </w:rPr>
              <w:t>2,153</w:t>
            </w:r>
          </w:p>
        </w:tc>
        <w:tc>
          <w:tcPr>
            <w:tcW w:w="1304" w:type="dxa"/>
            <w:vAlign w:val="center"/>
          </w:tcPr>
          <w:p w14:paraId="665D799B" w14:textId="7DCD9856" w:rsidR="00DF6582" w:rsidRPr="00DF6582" w:rsidRDefault="00DF6582" w:rsidP="00DF6582">
            <w:pPr>
              <w:pStyle w:val="Tablenumbers"/>
              <w:rPr>
                <w:sz w:val="18"/>
                <w:szCs w:val="18"/>
              </w:rPr>
            </w:pPr>
            <w:r w:rsidRPr="00DF6582">
              <w:rPr>
                <w:rFonts w:ascii="Blanco" w:hAnsi="Blanco" w:cs="Calibri"/>
                <w:color w:val="231F20"/>
                <w:sz w:val="18"/>
                <w:szCs w:val="18"/>
              </w:rPr>
              <w:t>1763%</w:t>
            </w:r>
          </w:p>
        </w:tc>
      </w:tr>
      <w:tr w:rsidR="00DF6582" w14:paraId="69B4A8BD"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7C5A3767" w14:textId="77777777" w:rsidR="00DF6582" w:rsidRPr="00DF6582" w:rsidRDefault="00DF6582" w:rsidP="00DF6582">
            <w:pPr>
              <w:pStyle w:val="Tabletext"/>
              <w:rPr>
                <w:sz w:val="18"/>
                <w:szCs w:val="18"/>
              </w:rPr>
            </w:pPr>
            <w:r w:rsidRPr="00DF6582">
              <w:rPr>
                <w:sz w:val="18"/>
                <w:szCs w:val="18"/>
              </w:rPr>
              <w:t>Other Neurological</w:t>
            </w:r>
          </w:p>
        </w:tc>
        <w:tc>
          <w:tcPr>
            <w:tcW w:w="1583" w:type="dxa"/>
            <w:vAlign w:val="center"/>
          </w:tcPr>
          <w:p w14:paraId="2C0C6347" w14:textId="4500BD89" w:rsidR="00DF6582" w:rsidRPr="00DF6582" w:rsidRDefault="00DF6582" w:rsidP="00DF6582">
            <w:pPr>
              <w:pStyle w:val="Tablenumbers"/>
              <w:rPr>
                <w:sz w:val="18"/>
                <w:szCs w:val="18"/>
              </w:rPr>
            </w:pPr>
            <w:r w:rsidRPr="00DF6582">
              <w:rPr>
                <w:rFonts w:ascii="Blanco" w:hAnsi="Blanco" w:cs="Calibri"/>
                <w:color w:val="231F20"/>
                <w:sz w:val="18"/>
                <w:szCs w:val="18"/>
              </w:rPr>
              <w:t>3,942</w:t>
            </w:r>
          </w:p>
        </w:tc>
        <w:tc>
          <w:tcPr>
            <w:tcW w:w="1134" w:type="dxa"/>
            <w:vAlign w:val="center"/>
          </w:tcPr>
          <w:p w14:paraId="7249742E" w14:textId="25D37F57" w:rsidR="00DF6582" w:rsidRPr="00DF6582" w:rsidRDefault="00DF6582" w:rsidP="00DF6582">
            <w:pPr>
              <w:pStyle w:val="Tablenumbers"/>
              <w:rPr>
                <w:sz w:val="18"/>
                <w:szCs w:val="18"/>
              </w:rPr>
            </w:pPr>
            <w:r w:rsidRPr="00DF6582">
              <w:rPr>
                <w:rFonts w:ascii="Blanco" w:hAnsi="Blanco" w:cs="Calibri"/>
                <w:color w:val="231F20"/>
                <w:sz w:val="18"/>
                <w:szCs w:val="18"/>
              </w:rPr>
              <w:t>3,172</w:t>
            </w:r>
          </w:p>
        </w:tc>
        <w:tc>
          <w:tcPr>
            <w:tcW w:w="1304" w:type="dxa"/>
            <w:vAlign w:val="center"/>
          </w:tcPr>
          <w:p w14:paraId="65D43EB9" w14:textId="5EF8AF69" w:rsidR="00DF6582" w:rsidRPr="00DF6582" w:rsidRDefault="00DF6582" w:rsidP="00DF6582">
            <w:pPr>
              <w:pStyle w:val="Tablenumbers"/>
              <w:rPr>
                <w:sz w:val="18"/>
                <w:szCs w:val="18"/>
              </w:rPr>
            </w:pPr>
            <w:r w:rsidRPr="00DF6582">
              <w:rPr>
                <w:rFonts w:ascii="Blanco" w:hAnsi="Blanco" w:cs="Calibri"/>
                <w:color w:val="231F20"/>
                <w:sz w:val="18"/>
                <w:szCs w:val="18"/>
              </w:rPr>
              <w:t>-770</w:t>
            </w:r>
          </w:p>
        </w:tc>
        <w:tc>
          <w:tcPr>
            <w:tcW w:w="1304" w:type="dxa"/>
            <w:vAlign w:val="center"/>
          </w:tcPr>
          <w:p w14:paraId="1A77318D" w14:textId="70A82060" w:rsidR="00DF6582" w:rsidRPr="00DF6582" w:rsidRDefault="00DF6582" w:rsidP="00DF6582">
            <w:pPr>
              <w:pStyle w:val="Tablenumbers"/>
              <w:rPr>
                <w:sz w:val="18"/>
                <w:szCs w:val="18"/>
              </w:rPr>
            </w:pPr>
            <w:r w:rsidRPr="00DF6582">
              <w:rPr>
                <w:rFonts w:ascii="Blanco" w:hAnsi="Blanco" w:cs="Calibri"/>
                <w:color w:val="231F20"/>
                <w:sz w:val="18"/>
                <w:szCs w:val="18"/>
              </w:rPr>
              <w:t>80%</w:t>
            </w:r>
          </w:p>
        </w:tc>
      </w:tr>
      <w:tr w:rsidR="00DF6582" w14:paraId="1975D13F" w14:textId="77777777" w:rsidTr="00DF6582">
        <w:tc>
          <w:tcPr>
            <w:tcW w:w="2211" w:type="dxa"/>
            <w:vAlign w:val="center"/>
          </w:tcPr>
          <w:p w14:paraId="52BA558B" w14:textId="77777777" w:rsidR="00DF6582" w:rsidRPr="00DF6582" w:rsidRDefault="00DF6582" w:rsidP="00DF6582">
            <w:pPr>
              <w:pStyle w:val="Tabletext"/>
              <w:rPr>
                <w:sz w:val="18"/>
                <w:szCs w:val="18"/>
              </w:rPr>
            </w:pPr>
            <w:r w:rsidRPr="00DF6582">
              <w:rPr>
                <w:sz w:val="18"/>
                <w:szCs w:val="18"/>
              </w:rPr>
              <w:t>Other Physical</w:t>
            </w:r>
          </w:p>
        </w:tc>
        <w:tc>
          <w:tcPr>
            <w:tcW w:w="1583" w:type="dxa"/>
            <w:vAlign w:val="center"/>
          </w:tcPr>
          <w:p w14:paraId="51708B23" w14:textId="7886C5BC" w:rsidR="00DF6582" w:rsidRPr="00DF6582" w:rsidRDefault="00DF6582" w:rsidP="00DF6582">
            <w:pPr>
              <w:pStyle w:val="Tablenumbers"/>
              <w:rPr>
                <w:sz w:val="18"/>
                <w:szCs w:val="18"/>
              </w:rPr>
            </w:pPr>
            <w:r w:rsidRPr="00DF6582">
              <w:rPr>
                <w:rFonts w:ascii="Blanco" w:hAnsi="Blanco" w:cs="Calibri"/>
                <w:color w:val="231F20"/>
                <w:sz w:val="18"/>
                <w:szCs w:val="18"/>
              </w:rPr>
              <w:t>3,812</w:t>
            </w:r>
          </w:p>
        </w:tc>
        <w:tc>
          <w:tcPr>
            <w:tcW w:w="1134" w:type="dxa"/>
            <w:vAlign w:val="center"/>
          </w:tcPr>
          <w:p w14:paraId="6596AF28" w14:textId="32D01E62" w:rsidR="00DF6582" w:rsidRPr="00DF6582" w:rsidRDefault="00DF6582" w:rsidP="00DF6582">
            <w:pPr>
              <w:pStyle w:val="Tablenumbers"/>
              <w:rPr>
                <w:sz w:val="18"/>
                <w:szCs w:val="18"/>
              </w:rPr>
            </w:pPr>
            <w:r w:rsidRPr="00DF6582">
              <w:rPr>
                <w:rFonts w:ascii="Blanco" w:hAnsi="Blanco" w:cs="Calibri"/>
                <w:color w:val="231F20"/>
                <w:sz w:val="18"/>
                <w:szCs w:val="18"/>
              </w:rPr>
              <w:t>2,758</w:t>
            </w:r>
          </w:p>
        </w:tc>
        <w:tc>
          <w:tcPr>
            <w:tcW w:w="1304" w:type="dxa"/>
            <w:vAlign w:val="center"/>
          </w:tcPr>
          <w:p w14:paraId="60CA6B85" w14:textId="78D9AA05" w:rsidR="00DF6582" w:rsidRPr="00DF6582" w:rsidRDefault="00DF6582" w:rsidP="00DF6582">
            <w:pPr>
              <w:pStyle w:val="Tablenumbers"/>
              <w:rPr>
                <w:sz w:val="18"/>
                <w:szCs w:val="18"/>
              </w:rPr>
            </w:pPr>
            <w:r w:rsidRPr="00DF6582">
              <w:rPr>
                <w:rFonts w:ascii="Blanco" w:hAnsi="Blanco" w:cs="Calibri"/>
                <w:color w:val="231F20"/>
                <w:sz w:val="18"/>
                <w:szCs w:val="18"/>
              </w:rPr>
              <w:t>-1,054</w:t>
            </w:r>
          </w:p>
        </w:tc>
        <w:tc>
          <w:tcPr>
            <w:tcW w:w="1304" w:type="dxa"/>
            <w:vAlign w:val="center"/>
          </w:tcPr>
          <w:p w14:paraId="508BACED" w14:textId="64930FF5" w:rsidR="00DF6582" w:rsidRPr="00DF6582" w:rsidRDefault="00DF6582" w:rsidP="00DF6582">
            <w:pPr>
              <w:pStyle w:val="Tablenumbers"/>
              <w:rPr>
                <w:sz w:val="18"/>
                <w:szCs w:val="18"/>
              </w:rPr>
            </w:pPr>
            <w:r w:rsidRPr="00DF6582">
              <w:rPr>
                <w:rFonts w:ascii="Blanco" w:hAnsi="Blanco" w:cs="Calibri"/>
                <w:color w:val="231F20"/>
                <w:sz w:val="18"/>
                <w:szCs w:val="18"/>
              </w:rPr>
              <w:t>72%</w:t>
            </w:r>
          </w:p>
        </w:tc>
      </w:tr>
      <w:tr w:rsidR="00DF6582" w14:paraId="1DB13EC5"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57E92CDC" w14:textId="77777777" w:rsidR="00DF6582" w:rsidRPr="00DF6582" w:rsidRDefault="00DF6582" w:rsidP="00DF6582">
            <w:pPr>
              <w:pStyle w:val="Tabletext"/>
              <w:rPr>
                <w:sz w:val="18"/>
                <w:szCs w:val="18"/>
              </w:rPr>
            </w:pPr>
            <w:r w:rsidRPr="00DF6582">
              <w:rPr>
                <w:sz w:val="18"/>
                <w:szCs w:val="18"/>
              </w:rPr>
              <w:t>Other Sensory Speech</w:t>
            </w:r>
          </w:p>
        </w:tc>
        <w:tc>
          <w:tcPr>
            <w:tcW w:w="1583" w:type="dxa"/>
            <w:vAlign w:val="center"/>
          </w:tcPr>
          <w:p w14:paraId="276ADEFF" w14:textId="16D270B2" w:rsidR="00DF6582" w:rsidRPr="00DF6582" w:rsidRDefault="00DF6582" w:rsidP="00DF6582">
            <w:pPr>
              <w:pStyle w:val="Tablenumbers"/>
              <w:rPr>
                <w:sz w:val="18"/>
                <w:szCs w:val="18"/>
              </w:rPr>
            </w:pPr>
            <w:r w:rsidRPr="00DF6582">
              <w:rPr>
                <w:rFonts w:ascii="Blanco" w:hAnsi="Blanco" w:cs="Calibri"/>
                <w:color w:val="231F20"/>
                <w:sz w:val="18"/>
                <w:szCs w:val="18"/>
              </w:rPr>
              <w:t>1,087</w:t>
            </w:r>
          </w:p>
        </w:tc>
        <w:tc>
          <w:tcPr>
            <w:tcW w:w="1134" w:type="dxa"/>
            <w:vAlign w:val="center"/>
          </w:tcPr>
          <w:p w14:paraId="49F9A5C4" w14:textId="2CF0D40E" w:rsidR="00DF6582" w:rsidRPr="00DF6582" w:rsidRDefault="00DF6582" w:rsidP="00DF6582">
            <w:pPr>
              <w:pStyle w:val="Tablenumbers"/>
              <w:rPr>
                <w:sz w:val="18"/>
                <w:szCs w:val="18"/>
              </w:rPr>
            </w:pPr>
            <w:r w:rsidRPr="00DF6582">
              <w:rPr>
                <w:rFonts w:ascii="Blanco" w:hAnsi="Blanco" w:cs="Calibri"/>
                <w:color w:val="231F20"/>
                <w:sz w:val="18"/>
                <w:szCs w:val="18"/>
              </w:rPr>
              <w:t>199</w:t>
            </w:r>
          </w:p>
        </w:tc>
        <w:tc>
          <w:tcPr>
            <w:tcW w:w="1304" w:type="dxa"/>
            <w:vAlign w:val="center"/>
          </w:tcPr>
          <w:p w14:paraId="095934D6" w14:textId="68727BC9" w:rsidR="00DF6582" w:rsidRPr="00DF6582" w:rsidRDefault="00DF6582" w:rsidP="00DF6582">
            <w:pPr>
              <w:pStyle w:val="Tablenumbers"/>
              <w:rPr>
                <w:sz w:val="18"/>
                <w:szCs w:val="18"/>
              </w:rPr>
            </w:pPr>
            <w:r w:rsidRPr="00DF6582">
              <w:rPr>
                <w:rFonts w:ascii="Blanco" w:hAnsi="Blanco" w:cs="Calibri"/>
                <w:color w:val="231F20"/>
                <w:sz w:val="18"/>
                <w:szCs w:val="18"/>
              </w:rPr>
              <w:t>-888</w:t>
            </w:r>
          </w:p>
        </w:tc>
        <w:tc>
          <w:tcPr>
            <w:tcW w:w="1304" w:type="dxa"/>
            <w:vAlign w:val="center"/>
          </w:tcPr>
          <w:p w14:paraId="3E4CA70C" w14:textId="2A05C9A9" w:rsidR="00DF6582" w:rsidRPr="00DF6582" w:rsidRDefault="00DF6582" w:rsidP="00DF6582">
            <w:pPr>
              <w:pStyle w:val="Tablenumbers"/>
              <w:rPr>
                <w:sz w:val="18"/>
                <w:szCs w:val="18"/>
              </w:rPr>
            </w:pPr>
            <w:r w:rsidRPr="00DF6582">
              <w:rPr>
                <w:rFonts w:ascii="Blanco" w:hAnsi="Blanco" w:cs="Calibri"/>
                <w:color w:val="231F20"/>
                <w:sz w:val="18"/>
                <w:szCs w:val="18"/>
              </w:rPr>
              <w:t>18%</w:t>
            </w:r>
          </w:p>
        </w:tc>
      </w:tr>
      <w:tr w:rsidR="00DF6582" w14:paraId="31ABC03B" w14:textId="77777777" w:rsidTr="00DF6582">
        <w:tc>
          <w:tcPr>
            <w:tcW w:w="2211" w:type="dxa"/>
            <w:vAlign w:val="center"/>
          </w:tcPr>
          <w:p w14:paraId="33C1C304" w14:textId="77777777" w:rsidR="00DF6582" w:rsidRPr="00DF6582" w:rsidRDefault="00DF6582" w:rsidP="00DF6582">
            <w:pPr>
              <w:pStyle w:val="Tabletext"/>
              <w:rPr>
                <w:sz w:val="18"/>
                <w:szCs w:val="18"/>
              </w:rPr>
            </w:pPr>
            <w:r w:rsidRPr="00DF6582">
              <w:rPr>
                <w:sz w:val="18"/>
                <w:szCs w:val="18"/>
              </w:rPr>
              <w:t>Psychosocial disability</w:t>
            </w:r>
          </w:p>
        </w:tc>
        <w:tc>
          <w:tcPr>
            <w:tcW w:w="1583" w:type="dxa"/>
            <w:vAlign w:val="center"/>
          </w:tcPr>
          <w:p w14:paraId="2B6333D1" w14:textId="59AF6637" w:rsidR="00DF6582" w:rsidRPr="00DF6582" w:rsidRDefault="00DF6582" w:rsidP="00DF6582">
            <w:pPr>
              <w:pStyle w:val="Tablenumbers"/>
              <w:rPr>
                <w:sz w:val="18"/>
                <w:szCs w:val="18"/>
              </w:rPr>
            </w:pPr>
            <w:r w:rsidRPr="00DF6582">
              <w:rPr>
                <w:rFonts w:ascii="Blanco" w:hAnsi="Blanco" w:cs="Calibri"/>
                <w:color w:val="231F20"/>
                <w:sz w:val="18"/>
                <w:szCs w:val="18"/>
              </w:rPr>
              <w:t>7,437</w:t>
            </w:r>
          </w:p>
        </w:tc>
        <w:tc>
          <w:tcPr>
            <w:tcW w:w="1134" w:type="dxa"/>
            <w:vAlign w:val="center"/>
          </w:tcPr>
          <w:p w14:paraId="17C797B8" w14:textId="172AB09E" w:rsidR="00DF6582" w:rsidRPr="00DF6582" w:rsidRDefault="00DF6582" w:rsidP="00DF6582">
            <w:pPr>
              <w:pStyle w:val="Tablenumbers"/>
              <w:rPr>
                <w:sz w:val="18"/>
                <w:szCs w:val="18"/>
              </w:rPr>
            </w:pPr>
            <w:r w:rsidRPr="00DF6582">
              <w:rPr>
                <w:rFonts w:ascii="Blanco" w:hAnsi="Blanco" w:cs="Calibri"/>
                <w:color w:val="231F20"/>
                <w:sz w:val="18"/>
                <w:szCs w:val="18"/>
              </w:rPr>
              <w:t>11,049</w:t>
            </w:r>
          </w:p>
        </w:tc>
        <w:tc>
          <w:tcPr>
            <w:tcW w:w="1304" w:type="dxa"/>
            <w:vAlign w:val="center"/>
          </w:tcPr>
          <w:p w14:paraId="5F14298F" w14:textId="645E18EC" w:rsidR="00DF6582" w:rsidRPr="00DF6582" w:rsidRDefault="00DF6582" w:rsidP="00DF6582">
            <w:pPr>
              <w:pStyle w:val="Tablenumbers"/>
              <w:rPr>
                <w:sz w:val="18"/>
                <w:szCs w:val="18"/>
              </w:rPr>
            </w:pPr>
            <w:r w:rsidRPr="00DF6582">
              <w:rPr>
                <w:rFonts w:ascii="Blanco" w:hAnsi="Blanco" w:cs="Calibri"/>
                <w:color w:val="231F20"/>
                <w:sz w:val="18"/>
                <w:szCs w:val="18"/>
              </w:rPr>
              <w:t>3,612</w:t>
            </w:r>
          </w:p>
        </w:tc>
        <w:tc>
          <w:tcPr>
            <w:tcW w:w="1304" w:type="dxa"/>
            <w:vAlign w:val="center"/>
          </w:tcPr>
          <w:p w14:paraId="238B4A3D" w14:textId="531318EF" w:rsidR="00DF6582" w:rsidRPr="00DF6582" w:rsidRDefault="00DF6582" w:rsidP="00DF6582">
            <w:pPr>
              <w:pStyle w:val="Tablenumbers"/>
              <w:rPr>
                <w:sz w:val="18"/>
                <w:szCs w:val="18"/>
              </w:rPr>
            </w:pPr>
            <w:r w:rsidRPr="00DF6582">
              <w:rPr>
                <w:rFonts w:ascii="Blanco" w:hAnsi="Blanco" w:cs="Calibri"/>
                <w:color w:val="231F20"/>
                <w:sz w:val="18"/>
                <w:szCs w:val="18"/>
              </w:rPr>
              <w:t>149%</w:t>
            </w:r>
          </w:p>
        </w:tc>
      </w:tr>
      <w:tr w:rsidR="00DF6582" w14:paraId="313DA6C2"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24FA6882" w14:textId="77777777" w:rsidR="00DF6582" w:rsidRPr="00DF6582" w:rsidRDefault="00DF6582" w:rsidP="00DF6582">
            <w:pPr>
              <w:pStyle w:val="Tabletext"/>
              <w:rPr>
                <w:sz w:val="18"/>
                <w:szCs w:val="18"/>
              </w:rPr>
            </w:pPr>
            <w:r w:rsidRPr="00DF6582">
              <w:rPr>
                <w:sz w:val="18"/>
                <w:szCs w:val="18"/>
              </w:rPr>
              <w:t>Spinal Cord Injury</w:t>
            </w:r>
          </w:p>
        </w:tc>
        <w:tc>
          <w:tcPr>
            <w:tcW w:w="1583" w:type="dxa"/>
            <w:vAlign w:val="center"/>
          </w:tcPr>
          <w:p w14:paraId="35880B3C" w14:textId="704A1F7A" w:rsidR="00DF6582" w:rsidRPr="00DF6582" w:rsidRDefault="00DF6582" w:rsidP="00DF6582">
            <w:pPr>
              <w:pStyle w:val="Tablenumbers"/>
              <w:rPr>
                <w:sz w:val="18"/>
                <w:szCs w:val="18"/>
              </w:rPr>
            </w:pPr>
            <w:r w:rsidRPr="00DF6582">
              <w:rPr>
                <w:rFonts w:ascii="Blanco" w:hAnsi="Blanco" w:cs="Calibri"/>
                <w:color w:val="231F20"/>
                <w:sz w:val="18"/>
                <w:szCs w:val="18"/>
              </w:rPr>
              <w:t>920</w:t>
            </w:r>
          </w:p>
        </w:tc>
        <w:tc>
          <w:tcPr>
            <w:tcW w:w="1134" w:type="dxa"/>
            <w:vAlign w:val="center"/>
          </w:tcPr>
          <w:p w14:paraId="3F23C5A1" w14:textId="1E886253" w:rsidR="00DF6582" w:rsidRPr="00DF6582" w:rsidRDefault="00DF6582" w:rsidP="00DF6582">
            <w:pPr>
              <w:pStyle w:val="Tablenumbers"/>
              <w:rPr>
                <w:sz w:val="18"/>
                <w:szCs w:val="18"/>
              </w:rPr>
            </w:pPr>
            <w:r w:rsidRPr="00DF6582">
              <w:rPr>
                <w:rFonts w:ascii="Blanco" w:hAnsi="Blanco" w:cs="Calibri"/>
                <w:color w:val="231F20"/>
                <w:sz w:val="18"/>
                <w:szCs w:val="18"/>
              </w:rPr>
              <w:t>541</w:t>
            </w:r>
          </w:p>
        </w:tc>
        <w:tc>
          <w:tcPr>
            <w:tcW w:w="1304" w:type="dxa"/>
            <w:vAlign w:val="center"/>
          </w:tcPr>
          <w:p w14:paraId="5A617A3E" w14:textId="794E93F9" w:rsidR="00DF6582" w:rsidRPr="00DF6582" w:rsidRDefault="00DF6582" w:rsidP="00DF6582">
            <w:pPr>
              <w:pStyle w:val="Tablenumbers"/>
              <w:rPr>
                <w:sz w:val="18"/>
                <w:szCs w:val="18"/>
              </w:rPr>
            </w:pPr>
            <w:r w:rsidRPr="00DF6582">
              <w:rPr>
                <w:rFonts w:ascii="Blanco" w:hAnsi="Blanco" w:cs="Calibri"/>
                <w:color w:val="231F20"/>
                <w:sz w:val="18"/>
                <w:szCs w:val="18"/>
              </w:rPr>
              <w:t>-379</w:t>
            </w:r>
          </w:p>
        </w:tc>
        <w:tc>
          <w:tcPr>
            <w:tcW w:w="1304" w:type="dxa"/>
            <w:vAlign w:val="center"/>
          </w:tcPr>
          <w:p w14:paraId="689B84AC" w14:textId="5F4F8520" w:rsidR="00DF6582" w:rsidRPr="00DF6582" w:rsidRDefault="00DF6582" w:rsidP="00DF6582">
            <w:pPr>
              <w:pStyle w:val="Tablenumbers"/>
              <w:rPr>
                <w:sz w:val="18"/>
                <w:szCs w:val="18"/>
              </w:rPr>
            </w:pPr>
            <w:r w:rsidRPr="00DF6582">
              <w:rPr>
                <w:rFonts w:ascii="Blanco" w:hAnsi="Blanco" w:cs="Calibri"/>
                <w:color w:val="231F20"/>
                <w:sz w:val="18"/>
                <w:szCs w:val="18"/>
              </w:rPr>
              <w:t>59%</w:t>
            </w:r>
          </w:p>
        </w:tc>
      </w:tr>
      <w:tr w:rsidR="00DF6582" w14:paraId="7C699A58" w14:textId="77777777" w:rsidTr="00DF6582">
        <w:tc>
          <w:tcPr>
            <w:tcW w:w="2211" w:type="dxa"/>
            <w:vAlign w:val="center"/>
          </w:tcPr>
          <w:p w14:paraId="25332603" w14:textId="77777777" w:rsidR="00DF6582" w:rsidRPr="00DF6582" w:rsidRDefault="00DF6582" w:rsidP="00DF6582">
            <w:pPr>
              <w:pStyle w:val="Tabletext"/>
              <w:rPr>
                <w:sz w:val="18"/>
                <w:szCs w:val="18"/>
              </w:rPr>
            </w:pPr>
            <w:r w:rsidRPr="00DF6582">
              <w:rPr>
                <w:sz w:val="18"/>
                <w:szCs w:val="18"/>
              </w:rPr>
              <w:t>Stroke</w:t>
            </w:r>
          </w:p>
        </w:tc>
        <w:tc>
          <w:tcPr>
            <w:tcW w:w="1583" w:type="dxa"/>
            <w:vAlign w:val="center"/>
          </w:tcPr>
          <w:p w14:paraId="36460A25" w14:textId="59C7A9CD" w:rsidR="00DF6582" w:rsidRPr="00DF6582" w:rsidRDefault="00DF6582" w:rsidP="00DF6582">
            <w:pPr>
              <w:pStyle w:val="Tablenumbers"/>
              <w:rPr>
                <w:sz w:val="18"/>
                <w:szCs w:val="18"/>
              </w:rPr>
            </w:pPr>
            <w:r w:rsidRPr="00DF6582">
              <w:rPr>
                <w:rFonts w:ascii="Blanco" w:hAnsi="Blanco" w:cs="Calibri"/>
                <w:color w:val="231F20"/>
                <w:sz w:val="18"/>
                <w:szCs w:val="18"/>
              </w:rPr>
              <w:t>1,463</w:t>
            </w:r>
          </w:p>
        </w:tc>
        <w:tc>
          <w:tcPr>
            <w:tcW w:w="1134" w:type="dxa"/>
            <w:vAlign w:val="center"/>
          </w:tcPr>
          <w:p w14:paraId="38000B1A" w14:textId="6D893096" w:rsidR="00DF6582" w:rsidRPr="00DF6582" w:rsidRDefault="00DF6582" w:rsidP="00DF6582">
            <w:pPr>
              <w:pStyle w:val="Tablenumbers"/>
              <w:rPr>
                <w:sz w:val="18"/>
                <w:szCs w:val="18"/>
              </w:rPr>
            </w:pPr>
            <w:r w:rsidRPr="00DF6582">
              <w:rPr>
                <w:rFonts w:ascii="Blanco" w:hAnsi="Blanco" w:cs="Calibri"/>
                <w:color w:val="231F20"/>
                <w:sz w:val="18"/>
                <w:szCs w:val="18"/>
              </w:rPr>
              <w:t>1,399</w:t>
            </w:r>
          </w:p>
        </w:tc>
        <w:tc>
          <w:tcPr>
            <w:tcW w:w="1304" w:type="dxa"/>
            <w:vAlign w:val="center"/>
          </w:tcPr>
          <w:p w14:paraId="74B6C03B" w14:textId="5278F56A" w:rsidR="00DF6582" w:rsidRPr="00DF6582" w:rsidRDefault="00DF6582" w:rsidP="00DF6582">
            <w:pPr>
              <w:pStyle w:val="Tablenumbers"/>
              <w:rPr>
                <w:sz w:val="18"/>
                <w:szCs w:val="18"/>
              </w:rPr>
            </w:pPr>
            <w:r w:rsidRPr="00DF6582">
              <w:rPr>
                <w:rFonts w:ascii="Blanco" w:hAnsi="Blanco" w:cs="Calibri"/>
                <w:color w:val="231F20"/>
                <w:sz w:val="18"/>
                <w:szCs w:val="18"/>
              </w:rPr>
              <w:t>-64</w:t>
            </w:r>
          </w:p>
        </w:tc>
        <w:tc>
          <w:tcPr>
            <w:tcW w:w="1304" w:type="dxa"/>
            <w:vAlign w:val="center"/>
          </w:tcPr>
          <w:p w14:paraId="21F984D5" w14:textId="1428D007" w:rsidR="00DF6582" w:rsidRPr="00DF6582" w:rsidRDefault="00DF6582" w:rsidP="00DF6582">
            <w:pPr>
              <w:pStyle w:val="Tablenumbers"/>
              <w:rPr>
                <w:sz w:val="18"/>
                <w:szCs w:val="18"/>
              </w:rPr>
            </w:pPr>
            <w:r w:rsidRPr="00DF6582">
              <w:rPr>
                <w:rFonts w:ascii="Blanco" w:hAnsi="Blanco" w:cs="Calibri"/>
                <w:color w:val="231F20"/>
                <w:sz w:val="18"/>
                <w:szCs w:val="18"/>
              </w:rPr>
              <w:t>96%</w:t>
            </w:r>
          </w:p>
        </w:tc>
      </w:tr>
      <w:tr w:rsidR="00DF6582" w14:paraId="0DE45E19" w14:textId="77777777" w:rsidTr="00DF6582">
        <w:trPr>
          <w:cnfStyle w:val="000000100000" w:firstRow="0" w:lastRow="0" w:firstColumn="0" w:lastColumn="0" w:oddVBand="0" w:evenVBand="0" w:oddHBand="1" w:evenHBand="0" w:firstRowFirstColumn="0" w:firstRowLastColumn="0" w:lastRowFirstColumn="0" w:lastRowLastColumn="0"/>
        </w:trPr>
        <w:tc>
          <w:tcPr>
            <w:tcW w:w="2211" w:type="dxa"/>
            <w:vAlign w:val="center"/>
          </w:tcPr>
          <w:p w14:paraId="7A53204B" w14:textId="77777777" w:rsidR="00DF6582" w:rsidRPr="00DF6582" w:rsidRDefault="00DF6582" w:rsidP="00DF6582">
            <w:pPr>
              <w:pStyle w:val="Tabletext"/>
              <w:rPr>
                <w:sz w:val="18"/>
                <w:szCs w:val="18"/>
              </w:rPr>
            </w:pPr>
            <w:r w:rsidRPr="00DF6582">
              <w:rPr>
                <w:sz w:val="18"/>
                <w:szCs w:val="18"/>
              </w:rPr>
              <w:t>Visual Impairment</w:t>
            </w:r>
          </w:p>
        </w:tc>
        <w:tc>
          <w:tcPr>
            <w:tcW w:w="1583" w:type="dxa"/>
            <w:vAlign w:val="center"/>
          </w:tcPr>
          <w:p w14:paraId="620AE70A" w14:textId="22945A0C" w:rsidR="00DF6582" w:rsidRPr="00DF6582" w:rsidRDefault="00DF6582" w:rsidP="00DF6582">
            <w:pPr>
              <w:pStyle w:val="Tablenumbers"/>
              <w:rPr>
                <w:sz w:val="18"/>
                <w:szCs w:val="18"/>
              </w:rPr>
            </w:pPr>
            <w:r w:rsidRPr="00DF6582">
              <w:rPr>
                <w:rFonts w:ascii="Blanco" w:hAnsi="Blanco" w:cs="Calibri"/>
                <w:color w:val="231F20"/>
                <w:sz w:val="18"/>
                <w:szCs w:val="18"/>
              </w:rPr>
              <w:t>1,466</w:t>
            </w:r>
          </w:p>
        </w:tc>
        <w:tc>
          <w:tcPr>
            <w:tcW w:w="1134" w:type="dxa"/>
            <w:vAlign w:val="center"/>
          </w:tcPr>
          <w:p w14:paraId="574E45F8" w14:textId="6A852169" w:rsidR="00DF6582" w:rsidRPr="00DF6582" w:rsidRDefault="00DF6582" w:rsidP="00DF6582">
            <w:pPr>
              <w:pStyle w:val="Tablenumbers"/>
              <w:rPr>
                <w:sz w:val="18"/>
                <w:szCs w:val="18"/>
              </w:rPr>
            </w:pPr>
            <w:r w:rsidRPr="00DF6582">
              <w:rPr>
                <w:rFonts w:ascii="Blanco" w:hAnsi="Blanco" w:cs="Calibri"/>
                <w:color w:val="231F20"/>
                <w:sz w:val="18"/>
                <w:szCs w:val="18"/>
              </w:rPr>
              <w:t>924</w:t>
            </w:r>
          </w:p>
        </w:tc>
        <w:tc>
          <w:tcPr>
            <w:tcW w:w="1304" w:type="dxa"/>
            <w:vAlign w:val="center"/>
          </w:tcPr>
          <w:p w14:paraId="70DF250A" w14:textId="409EBC4D" w:rsidR="00DF6582" w:rsidRPr="00DF6582" w:rsidRDefault="00DF6582" w:rsidP="00DF6582">
            <w:pPr>
              <w:pStyle w:val="Tablenumbers"/>
              <w:rPr>
                <w:sz w:val="18"/>
                <w:szCs w:val="18"/>
              </w:rPr>
            </w:pPr>
            <w:r w:rsidRPr="00DF6582">
              <w:rPr>
                <w:rFonts w:ascii="Blanco" w:hAnsi="Blanco" w:cs="Calibri"/>
                <w:color w:val="231F20"/>
                <w:sz w:val="18"/>
                <w:szCs w:val="18"/>
              </w:rPr>
              <w:t>-542</w:t>
            </w:r>
          </w:p>
        </w:tc>
        <w:tc>
          <w:tcPr>
            <w:tcW w:w="1304" w:type="dxa"/>
            <w:vAlign w:val="center"/>
          </w:tcPr>
          <w:p w14:paraId="3B9CEAB1" w14:textId="43109145" w:rsidR="00DF6582" w:rsidRPr="00DF6582" w:rsidRDefault="00DF6582" w:rsidP="00DF6582">
            <w:pPr>
              <w:pStyle w:val="Tablenumbers"/>
              <w:rPr>
                <w:sz w:val="18"/>
                <w:szCs w:val="18"/>
              </w:rPr>
            </w:pPr>
            <w:r w:rsidRPr="00DF6582">
              <w:rPr>
                <w:rFonts w:ascii="Blanco" w:hAnsi="Blanco" w:cs="Calibri"/>
                <w:color w:val="231F20"/>
                <w:sz w:val="18"/>
                <w:szCs w:val="18"/>
              </w:rPr>
              <w:t>63%</w:t>
            </w:r>
          </w:p>
        </w:tc>
      </w:tr>
      <w:tr w:rsidR="00DF6582" w14:paraId="4D31556C" w14:textId="77777777" w:rsidTr="00DF6582">
        <w:trPr>
          <w:cnfStyle w:val="010000000000" w:firstRow="0" w:lastRow="1" w:firstColumn="0" w:lastColumn="0" w:oddVBand="0" w:evenVBand="0" w:oddHBand="0" w:evenHBand="0" w:firstRowFirstColumn="0" w:firstRowLastColumn="0" w:lastRowFirstColumn="0" w:lastRowLastColumn="0"/>
        </w:trPr>
        <w:tc>
          <w:tcPr>
            <w:tcW w:w="2211" w:type="dxa"/>
            <w:vAlign w:val="center"/>
          </w:tcPr>
          <w:p w14:paraId="0CFA97BD" w14:textId="77777777" w:rsidR="00DF6582" w:rsidRPr="00DF6582" w:rsidRDefault="00DF6582" w:rsidP="00DF6582">
            <w:pPr>
              <w:pStyle w:val="Tabletext"/>
              <w:rPr>
                <w:sz w:val="18"/>
                <w:szCs w:val="18"/>
              </w:rPr>
            </w:pPr>
            <w:r w:rsidRPr="00DF6582">
              <w:rPr>
                <w:sz w:val="18"/>
                <w:szCs w:val="18"/>
              </w:rPr>
              <w:t>Total</w:t>
            </w:r>
          </w:p>
        </w:tc>
        <w:tc>
          <w:tcPr>
            <w:tcW w:w="1583" w:type="dxa"/>
            <w:vAlign w:val="center"/>
          </w:tcPr>
          <w:p w14:paraId="049BD90C" w14:textId="74EAA90A" w:rsidR="00DF6582" w:rsidRPr="00DF6582" w:rsidRDefault="00DF6582" w:rsidP="00DF6582">
            <w:pPr>
              <w:pStyle w:val="Tablenumbers"/>
              <w:rPr>
                <w:sz w:val="18"/>
                <w:szCs w:val="18"/>
              </w:rPr>
            </w:pPr>
            <w:r w:rsidRPr="00DF6582">
              <w:rPr>
                <w:rFonts w:ascii="Blanco" w:hAnsi="Blanco" w:cs="Calibri"/>
                <w:color w:val="231F20"/>
                <w:sz w:val="18"/>
                <w:szCs w:val="18"/>
              </w:rPr>
              <w:t>64,186</w:t>
            </w:r>
          </w:p>
        </w:tc>
        <w:tc>
          <w:tcPr>
            <w:tcW w:w="1134" w:type="dxa"/>
            <w:vAlign w:val="center"/>
          </w:tcPr>
          <w:p w14:paraId="69E25B5A" w14:textId="34AB6164" w:rsidR="00DF6582" w:rsidRPr="00DF6582" w:rsidRDefault="00DF6582" w:rsidP="00DF6582">
            <w:pPr>
              <w:pStyle w:val="Tablenumbers"/>
              <w:rPr>
                <w:sz w:val="18"/>
                <w:szCs w:val="18"/>
              </w:rPr>
            </w:pPr>
            <w:r w:rsidRPr="00DF6582">
              <w:rPr>
                <w:rFonts w:ascii="Blanco" w:hAnsi="Blanco" w:cs="Calibri"/>
                <w:color w:val="231F20"/>
                <w:sz w:val="18"/>
                <w:szCs w:val="18"/>
              </w:rPr>
              <w:t>80,977</w:t>
            </w:r>
          </w:p>
        </w:tc>
        <w:tc>
          <w:tcPr>
            <w:tcW w:w="1304" w:type="dxa"/>
            <w:vAlign w:val="center"/>
          </w:tcPr>
          <w:p w14:paraId="2BD77C2A" w14:textId="55FACBF9" w:rsidR="00DF6582" w:rsidRPr="00DF6582" w:rsidRDefault="00DF6582" w:rsidP="00DF6582">
            <w:pPr>
              <w:pStyle w:val="Tablenumbers"/>
              <w:rPr>
                <w:sz w:val="18"/>
                <w:szCs w:val="18"/>
              </w:rPr>
            </w:pPr>
            <w:r w:rsidRPr="00DF6582">
              <w:rPr>
                <w:rFonts w:ascii="Blanco" w:hAnsi="Blanco" w:cs="Calibri"/>
                <w:color w:val="231F20"/>
                <w:sz w:val="18"/>
                <w:szCs w:val="18"/>
              </w:rPr>
              <w:t>16,791</w:t>
            </w:r>
          </w:p>
        </w:tc>
        <w:tc>
          <w:tcPr>
            <w:tcW w:w="1304" w:type="dxa"/>
            <w:vAlign w:val="center"/>
          </w:tcPr>
          <w:p w14:paraId="04C32364" w14:textId="0F8C20CF" w:rsidR="00DF6582" w:rsidRPr="00DF6582" w:rsidRDefault="00DF6582" w:rsidP="00DF6582">
            <w:pPr>
              <w:pStyle w:val="Tablenumbers"/>
              <w:rPr>
                <w:sz w:val="18"/>
                <w:szCs w:val="18"/>
              </w:rPr>
            </w:pPr>
            <w:r w:rsidRPr="00DF6582">
              <w:rPr>
                <w:rFonts w:ascii="Blanco" w:hAnsi="Blanco" w:cs="Calibri"/>
                <w:color w:val="231F20"/>
                <w:sz w:val="18"/>
                <w:szCs w:val="18"/>
              </w:rPr>
              <w:t>126%</w:t>
            </w:r>
          </w:p>
        </w:tc>
      </w:tr>
    </w:tbl>
    <w:p w14:paraId="04EA655B" w14:textId="47974B8C" w:rsidR="009923B9" w:rsidRDefault="009923B9" w:rsidP="009923B9">
      <w:pPr>
        <w:pStyle w:val="Tablenotesorsource"/>
        <w:spacing w:before="40"/>
      </w:pPr>
      <w:r>
        <w:t xml:space="preserve">Note: Other covers more than </w:t>
      </w:r>
      <w:r w:rsidRPr="009923B9">
        <w:t>4</w:t>
      </w:r>
      <w:r>
        <w:t>0</w:t>
      </w:r>
      <w:r w:rsidRPr="009923B9">
        <w:t xml:space="preserve"> different conditions, with the top 5 being amputations, early onset dementia, chronic lung disease, other metabolic disorders and childhood apraxia of speech</w:t>
      </w:r>
    </w:p>
    <w:p w14:paraId="78A6DC82" w14:textId="55F66D89" w:rsidR="003B572C" w:rsidRDefault="00DF6582" w:rsidP="003B572C">
      <w:r>
        <w:t>Relative to 2018-19, the a</w:t>
      </w:r>
      <w:r w:rsidR="003B572C">
        <w:t xml:space="preserve">ggregate assumptions </w:t>
      </w:r>
      <w:r w:rsidR="001275CA">
        <w:t xml:space="preserve">for </w:t>
      </w:r>
      <w:r w:rsidR="003B572C">
        <w:t xml:space="preserve">new entrants have increased by </w:t>
      </w:r>
      <w:r>
        <w:t xml:space="preserve">about </w:t>
      </w:r>
      <w:r w:rsidR="003B572C">
        <w:t>25,000 per year for the full projection period</w:t>
      </w:r>
      <w:r>
        <w:t xml:space="preserve"> – a large increase</w:t>
      </w:r>
      <w:r w:rsidR="003B572C">
        <w:t xml:space="preserve">. This includes an additional set of entrants in the first three years ascribed to ‘previously unmet need’. The increases are largest for </w:t>
      </w:r>
      <w:r w:rsidR="009D22B7">
        <w:t xml:space="preserve">developmental </w:t>
      </w:r>
      <w:r w:rsidR="003B572C">
        <w:t xml:space="preserve">delay, psychosocial disability and autism (in that order). </w:t>
      </w:r>
    </w:p>
    <w:p w14:paraId="346663FC" w14:textId="772A20FE" w:rsidR="003B572C" w:rsidRDefault="003B572C" w:rsidP="003B572C">
      <w:pPr>
        <w:pStyle w:val="Caption"/>
      </w:pPr>
      <w:r w:rsidRPr="00261658">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w:t>
      </w:r>
      <w:r>
        <w:fldChar w:fldCharType="end"/>
      </w:r>
      <w:r w:rsidRPr="00261658">
        <w:t xml:space="preserve"> </w:t>
      </w:r>
      <w:r>
        <w:t>– Number of people entering the NDIS, past and projected</w:t>
      </w:r>
    </w:p>
    <w:p w14:paraId="57167EA8" w14:textId="4367FD30" w:rsidR="003B572C" w:rsidRDefault="008558A2" w:rsidP="003B572C">
      <w:r w:rsidRPr="008558A2">
        <w:rPr>
          <w:noProof/>
        </w:rPr>
        <w:drawing>
          <wp:inline distT="0" distB="0" distL="0" distR="0" wp14:anchorId="167ED060" wp14:editId="5C6A1051">
            <wp:extent cx="4625131" cy="2587925"/>
            <wp:effectExtent l="0" t="0" r="4445" b="3175"/>
            <wp:docPr id="88" name="Picture 88" descr="2019-2020.&#10;Projected, 2018-19 AFSR. 89,125.&#10;Actual. 111,289.&#10;Projected, 2020-21 AFSR. -.&#10;Base. -.&#10;Previously unmet need. -.&#10;&#10;&#10;2020-2021.&#10;Projected, 2018-19 AFSR. 64,186.&#10;Actual. 80,977.&#10;Projected, 2020-21 AFSR. -.&#10;Base. -.&#10;Previously unmet need. -.&#10;&#10;2021-2022.&#10;Projected, 2018-19 AFSR. 58,377.&#10;Actual. -.&#10;Projected, 2020-21 AFSR. 72,741.&#10;Base. 59,178.&#10;Previously unmet need. 13,563.&#10;&#10;2022-2023.&#10;Projected, 2018-19 AFSR. 44,016.&#10;Actual. -.&#10;Projected, 2020-21 AFSR. 68,648.&#10;Base. 59,413.&#10;Previously unmet need. 9,235.&#10;&#10;2023-2024.&#10;Projected, 2018-19 AFSR. 36,759.&#10;Actual. -.&#10;Projected, 2020-21 AFSR. 60,333.&#10;Base. 59,946.&#10;Previously unmet need. 387.&#10;&#10;2024-2025.&#10;Projected, 2018-19 AFSR. 37,184.&#10;Actual. -.&#10;Projected, 2020-21 AFSR. 60,560.&#10;Base. 60,560.&#10;Previously unmet need. -.&#10;&#10;2025-2026.&#10;Projected, 2018-19 AFSR. 37,593.&#10;Actual. -.&#10;Projected, 2020-21 AFSR. 61,154.&#10;Base. 61,154.&#10;Previously unmet need. -.&#10;&#10;2026-2027.&#10;Projected, 2018-19 AFSR. 38,003.&#10;Actual. -.&#10;Projected, 2020-21 AFSR. 61,745.&#10;Base. 61,745.&#10;Previously unmet need. -.&#10;&#10;2027-2028.&#10;Projected, 2018-19 AFSR. 38,415.&#10;Actual. -.&#10;Projected, 2020-21 AFSR. 62,330.&#10;Base. 62,330.&#10;Previously unmet need. -.&#10;&#10;2028-2029.&#10;Projected, 2018-19 AFSR. 38,835.&#10;Actual. -.&#10;Projected, 2020-21 AFSR. 62,926.&#10;Base. 62,926.&#10;Previously unmet need. -.&#10;&#10;2029-2030.&#10;Projected, 2018-19 AFSR. 39,270.&#10;Actual. -.&#10;Projected, 2020-21 AFSR. 63,559.&#10;Base. 63,559.&#10;Previously unmet ne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2019-2020.&#10;Projected, 2018-19 AFSR. 89,125.&#10;Actual. 111,289.&#10;Projected, 2020-21 AFSR. -.&#10;Base. -.&#10;Previously unmet need. -.&#10;&#10;&#10;2020-2021.&#10;Projected, 2018-19 AFSR. 64,186.&#10;Actual. 80,977.&#10;Projected, 2020-21 AFSR. -.&#10;Base. -.&#10;Previously unmet need. -.&#10;&#10;2021-2022.&#10;Projected, 2018-19 AFSR. 58,377.&#10;Actual. -.&#10;Projected, 2020-21 AFSR. 72,741.&#10;Base. 59,178.&#10;Previously unmet need. 13,563.&#10;&#10;2022-2023.&#10;Projected, 2018-19 AFSR. 44,016.&#10;Actual. -.&#10;Projected, 2020-21 AFSR. 68,648.&#10;Base. 59,413.&#10;Previously unmet need. 9,235.&#10;&#10;2023-2024.&#10;Projected, 2018-19 AFSR. 36,759.&#10;Actual. -.&#10;Projected, 2020-21 AFSR. 60,333.&#10;Base. 59,946.&#10;Previously unmet need. 387.&#10;&#10;2024-2025.&#10;Projected, 2018-19 AFSR. 37,184.&#10;Actual. -.&#10;Projected, 2020-21 AFSR. 60,560.&#10;Base. 60,560.&#10;Previously unmet need. -.&#10;&#10;2025-2026.&#10;Projected, 2018-19 AFSR. 37,593.&#10;Actual. -.&#10;Projected, 2020-21 AFSR. 61,154.&#10;Base. 61,154.&#10;Previously unmet need. -.&#10;&#10;2026-2027.&#10;Projected, 2018-19 AFSR. 38,003.&#10;Actual. -.&#10;Projected, 2020-21 AFSR. 61,745.&#10;Base. 61,745.&#10;Previously unmet need. -.&#10;&#10;2027-2028.&#10;Projected, 2018-19 AFSR. 38,415.&#10;Actual. -.&#10;Projected, 2020-21 AFSR. 62,330.&#10;Base. 62,330.&#10;Previously unmet need. -.&#10;&#10;2028-2029.&#10;Projected, 2018-19 AFSR. 38,835.&#10;Actual. -.&#10;Projected, 2020-21 AFSR. 62,926.&#10;Base. 62,926.&#10;Previously unmet need. -.&#10;&#10;2029-2030.&#10;Projected, 2018-19 AFSR. 39,270.&#10;Actual. -.&#10;Projected, 2020-21 AFSR. 63,559.&#10;Base. 63,559.&#10;Previously unmet need. -."/>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643377" cy="2598134"/>
                    </a:xfrm>
                    <a:prstGeom prst="rect">
                      <a:avLst/>
                    </a:prstGeom>
                    <a:noFill/>
                    <a:ln>
                      <a:noFill/>
                    </a:ln>
                  </pic:spPr>
                </pic:pic>
              </a:graphicData>
            </a:graphic>
          </wp:inline>
        </w:drawing>
      </w:r>
    </w:p>
    <w:p w14:paraId="61A0CBC1" w14:textId="69D50924" w:rsidR="00912B30" w:rsidRPr="003A2BFA" w:rsidRDefault="00912B30" w:rsidP="00912B30">
      <w:pPr>
        <w:pStyle w:val="Tablenotesorsource"/>
        <w:ind w:left="426"/>
      </w:pPr>
      <w:r>
        <w:t>Note: Previously unmet need is an additional component of entries estimated separately in the AFSR reflecting people with existing long-term disabilities not supported in previous State and Commonwealth schemes. It contrasts to steadier ongoing entries that primarily relate to new incidence and diagnosis.</w:t>
      </w:r>
    </w:p>
    <w:p w14:paraId="42F74E94" w14:textId="53D82A7A" w:rsidR="00394C9D" w:rsidRDefault="00394C9D" w:rsidP="008558A2">
      <w:pPr>
        <w:keepNext/>
      </w:pPr>
      <w:r>
        <w:t>In assessing the reasonableness of these increases in aggregate we have considered evidence from:</w:t>
      </w:r>
    </w:p>
    <w:p w14:paraId="63A30963" w14:textId="23C413D4" w:rsidR="00394C9D" w:rsidRDefault="00394C9D" w:rsidP="008558A2">
      <w:pPr>
        <w:pStyle w:val="Bullet1"/>
        <w:keepNext/>
      </w:pPr>
      <w:r>
        <w:t>Experience of trial regions</w:t>
      </w:r>
    </w:p>
    <w:p w14:paraId="2EF05971" w14:textId="09357A57" w:rsidR="00394C9D" w:rsidRDefault="00394C9D" w:rsidP="008558A2">
      <w:pPr>
        <w:pStyle w:val="Bullet1"/>
        <w:keepNext/>
      </w:pPr>
      <w:r>
        <w:t>Secondary data sources on disability prevalence</w:t>
      </w:r>
    </w:p>
    <w:p w14:paraId="7BA17B2C" w14:textId="602945E5" w:rsidR="00394C9D" w:rsidRPr="00394C9D" w:rsidRDefault="00394C9D" w:rsidP="008558A2">
      <w:pPr>
        <w:pStyle w:val="Bullet1"/>
        <w:keepNext/>
      </w:pPr>
      <w:r>
        <w:t>Steady state calculations</w:t>
      </w:r>
    </w:p>
    <w:p w14:paraId="24EE8183" w14:textId="19AB167C" w:rsidR="00394C9D" w:rsidRDefault="00394C9D" w:rsidP="003B572C">
      <w:pPr>
        <w:spacing w:before="0" w:after="160" w:line="259" w:lineRule="auto"/>
      </w:pPr>
      <w:r>
        <w:t xml:space="preserve">These are discussed further in Section </w:t>
      </w:r>
      <w:r>
        <w:fldChar w:fldCharType="begin"/>
      </w:r>
      <w:r>
        <w:instrText xml:space="preserve"> REF _Ref87483953 \r \h </w:instrText>
      </w:r>
      <w:r>
        <w:fldChar w:fldCharType="separate"/>
      </w:r>
      <w:r w:rsidR="00E6217F">
        <w:t>7.1</w:t>
      </w:r>
      <w:r>
        <w:fldChar w:fldCharType="end"/>
      </w:r>
      <w:r>
        <w:t>.</w:t>
      </w:r>
    </w:p>
    <w:p w14:paraId="704DBAB9" w14:textId="2CCCAB42" w:rsidR="008E25A8" w:rsidRDefault="008E25A8" w:rsidP="003B572C">
      <w:pPr>
        <w:spacing w:before="0" w:after="160" w:line="259" w:lineRule="auto"/>
      </w:pPr>
      <w:r>
        <w:t xml:space="preserve">The high number of entrants, leading to large increases in the size of the NDIS participant pool, appear to reflect a generational change in the recognition of disability in Australia. </w:t>
      </w:r>
      <w:r w:rsidR="005B7AEB">
        <w:t xml:space="preserve">This trend is also reflected in secondary data sources, such as the Survey of Disability, Aging and Carer. </w:t>
      </w:r>
      <w:r>
        <w:t xml:space="preserve">More people are being diagnosed </w:t>
      </w:r>
      <w:r w:rsidR="003E6516">
        <w:t xml:space="preserve">with </w:t>
      </w:r>
      <w:r>
        <w:t xml:space="preserve">conditions such as </w:t>
      </w:r>
      <w:r w:rsidR="009D22B7">
        <w:t xml:space="preserve">developmental </w:t>
      </w:r>
      <w:r>
        <w:t xml:space="preserve">delay and autism. Further, those diagnosed young continue to report the disability at </w:t>
      </w:r>
      <w:r w:rsidR="009C261B">
        <w:t xml:space="preserve">older </w:t>
      </w:r>
      <w:r w:rsidR="005B7AEB">
        <w:t>ages and are likely to remain in the Scheme (rather than exiting after effective early intervention)</w:t>
      </w:r>
      <w:r>
        <w:t>. This is consistent with the AFS</w:t>
      </w:r>
      <w:r w:rsidR="009D22B7">
        <w:t>R</w:t>
      </w:r>
      <w:r>
        <w:t xml:space="preserve"> projection, </w:t>
      </w:r>
      <w:r w:rsidR="004C374B" w:rsidRPr="004C374B">
        <w:t xml:space="preserve">which sees a high number of child entries remain in the </w:t>
      </w:r>
      <w:r w:rsidR="00232FFF">
        <w:t>Scheme</w:t>
      </w:r>
      <w:r w:rsidR="004C374B" w:rsidRPr="004C374B">
        <w:t xml:space="preserve"> into adulthood</w:t>
      </w:r>
      <w:r w:rsidR="009D22B7">
        <w:t>.</w:t>
      </w:r>
    </w:p>
    <w:p w14:paraId="1505D125" w14:textId="29AA60A6" w:rsidR="003B572C" w:rsidRDefault="00394C9D" w:rsidP="003B572C">
      <w:pPr>
        <w:spacing w:before="0" w:after="160" w:line="259" w:lineRule="auto"/>
      </w:pPr>
      <w:r>
        <w:t>On balance, we regard the assumptions as reasonable for the years to 2024-25. Trial region entries remain strong and increasing rates of diagnosis for conditions such as autism and developmental delay mean that high numbers of new entrants are likely to persist.</w:t>
      </w:r>
      <w:r w:rsidR="004C7E07">
        <w:t xml:space="preserve"> Further, the number of entries from outside existing State and Commonwealth schemes remain</w:t>
      </w:r>
      <w:r w:rsidR="00093F6F">
        <w:t>s</w:t>
      </w:r>
      <w:r w:rsidR="004C7E07">
        <w:t xml:space="preserve"> high; 80,000 in 2019-20, 72,500 in 2020-21, and little evidence of a drop over the course of 2020-21.</w:t>
      </w:r>
      <w:r w:rsidR="00CF34E2">
        <w:t xml:space="preserve"> </w:t>
      </w:r>
      <w:r>
        <w:t xml:space="preserve">Beyond 2024-25, </w:t>
      </w:r>
      <w:r w:rsidR="00093F6F">
        <w:t>there is greater uncertainty; we believe there is still the potential for stabilisation in prevalence across age bands which would imply new entrant numbers falling to a level significantly lower than the 60,000 per year projected</w:t>
      </w:r>
      <w:r w:rsidR="008E25A8">
        <w:t xml:space="preserve">. While some disability types are approaching a steady state already, there is limited evidence of this at an aggregate level. </w:t>
      </w:r>
    </w:p>
    <w:p w14:paraId="1B353151" w14:textId="5629E21D" w:rsidR="003B572C" w:rsidRDefault="003B572C" w:rsidP="003B572C">
      <w:r>
        <w:t>The distribution of entrants across disability type is shown in the figure below. There are some differences that appear material, such as a higher f</w:t>
      </w:r>
      <w:r w:rsidR="009E2DB3">
        <w:t>r</w:t>
      </w:r>
      <w:r>
        <w:t xml:space="preserve">action of </w:t>
      </w:r>
      <w:r w:rsidR="009D22B7">
        <w:t xml:space="preserve">developmental delay </w:t>
      </w:r>
      <w:r>
        <w:t xml:space="preserve">entries and a step down in autism entries. </w:t>
      </w:r>
      <w:r w:rsidR="00394C9D">
        <w:t>We have confirm</w:t>
      </w:r>
      <w:r w:rsidR="009D22B7">
        <w:t>ed</w:t>
      </w:r>
      <w:r w:rsidR="00394C9D">
        <w:t xml:space="preserve"> with the Scheme Actuary that the discrepancies are an </w:t>
      </w:r>
      <w:r w:rsidR="00F77CDC">
        <w:t xml:space="preserve">artefact </w:t>
      </w:r>
      <w:r w:rsidR="00394C9D">
        <w:t xml:space="preserve">of their assumption-setting method, which blends direct evidence (number of entries last year) with indirect (the distribution of current </w:t>
      </w:r>
      <w:r w:rsidR="00232FFF">
        <w:t>Scheme</w:t>
      </w:r>
      <w:r w:rsidR="00394C9D">
        <w:t xml:space="preserve"> participants). We understand that they intend to switch to a direct method next year, which </w:t>
      </w:r>
      <w:r w:rsidR="009D22B7">
        <w:t xml:space="preserve">should </w:t>
      </w:r>
      <w:r w:rsidR="00394C9D">
        <w:t>better match the actual entry distribution.</w:t>
      </w:r>
    </w:p>
    <w:p w14:paraId="62B19EBB" w14:textId="0FE834F4" w:rsidR="003B572C" w:rsidRDefault="003B572C" w:rsidP="003B572C">
      <w:pPr>
        <w:pStyle w:val="Caption"/>
        <w:spacing w:after="0"/>
      </w:pPr>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2</w:t>
      </w:r>
      <w:r>
        <w:fldChar w:fldCharType="end"/>
      </w:r>
      <w:r>
        <w:t xml:space="preserve"> – Distribution of new entrants across disability type</w:t>
      </w:r>
    </w:p>
    <w:p w14:paraId="53234F83" w14:textId="337843B8" w:rsidR="003B572C" w:rsidRDefault="00A4723A" w:rsidP="003B572C">
      <w:pPr>
        <w:spacing w:before="0" w:after="0"/>
      </w:pPr>
      <w:r w:rsidRPr="00A4723A">
        <w:t xml:space="preserve"> </w:t>
      </w:r>
      <w:r w:rsidRPr="00A4723A">
        <w:rPr>
          <w:noProof/>
        </w:rPr>
        <w:drawing>
          <wp:inline distT="0" distB="0" distL="0" distR="0" wp14:anchorId="09B2CC9F" wp14:editId="1FA4B4E6">
            <wp:extent cx="3267971" cy="3498111"/>
            <wp:effectExtent l="0" t="0" r="8890" b="7620"/>
            <wp:docPr id="135" name="Picture 135" descr="ABI.&#10;Actual 2020-2021.  Proportion of all entries. 3%.&#10;Actual 20, excluding state transfers. 3%. &#10;Projected AFSR 2021, 2021-2022. 2%. &#10;Projected AFSR 2021, 2024-2025. 2%.&#10;&#10;&#10;Autism.&#10;Actual 2020-2021. 29%.&#10;Actual 20, excluding state transfers. 29%. &#10;Projected AFSR 2021, 2021-2022. 25%. &#10;Projected AFSR 2021, 2024-2025. 21%.&#10;&#10;&#10;Cerebral Palsy.&#10;Actual 2020-2021. 1%.&#10;Actual 20, excluding state transfers. 1%. &#10;Projected AFSR 2021, 2021-2022. 1%. &#10;Projected AFSR 2021, 2024-2025. 1%.&#10;&#10;&#10;Delay.&#10;Actual 2020-2021. 26%.&#10;Actual 20, excluding state transfers. 28%. &#10;Projected AFSR 2021, 2021-2022. 34%. &#10;Projected AFSR 2021, 2024-2025. 42%.&#10;&#10;&#10;Hearing Impairment.&#10;Actual 2020-2021. 4%.&#10;Actual 20, excluding state transfers. 5%. &#10;Projected AFSR 2021, 2021-2022. 4%. &#10;Projected AFSR 2021, 2024-2025. 5%.&#10;&#10;&#10;Intellectual Disability.&#10;Actual 2020-2021. 8%.&#10;Actual 20, excluding state transfers. 7%. &#10;Projected AFSR 2021, 2021-2022. 7%. &#10;Projected AFSR 2021, 2024-2025. 6%.&#10;&#10;&#10;Multiple Sclerosis.&#10;Actual 2020-2021. 1%.&#10;Actual 20, excluding state transfers. 1%. &#10;Projected AFSR 2021, 2021-2022. 1%. &#10;Projected AFSR 2021, 2024-2025. 1%.&#10;&#10;&#10;Other.&#10;Actual 2020-2021. 3%.&#10;Actual 20, excluding state transfers. 3%. &#10;Projected AFSR 2021, 2021-2022. 2%. &#10;Projected AFSR 2021, 2024-2025. 2%.&#10;&#10;&#10;Other Neurological.&#10;Actual 2020-2021. 4%.&#10;Actual 20, excluding state transfers. 4%. &#10;Projected AFSR 2021, 2021-2022. 4%. &#10;Projected AFSR 2021, 2024-2025. 4%.&#10;&#10;&#10;Other Physical.&#10;Actual 2020-2021. 3%.&#10;Actual 20, excluding state transfers. 3%. &#10;Projected AFSR 2021, 2021-2022. 4%. &#10;Projected AFSR 2021, 2024-2025. 4%.&#10;&#10;&#10;Other SensorySpeech.&#10;Actual 2020-2021. 0%.&#10;Actual 20, excluding state transfers. 0%. &#10;Projected AFSR 2021, 2021-2022. 1%. &#10;Projected AFSR 2021, 2024-2025. 1%.&#10;&#10;&#10;Psychosocial disability.&#10;Actual 2020-2021. 14%.&#10;Actual 20, excluding state transfers. 12%. &#10;Projected AFSR 2021, 2021-2022. 11%. &#10;Projected AFSR 2021, 2024-2025. 9%.&#10;&#10;&#10;Spinal Cord Injury.&#10;Actual 2020-2021. 1%.&#10;Actual 20, excluding state transfers. 1%. &#10;Projected AFSR 2021, 2021-2022. 1%. &#10;Projected AFSR 2021, 2024-2025. 0%.&#10;&#10;&#10;Stroke.&#10;Actual 2020-2021. 2%.&#10;Actual 20, excluding state transfers. 2%. &#10;Projected AFSR 2021, 2021-2022. 2%. &#10;Projected AFSR 2021, 2024-2025. 2%.&#10;&#10;&#10;Visual Impairment.&#10;Actual 2020-2021. 1%.&#10;Actual 20, excluding state transfers. 1%. &#10;Projected AFSR 2021, 2021-2022. 1%. &#10;Projected AFSR 2021, 2024-202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BI.&#10;Actual 2020-2021.  Proportion of all entries. 3%.&#10;Actual 20, excluding state transfers. 3%. &#10;Projected AFSR 2021, 2021-2022. 2%. &#10;Projected AFSR 2021, 2024-2025. 2%.&#10;&#10;&#10;Autism.&#10;Actual 2020-2021. 29%.&#10;Actual 20, excluding state transfers. 29%. &#10;Projected AFSR 2021, 2021-2022. 25%. &#10;Projected AFSR 2021, 2024-2025. 21%.&#10;&#10;&#10;Cerebral Palsy.&#10;Actual 2020-2021. 1%.&#10;Actual 20, excluding state transfers. 1%. &#10;Projected AFSR 2021, 2021-2022. 1%. &#10;Projected AFSR 2021, 2024-2025. 1%.&#10;&#10;&#10;Delay.&#10;Actual 2020-2021. 26%.&#10;Actual 20, excluding state transfers. 28%. &#10;Projected AFSR 2021, 2021-2022. 34%. &#10;Projected AFSR 2021, 2024-2025. 42%.&#10;&#10;&#10;Hearing Impairment.&#10;Actual 2020-2021. 4%.&#10;Actual 20, excluding state transfers. 5%. &#10;Projected AFSR 2021, 2021-2022. 4%. &#10;Projected AFSR 2021, 2024-2025. 5%.&#10;&#10;&#10;Intellectual Disability.&#10;Actual 2020-2021. 8%.&#10;Actual 20, excluding state transfers. 7%. &#10;Projected AFSR 2021, 2021-2022. 7%. &#10;Projected AFSR 2021, 2024-2025. 6%.&#10;&#10;&#10;Multiple Sclerosis.&#10;Actual 2020-2021. 1%.&#10;Actual 20, excluding state transfers. 1%. &#10;Projected AFSR 2021, 2021-2022. 1%. &#10;Projected AFSR 2021, 2024-2025. 1%.&#10;&#10;&#10;Other.&#10;Actual 2020-2021. 3%.&#10;Actual 20, excluding state transfers. 3%. &#10;Projected AFSR 2021, 2021-2022. 2%. &#10;Projected AFSR 2021, 2024-2025. 2%.&#10;&#10;&#10;Other Neurological.&#10;Actual 2020-2021. 4%.&#10;Actual 20, excluding state transfers. 4%. &#10;Projected AFSR 2021, 2021-2022. 4%. &#10;Projected AFSR 2021, 2024-2025. 4%.&#10;&#10;&#10;Other Physical.&#10;Actual 2020-2021. 3%.&#10;Actual 20, excluding state transfers. 3%. &#10;Projected AFSR 2021, 2021-2022. 4%. &#10;Projected AFSR 2021, 2024-2025. 4%.&#10;&#10;&#10;Other SensorySpeech.&#10;Actual 2020-2021. 0%.&#10;Actual 20, excluding state transfers. 0%. &#10;Projected AFSR 2021, 2021-2022. 1%. &#10;Projected AFSR 2021, 2024-2025. 1%.&#10;&#10;&#10;Psychosocial disability.&#10;Actual 2020-2021. 14%.&#10;Actual 20, excluding state transfers. 12%. &#10;Projected AFSR 2021, 2021-2022. 11%. &#10;Projected AFSR 2021, 2024-2025. 9%.&#10;&#10;&#10;Spinal Cord Injury.&#10;Actual 2020-2021. 1%.&#10;Actual 20, excluding state transfers. 1%. &#10;Projected AFSR 2021, 2021-2022. 1%. &#10;Projected AFSR 2021, 2024-2025. 0%.&#10;&#10;&#10;Stroke.&#10;Actual 2020-2021. 2%.&#10;Actual 20, excluding state transfers. 2%. &#10;Projected AFSR 2021, 2021-2022. 2%. &#10;Projected AFSR 2021, 2024-2025. 2%.&#10;&#10;&#10;Visual Impairment.&#10;Actual 2020-2021. 1%.&#10;Actual 20, excluding state transfers. 1%. &#10;Projected AFSR 2021, 2021-2022. 1%. &#10;Projected AFSR 2021, 2024-2025. 1%."/>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301736" cy="3534253"/>
                    </a:xfrm>
                    <a:prstGeom prst="rect">
                      <a:avLst/>
                    </a:prstGeom>
                    <a:noFill/>
                    <a:ln>
                      <a:noFill/>
                    </a:ln>
                  </pic:spPr>
                </pic:pic>
              </a:graphicData>
            </a:graphic>
          </wp:inline>
        </w:drawing>
      </w:r>
    </w:p>
    <w:p w14:paraId="0CAE3DCB" w14:textId="52E86AB8" w:rsidR="003B572C" w:rsidRDefault="003B572C" w:rsidP="003B572C">
      <w:r>
        <w:t>Age distribution</w:t>
      </w:r>
      <w:r w:rsidR="00394C9D">
        <w:t xml:space="preserve"> assumptions within disability-severity groups </w:t>
      </w:r>
      <w:r>
        <w:t xml:space="preserve">mostly align well with the recent past. For example, the age distribution of children with autism is shown in the figure below. Assumptions of age distributions differ for the additional ‘previously unmet need’ components in the first three years but are constant for the </w:t>
      </w:r>
      <w:r w:rsidR="009D22B7">
        <w:t xml:space="preserve">majority </w:t>
      </w:r>
      <w:r>
        <w:t>of entries over time.</w:t>
      </w:r>
    </w:p>
    <w:p w14:paraId="13854920" w14:textId="00A40F12" w:rsidR="003B572C" w:rsidRDefault="003B572C" w:rsidP="003B572C">
      <w:pPr>
        <w:pStyle w:val="Caption"/>
      </w:pPr>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3</w:t>
      </w:r>
      <w:r>
        <w:fldChar w:fldCharType="end"/>
      </w:r>
      <w:r>
        <w:t xml:space="preserve"> – Comparison of actual (2020-21 entrants) and projected (2021-22 forecasts) of age distribution for children with Autism.</w:t>
      </w:r>
    </w:p>
    <w:p w14:paraId="7B5302D3" w14:textId="77777777" w:rsidR="003B572C" w:rsidRDefault="003B572C" w:rsidP="003B572C">
      <w:r w:rsidRPr="003228F5">
        <w:t xml:space="preserve"> </w:t>
      </w:r>
      <w:r w:rsidRPr="003228F5">
        <w:rPr>
          <w:noProof/>
        </w:rPr>
        <w:drawing>
          <wp:inline distT="0" distB="0" distL="0" distR="0" wp14:anchorId="5E088366" wp14:editId="7CBB6662">
            <wp:extent cx="5748655" cy="2703195"/>
            <wp:effectExtent l="0" t="0" r="4445" b="1905"/>
            <wp:docPr id="46" name="Picture 46" descr="Age. 0. Actual 2020-2021. 0%. Projected AFSR 2021, 2021-2022. 0%.&#10;Age. 1. Actual. 0%. Projected. 2%. &#10;Age. 2. Actual. 2%. Projected. 4%. &#10;Age. 3. Actual. 4%. Projected. 4%. &#10;Age. 4. Actual. 5%. Projected. 5%. &#10;Age. 5. Actual. 5%. Projected. 4%. &#10;Age. 6. Actual. 6%. Projected. 4%. &#10;Age. 7. Actual. 7%. Projected. 10%. &#10;Age. 8. Actual. 7%. Projected. 7%. &#10;Age. 9. Actual. 7%. Projected. 7%. &#10;Age. 10. Actual. 7%. Projected. 7%. &#10;Age. 11. Actual. 6%. Projected. 6%. &#10;Age. 12. Actual. 6%. Projected. 5%. &#10;Age. 13. Actual. 5%. Projected. 5%. &#10;Age. 14. Actual. 5%. Projected. 5%. &#10;Age. 15. Actual. 4%. Projected. 4%. &#10;Age. 16. Actual. 4%. Projected. 3%. &#10;Age. 17. Actual. 3%. Projected. 3%. &#10;Age. 18. Actual. 2%. Projected. 2%. &#10;Age. 19. Actual. 2%. Projected. 2%. &#10;Age. 20. Actual. 1%. Projected. 1%. &#10;Age. 21. Actual. 1%. Projected. 1%. &#10;Age. 22. Actual. 1%. Projected. 1%. &#10;Age. 23. Actual. 1%. Projected. 0%. &#10;Age. 24. Actual. 1%. Projected. 0%. &#10;Age. 25. Actual. 1%. Projected. 0%. &#10;Age. 26. Actual. 1%. Projected. 0%. &#10;Age. 27. Actual. 0%. Projected. 0%. &#10;Age. 28. Actual. 0%. Projected. 0%. &#10;Age. 29. Actual. 0%. Projected. 0%. &#10;Age. 30. Actual. 0%. Projected. 0%. &#10;Age. 31. Actual. 0%. Projected. 0%. &#10;Age. 32. Actual. 0%. Projected. 0%. &#10;Age. 33. Actual. 0%. Projected. 0%. &#10;Age. 34. Actual. 0%. Projected. 0%. &#10;Age. 35. Actual. 0%. Projected. 0%. &#10;Age. 36. Actual. 0%. Projected. 0%. &#10;Age. 37. Actual. 0%. Projected. 0%. &#10;Age. 38. Actual. 0%. Projected. 0%. &#10;Age. 39. Actual. 0%. Projected. 0%. &#10;Age. 40. Actual. 0%. Projected. 0%. &#10;Age. 41. Actual. 0%. Projected. 0%. &#10;Age. 42. Actual. 0%. Projected. 0%. &#10;Age. 43. Actual. 0%. Projected. 0%. &#10;Age. 44. Actual. 0%. Projected. 0%. &#10;Age. 45. Actual. 0%. Projected. 0%. &#10;Age. 46. Actual. 0%. Projected. 0%. &#10;Age. 47. Actual. 0%. Projected. 0%. &#10;Age. 48. Actual. 0%. Projected. 0%. &#10;Age. 49. Actual. 0%. Projected. 0%. &#10;Age. 50. Actual. 0%. Projected. 0%. &#10;Age. 51. Actual. 0%. Projected. 0%. &#10;Age. 52. Actual. 0%. Projected. 0%. &#10;Age. 53. Actual. 0%. Projected. 0%. &#10;Age. 54. Actual. 0%. Projected. 0%. &#10;Age. 55. Actual. 0%. Projected. 0%. &#10;Age. 56. Actual. 0%. Projected. 0%. &#10;Age. 57. Actual. 0%. Projected. 0%. &#10;Age. 58. Actual. 0%. Projected. 0%. &#10;Age. 59. Actual. 0%. Projected. 0%. &#10;Age. 60. Actual. 0%. Projected. 0%. &#10;Age. 61. Actual. 0%. Projected. 0%. &#10;Age. 62. Actual. 0%. Projected. 0%. &#10;Age. 63. Actual. 0%. Projected. 0%. &#10;Age. 64. Actual. 0%. Projected. 0%. &#10;Age. 65. Actual. 0%. Projected. 0%. &#10;Age. 66. Actual. 0%. Projected.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ge. 0. Actual 2020-2021. 0%. Projected AFSR 2021, 2021-2022. 0%.&#10;Age. 1. Actual. 0%. Projected. 2%. &#10;Age. 2. Actual. 2%. Projected. 4%. &#10;Age. 3. Actual. 4%. Projected. 4%. &#10;Age. 4. Actual. 5%. Projected. 5%. &#10;Age. 5. Actual. 5%. Projected. 4%. &#10;Age. 6. Actual. 6%. Projected. 4%. &#10;Age. 7. Actual. 7%. Projected. 10%. &#10;Age. 8. Actual. 7%. Projected. 7%. &#10;Age. 9. Actual. 7%. Projected. 7%. &#10;Age. 10. Actual. 7%. Projected. 7%. &#10;Age. 11. Actual. 6%. Projected. 6%. &#10;Age. 12. Actual. 6%. Projected. 5%. &#10;Age. 13. Actual. 5%. Projected. 5%. &#10;Age. 14. Actual. 5%. Projected. 5%. &#10;Age. 15. Actual. 4%. Projected. 4%. &#10;Age. 16. Actual. 4%. Projected. 3%. &#10;Age. 17. Actual. 3%. Projected. 3%. &#10;Age. 18. Actual. 2%. Projected. 2%. &#10;Age. 19. Actual. 2%. Projected. 2%. &#10;Age. 20. Actual. 1%. Projected. 1%. &#10;Age. 21. Actual. 1%. Projected. 1%. &#10;Age. 22. Actual. 1%. Projected. 1%. &#10;Age. 23. Actual. 1%. Projected. 0%. &#10;Age. 24. Actual. 1%. Projected. 0%. &#10;Age. 25. Actual. 1%. Projected. 0%. &#10;Age. 26. Actual. 1%. Projected. 0%. &#10;Age. 27. Actual. 0%. Projected. 0%. &#10;Age. 28. Actual. 0%. Projected. 0%. &#10;Age. 29. Actual. 0%. Projected. 0%. &#10;Age. 30. Actual. 0%. Projected. 0%. &#10;Age. 31. Actual. 0%. Projected. 0%. &#10;Age. 32. Actual. 0%. Projected. 0%. &#10;Age. 33. Actual. 0%. Projected. 0%. &#10;Age. 34. Actual. 0%. Projected. 0%. &#10;Age. 35. Actual. 0%. Projected. 0%. &#10;Age. 36. Actual. 0%. Projected. 0%. &#10;Age. 37. Actual. 0%. Projected. 0%. &#10;Age. 38. Actual. 0%. Projected. 0%. &#10;Age. 39. Actual. 0%. Projected. 0%. &#10;Age. 40. Actual. 0%. Projected. 0%. &#10;Age. 41. Actual. 0%. Projected. 0%. &#10;Age. 42. Actual. 0%. Projected. 0%. &#10;Age. 43. Actual. 0%. Projected. 0%. &#10;Age. 44. Actual. 0%. Projected. 0%. &#10;Age. 45. Actual. 0%. Projected. 0%. &#10;Age. 46. Actual. 0%. Projected. 0%. &#10;Age. 47. Actual. 0%. Projected. 0%. &#10;Age. 48. Actual. 0%. Projected. 0%. &#10;Age. 49. Actual. 0%. Projected. 0%. &#10;Age. 50. Actual. 0%. Projected. 0%. &#10;Age. 51. Actual. 0%. Projected. 0%. &#10;Age. 52. Actual. 0%. Projected. 0%. &#10;Age. 53. Actual. 0%. Projected. 0%. &#10;Age. 54. Actual. 0%. Projected. 0%. &#10;Age. 55. Actual. 0%. Projected. 0%. &#10;Age. 56. Actual. 0%. Projected. 0%. &#10;Age. 57. Actual. 0%. Projected. 0%. &#10;Age. 58. Actual. 0%. Projected. 0%. &#10;Age. 59. Actual. 0%. Projected. 0%. &#10;Age. 60. Actual. 0%. Projected. 0%. &#10;Age. 61. Actual. 0%. Projected. 0%. &#10;Age. 62. Actual. 0%. Projected. 0%. &#10;Age. 63. Actual. 0%. Projected. 0%. &#10;Age. 64. Actual. 0%. Projected. 0%. &#10;Age. 65. Actual. 0%. Projected. 0%. &#10;Age. 66. Actual. 0%. Projected. 0%. "/>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748655" cy="2703195"/>
                    </a:xfrm>
                    <a:prstGeom prst="rect">
                      <a:avLst/>
                    </a:prstGeom>
                    <a:noFill/>
                    <a:ln>
                      <a:noFill/>
                    </a:ln>
                  </pic:spPr>
                </pic:pic>
              </a:graphicData>
            </a:graphic>
          </wp:inline>
        </w:drawing>
      </w:r>
    </w:p>
    <w:p w14:paraId="3AA04D51" w14:textId="06E64013" w:rsidR="003B572C" w:rsidRDefault="003B572C" w:rsidP="003B572C">
      <w:r>
        <w:t xml:space="preserve">Aggregate entry numbers over the next two to three years appear broadly reasonable. Further analysis of new entrants </w:t>
      </w:r>
      <w:r w:rsidR="009D22B7">
        <w:t xml:space="preserve">is shown </w:t>
      </w:r>
      <w:r>
        <w:t xml:space="preserve">in </w:t>
      </w:r>
      <w:r w:rsidRPr="00D75291">
        <w:t>Section</w:t>
      </w:r>
      <w:r w:rsidR="00636FA6">
        <w:t xml:space="preserve"> </w:t>
      </w:r>
      <w:r w:rsidR="00636FA6">
        <w:fldChar w:fldCharType="begin"/>
      </w:r>
      <w:r w:rsidR="00636FA6">
        <w:instrText xml:space="preserve"> REF _Ref87483953 \r \h </w:instrText>
      </w:r>
      <w:r w:rsidR="00636FA6">
        <w:fldChar w:fldCharType="separate"/>
      </w:r>
      <w:r w:rsidR="00E6217F">
        <w:t>7.1</w:t>
      </w:r>
      <w:r w:rsidR="00636FA6">
        <w:fldChar w:fldCharType="end"/>
      </w:r>
      <w:r>
        <w:t xml:space="preserve">. </w:t>
      </w:r>
    </w:p>
    <w:p w14:paraId="77133B8E" w14:textId="0EC92F06" w:rsidR="00A520C9" w:rsidRDefault="000729AF" w:rsidP="00A520C9">
      <w:pPr>
        <w:pStyle w:val="Heading2"/>
      </w:pPr>
      <w:bookmarkStart w:id="135" w:name="_Ref87540517"/>
      <w:bookmarkStart w:id="136" w:name="_Toc87700472"/>
      <w:bookmarkStart w:id="137" w:name="_Toc88686124"/>
      <w:r>
        <w:t>Participant non-mortality exits</w:t>
      </w:r>
      <w:bookmarkEnd w:id="135"/>
      <w:bookmarkEnd w:id="136"/>
      <w:bookmarkEnd w:id="137"/>
      <w:r>
        <w:t xml:space="preserve"> </w:t>
      </w:r>
      <w:bookmarkEnd w:id="128"/>
      <w:bookmarkEnd w:id="129"/>
      <w:bookmarkEnd w:id="130"/>
      <w:bookmarkEnd w:id="131"/>
    </w:p>
    <w:p w14:paraId="686CF766" w14:textId="5D27CF82" w:rsidR="000729AF" w:rsidRDefault="00A520C9" w:rsidP="00A520C9">
      <w:r>
        <w:t>The model also allows</w:t>
      </w:r>
      <w:r w:rsidR="009D22B7">
        <w:t xml:space="preserve"> for</w:t>
      </w:r>
      <w:r>
        <w:t xml:space="preserve"> participants </w:t>
      </w:r>
      <w:r w:rsidR="009D22B7">
        <w:t xml:space="preserve">to </w:t>
      </w:r>
      <w:r>
        <w:t xml:space="preserve">exit the </w:t>
      </w:r>
      <w:r w:rsidR="00232FFF">
        <w:t>Scheme</w:t>
      </w:r>
      <w:r>
        <w:t xml:space="preserve"> for reasons other than mortality such as access being revoked</w:t>
      </w:r>
      <w:r w:rsidR="000729AF">
        <w:t xml:space="preserve"> or</w:t>
      </w:r>
      <w:r>
        <w:t xml:space="preserve"> participants </w:t>
      </w:r>
      <w:r w:rsidR="000729AF">
        <w:t xml:space="preserve">voluntarily </w:t>
      </w:r>
      <w:r>
        <w:t>withdrawing</w:t>
      </w:r>
      <w:r w:rsidR="000729AF">
        <w:t xml:space="preserve"> from the </w:t>
      </w:r>
      <w:r w:rsidR="00232FFF">
        <w:t>Scheme</w:t>
      </w:r>
      <w:r>
        <w:t xml:space="preserve">. This behaviour is modelled using exit rate assumptions which vary by age, disability group and severity. </w:t>
      </w:r>
      <w:r w:rsidR="000729AF">
        <w:t>Long-term assumptions have not been updated in the 2020-21 AFSR but have been lowered in the short term.</w:t>
      </w:r>
    </w:p>
    <w:p w14:paraId="13CE72CA" w14:textId="4AB68D49" w:rsidR="00A520C9" w:rsidRDefault="00A520C9" w:rsidP="00A520C9">
      <w:r>
        <w:t xml:space="preserve">We summarise the average </w:t>
      </w:r>
      <w:r w:rsidR="000729AF">
        <w:t xml:space="preserve">assumed </w:t>
      </w:r>
      <w:r>
        <w:t xml:space="preserve">annual exit rate by disability type, based on </w:t>
      </w:r>
      <w:r w:rsidR="009D22B7">
        <w:t xml:space="preserve">the </w:t>
      </w:r>
      <w:r>
        <w:t xml:space="preserve">active participant mix as at June 2021, in </w:t>
      </w:r>
      <w:r>
        <w:fldChar w:fldCharType="begin"/>
      </w:r>
      <w:r>
        <w:instrText xml:space="preserve"> REF _Ref83889813 \h </w:instrText>
      </w:r>
      <w:r>
        <w:fldChar w:fldCharType="separate"/>
      </w:r>
      <w:r w:rsidR="00E6217F">
        <w:t xml:space="preserve">Figure </w:t>
      </w:r>
      <w:r w:rsidR="00E6217F">
        <w:rPr>
          <w:noProof/>
        </w:rPr>
        <w:t>4</w:t>
      </w:r>
      <w:r w:rsidR="00E6217F">
        <w:t>.</w:t>
      </w:r>
      <w:r w:rsidR="00E6217F">
        <w:rPr>
          <w:noProof/>
        </w:rPr>
        <w:t>4</w:t>
      </w:r>
      <w:r>
        <w:fldChar w:fldCharType="end"/>
      </w:r>
      <w:r>
        <w:t xml:space="preserve">. For example, the proportion of active participants that are expected to exit the </w:t>
      </w:r>
      <w:r w:rsidR="00232FFF">
        <w:t>Scheme</w:t>
      </w:r>
      <w:r>
        <w:t xml:space="preserve"> for reasons other than mortality, range from almost 20% for sensory and speech disabilities to as low as 0.3% for people with cerebral palsy. In the long run, we expect roughly 2% of all active participants to exit the </w:t>
      </w:r>
      <w:r w:rsidR="00232FFF">
        <w:t>Scheme</w:t>
      </w:r>
      <w:r>
        <w:t xml:space="preserve"> for non-mortality reasons in any given year.</w:t>
      </w:r>
    </w:p>
    <w:p w14:paraId="72167D61" w14:textId="7090B538" w:rsidR="00A520C9" w:rsidRDefault="00A520C9" w:rsidP="00A520C9">
      <w:r>
        <w:t xml:space="preserve">A key component of non-mortality exits is related to those with </w:t>
      </w:r>
      <w:r w:rsidR="009D22B7">
        <w:t xml:space="preserve">developmental delay </w:t>
      </w:r>
      <w:r>
        <w:t xml:space="preserve">(primarily child participants). In the </w:t>
      </w:r>
      <w:r w:rsidR="00D320CF">
        <w:t>2018-19 AFSR</w:t>
      </w:r>
      <w:r>
        <w:t xml:space="preserve"> these were expected to be just under half of all exits. </w:t>
      </w:r>
    </w:p>
    <w:p w14:paraId="63D4F5CF" w14:textId="425BA4F8" w:rsidR="00A520C9" w:rsidRDefault="00A520C9" w:rsidP="00BC1B17">
      <w:pPr>
        <w:pStyle w:val="Caption"/>
      </w:pPr>
      <w:bookmarkStart w:id="138" w:name="_Ref83889813"/>
      <w:r>
        <w:t xml:space="preserve">Figure </w:t>
      </w:r>
      <w:r w:rsidR="009366CE">
        <w:fldChar w:fldCharType="begin"/>
      </w:r>
      <w:r w:rsidR="009366CE">
        <w:instrText xml:space="preserve"> STYLEREF 1 \s </w:instrText>
      </w:r>
      <w:r w:rsidR="009366CE">
        <w:fldChar w:fldCharType="separate"/>
      </w:r>
      <w:r w:rsidR="00E6217F">
        <w:rPr>
          <w:noProof/>
        </w:rPr>
        <w:t>4</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4</w:t>
      </w:r>
      <w:r w:rsidR="009366CE">
        <w:fldChar w:fldCharType="end"/>
      </w:r>
      <w:bookmarkEnd w:id="138"/>
      <w:r>
        <w:t xml:space="preserve"> – Weighted average </w:t>
      </w:r>
      <w:r w:rsidR="00872501">
        <w:t xml:space="preserve">assumed </w:t>
      </w:r>
      <w:r>
        <w:t>non-mortality exit rates by disability type</w:t>
      </w:r>
      <w:r w:rsidR="006C7902">
        <w:t xml:space="preserve"> and ratio of actual to assumed exit rates in 2020-21</w:t>
      </w:r>
    </w:p>
    <w:p w14:paraId="7BE704E6" w14:textId="0B1255DA" w:rsidR="00A520C9" w:rsidRDefault="006C7902" w:rsidP="00BC1B17">
      <w:pPr>
        <w:keepNext/>
        <w:spacing w:before="0"/>
      </w:pPr>
      <w:r w:rsidRPr="006C7902">
        <w:rPr>
          <w:noProof/>
        </w:rPr>
        <w:drawing>
          <wp:inline distT="0" distB="0" distL="0" distR="0" wp14:anchorId="07CD0E23" wp14:editId="19F2C186">
            <wp:extent cx="5976620" cy="2405849"/>
            <wp:effectExtent l="0" t="0" r="5080" b="0"/>
            <wp:docPr id="96" name="Picture 96" descr="Average non-mortality exit rate&#10;ABI. &#10;Average non-mortality exit rate. 0.9%. &#10;&#10;Autism. &#10;Average non-mortality exit rate. 0.7%. &#10;&#10;Cerebral Palsy. &#10;Average non-mortality exit rate. 0.3%. &#10;&#10;Hearing Impairment. &#10;Average non-mortality exit rat. 2.4%. &#10;&#10;Intellectual Disability. &#10;Average non-mortality exit rate. 0.6%. &#10;&#10;Multiple Sclerosis. &#10;Average non-mortality exit rate. 0.5%. &#10;&#10;Delay. &#10;Average non-mortality exit rate. 14.4%. &#10;&#10;Other. &#10;Average non-mortality exit rate. 3.4%. &#10;&#10;Other Neurological. &#10;Average non-mortality exit rate. 1.5%. &#10;&#10;Other Physical. &#10;Average non-mortality exit rate. 2.3%. &#10;&#10;Other SensorySpeech. &#10;Average non-mortality exit rate. 19.7%. &#10;&#10;Psychosocial disability. &#10;Average non-mortality exit rate. 1.0%. &#10;&#10;Spinal Cord Injury. &#10;Average non-mortality exit rate. 0.8%. &#10;&#10;Stroke. &#10;Average non-mortality exit rate. 0.9%. &#10;&#10;Visual Impairment. &#10;Average non-mortality exit rate. 1.3%. &#10;&#10;&#10;Ratio of actual exits to expected.&#10;&#10;ABI. &#10;Ratio of actual exits to expected. 49.9%.&#10;&#10;Autism. &#10;Ratio of actual exits to expected. 37.9%.&#10;&#10;Cerebral Palsy. &#10;Ratio of actual exits to expected. 47.3%.&#10;&#10;Hearing Impairment. &#10;Ratio of actual exits to expected. 17.4%.&#10;&#10;Intellectual Disability. &#10;Ratio of actual exits to expected. 52.3%.&#10;&#10;Multiple Sclerosis. &#10;Ratio of actual exits to expected. 32.4%.&#10;&#10;Delay. &#10;Ratio of actual exits to expected. 21.8%.&#10;&#10;Other. &#10;Ratio of actual exits to expected. 31.4%.&#10;&#10;Other Neurological. &#10;Ratio of actual exits to expected. 52.6%.&#10;&#10;Other Physical. &#10;Ratio of actual exits to expected. 26.7%.&#10;&#10;Other SensorySpeech. &#10;Ratio of actual exits to expected. 29.2%.&#10;&#10;Psychosocial disability. &#10;Ratio of actual exits to expected. 49.4%.&#10;&#10;Spinal Cord Injury. &#10;Ratio of actual exits to expected. 31.2%.&#10;&#10;Stroke. &#10;Ratio of actual exits to expected. 47.7%.&#10;&#10;Visual Impairment. &#10;Ratio of actual exits to expected.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verage non-mortality exit rate&#10;ABI. &#10;Average non-mortality exit rate. 0.9%. &#10;&#10;Autism. &#10;Average non-mortality exit rate. 0.7%. &#10;&#10;Cerebral Palsy. &#10;Average non-mortality exit rate. 0.3%. &#10;&#10;Hearing Impairment. &#10;Average non-mortality exit rat. 2.4%. &#10;&#10;Intellectual Disability. &#10;Average non-mortality exit rate. 0.6%. &#10;&#10;Multiple Sclerosis. &#10;Average non-mortality exit rate. 0.5%. &#10;&#10;Delay. &#10;Average non-mortality exit rate. 14.4%. &#10;&#10;Other. &#10;Average non-mortality exit rate. 3.4%. &#10;&#10;Other Neurological. &#10;Average non-mortality exit rate. 1.5%. &#10;&#10;Other Physical. &#10;Average non-mortality exit rate. 2.3%. &#10;&#10;Other SensorySpeech. &#10;Average non-mortality exit rate. 19.7%. &#10;&#10;Psychosocial disability. &#10;Average non-mortality exit rate. 1.0%. &#10;&#10;Spinal Cord Injury. &#10;Average non-mortality exit rate. 0.8%. &#10;&#10;Stroke. &#10;Average non-mortality exit rate. 0.9%. &#10;&#10;Visual Impairment. &#10;Average non-mortality exit rate. 1.3%. &#10;&#10;&#10;Ratio of actual exits to expected.&#10;&#10;ABI. &#10;Ratio of actual exits to expected. 49.9%.&#10;&#10;Autism. &#10;Ratio of actual exits to expected. 37.9%.&#10;&#10;Cerebral Palsy. &#10;Ratio of actual exits to expected. 47.3%.&#10;&#10;Hearing Impairment. &#10;Ratio of actual exits to expected. 17.4%.&#10;&#10;Intellectual Disability. &#10;Ratio of actual exits to expected. 52.3%.&#10;&#10;Multiple Sclerosis. &#10;Ratio of actual exits to expected. 32.4%.&#10;&#10;Delay. &#10;Ratio of actual exits to expected. 21.8%.&#10;&#10;Other. &#10;Ratio of actual exits to expected. 31.4%.&#10;&#10;Other Neurological. &#10;Ratio of actual exits to expected. 52.6%.&#10;&#10;Other Physical. &#10;Ratio of actual exits to expected. 26.7%.&#10;&#10;Other SensorySpeech. &#10;Ratio of actual exits to expected. 29.2%.&#10;&#10;Psychosocial disability. &#10;Ratio of actual exits to expected. 49.4%.&#10;&#10;Spinal Cord Injury. &#10;Ratio of actual exits to expected. 31.2%.&#10;&#10;Stroke. &#10;Ratio of actual exits to expected. 47.7%.&#10;&#10;Visual Impairment. &#10;Ratio of actual exits to expected. 34.7%."/>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b="12115"/>
                    <a:stretch/>
                  </pic:blipFill>
                  <pic:spPr bwMode="auto">
                    <a:xfrm>
                      <a:off x="0" y="0"/>
                      <a:ext cx="5976620" cy="2405849"/>
                    </a:xfrm>
                    <a:prstGeom prst="rect">
                      <a:avLst/>
                    </a:prstGeom>
                    <a:noFill/>
                    <a:ln>
                      <a:noFill/>
                    </a:ln>
                    <a:extLst>
                      <a:ext uri="{53640926-AAD7-44D8-BBD7-CCE9431645EC}">
                        <a14:shadowObscured xmlns:a14="http://schemas.microsoft.com/office/drawing/2010/main"/>
                      </a:ext>
                    </a:extLst>
                  </pic:spPr>
                </pic:pic>
              </a:graphicData>
            </a:graphic>
          </wp:inline>
        </w:drawing>
      </w:r>
    </w:p>
    <w:p w14:paraId="68B3F1AD" w14:textId="79E1B201" w:rsidR="00A520C9" w:rsidRDefault="00A520C9" w:rsidP="00744C79">
      <w:pPr>
        <w:spacing w:before="0"/>
      </w:pPr>
      <w:r>
        <w:t xml:space="preserve">Actual exits over the past two years have been far below the long-term rates assumed in the </w:t>
      </w:r>
      <w:r w:rsidR="00D320CF">
        <w:t>2018-19 AFSR</w:t>
      </w:r>
      <w:r>
        <w:t xml:space="preserve">. </w:t>
      </w:r>
      <w:r w:rsidR="006C7902">
        <w:t>In aggregate, n</w:t>
      </w:r>
      <w:r>
        <w:t xml:space="preserve">on-mortality exits have been about a third of what was expected, as shown in </w:t>
      </w:r>
      <w:r>
        <w:fldChar w:fldCharType="begin"/>
      </w:r>
      <w:r>
        <w:instrText xml:space="preserve"> REF _Ref83939442 \h </w:instrText>
      </w:r>
      <w:r>
        <w:fldChar w:fldCharType="separate"/>
      </w:r>
      <w:r w:rsidR="00E6217F">
        <w:t xml:space="preserve">Table </w:t>
      </w:r>
      <w:r w:rsidR="00E6217F">
        <w:rPr>
          <w:noProof/>
        </w:rPr>
        <w:t>4</w:t>
      </w:r>
      <w:r w:rsidR="00E6217F">
        <w:t>.</w:t>
      </w:r>
      <w:r w:rsidR="00E6217F">
        <w:rPr>
          <w:noProof/>
        </w:rPr>
        <w:t>3</w:t>
      </w:r>
      <w:r>
        <w:fldChar w:fldCharType="end"/>
      </w:r>
      <w:r>
        <w:t>.</w:t>
      </w:r>
    </w:p>
    <w:p w14:paraId="5A4B5915" w14:textId="37C4CFD0" w:rsidR="00A520C9" w:rsidRDefault="00A520C9" w:rsidP="00A520C9">
      <w:pPr>
        <w:pStyle w:val="Caption"/>
      </w:pPr>
      <w:bookmarkStart w:id="139" w:name="_Ref83939442"/>
      <w:r>
        <w:t xml:space="preserve">Table </w:t>
      </w:r>
      <w:r w:rsidR="007F6BE8">
        <w:fldChar w:fldCharType="begin"/>
      </w:r>
      <w:r w:rsidR="007F6BE8">
        <w:instrText xml:space="preserve"> STYLEREF 1 \s </w:instrText>
      </w:r>
      <w:r w:rsidR="007F6BE8">
        <w:fldChar w:fldCharType="separate"/>
      </w:r>
      <w:r w:rsidR="00E6217F">
        <w:rPr>
          <w:noProof/>
        </w:rPr>
        <w:t>4</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3</w:t>
      </w:r>
      <w:r w:rsidR="007F6BE8">
        <w:fldChar w:fldCharType="end"/>
      </w:r>
      <w:bookmarkEnd w:id="139"/>
      <w:r>
        <w:t xml:space="preserve"> – Comparison of actual and expected non-mortality exits over the past two years</w:t>
      </w:r>
    </w:p>
    <w:tbl>
      <w:tblPr>
        <w:tblStyle w:val="TFBlue"/>
        <w:tblW w:w="0" w:type="auto"/>
        <w:tblLook w:val="06A0" w:firstRow="1" w:lastRow="0" w:firstColumn="1" w:lastColumn="0" w:noHBand="1" w:noVBand="1"/>
      </w:tblPr>
      <w:tblGrid>
        <w:gridCol w:w="2358"/>
        <w:gridCol w:w="1470"/>
        <w:gridCol w:w="1417"/>
        <w:gridCol w:w="992"/>
      </w:tblGrid>
      <w:tr w:rsidR="00A520C9" w14:paraId="34F08035" w14:textId="77777777" w:rsidTr="00DA0930">
        <w:trPr>
          <w:cnfStyle w:val="100000000000" w:firstRow="1" w:lastRow="0" w:firstColumn="0" w:lastColumn="0" w:oddVBand="0" w:evenVBand="0" w:oddHBand="0" w:evenHBand="0" w:firstRowFirstColumn="0" w:firstRowLastColumn="0" w:lastRowFirstColumn="0" w:lastRowLastColumn="0"/>
        </w:trPr>
        <w:tc>
          <w:tcPr>
            <w:tcW w:w="2358" w:type="dxa"/>
            <w:vAlign w:val="center"/>
          </w:tcPr>
          <w:p w14:paraId="17A54F4D" w14:textId="77777777" w:rsidR="00A520C9" w:rsidRDefault="00A520C9" w:rsidP="00DA0930">
            <w:pPr>
              <w:pStyle w:val="Tabletext"/>
            </w:pPr>
            <w:r w:rsidRPr="007E1B1E">
              <w:t>Year</w:t>
            </w:r>
          </w:p>
        </w:tc>
        <w:tc>
          <w:tcPr>
            <w:tcW w:w="1470" w:type="dxa"/>
            <w:vAlign w:val="center"/>
          </w:tcPr>
          <w:p w14:paraId="3BDFFA31" w14:textId="0101399E" w:rsidR="00A520C9" w:rsidRDefault="00A520C9" w:rsidP="00DA0930">
            <w:pPr>
              <w:pStyle w:val="Tabletext"/>
              <w:jc w:val="center"/>
            </w:pPr>
            <w:r>
              <w:t>Expected (</w:t>
            </w:r>
            <w:r w:rsidR="00D320CF">
              <w:t>2018-19 AFSR</w:t>
            </w:r>
            <w:r>
              <w:t>)</w:t>
            </w:r>
          </w:p>
        </w:tc>
        <w:tc>
          <w:tcPr>
            <w:tcW w:w="1417" w:type="dxa"/>
            <w:vAlign w:val="center"/>
          </w:tcPr>
          <w:p w14:paraId="1A8DECA4" w14:textId="77777777" w:rsidR="00A520C9" w:rsidRDefault="00A520C9" w:rsidP="00DA0930">
            <w:pPr>
              <w:pStyle w:val="Tabletext"/>
              <w:jc w:val="center"/>
            </w:pPr>
            <w:r>
              <w:t>Actual</w:t>
            </w:r>
          </w:p>
        </w:tc>
        <w:tc>
          <w:tcPr>
            <w:tcW w:w="992" w:type="dxa"/>
            <w:vAlign w:val="center"/>
          </w:tcPr>
          <w:p w14:paraId="51BC03F4" w14:textId="77777777" w:rsidR="00A520C9" w:rsidRDefault="00A520C9" w:rsidP="00DA0930">
            <w:pPr>
              <w:pStyle w:val="Tabletext"/>
              <w:jc w:val="center"/>
            </w:pPr>
            <w:r>
              <w:t>Ratio</w:t>
            </w:r>
          </w:p>
        </w:tc>
      </w:tr>
      <w:tr w:rsidR="00A520C9" w14:paraId="6CE9B677" w14:textId="77777777" w:rsidTr="00DA0930">
        <w:tc>
          <w:tcPr>
            <w:tcW w:w="2358" w:type="dxa"/>
            <w:vAlign w:val="center"/>
          </w:tcPr>
          <w:p w14:paraId="09733F8F" w14:textId="77777777" w:rsidR="00A520C9" w:rsidRDefault="00A520C9" w:rsidP="00DA0930">
            <w:pPr>
              <w:pStyle w:val="Tabletext"/>
            </w:pPr>
            <w:r>
              <w:t>2019-20</w:t>
            </w:r>
          </w:p>
        </w:tc>
        <w:tc>
          <w:tcPr>
            <w:tcW w:w="1470" w:type="dxa"/>
            <w:vAlign w:val="center"/>
          </w:tcPr>
          <w:p w14:paraId="2559FD4F" w14:textId="77777777" w:rsidR="00A520C9" w:rsidRDefault="00A520C9" w:rsidP="00DA0930">
            <w:pPr>
              <w:pStyle w:val="Tablenumbers"/>
              <w:jc w:val="center"/>
            </w:pPr>
            <w:r>
              <w:rPr>
                <w:color w:val="231F20"/>
              </w:rPr>
              <w:t>5,960</w:t>
            </w:r>
          </w:p>
        </w:tc>
        <w:tc>
          <w:tcPr>
            <w:tcW w:w="1417" w:type="dxa"/>
            <w:vAlign w:val="center"/>
          </w:tcPr>
          <w:p w14:paraId="0857878F" w14:textId="77777777" w:rsidR="00A520C9" w:rsidRDefault="00A520C9" w:rsidP="00DA0930">
            <w:pPr>
              <w:pStyle w:val="Tablenumbers"/>
              <w:jc w:val="center"/>
            </w:pPr>
            <w:r>
              <w:rPr>
                <w:color w:val="231F20"/>
              </w:rPr>
              <w:t>1,930</w:t>
            </w:r>
          </w:p>
        </w:tc>
        <w:tc>
          <w:tcPr>
            <w:tcW w:w="992" w:type="dxa"/>
            <w:vAlign w:val="center"/>
          </w:tcPr>
          <w:p w14:paraId="20F833D8" w14:textId="77777777" w:rsidR="00A520C9" w:rsidRDefault="00A520C9" w:rsidP="00DA0930">
            <w:pPr>
              <w:pStyle w:val="Tablenumbers"/>
              <w:jc w:val="center"/>
            </w:pPr>
            <w:r>
              <w:t>32%</w:t>
            </w:r>
          </w:p>
        </w:tc>
      </w:tr>
      <w:tr w:rsidR="00A520C9" w14:paraId="11CF3E42" w14:textId="77777777" w:rsidTr="00DA0930">
        <w:tc>
          <w:tcPr>
            <w:tcW w:w="2358" w:type="dxa"/>
            <w:vAlign w:val="center"/>
          </w:tcPr>
          <w:p w14:paraId="5D09DAA1" w14:textId="77777777" w:rsidR="00A520C9" w:rsidRDefault="00A520C9" w:rsidP="00DA0930">
            <w:pPr>
              <w:pStyle w:val="Tabletext"/>
            </w:pPr>
            <w:r>
              <w:rPr>
                <w:color w:val="231F20"/>
              </w:rPr>
              <w:t>2020-21</w:t>
            </w:r>
          </w:p>
        </w:tc>
        <w:tc>
          <w:tcPr>
            <w:tcW w:w="1470" w:type="dxa"/>
            <w:vAlign w:val="center"/>
          </w:tcPr>
          <w:p w14:paraId="5E1545CD" w14:textId="77777777" w:rsidR="00A520C9" w:rsidRDefault="00A520C9" w:rsidP="00DA0930">
            <w:pPr>
              <w:pStyle w:val="Tablenumbers"/>
              <w:jc w:val="center"/>
            </w:pPr>
            <w:r>
              <w:rPr>
                <w:color w:val="231F20"/>
              </w:rPr>
              <w:t>7,620</w:t>
            </w:r>
          </w:p>
        </w:tc>
        <w:tc>
          <w:tcPr>
            <w:tcW w:w="1417" w:type="dxa"/>
            <w:vAlign w:val="center"/>
          </w:tcPr>
          <w:p w14:paraId="7123B837" w14:textId="77777777" w:rsidR="00A520C9" w:rsidRDefault="00A520C9" w:rsidP="00DA0930">
            <w:pPr>
              <w:pStyle w:val="Tablenumbers"/>
              <w:jc w:val="center"/>
            </w:pPr>
            <w:r>
              <w:rPr>
                <w:color w:val="231F20"/>
              </w:rPr>
              <w:t>2,963</w:t>
            </w:r>
          </w:p>
        </w:tc>
        <w:tc>
          <w:tcPr>
            <w:tcW w:w="992" w:type="dxa"/>
            <w:vAlign w:val="center"/>
          </w:tcPr>
          <w:p w14:paraId="025F01A8" w14:textId="77777777" w:rsidR="00A520C9" w:rsidRDefault="00A520C9" w:rsidP="00DA0930">
            <w:pPr>
              <w:pStyle w:val="Tablenumbers"/>
              <w:jc w:val="center"/>
            </w:pPr>
            <w:r>
              <w:t>39%</w:t>
            </w:r>
          </w:p>
        </w:tc>
      </w:tr>
    </w:tbl>
    <w:p w14:paraId="05DA9978" w14:textId="1159D261" w:rsidR="00A520C9" w:rsidRDefault="006C7902" w:rsidP="006C7902">
      <w:r>
        <w:t>To reflect this discrepancy, the 2020-21 AFSR retains the higher long-term rates but scales them down in the short term. The model assumes 50% of the long-term rate in 2021</w:t>
      </w:r>
      <w:r w:rsidR="00744C79">
        <w:t>-</w:t>
      </w:r>
      <w:r>
        <w:t>22 and gradually returning to 100% of</w:t>
      </w:r>
      <w:r w:rsidR="00744C79">
        <w:t xml:space="preserve"> the</w:t>
      </w:r>
      <w:r>
        <w:t xml:space="preserve"> long-term rates (similar to those used in 2019) by 2024</w:t>
      </w:r>
      <w:r w:rsidR="00744C79">
        <w:t>-</w:t>
      </w:r>
      <w:r>
        <w:t>25.</w:t>
      </w:r>
    </w:p>
    <w:p w14:paraId="2E3E39F5" w14:textId="05F759EF" w:rsidR="00A520C9" w:rsidRDefault="00A520C9" w:rsidP="00A520C9">
      <w:pPr>
        <w:pStyle w:val="Caption"/>
      </w:pPr>
      <w:r>
        <w:t xml:space="preserve">Figure </w:t>
      </w:r>
      <w:r w:rsidR="009366CE">
        <w:fldChar w:fldCharType="begin"/>
      </w:r>
      <w:r w:rsidR="009366CE">
        <w:instrText xml:space="preserve"> STYLEREF 1 \s </w:instrText>
      </w:r>
      <w:r w:rsidR="009366CE">
        <w:fldChar w:fldCharType="separate"/>
      </w:r>
      <w:r w:rsidR="00E6217F">
        <w:rPr>
          <w:noProof/>
        </w:rPr>
        <w:t>4</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5</w:t>
      </w:r>
      <w:r w:rsidR="009366CE">
        <w:fldChar w:fldCharType="end"/>
      </w:r>
      <w:r>
        <w:t xml:space="preserve"> – Assumed relativity of non-mortality exits in 20</w:t>
      </w:r>
      <w:r w:rsidR="00243F4C">
        <w:t>20-</w:t>
      </w:r>
      <w:r>
        <w:t>21 AFSR</w:t>
      </w:r>
      <w:r w:rsidR="0056706B">
        <w:t xml:space="preserve"> compared to long-term assumptions</w:t>
      </w:r>
    </w:p>
    <w:p w14:paraId="244229AC" w14:textId="2B3D0E7B" w:rsidR="00A520C9" w:rsidRDefault="00A520C9" w:rsidP="00A520C9">
      <w:r w:rsidRPr="00A7020A">
        <w:rPr>
          <w:noProof/>
        </w:rPr>
        <w:drawing>
          <wp:inline distT="0" distB="0" distL="0" distR="0" wp14:anchorId="737DC13F" wp14:editId="6454DD10">
            <wp:extent cx="3286125" cy="2001260"/>
            <wp:effectExtent l="0" t="0" r="0" b="0"/>
            <wp:docPr id="26" name="Picture 26" descr="Past average. Relativity applied. 36%.&#10;2021-2022. Relativity applied. 50%.&#10;2022-2023. Relativity applied. 66.7%.&#10;2023-2024. Relativity applied. 83.3%.&#10;2024-2025. Relativity applied. 100%.&#10;2025-2026. Relativity applie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ast average. Relativity applied. 36%.&#10;2021-2022. Relativity applied. 50%.&#10;2022-2023. Relativity applied. 66.7%.&#10;2023-2024. Relativity applied. 83.3%.&#10;2024-2025. Relativity applied. 100%.&#10;2025-2026. Relativity applied. 100%."/>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289011" cy="2003017"/>
                    </a:xfrm>
                    <a:prstGeom prst="rect">
                      <a:avLst/>
                    </a:prstGeom>
                    <a:noFill/>
                    <a:ln>
                      <a:noFill/>
                    </a:ln>
                  </pic:spPr>
                </pic:pic>
              </a:graphicData>
            </a:graphic>
          </wp:inline>
        </w:drawing>
      </w:r>
    </w:p>
    <w:p w14:paraId="6061578D" w14:textId="6439D99F" w:rsidR="006C7902" w:rsidRDefault="006C7902" w:rsidP="00A520C9">
      <w:r>
        <w:t xml:space="preserve">Without deliberate management action, we regard the long-term exit rates as </w:t>
      </w:r>
      <w:r w:rsidR="00F94138" w:rsidRPr="00F94138">
        <w:rPr>
          <w:b/>
          <w:bCs/>
        </w:rPr>
        <w:t xml:space="preserve">potentially </w:t>
      </w:r>
      <w:r w:rsidRPr="00F94138">
        <w:rPr>
          <w:b/>
          <w:bCs/>
        </w:rPr>
        <w:t>optimistic</w:t>
      </w:r>
      <w:r>
        <w:t>, as they are nearly three times the current rate. Assuming a lower exit rate would increase 2024-25 costs by $0.5B and 2029-30 costs by $2.8B</w:t>
      </w:r>
      <w:r w:rsidR="00744C79">
        <w:t xml:space="preserve"> (</w:t>
      </w:r>
      <w:r>
        <w:t xml:space="preserve">see Section </w:t>
      </w:r>
      <w:r w:rsidR="00BD2EF1">
        <w:fldChar w:fldCharType="begin"/>
      </w:r>
      <w:r w:rsidR="00BD2EF1">
        <w:instrText xml:space="preserve"> REF _Ref87710792 \r \h </w:instrText>
      </w:r>
      <w:r w:rsidR="00BD2EF1">
        <w:fldChar w:fldCharType="separate"/>
      </w:r>
      <w:r w:rsidR="00E6217F">
        <w:t>6.2</w:t>
      </w:r>
      <w:r w:rsidR="00BD2EF1">
        <w:fldChar w:fldCharType="end"/>
      </w:r>
      <w:r w:rsidR="00744C79">
        <w:t>)</w:t>
      </w:r>
      <w:r>
        <w:t>.</w:t>
      </w:r>
    </w:p>
    <w:p w14:paraId="6B38FF23" w14:textId="179E4657" w:rsidR="006C7902" w:rsidRDefault="006C7902" w:rsidP="00A520C9">
      <w:r>
        <w:t xml:space="preserve">We have not reviewed, but another risk is that those exiting are disproportionately those with lower levels of payments; </w:t>
      </w:r>
      <w:r w:rsidR="003B572C">
        <w:t xml:space="preserve">if so, this would slightly increase average participant costs for the remainder. </w:t>
      </w:r>
    </w:p>
    <w:p w14:paraId="5F40FB7A" w14:textId="61B03E42" w:rsidR="00F94138" w:rsidRDefault="00F94138" w:rsidP="00A520C9">
      <w:pPr>
        <w:pStyle w:val="Heading2"/>
      </w:pPr>
      <w:bookmarkStart w:id="140" w:name="_Ref87540530"/>
      <w:bookmarkStart w:id="141" w:name="_Toc87700473"/>
      <w:bookmarkStart w:id="142" w:name="_Toc88686125"/>
      <w:bookmarkStart w:id="143" w:name="_Toc83828724"/>
      <w:bookmarkStart w:id="144" w:name="_Toc83828753"/>
      <w:bookmarkStart w:id="145" w:name="_Toc83997769"/>
      <w:r>
        <w:t>Number of participants accessing SIL</w:t>
      </w:r>
      <w:bookmarkEnd w:id="140"/>
      <w:bookmarkEnd w:id="141"/>
      <w:bookmarkEnd w:id="142"/>
    </w:p>
    <w:p w14:paraId="11C6F380" w14:textId="75E2D116" w:rsidR="007B5F6E" w:rsidRDefault="007B5F6E" w:rsidP="007B5F6E">
      <w:r>
        <w:t xml:space="preserve">At 30 June 2021 about 25,000 participants accessed SIL. This group has high support costs </w:t>
      </w:r>
      <w:r w:rsidR="00744C79">
        <w:t>so</w:t>
      </w:r>
      <w:r>
        <w:t xml:space="preserve"> </w:t>
      </w:r>
      <w:r w:rsidR="00744C79">
        <w:t xml:space="preserve">the projected </w:t>
      </w:r>
      <w:r>
        <w:t>number</w:t>
      </w:r>
      <w:r w:rsidR="00744C79">
        <w:t xml:space="preserve"> of people in SIL </w:t>
      </w:r>
      <w:r>
        <w:t xml:space="preserve">has a material impact on the forecasts. The net increase in the number of people accessing SIL has reduced from about 3,000 additional people in 2019-20 to </w:t>
      </w:r>
      <w:r w:rsidR="00F02446">
        <w:t>1,200 in 2020-21</w:t>
      </w:r>
      <w:r w:rsidR="00744C79">
        <w:t xml:space="preserve">, with experience below the previous AFSR estimates. </w:t>
      </w:r>
      <w:r w:rsidR="00B01336">
        <w:t xml:space="preserve">Net increases in SIL over the past year were relatively stable across each of the four quarters and </w:t>
      </w:r>
      <w:r w:rsidR="00636FA6">
        <w:t>t</w:t>
      </w:r>
      <w:r w:rsidR="00243F4C">
        <w:t>he</w:t>
      </w:r>
      <w:r w:rsidR="00F02446">
        <w:t xml:space="preserve"> </w:t>
      </w:r>
      <w:r w:rsidR="00B01336">
        <w:t>20</w:t>
      </w:r>
      <w:r w:rsidR="00243F4C">
        <w:t>20-</w:t>
      </w:r>
      <w:r w:rsidR="00B01336">
        <w:t xml:space="preserve">21 </w:t>
      </w:r>
      <w:r w:rsidR="00F02446">
        <w:t xml:space="preserve">AFSR mirrors this </w:t>
      </w:r>
      <w:r w:rsidR="00B01336">
        <w:t xml:space="preserve">experience </w:t>
      </w:r>
      <w:r w:rsidR="00F02446">
        <w:t xml:space="preserve">with a large reduction in assumed growth in SIL numbers. Actual numbers and changes to projections are shown in </w:t>
      </w:r>
      <w:r w:rsidR="00F02446">
        <w:fldChar w:fldCharType="begin"/>
      </w:r>
      <w:r w:rsidR="00F02446">
        <w:instrText xml:space="preserve"> REF _Ref87484810 \h </w:instrText>
      </w:r>
      <w:r w:rsidR="00F02446">
        <w:fldChar w:fldCharType="separate"/>
      </w:r>
      <w:r w:rsidR="00E6217F">
        <w:t xml:space="preserve">Figure </w:t>
      </w:r>
      <w:r w:rsidR="00E6217F">
        <w:rPr>
          <w:noProof/>
        </w:rPr>
        <w:t>4</w:t>
      </w:r>
      <w:r w:rsidR="00E6217F">
        <w:t>.</w:t>
      </w:r>
      <w:r w:rsidR="00E6217F">
        <w:rPr>
          <w:noProof/>
        </w:rPr>
        <w:t>6</w:t>
      </w:r>
      <w:r w:rsidR="00F02446">
        <w:fldChar w:fldCharType="end"/>
      </w:r>
      <w:r w:rsidR="00F02446">
        <w:t>.</w:t>
      </w:r>
    </w:p>
    <w:p w14:paraId="18783258" w14:textId="1ECC0009" w:rsidR="007B5F6E" w:rsidRDefault="007B5F6E" w:rsidP="00B01336">
      <w:pPr>
        <w:pStyle w:val="Caption"/>
        <w:spacing w:after="0"/>
      </w:pPr>
      <w:bookmarkStart w:id="146" w:name="_Ref87484810"/>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6</w:t>
      </w:r>
      <w:r>
        <w:fldChar w:fldCharType="end"/>
      </w:r>
      <w:bookmarkEnd w:id="146"/>
      <w:r>
        <w:t xml:space="preserve"> – Number of SIL participants</w:t>
      </w:r>
    </w:p>
    <w:p w14:paraId="56302053" w14:textId="4736C98B" w:rsidR="007B5F6E" w:rsidRDefault="0056706B" w:rsidP="00B01336">
      <w:pPr>
        <w:spacing w:before="40" w:after="0"/>
      </w:pPr>
      <w:r w:rsidRPr="007F7372">
        <w:rPr>
          <w:noProof/>
        </w:rPr>
        <w:drawing>
          <wp:inline distT="0" distB="0" distL="0" distR="0" wp14:anchorId="1BDEB403" wp14:editId="18017024">
            <wp:extent cx="5976620" cy="2551430"/>
            <wp:effectExtent l="0" t="0" r="5080" b="1270"/>
            <wp:docPr id="176" name="Picture 176" descr="Annual increase in SIL participants&#10;&#10;2016-2017.&#10;Actual.  -. Participants.&#10;2019 AFSR.  -. Participants.&#10;2020 AFSR.  -. Participants.2021 AFSR.  -.&#10;&#10;2017-2018.&#10;Actual. 5,867. Participants.&#10;2019 AFSR.  -. Participants. &#10;2020 AFSR.  -. Participants. &#10;2021 AFSR.  -. Participants.&#10;&#10;2018-2019.&#10;Actual. 8,389. Participants.&#10;2019 AFSR. 8,389. Participants. &#10;2020 AFSR.  -. Participants.&#10;2021 AFSR.  -. Participants.&#10;&#10;2019-2020.&#10;Actual. 3,067. Participants.&#10;2019 AFSR. 4,815. Participants. &#10;2020 AFSR. 3,067. Participants.&#10;2021 AFSR.  -. Participants.&#10;&#10;2020-2021.&#10;Actual. 1,201. Participants.&#10;2019 AFSR. 2,994. Participants. &#10;2020 AFSR. 2,670. Participants. &#10;2021 AFSR. 1,201. Participants.&#10;&#10;2021-2022.&#10;Actual.  -. Participants.&#10;2019 AFSR. 2,150. Participants. &#10;2020 AFSR. 2,049. Participants. &#10;2021 AFSR. 1,113. Participants.&#10;&#10;2022-2023.&#10;Actual.  -. Participants.&#10;2019 AFSR. 1,340. Participants. &#10;2020 AFSR. 1,590. Participants. &#10;2021 AFSR. 905. Participants.&#10;&#10;2023-2024.&#10;Actual.  -. Participants.&#10;2019 AFSR. 1,411. Participants. &#10;2020 AFSR. 1,484. Participants. &#10;2021 AFSR. 1,006. Participants.&#10;&#10;2024-2025.&#10;Actual.  -. Participants.&#10;2019 AFSR. 1,417. Participants.&#10;2020 AFSR. 1,576. Participants. &#10;2021 AFSR. 1,015. Participants.&#10;&#10;2025-2026.&#10;Actual.  -. Participants.&#10;2019 AFSR. 1,465. Participants. &#10;2020 AFSR. 1,645. Participants. &#10;2021 AFSR. 1,067. Participants.&#10;&#10;2026-2027.&#10;Actual.  -. Participants.&#10;2019 AFSR. 1,526. Participants. &#10;2020 AFSR. 1,687. Participants. &#10;2021 AFSR. 1,106. Participants.&#10;&#10;2027-2028.&#10;Actual.  -. Participants.&#10;2019 AFSR. 1,589. Participants. &#10;2020 AFSR. 1,774. Participants. &#10;2021 AFSR. 1,166. Participants.&#10;&#10;2028-2029.&#10;Actual.  -. Participants.&#10;2019 AFSR. 1,661. Participants. &#10;2020 AFSR. 1,834. Participants.&#10;2021 AFSR. 1,195. Participants.&#10;&#10;2029-2030.&#10;Actual.  -. Participants.&#10;2019 AFSR. 917.  Participants.  &#10;2020 AFSR. 1,906. Participants. &#10;2021 AFSR. 1,261. Participants.&#10;&#10;&#10;Total number of SIL participants&#10;&#10;2016-2017.&#10;Actual. 6,796. Participants.&#10;2019 AFSR. -. Participants. &#10;2020 AFSR. -. Participants. &#10;2021 AFSR. -. Participants.&#10;&#10;2017-2018.&#10;Actual. 12,663. Participants.&#10;2019 AFSR. -. Participants. &#10;2020 AFSR. -. Participants. &#10;2021 AFSR. -. Participants.&#10;&#10;2018-2019.&#10;Actual. 21,052. Participants.&#10;2019 AFSR. 21,052. Participants. &#10;2020 AFSR. -. Participants. &#10;2021 AFSR. -. Participants.&#10;&#10;2019-2020.&#10;Actual. 24,119. Participants.&#10;2019 AFSR. 25,867. Participants. &#10;2020 AFSR. 24,119. Participants. &#10;2021 AFSR. -. Participants.&#10;&#10;2020-2021.&#10;Actual. 25,320. Participants.&#10;2019 AFSR. 28,861. Participants. &#10;2020 AFSR. 26,789. Participants. &#10;2021 AFSR. 25,320. Participants.&#10;&#10;2021-2022.&#10;Actual. -. Participants.&#10;2019 AFSR. 31,011. Participants. &#10;2020 AFSR. 28,839. Participants. &#10;2021 AFSR. 26,433. Participants.&#10;&#10;2022-2023.&#10;Actual. -. Participants.&#10;2019 AFSR. 32,351. Participants. &#10;2020 AFSR. 30,429. Participants. &#10;2021 AFSR. 27,338. Participants.&#10;&#10;2023-2024.&#10;Actual. -. Participants.&#10;2019 AFSR. 33,762. Participants. &#10;2020 AFSR. 31,913. Participants. &#10;2021 AFSR. 28,344. Participants.&#10;&#10;2024-2025.&#10;Actual. -. Participants.&#10;2019 AFSR. 35,179. Participants. &#10;2020 AFSR. 33,489. Participants. &#10;2021 AFSR. 29,359. Participants.&#10;&#10;2025-2026.&#10;Actual. -. Participants.&#10;2019 AFSR. 36,644. Participants. &#10;2020 AFSR. 35,134. Participants. &#10;2021 AFSR. 30,426. Participants.&#10;&#10;2026-2027.&#10;Actual. -. Participants.&#10;2019 AFSR. 38,170. Participants. &#10;2020 AFSR. 36,821. Participants. &#10;2021 AFSR. 31,532. Participants.&#10;&#10;2027-2028.&#10;Actual. -. Participants.&#10;2019 AFSR. 39,759. Participants. &#10;2020 AFSR. 38,595. Participants. &#10;2021 AFSR. 32,699. Participants.&#10;&#10;2028-2029.&#10;Actual. -. Participants.&#10;2019 AFSR. 41,420. Participants. &#10;2020 AFSR. 40,429. Participants. &#10;2021 AFSR. 33,893. Participants.&#10;&#10;2029-2030.&#10;Actual. -. Participants.&#10;2019 AFSR. 42,337. Participants. &#10;2020 AFSR. 42,335. Participants.&#10;2021 AFSR. 35,154.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nnual increase in SIL participants&#10;&#10;2016-2017.&#10;Actual.  -. Participants.&#10;2019 AFSR.  -. Participants.&#10;2020 AFSR.  -. Participants.2021 AFSR.  -.&#10;&#10;2017-2018.&#10;Actual. 5,867. Participants.&#10;2019 AFSR.  -. Participants. &#10;2020 AFSR.  -. Participants. &#10;2021 AFSR.  -. Participants.&#10;&#10;2018-2019.&#10;Actual. 8,389. Participants.&#10;2019 AFSR. 8,389. Participants. &#10;2020 AFSR.  -. Participants.&#10;2021 AFSR.  -. Participants.&#10;&#10;2019-2020.&#10;Actual. 3,067. Participants.&#10;2019 AFSR. 4,815. Participants. &#10;2020 AFSR. 3,067. Participants.&#10;2021 AFSR.  -. Participants.&#10;&#10;2020-2021.&#10;Actual. 1,201. Participants.&#10;2019 AFSR. 2,994. Participants. &#10;2020 AFSR. 2,670. Participants. &#10;2021 AFSR. 1,201. Participants.&#10;&#10;2021-2022.&#10;Actual.  -. Participants.&#10;2019 AFSR. 2,150. Participants. &#10;2020 AFSR. 2,049. Participants. &#10;2021 AFSR. 1,113. Participants.&#10;&#10;2022-2023.&#10;Actual.  -. Participants.&#10;2019 AFSR. 1,340. Participants. &#10;2020 AFSR. 1,590. Participants. &#10;2021 AFSR. 905. Participants.&#10;&#10;2023-2024.&#10;Actual.  -. Participants.&#10;2019 AFSR. 1,411. Participants. &#10;2020 AFSR. 1,484. Participants. &#10;2021 AFSR. 1,006. Participants.&#10;&#10;2024-2025.&#10;Actual.  -. Participants.&#10;2019 AFSR. 1,417. Participants.&#10;2020 AFSR. 1,576. Participants. &#10;2021 AFSR. 1,015. Participants.&#10;&#10;2025-2026.&#10;Actual.  -. Participants.&#10;2019 AFSR. 1,465. Participants. &#10;2020 AFSR. 1,645. Participants. &#10;2021 AFSR. 1,067. Participants.&#10;&#10;2026-2027.&#10;Actual.  -. Participants.&#10;2019 AFSR. 1,526. Participants. &#10;2020 AFSR. 1,687. Participants. &#10;2021 AFSR. 1,106. Participants.&#10;&#10;2027-2028.&#10;Actual.  -. Participants.&#10;2019 AFSR. 1,589. Participants. &#10;2020 AFSR. 1,774. Participants. &#10;2021 AFSR. 1,166. Participants.&#10;&#10;2028-2029.&#10;Actual.  -. Participants.&#10;2019 AFSR. 1,661. Participants. &#10;2020 AFSR. 1,834. Participants.&#10;2021 AFSR. 1,195. Participants.&#10;&#10;2029-2030.&#10;Actual.  -. Participants.&#10;2019 AFSR. 917.  Participants.  &#10;2020 AFSR. 1,906. Participants. &#10;2021 AFSR. 1,261. Participants.&#10;&#10;&#10;Total number of SIL participants&#10;&#10;2016-2017.&#10;Actual. 6,796. Participants.&#10;2019 AFSR. -. Participants. &#10;2020 AFSR. -. Participants. &#10;2021 AFSR. -. Participants.&#10;&#10;2017-2018.&#10;Actual. 12,663. Participants.&#10;2019 AFSR. -. Participants. &#10;2020 AFSR. -. Participants. &#10;2021 AFSR. -. Participants.&#10;&#10;2018-2019.&#10;Actual. 21,052. Participants.&#10;2019 AFSR. 21,052. Participants. &#10;2020 AFSR. -. Participants. &#10;2021 AFSR. -. Participants.&#10;&#10;2019-2020.&#10;Actual. 24,119. Participants.&#10;2019 AFSR. 25,867. Participants. &#10;2020 AFSR. 24,119. Participants. &#10;2021 AFSR. -. Participants.&#10;&#10;2020-2021.&#10;Actual. 25,320. Participants.&#10;2019 AFSR. 28,861. Participants. &#10;2020 AFSR. 26,789. Participants. &#10;2021 AFSR. 25,320. Participants.&#10;&#10;2021-2022.&#10;Actual. -. Participants.&#10;2019 AFSR. 31,011. Participants. &#10;2020 AFSR. 28,839. Participants. &#10;2021 AFSR. 26,433. Participants.&#10;&#10;2022-2023.&#10;Actual. -. Participants.&#10;2019 AFSR. 32,351. Participants. &#10;2020 AFSR. 30,429. Participants. &#10;2021 AFSR. 27,338. Participants.&#10;&#10;2023-2024.&#10;Actual. -. Participants.&#10;2019 AFSR. 33,762. Participants. &#10;2020 AFSR. 31,913. Participants. &#10;2021 AFSR. 28,344. Participants.&#10;&#10;2024-2025.&#10;Actual. -. Participants.&#10;2019 AFSR. 35,179. Participants. &#10;2020 AFSR. 33,489. Participants. &#10;2021 AFSR. 29,359. Participants.&#10;&#10;2025-2026.&#10;Actual. -. Participants.&#10;2019 AFSR. 36,644. Participants. &#10;2020 AFSR. 35,134. Participants. &#10;2021 AFSR. 30,426. Participants.&#10;&#10;2026-2027.&#10;Actual. -. Participants.&#10;2019 AFSR. 38,170. Participants. &#10;2020 AFSR. 36,821. Participants. &#10;2021 AFSR. 31,532. Participants.&#10;&#10;2027-2028.&#10;Actual. -. Participants.&#10;2019 AFSR. 39,759. Participants. &#10;2020 AFSR. 38,595. Participants. &#10;2021 AFSR. 32,699. Participants.&#10;&#10;2028-2029.&#10;Actual. -. Participants.&#10;2019 AFSR. 41,420. Participants. &#10;2020 AFSR. 40,429. Participants. &#10;2021 AFSR. 33,893. Participants.&#10;&#10;2029-2030.&#10;Actual. -. Participants.&#10;2019 AFSR. 42,337. Participants. &#10;2020 AFSR. 42,335. Participants.&#10;2021 AFSR. 35,154. Participants."/>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976620" cy="2551430"/>
                    </a:xfrm>
                    <a:prstGeom prst="rect">
                      <a:avLst/>
                    </a:prstGeom>
                    <a:noFill/>
                    <a:ln>
                      <a:noFill/>
                    </a:ln>
                  </pic:spPr>
                </pic:pic>
              </a:graphicData>
            </a:graphic>
          </wp:inline>
        </w:drawing>
      </w:r>
    </w:p>
    <w:p w14:paraId="1418095A" w14:textId="4B9CFC81" w:rsidR="001B241A" w:rsidRDefault="001B241A" w:rsidP="001B241A">
      <w:r w:rsidRPr="001B241A">
        <w:t xml:space="preserve">By June 2030 </w:t>
      </w:r>
      <w:r>
        <w:t xml:space="preserve">the model projects </w:t>
      </w:r>
      <w:r w:rsidRPr="001B241A">
        <w:t>there will be approximately 35,000 people in SIL compared to 42,000 from the 20</w:t>
      </w:r>
      <w:r w:rsidR="00D320CF">
        <w:t>18-</w:t>
      </w:r>
      <w:r w:rsidRPr="001B241A">
        <w:t>19 and 20</w:t>
      </w:r>
      <w:r w:rsidR="00D320CF">
        <w:t>19-</w:t>
      </w:r>
      <w:r w:rsidRPr="001B241A">
        <w:t xml:space="preserve">20 AFSRs. </w:t>
      </w:r>
      <w:r w:rsidR="004612B1">
        <w:t xml:space="preserve">The impact is a $3.5B reduction to 2029-30 costs, as </w:t>
      </w:r>
      <w:r w:rsidR="00B53271">
        <w:t xml:space="preserve">discussed </w:t>
      </w:r>
      <w:r w:rsidR="004612B1">
        <w:t xml:space="preserve">in Section </w:t>
      </w:r>
      <w:r w:rsidR="004612B1">
        <w:fldChar w:fldCharType="begin"/>
      </w:r>
      <w:r w:rsidR="004612B1">
        <w:instrText xml:space="preserve"> REF _Ref87485447 \r \h </w:instrText>
      </w:r>
      <w:r w:rsidR="004612B1">
        <w:fldChar w:fldCharType="separate"/>
      </w:r>
      <w:r w:rsidR="00E6217F">
        <w:t>5</w:t>
      </w:r>
      <w:r w:rsidR="004612B1">
        <w:fldChar w:fldCharType="end"/>
      </w:r>
      <w:r w:rsidR="004612B1">
        <w:t xml:space="preserve">. </w:t>
      </w:r>
      <w:r w:rsidRPr="001B241A">
        <w:t>Compared to the current estimates, if transitions into SIL were 1,200 per year this would increase the number of people in SIL by 761 at June 2025 (+$200M) and 966 by June 2030 (+$300M), still well below the previous AFSR estimates.</w:t>
      </w:r>
    </w:p>
    <w:p w14:paraId="353D6C7B" w14:textId="5344413A" w:rsidR="001B241A" w:rsidRDefault="001B241A" w:rsidP="001B241A">
      <w:r>
        <w:t xml:space="preserve">SIL numbers are driven by both people entering the </w:t>
      </w:r>
      <w:r w:rsidR="00232FFF">
        <w:t>Scheme</w:t>
      </w:r>
      <w:r>
        <w:t xml:space="preserve"> </w:t>
      </w:r>
      <w:r w:rsidR="00B53271">
        <w:t xml:space="preserve">and into </w:t>
      </w:r>
      <w:r>
        <w:t>SIL from the outset (primarily a subset of people transferring from state schemes), and NDIS participants transitioning into SIL over time.</w:t>
      </w:r>
      <w:r w:rsidR="00B01336">
        <w:t xml:space="preserve"> </w:t>
      </w:r>
      <w:r w:rsidR="00896394">
        <w:t>The first component has largely subsided and is a key driver of the lower numbers seen in 2020-</w:t>
      </w:r>
      <w:r w:rsidR="00636FA6">
        <w:t>21. The</w:t>
      </w:r>
      <w:r w:rsidR="00B01336">
        <w:t xml:space="preserve"> latter component includes people who were living </w:t>
      </w:r>
      <w:r w:rsidR="00563F94">
        <w:t xml:space="preserve">in </w:t>
      </w:r>
      <w:r w:rsidR="00B01336">
        <w:t xml:space="preserve">residential aged care, and we understand there may be a further 3,000 to 4,000 participants that could transfer to SIL </w:t>
      </w:r>
      <w:r w:rsidR="00B53271">
        <w:t xml:space="preserve">in </w:t>
      </w:r>
      <w:r w:rsidR="00B01336">
        <w:t>the future. Although forecast growth in SIL participants is slightly below recent experience, as the number of people living in aged care reduces this should put downward pressure on the number of people moving into SIL.</w:t>
      </w:r>
    </w:p>
    <w:p w14:paraId="5930DAC6" w14:textId="05BF27B3" w:rsidR="00896394" w:rsidRDefault="00896394" w:rsidP="00896394">
      <w:r>
        <w:fldChar w:fldCharType="begin"/>
      </w:r>
      <w:r>
        <w:instrText xml:space="preserve"> REF _Ref87599823 \h </w:instrText>
      </w:r>
      <w:r>
        <w:fldChar w:fldCharType="separate"/>
      </w:r>
      <w:r w:rsidR="00E6217F">
        <w:t xml:space="preserve">Figure </w:t>
      </w:r>
      <w:r w:rsidR="00E6217F">
        <w:rPr>
          <w:noProof/>
        </w:rPr>
        <w:t>4</w:t>
      </w:r>
      <w:r w:rsidR="00E6217F">
        <w:t>.</w:t>
      </w:r>
      <w:r w:rsidR="00E6217F">
        <w:rPr>
          <w:noProof/>
        </w:rPr>
        <w:t>7</w:t>
      </w:r>
      <w:r>
        <w:fldChar w:fldCharType="end"/>
      </w:r>
      <w:r>
        <w:t xml:space="preserve"> shows the proportion of participants accessing SIL, split by their (financial) year of entry and their duration in the </w:t>
      </w:r>
      <w:r w:rsidR="00232FFF">
        <w:t>Scheme</w:t>
      </w:r>
      <w:r>
        <w:t xml:space="preserve">. It shows that, particularly for those entering the </w:t>
      </w:r>
      <w:r w:rsidR="00232FFF">
        <w:t>Scheme</w:t>
      </w:r>
      <w:r>
        <w:t xml:space="preserve"> who were not in state schemes, there is still an upward trend as more people move to SIL arrangements. The slopes taper in 2020-21 compared to previous years. This may reflect a partial saturation of demand for SIL, but could reflect temporary factors too (for example, people delaying until after the height of COVID concerns). </w:t>
      </w:r>
    </w:p>
    <w:p w14:paraId="661CEA43" w14:textId="45B529C7" w:rsidR="00A34202" w:rsidRDefault="00896394" w:rsidP="00896394">
      <w:r>
        <w:t>Based on the considerations above</w:t>
      </w:r>
      <w:r w:rsidR="00DB2A87">
        <w:t>,</w:t>
      </w:r>
      <w:r>
        <w:t xml:space="preserve"> we believe that SIL assumptions carry both upside and downside risks. However, we would give some weight to the trends prior to 2020-21 which would imply slightly higher forecasts</w:t>
      </w:r>
      <w:r w:rsidR="00330584">
        <w:t xml:space="preserve"> of SIL participants</w:t>
      </w:r>
      <w:r w:rsidR="00330584" w:rsidRPr="00330584">
        <w:t xml:space="preserve"> </w:t>
      </w:r>
      <w:r w:rsidR="00330584">
        <w:t>and the magnitude of the change implies that there remains significant uncertainty in this assumption</w:t>
      </w:r>
      <w:r w:rsidR="00B53271">
        <w:t>.</w:t>
      </w:r>
      <w:r w:rsidR="004612B1">
        <w:t xml:space="preserve"> </w:t>
      </w:r>
    </w:p>
    <w:p w14:paraId="5210982D" w14:textId="77777777" w:rsidR="00A34202" w:rsidRDefault="00A34202">
      <w:pPr>
        <w:spacing w:before="0" w:after="160" w:line="259" w:lineRule="auto"/>
      </w:pPr>
      <w:r>
        <w:br w:type="page"/>
      </w:r>
    </w:p>
    <w:p w14:paraId="18B015E0" w14:textId="5A8EF54C" w:rsidR="00F94138" w:rsidRDefault="00F02446" w:rsidP="002E1834">
      <w:pPr>
        <w:pStyle w:val="Caption"/>
        <w:spacing w:after="60"/>
      </w:pPr>
      <w:bookmarkStart w:id="147" w:name="_Ref87599823"/>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7</w:t>
      </w:r>
      <w:r>
        <w:fldChar w:fldCharType="end"/>
      </w:r>
      <w:bookmarkEnd w:id="147"/>
      <w:r>
        <w:t xml:space="preserve"> – </w:t>
      </w:r>
      <w:r w:rsidR="001B241A">
        <w:t xml:space="preserve">Rate of SIL access by duration in </w:t>
      </w:r>
      <w:r w:rsidR="00232FFF">
        <w:t>Scheme</w:t>
      </w:r>
      <w:r w:rsidR="001B241A">
        <w:t xml:space="preserve"> and entry year </w:t>
      </w:r>
    </w:p>
    <w:p w14:paraId="1B3D5563" w14:textId="71DAD571" w:rsidR="002E1834" w:rsidRDefault="00102A53" w:rsidP="00102A53">
      <w:r>
        <w:rPr>
          <w:noProof/>
        </w:rPr>
        <mc:AlternateContent>
          <mc:Choice Requires="wps">
            <w:drawing>
              <wp:anchor distT="45720" distB="45720" distL="114300" distR="114300" simplePos="0" relativeHeight="251728896" behindDoc="0" locked="0" layoutInCell="1" allowOverlap="1" wp14:anchorId="2203518B" wp14:editId="0EED3231">
                <wp:simplePos x="0" y="0"/>
                <wp:positionH relativeFrom="column">
                  <wp:posOffset>3525520</wp:posOffset>
                </wp:positionH>
                <wp:positionV relativeFrom="paragraph">
                  <wp:posOffset>267541</wp:posOffset>
                </wp:positionV>
                <wp:extent cx="972185" cy="260985"/>
                <wp:effectExtent l="0" t="0" r="18415" b="24765"/>
                <wp:wrapNone/>
                <wp:docPr id="111"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185" cy="260985"/>
                        </a:xfrm>
                        <a:prstGeom prst="rect">
                          <a:avLst/>
                        </a:prstGeom>
                        <a:solidFill>
                          <a:srgbClr val="FFFFFF"/>
                        </a:solidFill>
                        <a:ln w="9525">
                          <a:solidFill>
                            <a:srgbClr val="000000"/>
                          </a:solidFill>
                          <a:miter lim="800000"/>
                          <a:headEnd/>
                          <a:tailEnd/>
                        </a:ln>
                      </wps:spPr>
                      <wps:txbx>
                        <w:txbxContent>
                          <w:p w14:paraId="2D9F2E60" w14:textId="1E677E10" w:rsidR="00F02446" w:rsidRPr="00F02446" w:rsidRDefault="00F02446" w:rsidP="00F02446">
                            <w:pPr>
                              <w:spacing w:before="40" w:after="40"/>
                              <w:rPr>
                                <w:sz w:val="14"/>
                                <w:szCs w:val="14"/>
                              </w:rPr>
                            </w:pPr>
                            <w:r>
                              <w:rPr>
                                <w:sz w:val="14"/>
                                <w:szCs w:val="14"/>
                              </w:rPr>
                              <w:t xml:space="preserve">‘New’ </w:t>
                            </w:r>
                            <w:r w:rsidRPr="00F02446">
                              <w:rPr>
                                <w:sz w:val="14"/>
                                <w:szCs w:val="14"/>
                              </w:rPr>
                              <w:t>participants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203518B" id="_x0000_t202" coordsize="21600,21600" o:spt="202" path="m,l,21600r21600,l21600,xe">
                <v:stroke joinstyle="miter"/>
                <v:path gradientshapeok="t" o:connecttype="rect"/>
              </v:shapetype>
              <v:shape id="Text Box 15" o:spid="_x0000_s1026" type="#_x0000_t202" alt="&quot;&quot;" style="position:absolute;margin-left:277.6pt;margin-top:21.05pt;width:76.55pt;height:20.5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">
                <v:textbox>
                  <w:txbxContent>
                    <w:p w14:paraId="2D9F2E60" w14:textId="1E677E10" w:rsidR="00F02446" w:rsidRPr="00F02446" w:rsidRDefault="00F02446" w:rsidP="00F02446">
                      <w:pPr>
                        <w:spacing w:before="40" w:after="40"/>
                        <w:rPr>
                          <w:sz w:val="14"/>
                          <w:szCs w:val="14"/>
                        </w:rPr>
                      </w:pPr>
                      <w:r>
                        <w:rPr>
                          <w:sz w:val="14"/>
                          <w:szCs w:val="14"/>
                        </w:rPr>
                        <w:t xml:space="preserve">‘New’ </w:t>
                      </w:r>
                      <w:r w:rsidRPr="00F02446">
                        <w:rPr>
                          <w:sz w:val="14"/>
                          <w:szCs w:val="14"/>
                        </w:rPr>
                        <w:t>participants</w:t>
                      </w:r>
                    </w:p>
                  </w:txbxContent>
                </v:textbox>
              </v:shape>
            </w:pict>
          </mc:Fallback>
        </mc:AlternateContent>
      </w:r>
      <w:r>
        <w:rPr>
          <w:noProof/>
        </w:rPr>
        <mc:AlternateContent>
          <mc:Choice Requires="wps">
            <w:drawing>
              <wp:anchor distT="45720" distB="45720" distL="114300" distR="114300" simplePos="0" relativeHeight="251727872" behindDoc="0" locked="0" layoutInCell="1" allowOverlap="1" wp14:anchorId="2203518B" wp14:editId="3CAB32CE">
                <wp:simplePos x="0" y="0"/>
                <wp:positionH relativeFrom="column">
                  <wp:posOffset>730885</wp:posOffset>
                </wp:positionH>
                <wp:positionV relativeFrom="paragraph">
                  <wp:posOffset>260350</wp:posOffset>
                </wp:positionV>
                <wp:extent cx="781050" cy="260985"/>
                <wp:effectExtent l="0" t="0" r="19050" b="24765"/>
                <wp:wrapNone/>
                <wp:docPr id="1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260985"/>
                        </a:xfrm>
                        <a:prstGeom prst="rect">
                          <a:avLst/>
                        </a:prstGeom>
                        <a:solidFill>
                          <a:srgbClr val="FFFFFF"/>
                        </a:solidFill>
                        <a:ln w="9525">
                          <a:solidFill>
                            <a:srgbClr val="000000"/>
                          </a:solidFill>
                          <a:miter lim="800000"/>
                          <a:headEnd/>
                          <a:tailEnd/>
                        </a:ln>
                      </wps:spPr>
                      <wps:txbx>
                        <w:txbxContent>
                          <w:p w14:paraId="6515E5BC" w14:textId="681AC50D" w:rsidR="00F02446" w:rsidRPr="00F02446" w:rsidRDefault="00F02446" w:rsidP="00F02446">
                            <w:pPr>
                              <w:spacing w:before="40" w:after="40"/>
                              <w:rPr>
                                <w:sz w:val="14"/>
                                <w:szCs w:val="14"/>
                              </w:rPr>
                            </w:pPr>
                            <w:r w:rsidRPr="00F02446">
                              <w:rPr>
                                <w:sz w:val="14"/>
                                <w:szCs w:val="14"/>
                              </w:rPr>
                              <w:t>All participants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03518B" id="Text Box 2" o:spid="_x0000_s1027" type="#_x0000_t202" alt="&quot;&quot;" style="position:absolute;margin-left:57.55pt;margin-top:20.5pt;width:61.5pt;height:20.5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">
                <v:textbox>
                  <w:txbxContent>
                    <w:p w14:paraId="6515E5BC" w14:textId="681AC50D" w:rsidR="00F02446" w:rsidRPr="00F02446" w:rsidRDefault="00F02446" w:rsidP="00F02446">
                      <w:pPr>
                        <w:spacing w:before="40" w:after="40"/>
                        <w:rPr>
                          <w:sz w:val="14"/>
                          <w:szCs w:val="14"/>
                        </w:rPr>
                      </w:pPr>
                      <w:r w:rsidRPr="00F02446">
                        <w:rPr>
                          <w:sz w:val="14"/>
                          <w:szCs w:val="14"/>
                        </w:rPr>
                        <w:t>All participants</w:t>
                      </w:r>
                    </w:p>
                  </w:txbxContent>
                </v:textbox>
              </v:shape>
            </w:pict>
          </mc:Fallback>
        </mc:AlternateContent>
      </w:r>
      <w:r>
        <w:rPr>
          <w:noProof/>
        </w:rPr>
        <w:drawing>
          <wp:inline distT="0" distB="0" distL="0" distR="0" wp14:anchorId="7599DD33" wp14:editId="3C14DD01">
            <wp:extent cx="5976620" cy="2600960"/>
            <wp:effectExtent l="0" t="0" r="5080" b="8890"/>
            <wp:docPr id="144" name="Graphic 144" descr="All participants&#10;&#10;Years since entry. 0.&#10;2014.  Proportion SIL to date.  -.&#10;2015. -.&#10;2016. -.&#10;2017. 8%.&#10;2018. 6%.&#10;2019. 6%.&#10;2020. 1%.&#10;2021. 0%.&#10;&#10;&#10;Years since entry. 1.&#10;2014. Proportion SIL to date.   -.&#10;2015. -.&#10;2016. 4%.&#10;2017. 9%.&#10;2018. 7%.&#10;2019. 7%.&#10;2020. 2%.&#10;2021. -.&#10;&#10;Years since entry. 2.&#10;2014. Proportion SIL to date.  -.&#10;2015. 5%.&#10;2016. 5%.&#10;2017. 10%.&#10;2018. 7%.&#10;2019. 7%.&#10;2020. -.&#10;2021. -.&#10;&#10;Years since entry. 3.&#10;2014. Proportion SIL to date.  9%.&#10;2015. 6%.&#10;2016. 5%.&#10;2017. 10%.&#10;2018. 7%.&#10;2019. -.&#10;2020. -.&#10;2021. -.&#10;&#10;Years since entry. 4.&#10;2014. Proportion SIL to date.  11%.&#10;2015. 6%.&#10;2016. 6%.&#10;2017. 10%.&#10;2018. -.&#10;2019. -.&#10;2020. -.&#10;2021. -.&#10;&#10;Years since entry. 5.&#10;2014. Proportion SIL to date.  11%.&#10;2015. 6%.&#10;2016. 6%.&#10;2017. -.&#10;2018. -.&#10;2019. -.&#10;2020. -.&#10;2021. -.&#10;&#10;Years since entry.6.&#10;2014. Proportion SIL to date.  12%.&#10;2015. 6%.&#10;2016. -.&#10;2017. -.&#10;2018. -.&#10;2019. -.&#10;2020. -.&#10;2021. -.&#10;&#10;Years since entry. 7.&#10;2014. Proportion SIL to date.  12%.&#10;2015. -.&#10;2016. -.&#10;2017. -.&#10;2018. -.&#10;2019. -.&#10;2020. -.&#10;2021. -.&#10;&#10;New participants&#10;&#10;Years since entry. 0.&#10;2014. Proportion SIL to date.   -.&#10;2015. -.&#10;2016. -.&#10;2017. 1%.&#10;2018. 0%.&#10;2019. 1%.&#10;2020. 0%.&#10;2021. 0%.&#10;&#10;&#10;Years since entry. 1.&#10;2014. Proportion SIL to date.  -.&#10;2015. -.&#10;2016. 1%.&#10;2017. 1%.&#10;2018. 1%.&#10;2019. 1%.&#10;2020. 1%.&#10;2021. -.&#10;&#10;Years since entry. 2.&#10;2014. Proportion SIL to date.   -.&#10;2015. 1%.&#10;2016. 1%.&#10;2017. 1%.&#10;2018. 1%.&#10;2019. 1%.&#10;2020. -.&#10;2021. -.&#10;&#10;Years since entry. 3.&#10;2014. Proportion SIL to date.   2%.&#10;2015. 1%.&#10;2016. 2%.&#10;2017. 1%.&#10;2018. 1%.&#10;2019. -.&#10;2020. -.&#10;2021. -.&#10;&#10;Years since entry. 4.&#10;2014. Proportion SIL to date.   2%.&#10;2015. 1%.&#10;2016. 2%.&#10;2017. 1%.&#10;2018. -.&#10;2019. -.&#10;2020. -.&#10;2021. -.&#10;&#10;Years since entry. 5.&#10;2014. Proportion SIL to date.   2%.&#10;2015. 1%.&#10;2016. 2%.&#10;2017. -.&#10;2018. -.&#10;2019. -.&#10;2020. -.&#10;2021. -.&#10;&#10;Years since entry.6.&#10;2014. Proportion SIL to date.   2%.&#10;2015. 1%.&#10;2016. -.&#10;2017. -.&#10;2018. -.&#10;2019. -.&#10;2020. -.&#10;2021. -.&#10;&#10;Years since entry. 7.&#10;2014. Proportion SIL to date.  2%.&#10;2015. -.&#10;2016. -.&#10;2017. -.&#10;2018. -.&#10;2019. -.&#10;2020. -.&#1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Graphic 144" descr="All participants&#10;&#10;Years since entry. 0.&#10;2014.  Proportion SIL to date.  -.&#10;2015. -.&#10;2016. -.&#10;2017. 8%.&#10;2018. 6%.&#10;2019. 6%.&#10;2020. 1%.&#10;2021. 0%.&#10;&#10;&#10;Years since entry. 1.&#10;2014. Proportion SIL to date.   -.&#10;2015. -.&#10;2016. 4%.&#10;2017. 9%.&#10;2018. 7%.&#10;2019. 7%.&#10;2020. 2%.&#10;2021. -.&#10;&#10;Years since entry. 2.&#10;2014. Proportion SIL to date.  -.&#10;2015. 5%.&#10;2016. 5%.&#10;2017. 10%.&#10;2018. 7%.&#10;2019. 7%.&#10;2020. -.&#10;2021. -.&#10;&#10;Years since entry. 3.&#10;2014. Proportion SIL to date.  9%.&#10;2015. 6%.&#10;2016. 5%.&#10;2017. 10%.&#10;2018. 7%.&#10;2019. -.&#10;2020. -.&#10;2021. -.&#10;&#10;Years since entry. 4.&#10;2014. Proportion SIL to date.  11%.&#10;2015. 6%.&#10;2016. 6%.&#10;2017. 10%.&#10;2018. -.&#10;2019. -.&#10;2020. -.&#10;2021. -.&#10;&#10;Years since entry. 5.&#10;2014. Proportion SIL to date.  11%.&#10;2015. 6%.&#10;2016. 6%.&#10;2017. -.&#10;2018. -.&#10;2019. -.&#10;2020. -.&#10;2021. -.&#10;&#10;Years since entry.6.&#10;2014. Proportion SIL to date.  12%.&#10;2015. 6%.&#10;2016. -.&#10;2017. -.&#10;2018. -.&#10;2019. -.&#10;2020. -.&#10;2021. -.&#10;&#10;Years since entry. 7.&#10;2014. Proportion SIL to date.  12%.&#10;2015. -.&#10;2016. -.&#10;2017. -.&#10;2018. -.&#10;2019. -.&#10;2020. -.&#10;2021. -.&#10;&#10;New participants&#10;&#10;Years since entry. 0.&#10;2014. Proportion SIL to date.   -.&#10;2015. -.&#10;2016. -.&#10;2017. 1%.&#10;2018. 0%.&#10;2019. 1%.&#10;2020. 0%.&#10;2021. 0%.&#10;&#10;&#10;Years since entry. 1.&#10;2014. Proportion SIL to date.  -.&#10;2015. -.&#10;2016. 1%.&#10;2017. 1%.&#10;2018. 1%.&#10;2019. 1%.&#10;2020. 1%.&#10;2021. -.&#10;&#10;Years since entry. 2.&#10;2014. Proportion SIL to date.   -.&#10;2015. 1%.&#10;2016. 1%.&#10;2017. 1%.&#10;2018. 1%.&#10;2019. 1%.&#10;2020. -.&#10;2021. -.&#10;&#10;Years since entry. 3.&#10;2014. Proportion SIL to date.   2%.&#10;2015. 1%.&#10;2016. 2%.&#10;2017. 1%.&#10;2018. 1%.&#10;2019. -.&#10;2020. -.&#10;2021. -.&#10;&#10;Years since entry. 4.&#10;2014. Proportion SIL to date.   2%.&#10;2015. 1%.&#10;2016. 2%.&#10;2017. 1%.&#10;2018. -.&#10;2019. -.&#10;2020. -.&#10;2021. -.&#10;&#10;Years since entry. 5.&#10;2014. Proportion SIL to date.   2%.&#10;2015. 1%.&#10;2016. 2%.&#10;2017. -.&#10;2018. -.&#10;2019. -.&#10;2020. -.&#10;2021. -.&#10;&#10;Years since entry.6.&#10;2014. Proportion SIL to date.   2%.&#10;2015. 1%.&#10;2016. -.&#10;2017. -.&#10;2018. -.&#10;2019. -.&#10;2020. -.&#10;2021. -.&#10;&#10;Years since entry. 7.&#10;2014. Proportion SIL to date.  2%.&#10;2015. -.&#10;2016. -.&#10;2017. -.&#10;2018. -.&#10;2019. -.&#10;2020. -.&#10;2021. -."/>
                    <pic:cNvPicPr/>
                  </pic:nvPicPr>
                  <pic:blipFill>
                    <a:blip r:embed="rId66" cstate="print">
                      <a:extLst>
                        <a:ext uri="{28A0092B-C50C-407E-A947-70E740481C1C}">
                          <a14:useLocalDpi xmlns:a14="http://schemas.microsoft.com/office/drawing/2010/main"/>
                        </a:ext>
                        <a:ext uri="{96DAC541-7B7A-43D3-8B79-37D633B846F1}">
                          <asvg:svgBlip xmlns:asvg="http://schemas.microsoft.com/office/drawing/2016/SVG/main" r:embed="rId67"/>
                        </a:ext>
                      </a:extLst>
                    </a:blip>
                    <a:stretch>
                      <a:fillRect/>
                    </a:stretch>
                  </pic:blipFill>
                  <pic:spPr>
                    <a:xfrm>
                      <a:off x="0" y="0"/>
                      <a:ext cx="5976620" cy="2600960"/>
                    </a:xfrm>
                    <a:prstGeom prst="rect">
                      <a:avLst/>
                    </a:prstGeom>
                  </pic:spPr>
                </pic:pic>
              </a:graphicData>
            </a:graphic>
          </wp:inline>
        </w:drawing>
      </w:r>
    </w:p>
    <w:p w14:paraId="134F2DBF" w14:textId="2380765E" w:rsidR="00A520C9" w:rsidRDefault="00A520C9" w:rsidP="00A520C9">
      <w:pPr>
        <w:pStyle w:val="Heading2"/>
      </w:pPr>
      <w:bookmarkStart w:id="148" w:name="_Ref87540532"/>
      <w:bookmarkStart w:id="149" w:name="_Toc87700474"/>
      <w:bookmarkStart w:id="150" w:name="_Toc88686126"/>
      <w:r>
        <w:t>Cost assumptions</w:t>
      </w:r>
      <w:bookmarkEnd w:id="143"/>
      <w:bookmarkEnd w:id="144"/>
      <w:bookmarkEnd w:id="145"/>
      <w:bookmarkEnd w:id="148"/>
      <w:bookmarkEnd w:id="149"/>
      <w:bookmarkEnd w:id="150"/>
    </w:p>
    <w:p w14:paraId="5F9AA63E" w14:textId="1529CC0C" w:rsidR="00A520C9" w:rsidRDefault="00A520C9" w:rsidP="00A520C9">
      <w:bookmarkStart w:id="151" w:name="_Hlk83196773"/>
      <w:r>
        <w:t>The Scheme Actuary sets average payment size assumption</w:t>
      </w:r>
      <w:r w:rsidR="00B53271">
        <w:t xml:space="preserve">s (i.e. average starting level of payments) </w:t>
      </w:r>
      <w:r>
        <w:t xml:space="preserve">for each support category, age group, disability type and level of function based on recent experience. In total, the Scheme Actuary sets starting level of average payments for 2,052 cohorts. </w:t>
      </w:r>
    </w:p>
    <w:p w14:paraId="0A99E3EC" w14:textId="1473DA31" w:rsidR="00B44828" w:rsidRDefault="00A520C9" w:rsidP="00B53271">
      <w:r>
        <w:t xml:space="preserve">Given the number of assumptions, this section will focus on </w:t>
      </w:r>
      <w:r w:rsidR="00B44828">
        <w:t xml:space="preserve">overall trends for Core, Capacity </w:t>
      </w:r>
      <w:r w:rsidR="00B53271">
        <w:t>B</w:t>
      </w:r>
      <w:r w:rsidR="00B44828">
        <w:t xml:space="preserve">uilding and Capital supports as well as </w:t>
      </w:r>
      <w:r>
        <w:t xml:space="preserve">cohorts with high payments. In Section </w:t>
      </w:r>
      <w:r>
        <w:fldChar w:fldCharType="begin"/>
      </w:r>
      <w:r>
        <w:instrText xml:space="preserve"> REF _Ref83971063 \r \h </w:instrText>
      </w:r>
      <w:r w:rsidR="00B53271">
        <w:instrText xml:space="preserve"> \* MERGEFORMAT </w:instrText>
      </w:r>
      <w:r>
        <w:fldChar w:fldCharType="separate"/>
      </w:r>
      <w:r w:rsidR="00E6217F">
        <w:t>5.3</w:t>
      </w:r>
      <w:r>
        <w:fldChar w:fldCharType="end"/>
      </w:r>
      <w:r>
        <w:t>, we will further discuss cohorts with large increases in projected payments compared to</w:t>
      </w:r>
      <w:r w:rsidR="00B53271">
        <w:t xml:space="preserve"> the</w:t>
      </w:r>
      <w:r>
        <w:t xml:space="preserve"> </w:t>
      </w:r>
      <w:r w:rsidR="00D320CF">
        <w:t>2018-19 AFSR</w:t>
      </w:r>
      <w:r>
        <w:t xml:space="preserve">. </w:t>
      </w:r>
    </w:p>
    <w:p w14:paraId="4CC9825E" w14:textId="77777777" w:rsidR="00B44828" w:rsidRDefault="00B44828" w:rsidP="00B44828">
      <w:pPr>
        <w:pStyle w:val="Heading3"/>
      </w:pPr>
      <w:bookmarkStart w:id="152" w:name="_Ref87449540"/>
      <w:r>
        <w:t>Analysis of trends over time</w:t>
      </w:r>
      <w:r>
        <w:rPr>
          <w:rStyle w:val="FootnoteReference"/>
        </w:rPr>
        <w:footnoteReference w:id="9"/>
      </w:r>
      <w:r>
        <w:t xml:space="preserve"> and projected payments</w:t>
      </w:r>
      <w:bookmarkEnd w:id="152"/>
    </w:p>
    <w:p w14:paraId="0EEB12DA" w14:textId="77777777" w:rsidR="00447304" w:rsidRDefault="00B44828" w:rsidP="00B44828">
      <w:r>
        <w:t>In this section we analyse the trends in average size assumptions for daily activities, other core services, capacity building supports and capital expenditure. The projected amounts are the outworking of more granular analysis and projections performed by age and disability, but the analysis shows how the overall projections have changed over the past three AFSRs and how they compare against actual experience.</w:t>
      </w:r>
    </w:p>
    <w:p w14:paraId="20085A23" w14:textId="0844B098" w:rsidR="00A5296C" w:rsidRDefault="00447304" w:rsidP="00B44828">
      <w:r>
        <w:t>While there are some aspects, such as non-SIL capital costs, where projected average sizes appear to be low, in aggregate the projected average size assumptions for 2021-22 contain a reasonable allowance for escalation. Thereafter, changes in projected average costs are only due to compositional changes, inflation and superimposed inflation.</w:t>
      </w:r>
    </w:p>
    <w:p w14:paraId="7E7619CC" w14:textId="77777777" w:rsidR="00B44828" w:rsidRDefault="00B44828" w:rsidP="00B44828">
      <w:pPr>
        <w:pStyle w:val="NNheading4"/>
      </w:pPr>
      <w:r w:rsidRPr="00EB0C80">
        <w:t xml:space="preserve">Core </w:t>
      </w:r>
      <w:r>
        <w:t>services –</w:t>
      </w:r>
      <w:r w:rsidRPr="00EB0C80">
        <w:t xml:space="preserve"> Daily Activities</w:t>
      </w:r>
    </w:p>
    <w:p w14:paraId="13C8A4D8" w14:textId="72065F98" w:rsidR="00B44828" w:rsidRPr="00A972F9" w:rsidRDefault="00B44828" w:rsidP="00B44828">
      <w:r>
        <w:t xml:space="preserve">Core services related to Daily Activities were 56% of payments during 2020-21. </w:t>
      </w:r>
      <w:r>
        <w:fldChar w:fldCharType="begin"/>
      </w:r>
      <w:r>
        <w:instrText xml:space="preserve"> REF _Ref86950871 \h </w:instrText>
      </w:r>
      <w:r>
        <w:fldChar w:fldCharType="separate"/>
      </w:r>
      <w:r w:rsidR="00E6217F">
        <w:t xml:space="preserve">Figure </w:t>
      </w:r>
      <w:r w:rsidR="00E6217F">
        <w:rPr>
          <w:noProof/>
        </w:rPr>
        <w:t>4</w:t>
      </w:r>
      <w:r w:rsidR="00E6217F">
        <w:t>.</w:t>
      </w:r>
      <w:r w:rsidR="00E6217F">
        <w:rPr>
          <w:noProof/>
        </w:rPr>
        <w:t>8</w:t>
      </w:r>
      <w:r>
        <w:fldChar w:fldCharType="end"/>
      </w:r>
      <w:r>
        <w:t xml:space="preserve"> shows the trends for average Daily Activities payments for active participants over time. Payments for residential aged care (RAC) are generally not paid throughout the year which means that relative to the underlying cost, quarters without RAC payments tend to be understated and quarters with RAC payments are overstated.</w:t>
      </w:r>
    </w:p>
    <w:p w14:paraId="13689E28" w14:textId="1D4FF0EB" w:rsidR="00B44828" w:rsidRPr="000E285B" w:rsidRDefault="00B44828" w:rsidP="00B44828">
      <w:pPr>
        <w:pStyle w:val="Caption"/>
        <w:spacing w:after="0"/>
      </w:pPr>
      <w:bookmarkStart w:id="153" w:name="_Ref86950871"/>
      <w:bookmarkStart w:id="154" w:name="_Ref86950866"/>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8</w:t>
      </w:r>
      <w:r>
        <w:fldChar w:fldCharType="end"/>
      </w:r>
      <w:bookmarkEnd w:id="153"/>
      <w:r>
        <w:t xml:space="preserve"> – Average annualised Daily Activities payments for active participants</w:t>
      </w:r>
      <w:r w:rsidDel="006361A1">
        <w:t xml:space="preserve"> </w:t>
      </w:r>
      <w:r>
        <w:t>over time</w:t>
      </w:r>
      <w:bookmarkEnd w:id="154"/>
      <w:r>
        <w:t xml:space="preserve"> </w:t>
      </w:r>
    </w:p>
    <w:p w14:paraId="2F88140A" w14:textId="37731555" w:rsidR="00B44828" w:rsidRDefault="00A5296C" w:rsidP="009724F2">
      <w:pPr>
        <w:spacing w:before="0" w:after="0"/>
      </w:pPr>
      <w:r>
        <w:rPr>
          <w:noProof/>
        </w:rPr>
        <mc:AlternateContent>
          <mc:Choice Requires="wps">
            <w:drawing>
              <wp:anchor distT="0" distB="0" distL="114300" distR="114300" simplePos="0" relativeHeight="251717632" behindDoc="0" locked="0" layoutInCell="1" allowOverlap="1" wp14:anchorId="55062EE0" wp14:editId="654E7301">
                <wp:simplePos x="0" y="0"/>
                <wp:positionH relativeFrom="column">
                  <wp:posOffset>1230688</wp:posOffset>
                </wp:positionH>
                <wp:positionV relativeFrom="paragraph">
                  <wp:posOffset>508635</wp:posOffset>
                </wp:positionV>
                <wp:extent cx="110836" cy="117706"/>
                <wp:effectExtent l="0" t="0" r="80010" b="53975"/>
                <wp:wrapNone/>
                <wp:docPr id="167" name="Straight Arrow Connector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10836" cy="117706"/>
                        </a:xfrm>
                        <a:prstGeom prst="straightConnector1">
                          <a:avLst/>
                        </a:prstGeom>
                        <a:ln>
                          <a:headEnd w="sm" len="med"/>
                          <a:tailEnd type="arrow" w="sm" len="sm"/>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type w14:anchorId="35E791C2" id="_x0000_t32" coordsize="21600,21600" o:spt="32" o:oned="t" path="m,l21600,21600e" filled="f">
                <v:path arrowok="t" fillok="f" o:connecttype="none"/>
                <o:lock v:ext="edit" shapetype="t"/>
              </v:shapetype>
              <v:shape id="Straight Arrow Connector 167" o:spid="_x0000_s1026" type="#_x0000_t32" alt="&quot;&quot;" style="position:absolute;margin-left:96.9pt;margin-top:40.05pt;width:8.75pt;height:9.2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" strokecolor="#ff1452 [3208]" strokeweight=".5pt">
                <v:stroke startarrowwidth="narrow" endarrow="open" endarrowwidth="narrow" endarrowlength="short" joinstyle="miter"/>
              </v:shape>
            </w:pict>
          </mc:Fallback>
        </mc:AlternateContent>
      </w:r>
      <w:r>
        <w:rPr>
          <w:noProof/>
        </w:rPr>
        <mc:AlternateContent>
          <mc:Choice Requires="wps">
            <w:drawing>
              <wp:anchor distT="0" distB="0" distL="114300" distR="114300" simplePos="0" relativeHeight="251716608" behindDoc="0" locked="0" layoutInCell="1" allowOverlap="1" wp14:anchorId="56065828" wp14:editId="0EC8DABC">
                <wp:simplePos x="0" y="0"/>
                <wp:positionH relativeFrom="column">
                  <wp:posOffset>807431</wp:posOffset>
                </wp:positionH>
                <wp:positionV relativeFrom="paragraph">
                  <wp:posOffset>272877</wp:posOffset>
                </wp:positionV>
                <wp:extent cx="671946" cy="374073"/>
                <wp:effectExtent l="0" t="0" r="0" b="0"/>
                <wp:wrapNone/>
                <wp:docPr id="166" name="Rectangle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1946" cy="3740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9BC2D5" w14:textId="5901EB98" w:rsidR="00A5296C" w:rsidRPr="00A5296C" w:rsidRDefault="00A5296C" w:rsidP="00A5296C">
                            <w:pPr>
                              <w:spacing w:before="0" w:after="0"/>
                              <w:jc w:val="center"/>
                              <w:rPr>
                                <w:sz w:val="16"/>
                                <w:szCs w:val="16"/>
                                <w:lang w:val="en-US"/>
                              </w:rPr>
                            </w:pPr>
                            <w:r w:rsidRPr="00A5296C">
                              <w:rPr>
                                <w:color w:val="FF1452" w:themeColor="accent5"/>
                                <w:sz w:val="16"/>
                                <w:szCs w:val="16"/>
                                <w:lang w:val="en-US"/>
                              </w:rPr>
                              <w:t xml:space="preserve">RAC </w:t>
                            </w:r>
                            <w:r>
                              <w:rPr>
                                <w:color w:val="FF1452" w:themeColor="accent5"/>
                                <w:sz w:val="16"/>
                                <w:szCs w:val="16"/>
                                <w:lang w:val="en-US"/>
                              </w:rPr>
                              <w:t>s</w:t>
                            </w:r>
                            <w:r w:rsidRPr="00A5296C">
                              <w:rPr>
                                <w:color w:val="FF1452" w:themeColor="accent5"/>
                                <w:sz w:val="16"/>
                                <w:szCs w:val="16"/>
                                <w:lang w:val="en-US"/>
                              </w:rPr>
                              <w:t>pike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65828" id="Rectangle 166" o:spid="_x0000_s1028" alt="&quot;&quot;" style="position:absolute;margin-left:63.6pt;margin-top:21.5pt;width:52.9pt;height:29.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" filled="f" stroked="f" strokeweight="1pt">
                <v:textbox>
                  <w:txbxContent>
                    <w:p w14:paraId="229BC2D5" w14:textId="5901EB98" w:rsidR="00A5296C" w:rsidRPr="00A5296C" w:rsidRDefault="00A5296C" w:rsidP="00A5296C">
                      <w:pPr>
                        <w:spacing w:before="0" w:after="0"/>
                        <w:jc w:val="center"/>
                        <w:rPr>
                          <w:sz w:val="16"/>
                          <w:szCs w:val="16"/>
                          <w:lang w:val="en-US"/>
                        </w:rPr>
                      </w:pPr>
                      <w:r w:rsidRPr="00A5296C">
                        <w:rPr>
                          <w:color w:val="FF1452" w:themeColor="accent5"/>
                          <w:sz w:val="16"/>
                          <w:szCs w:val="16"/>
                          <w:lang w:val="en-US"/>
                        </w:rPr>
                        <w:t xml:space="preserve">RAC </w:t>
                      </w:r>
                      <w:r>
                        <w:rPr>
                          <w:color w:val="FF1452" w:themeColor="accent5"/>
                          <w:sz w:val="16"/>
                          <w:szCs w:val="16"/>
                          <w:lang w:val="en-US"/>
                        </w:rPr>
                        <w:t>s</w:t>
                      </w:r>
                      <w:r w:rsidRPr="00A5296C">
                        <w:rPr>
                          <w:color w:val="FF1452" w:themeColor="accent5"/>
                          <w:sz w:val="16"/>
                          <w:szCs w:val="16"/>
                          <w:lang w:val="en-US"/>
                        </w:rPr>
                        <w:t>pike</w:t>
                      </w:r>
                    </w:p>
                  </w:txbxContent>
                </v:textbox>
              </v:rect>
            </w:pict>
          </mc:Fallback>
        </mc:AlternateContent>
      </w:r>
      <w:r w:rsidR="00B44828" w:rsidRPr="00B75B29">
        <w:rPr>
          <w:noProof/>
        </w:rPr>
        <w:drawing>
          <wp:inline distT="0" distB="0" distL="0" distR="0" wp14:anchorId="18D8FCE7" wp14:editId="332746A2">
            <wp:extent cx="5608800" cy="2192400"/>
            <wp:effectExtent l="0" t="0" r="0" b="0"/>
            <wp:docPr id="62" name="Picture 62" descr="September 2018.&#10;Residential aged care. Average annualised payment. 0.   &#10;Other Daily Activities. 9,665.&#10;2019 AFSR. -.&#10;2020 AFSR. -. &#10;2021 AFSR. -.&#10;   &#10;&#10;December 2018.&#10;Residential aged care. Average annualised payment. 0.   &#10;Other Daily Activities. 9,977.&#10;2019 AFSR. -.&#10;2020 AFSR. -. &#10;2021 AFSR. -.&#10;&#10;March 2019.&#10;Residential aged care. Average annualised payment. 0.   &#10;Other Daily Activities. 10,036.&#10;2019 AFSR. -.&#10;2020 AFSR. -. &#10;2021 AFSR. -.&#10;&#10;June 2019.&#10;Residential aged care. Average annualised payment. 0.   &#10;Other Daily Activities. 10,366.&#10;2019 AFSR. -.&#10;2020 AFSR. -. &#10;2021 AFSR. -.&#10;&#10;September 2019.&#10;Residential aged care. Average annualised payment. 1,681.   &#10;Other Daily Activities. 11,934.&#10;2019 AFSR. 14,102.&#10;2020 AFSR. -. &#10;2021 AFSR. -.&#10;&#10;December 2019.&#10;Residential aged care. Average annualised payment.  0.   &#10;Other Daily Activities. 12,567.&#10;2019 AFSR. 14,102.&#10;2020 AFSR. -. &#10;2021 AFSR. -.&#10;&#10;March 2020.&#10;Residential aged care. Average annualised payment. 0.   &#10;Other Daily Activities. 12,376.&#10;2019 AFSR. 14,102.&#10;2020 AFSR. -. &#10;2021 AFSR. -.&#10;&#10;June 2020.&#10;Residential aged care. Average annualised payment. 1,525.   &#10;Other Daily Activities. Average annualised payment. 12,566.&#10;2019 AFSR. 14,102.&#10;2020 AFSR. -. &#10;2021 AFSR. -.&#10;&#10;September 2020.&#10;Residential aged care. Average annualised payment. 1,092.   &#10;Other Daily Activities. 14,075.&#10;2019 AFSR. 14,538.&#10;2020 AFSR. 14,124. &#10;2021 AFSR. -.&#10;&#10;December 2020.&#10;Residential aged care. Average annualised payment. 151.   &#10;Other Daily Activities. 14,734.&#10;2019 AFSR. 14,538.&#10;2020 AFSR. 14,124. &#10;2021 AFSR. -.&#10;&#10;March 2021.&#10;Residential aged care. Average annualised payment.  0.   &#10;Other Daily Activities. 15,659.&#10;2019 AFSR. 14,538.&#10;2020 AFSR. 14,124. &#10;2021 AFSR. -.&#10;&#10;June 2021.&#10;Residential aged care. Average annualised payment. 2,920.   &#10;Other Daily Activities. 15,465.&#10;2019 AFSR. 14,538.&#10;2020 AFSR. 14,124. &#10;2021 AFSR. -.&#10;&#10;September 2021.&#10;Residential aged care. Average annualised payment. -.   &#10;Other Daily Activities. -.&#10;2019 AFSR. 14,850.&#10;2020 AFSR. 14,384. &#10;2021 AFSR. 18,583.&#10;&#10;&#10;December 2021.&#10;Residential aged care. Average annualised payment. -.   &#10;Other Daily Activities. -.&#10;2019 AFSR. 14,850.&#10;2020 AFSR. 14,384. &#10;2021 AFSR. 18,583.&#10;&#10;March 2022.&#10;Residential aged care.  Average annualised payment.  -.   &#10;Other Daily Activities. -.&#10;2019 AFSR. 14,850.&#10;2020 AFSR. 14,384. &#10;2021 AFSR. 18,583.&#10;&#10;June 2022.&#10;Residential aged care. Average annualised payment.  -.   &#10;Other Daily Activities. -.&#10;2019 AFSR. 14,850.&#10;2020 AFSR. 14,384. &#10;2021 AFSR. 18,583.&#10;&#10;September 2022.&#10;Residential aged care. Average annualised payment.  -.   &#10;Other Daily Activities. -.&#10;2019 AFSR. 15,008.&#10;2020 AFSR. 14,393. &#10;2021 AFSR. 19,464.&#10;&#10;December 2022.&#10;Residential aged care. Average annualised payment. -.   &#10;Other Daily Activities. -.&#10;2019 AFSR. 15,008.&#10;2020 AFSR. 14,393. &#10;2021 AFSR. 19,464.&#10;&#10;March 2023.&#10;Residential aged care. Average annualised payment. -.   &#10;Other Daily Activities. -.&#10;2019 AFSR. 15,008.&#10;2020 AFSR. 14,393. &#10;2021 AFSR. 19,464.&#10;&#10;June 2023.&#10;Residential aged care. Average annualised payment. -.   &#10;Other Daily Activities. -.&#10;2019 AFSR. 15,008.&#10;2020 AFSR. 14,393. &#10;2021 AFSR. 19,464.&#10;&#10;September 2023.&#10;Residential aged care. Average annualised payment.  -.   &#10;Other Daily Activities. -.&#10;2019 AFSR. 15,092.&#10;2020 AFSR. 14,583. &#10;2021 AFSR. 20,060.&#10;&#10;December 2023.&#10;Residential aged care. Average annualised payment. -.   &#10;Other Daily Activities. -.&#10;2019 AFSR. 15,092.&#10;2020 AFSR. 14,583. &#10;2021 AFSR. 20,060.&#10;&#10;March 2024.&#10;Residential aged care. Average annualised payment. -.   &#10;Other Daily Activities. -.&#10;2019 AFSR. 15,092.&#10;2020 AFSR. 14,583. &#10;2021 AFSR. 20,060.&#10;&#10;June 2024.&#10;Residential aged care. Average annualised payment.  -.   &#10;Other Daily Activities. -.&#10;2019 AFSR. 15,092.&#10;2020 AFSR. 14,583. &#10;2021 AFSR. 20,060.&#10;&#10;September 2024.&#10;Residential aged care. Average annualised payment. -.   &#10;Other Daily Activities. -.&#10;2019 AFSR. 15,110.&#10;2020 AFSR. 14,956. &#10;2021 AFSR. 20,348.&#10;&#10;December 2024.&#10;Residential aged care. Average annualised payment.  -.   &#10;Other Daily Activities. -.&#10;2019 AFSR. 15,110.&#10;2020 AFSR. 14,956. &#10;2021 AFSR. 20,348.&#10;&#10;March 2025.&#10;Residential aged care. Average annualised payment.  -.   &#10;Other Daily Activities. -.&#10;2019 AFSR. 15,110.&#10;2020 AFSR. 14,956. &#10;2021 AFSR. 20,348.&#10;&#10;June 2025.&#10;Residential aged care. Average annualised payment. -.   &#10;Other Daily Activities. -.&#10;2019 AFSR. 15,110.&#10;2020 AFSR. 14,956. &#10;2021 AFSR. 20,348.&#10;&#10;SIL participants&#10;Average annualised payment&#10;&#10;September 2018.&#10;Residential aged care. Average annualised payment. 0.   &#10;Other Daily Activities. 160,200.&#10;2019 AFSR. -.&#10;2020 AFSR. -. &#10;2021 AFSR. -.&#10;   &#10;&#10;December 2018.&#10;Residential aged care. Average annualised payment. 0.   &#10;Other Daily Activities. 160,276.&#10;2019 AFSR. -.&#10;2020 AFSR. -. &#10;2021 AFSR. -.&#10;&#10;March 2019.&#10;Residential aged care. Average annualised payment. 0.   &#10;Other Daily Activities. 176,438.&#10;2019 AFSR. -.&#10;2020 AFSR. -. &#10;2021 AFSR. -.&#10;&#10;June 2019.&#10;Residential aged care. Average annualised payment.  0.   &#10;Other Daily Activities. 185,726.&#10;2019 AFSR. -.&#10;2020 AFSR. -. &#10;2021 AFSR. -.&#10;&#10;September 2019.&#10;Residential aged care. Average annualised payment. 1,335.   &#10;Other Daily Activities. 201,720.&#10;2019 AFSR. 206,474.&#10;2020 AFSR. -. &#10;2021 AFSR. -.&#10;&#10;December 2019.&#10;Residential aged care. Average annualised payment.  0.   &#10;Other Daily Activities. 215,884.&#10;2019 AFSR. 206,474.&#10;2020 AFSR. -. &#10;2021 AFSR. -.&#10;&#10;March 2020.&#10;Residential aged care. Average annualised payment. 0.   &#10;Other Daily Activities. 230,391.&#10;2019 AFSR. 206,474.&#10;2020 AFSR. -. &#10;2021 AFSR. -.&#10;&#10;June 2020.&#10;Residential aged care. Average annualised payment.  999.   &#10;Other Daily Activities. 242,680.&#10;2019 AFSR. 206,474.&#10;2020 AFSR. -. &#10;2021 AFSR. -.&#10;&#10;September 2020.&#10;Residential aged care. Average annualised payment. 1,143.   &#10;Other Daily Activities. 248,674.&#10;2019 AFSR. 221,923.&#10;2020 AFSR. 256,468. &#10;2021 AFSR. -.&#10;&#10;December 2020.&#10;Residential aged care. Average annualised payment. 213.   &#10;Other Daily Activities. 236,073.&#10;2019 AFSR. 221,923.&#10;2020 AFSR. 256,468. &#10;2021 AFSR. -.&#10;&#10;March 2021.&#10;Residential aged care. Average annualised payment.  0.   &#10;Other Daily Activities. 252,675.&#10;2019 AFSR. 221,923.&#10;2020 AFSR. 256,468. &#10;2021 AFSR. -.&#10;&#10;June 2021.&#10;Residential aged care. Average annualised payment.  1,943.   &#10;Other Daily Activities. 243,556.&#10;2019 AFSR. 221,923.&#10;2020 AFSR. 256,468. &#10;2021 AFSR. -.&#10;&#10;September 2021.&#10;Residential aged care. Average annualised payment.  -.   &#10;Other Daily Activities. -.&#10;2019 AFSR. 234,510.&#10;2020 AFSR. 269,217. &#10;2021 AFSR. 273,165.&#10;&#10;&#10;December 2021.&#10;Residential aged care. Average annualised payment. -.   &#10;Other Daily Activities. -.&#10;2019 AFSR. 234,510.&#10;2020 AFSR. 269,217. &#10;2021 AFSR. 273,165.&#10;&#10;March 2022.&#10;Residential aged care. Average annualised payment.  -.   &#10;Other Daily Activities. -.&#10;2019 AFSR. 234,510.&#10;2020 AFSR. 269,217. &#10;2021 AFSR. 273,165.&#10;&#10;June 2022.&#10;Residential aged care. Average annualised payment.  -.   &#10;Other Daily Activities. -.&#10;2019 AFSR. 234,510.&#10;2020 AFSR. 269,217. &#10;2021 AFSR. 273,165.&#10;&#10;September 2022.&#10;Residential aged care. Average annualised payment. -.   &#10;Other Daily Activities. -.&#10;2019 AFSR. 247,705.&#10;2020 AFSR. 280,716. &#10;2021 AFSR. 282,715.&#10;&#10;December 2022.&#10;Residential aged care. Average annualised payment.  -.   &#10;Other Daily Activities. -.&#10;2019 AFSR. 247,705.&#10;2020 AFSR. 280,716. &#10;2021 AFSR. 282,715.&#10;&#10;March 2023.&#10;Residential aged care. Average annualised payment.  -.   &#10;Other Daily Activities. -.&#10;2019 AFSR. 247,705.&#10;2020 AFSR. 280,716. &#10;2021 AFSR. 282,715.&#10;&#10;June 2023.&#10;Residential aged care. Average annualised payment.  -.   &#10;Other Daily Activities. -.&#10;2019 AFSR. 247,705.&#10;2020 AFSR. 280,716. &#10;2021 AFSR. 282,715.&#10;&#10;September 2023.&#10;Residential aged care. Average annualised payment.  -.   &#10;Other Daily Activities. -.&#10;2019 AFSR. 261,467.&#10;2020 AFSR. 293,814. &#10;2021 AFSR. 292,866.&#10;&#10;December 2023.&#10;Residential aged care. Average annualised payment.  -.   &#10;Other Daily Activities. -.&#10;2019 AFSR. 261,467.&#10;2020 AFSR. 293,814. &#10;2021 AFSR. 292,866.&#10;&#10;March 2024.&#10;Residential aged care. Average annualised payment.  -.   &#10;Other Daily Activities. -.&#10;2019 AFSR. 261,467.&#10;2020 AFSR. 293,814. &#10;2021 AFSR. 292,866.&#10;&#10;June 2024.&#10;Residential aged care. Average annualised payment. -.   &#10;Other Daily Activities. -.&#10;2019 AFSR. 261,467.&#10;2020 AFSR. 293,814. &#10;2021 AFSR. 292,866.&#10;&#10;September 2024.&#10;Residential aged care. Average annualised payment.  -.   &#10;Other Daily Activities. -.&#10;2019 AFSR. 274,764.&#10;2020 AFSR. 308,904. &#10;2021 AFSR. 303,633.&#10;&#10;December 2024.&#10;Residential aged care. Average annualised payment. -.   &#10;Other Daily Activities. -.&#10;2019 AFSR. 274,764.&#10;2020 AFSR. 308,904. &#10;2021 AFSR. 303,633.&#10;&#10;March 2025.&#10;Residential aged care. Average annualised payment.  -.   &#10;Other Daily Activities. -.&#10;2019 AFSR. 274,764.&#10;2020 AFSR. 308,904. &#10;2021 AFSR. 303,633.&#10;&#10;June 2025.&#10;Residential aged care. Average annualised payment. -.   &#10;Other Daily Activities. -.&#10;2019 AFSR. 274,764.&#10;2020 AFSR. 308,904. &#10;2021 AFSR. 30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eptember 2018.&#10;Residential aged care. Average annualised payment. 0.   &#10;Other Daily Activities. 9,665.&#10;2019 AFSR. -.&#10;2020 AFSR. -. &#10;2021 AFSR. -.&#10;   &#10;&#10;December 2018.&#10;Residential aged care. Average annualised payment. 0.   &#10;Other Daily Activities. 9,977.&#10;2019 AFSR. -.&#10;2020 AFSR. -. &#10;2021 AFSR. -.&#10;&#10;March 2019.&#10;Residential aged care. Average annualised payment. 0.   &#10;Other Daily Activities. 10,036.&#10;2019 AFSR. -.&#10;2020 AFSR. -. &#10;2021 AFSR. -.&#10;&#10;June 2019.&#10;Residential aged care. Average annualised payment. 0.   &#10;Other Daily Activities. 10,366.&#10;2019 AFSR. -.&#10;2020 AFSR. -. &#10;2021 AFSR. -.&#10;&#10;September 2019.&#10;Residential aged care. Average annualised payment. 1,681.   &#10;Other Daily Activities. 11,934.&#10;2019 AFSR. 14,102.&#10;2020 AFSR. -. &#10;2021 AFSR. -.&#10;&#10;December 2019.&#10;Residential aged care. Average annualised payment.  0.   &#10;Other Daily Activities. 12,567.&#10;2019 AFSR. 14,102.&#10;2020 AFSR. -. &#10;2021 AFSR. -.&#10;&#10;March 2020.&#10;Residential aged care. Average annualised payment. 0.   &#10;Other Daily Activities. 12,376.&#10;2019 AFSR. 14,102.&#10;2020 AFSR. -. &#10;2021 AFSR. -.&#10;&#10;June 2020.&#10;Residential aged care. Average annualised payment. 1,525.   &#10;Other Daily Activities. Average annualised payment. 12,566.&#10;2019 AFSR. 14,102.&#10;2020 AFSR. -. &#10;2021 AFSR. -.&#10;&#10;September 2020.&#10;Residential aged care. Average annualised payment. 1,092.   &#10;Other Daily Activities. 14,075.&#10;2019 AFSR. 14,538.&#10;2020 AFSR. 14,124. &#10;2021 AFSR. -.&#10;&#10;December 2020.&#10;Residential aged care. Average annualised payment. 151.   &#10;Other Daily Activities. 14,734.&#10;2019 AFSR. 14,538.&#10;2020 AFSR. 14,124. &#10;2021 AFSR. -.&#10;&#10;March 2021.&#10;Residential aged care. Average annualised payment.  0.   &#10;Other Daily Activities. 15,659.&#10;2019 AFSR. 14,538.&#10;2020 AFSR. 14,124. &#10;2021 AFSR. -.&#10;&#10;June 2021.&#10;Residential aged care. Average annualised payment. 2,920.   &#10;Other Daily Activities. 15,465.&#10;2019 AFSR. 14,538.&#10;2020 AFSR. 14,124. &#10;2021 AFSR. -.&#10;&#10;September 2021.&#10;Residential aged care. Average annualised payment. -.   &#10;Other Daily Activities. -.&#10;2019 AFSR. 14,850.&#10;2020 AFSR. 14,384. &#10;2021 AFSR. 18,583.&#10;&#10;&#10;December 2021.&#10;Residential aged care. Average annualised payment. -.   &#10;Other Daily Activities. -.&#10;2019 AFSR. 14,850.&#10;2020 AFSR. 14,384. &#10;2021 AFSR. 18,583.&#10;&#10;March 2022.&#10;Residential aged care.  Average annualised payment.  -.   &#10;Other Daily Activities. -.&#10;2019 AFSR. 14,850.&#10;2020 AFSR. 14,384. &#10;2021 AFSR. 18,583.&#10;&#10;June 2022.&#10;Residential aged care. Average annualised payment.  -.   &#10;Other Daily Activities. -.&#10;2019 AFSR. 14,850.&#10;2020 AFSR. 14,384. &#10;2021 AFSR. 18,583.&#10;&#10;September 2022.&#10;Residential aged care. Average annualised payment.  -.   &#10;Other Daily Activities. -.&#10;2019 AFSR. 15,008.&#10;2020 AFSR. 14,393. &#10;2021 AFSR. 19,464.&#10;&#10;December 2022.&#10;Residential aged care. Average annualised payment. -.   &#10;Other Daily Activities. -.&#10;2019 AFSR. 15,008.&#10;2020 AFSR. 14,393. &#10;2021 AFSR. 19,464.&#10;&#10;March 2023.&#10;Residential aged care. Average annualised payment. -.   &#10;Other Daily Activities. -.&#10;2019 AFSR. 15,008.&#10;2020 AFSR. 14,393. &#10;2021 AFSR. 19,464.&#10;&#10;June 2023.&#10;Residential aged care. Average annualised payment. -.   &#10;Other Daily Activities. -.&#10;2019 AFSR. 15,008.&#10;2020 AFSR. 14,393. &#10;2021 AFSR. 19,464.&#10;&#10;September 2023.&#10;Residential aged care. Average annualised payment.  -.   &#10;Other Daily Activities. -.&#10;2019 AFSR. 15,092.&#10;2020 AFSR. 14,583. &#10;2021 AFSR. 20,060.&#10;&#10;December 2023.&#10;Residential aged care. Average annualised payment. -.   &#10;Other Daily Activities. -.&#10;2019 AFSR. 15,092.&#10;2020 AFSR. 14,583. &#10;2021 AFSR. 20,060.&#10;&#10;March 2024.&#10;Residential aged care. Average annualised payment. -.   &#10;Other Daily Activities. -.&#10;2019 AFSR. 15,092.&#10;2020 AFSR. 14,583. &#10;2021 AFSR. 20,060.&#10;&#10;June 2024.&#10;Residential aged care. Average annualised payment.  -.   &#10;Other Daily Activities. -.&#10;2019 AFSR. 15,092.&#10;2020 AFSR. 14,583. &#10;2021 AFSR. 20,060.&#10;&#10;September 2024.&#10;Residential aged care. Average annualised payment. -.   &#10;Other Daily Activities. -.&#10;2019 AFSR. 15,110.&#10;2020 AFSR. 14,956. &#10;2021 AFSR. 20,348.&#10;&#10;December 2024.&#10;Residential aged care. Average annualised payment.  -.   &#10;Other Daily Activities. -.&#10;2019 AFSR. 15,110.&#10;2020 AFSR. 14,956. &#10;2021 AFSR. 20,348.&#10;&#10;March 2025.&#10;Residential aged care. Average annualised payment.  -.   &#10;Other Daily Activities. -.&#10;2019 AFSR. 15,110.&#10;2020 AFSR. 14,956. &#10;2021 AFSR. 20,348.&#10;&#10;June 2025.&#10;Residential aged care. Average annualised payment. -.   &#10;Other Daily Activities. -.&#10;2019 AFSR. 15,110.&#10;2020 AFSR. 14,956. &#10;2021 AFSR. 20,348.&#10;&#10;SIL participants&#10;Average annualised payment&#10;&#10;September 2018.&#10;Residential aged care. Average annualised payment. 0.   &#10;Other Daily Activities. 160,200.&#10;2019 AFSR. -.&#10;2020 AFSR. -. &#10;2021 AFSR. -.&#10;   &#10;&#10;December 2018.&#10;Residential aged care. Average annualised payment. 0.   &#10;Other Daily Activities. 160,276.&#10;2019 AFSR. -.&#10;2020 AFSR. -. &#10;2021 AFSR. -.&#10;&#10;March 2019.&#10;Residential aged care. Average annualised payment. 0.   &#10;Other Daily Activities. 176,438.&#10;2019 AFSR. -.&#10;2020 AFSR. -. &#10;2021 AFSR. -.&#10;&#10;June 2019.&#10;Residential aged care. Average annualised payment.  0.   &#10;Other Daily Activities. 185,726.&#10;2019 AFSR. -.&#10;2020 AFSR. -. &#10;2021 AFSR. -.&#10;&#10;September 2019.&#10;Residential aged care. Average annualised payment. 1,335.   &#10;Other Daily Activities. 201,720.&#10;2019 AFSR. 206,474.&#10;2020 AFSR. -. &#10;2021 AFSR. -.&#10;&#10;December 2019.&#10;Residential aged care. Average annualised payment.  0.   &#10;Other Daily Activities. 215,884.&#10;2019 AFSR. 206,474.&#10;2020 AFSR. -. &#10;2021 AFSR. -.&#10;&#10;March 2020.&#10;Residential aged care. Average annualised payment. 0.   &#10;Other Daily Activities. 230,391.&#10;2019 AFSR. 206,474.&#10;2020 AFSR. -. &#10;2021 AFSR. -.&#10;&#10;June 2020.&#10;Residential aged care. Average annualised payment.  999.   &#10;Other Daily Activities. 242,680.&#10;2019 AFSR. 206,474.&#10;2020 AFSR. -. &#10;2021 AFSR. -.&#10;&#10;September 2020.&#10;Residential aged care. Average annualised payment. 1,143.   &#10;Other Daily Activities. 248,674.&#10;2019 AFSR. 221,923.&#10;2020 AFSR. 256,468. &#10;2021 AFSR. -.&#10;&#10;December 2020.&#10;Residential aged care. Average annualised payment. 213.   &#10;Other Daily Activities. 236,073.&#10;2019 AFSR. 221,923.&#10;2020 AFSR. 256,468. &#10;2021 AFSR. -.&#10;&#10;March 2021.&#10;Residential aged care. Average annualised payment.  0.   &#10;Other Daily Activities. 252,675.&#10;2019 AFSR. 221,923.&#10;2020 AFSR. 256,468. &#10;2021 AFSR. -.&#10;&#10;June 2021.&#10;Residential aged care. Average annualised payment.  1,943.   &#10;Other Daily Activities. 243,556.&#10;2019 AFSR. 221,923.&#10;2020 AFSR. 256,468. &#10;2021 AFSR. -.&#10;&#10;September 2021.&#10;Residential aged care. Average annualised payment.  -.   &#10;Other Daily Activities. -.&#10;2019 AFSR. 234,510.&#10;2020 AFSR. 269,217. &#10;2021 AFSR. 273,165.&#10;&#10;&#10;December 2021.&#10;Residential aged care. Average annualised payment. -.   &#10;Other Daily Activities. -.&#10;2019 AFSR. 234,510.&#10;2020 AFSR. 269,217. &#10;2021 AFSR. 273,165.&#10;&#10;March 2022.&#10;Residential aged care. Average annualised payment.  -.   &#10;Other Daily Activities. -.&#10;2019 AFSR. 234,510.&#10;2020 AFSR. 269,217. &#10;2021 AFSR. 273,165.&#10;&#10;June 2022.&#10;Residential aged care. Average annualised payment.  -.   &#10;Other Daily Activities. -.&#10;2019 AFSR. 234,510.&#10;2020 AFSR. 269,217. &#10;2021 AFSR. 273,165.&#10;&#10;September 2022.&#10;Residential aged care. Average annualised payment. -.   &#10;Other Daily Activities. -.&#10;2019 AFSR. 247,705.&#10;2020 AFSR. 280,716. &#10;2021 AFSR. 282,715.&#10;&#10;December 2022.&#10;Residential aged care. Average annualised payment.  -.   &#10;Other Daily Activities. -.&#10;2019 AFSR. 247,705.&#10;2020 AFSR. 280,716. &#10;2021 AFSR. 282,715.&#10;&#10;March 2023.&#10;Residential aged care. Average annualised payment.  -.   &#10;Other Daily Activities. -.&#10;2019 AFSR. 247,705.&#10;2020 AFSR. 280,716. &#10;2021 AFSR. 282,715.&#10;&#10;June 2023.&#10;Residential aged care. Average annualised payment.  -.   &#10;Other Daily Activities. -.&#10;2019 AFSR. 247,705.&#10;2020 AFSR. 280,716. &#10;2021 AFSR. 282,715.&#10;&#10;September 2023.&#10;Residential aged care. Average annualised payment.  -.   &#10;Other Daily Activities. -.&#10;2019 AFSR. 261,467.&#10;2020 AFSR. 293,814. &#10;2021 AFSR. 292,866.&#10;&#10;December 2023.&#10;Residential aged care. Average annualised payment.  -.   &#10;Other Daily Activities. -.&#10;2019 AFSR. 261,467.&#10;2020 AFSR. 293,814. &#10;2021 AFSR. 292,866.&#10;&#10;March 2024.&#10;Residential aged care. Average annualised payment.  -.   &#10;Other Daily Activities. -.&#10;2019 AFSR. 261,467.&#10;2020 AFSR. 293,814. &#10;2021 AFSR. 292,866.&#10;&#10;June 2024.&#10;Residential aged care. Average annualised payment. -.   &#10;Other Daily Activities. -.&#10;2019 AFSR. 261,467.&#10;2020 AFSR. 293,814. &#10;2021 AFSR. 292,866.&#10;&#10;September 2024.&#10;Residential aged care. Average annualised payment.  -.   &#10;Other Daily Activities. -.&#10;2019 AFSR. 274,764.&#10;2020 AFSR. 308,904. &#10;2021 AFSR. 303,633.&#10;&#10;December 2024.&#10;Residential aged care. Average annualised payment. -.   &#10;Other Daily Activities. -.&#10;2019 AFSR. 274,764.&#10;2020 AFSR. 308,904. &#10;2021 AFSR. 303,633.&#10;&#10;March 2025.&#10;Residential aged care. Average annualised payment.  -.   &#10;Other Daily Activities. -.&#10;2019 AFSR. 274,764.&#10;2020 AFSR. 308,904. &#10;2021 AFSR. 303,633.&#10;&#10;June 2025.&#10;Residential aged care. Average annualised payment. -.   &#10;Other Daily Activities. -.&#10;2019 AFSR. 274,764.&#10;2020 AFSR. 308,904. &#10;2021 AFSR. 303,633."/>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608800" cy="2192400"/>
                    </a:xfrm>
                    <a:prstGeom prst="rect">
                      <a:avLst/>
                    </a:prstGeom>
                    <a:noFill/>
                    <a:ln>
                      <a:noFill/>
                    </a:ln>
                  </pic:spPr>
                </pic:pic>
              </a:graphicData>
            </a:graphic>
          </wp:inline>
        </w:drawing>
      </w:r>
      <w:r w:rsidR="00B44828" w:rsidRPr="00161309" w:rsidDel="00C2655B">
        <w:t xml:space="preserve"> </w:t>
      </w:r>
    </w:p>
    <w:p w14:paraId="12757D41" w14:textId="3BF87611" w:rsidR="00B44828" w:rsidRDefault="00B44828" w:rsidP="009724F2">
      <w:pPr>
        <w:spacing w:before="0"/>
      </w:pPr>
      <w:r>
        <w:fldChar w:fldCharType="begin"/>
      </w:r>
      <w:r>
        <w:instrText xml:space="preserve"> REF _Ref86950871 \h </w:instrText>
      </w:r>
      <w:r>
        <w:fldChar w:fldCharType="separate"/>
      </w:r>
      <w:r w:rsidR="00E6217F">
        <w:t xml:space="preserve">Figure </w:t>
      </w:r>
      <w:r w:rsidR="00E6217F">
        <w:rPr>
          <w:noProof/>
        </w:rPr>
        <w:t>4</w:t>
      </w:r>
      <w:r w:rsidR="00E6217F">
        <w:t>.</w:t>
      </w:r>
      <w:r w:rsidR="00E6217F">
        <w:rPr>
          <w:noProof/>
        </w:rPr>
        <w:t>8</w:t>
      </w:r>
      <w:r>
        <w:fldChar w:fldCharType="end"/>
      </w:r>
      <w:r>
        <w:t xml:space="preserve"> shows </w:t>
      </w:r>
      <w:r w:rsidR="00636FA6">
        <w:t>that average</w:t>
      </w:r>
      <w:r>
        <w:t xml:space="preserve"> annualised payments for non-SIL participants have been increasing over time. In 2019-20 and 2020-21, average payments increased by over 30% and 20% respectively. As discussed in </w:t>
      </w:r>
      <w:r w:rsidR="0000781D">
        <w:t>S</w:t>
      </w:r>
      <w:r>
        <w:t>ection</w:t>
      </w:r>
      <w:r w:rsidR="0000781D">
        <w:t xml:space="preserve"> </w:t>
      </w:r>
      <w:r w:rsidR="0000781D">
        <w:fldChar w:fldCharType="begin"/>
      </w:r>
      <w:r w:rsidR="0000781D">
        <w:instrText xml:space="preserve"> REF _Ref87543774 \r \h </w:instrText>
      </w:r>
      <w:r w:rsidR="0000781D">
        <w:fldChar w:fldCharType="separate"/>
      </w:r>
      <w:r w:rsidR="00E6217F">
        <w:t>3.5</w:t>
      </w:r>
      <w:r w:rsidR="0000781D">
        <w:fldChar w:fldCharType="end"/>
      </w:r>
      <w:r>
        <w:t xml:space="preserve">, cost escalation during this period was driven by higher prices, increased volume and a wider range of supports being provided. </w:t>
      </w:r>
    </w:p>
    <w:p w14:paraId="4052F43D" w14:textId="21516219" w:rsidR="00B44828" w:rsidRDefault="00B44828" w:rsidP="00B44828">
      <w:bookmarkStart w:id="155" w:name="_Hlk87513843"/>
      <w:bookmarkStart w:id="156" w:name="_Hlk87513818"/>
      <w:r>
        <w:t>For non-SIL costs, the 20</w:t>
      </w:r>
      <w:r w:rsidR="00D320CF">
        <w:t>18-</w:t>
      </w:r>
      <w:r>
        <w:t>19 and 20</w:t>
      </w:r>
      <w:r w:rsidR="00D320CF">
        <w:t>19-</w:t>
      </w:r>
      <w:r>
        <w:t xml:space="preserve">20 AFSR assumptions were broadly in line with observed experience during the three quarters to March 2021, which had minimal RAC payments. </w:t>
      </w:r>
      <w:r w:rsidRPr="00752A47">
        <w:t>The spike in</w:t>
      </w:r>
      <w:r w:rsidR="0000781D">
        <w:t xml:space="preserve"> the</w:t>
      </w:r>
      <w:r w:rsidRPr="00752A47">
        <w:t xml:space="preserve"> June 2021 quarter was due to </w:t>
      </w:r>
      <w:r>
        <w:t>payments relating to RAC supports</w:t>
      </w:r>
      <w:r>
        <w:rPr>
          <w:rStyle w:val="FootnoteReference"/>
        </w:rPr>
        <w:footnoteReference w:id="10"/>
      </w:r>
      <w:r>
        <w:t xml:space="preserve">, as shown by the dark blue component of the stacked bar. Therefore, over the course of the year, average </w:t>
      </w:r>
      <w:bookmarkEnd w:id="155"/>
      <w:r>
        <w:t xml:space="preserve">Daily Activity payments per participant were </w:t>
      </w:r>
      <w:r w:rsidRPr="006A6644">
        <w:t>nearly 14% higher</w:t>
      </w:r>
      <w:r>
        <w:t xml:space="preserve"> than was projected from the 20</w:t>
      </w:r>
      <w:r w:rsidR="00D320CF">
        <w:t>19-</w:t>
      </w:r>
      <w:r>
        <w:t xml:space="preserve">20 AFSR. </w:t>
      </w:r>
      <w:bookmarkEnd w:id="156"/>
      <w:r>
        <w:t>The 20</w:t>
      </w:r>
      <w:r w:rsidR="00D320CF">
        <w:t>20-</w:t>
      </w:r>
      <w:r>
        <w:t>21 AFSR assumes that average payments will further increase from the most recent experience over the next four years to 2024-25, at an average rate of around 6% p.a.</w:t>
      </w:r>
    </w:p>
    <w:p w14:paraId="4970A8E4" w14:textId="7DA1B9D9" w:rsidR="00B44828" w:rsidRPr="00555120" w:rsidRDefault="00B44828" w:rsidP="00B44828">
      <w:r>
        <w:t xml:space="preserve">For SIL costs, average annualised payments increased by approximately 30% in 2019-20 and a further 10% in 2020-21. Unlike non-SIL costs, average costs were relatively flat during 2020-21 and it was not distorted by RAC related payments. Average payments have been consistently higher than was assumed from the </w:t>
      </w:r>
      <w:r w:rsidRPr="00161309">
        <w:t>201</w:t>
      </w:r>
      <w:r w:rsidR="00D320CF">
        <w:t>8-1</w:t>
      </w:r>
      <w:r w:rsidRPr="00161309">
        <w:t xml:space="preserve">9 AFSR </w:t>
      </w:r>
      <w:r>
        <w:t>but</w:t>
      </w:r>
      <w:r w:rsidRPr="00161309">
        <w:t xml:space="preserve"> </w:t>
      </w:r>
      <w:r>
        <w:t xml:space="preserve">were </w:t>
      </w:r>
      <w:r w:rsidRPr="00161309">
        <w:t xml:space="preserve">similar to </w:t>
      </w:r>
      <w:r>
        <w:t xml:space="preserve">the </w:t>
      </w:r>
      <w:r w:rsidRPr="00161309">
        <w:t>20</w:t>
      </w:r>
      <w:r w:rsidR="00D320CF">
        <w:t>19-</w:t>
      </w:r>
      <w:r w:rsidRPr="00161309">
        <w:t>20 AFSR</w:t>
      </w:r>
      <w:r>
        <w:t xml:space="preserve"> projection</w:t>
      </w:r>
      <w:r w:rsidRPr="00161309">
        <w:t xml:space="preserve">. </w:t>
      </w:r>
      <w:r>
        <w:t xml:space="preserve">The </w:t>
      </w:r>
      <w:r w:rsidRPr="00161309">
        <w:t>20</w:t>
      </w:r>
      <w:r w:rsidR="00D320CF">
        <w:t>20-</w:t>
      </w:r>
      <w:r w:rsidRPr="00161309">
        <w:t>21</w:t>
      </w:r>
      <w:r>
        <w:t xml:space="preserve"> AFSR assumptions are in aggregate close to last year’s and implies growth of about 5% p.a. to 2024-25.</w:t>
      </w:r>
    </w:p>
    <w:p w14:paraId="020C1FC7" w14:textId="64971000" w:rsidR="00B44828" w:rsidRDefault="00B44828" w:rsidP="00793029">
      <w:pPr>
        <w:pStyle w:val="NNheading4"/>
        <w:spacing w:before="180"/>
      </w:pPr>
      <w:r>
        <w:t>Other Core services</w:t>
      </w:r>
    </w:p>
    <w:p w14:paraId="262BCCD1" w14:textId="4007CA1D" w:rsidR="00B44828" w:rsidRPr="00A972F9" w:rsidRDefault="00B44828" w:rsidP="00B44828">
      <w:r>
        <w:t xml:space="preserve">Other Core services (i.e. core services excluding daily activities) were 22% of payments during 2020-21. </w:t>
      </w:r>
      <w:r>
        <w:fldChar w:fldCharType="begin"/>
      </w:r>
      <w:r>
        <w:instrText xml:space="preserve"> REF _Ref87434302 \h </w:instrText>
      </w:r>
      <w:r>
        <w:fldChar w:fldCharType="separate"/>
      </w:r>
      <w:r w:rsidR="00E6217F">
        <w:t xml:space="preserve">Figure </w:t>
      </w:r>
      <w:r w:rsidR="00E6217F">
        <w:rPr>
          <w:noProof/>
        </w:rPr>
        <w:t>4</w:t>
      </w:r>
      <w:r w:rsidR="00E6217F">
        <w:t>.</w:t>
      </w:r>
      <w:r w:rsidR="00E6217F">
        <w:rPr>
          <w:noProof/>
        </w:rPr>
        <w:t>9</w:t>
      </w:r>
      <w:r>
        <w:fldChar w:fldCharType="end"/>
      </w:r>
      <w:r>
        <w:t xml:space="preserve"> shows average annualised payments for other Core services for active participants over time.</w:t>
      </w:r>
    </w:p>
    <w:p w14:paraId="795D3841" w14:textId="123FA2E4" w:rsidR="00B44828" w:rsidRPr="003804F0" w:rsidRDefault="00B44828" w:rsidP="00793029">
      <w:pPr>
        <w:pStyle w:val="Caption"/>
        <w:spacing w:before="100" w:after="0"/>
      </w:pPr>
      <w:bookmarkStart w:id="157" w:name="_Ref87434302"/>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9</w:t>
      </w:r>
      <w:r>
        <w:fldChar w:fldCharType="end"/>
      </w:r>
      <w:bookmarkEnd w:id="157"/>
      <w:r>
        <w:t xml:space="preserve"> – Average annualised payments other Core services for active participants over time </w:t>
      </w:r>
    </w:p>
    <w:p w14:paraId="08440DA7" w14:textId="77777777" w:rsidR="00B44828" w:rsidRDefault="00B44828" w:rsidP="00B44828">
      <w:pPr>
        <w:spacing w:before="0" w:after="0"/>
      </w:pPr>
      <w:r w:rsidRPr="00F95D2B">
        <w:rPr>
          <w:noProof/>
        </w:rPr>
        <w:drawing>
          <wp:inline distT="0" distB="0" distL="0" distR="0" wp14:anchorId="3C00E33D" wp14:editId="19C322DF">
            <wp:extent cx="5810250" cy="2063519"/>
            <wp:effectExtent l="0" t="0" r="0" b="0"/>
            <wp:docPr id="31" name="Picture 31" descr="Non-SIL participants&#10;&#10;September 2018.&#10;Average annualised payment. 7,296.   &#10;2019 AFSR. -.&#10;2020 AFSR. -. &#10;2021 AFSR. -.&#10;   &#10;&#10;December 2018.&#10;Average annualised payment. 7,679.&#10;2019 AFSR. -.&#10;2020 AFSR. -. &#10;2021 AFSR. -.&#10;&#10;March 2019.&#10;Average annualised payment. 7,264.&#10;2019 AFSR. -.&#10;2020 AFSR. -. &#10;2021 AFSR. -.&#10;&#10;June 2019.&#10;Average annualised payment. 7,799.&#10;2019 AFSR. -.&#10;2020 AFSR. -. &#10;2021 AFSR. -.&#10;&#10;September 2019.&#10;Average annualised payment. 8,967.&#10;2019 AFSR. 10,627.&#10;2020 AFSR. -. &#10;2021 AFSR. -.&#10;&#10;December 2019.&#10;Average annualised payment. 9,270.&#10;2019 AFSR. 10,627.&#10;2020 AFSR. -. &#10;2021 AFSR. -.&#10;&#10;March 2020.&#10;Average annualised payment. 8,999.&#10;2019 AFSR. 10,627.&#10;2020 AFSR. -. &#10;2021 AFSR. -.&#10;&#10;June 2020.&#10;Average annualised payment. 7,588.&#10;2019 AFSR. 10,627.&#10;2020 AFSR. -. &#10;2021 AFSR. -.&#10;&#10;September 2020.&#10;Average annualised payment. 8,800.&#10;2019 AFSR. 11,130.&#10;2020 AFSR. 10,154. &#10;2021 AFSR. -.&#10;&#10;December 2020.&#10;Average annualised payment. 9,120.&#10;2019 AFSR. 11,130.&#10;2020 AFSR. 10,154. &#10;2021 AFSR. -.&#10;&#10;March 2021.&#10;Average annualised payment. 9,659.&#10;2019 AFSR. 11,130.&#10;2020 AFSR. 10,154. &#10;2021 AFSR. -.&#10;&#10;June 2021.&#10;Average annualised payment. 9,877.&#10;2019 AFSR. 11,130.&#10;2020 AFSR. 10,154. &#10;2021 AFSR. -.&#10;&#10;September 2021.&#10;Average annualised payment. -.&#10;2019 AFSR. 11,431.&#10;2020 AFSR. 10,634. &#10;2021 AFSR. 11,736.&#10;&#10;&#10;December 2021.&#10;Average annualised payment. -.&#10;2019 AFSR. 11,431.&#10;2020 AFSR. 10,634. &#10;2021 AFSR. 11,736.&#10;&#10;March 2022.&#10;Average annualised payment. -.&#10;2019 AFSR. 11,431.&#10;2020 AFSR. 10,634. &#10;2021 AFSR. 11,736.&#10;&#10;June 2022.&#10;Average annualised payment. -.&#10;2019 AFSR. 11,431.&#10;2020 AFSR. 10,634. &#10;2021 AFSR. 11,736.&#10;&#10;September 2022.&#10;Average annualised payment. -.&#10;2019 AFSR. 11,674.&#10;2020 AFSR. 10,853. &#10;2021 AFSR. 12,472.&#10;&#10;December 2022.&#10;Average annualised payment. -.&#10;2019 AFSR. 11,674.&#10;2020 AFSR. 10,853. &#10;2021 AFSR. 12,472.&#10;&#10;March 2023.&#10;Average annualised payment. -.&#10;2019 AFSR. 11,674.&#10;2020 AFSR. 10,853. &#10;2021 AFSR. 12,472.&#10;&#10;June 2023.&#10;Average annualised payment. -.&#10;2019 AFSR. 11,674.&#10;2020 AFSR. 10,853. &#10;2021 AFSR. 12,472.&#10;&#10;September 2023.&#10;Average annualised payment. -.&#10;2019 AFSR. 11,866.&#10;2020 AFSR. 11,206. &#10;2021 AFSR. 13,068.&#10;&#10;December 2023.&#10;Average annualised payment. -.&#10;2019 AFSR. 11,866.&#10;2020 AFSR. 11,206. &#10;2021 AFSR. 13,068.&#10;&#10;March 2024.&#10;Average annualised payment. -.&#10;2019 AFSR. 11,866.&#10;2020 AFSR. 11,206. &#10;2021 AFSR. 13,068.&#10;&#10;June 2024.&#10;Average annualised payment. -.&#10;2019 AFSR. 11,866.&#10;2020 AFSR. 11,206. &#10;2021 AFSR. 13,068.&#10;&#10;September 2024.&#10;Average annualised payment. -.&#10;2019 AFSR. 11,993.&#10;2020 AFSR. 11,705. &#10;2021 AFSR. 13,477.&#10;&#10;December 2024.&#10;Average annualised payment. -.&#10;2019 AFSR. 11,993.&#10;2020 AFSR. 11,705. &#10;2021 AFSR. 13,477.&#10;&#10;March 2025.&#10;Average annualised payment. -.&#10;2019 AFSR. 11,993.&#10;2020 AFSR. 11,705. &#10;2021 AFSR. 13,477.&#10;&#10;June 2025.&#10;Average annualised payment. -.&#10;2019 AFSR. 11,993.&#10;2020 AFSR. 11,705. &#10;2021 AFSR. 13,477.&#10;&#10;SIL participants&#10;&#10;September 2018.&#10;Average annualised payment. 36,825.   &#10;2019 AFSR. -.&#10;2020 AFSR. -. &#10;2021 AFSR. -.&#10;   &#10;&#10;December 2018.&#10;Average annualised payment. 36,817.&#10;2019 AFSR. -.&#10;2020 AFSR. -. &#10;2021 AFSR. -.&#10;&#10;March 2019.&#10;Average annualised payment. 35,136.&#10;2019 AFSR. -.&#10;2020 AFSR. -. &#10;2021 AFSR. -.&#10;&#10;June 2019.&#10;Average annualised payment. 37,326.&#10;2019 AFSR. -.&#10;2020 AFSR. -. &#10;2021 AFSR. -.&#10;&#10;September 2019.&#10;Average annualised payment. 44,103.&#10;2019 AFSR. 38,440.&#10;2020 AFSR. -. &#10;2021 AFSR. -.&#10;&#10;December 2019.&#10;Average annualised payment. 49,464.&#10;2019 AFSR. 38,440.&#10;2020 AFSR. -. &#10;2021 AFSR. -.&#10;&#10;March 2020.&#10;Average annualised payment. 46,825.&#10;2019 AFSR. 38,440.&#10;2020 AFSR. -. &#10;2021 AFSR. -.&#10;&#10;June 2020.&#10;Average annualised payment. 41,211.&#10;2019 AFSR. 38,440.&#10;2020 AFSR. -. &#10;2021 AFSR. -.&#10;&#10;September 2020.&#10;Average annualised payment. 43,929.&#10;2019 AFSR. 39,519.&#10;2020 AFSR. 40,124. &#10;2021 AFSR. -.&#10;&#10;December 2020.&#10;Average annualised payment. 45,524.&#10;2019 AFSR. 39,519.&#10;2020 AFSR. 40,124. &#10;2021 AFSR. -.&#10;&#10;March 2021.&#10;Average annualised payment. 47,856.&#10;2019 AFSR. 39,519.&#10;2020 AFSR. 40,124. &#10;2021 AFSR. -.&#10;&#10;June 2021.&#10;Average annualised payment. 47,803.&#10;2019 AFSR. 39,519.&#10;2020 AFSR. 40,124. &#10;2021 AFSR. -.&#10;&#10;September 2021.&#10;Average annualised payment. -.&#10;2019 AFSR. 40,628.&#10;2020 AFSR. 43,061. &#10;2021 AFSR. 44,612.&#10;&#10;&#10;December 2021.&#10;Average annualised payment. -.&#10;2019 AFSR. 40,628.&#10;2020 AFSR. 43,061. &#10;2021 AFSR. 44,612.&#10;&#10;March 2022.&#10;Average annualised payment. -.&#10;2019 AFSR. 40,628.&#10;2020 AFSR. 43,061. &#10;2021 AFSR. 44,612.&#10;&#10;June 2022.&#10;Average annualised payment. -.&#10;2019 AFSR. 40,628.&#10;2020 AFSR. 43,061. &#10;2021 AFSR. 44,612.&#10;&#10;September 2022.&#10;Average annualised payment. -.&#10;2019 AFSR. 41,778.&#10;2020 AFSR. 44,540. &#10;2021 AFSR. 45,727.&#10;&#10;December 2022.&#10;Average annualised payment. -.&#10;2019 AFSR. 41,778.&#10;2020 AFSR. 44,540. &#10;2021 AFSR. 45,727.&#10;&#10;March 2023.&#10;Average annualised payment. -.&#10;2019 AFSR. 41,778.&#10;2020 AFSR. 44,540. &#10;2021 AFSR. 45,727.&#10;&#10;June 2023.&#10;Average annualised payment. -.&#10;2019 AFSR. 41,778.&#10;2020 AFSR. 44,540. &#10;2021 AFSR. 45,727.&#10;&#10;September 2023.&#10;Average annualised payment. -.&#10;2019 AFSR. 42,929.&#10;2020 AFSR. 46,241. &#10;2021 AFSR. 46,920.&#10;&#10;December 2023.&#10;Average annualised payment. -.&#10;2019 AFSR. 42,929.&#10;2020 AFSR. 46,241. &#10;2021 AFSR. 46,920.&#10;&#10;March 2024.&#10;Average annualised payment. -.&#10;2019 AFSR. 42,929.&#10;2020 AFSR. 46,241. &#10;2021 AFSR. 46,920.&#10;&#10;June 2024.&#10;Average annualised payment. -.&#10;2019 AFSR. 42,929.&#10;2020 AFSR. 46,241. &#10;2021 AFSR. 46,920.&#10;&#10;September 2024.&#10;Average annualised payment. -.&#10;2019 AFSR. 43,907.&#10;2020 AFSR. 48,214. &#10;2021 AFSR. 48,207.&#10;&#10;December 2024.&#10;Average annualised payment. -.&#10;2019 AFSR. 43,907.&#10;2020 AFSR. 48,214. &#10;2021 AFSR. 48,207.&#10;&#10;March 2025.&#10;Average annualised payment. -.&#10;2019 AFSR. 43,907.&#10;2020 AFSR. 48,214. &#10;2021 AFSR. 48,207.&#10;&#10;June 2025.&#10;Average annualised payment. -.&#10;2019 AFSR. 43,907.&#10;2020 AFSR. 48,214. &#10;2021 AFSR. 4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Non-SIL participants&#10;&#10;September 2018.&#10;Average annualised payment. 7,296.   &#10;2019 AFSR. -.&#10;2020 AFSR. -. &#10;2021 AFSR. -.&#10;   &#10;&#10;December 2018.&#10;Average annualised payment. 7,679.&#10;2019 AFSR. -.&#10;2020 AFSR. -. &#10;2021 AFSR. -.&#10;&#10;March 2019.&#10;Average annualised payment. 7,264.&#10;2019 AFSR. -.&#10;2020 AFSR. -. &#10;2021 AFSR. -.&#10;&#10;June 2019.&#10;Average annualised payment. 7,799.&#10;2019 AFSR. -.&#10;2020 AFSR. -. &#10;2021 AFSR. -.&#10;&#10;September 2019.&#10;Average annualised payment. 8,967.&#10;2019 AFSR. 10,627.&#10;2020 AFSR. -. &#10;2021 AFSR. -.&#10;&#10;December 2019.&#10;Average annualised payment. 9,270.&#10;2019 AFSR. 10,627.&#10;2020 AFSR. -. &#10;2021 AFSR. -.&#10;&#10;March 2020.&#10;Average annualised payment. 8,999.&#10;2019 AFSR. 10,627.&#10;2020 AFSR. -. &#10;2021 AFSR. -.&#10;&#10;June 2020.&#10;Average annualised payment. 7,588.&#10;2019 AFSR. 10,627.&#10;2020 AFSR. -. &#10;2021 AFSR. -.&#10;&#10;September 2020.&#10;Average annualised payment. 8,800.&#10;2019 AFSR. 11,130.&#10;2020 AFSR. 10,154. &#10;2021 AFSR. -.&#10;&#10;December 2020.&#10;Average annualised payment. 9,120.&#10;2019 AFSR. 11,130.&#10;2020 AFSR. 10,154. &#10;2021 AFSR. -.&#10;&#10;March 2021.&#10;Average annualised payment. 9,659.&#10;2019 AFSR. 11,130.&#10;2020 AFSR. 10,154. &#10;2021 AFSR. -.&#10;&#10;June 2021.&#10;Average annualised payment. 9,877.&#10;2019 AFSR. 11,130.&#10;2020 AFSR. 10,154. &#10;2021 AFSR. -.&#10;&#10;September 2021.&#10;Average annualised payment. -.&#10;2019 AFSR. 11,431.&#10;2020 AFSR. 10,634. &#10;2021 AFSR. 11,736.&#10;&#10;&#10;December 2021.&#10;Average annualised payment. -.&#10;2019 AFSR. 11,431.&#10;2020 AFSR. 10,634. &#10;2021 AFSR. 11,736.&#10;&#10;March 2022.&#10;Average annualised payment. -.&#10;2019 AFSR. 11,431.&#10;2020 AFSR. 10,634. &#10;2021 AFSR. 11,736.&#10;&#10;June 2022.&#10;Average annualised payment. -.&#10;2019 AFSR. 11,431.&#10;2020 AFSR. 10,634. &#10;2021 AFSR. 11,736.&#10;&#10;September 2022.&#10;Average annualised payment. -.&#10;2019 AFSR. 11,674.&#10;2020 AFSR. 10,853. &#10;2021 AFSR. 12,472.&#10;&#10;December 2022.&#10;Average annualised payment. -.&#10;2019 AFSR. 11,674.&#10;2020 AFSR. 10,853. &#10;2021 AFSR. 12,472.&#10;&#10;March 2023.&#10;Average annualised payment. -.&#10;2019 AFSR. 11,674.&#10;2020 AFSR. 10,853. &#10;2021 AFSR. 12,472.&#10;&#10;June 2023.&#10;Average annualised payment. -.&#10;2019 AFSR. 11,674.&#10;2020 AFSR. 10,853. &#10;2021 AFSR. 12,472.&#10;&#10;September 2023.&#10;Average annualised payment. -.&#10;2019 AFSR. 11,866.&#10;2020 AFSR. 11,206. &#10;2021 AFSR. 13,068.&#10;&#10;December 2023.&#10;Average annualised payment. -.&#10;2019 AFSR. 11,866.&#10;2020 AFSR. 11,206. &#10;2021 AFSR. 13,068.&#10;&#10;March 2024.&#10;Average annualised payment. -.&#10;2019 AFSR. 11,866.&#10;2020 AFSR. 11,206. &#10;2021 AFSR. 13,068.&#10;&#10;June 2024.&#10;Average annualised payment. -.&#10;2019 AFSR. 11,866.&#10;2020 AFSR. 11,206. &#10;2021 AFSR. 13,068.&#10;&#10;September 2024.&#10;Average annualised payment. -.&#10;2019 AFSR. 11,993.&#10;2020 AFSR. 11,705. &#10;2021 AFSR. 13,477.&#10;&#10;December 2024.&#10;Average annualised payment. -.&#10;2019 AFSR. 11,993.&#10;2020 AFSR. 11,705. &#10;2021 AFSR. 13,477.&#10;&#10;March 2025.&#10;Average annualised payment. -.&#10;2019 AFSR. 11,993.&#10;2020 AFSR. 11,705. &#10;2021 AFSR. 13,477.&#10;&#10;June 2025.&#10;Average annualised payment. -.&#10;2019 AFSR. 11,993.&#10;2020 AFSR. 11,705. &#10;2021 AFSR. 13,477.&#10;&#10;SIL participants&#10;&#10;September 2018.&#10;Average annualised payment. 36,825.   &#10;2019 AFSR. -.&#10;2020 AFSR. -. &#10;2021 AFSR. -.&#10;   &#10;&#10;December 2018.&#10;Average annualised payment. 36,817.&#10;2019 AFSR. -.&#10;2020 AFSR. -. &#10;2021 AFSR. -.&#10;&#10;March 2019.&#10;Average annualised payment. 35,136.&#10;2019 AFSR. -.&#10;2020 AFSR. -. &#10;2021 AFSR. -.&#10;&#10;June 2019.&#10;Average annualised payment. 37,326.&#10;2019 AFSR. -.&#10;2020 AFSR. -. &#10;2021 AFSR. -.&#10;&#10;September 2019.&#10;Average annualised payment. 44,103.&#10;2019 AFSR. 38,440.&#10;2020 AFSR. -. &#10;2021 AFSR. -.&#10;&#10;December 2019.&#10;Average annualised payment. 49,464.&#10;2019 AFSR. 38,440.&#10;2020 AFSR. -. &#10;2021 AFSR. -.&#10;&#10;March 2020.&#10;Average annualised payment. 46,825.&#10;2019 AFSR. 38,440.&#10;2020 AFSR. -. &#10;2021 AFSR. -.&#10;&#10;June 2020.&#10;Average annualised payment. 41,211.&#10;2019 AFSR. 38,440.&#10;2020 AFSR. -. &#10;2021 AFSR. -.&#10;&#10;September 2020.&#10;Average annualised payment. 43,929.&#10;2019 AFSR. 39,519.&#10;2020 AFSR. 40,124. &#10;2021 AFSR. -.&#10;&#10;December 2020.&#10;Average annualised payment. 45,524.&#10;2019 AFSR. 39,519.&#10;2020 AFSR. 40,124. &#10;2021 AFSR. -.&#10;&#10;March 2021.&#10;Average annualised payment. 47,856.&#10;2019 AFSR. 39,519.&#10;2020 AFSR. 40,124. &#10;2021 AFSR. -.&#10;&#10;June 2021.&#10;Average annualised payment. 47,803.&#10;2019 AFSR. 39,519.&#10;2020 AFSR. 40,124. &#10;2021 AFSR. -.&#10;&#10;September 2021.&#10;Average annualised payment. -.&#10;2019 AFSR. 40,628.&#10;2020 AFSR. 43,061. &#10;2021 AFSR. 44,612.&#10;&#10;&#10;December 2021.&#10;Average annualised payment. -.&#10;2019 AFSR. 40,628.&#10;2020 AFSR. 43,061. &#10;2021 AFSR. 44,612.&#10;&#10;March 2022.&#10;Average annualised payment. -.&#10;2019 AFSR. 40,628.&#10;2020 AFSR. 43,061. &#10;2021 AFSR. 44,612.&#10;&#10;June 2022.&#10;Average annualised payment. -.&#10;2019 AFSR. 40,628.&#10;2020 AFSR. 43,061. &#10;2021 AFSR. 44,612.&#10;&#10;September 2022.&#10;Average annualised payment. -.&#10;2019 AFSR. 41,778.&#10;2020 AFSR. 44,540. &#10;2021 AFSR. 45,727.&#10;&#10;December 2022.&#10;Average annualised payment. -.&#10;2019 AFSR. 41,778.&#10;2020 AFSR. 44,540. &#10;2021 AFSR. 45,727.&#10;&#10;March 2023.&#10;Average annualised payment. -.&#10;2019 AFSR. 41,778.&#10;2020 AFSR. 44,540. &#10;2021 AFSR. 45,727.&#10;&#10;June 2023.&#10;Average annualised payment. -.&#10;2019 AFSR. 41,778.&#10;2020 AFSR. 44,540. &#10;2021 AFSR. 45,727.&#10;&#10;September 2023.&#10;Average annualised payment. -.&#10;2019 AFSR. 42,929.&#10;2020 AFSR. 46,241. &#10;2021 AFSR. 46,920.&#10;&#10;December 2023.&#10;Average annualised payment. -.&#10;2019 AFSR. 42,929.&#10;2020 AFSR. 46,241. &#10;2021 AFSR. 46,920.&#10;&#10;March 2024.&#10;Average annualised payment. -.&#10;2019 AFSR. 42,929.&#10;2020 AFSR. 46,241. &#10;2021 AFSR. 46,920.&#10;&#10;June 2024.&#10;Average annualised payment. -.&#10;2019 AFSR. 42,929.&#10;2020 AFSR. 46,241. &#10;2021 AFSR. 46,920.&#10;&#10;September 2024.&#10;Average annualised payment. -.&#10;2019 AFSR. 43,907.&#10;2020 AFSR. 48,214. &#10;2021 AFSR. 48,207.&#10;&#10;December 2024.&#10;Average annualised payment. -.&#10;2019 AFSR. 43,907.&#10;2020 AFSR. 48,214. &#10;2021 AFSR. 48,207.&#10;&#10;March 2025.&#10;Average annualised payment. -.&#10;2019 AFSR. 43,907.&#10;2020 AFSR. 48,214. &#10;2021 AFSR. 48,207.&#10;&#10;June 2025.&#10;Average annualised payment. -.&#10;2019 AFSR. 43,907.&#10;2020 AFSR. 48,214. &#10;2021 AFSR. 48,207."/>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5816787" cy="2065840"/>
                    </a:xfrm>
                    <a:prstGeom prst="rect">
                      <a:avLst/>
                    </a:prstGeom>
                    <a:noFill/>
                    <a:ln>
                      <a:noFill/>
                    </a:ln>
                  </pic:spPr>
                </pic:pic>
              </a:graphicData>
            </a:graphic>
          </wp:inline>
        </w:drawing>
      </w:r>
    </w:p>
    <w:p w14:paraId="35CC72D8" w14:textId="4569E935" w:rsidR="00B44828" w:rsidRPr="008F5627" w:rsidRDefault="00B44828" w:rsidP="00B44828">
      <w:pPr>
        <w:spacing w:before="0" w:after="0"/>
      </w:pPr>
      <w:r w:rsidRPr="008F5627">
        <w:t>Average annualised payments for other Core services</w:t>
      </w:r>
      <w:r>
        <w:t xml:space="preserve"> have been increasing steadily </w:t>
      </w:r>
      <w:r w:rsidRPr="008F5627">
        <w:t xml:space="preserve">over time for both non-SIL and SIL. For non-SIL participants, both </w:t>
      </w:r>
      <w:r>
        <w:t xml:space="preserve">the </w:t>
      </w:r>
      <w:r w:rsidRPr="008F5627">
        <w:t>201</w:t>
      </w:r>
      <w:r w:rsidR="00D320CF">
        <w:t>8-1</w:t>
      </w:r>
      <w:r w:rsidRPr="008F5627">
        <w:t xml:space="preserve">9 and </w:t>
      </w:r>
      <w:r w:rsidR="00D320CF">
        <w:t>2019-20 AFSR</w:t>
      </w:r>
      <w:r w:rsidRPr="008F5627">
        <w:t xml:space="preserve">s overestimated average </w:t>
      </w:r>
      <w:r w:rsidR="00636FA6" w:rsidRPr="008F5627">
        <w:t>payment</w:t>
      </w:r>
      <w:r w:rsidR="00636FA6">
        <w:t>s and</w:t>
      </w:r>
      <w:r>
        <w:t xml:space="preserve"> the </w:t>
      </w:r>
      <w:r w:rsidRPr="008F5627">
        <w:t>20</w:t>
      </w:r>
      <w:r w:rsidR="00243F4C">
        <w:t>20-</w:t>
      </w:r>
      <w:r w:rsidRPr="008F5627">
        <w:t xml:space="preserve">21 AFSR </w:t>
      </w:r>
      <w:r>
        <w:t>assumes that</w:t>
      </w:r>
      <w:r w:rsidRPr="008F5627">
        <w:t xml:space="preserve"> there will be a further increase. On the other hand, average annualised payment</w:t>
      </w:r>
      <w:r>
        <w:t xml:space="preserve">s were </w:t>
      </w:r>
      <w:r w:rsidRPr="008F5627">
        <w:t xml:space="preserve">higher than </w:t>
      </w:r>
      <w:r>
        <w:t xml:space="preserve">was </w:t>
      </w:r>
      <w:r w:rsidRPr="008F5627">
        <w:t xml:space="preserve">assumed </w:t>
      </w:r>
      <w:r>
        <w:t>from</w:t>
      </w:r>
      <w:r w:rsidRPr="008F5627">
        <w:t xml:space="preserve"> </w:t>
      </w:r>
      <w:r>
        <w:t xml:space="preserve">both the </w:t>
      </w:r>
      <w:r w:rsidRPr="008F5627">
        <w:t>20</w:t>
      </w:r>
      <w:r w:rsidR="00D320CF">
        <w:t>18-</w:t>
      </w:r>
      <w:r w:rsidRPr="008F5627">
        <w:t>19 and 20</w:t>
      </w:r>
      <w:r w:rsidR="00D320CF">
        <w:t>19-</w:t>
      </w:r>
      <w:r w:rsidRPr="008F5627">
        <w:t xml:space="preserve">20 AFSRs for SIL participants. </w:t>
      </w:r>
      <w:r>
        <w:t xml:space="preserve">The </w:t>
      </w:r>
      <w:r w:rsidRPr="008F5627">
        <w:t>20</w:t>
      </w:r>
      <w:r w:rsidR="00D320CF">
        <w:t>20-</w:t>
      </w:r>
      <w:r w:rsidRPr="008F5627">
        <w:t xml:space="preserve">21 AFSR assumptions for this group are </w:t>
      </w:r>
      <w:r>
        <w:t>only slightly higher than was assumed last year and show a small drop in 2021-22 compared to the average amounts paid over the past six months</w:t>
      </w:r>
      <w:r w:rsidRPr="008F5627">
        <w:t xml:space="preserve">. </w:t>
      </w:r>
    </w:p>
    <w:p w14:paraId="6CDE9E5C" w14:textId="77777777" w:rsidR="00B44828" w:rsidRDefault="00B44828" w:rsidP="00B44828">
      <w:pPr>
        <w:pStyle w:val="NNheading4"/>
      </w:pPr>
      <w:r w:rsidRPr="002A5789">
        <w:t xml:space="preserve">Capacity </w:t>
      </w:r>
      <w:r>
        <w:t>Building services</w:t>
      </w:r>
    </w:p>
    <w:p w14:paraId="336E2296" w14:textId="6CAF0463" w:rsidR="00B44828" w:rsidRDefault="00B44828" w:rsidP="00B44828">
      <w:r>
        <w:t>Capacity Building services were 19% of payments during 2020-21. Similar to trends observed for Core services, average annualised payments have been increasing over the last two years. For both non-SIL and SIL participants, average payments were higher than was assumed from the</w:t>
      </w:r>
      <w:r w:rsidR="00D320CF">
        <w:t xml:space="preserve"> </w:t>
      </w:r>
      <w:r>
        <w:t>20</w:t>
      </w:r>
      <w:r w:rsidR="00D320CF">
        <w:t>18-</w:t>
      </w:r>
      <w:r>
        <w:t>19 and 20</w:t>
      </w:r>
      <w:r w:rsidR="00D320CF">
        <w:t>19-</w:t>
      </w:r>
      <w:r>
        <w:t>20 AFSRs. The current projections show that average payments for non-</w:t>
      </w:r>
      <w:r w:rsidR="00636FA6">
        <w:t>SIL participants</w:t>
      </w:r>
      <w:r>
        <w:t xml:space="preserve"> will increase to around $13,000 by 2024-25 compared to $19,000 for SIL participants. </w:t>
      </w:r>
    </w:p>
    <w:p w14:paraId="2331B560" w14:textId="292AC29B" w:rsidR="00B44828" w:rsidRPr="005A1213" w:rsidRDefault="00B44828" w:rsidP="00B44828">
      <w:r>
        <w:fldChar w:fldCharType="begin"/>
      </w:r>
      <w:r>
        <w:instrText xml:space="preserve"> REF _Ref86954437 \h </w:instrText>
      </w:r>
      <w:r>
        <w:fldChar w:fldCharType="separate"/>
      </w:r>
      <w:r w:rsidR="00E6217F">
        <w:t xml:space="preserve">Figure </w:t>
      </w:r>
      <w:r w:rsidR="00E6217F">
        <w:rPr>
          <w:noProof/>
        </w:rPr>
        <w:t>4</w:t>
      </w:r>
      <w:r w:rsidR="00E6217F">
        <w:t>.</w:t>
      </w:r>
      <w:r w:rsidR="00E6217F">
        <w:rPr>
          <w:noProof/>
        </w:rPr>
        <w:t>10</w:t>
      </w:r>
      <w:r>
        <w:fldChar w:fldCharType="end"/>
      </w:r>
      <w:r>
        <w:t xml:space="preserve"> shows average annualised payments for Capacity Building services for active participants over time.</w:t>
      </w:r>
    </w:p>
    <w:p w14:paraId="4507F865" w14:textId="6E36BAA0" w:rsidR="00B44828" w:rsidRPr="005A1213" w:rsidRDefault="00B44828" w:rsidP="00B44828">
      <w:pPr>
        <w:pStyle w:val="Caption"/>
        <w:spacing w:after="0"/>
      </w:pPr>
      <w:bookmarkStart w:id="158" w:name="_Ref86954437"/>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10</w:t>
      </w:r>
      <w:r>
        <w:fldChar w:fldCharType="end"/>
      </w:r>
      <w:bookmarkEnd w:id="158"/>
      <w:r>
        <w:t xml:space="preserve"> – Average annualised payments Capacity Building services for active participants over time </w:t>
      </w:r>
    </w:p>
    <w:p w14:paraId="5DD11055" w14:textId="77777777" w:rsidR="00B44828" w:rsidRDefault="00B44828" w:rsidP="00B44828">
      <w:r w:rsidRPr="00230FAB">
        <w:rPr>
          <w:noProof/>
        </w:rPr>
        <w:drawing>
          <wp:inline distT="0" distB="0" distL="0" distR="0" wp14:anchorId="58B0BF88" wp14:editId="79371C22">
            <wp:extent cx="5976620" cy="2099945"/>
            <wp:effectExtent l="0" t="0" r="0" b="0"/>
            <wp:docPr id="87" name="Picture 87" descr="Non-SIL participants&#10;&#10;&#10;September 2018.&#10;Average annualised payment. 5,991.   &#10;2019 AFSR. -.&#10;2020 AFSR. -. &#10;2021 AFSR. -.&#10;   &#10;&#10;December 2018.&#10;Average annualised payment. 6,102.&#10;2019 AFSR. -.&#10;2020 AFSR. -. &#10;2021 AFSR. -.&#10;&#10;March 2019.&#10;Average annualised payment. 5,746.&#10;2019 AFSR. -.&#10;2020 AFSR. -. &#10;2021 AFSR. -.&#10;&#10;June 2019.&#10;Average annualised payment. 6,589.&#10;2019 AFSR. -.&#10;2020 AFSR. -. &#10;2021 AFSR. -.&#10;&#10;September 2019.&#10;Average annualised payment. 7,676.&#10;2019 AFSR. 7,101.&#10;2020 AFSR. -. &#10;2021 AFSR. -.&#10;&#10;December 2019.&#10;Average annualised payment. 7,823.&#10;2019 AFSR. 7,101.&#10;2020 AFSR. -. &#10;2021 AFSR. -.&#10;&#10;March 2020.&#10;Average annualised payment. 7,556.&#10;2019 AFSR. 7,101.&#10;2020 AFSR. -. &#10;2021 AFSR. -.&#10;&#10;June 2020.&#10;Average annualised payment. 8,194.&#10;2019 AFSR. 7,101.&#10;2020 AFSR. -. &#10;2021 AFSR. -.&#10;&#10;September 2020.&#10;Average annualised payment. 9,497.&#10;2019 AFSR. 7,535.&#10;2020 AFSR. 8,491. &#10;2021 AFSR. -.&#10;&#10;December 2020.&#10;Average annualised payment. 9,406.&#10;2019 AFSR. 7,535.&#10;2020 AFSR. 8,491. &#10;2021 AFSR. -.&#10;&#10;March 2021.&#10;Average annualised payment. 8,988.&#10;2019 AFSR. 7,535.&#10;2020 AFSR. 8,491. &#10;2021 AFSR. -.&#10;&#10;June 2021.&#10;Average annualised payment. 9,888.&#10;2019 AFSR. 7,535.&#10;2020 AFSR. 8,491. &#10;2021 AFSR. -.&#10;&#10;September 2021.&#10;Average annualised payment. -.&#10;2019 AFSR. 7,915.&#10;2020 AFSR. 9,184. &#10;2021 AFSR. 10,549.&#10;&#10;&#10;December 2021.&#10;Average annualised payment. -.&#10;2019 AFSR. 7,915.&#10;2020 AFSR. 9,184. &#10;2021 AFSR. 10,549.&#10;&#10;March 2022.&#10;Average annualised payment. -.&#10;2019 AFSR. 7,915.&#10;2020 AFSR. 9,184. &#10;2021 AFSR. 10,549.&#10;&#10;June 2022.&#10;Average annualised payment. -.&#10;2019 AFSR. 7,915.&#10;2020 AFSR. 9,184. &#10;2021 AFSR. 10,549.&#10;&#10;September 2022.&#10;Average annualised payment. -.&#10;2019 AFSR. 8,323.&#10;2020 AFSR. 9,814. &#10;2021 AFSR. 11,559.&#10;&#10;December 2022.&#10;Average annualised payment. -.&#10;2019 AFSR. 8,323.&#10;2020 AFSR. 9,814. &#10;2021 AFSR. 11,559.&#10;&#10;March 2023.&#10;Average annualised payment. -.&#10;2019 AFSR. 8,323.&#10;2020 AFSR. 9,814. &#10;2021 AFSR. 11,559.&#10;&#10;June 2023.&#10;Average annualised payment. -.&#10;2019 AFSR. 8,323.&#10;2020 AFSR. 9,814. &#10;2021 AFSR. 11,559.&#10;&#10;September 2023.&#10;Average annualised payment. -.&#10;2019 AFSR. 8,683.&#10;2020 AFSR. 10,382. &#10;2021 AFSR. 12,287.&#10;&#10;December 2023.&#10;Average annualised payment. -.&#10;2019 AFSR. 8,683.&#10;2020 AFSR. 10,382. &#10;2021 AFSR. 12,287.&#10;&#10;March 2024.&#10;Average annualised payment. -.&#10;2019 AFSR. 8,683.&#10;2020 AFSR. 10,382. &#10;2021 AFSR. 12,287.&#10;&#10;June 2024.&#10;Average annualised payment. -.&#10;2019 AFSR. 8,683.&#10;2020 AFSR. 10,382. &#10;2021 AFSR. 12,287.&#10;&#10;September 2024.&#10;Average annualised payment. -.&#10;2019 AFSR. 9,007.&#10;2020 AFSR. 10,916. &#10;2021 AFSR. 12,701.&#10;&#10;December 2024.&#10;Average annualised payment. -.&#10;2019 AFSR. 9,007.&#10;2020 AFSR. 10,916. &#10;2021 AFSR. 12,701.&#10;&#10;March 2025.&#10;Average annualised payment. -.&#10;2019 AFSR. 9,007.&#10;2020 AFSR. 10,916. &#10;2021 AFSR. 12,701.&#10;&#10;June 2025.&#10;Average annualised payment. -.&#10;2019 AFSR. 9,007.&#10;2020 AFSR. 10,916. &#10;2021 AFSR. 12,701.&#10;&#10;SIL participants&#10;&#10;September 2018.&#10;Average annualised payment. 8,781.   &#10;2019 AFSR. -.&#10;2020 AFSR. -. &#10;2021 AFSR. -.&#10;   &#10;&#10;December 2018.&#10;Average annualised payment. 8,198.&#10;2019 AFSR. -.&#10;2020 AFSR. -. &#10;2021 AFSR. -.&#10;&#10;March 2019.&#10;Average annualised payment. 8,232.&#10;2019 AFSR. -.&#10;2020 AFSR. -. &#10;2021 AFSR. -.&#10;&#10;June 2019.&#10;Average annualised payment. 8,859.&#10;2019 AFSR. -.&#10;2020 AFSR. -. &#10;2021 AFSR. -.&#10;&#10;September 2019.&#10;Average annualised payment. 11,336.&#10;2019 AFSR. 11,171.&#10;2020 AFSR. -. &#10;2021 AFSR. -.&#10;&#10;December 2019.&#10;Average annualised payment. 12,275.&#10;2019 AFSR. 11,171.&#10;2020 AFSR. -. &#10;2021 AFSR. -.&#10;&#10;March 2020.&#10;Average annualised payment. 12,751.&#10;2019 AFSR. 11,171.&#10;2020 AFSR. -. &#10;2021 AFSR. -.&#10;&#10;June 2020.&#10;Average annualised payment. 13,352.&#10;2019 AFSR. 11,171.&#10;2020 AFSR. -. &#10;2021 AFSR. -.&#10;&#10;September 2020.&#10;Average annualised payment. 15,908.&#10;2019 AFSR. 11,495.&#10;2020 AFSR. 13,781. &#10;2021 AFSR. -.&#10;&#10;December 2020.&#10;Average annualised payment. 15,853.&#10;2019 AFSR. 11,495.&#10;2020 AFSR. 13,781. &#10;2021 AFSR. -.&#10;&#10;March 2021.&#10;Average annualised payment. 15,246.&#10;2019 AFSR. 11,495.&#10;2020 AFSR. 13,781. &#10;2021 AFSR. -.&#10;&#10;June 2021.&#10;Average annualised payment. 16,605.&#10;2019 AFSR. 11,495.&#10;2020 AFSR. 13,781. &#10;2021 AFSR. -.&#10;&#10;September 2021.&#10;Average annualised payment. -.&#10;2019 AFSR. 11,989.&#10;2020 AFSR. 15,116. &#10;2021 AFSR. 16,542.&#10;&#10;&#10;December 2021.&#10;Average annualised payment. -.&#10;2019 AFSR. 11,989.&#10;2020 AFSR. 15,116. &#10;2021 AFSR. 16,542.&#10;&#10;March 2022.&#10;Average annualised payment. -.&#10;2019 AFSR. 11,989.&#10;2020 AFSR. 15,116. &#10;2021 AFSR. 16,542.&#10;&#10;June 2022.&#10;Average annualised payment. -.&#10;2019 AFSR. 11,989.&#10;2020 AFSR. 15,116. &#10;2021 AFSR. 16,542.&#10;&#10;September 2022.&#10;Average annualised payment. -.&#10;2019 AFSR. 12,504.&#10;2020 AFSR. 16,203. &#10;2021 AFSR. 17,588.&#10;&#10;December 2022.&#10;Average annualised payment. -.&#10;2019 AFSR. 12,504.&#10;2020 AFSR. 16,203. &#10;2021 AFSR. 17,588.&#10;&#10;March 2023.&#10;Average annualised payment. -.&#10;2019 AFSR. 12,504.&#10;2020 AFSR. 16,203. &#10;2021 AFSR. 17,588.&#10;&#10;June 2023.&#10;Average annualised payment. -.&#10;2019 AFSR. 12,504.&#10;2020 AFSR. 16,203. &#10;2021 AFSR. 17,588.&#10;&#10;September 2023.&#10;Average annualised payment. -.&#10;2019 AFSR. 13,052.&#10;2020 AFSR. 17,136. &#10;2021 AFSR. 18,329.&#10;&#10;December 2023.&#10;Average annualised payment. -.&#10;2019 AFSR. 13,052.&#10;2020 AFSR. 17,136. &#10;2021 AFSR. 18,329.&#10;&#10;March 2024.&#10;Average annualised payment. -.&#10;2019 AFSR. 13,052.&#10;2020 AFSR. 17,136. &#10;2021 AFSR. 18,329.&#10;&#10;June 2024.&#10;Average annualised payment. -.&#10;2019 AFSR. 13,052.&#10;2020 AFSR. 17,136. &#10;2021 AFSR. 18,329.&#10;&#10;September 2024.&#10;Average annualised payment. -.&#10;2019 AFSR. 13,591.&#10;2020 AFSR. 18,039. &#10;2021 AFSR. 18,830.&#10;&#10;December 2024.&#10;Average annualised payment. -.&#10;2019 AFSR. 13,591.&#10;2020 AFSR. 18,039. &#10;2021 AFSR. 18,830.&#10;&#10;March 2025.&#10;Average annualised payment. -.&#10;2019 AFSR. 13,591.&#10;2020 AFSR. 18,039. &#10;2021 AFSR. 18,830.&#10;&#10;June 2025.&#10;Average annualised payment. -.&#10;2019 AFSR. 13,591.&#10;2020 AFSR. 18,039. &#10;2021 AFSR. 18,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Non-SIL participants&#10;&#10;&#10;September 2018.&#10;Average annualised payment. 5,991.   &#10;2019 AFSR. -.&#10;2020 AFSR. -. &#10;2021 AFSR. -.&#10;   &#10;&#10;December 2018.&#10;Average annualised payment. 6,102.&#10;2019 AFSR. -.&#10;2020 AFSR. -. &#10;2021 AFSR. -.&#10;&#10;March 2019.&#10;Average annualised payment. 5,746.&#10;2019 AFSR. -.&#10;2020 AFSR. -. &#10;2021 AFSR. -.&#10;&#10;June 2019.&#10;Average annualised payment. 6,589.&#10;2019 AFSR. -.&#10;2020 AFSR. -. &#10;2021 AFSR. -.&#10;&#10;September 2019.&#10;Average annualised payment. 7,676.&#10;2019 AFSR. 7,101.&#10;2020 AFSR. -. &#10;2021 AFSR. -.&#10;&#10;December 2019.&#10;Average annualised payment. 7,823.&#10;2019 AFSR. 7,101.&#10;2020 AFSR. -. &#10;2021 AFSR. -.&#10;&#10;March 2020.&#10;Average annualised payment. 7,556.&#10;2019 AFSR. 7,101.&#10;2020 AFSR. -. &#10;2021 AFSR. -.&#10;&#10;June 2020.&#10;Average annualised payment. 8,194.&#10;2019 AFSR. 7,101.&#10;2020 AFSR. -. &#10;2021 AFSR. -.&#10;&#10;September 2020.&#10;Average annualised payment. 9,497.&#10;2019 AFSR. 7,535.&#10;2020 AFSR. 8,491. &#10;2021 AFSR. -.&#10;&#10;December 2020.&#10;Average annualised payment. 9,406.&#10;2019 AFSR. 7,535.&#10;2020 AFSR. 8,491. &#10;2021 AFSR. -.&#10;&#10;March 2021.&#10;Average annualised payment. 8,988.&#10;2019 AFSR. 7,535.&#10;2020 AFSR. 8,491. &#10;2021 AFSR. -.&#10;&#10;June 2021.&#10;Average annualised payment. 9,888.&#10;2019 AFSR. 7,535.&#10;2020 AFSR. 8,491. &#10;2021 AFSR. -.&#10;&#10;September 2021.&#10;Average annualised payment. -.&#10;2019 AFSR. 7,915.&#10;2020 AFSR. 9,184. &#10;2021 AFSR. 10,549.&#10;&#10;&#10;December 2021.&#10;Average annualised payment. -.&#10;2019 AFSR. 7,915.&#10;2020 AFSR. 9,184. &#10;2021 AFSR. 10,549.&#10;&#10;March 2022.&#10;Average annualised payment. -.&#10;2019 AFSR. 7,915.&#10;2020 AFSR. 9,184. &#10;2021 AFSR. 10,549.&#10;&#10;June 2022.&#10;Average annualised payment. -.&#10;2019 AFSR. 7,915.&#10;2020 AFSR. 9,184. &#10;2021 AFSR. 10,549.&#10;&#10;September 2022.&#10;Average annualised payment. -.&#10;2019 AFSR. 8,323.&#10;2020 AFSR. 9,814. &#10;2021 AFSR. 11,559.&#10;&#10;December 2022.&#10;Average annualised payment. -.&#10;2019 AFSR. 8,323.&#10;2020 AFSR. 9,814. &#10;2021 AFSR. 11,559.&#10;&#10;March 2023.&#10;Average annualised payment. -.&#10;2019 AFSR. 8,323.&#10;2020 AFSR. 9,814. &#10;2021 AFSR. 11,559.&#10;&#10;June 2023.&#10;Average annualised payment. -.&#10;2019 AFSR. 8,323.&#10;2020 AFSR. 9,814. &#10;2021 AFSR. 11,559.&#10;&#10;September 2023.&#10;Average annualised payment. -.&#10;2019 AFSR. 8,683.&#10;2020 AFSR. 10,382. &#10;2021 AFSR. 12,287.&#10;&#10;December 2023.&#10;Average annualised payment. -.&#10;2019 AFSR. 8,683.&#10;2020 AFSR. 10,382. &#10;2021 AFSR. 12,287.&#10;&#10;March 2024.&#10;Average annualised payment. -.&#10;2019 AFSR. 8,683.&#10;2020 AFSR. 10,382. &#10;2021 AFSR. 12,287.&#10;&#10;June 2024.&#10;Average annualised payment. -.&#10;2019 AFSR. 8,683.&#10;2020 AFSR. 10,382. &#10;2021 AFSR. 12,287.&#10;&#10;September 2024.&#10;Average annualised payment. -.&#10;2019 AFSR. 9,007.&#10;2020 AFSR. 10,916. &#10;2021 AFSR. 12,701.&#10;&#10;December 2024.&#10;Average annualised payment. -.&#10;2019 AFSR. 9,007.&#10;2020 AFSR. 10,916. &#10;2021 AFSR. 12,701.&#10;&#10;March 2025.&#10;Average annualised payment. -.&#10;2019 AFSR. 9,007.&#10;2020 AFSR. 10,916. &#10;2021 AFSR. 12,701.&#10;&#10;June 2025.&#10;Average annualised payment. -.&#10;2019 AFSR. 9,007.&#10;2020 AFSR. 10,916. &#10;2021 AFSR. 12,701.&#10;&#10;SIL participants&#10;&#10;September 2018.&#10;Average annualised payment. 8,781.   &#10;2019 AFSR. -.&#10;2020 AFSR. -. &#10;2021 AFSR. -.&#10;   &#10;&#10;December 2018.&#10;Average annualised payment. 8,198.&#10;2019 AFSR. -.&#10;2020 AFSR. -. &#10;2021 AFSR. -.&#10;&#10;March 2019.&#10;Average annualised payment. 8,232.&#10;2019 AFSR. -.&#10;2020 AFSR. -. &#10;2021 AFSR. -.&#10;&#10;June 2019.&#10;Average annualised payment. 8,859.&#10;2019 AFSR. -.&#10;2020 AFSR. -. &#10;2021 AFSR. -.&#10;&#10;September 2019.&#10;Average annualised payment. 11,336.&#10;2019 AFSR. 11,171.&#10;2020 AFSR. -. &#10;2021 AFSR. -.&#10;&#10;December 2019.&#10;Average annualised payment. 12,275.&#10;2019 AFSR. 11,171.&#10;2020 AFSR. -. &#10;2021 AFSR. -.&#10;&#10;March 2020.&#10;Average annualised payment. 12,751.&#10;2019 AFSR. 11,171.&#10;2020 AFSR. -. &#10;2021 AFSR. -.&#10;&#10;June 2020.&#10;Average annualised payment. 13,352.&#10;2019 AFSR. 11,171.&#10;2020 AFSR. -. &#10;2021 AFSR. -.&#10;&#10;September 2020.&#10;Average annualised payment. 15,908.&#10;2019 AFSR. 11,495.&#10;2020 AFSR. 13,781. &#10;2021 AFSR. -.&#10;&#10;December 2020.&#10;Average annualised payment. 15,853.&#10;2019 AFSR. 11,495.&#10;2020 AFSR. 13,781. &#10;2021 AFSR. -.&#10;&#10;March 2021.&#10;Average annualised payment. 15,246.&#10;2019 AFSR. 11,495.&#10;2020 AFSR. 13,781. &#10;2021 AFSR. -.&#10;&#10;June 2021.&#10;Average annualised payment. 16,605.&#10;2019 AFSR. 11,495.&#10;2020 AFSR. 13,781. &#10;2021 AFSR. -.&#10;&#10;September 2021.&#10;Average annualised payment. -.&#10;2019 AFSR. 11,989.&#10;2020 AFSR. 15,116. &#10;2021 AFSR. 16,542.&#10;&#10;&#10;December 2021.&#10;Average annualised payment. -.&#10;2019 AFSR. 11,989.&#10;2020 AFSR. 15,116. &#10;2021 AFSR. 16,542.&#10;&#10;March 2022.&#10;Average annualised payment. -.&#10;2019 AFSR. 11,989.&#10;2020 AFSR. 15,116. &#10;2021 AFSR. 16,542.&#10;&#10;June 2022.&#10;Average annualised payment. -.&#10;2019 AFSR. 11,989.&#10;2020 AFSR. 15,116. &#10;2021 AFSR. 16,542.&#10;&#10;September 2022.&#10;Average annualised payment. -.&#10;2019 AFSR. 12,504.&#10;2020 AFSR. 16,203. &#10;2021 AFSR. 17,588.&#10;&#10;December 2022.&#10;Average annualised payment. -.&#10;2019 AFSR. 12,504.&#10;2020 AFSR. 16,203. &#10;2021 AFSR. 17,588.&#10;&#10;March 2023.&#10;Average annualised payment. -.&#10;2019 AFSR. 12,504.&#10;2020 AFSR. 16,203. &#10;2021 AFSR. 17,588.&#10;&#10;June 2023.&#10;Average annualised payment. -.&#10;2019 AFSR. 12,504.&#10;2020 AFSR. 16,203. &#10;2021 AFSR. 17,588.&#10;&#10;September 2023.&#10;Average annualised payment. -.&#10;2019 AFSR. 13,052.&#10;2020 AFSR. 17,136. &#10;2021 AFSR. 18,329.&#10;&#10;December 2023.&#10;Average annualised payment. -.&#10;2019 AFSR. 13,052.&#10;2020 AFSR. 17,136. &#10;2021 AFSR. 18,329.&#10;&#10;March 2024.&#10;Average annualised payment. -.&#10;2019 AFSR. 13,052.&#10;2020 AFSR. 17,136. &#10;2021 AFSR. 18,329.&#10;&#10;June 2024.&#10;Average annualised payment. -.&#10;2019 AFSR. 13,052.&#10;2020 AFSR. 17,136. &#10;2021 AFSR. 18,329.&#10;&#10;September 2024.&#10;Average annualised payment. -.&#10;2019 AFSR. 13,591.&#10;2020 AFSR. 18,039. &#10;2021 AFSR. 18,830.&#10;&#10;December 2024.&#10;Average annualised payment. -.&#10;2019 AFSR. 13,591.&#10;2020 AFSR. 18,039. &#10;2021 AFSR. 18,830.&#10;&#10;March 2025.&#10;Average annualised payment. -.&#10;2019 AFSR. 13,591.&#10;2020 AFSR. 18,039. &#10;2021 AFSR. 18,830.&#10;&#10;June 2025.&#10;Average annualised payment. -.&#10;2019 AFSR. 13,591.&#10;2020 AFSR. 18,039. &#10;2021 AFSR. 18,830."/>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5976620" cy="2099945"/>
                    </a:xfrm>
                    <a:prstGeom prst="rect">
                      <a:avLst/>
                    </a:prstGeom>
                    <a:noFill/>
                    <a:ln>
                      <a:noFill/>
                    </a:ln>
                  </pic:spPr>
                </pic:pic>
              </a:graphicData>
            </a:graphic>
          </wp:inline>
        </w:drawing>
      </w:r>
    </w:p>
    <w:p w14:paraId="3536E9C7" w14:textId="4DE53211" w:rsidR="00B44828" w:rsidRDefault="00B44828" w:rsidP="00B44828">
      <w:pPr>
        <w:pStyle w:val="NNheading4"/>
      </w:pPr>
      <w:r w:rsidRPr="009A51B5">
        <w:t>Capital</w:t>
      </w:r>
      <w:r>
        <w:t xml:space="preserve"> </w:t>
      </w:r>
      <w:r w:rsidR="00C22013">
        <w:t>costs</w:t>
      </w:r>
    </w:p>
    <w:p w14:paraId="16B356E8" w14:textId="4736F8EB" w:rsidR="00B44828" w:rsidRPr="00671DF0" w:rsidRDefault="00B44828" w:rsidP="00B44828">
      <w:r>
        <w:t xml:space="preserve">Capital services were 3.5% of payments during 2020-21. </w:t>
      </w:r>
      <w:r>
        <w:fldChar w:fldCharType="begin"/>
      </w:r>
      <w:r>
        <w:instrText xml:space="preserve"> REF _Ref86953108 \h </w:instrText>
      </w:r>
      <w:r>
        <w:fldChar w:fldCharType="separate"/>
      </w:r>
      <w:r w:rsidR="00E6217F">
        <w:t xml:space="preserve">Figure </w:t>
      </w:r>
      <w:r w:rsidR="00E6217F">
        <w:rPr>
          <w:noProof/>
        </w:rPr>
        <w:t>4</w:t>
      </w:r>
      <w:r w:rsidR="00E6217F">
        <w:t>.</w:t>
      </w:r>
      <w:r w:rsidR="00E6217F">
        <w:rPr>
          <w:noProof/>
        </w:rPr>
        <w:t>11</w:t>
      </w:r>
      <w:r>
        <w:fldChar w:fldCharType="end"/>
      </w:r>
      <w:r>
        <w:t xml:space="preserve"> summarises average annualised payments for Capital services for active participants over time.</w:t>
      </w:r>
    </w:p>
    <w:p w14:paraId="7919AD10" w14:textId="0108FA52" w:rsidR="00B44828" w:rsidRPr="00671DF0" w:rsidRDefault="00B44828" w:rsidP="00B44828">
      <w:pPr>
        <w:pStyle w:val="Caption"/>
        <w:spacing w:after="0"/>
      </w:pPr>
      <w:bookmarkStart w:id="159" w:name="_Ref86953108"/>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11</w:t>
      </w:r>
      <w:r>
        <w:fldChar w:fldCharType="end"/>
      </w:r>
      <w:bookmarkEnd w:id="159"/>
      <w:r>
        <w:t xml:space="preserve"> – Average annualised payments for Capital </w:t>
      </w:r>
      <w:r w:rsidR="00C22013">
        <w:t xml:space="preserve">costs </w:t>
      </w:r>
      <w:r>
        <w:t xml:space="preserve">for active participants over time </w:t>
      </w:r>
    </w:p>
    <w:p w14:paraId="69113426" w14:textId="77777777" w:rsidR="00B44828" w:rsidRDefault="00B44828" w:rsidP="00B44828">
      <w:r w:rsidRPr="00F95D2B">
        <w:rPr>
          <w:noProof/>
        </w:rPr>
        <w:drawing>
          <wp:inline distT="0" distB="0" distL="0" distR="0" wp14:anchorId="0637E29D" wp14:editId="47136D0A">
            <wp:extent cx="5976620" cy="2051685"/>
            <wp:effectExtent l="0" t="0" r="0" b="0"/>
            <wp:docPr id="90" name="Picture 90" descr="Non-SIL participants&#10;&#10;September 2018.&#10;Average annualised payment. 1,168.   &#10;2019 AFSR. -.&#10;2020 AFSR. -. &#10;2021 AFSR. -.&#10;   &#10;&#10;December 2018.&#10;Average annualised payment. 1,133.&#10;2019 AFSR. -.&#10;2020 AFSR. -. &#10;2021 AFSR. -.&#10;&#10;March 2019.&#10;Average annualised payment. 1,165.&#10;2019 AFSR. -.&#10;2020 AFSR. -. &#10;2021 AFSR. -.&#10;&#10;June 2019.&#10;Average annualised payment. 1,303.&#10;2019 AFSR. -.&#10;2020 AFSR. -. &#10;2021 AFSR. -.&#10;&#10;September 2019.&#10;Average annualised payment. 1,658.&#10;2019 AFSR. 1,600.&#10;2020 AFSR. -. &#10;2021 AFSR. -.&#10;&#10;December 2019.&#10;Average annualised payment. 1,751.&#10;2019 AFSR. 1,600.&#10;2020 AFSR. -. &#10;2021 AFSR. -.&#10;&#10;March 2020.&#10;Average annualised payment. 1,786.&#10;2019 AFSR. 1,600.&#10;2020 AFSR. -. &#10;2021 AFSR. -.&#10;&#10;June 2020.&#10;Average annualised payment. 1,905.&#10;2019 AFSR. 1,600.&#10;2020 AFSR. -. &#10;2021 AFSR. -.&#10;&#10;September 2020.&#10;Average annualised payment. 1,887.&#10;2019 AFSR. 1,849.&#10;2020 AFSR. 1,922. &#10;2021 AFSR. -.&#10;&#10;December 2020.&#10;Average annualised payment. 1,632.&#10;2019 AFSR. 1,849.&#10;2020 AFSR. 1,922. &#10;2021 AFSR. -.&#10;&#10;March 2021.&#10;Average annualised payment. 1,350.&#10;2019 AFSR. 1,849.&#10;2020 AFSR. 1,922. &#10;2021 AFSR. -.&#10;&#10;June 2021.&#10;Average annualised payment. 1,235.&#10;2019 AFSR. 1,849.&#10;2020 AFSR. 1,922. &#10;2021 AFSR. -.&#10;&#10;September 2021.&#10;Average annualised payment. -.&#10;2019 AFSR. 1,925.&#10;2020 AFSR. 1,967. &#10;2021 AFSR. 1,350.&#10;&#10;&#10;December 2021.&#10;Average annualised payment. -.&#10;2019 AFSR. 1,925.&#10;2020 AFSR. 1,967. &#10;2021 AFSR. 1,350.&#10;&#10;March 2022.&#10;Average annualised payment. -.&#10;2019 AFSR. 1,925.&#10;2020 AFSR. 1,967. &#10;2021 AFSR. 1,350.&#10;&#10;June 2022.&#10;Average annualised payment. -.&#10;2019 AFSR. 1,925.&#10;2020 AFSR. 1,967. &#10;2021 AFSR. 1,350.&#10;&#10;September 2022.&#10;Average annualised payment. -.&#10;2019 AFSR. 1,971.&#10;2020 AFSR. 2,017. &#10;2021 AFSR. 1,392.&#10;&#10;December 2022.&#10;Average annualised payment. -.&#10;2019 AFSR. 1,971.&#10;2020 AFSR. 2,017. &#10;2021 AFSR. 1,392.&#10;&#10;March 2023.&#10;Average annualised payment. -.&#10;2019 AFSR. 1,971.&#10;2020 AFSR. 2,017. &#10;2021 AFSR. 1,392.&#10;&#10;June 2023.&#10;Average annualised payment. -.&#10;2019 AFSR. 1,971.&#10;2020 AFSR. 2,017. &#10;2021 AFSR. 1,392.&#10;&#10;September 2023.&#10;Average annualised payment. -.&#10;2019 AFSR. 2,014.&#10;2020 AFSR. 2,081. &#10;2021 AFSR. 1,423.&#10;&#10;December 2023.&#10;Average annualised payment. -.&#10;2019 AFSR. 2,014.&#10;2020 AFSR. 2,081. &#10;2021 AFSR. 1,423.&#10;&#10;March 2024.&#10;Average annualised payment. -.&#10;2019 AFSR. 2,014.&#10;2020 AFSR. 2,081. &#10;2021 AFSR. 1,423.&#10;&#10;June 2024.&#10;Average annualised payment. -.&#10;2019 AFSR. 2,014.&#10;2020 AFSR. 2,081. &#10;2021 AFSR. 1,423.&#10;&#10;September 2024.&#10;Average annualised payment. -.&#10;2019 AFSR. 2,073.&#10;2020 AFSR. 2,165. &#10;2021 AFSR. 1,433.&#10;&#10;December 2024.&#10;Average annualised payment. -.&#10;2019 AFSR. 2,073.&#10;2020 AFSR. 2,165. &#10;2021 AFSR. 1,433.&#10;&#10;March 2025.&#10;Average annualised payment. -.&#10;2019 AFSR. 2,073.&#10;2020 AFSR. 2,165. &#10;2021 AFSR. 1,433.&#10;&#10;June 2025.&#10;Average annualised payment. -.&#10;2019 AFSR. 2,073.&#10;2020 AFSR. 2,165. &#10;2021 AFSR. 1,433.&#10;&#10;&#10;&#10;SIL participants&#10;&#10;September 2018.&#10;Average annualised payment. 3,323.   &#10;2019 AFSR. -.&#10;2020 AFSR. -. &#10;2021 AFSR. -.&#10;   &#10;&#10;December 2018.&#10;Average annualised payment. 4,015.&#10;2019 AFSR. -.&#10;2020 AFSR. -. &#10;2021 AFSR. -.&#10;&#10;March 2019.&#10;Average annualised payment. 3,670.&#10;2019 AFSR. -.&#10;2020 AFSR. -. &#10;2021 AFSR. -.&#10;&#10;June 2019.&#10;Average annualised payment. 4,732.&#10;2019 AFSR. -.&#10;2020 AFSR. -. &#10;2021 AFSR. -.&#10;&#10;September 2019.&#10;Average annualised payment. 4,837.&#10;2019 AFSR. 6,532.&#10;2020 AFSR. -. &#10;2021 AFSR. -.&#10;&#10;December 2019.&#10;Average annualised payment. 5,791.&#10;2019 AFSR. 6,532.&#10;2020 AFSR. -. &#10;2021 AFSR. -.&#10;&#10;March 2020.&#10;Average annualised payment. 6,097.&#10;2019 AFSR. 6,532.&#10;2020 AFSR. -. &#10;2021 AFSR. -.&#10;&#10;June 2020.&#10;Average annualised payment. 7,584.&#10;2019 AFSR. 6,532.&#10;2020 AFSR. -. &#10;2021 AFSR. -.&#10;&#10;September 2020.&#10;Average annualised payment. 7,292.&#10;2019 AFSR. 7,127.&#10;2020 AFSR. 8,780. &#10;2021 AFSR. -.&#10;&#10;December 2020.&#10;Average annualised payment. 6,541.&#10;2019 AFSR. 7,127.&#10;2020 AFSR. 8,780. &#10;2021 AFSR. -.&#10;&#10;March 2021.&#10;Average annualised payment. 6,566.&#10;2019 AFSR. 7,127.&#10;2020 AFSR. 8,780. &#10;2021 AFSR. -.&#10;&#10;June 2021.&#10;Average annualised payment. 6,453.&#10;2019 AFSR. 7,127.&#10;2020 AFSR. 8,780. &#10;2021 AFSR. -.&#10;&#10;September 2021.&#10;Average annualised payment. -.&#10;2019 AFSR. 7,430.&#10;2020 AFSR. 11,117. &#10;2021 AFSR. 8,690.&#10;&#10;&#10;December 2021.&#10;Average annualised payment. -.&#10;2019 AFSR. 7,430.&#10;2020 AFSR. 11,117. &#10;2021 AFSR. 8,690.&#10;&#10;March 2022.&#10;Average annualised payment. -.&#10;2019 AFSR. 7,430.&#10;2020 AFSR. 11,117. &#10;2021 AFSR. 8,690.&#10;&#10;June 2022.&#10;Average annualised payment. -.&#10;2019 AFSR. 7,430.&#10;2020 AFSR. 11,117. &#10;2021 AFSR. 8,690.&#10;&#10;September 2022.&#10;Average annualised payment. -.&#10;2019 AFSR. 7,732.&#10;2020 AFSR. 12,770. &#10;2021 AFSR. 9,907.&#10;&#10;December 2022.&#10;Average annualised payment. -.&#10;2019 AFSR. 7,732.&#10;2020 AFSR. 12,770. &#10;2021 AFSR. 9,907.&#10;&#10;March 2023.&#10;Average annualised payment. -.&#10;2019 AFSR. 7,732.&#10;2020 AFSR. 12,770. &#10;2021 AFSR. 9,907.&#10;&#10;June 2023.&#10;Average annualised payment. -.&#10;2019 AFSR. 7,732.&#10;2020 AFSR. 12,770. &#10;2021 AFSR. 9,907.&#10;&#10;September 2023.&#10;Average annualised payment. -.&#10;2019 AFSR. 8,035.&#10;2020 AFSR. 13,305. &#10;2021 AFSR. 10,671.&#10;&#10;December 2023.&#10;Average annualised payment. -.&#10;2019 AFSR. 8,035.&#10;2020 AFSR. 13,305. &#10;2021 AFSR. 10,671.&#10;&#10;March 2024.&#10;Average annualised payment. -.&#10;2019 AFSR. 8,035.&#10;2020 AFSR. 13,305. &#10;2021 AFSR. 10,671.&#10;&#10;June 2024.&#10;Average annualised payment. -.&#10;2019 AFSR. 8,035.&#10;2020 AFSR. 13,305. &#10;2021 AFSR. 10,671.&#10;&#10;September 2024.&#10;Average annualised payment. -.&#10;2019 AFSR. 8,311.&#10;2020 AFSR. 13,913. &#10;2021 AFSR. 10,846.&#10;&#10;December 2024.&#10;Average annualised payment. -.&#10;2019 AFSR. 8,311.&#10;2020 AFSR. 13,913. &#10;2021 AFSR. 10,846.&#10;&#10;March 2025.&#10;Average annualised payment. -.&#10;2019 AFSR. 8,311.&#10;2020 AFSR. 13,913. &#10;2021 AFSR. 10,846.&#10;&#10;June 2025.&#10;Average annualised payment. -.&#10;2019 AFSR. 8,311.&#10;2020 AFSR. 13,913. &#10;2021 AFSR. 1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Non-SIL participants&#10;&#10;September 2018.&#10;Average annualised payment. 1,168.   &#10;2019 AFSR. -.&#10;2020 AFSR. -. &#10;2021 AFSR. -.&#10;   &#10;&#10;December 2018.&#10;Average annualised payment. 1,133.&#10;2019 AFSR. -.&#10;2020 AFSR. -. &#10;2021 AFSR. -.&#10;&#10;March 2019.&#10;Average annualised payment. 1,165.&#10;2019 AFSR. -.&#10;2020 AFSR. -. &#10;2021 AFSR. -.&#10;&#10;June 2019.&#10;Average annualised payment. 1,303.&#10;2019 AFSR. -.&#10;2020 AFSR. -. &#10;2021 AFSR. -.&#10;&#10;September 2019.&#10;Average annualised payment. 1,658.&#10;2019 AFSR. 1,600.&#10;2020 AFSR. -. &#10;2021 AFSR. -.&#10;&#10;December 2019.&#10;Average annualised payment. 1,751.&#10;2019 AFSR. 1,600.&#10;2020 AFSR. -. &#10;2021 AFSR. -.&#10;&#10;March 2020.&#10;Average annualised payment. 1,786.&#10;2019 AFSR. 1,600.&#10;2020 AFSR. -. &#10;2021 AFSR. -.&#10;&#10;June 2020.&#10;Average annualised payment. 1,905.&#10;2019 AFSR. 1,600.&#10;2020 AFSR. -. &#10;2021 AFSR. -.&#10;&#10;September 2020.&#10;Average annualised payment. 1,887.&#10;2019 AFSR. 1,849.&#10;2020 AFSR. 1,922. &#10;2021 AFSR. -.&#10;&#10;December 2020.&#10;Average annualised payment. 1,632.&#10;2019 AFSR. 1,849.&#10;2020 AFSR. 1,922. &#10;2021 AFSR. -.&#10;&#10;March 2021.&#10;Average annualised payment. 1,350.&#10;2019 AFSR. 1,849.&#10;2020 AFSR. 1,922. &#10;2021 AFSR. -.&#10;&#10;June 2021.&#10;Average annualised payment. 1,235.&#10;2019 AFSR. 1,849.&#10;2020 AFSR. 1,922. &#10;2021 AFSR. -.&#10;&#10;September 2021.&#10;Average annualised payment. -.&#10;2019 AFSR. 1,925.&#10;2020 AFSR. 1,967. &#10;2021 AFSR. 1,350.&#10;&#10;&#10;December 2021.&#10;Average annualised payment. -.&#10;2019 AFSR. 1,925.&#10;2020 AFSR. 1,967. &#10;2021 AFSR. 1,350.&#10;&#10;March 2022.&#10;Average annualised payment. -.&#10;2019 AFSR. 1,925.&#10;2020 AFSR. 1,967. &#10;2021 AFSR. 1,350.&#10;&#10;June 2022.&#10;Average annualised payment. -.&#10;2019 AFSR. 1,925.&#10;2020 AFSR. 1,967. &#10;2021 AFSR. 1,350.&#10;&#10;September 2022.&#10;Average annualised payment. -.&#10;2019 AFSR. 1,971.&#10;2020 AFSR. 2,017. &#10;2021 AFSR. 1,392.&#10;&#10;December 2022.&#10;Average annualised payment. -.&#10;2019 AFSR. 1,971.&#10;2020 AFSR. 2,017. &#10;2021 AFSR. 1,392.&#10;&#10;March 2023.&#10;Average annualised payment. -.&#10;2019 AFSR. 1,971.&#10;2020 AFSR. 2,017. &#10;2021 AFSR. 1,392.&#10;&#10;June 2023.&#10;Average annualised payment. -.&#10;2019 AFSR. 1,971.&#10;2020 AFSR. 2,017. &#10;2021 AFSR. 1,392.&#10;&#10;September 2023.&#10;Average annualised payment. -.&#10;2019 AFSR. 2,014.&#10;2020 AFSR. 2,081. &#10;2021 AFSR. 1,423.&#10;&#10;December 2023.&#10;Average annualised payment. -.&#10;2019 AFSR. 2,014.&#10;2020 AFSR. 2,081. &#10;2021 AFSR. 1,423.&#10;&#10;March 2024.&#10;Average annualised payment. -.&#10;2019 AFSR. 2,014.&#10;2020 AFSR. 2,081. &#10;2021 AFSR. 1,423.&#10;&#10;June 2024.&#10;Average annualised payment. -.&#10;2019 AFSR. 2,014.&#10;2020 AFSR. 2,081. &#10;2021 AFSR. 1,423.&#10;&#10;September 2024.&#10;Average annualised payment. -.&#10;2019 AFSR. 2,073.&#10;2020 AFSR. 2,165. &#10;2021 AFSR. 1,433.&#10;&#10;December 2024.&#10;Average annualised payment. -.&#10;2019 AFSR. 2,073.&#10;2020 AFSR. 2,165. &#10;2021 AFSR. 1,433.&#10;&#10;March 2025.&#10;Average annualised payment. -.&#10;2019 AFSR. 2,073.&#10;2020 AFSR. 2,165. &#10;2021 AFSR. 1,433.&#10;&#10;June 2025.&#10;Average annualised payment. -.&#10;2019 AFSR. 2,073.&#10;2020 AFSR. 2,165. &#10;2021 AFSR. 1,433.&#10;&#10;&#10;&#10;SIL participants&#10;&#10;September 2018.&#10;Average annualised payment. 3,323.   &#10;2019 AFSR. -.&#10;2020 AFSR. -. &#10;2021 AFSR. -.&#10;   &#10;&#10;December 2018.&#10;Average annualised payment. 4,015.&#10;2019 AFSR. -.&#10;2020 AFSR. -. &#10;2021 AFSR. -.&#10;&#10;March 2019.&#10;Average annualised payment. 3,670.&#10;2019 AFSR. -.&#10;2020 AFSR. -. &#10;2021 AFSR. -.&#10;&#10;June 2019.&#10;Average annualised payment. 4,732.&#10;2019 AFSR. -.&#10;2020 AFSR. -. &#10;2021 AFSR. -.&#10;&#10;September 2019.&#10;Average annualised payment. 4,837.&#10;2019 AFSR. 6,532.&#10;2020 AFSR. -. &#10;2021 AFSR. -.&#10;&#10;December 2019.&#10;Average annualised payment. 5,791.&#10;2019 AFSR. 6,532.&#10;2020 AFSR. -. &#10;2021 AFSR. -.&#10;&#10;March 2020.&#10;Average annualised payment. 6,097.&#10;2019 AFSR. 6,532.&#10;2020 AFSR. -. &#10;2021 AFSR. -.&#10;&#10;June 2020.&#10;Average annualised payment. 7,584.&#10;2019 AFSR. 6,532.&#10;2020 AFSR. -. &#10;2021 AFSR. -.&#10;&#10;September 2020.&#10;Average annualised payment. 7,292.&#10;2019 AFSR. 7,127.&#10;2020 AFSR. 8,780. &#10;2021 AFSR. -.&#10;&#10;December 2020.&#10;Average annualised payment. 6,541.&#10;2019 AFSR. 7,127.&#10;2020 AFSR. 8,780. &#10;2021 AFSR. -.&#10;&#10;March 2021.&#10;Average annualised payment. 6,566.&#10;2019 AFSR. 7,127.&#10;2020 AFSR. 8,780. &#10;2021 AFSR. -.&#10;&#10;June 2021.&#10;Average annualised payment. 6,453.&#10;2019 AFSR. 7,127.&#10;2020 AFSR. 8,780. &#10;2021 AFSR. -.&#10;&#10;September 2021.&#10;Average annualised payment. -.&#10;2019 AFSR. 7,430.&#10;2020 AFSR. 11,117. &#10;2021 AFSR. 8,690.&#10;&#10;&#10;December 2021.&#10;Average annualised payment. -.&#10;2019 AFSR. 7,430.&#10;2020 AFSR. 11,117. &#10;2021 AFSR. 8,690.&#10;&#10;March 2022.&#10;Average annualised payment. -.&#10;2019 AFSR. 7,430.&#10;2020 AFSR. 11,117. &#10;2021 AFSR. 8,690.&#10;&#10;June 2022.&#10;Average annualised payment. -.&#10;2019 AFSR. 7,430.&#10;2020 AFSR. 11,117. &#10;2021 AFSR. 8,690.&#10;&#10;September 2022.&#10;Average annualised payment. -.&#10;2019 AFSR. 7,732.&#10;2020 AFSR. 12,770. &#10;2021 AFSR. 9,907.&#10;&#10;December 2022.&#10;Average annualised payment. -.&#10;2019 AFSR. 7,732.&#10;2020 AFSR. 12,770. &#10;2021 AFSR. 9,907.&#10;&#10;March 2023.&#10;Average annualised payment. -.&#10;2019 AFSR. 7,732.&#10;2020 AFSR. 12,770. &#10;2021 AFSR. 9,907.&#10;&#10;June 2023.&#10;Average annualised payment. -.&#10;2019 AFSR. 7,732.&#10;2020 AFSR. 12,770. &#10;2021 AFSR. 9,907.&#10;&#10;September 2023.&#10;Average annualised payment. -.&#10;2019 AFSR. 8,035.&#10;2020 AFSR. 13,305. &#10;2021 AFSR. 10,671.&#10;&#10;December 2023.&#10;Average annualised payment. -.&#10;2019 AFSR. 8,035.&#10;2020 AFSR. 13,305. &#10;2021 AFSR. 10,671.&#10;&#10;March 2024.&#10;Average annualised payment. -.&#10;2019 AFSR. 8,035.&#10;2020 AFSR. 13,305. &#10;2021 AFSR. 10,671.&#10;&#10;June 2024.&#10;Average annualised payment. -.&#10;2019 AFSR. 8,035.&#10;2020 AFSR. 13,305. &#10;2021 AFSR. 10,671.&#10;&#10;September 2024.&#10;Average annualised payment. -.&#10;2019 AFSR. 8,311.&#10;2020 AFSR. 13,913. &#10;2021 AFSR. 10,846.&#10;&#10;December 2024.&#10;Average annualised payment. -.&#10;2019 AFSR. 8,311.&#10;2020 AFSR. 13,913. &#10;2021 AFSR. 10,846.&#10;&#10;March 2025.&#10;Average annualised payment. -.&#10;2019 AFSR. 8,311.&#10;2020 AFSR. 13,913. &#10;2021 AFSR. 10,846.&#10;&#10;June 2025.&#10;Average annualised payment. -.&#10;2019 AFSR. 8,311.&#10;2020 AFSR. 13,913. &#10;2021 AFSR. 10,846."/>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976620" cy="2051685"/>
                    </a:xfrm>
                    <a:prstGeom prst="rect">
                      <a:avLst/>
                    </a:prstGeom>
                    <a:noFill/>
                    <a:ln>
                      <a:noFill/>
                    </a:ln>
                  </pic:spPr>
                </pic:pic>
              </a:graphicData>
            </a:graphic>
          </wp:inline>
        </w:drawing>
      </w:r>
    </w:p>
    <w:p w14:paraId="208F9DF8" w14:textId="75A5058E" w:rsidR="006B7A22" w:rsidRDefault="00B44828" w:rsidP="00B44828">
      <w:r>
        <w:t xml:space="preserve">For non-SIL participants, average annualised payments </w:t>
      </w:r>
      <w:r w:rsidR="0000781D">
        <w:t xml:space="preserve">were </w:t>
      </w:r>
      <w:r>
        <w:t xml:space="preserve">relatively stable during 2018-19 but this was followed by a large increase (approximately 28%) in 2019-20. The increase in 2019-20 could be driven by greater demand for assistive technology or other capital spending associated with new </w:t>
      </w:r>
      <w:r w:rsidR="006B7A22">
        <w:t>participants</w:t>
      </w:r>
      <w:r>
        <w:t>. In 2020</w:t>
      </w:r>
      <w:r>
        <w:noBreakHyphen/>
        <w:t>21 average costs decreased and by June were close to the amounts paid in 2018-19. It is unclear if 2019-20 was unusually high</w:t>
      </w:r>
      <w:r w:rsidR="00967157">
        <w:t>, but we understand that at least part of the drop over the past six months is due to a slowdown in activity and therefore the projected payments appear to be too low</w:t>
      </w:r>
      <w:r>
        <w:t xml:space="preserve">. </w:t>
      </w:r>
    </w:p>
    <w:p w14:paraId="0FB995AA" w14:textId="77777777" w:rsidR="009724F2" w:rsidRDefault="00B44828" w:rsidP="006B7A22">
      <w:r>
        <w:t>In contrast to the trend observed for non-SIL participants, average annualised payments for SIL participants stayed relatively flat in 2020-21, following an increase in 2019-20. While the 20</w:t>
      </w:r>
      <w:r w:rsidR="00D320CF">
        <w:t>18-</w:t>
      </w:r>
      <w:r>
        <w:t>19 AFSR assumptions were broadly in line with observed experience, the 20</w:t>
      </w:r>
      <w:r w:rsidR="00D320CF">
        <w:t>19-</w:t>
      </w:r>
      <w:r>
        <w:t>20 AFSR basis overestimated average payments during 2020-21. The 20</w:t>
      </w:r>
      <w:r w:rsidR="00D320CF">
        <w:t>20-</w:t>
      </w:r>
      <w:r>
        <w:t xml:space="preserve">21 AFSR assumes average payments which lie between the two previous </w:t>
      </w:r>
      <w:r w:rsidR="00636FA6">
        <w:t>bases but</w:t>
      </w:r>
      <w:r>
        <w:t xml:space="preserve"> remains higher than recent experience.</w:t>
      </w:r>
    </w:p>
    <w:p w14:paraId="5FC200DD" w14:textId="77777777" w:rsidR="00B44828" w:rsidRDefault="00B44828" w:rsidP="00B44828">
      <w:pPr>
        <w:pStyle w:val="Heading3"/>
      </w:pPr>
      <w:r>
        <w:t>Analysis of average costs by age, disability type and level of function</w:t>
      </w:r>
    </w:p>
    <w:p w14:paraId="30A80503" w14:textId="4C148A27" w:rsidR="00B44828" w:rsidRDefault="006B7A22" w:rsidP="00B44828">
      <w:r>
        <w:t>A</w:t>
      </w:r>
      <w:r w:rsidR="00B44828">
        <w:t xml:space="preserve">verage size assumptions </w:t>
      </w:r>
      <w:r>
        <w:t xml:space="preserve">are set </w:t>
      </w:r>
      <w:r w:rsidR="00B44828">
        <w:t>based on annualised payment levels for the three months to 31 May 2021 for participants who were active at both 28 February 2021 and 31 May 2021 with their first plan approved by 29 February 2020. This is then smoothed to remove any statistical noise that occurs between age and functional groups. The average size assumptions are the assumed current cost per participant, which are then assumed to grow over time as a result of inflation and superimposed inflation.</w:t>
      </w:r>
    </w:p>
    <w:p w14:paraId="38D51F0E" w14:textId="035F248E" w:rsidR="00B44828" w:rsidRDefault="006B7A22" w:rsidP="00B44828">
      <w:r>
        <w:t>G</w:t>
      </w:r>
      <w:r w:rsidR="00B44828">
        <w:t>eneral</w:t>
      </w:r>
      <w:r>
        <w:t>ly</w:t>
      </w:r>
      <w:r w:rsidR="00B44828">
        <w:t xml:space="preserve">, when projecting future costs over a </w:t>
      </w:r>
      <w:r w:rsidR="00636FA6">
        <w:t>long-time</w:t>
      </w:r>
      <w:r w:rsidR="00B44828">
        <w:t xml:space="preserve"> horizon, it is preferable to base selections on longer-term experience. However, given the rapidly changing environment with costs escalating quickly and limited longitudinal data, the adopted approach is reasonable. If longer-term experience, say over the past year, was adopted then additional loadings would be required to capture the increasing costs per participant.</w:t>
      </w:r>
    </w:p>
    <w:p w14:paraId="63152331" w14:textId="1F7B0A10" w:rsidR="00B44828" w:rsidRDefault="00B44828" w:rsidP="00B44828">
      <w:r>
        <w:t xml:space="preserve">In addition, when setting payment assumptions for Core services related to Daily Activities, the Scheme Actuary has removed payments relating to RAC supports. This was because, as shown in </w:t>
      </w:r>
      <w:r>
        <w:fldChar w:fldCharType="begin"/>
      </w:r>
      <w:r>
        <w:instrText xml:space="preserve"> REF _Ref86950871 \h </w:instrText>
      </w:r>
      <w:r>
        <w:fldChar w:fldCharType="separate"/>
      </w:r>
      <w:r w:rsidR="00E6217F">
        <w:t xml:space="preserve">Figure </w:t>
      </w:r>
      <w:r w:rsidR="00E6217F">
        <w:rPr>
          <w:noProof/>
        </w:rPr>
        <w:t>4</w:t>
      </w:r>
      <w:r w:rsidR="00E6217F">
        <w:t>.</w:t>
      </w:r>
      <w:r w:rsidR="00E6217F">
        <w:rPr>
          <w:noProof/>
        </w:rPr>
        <w:t>8</w:t>
      </w:r>
      <w:r>
        <w:fldChar w:fldCharType="end"/>
      </w:r>
      <w:r>
        <w:t xml:space="preserve">, RAC payments are lumpy and can distort the experience over a </w:t>
      </w:r>
      <w:r w:rsidR="00636FA6">
        <w:t>three-month</w:t>
      </w:r>
      <w:r>
        <w:t xml:space="preserve"> period. To allow for RAC costs a separate loading is applied. However</w:t>
      </w:r>
      <w:r w:rsidR="00BE4E87">
        <w:t>,</w:t>
      </w:r>
      <w:r>
        <w:t xml:space="preserve"> this loading is applied uniformly across all ages whereas it should vary by age as almost all RAC costs relate to participants aged 45</w:t>
      </w:r>
      <w:r w:rsidR="00BE4E87">
        <w:t xml:space="preserve"> and over</w:t>
      </w:r>
      <w:r>
        <w:t>. Varying the RAC loading does not materially affect total projected payments over the short term, but over the longer</w:t>
      </w:r>
      <w:r w:rsidR="009C5939">
        <w:t xml:space="preserve"> </w:t>
      </w:r>
      <w:r>
        <w:t>term as people age and more people enter RAC it could lead to a small underestimation in payments.</w:t>
      </w:r>
    </w:p>
    <w:p w14:paraId="3CF3F71A" w14:textId="3885C7B4" w:rsidR="00B44828" w:rsidRDefault="00B44828" w:rsidP="00B44828">
      <w:r>
        <w:t>There are several thousand average size assumptions in the projection model, so it is not practical to review all of them in detail in this report. As a check we assumed average size assumption</w:t>
      </w:r>
      <w:r w:rsidR="00BE4E87">
        <w:t>s</w:t>
      </w:r>
      <w:r>
        <w:t xml:space="preserve"> were based on experience for the three months to May 2021, without applying any smoothing adjustments. This resulted in projected payments for 2024-25 </w:t>
      </w:r>
      <w:r w:rsidR="00BE4E87">
        <w:t xml:space="preserve">and 2029-30 </w:t>
      </w:r>
      <w:r>
        <w:t xml:space="preserve">being </w:t>
      </w:r>
      <w:r w:rsidR="00BE4E87">
        <w:t xml:space="preserve">within 1% of the </w:t>
      </w:r>
      <w:r>
        <w:t>AFSR projections</w:t>
      </w:r>
      <w:r w:rsidR="00BE4E87">
        <w:t>. This indicates that the adopted assumptions, which includes smoothing, were set consistently with observed experience</w:t>
      </w:r>
      <w:r>
        <w:t xml:space="preserve">. </w:t>
      </w:r>
      <w:r w:rsidR="0072483C" w:rsidRPr="00330584">
        <w:t xml:space="preserve">Most </w:t>
      </w:r>
      <w:r w:rsidR="0072483C">
        <w:t xml:space="preserve">support </w:t>
      </w:r>
      <w:r w:rsidR="0072483C" w:rsidRPr="00330584">
        <w:t xml:space="preserve">categories </w:t>
      </w:r>
      <w:r w:rsidR="0072483C">
        <w:t>have</w:t>
      </w:r>
      <w:r w:rsidR="0072483C" w:rsidRPr="00330584">
        <w:t xml:space="preserve"> appropriate </w:t>
      </w:r>
      <w:r w:rsidR="0072483C">
        <w:t>assumptions, and although in some cases we would have selected different assumptions, in aggregate they are reasonable and capture recent trends</w:t>
      </w:r>
      <w:r w:rsidR="0072483C" w:rsidRPr="00330584">
        <w:t>.</w:t>
      </w:r>
    </w:p>
    <w:p w14:paraId="765B7449" w14:textId="67BF6ECF" w:rsidR="00B44828" w:rsidRDefault="00B44828" w:rsidP="00B44828">
      <w:r>
        <w:t xml:space="preserve">In this section, we provide some examples which compare the </w:t>
      </w:r>
      <w:r w:rsidR="00243F4C">
        <w:t>2020-21 AFSR</w:t>
      </w:r>
      <w:r>
        <w:t xml:space="preserve"> average size assumptions against actual experience</w:t>
      </w:r>
      <w:r w:rsidRPr="0026084E">
        <w:t xml:space="preserve"> </w:t>
      </w:r>
      <w:r>
        <w:t>(excluding RAC) costs to 31 May 2021,</w:t>
      </w:r>
      <w:r>
        <w:rPr>
          <w:rStyle w:val="FootnoteReference"/>
        </w:rPr>
        <w:footnoteReference w:id="11"/>
      </w:r>
      <w:r>
        <w:t xml:space="preserve"> as well as longer term trends</w:t>
      </w:r>
      <w:r>
        <w:rPr>
          <w:rStyle w:val="FootnoteReference"/>
        </w:rPr>
        <w:footnoteReference w:id="12"/>
      </w:r>
      <w:r>
        <w:t>.</w:t>
      </w:r>
    </w:p>
    <w:p w14:paraId="2D891E8A" w14:textId="77777777" w:rsidR="00B44828" w:rsidRDefault="00B44828" w:rsidP="00B44828"/>
    <w:p w14:paraId="4BD7568C" w14:textId="77777777" w:rsidR="00B44828" w:rsidRDefault="00B44828" w:rsidP="00793029">
      <w:pPr>
        <w:pStyle w:val="NNheading4"/>
      </w:pPr>
      <w:r>
        <w:t xml:space="preserve">Example 1: </w:t>
      </w:r>
      <w:r w:rsidRPr="00602ED9">
        <w:t xml:space="preserve">Core </w:t>
      </w:r>
      <w:r>
        <w:t xml:space="preserve">services related to </w:t>
      </w:r>
      <w:r w:rsidRPr="00602ED9">
        <w:t xml:space="preserve">Daily Activities </w:t>
      </w:r>
      <w:r>
        <w:t>for</w:t>
      </w:r>
      <w:r w:rsidRPr="00602ED9">
        <w:t xml:space="preserve"> </w:t>
      </w:r>
      <w:r>
        <w:t>i</w:t>
      </w:r>
      <w:r w:rsidRPr="00602ED9">
        <w:t xml:space="preserve">ntellectual </w:t>
      </w:r>
      <w:r>
        <w:t>d</w:t>
      </w:r>
      <w:r w:rsidRPr="00602ED9">
        <w:t xml:space="preserve">isability </w:t>
      </w:r>
    </w:p>
    <w:p w14:paraId="1F200990" w14:textId="6CF505A1" w:rsidR="00B44828" w:rsidRDefault="00B44828" w:rsidP="00793029">
      <w:pPr>
        <w:keepNext/>
      </w:pPr>
      <w:r>
        <w:t xml:space="preserve">From the </w:t>
      </w:r>
      <w:r w:rsidR="00243F4C">
        <w:t>2020-21 AFSR</w:t>
      </w:r>
      <w:r>
        <w:t xml:space="preserve">, in 2024-25 $2.4B will be paid in relation to daily activity cost for non-SIL participants with an intellectual disability, increasing to $3.2B in 2029-30. </w:t>
      </w:r>
      <w:r>
        <w:fldChar w:fldCharType="begin"/>
      </w:r>
      <w:r>
        <w:instrText xml:space="preserve"> REF _Ref87434454 \h </w:instrText>
      </w:r>
      <w:r>
        <w:fldChar w:fldCharType="separate"/>
      </w:r>
      <w:r w:rsidR="00E6217F">
        <w:t xml:space="preserve">Figure </w:t>
      </w:r>
      <w:r w:rsidR="00E6217F">
        <w:rPr>
          <w:noProof/>
        </w:rPr>
        <w:t>4</w:t>
      </w:r>
      <w:r w:rsidR="00E6217F">
        <w:t>.</w:t>
      </w:r>
      <w:r w:rsidR="00E6217F">
        <w:rPr>
          <w:noProof/>
        </w:rPr>
        <w:t>12</w:t>
      </w:r>
      <w:r>
        <w:fldChar w:fldCharType="end"/>
      </w:r>
      <w:r>
        <w:t xml:space="preserve"> compares</w:t>
      </w:r>
      <w:r w:rsidR="00BE4E87">
        <w:t xml:space="preserve"> the</w:t>
      </w:r>
      <w:r>
        <w:t xml:space="preserve"> </w:t>
      </w:r>
      <w:r w:rsidR="00243F4C">
        <w:t>2020-21 AFSR</w:t>
      </w:r>
      <w:r>
        <w:t xml:space="preserve"> average size assumptions for Daily Activities with observed experience excluding RAC costs for this cohort. </w:t>
      </w:r>
    </w:p>
    <w:p w14:paraId="2B1B8CDD" w14:textId="3CEC5DF7" w:rsidR="00B44828" w:rsidRPr="00FD266A" w:rsidRDefault="00B44828" w:rsidP="00793029">
      <w:pPr>
        <w:pStyle w:val="Caption"/>
        <w:spacing w:after="0"/>
      </w:pPr>
      <w:bookmarkStart w:id="160" w:name="_Ref87434454"/>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12</w:t>
      </w:r>
      <w:r>
        <w:fldChar w:fldCharType="end"/>
      </w:r>
      <w:bookmarkEnd w:id="160"/>
      <w:r>
        <w:t xml:space="preserve"> – </w:t>
      </w:r>
      <w:r w:rsidR="00243F4C">
        <w:t>2020-21 AFSR</w:t>
      </w:r>
      <w:r>
        <w:t xml:space="preserve"> starting payment assumptions for Daily Activities and observed experience excluding RAC related costs for non-SIL participants with intellectual disability</w:t>
      </w:r>
    </w:p>
    <w:p w14:paraId="5AF7D2ED" w14:textId="56B6C45C" w:rsidR="00B44828" w:rsidRDefault="00BE4E87" w:rsidP="00B44828">
      <w:r>
        <w:rPr>
          <w:noProof/>
        </w:rPr>
        <mc:AlternateContent>
          <mc:Choice Requires="wps">
            <w:drawing>
              <wp:anchor distT="0" distB="0" distL="114300" distR="114300" simplePos="0" relativeHeight="251683840" behindDoc="0" locked="0" layoutInCell="1" allowOverlap="1" wp14:anchorId="752DB822" wp14:editId="4071B58B">
                <wp:simplePos x="0" y="0"/>
                <wp:positionH relativeFrom="column">
                  <wp:posOffset>1771650</wp:posOffset>
                </wp:positionH>
                <wp:positionV relativeFrom="paragraph">
                  <wp:posOffset>556260</wp:posOffset>
                </wp:positionV>
                <wp:extent cx="3924000" cy="53975"/>
                <wp:effectExtent l="0" t="19050" r="95885" b="98425"/>
                <wp:wrapNone/>
                <wp:docPr id="113"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000" cy="53975"/>
                        </a:xfrm>
                        <a:prstGeom prst="straightConnector1">
                          <a:avLst/>
                        </a:prstGeom>
                        <a:noFill/>
                        <a:ln w="9525" cap="rnd">
                          <a:solidFill>
                            <a:schemeClr val="accent4">
                              <a:lumMod val="100000"/>
                              <a:lumOff val="0"/>
                            </a:schemeClr>
                          </a:solidFill>
                          <a:prstDash val="sysDot"/>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49294F1" id="AutoShape 4" o:spid="_x0000_s1026" type="#_x0000_t32" alt="&quot;&quot;" style="position:absolute;margin-left:139.5pt;margin-top:43.8pt;width:309pt;height: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" strokecolor="#939 [3207]">
                <v:stroke dashstyle="1 1" endarrow="block" endcap="round"/>
              </v:shape>
            </w:pict>
          </mc:Fallback>
        </mc:AlternateContent>
      </w:r>
      <w:r w:rsidR="00B44828">
        <w:rPr>
          <w:noProof/>
        </w:rPr>
        <w:drawing>
          <wp:inline distT="0" distB="0" distL="0" distR="0" wp14:anchorId="19E4F429" wp14:editId="0B417114">
            <wp:extent cx="5976620" cy="2200910"/>
            <wp:effectExtent l="0" t="0" r="5080" b="8890"/>
            <wp:docPr id="93" name="Graphic 93" descr="Non-SIL participants&#10;0 to 6.&#10;March to May 21. Functional level 1. Average annualised payment. 3,996.&#10;March to May 21. Functional level 2. 8,475.&#10;March to May 21. Functional level 3. 19,194.&#10;March to May 21. Functional level 4. 34,514.&#10;2021 AFSR. Functional level 1. 3,308.&#10;2021 AFSR. Functional level 2. 7,395.&#10;2021 AFSR. Functional level 3. 17,902.&#10;2021 AFSR. Functional level 4. 34,735.&#10;&#10;&#10;7 to 14.&#10;March to May 21. Functional level 1. Average annualised payment. 4,448.&#10;March to May 21. Functional level 2. 9,493.&#10;March to May 21. Functional level 3. 20,673.&#10;March to May 21. Functional level 4. 38,164.&#10;2021 AFSR. Functional level 1. 3,308.&#10;2021 AFSR. Functional level 2. 7,395.&#10;2021 AFSR. Functional level 3. 17,902.&#10;2021 AFSR. Functional level 4. 34,735.&#10;&#10;&#10;15 to 18.&#10;March to May 21. Functional level 1. Average annualised payment.  5,837.&#10;March to May 21. Functional level 2. 14,720.&#10;March to May 21. Functional level 3. 26,851.&#10;March to May 21. Functional level 4. 53,791.&#10;2021 AFSR. Functional level 1. 5,546.&#10;2021 AFSR. Functional level 2. 10,800.&#10;2021 AFSR. Functional level 3. 25,005.&#10;2021 AFSR. Functional level 4. 52,832.&#10;&#10;&#10;19 to 24.&#10;March to May 21. Functional level 1. Average annualised payment. 4,848.&#10;March to May 21. Functional level 2. 9,821.&#10;March to May 21. Functional level 3. 25,926.&#10;March to May 21. Functional level 4. 52,823.&#10;2021 AFSR. Functional level 1. 5,546.&#10;2021 AFSR. Functional level 2. 10,800.&#10;2021 AFSR. Functional level 3. 25,005.&#10;2021 AFSR. Functional level 4. 52,832.&#10;&#10;&#10;25 to 34.&#10;March to May 21. Functional level 1. Average annualised payment.  5,924.&#10;March to May 21. Functional level 2. 10,573.&#10;March to May 21. Functional level 3. 25,013.&#10;March to May 21. Functional level 4. 53,988.&#10;2021 AFSR. Functional level 1. 5,546.&#10;2021 AFSR. Functional level 2. 10,800.&#10;2021 AFSR. Functional level 3. 25,005.&#10;2021 AFSR. Functional level 4. 52,832.&#10;&#10;&#10;35 to 44.&#10;March to May 21. Functional level 1. Average annualised payment. 6,439.&#10;March to May 21. Functional level 2. 9,762.&#10;March to May 21. Functional level 3. 24,916.&#10;March to May 21. Functional level 4. 54,788.&#10;2021 AFSR. Functional level 1. 5,546.&#10;2021 AFSR. Functional level 2. 10,800.&#10;2021 AFSR. Functional level 3. 25,005.&#10;2021 AFSR. Functional level 4. 52,832.&#10;&#10;&#10;45 to 54.&#10;March to May 21. Functional level 1. Average annualised payment. 8,075.&#10;March to May 21. Functional level 2. 10,134.&#10;March to May 21. Functional level 3. 24,822.&#10;March to May 21. Functional level 4. 55,776.&#10;2021 AFSR. Functional level 1. 5,546.&#10;2021 AFSR. Functional level 2. 10,800.&#10;2021 AFSR. Functional level 3. 25,005.&#10;2021 AFSR. Functional level 4. 52,832.&#10;&#10;&#10;55 to 64.&#10;March to May 21. Functional level 1. Average annualised payment. 8,042.&#10;March to May 21. Functional level 2. 12,934.&#10;March to May 21. Functional level 3. 23,009.&#10;March to May 21. Functional level 4. 45,254.&#10;2021 AFSR. Functional level 1. 5,546.&#10;2021 AFSR. Functional level 2. 10,800.&#10;2021 AFSR. Functional level 3. 25,005.&#10;2021 AFSR. Functional level 4. 52,832.&#10;&#10;&#10;65+.&#10;March to May 21. Functional level 1. Average annualised payment. 10,188.&#10;March to May 21. Functional level 2. 13,848.&#10;March to May 21. Functional level 3. 25,885.&#10;March to May 21. Functional level 4. 39,420.&#10;2021 AFSR. Functional level 1. 5,546.&#10;2021 AFSR. Functional level 2. 10,800.&#10;2021 AFSR. Functional level 3. 25,005.&#10;2021 AFSR. Functional level 4. 52,832.&#10;&#10;&#10;Functional level 4, aged 25 to 34&#10;&#10;September 2018. Annualised payment excluding aged care. 31,131.&#10;December 2018. 29,774.&#10;March 2019. 32,703.&#10;June 2019. 32,537.&#10;September 2019. 34,359.&#10;December 2019. 40,572.&#10;March 2020. 38,231.&#10;June 2020. 37,464.&#10;September 2020. 43,651.&#10;December 2020. 45,964.&#10;March 2021. 51,309.&#10;June 2021. 5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raphic 93" descr="Non-SIL participants&#10;0 to 6.&#10;March to May 21. Functional level 1. Average annualised payment. 3,996.&#10;March to May 21. Functional level 2. 8,475.&#10;March to May 21. Functional level 3. 19,194.&#10;March to May 21. Functional level 4. 34,514.&#10;2021 AFSR. Functional level 1. 3,308.&#10;2021 AFSR. Functional level 2. 7,395.&#10;2021 AFSR. Functional level 3. 17,902.&#10;2021 AFSR. Functional level 4. 34,735.&#10;&#10;&#10;7 to 14.&#10;March to May 21. Functional level 1. Average annualised payment. 4,448.&#10;March to May 21. Functional level 2. 9,493.&#10;March to May 21. Functional level 3. 20,673.&#10;March to May 21. Functional level 4. 38,164.&#10;2021 AFSR. Functional level 1. 3,308.&#10;2021 AFSR. Functional level 2. 7,395.&#10;2021 AFSR. Functional level 3. 17,902.&#10;2021 AFSR. Functional level 4. 34,735.&#10;&#10;&#10;15 to 18.&#10;March to May 21. Functional level 1. Average annualised payment.  5,837.&#10;March to May 21. Functional level 2. 14,720.&#10;March to May 21. Functional level 3. 26,851.&#10;March to May 21. Functional level 4. 53,791.&#10;2021 AFSR. Functional level 1. 5,546.&#10;2021 AFSR. Functional level 2. 10,800.&#10;2021 AFSR. Functional level 3. 25,005.&#10;2021 AFSR. Functional level 4. 52,832.&#10;&#10;&#10;19 to 24.&#10;March to May 21. Functional level 1. Average annualised payment. 4,848.&#10;March to May 21. Functional level 2. 9,821.&#10;March to May 21. Functional level 3. 25,926.&#10;March to May 21. Functional level 4. 52,823.&#10;2021 AFSR. Functional level 1. 5,546.&#10;2021 AFSR. Functional level 2. 10,800.&#10;2021 AFSR. Functional level 3. 25,005.&#10;2021 AFSR. Functional level 4. 52,832.&#10;&#10;&#10;25 to 34.&#10;March to May 21. Functional level 1. Average annualised payment.  5,924.&#10;March to May 21. Functional level 2. 10,573.&#10;March to May 21. Functional level 3. 25,013.&#10;March to May 21. Functional level 4. 53,988.&#10;2021 AFSR. Functional level 1. 5,546.&#10;2021 AFSR. Functional level 2. 10,800.&#10;2021 AFSR. Functional level 3. 25,005.&#10;2021 AFSR. Functional level 4. 52,832.&#10;&#10;&#10;35 to 44.&#10;March to May 21. Functional level 1. Average annualised payment. 6,439.&#10;March to May 21. Functional level 2. 9,762.&#10;March to May 21. Functional level 3. 24,916.&#10;March to May 21. Functional level 4. 54,788.&#10;2021 AFSR. Functional level 1. 5,546.&#10;2021 AFSR. Functional level 2. 10,800.&#10;2021 AFSR. Functional level 3. 25,005.&#10;2021 AFSR. Functional level 4. 52,832.&#10;&#10;&#10;45 to 54.&#10;March to May 21. Functional level 1. Average annualised payment. 8,075.&#10;March to May 21. Functional level 2. 10,134.&#10;March to May 21. Functional level 3. 24,822.&#10;March to May 21. Functional level 4. 55,776.&#10;2021 AFSR. Functional level 1. 5,546.&#10;2021 AFSR. Functional level 2. 10,800.&#10;2021 AFSR. Functional level 3. 25,005.&#10;2021 AFSR. Functional level 4. 52,832.&#10;&#10;&#10;55 to 64.&#10;March to May 21. Functional level 1. Average annualised payment. 8,042.&#10;March to May 21. Functional level 2. 12,934.&#10;March to May 21. Functional level 3. 23,009.&#10;March to May 21. Functional level 4. 45,254.&#10;2021 AFSR. Functional level 1. 5,546.&#10;2021 AFSR. Functional level 2. 10,800.&#10;2021 AFSR. Functional level 3. 25,005.&#10;2021 AFSR. Functional level 4. 52,832.&#10;&#10;&#10;65+.&#10;March to May 21. Functional level 1. Average annualised payment. 10,188.&#10;March to May 21. Functional level 2. 13,848.&#10;March to May 21. Functional level 3. 25,885.&#10;March to May 21. Functional level 4. 39,420.&#10;2021 AFSR. Functional level 1. 5,546.&#10;2021 AFSR. Functional level 2. 10,800.&#10;2021 AFSR. Functional level 3. 25,005.&#10;2021 AFSR. Functional level 4. 52,832.&#10;&#10;&#10;Functional level 4, aged 25 to 34&#10;&#10;September 2018. Annualised payment excluding aged care. 31,131.&#10;December 2018. 29,774.&#10;March 2019. 32,703.&#10;June 2019. 32,537.&#10;September 2019. 34,359.&#10;December 2019. 40,572.&#10;March 2020. 38,231.&#10;June 2020. 37,464.&#10;September 2020. 43,651.&#10;December 2020. 45,964.&#10;March 2021. 51,309.&#10;June 2021. 52,159."/>
                    <pic:cNvPicPr/>
                  </pic:nvPicPr>
                  <pic:blipFill>
                    <a:blip r:embed="rId72">
                      <a:extLst>
                        <a:ext uri="{96DAC541-7B7A-43D3-8B79-37D633B846F1}">
                          <asvg:svgBlip xmlns:asvg="http://schemas.microsoft.com/office/drawing/2016/SVG/main" r:embed="rId73"/>
                        </a:ext>
                      </a:extLst>
                    </a:blip>
                    <a:stretch>
                      <a:fillRect/>
                    </a:stretch>
                  </pic:blipFill>
                  <pic:spPr>
                    <a:xfrm>
                      <a:off x="0" y="0"/>
                      <a:ext cx="5976620" cy="2200910"/>
                    </a:xfrm>
                    <a:prstGeom prst="rect">
                      <a:avLst/>
                    </a:prstGeom>
                  </pic:spPr>
                </pic:pic>
              </a:graphicData>
            </a:graphic>
          </wp:inline>
        </w:drawing>
      </w:r>
    </w:p>
    <w:p w14:paraId="7063A35D" w14:textId="1A660411" w:rsidR="00B44828" w:rsidRDefault="00B44828" w:rsidP="00B44828">
      <w:r>
        <w:t xml:space="preserve">The left-hand chart shows the average size assumptions (solid lines) are generally close to the observed experience (dashed lines) for the three months to 31 May 2021. The right-hand chart shows the increasing trend for just those </w:t>
      </w:r>
      <w:r w:rsidRPr="00830FEB">
        <w:t>aged 25-34 in</w:t>
      </w:r>
      <w:r>
        <w:t xml:space="preserve"> functional group 4 and the adopted assumption, but this chart could be created and analysed for each functional and age combination.</w:t>
      </w:r>
    </w:p>
    <w:p w14:paraId="5C585D0E" w14:textId="21CCFAA5" w:rsidR="00B44828" w:rsidRDefault="00B44828" w:rsidP="00CE3B88">
      <w:pPr>
        <w:rPr>
          <w:rFonts w:asciiTheme="majorHAnsi" w:eastAsiaTheme="majorEastAsia" w:hAnsiTheme="majorHAnsi" w:cstheme="majorBidi"/>
          <w:color w:val="006EC8" w:themeColor="accent1"/>
        </w:rPr>
      </w:pPr>
      <w:r>
        <w:t>For participants aged 55+ in functional group 4 the observed average cost drops and is below the adopted assumption. This is because th</w:t>
      </w:r>
      <w:r w:rsidR="00BE4E87">
        <w:t>is</w:t>
      </w:r>
      <w:r>
        <w:t xml:space="preserve"> cohort has a large proportion of people in RAC, and these costs may reduce the amount of support required by other providers. If we included the cost of RAC, based on experience across 2020-21, then the average would increase by approximately $20,000 to $65,000 and there would in fact be an increasing trend by age. This is an example of why the uniform RAC loading (discussed in section </w:t>
      </w:r>
      <w:r>
        <w:fldChar w:fldCharType="begin"/>
      </w:r>
      <w:r>
        <w:instrText xml:space="preserve"> REF _Ref87449540 \r \h </w:instrText>
      </w:r>
      <w:r>
        <w:fldChar w:fldCharType="separate"/>
      </w:r>
      <w:r w:rsidR="00E6217F">
        <w:t>4.5.1</w:t>
      </w:r>
      <w:r>
        <w:fldChar w:fldCharType="end"/>
      </w:r>
      <w:r>
        <w:t xml:space="preserve">) can add additional complexity to interpreting the analysis and setting assumptions. </w:t>
      </w:r>
    </w:p>
    <w:p w14:paraId="44F6C6CA" w14:textId="77777777" w:rsidR="00B44828" w:rsidRDefault="00B44828" w:rsidP="00CE3B88">
      <w:pPr>
        <w:pStyle w:val="NNheading4"/>
      </w:pPr>
      <w:r>
        <w:t xml:space="preserve">Example 2: </w:t>
      </w:r>
      <w:r w:rsidRPr="00602ED9">
        <w:t xml:space="preserve">Core </w:t>
      </w:r>
      <w:r>
        <w:t xml:space="preserve">services related to </w:t>
      </w:r>
      <w:r w:rsidRPr="00602ED9">
        <w:t xml:space="preserve">Daily Activities </w:t>
      </w:r>
      <w:r>
        <w:t>for</w:t>
      </w:r>
      <w:r w:rsidRPr="00602ED9">
        <w:t xml:space="preserve"> </w:t>
      </w:r>
      <w:r>
        <w:t>autism</w:t>
      </w:r>
    </w:p>
    <w:p w14:paraId="4A351204" w14:textId="18A1D203" w:rsidR="00B44828" w:rsidRDefault="00B44828" w:rsidP="00CE3B88">
      <w:pPr>
        <w:keepNext/>
      </w:pPr>
      <w:r>
        <w:t>Changes to the average size assumptions have resulted in projected Daily Activit</w:t>
      </w:r>
      <w:r w:rsidR="00BE4E87">
        <w:t>y</w:t>
      </w:r>
      <w:r>
        <w:t xml:space="preserve"> payments in 2024-25 for non-SIL participants with autism increasing by $116M compared to the </w:t>
      </w:r>
      <w:r w:rsidR="00D320CF">
        <w:t>2018-19 AFSR</w:t>
      </w:r>
      <w:r>
        <w:t xml:space="preserve">. Participants with functional level 4 who are aged between 15 </w:t>
      </w:r>
      <w:r w:rsidR="00402FEE">
        <w:t xml:space="preserve">and </w:t>
      </w:r>
      <w:r>
        <w:t xml:space="preserve">18 contributes to about half of this increase. </w:t>
      </w:r>
    </w:p>
    <w:p w14:paraId="71010D19" w14:textId="10CBBBEA" w:rsidR="00B44828" w:rsidRDefault="00B44828" w:rsidP="00CE3B88">
      <w:pPr>
        <w:keepNext/>
      </w:pPr>
      <w:r>
        <w:fldChar w:fldCharType="begin"/>
      </w:r>
      <w:r>
        <w:instrText xml:space="preserve"> REF _Ref87434390 \h </w:instrText>
      </w:r>
      <w:r>
        <w:fldChar w:fldCharType="separate"/>
      </w:r>
      <w:r w:rsidR="00E6217F">
        <w:t xml:space="preserve">Figure </w:t>
      </w:r>
      <w:r w:rsidR="00E6217F">
        <w:rPr>
          <w:noProof/>
        </w:rPr>
        <w:t>4</w:t>
      </w:r>
      <w:r w:rsidR="00E6217F">
        <w:t>.</w:t>
      </w:r>
      <w:r w:rsidR="00E6217F">
        <w:rPr>
          <w:noProof/>
        </w:rPr>
        <w:t>13</w:t>
      </w:r>
      <w:r>
        <w:fldChar w:fldCharType="end"/>
      </w:r>
      <w:r>
        <w:t xml:space="preserve"> compares the revised assumptions with observed experience for this cohort. It shows the adopted assumptions are consistent with the most recent experience, and that these costs have been increasing steadily over the past three years. </w:t>
      </w:r>
    </w:p>
    <w:p w14:paraId="50607CA1" w14:textId="0B794CD7" w:rsidR="00B44828" w:rsidRPr="00FD266A" w:rsidRDefault="00B44828" w:rsidP="00CE3B88">
      <w:pPr>
        <w:pStyle w:val="Caption"/>
        <w:spacing w:after="0"/>
      </w:pPr>
      <w:bookmarkStart w:id="161" w:name="_Ref87434390"/>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13</w:t>
      </w:r>
      <w:r>
        <w:fldChar w:fldCharType="end"/>
      </w:r>
      <w:bookmarkEnd w:id="161"/>
      <w:r>
        <w:t xml:space="preserve"> – </w:t>
      </w:r>
      <w:r w:rsidR="00243F4C">
        <w:t>2020-21 AFSR</w:t>
      </w:r>
      <w:r>
        <w:t xml:space="preserve"> starting payment assumptions for Daily Activities and observed experience excluding RAC related costs for non-SIL participants with autism</w:t>
      </w:r>
    </w:p>
    <w:p w14:paraId="799C8E5D" w14:textId="11B577B2" w:rsidR="00A520C9" w:rsidRPr="008A5742" w:rsidRDefault="006B2A3C" w:rsidP="00B44828">
      <w:r>
        <w:rPr>
          <w:noProof/>
        </w:rPr>
        <mc:AlternateContent>
          <mc:Choice Requires="wps">
            <w:drawing>
              <wp:anchor distT="0" distB="0" distL="114300" distR="114300" simplePos="0" relativeHeight="251681792" behindDoc="0" locked="0" layoutInCell="1" allowOverlap="1" wp14:anchorId="4DAAB556" wp14:editId="04475AC4">
                <wp:simplePos x="0" y="0"/>
                <wp:positionH relativeFrom="column">
                  <wp:posOffset>1194435</wp:posOffset>
                </wp:positionH>
                <wp:positionV relativeFrom="paragraph">
                  <wp:posOffset>634365</wp:posOffset>
                </wp:positionV>
                <wp:extent cx="4472305" cy="53975"/>
                <wp:effectExtent l="0" t="19050" r="80645" b="79375"/>
                <wp:wrapNone/>
                <wp:docPr id="109" name="Auto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2305" cy="53975"/>
                        </a:xfrm>
                        <a:prstGeom prst="straightConnector1">
                          <a:avLst/>
                        </a:prstGeom>
                        <a:noFill/>
                        <a:ln w="9525" cap="rnd">
                          <a:solidFill>
                            <a:schemeClr val="accent4">
                              <a:lumMod val="100000"/>
                              <a:lumOff val="0"/>
                            </a:schemeClr>
                          </a:solidFill>
                          <a:prstDash val="sysDot"/>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04E7FAB" id="AutoShape 4" o:spid="_x0000_s1026" type="#_x0000_t32" alt="&quot;&quot;" style="position:absolute;margin-left:94.05pt;margin-top:49.95pt;width:352.15pt;height: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" strokecolor="#939 [3207]">
                <v:stroke dashstyle="1 1" endarrow="block" endcap="round"/>
              </v:shape>
            </w:pict>
          </mc:Fallback>
        </mc:AlternateContent>
      </w:r>
      <w:r w:rsidR="00B44828">
        <w:rPr>
          <w:noProof/>
        </w:rPr>
        <w:drawing>
          <wp:inline distT="0" distB="0" distL="0" distR="0" wp14:anchorId="5793AC09" wp14:editId="3F5BEA87">
            <wp:extent cx="5976620" cy="2198370"/>
            <wp:effectExtent l="0" t="0" r="5080" b="0"/>
            <wp:docPr id="98" name="Graphic 98" descr="Non-SIL participants.&#10;0 to 6.&#10;March to May 2021. Functional level 1. Average annualised payment. 2,333.&#10;March to May 2021. Functional level 2. 3,137.&#10;March to May 2021. Functional level 3. 8,185.&#10;March to May 2021. Functional level 4. 6,034.&#10;2021 AFSR. Functional level 1. 1,654.&#10;2021 AFSR. Functional level 2. 2,432.&#10;2021 AFSR. Functional level 3. 4,476.&#10;2021 AFSR. Functional level 4. 4,476.&#10;&#10;&#10;7 to 14.&#10;March to May 2021. Functional level 1. 2,597.&#10;March to May 2021. Functional level 2. 4,039.&#10;March to May 2021. Functional level 3. 10,557.&#10;March to May 2021. Functional level 4. 19,564.&#10;2021 AFSR. Functional level 1. 2,238.&#10;2021 AFSR. Functional level 2. 3,503.&#10;2021 AFSR. Functional level 3. 8,854.&#10;2021 AFSR. Functional level 4. 17,513.&#10;&#10;&#10;15 to 18.&#10;March to May 2021. Functional level 1. 3,433.&#10;March to May 2021. Functional level 2. 6,605.&#10;March to May 2021. Functional level 3. 15,770.&#10;March to May 2021. Functional level 4. 49,892.&#10;2021 AFSR. Functional level 1. 3,405.&#10;2021 AFSR. Functional level 2. 6,227.&#10;2021 AFSR. Functional level 3. 15,567.&#10;2021 AFSR. Functional level 4. 50,789.&#10;&#10;&#10;19 to 24.&#10;March to May 2021. Functional level 1. 2,959.&#10;March to May 2021. Functional level 2. 5,929.&#10;March to May 2021. Functional level 3. 14,707.&#10;March to May 2021. Functional level 4. 50,279.&#10;2021 AFSR. Functional level 1. 3,405.&#10;2021 AFSR. Functional level 2. 6,227.&#10;2021 AFSR. Functional level 3. 15,567.&#10;2021 AFSR. Functional level 4. 50,789.&#10;&#10;&#10;25 to 34.&#10;March to May 2021. Functional level 1. 5,520.&#10;March to May 2021. Functional level 2. 8,223.&#10;March to May 2021. Functional level 3. 18,566.&#10;March to May 2021. Functional level 4. 58,955.&#10;2021 AFSR. Functional level 1. 3,405.&#10;2021 AFSR. Functional level 2. 6,227.&#10;2021 AFSR. Functional level 3. 15,567.&#10;2021 AFSR. Functional level 4. 50,789.&#10;&#10;&#10;35 to 44.&#10;March to May 2021. Functional level 1. 4,854.&#10;March to May 2021. Functional level 2. 9,842.&#10;March to May 2021. Functional level 3. 26,252.&#10;March to May 2021. Functional level 4. 58,382.&#10;2021 AFSR. Functional level 1. 5,935.&#10;2021 AFSR. Functional level 2. 10,897.&#10;2021 AFSR. Functional level 3. 24,908.&#10;2021 AFSR. Functional level 4. 56,334.&#10;&#10;&#10;45 to 54.&#10;March to May 2021. Functional level 1. 8,273.&#10;March to May 2021. Functional level 2. 12,997.&#10;March to May 2021. Functional level 3. 27,198.&#10;March to May 2021. Functional level 4. 58,093.&#10;2021 AFSR. Functional level 1. 5,935.&#10;2021 AFSR. Functional level 2. 10,897.&#10;2021 AFSR. Functional level 3. 24,908.&#10;2021 AFSR. Functional level 4. 56,334.&#10;&#10;&#10;55 to 64.&#10;March to May 2021. Functional level 1. 7,790.&#10;March to May 2021. Functional level 2. 12,262.&#10;March to May 2021. Functional level 3. 19,446.&#10;March to May 2021. Functional level 4. 45,642.&#10;2021 AFSR. Functional level 1. 5,935.&#10;2021 AFSR. Functional level 2. 10,897.&#10;2021 AFSR. Functional level 3. 24,908.&#10;2021 AFSR. Functional level 4. 56,334.&#10;&#10;&#10;65+.&#10;March to May 2021. Functional level 1. 6,925.&#10;March to May 2021. Functional level 2. 7,403.&#10;March to May 2021. Functional level 3. 25,498.&#10;March to May 2021. Functional level 4. 49,776.&#10;2021 AFSR. Functional level 1. 5,935.&#10;2021 AFSR. Functional level 2. 10,897.&#10;2021 AFSR. Functional level 3. 24,908.&#10;2021 AFSR. Functional level 4. 56,334.&#10;&#10;&#10;Functional level 4, aged 15 to 18&#10;&#10;September 2018. Annualised payment excluding aged care. 27,625.&#10;December 2018. 31,986.&#10;March 2019. 32,782.&#10;June 2019. 32,756.&#10;September 2019. 32,682.&#10;December 2019. 37,871.&#10;March 2020. 40,419.&#10;June 2020. 43,472.&#10;September 2020. 43,156.&#10;December 2020. 44,999.&#10;March 2021. 48,748.&#10;June 2021. 4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Non-SIL participants.&#10;0 to 6.&#10;March to May 2021. Functional level 1. Average annualised payment. 2,333.&#10;March to May 2021. Functional level 2. 3,137.&#10;March to May 2021. Functional level 3. 8,185.&#10;March to May 2021. Functional level 4. 6,034.&#10;2021 AFSR. Functional level 1. 1,654.&#10;2021 AFSR. Functional level 2. 2,432.&#10;2021 AFSR. Functional level 3. 4,476.&#10;2021 AFSR. Functional level 4. 4,476.&#10;&#10;&#10;7 to 14.&#10;March to May 2021. Functional level 1. 2,597.&#10;March to May 2021. Functional level 2. 4,039.&#10;March to May 2021. Functional level 3. 10,557.&#10;March to May 2021. Functional level 4. 19,564.&#10;2021 AFSR. Functional level 1. 2,238.&#10;2021 AFSR. Functional level 2. 3,503.&#10;2021 AFSR. Functional level 3. 8,854.&#10;2021 AFSR. Functional level 4. 17,513.&#10;&#10;&#10;15 to 18.&#10;March to May 2021. Functional level 1. 3,433.&#10;March to May 2021. Functional level 2. 6,605.&#10;March to May 2021. Functional level 3. 15,770.&#10;March to May 2021. Functional level 4. 49,892.&#10;2021 AFSR. Functional level 1. 3,405.&#10;2021 AFSR. Functional level 2. 6,227.&#10;2021 AFSR. Functional level 3. 15,567.&#10;2021 AFSR. Functional level 4. 50,789.&#10;&#10;&#10;19 to 24.&#10;March to May 2021. Functional level 1. 2,959.&#10;March to May 2021. Functional level 2. 5,929.&#10;March to May 2021. Functional level 3. 14,707.&#10;March to May 2021. Functional level 4. 50,279.&#10;2021 AFSR. Functional level 1. 3,405.&#10;2021 AFSR. Functional level 2. 6,227.&#10;2021 AFSR. Functional level 3. 15,567.&#10;2021 AFSR. Functional level 4. 50,789.&#10;&#10;&#10;25 to 34.&#10;March to May 2021. Functional level 1. 5,520.&#10;March to May 2021. Functional level 2. 8,223.&#10;March to May 2021. Functional level 3. 18,566.&#10;March to May 2021. Functional level 4. 58,955.&#10;2021 AFSR. Functional level 1. 3,405.&#10;2021 AFSR. Functional level 2. 6,227.&#10;2021 AFSR. Functional level 3. 15,567.&#10;2021 AFSR. Functional level 4. 50,789.&#10;&#10;&#10;35 to 44.&#10;March to May 2021. Functional level 1. 4,854.&#10;March to May 2021. Functional level 2. 9,842.&#10;March to May 2021. Functional level 3. 26,252.&#10;March to May 2021. Functional level 4. 58,382.&#10;2021 AFSR. Functional level 1. 5,935.&#10;2021 AFSR. Functional level 2. 10,897.&#10;2021 AFSR. Functional level 3. 24,908.&#10;2021 AFSR. Functional level 4. 56,334.&#10;&#10;&#10;45 to 54.&#10;March to May 2021. Functional level 1. 8,273.&#10;March to May 2021. Functional level 2. 12,997.&#10;March to May 2021. Functional level 3. 27,198.&#10;March to May 2021. Functional level 4. 58,093.&#10;2021 AFSR. Functional level 1. 5,935.&#10;2021 AFSR. Functional level 2. 10,897.&#10;2021 AFSR. Functional level 3. 24,908.&#10;2021 AFSR. Functional level 4. 56,334.&#10;&#10;&#10;55 to 64.&#10;March to May 2021. Functional level 1. 7,790.&#10;March to May 2021. Functional level 2. 12,262.&#10;March to May 2021. Functional level 3. 19,446.&#10;March to May 2021. Functional level 4. 45,642.&#10;2021 AFSR. Functional level 1. 5,935.&#10;2021 AFSR. Functional level 2. 10,897.&#10;2021 AFSR. Functional level 3. 24,908.&#10;2021 AFSR. Functional level 4. 56,334.&#10;&#10;&#10;65+.&#10;March to May 2021. Functional level 1. 6,925.&#10;March to May 2021. Functional level 2. 7,403.&#10;March to May 2021. Functional level 3. 25,498.&#10;March to May 2021. Functional level 4. 49,776.&#10;2021 AFSR. Functional level 1. 5,935.&#10;2021 AFSR. Functional level 2. 10,897.&#10;2021 AFSR. Functional level 3. 24,908.&#10;2021 AFSR. Functional level 4. 56,334.&#10;&#10;&#10;Functional level 4, aged 15 to 18&#10;&#10;September 2018. Annualised payment excluding aged care. 27,625.&#10;December 2018. 31,986.&#10;March 2019. 32,782.&#10;June 2019. 32,756.&#10;September 2019. 32,682.&#10;December 2019. 37,871.&#10;March 2020. 40,419.&#10;June 2020. 43,472.&#10;September 2020. 43,156.&#10;December 2020. 44,999.&#10;March 2021. 48,748.&#10;June 2021. 48,035."/>
                    <pic:cNvPicPr/>
                  </pic:nvPicPr>
                  <pic:blipFill>
                    <a:blip r:embed="rId74">
                      <a:extLst>
                        <a:ext uri="{96DAC541-7B7A-43D3-8B79-37D633B846F1}">
                          <asvg:svgBlip xmlns:asvg="http://schemas.microsoft.com/office/drawing/2016/SVG/main" r:embed="rId75"/>
                        </a:ext>
                      </a:extLst>
                    </a:blip>
                    <a:stretch>
                      <a:fillRect/>
                    </a:stretch>
                  </pic:blipFill>
                  <pic:spPr>
                    <a:xfrm>
                      <a:off x="0" y="0"/>
                      <a:ext cx="5976620" cy="2198370"/>
                    </a:xfrm>
                    <a:prstGeom prst="rect">
                      <a:avLst/>
                    </a:prstGeom>
                  </pic:spPr>
                </pic:pic>
              </a:graphicData>
            </a:graphic>
          </wp:inline>
        </w:drawing>
      </w:r>
    </w:p>
    <w:p w14:paraId="060E8A7D" w14:textId="77777777" w:rsidR="00A520C9" w:rsidRPr="00CC7F61" w:rsidRDefault="00A520C9" w:rsidP="00A520C9">
      <w:pPr>
        <w:pStyle w:val="Heading3"/>
      </w:pPr>
      <w:r w:rsidRPr="00CC7F61">
        <w:t>Further analysis</w:t>
      </w:r>
    </w:p>
    <w:p w14:paraId="76E384E5" w14:textId="2CD73131" w:rsidR="00A520C9" w:rsidRDefault="00240FEF" w:rsidP="00A520C9">
      <w:r>
        <w:t xml:space="preserve">In this section we briefly discuss the other key assumptions which drive average participant costs. This includes trends by duration in the </w:t>
      </w:r>
      <w:r w:rsidR="00232FFF">
        <w:t>Scheme</w:t>
      </w:r>
      <w:r>
        <w:t>, variation in Core support costs and the impact of investing</w:t>
      </w:r>
      <w:r w:rsidR="002B4625">
        <w:t xml:space="preserve"> in</w:t>
      </w:r>
      <w:r>
        <w:t xml:space="preserve"> improved participant outcomes.</w:t>
      </w:r>
    </w:p>
    <w:p w14:paraId="5EE343A8" w14:textId="25C91AFD" w:rsidR="002537FC" w:rsidRDefault="002537FC" w:rsidP="002537FC">
      <w:pPr>
        <w:pStyle w:val="NNheading4"/>
      </w:pPr>
      <w:r w:rsidRPr="008A5742">
        <w:t xml:space="preserve">Changes in payment trends by duration in </w:t>
      </w:r>
      <w:r w:rsidR="00232FFF">
        <w:t>Scheme</w:t>
      </w:r>
    </w:p>
    <w:p w14:paraId="4FA75F38" w14:textId="1BBE35DC" w:rsidR="002537FC" w:rsidRDefault="002537FC" w:rsidP="00B44828">
      <w:r w:rsidRPr="005E012E">
        <w:t xml:space="preserve">Duration effects are not incorporated into the model but are factored into assumption selection insofar as participants who commenced less than a year ago are excluded from average </w:t>
      </w:r>
      <w:r>
        <w:t>size</w:t>
      </w:r>
      <w:r w:rsidRPr="005E012E">
        <w:t xml:space="preserve"> analysis.</w:t>
      </w:r>
      <w:r>
        <w:t xml:space="preserve"> Figure 38 of the AFSR shows that on average plan utilisation grows from 53% during participants’ first year in the </w:t>
      </w:r>
      <w:r w:rsidR="00232FFF">
        <w:t>Scheme</w:t>
      </w:r>
      <w:r>
        <w:t xml:space="preserve"> to 70% in year three and 78% for years five and later. As assumption setting only excludes data from people during their first year in the </w:t>
      </w:r>
      <w:r w:rsidR="00232FFF">
        <w:t>Scheme</w:t>
      </w:r>
      <w:r>
        <w:t>, average size assumptions may be slightly underestimated by not allowing for anticipated utilisation growth during participants</w:t>
      </w:r>
      <w:r w:rsidR="00240FEF">
        <w:t>’</w:t>
      </w:r>
      <w:r>
        <w:t xml:space="preserve"> second to fourth years in the </w:t>
      </w:r>
      <w:r w:rsidR="00232FFF">
        <w:t>Scheme</w:t>
      </w:r>
      <w:r>
        <w:t>, however this effect is small relative to the other sources of growth and uncertainty in the projections.</w:t>
      </w:r>
    </w:p>
    <w:p w14:paraId="62FCC35B" w14:textId="30B8EC2B" w:rsidR="002537FC" w:rsidRPr="005E012E" w:rsidRDefault="002537FC" w:rsidP="00B44828">
      <w:r>
        <w:t xml:space="preserve">The </w:t>
      </w:r>
      <w:r w:rsidR="00232FFF">
        <w:t>Scheme</w:t>
      </w:r>
      <w:r>
        <w:t xml:space="preserve">’s brief history combined with potential changes in the rate of future plan growth means that it is difficult to predict where utilisation will ultimately end up. In section </w:t>
      </w:r>
      <w:r>
        <w:fldChar w:fldCharType="begin"/>
      </w:r>
      <w:r>
        <w:instrText xml:space="preserve"> REF _Ref87099494 \r \h </w:instrText>
      </w:r>
      <w:r w:rsidR="00B44828">
        <w:instrText xml:space="preserve"> \* MERGEFORMAT </w:instrText>
      </w:r>
      <w:r>
        <w:fldChar w:fldCharType="separate"/>
      </w:r>
      <w:r w:rsidR="00E6217F">
        <w:t>4.6.2</w:t>
      </w:r>
      <w:r>
        <w:fldChar w:fldCharType="end"/>
      </w:r>
      <w:r>
        <w:t xml:space="preserve"> we provide some scenarios of implied future utilisation derived from the projection model.</w:t>
      </w:r>
    </w:p>
    <w:p w14:paraId="33F2EC9B" w14:textId="77777777" w:rsidR="002537FC" w:rsidRPr="00B20EF3" w:rsidRDefault="002537FC" w:rsidP="00B44828">
      <w:r w:rsidRPr="00B20EF3">
        <w:t>A further complication as one projects further into the future is that the model assumes that people aged thirty in ten years’ time (</w:t>
      </w:r>
      <w:r>
        <w:t xml:space="preserve">i.e. </w:t>
      </w:r>
      <w:r w:rsidRPr="00B20EF3">
        <w:t xml:space="preserve">currently twenty years old) will have the same support needs as those currently aged thirty. This means that current support needs and the impact of capacity building for the younger group are not built into the projections, noting that this is difficult given the limited longitudinal data available. The longer the projection horizon the greater these </w:t>
      </w:r>
      <w:r>
        <w:t>e</w:t>
      </w:r>
      <w:r w:rsidRPr="00B20EF3">
        <w:t>ffects are likely to be.</w:t>
      </w:r>
    </w:p>
    <w:p w14:paraId="096BCF67" w14:textId="0EE8B13B" w:rsidR="002537FC" w:rsidRDefault="002537FC" w:rsidP="00B44828">
      <w:r w:rsidRPr="00B20EF3">
        <w:t>For some disabilities</w:t>
      </w:r>
      <w:r w:rsidR="00240FEF">
        <w:t>,</w:t>
      </w:r>
      <w:r w:rsidRPr="00B20EF3">
        <w:t xml:space="preserve"> such as autism</w:t>
      </w:r>
      <w:r w:rsidR="00240FEF">
        <w:t>,</w:t>
      </w:r>
      <w:r w:rsidRPr="00B20EF3">
        <w:t xml:space="preserve"> prevalence is much higher for children than was the case </w:t>
      </w:r>
      <w:r>
        <w:t xml:space="preserve">for </w:t>
      </w:r>
      <w:r w:rsidRPr="00B20EF3">
        <w:t>previous</w:t>
      </w:r>
      <w:r>
        <w:t xml:space="preserve"> generations</w:t>
      </w:r>
      <w:r w:rsidRPr="00B20EF3">
        <w:t xml:space="preserve">. It is uncertain if this </w:t>
      </w:r>
      <w:r>
        <w:t>will</w:t>
      </w:r>
      <w:r w:rsidRPr="00B20EF3">
        <w:t xml:space="preserve"> lead </w:t>
      </w:r>
      <w:r>
        <w:t xml:space="preserve">to </w:t>
      </w:r>
      <w:r w:rsidRPr="00B20EF3">
        <w:t>lower average costs than current autistic adults</w:t>
      </w:r>
      <w:r>
        <w:t xml:space="preserve"> receive </w:t>
      </w:r>
      <w:r w:rsidRPr="00B20EF3">
        <w:t>either because the additional cases have lower severity</w:t>
      </w:r>
      <w:r>
        <w:t>,</w:t>
      </w:r>
      <w:r w:rsidRPr="00B20EF3">
        <w:t xml:space="preserve"> or because the </w:t>
      </w:r>
      <w:r>
        <w:t>earlier</w:t>
      </w:r>
      <w:r w:rsidRPr="00B20EF3">
        <w:t xml:space="preserve"> interventions from the</w:t>
      </w:r>
      <w:r>
        <w:t xml:space="preserve"> </w:t>
      </w:r>
      <w:r w:rsidR="00232FFF">
        <w:t>Scheme</w:t>
      </w:r>
      <w:r w:rsidRPr="00B20EF3">
        <w:t xml:space="preserve"> will lead to greater independence once they reach adulthood. </w:t>
      </w:r>
    </w:p>
    <w:p w14:paraId="21C563FC" w14:textId="5466BF42" w:rsidR="002537FC" w:rsidRDefault="002537FC" w:rsidP="002537FC">
      <w:pPr>
        <w:pStyle w:val="NNheading4"/>
      </w:pPr>
      <w:r w:rsidRPr="008A5742">
        <w:t xml:space="preserve">Variation in per-person </w:t>
      </w:r>
      <w:r w:rsidR="00240FEF">
        <w:t xml:space="preserve">Core </w:t>
      </w:r>
      <w:r w:rsidRPr="008A5742">
        <w:t>spending with similar characteristics</w:t>
      </w:r>
    </w:p>
    <w:p w14:paraId="2C998CE5" w14:textId="29E9D2EB" w:rsidR="002537FC" w:rsidRDefault="002537FC" w:rsidP="002537FC">
      <w:r>
        <w:t xml:space="preserve">People with the same disability and level of function often have very different levels of funded supports. This arises from differences in their individual circumstances but probably also from inconsistency in decision making. </w:t>
      </w:r>
      <w:r>
        <w:fldChar w:fldCharType="begin"/>
      </w:r>
      <w:r>
        <w:instrText xml:space="preserve"> REF _Ref86942313 \h </w:instrText>
      </w:r>
      <w:r>
        <w:fldChar w:fldCharType="separate"/>
      </w:r>
      <w:r w:rsidR="00E6217F">
        <w:t xml:space="preserve">Figure </w:t>
      </w:r>
      <w:r w:rsidR="00E6217F">
        <w:rPr>
          <w:noProof/>
        </w:rPr>
        <w:t>4</w:t>
      </w:r>
      <w:r w:rsidR="00E6217F">
        <w:t>.</w:t>
      </w:r>
      <w:r w:rsidR="00E6217F">
        <w:rPr>
          <w:noProof/>
        </w:rPr>
        <w:t>14</w:t>
      </w:r>
      <w:r>
        <w:fldChar w:fldCharType="end"/>
      </w:r>
      <w:r>
        <w:t xml:space="preserve"> shows </w:t>
      </w:r>
      <w:r w:rsidR="00B44828">
        <w:t xml:space="preserve">core costs for </w:t>
      </w:r>
      <w:r>
        <w:t xml:space="preserve">the disability-functional groups with the most participants covering 80% of non-SIL participants who joined the </w:t>
      </w:r>
      <w:r w:rsidR="00232FFF">
        <w:t>Scheme</w:t>
      </w:r>
      <w:r>
        <w:t xml:space="preserve"> </w:t>
      </w:r>
      <w:r w:rsidR="00240FEF">
        <w:t xml:space="preserve">by </w:t>
      </w:r>
      <w:r w:rsidRPr="00B44828">
        <w:t>3</w:t>
      </w:r>
      <w:r w:rsidR="00DD23C6" w:rsidRPr="00B44828">
        <w:t>1</w:t>
      </w:r>
      <w:r w:rsidRPr="00B44828">
        <w:t xml:space="preserve"> </w:t>
      </w:r>
      <w:r w:rsidR="00DD23C6" w:rsidRPr="00B44828">
        <w:t>December</w:t>
      </w:r>
      <w:r w:rsidRPr="00B44828">
        <w:t xml:space="preserve"> 20</w:t>
      </w:r>
      <w:r w:rsidR="00DD23C6" w:rsidRPr="00B44828">
        <w:t>19</w:t>
      </w:r>
      <w:r w:rsidRPr="00B44828">
        <w:t xml:space="preserve"> and</w:t>
      </w:r>
      <w:r>
        <w:t xml:space="preserve"> are over 35 (removing potential age</w:t>
      </w:r>
      <w:r w:rsidR="00240FEF">
        <w:t>-</w:t>
      </w:r>
      <w:r>
        <w:t xml:space="preserve">related differences between adults and children). </w:t>
      </w:r>
    </w:p>
    <w:p w14:paraId="19BEF892" w14:textId="7AEECB77" w:rsidR="002537FC" w:rsidRPr="00631444" w:rsidRDefault="002537FC" w:rsidP="002537FC">
      <w:pPr>
        <w:pStyle w:val="Caption"/>
      </w:pPr>
      <w:bookmarkStart w:id="162" w:name="_Ref86942313"/>
      <w:r>
        <w:t xml:space="preserve">Figure </w:t>
      </w:r>
      <w:r w:rsidR="009366CE">
        <w:fldChar w:fldCharType="begin"/>
      </w:r>
      <w:r w:rsidR="009366CE">
        <w:instrText xml:space="preserve"> STYLEREF 1 \s </w:instrText>
      </w:r>
      <w:r w:rsidR="009366CE">
        <w:fldChar w:fldCharType="separate"/>
      </w:r>
      <w:r w:rsidR="00E6217F">
        <w:rPr>
          <w:noProof/>
        </w:rPr>
        <w:t>4</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14</w:t>
      </w:r>
      <w:r w:rsidR="009366CE">
        <w:fldChar w:fldCharType="end"/>
      </w:r>
      <w:bookmarkEnd w:id="162"/>
      <w:r>
        <w:t xml:space="preserve"> – Variation in </w:t>
      </w:r>
      <w:r w:rsidR="00B44828">
        <w:t xml:space="preserve">core </w:t>
      </w:r>
      <w:r>
        <w:t>support levels for people with the same disability and functional level</w:t>
      </w:r>
    </w:p>
    <w:p w14:paraId="2054870F" w14:textId="11975B66" w:rsidR="00DD23C6" w:rsidRDefault="00095047" w:rsidP="002537FC">
      <w:r w:rsidRPr="00095047">
        <w:rPr>
          <w:noProof/>
        </w:rPr>
        <w:drawing>
          <wp:inline distT="0" distB="0" distL="0" distR="0" wp14:anchorId="4C004094" wp14:editId="5535B753">
            <wp:extent cx="5976620" cy="2790190"/>
            <wp:effectExtent l="0" t="0" r="0" b="0"/>
            <wp:docPr id="55" name="Picture 55" descr="ABI_6.&#10;10th percentile. 11,357.&#10;10th/25th percentile. 19,589. &#10;25th percentile/median. 41,047.&#10;median/75th percentile. 60,098. &#10;75th/90th percentile. 53,977.&#10;&#10;&#10;Cerebral Palsy_4.&#10;10th percentile. 13,772.&#10;10th/25th percentile. 29,173. &#10;25th percentile/median. 60,774.&#10;median/75th percentile. 76,617. &#10;75th/90th percentile. 105,940.&#10;&#10;&#10;Hearing Impairment_1.&#10;10th percentile. 0.&#10;10th/25th percentile. 0. &#10;25th percentile/median. 649.&#10;median/75th percentile. 2,796. &#10;75th/90th percentile. 6,824.&#10;&#10;&#10;Hearing Impairment_2.&#10;10th percentile. 0.&#10;10th/25th percentile. 1,466. &#10;25th percentile/median. 5,000.&#10;median/75th percentile. 10,266. &#10;75th/90th percentile. 14,523.&#10;&#10;&#10;Intellectual Disability_2.&#10;10th percentile. 2,337.&#10;10th/25th percentile. 4,902. &#10;25th percentile/median. 10,620.&#10;median/75th percentile. 14,700. &#10;75th/90th percentile. 18,459.&#10;&#10;&#10;Intellectual Disability_3.&#10;10th percentile. 6,871.&#10;10th/25th percentile. 12,208. &#10;25th percentile/median. 18,499.&#10;median/75th percentile. 26,489. &#10;75th/90th percentile. 36,993.&#10;&#10;&#10;Intellectual Disability_4.&#10;10th percentile. 14,739.&#10;10th/25th percentile. 18,962. &#10;25th percentile/median. 35,142.&#10;median/75th percentile. 50,172. &#10;75th/90th percentile. 52,730.&#10;&#10;&#10;Multiple Sclerosis_6.&#10;10th percentile. 9,395.&#10;10th/25th percentile. 14,930. &#10;25th percentile/median. 51,885.&#10;median/75th percentile. 73,083. &#10;75th/90th percentile. 97,293.&#10;&#10;&#10;Other Neurological_2.&#10;10th percentile. 4,415.&#10;10th/25th percentile. 5,840. &#10;25th percentile/median. 13,508.&#10;median/75th percentile. 30,064. &#10;75th/90th percentile. 38,567.&#10;&#10;&#10;Other Neurological_3.&#10;10th percentile. 11,965.&#10;10th/25th percentile. 19,872. &#10;25th percentile/median. 49,339.&#10;median/75th percentile. 56,164. &#10;75th/90th percentile. 69,820.&#10;&#10;&#10;Other Physical_1.&#10;10th percentile. 0.&#10;10th/25th percentile. 605. &#10;25th percentile/median. 3,043.&#10;median/75th percentile. 6,138. &#10;75th/90th percentile. 12,236.&#10;&#10;&#10;Other Physical_2.&#10;10th percentile. 2,042.&#10;10th/25th percentile. 4,176. &#10;25th percentile/median. 9,751.&#10;median/75th percentile. 22,158. &#10;75th/90th percentile. 36,324.&#10;&#10;&#10;Other Physical_3.&#10;10th percentile. 6,531.&#10;10th/25th percentile. 10,648. &#10;25th percentile/median. 27,052.&#10;median/75th percentile. 53,391. &#10;75th/90th percentile. 55,126.&#10;&#10;&#10;Psychosocial disability_2.&#10;10th percentile. 0.&#10;10th/25th percentile. 1,781. &#10;25th percentile/median. 7,056.&#10;median/75th percentile. 11,105. &#10;75th/90th percentile. 12,443.&#10;&#10;&#10;Psychosocial disability_3.&#10;10th percentile. 1,773.&#10;10th/25th percentile. 5,069. &#10;25th percentile/median. 9,951.&#10;median/75th percentile. 12,942. &#10;75th/90th percentile. 13,524.&#10;&#10;&#10;Psychosocial disability_4.&#10;10th percentile. 4,136.&#10;10th/25th percentile. 7,848. &#10;25th percentile/median. 13,813.&#10;median/75th percentile. 20,922. &#10;75th/90th percentile. 26,622.&#10;&#10;&#10;Psychosocial disability_5.&#10;10th percentile. 6,601.&#10;10th/25th percentile. 10,391. &#10;25th percentile/median. 19,085.&#10;median/75th percentile. 36,272. &#10;75th/90th percentile. 51,128.&#10;&#10;&#10;Stroke_3.&#10;10th percentile. 6,319.&#10;10th/25th percentile. 13,292. &#10;25th percentile/median. 27,653.&#10;median/75th percentile. 53,959. &#10;75th/90th percentile. 46,894.&#10;&#10;&#10;Visual Impairment_1.&#10;10th percentile. 1,776.&#10;10th/25th percentile. 2,254. &#10;25th percentile/median. 5,352.&#10;median/75th percentile. 8,884. &#10;75th/90th percentile. 10,709.&#10;&#10;&#10;Visual Impairment_2.&#10;10th percentile. 4,164.&#10;10th/25th percentile. 5,839. &#10;25th percentile/median. 11,568.&#10;median/75th percentile. 16,947. &#10;75th/90th percentile. 2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BI_6.&#10;10th percentile. 11,357.&#10;10th/25th percentile. 19,589. &#10;25th percentile/median. 41,047.&#10;median/75th percentile. 60,098. &#10;75th/90th percentile. 53,977.&#10;&#10;&#10;Cerebral Palsy_4.&#10;10th percentile. 13,772.&#10;10th/25th percentile. 29,173. &#10;25th percentile/median. 60,774.&#10;median/75th percentile. 76,617. &#10;75th/90th percentile. 105,940.&#10;&#10;&#10;Hearing Impairment_1.&#10;10th percentile. 0.&#10;10th/25th percentile. 0. &#10;25th percentile/median. 649.&#10;median/75th percentile. 2,796. &#10;75th/90th percentile. 6,824.&#10;&#10;&#10;Hearing Impairment_2.&#10;10th percentile. 0.&#10;10th/25th percentile. 1,466. &#10;25th percentile/median. 5,000.&#10;median/75th percentile. 10,266. &#10;75th/90th percentile. 14,523.&#10;&#10;&#10;Intellectual Disability_2.&#10;10th percentile. 2,337.&#10;10th/25th percentile. 4,902. &#10;25th percentile/median. 10,620.&#10;median/75th percentile. 14,700. &#10;75th/90th percentile. 18,459.&#10;&#10;&#10;Intellectual Disability_3.&#10;10th percentile. 6,871.&#10;10th/25th percentile. 12,208. &#10;25th percentile/median. 18,499.&#10;median/75th percentile. 26,489. &#10;75th/90th percentile. 36,993.&#10;&#10;&#10;Intellectual Disability_4.&#10;10th percentile. 14,739.&#10;10th/25th percentile. 18,962. &#10;25th percentile/median. 35,142.&#10;median/75th percentile. 50,172. &#10;75th/90th percentile. 52,730.&#10;&#10;&#10;Multiple Sclerosis_6.&#10;10th percentile. 9,395.&#10;10th/25th percentile. 14,930. &#10;25th percentile/median. 51,885.&#10;median/75th percentile. 73,083. &#10;75th/90th percentile. 97,293.&#10;&#10;&#10;Other Neurological_2.&#10;10th percentile. 4,415.&#10;10th/25th percentile. 5,840. &#10;25th percentile/median. 13,508.&#10;median/75th percentile. 30,064. &#10;75th/90th percentile. 38,567.&#10;&#10;&#10;Other Neurological_3.&#10;10th percentile. 11,965.&#10;10th/25th percentile. 19,872. &#10;25th percentile/median. 49,339.&#10;median/75th percentile. 56,164. &#10;75th/90th percentile. 69,820.&#10;&#10;&#10;Other Physical_1.&#10;10th percentile. 0.&#10;10th/25th percentile. 605. &#10;25th percentile/median. 3,043.&#10;median/75th percentile. 6,138. &#10;75th/90th percentile. 12,236.&#10;&#10;&#10;Other Physical_2.&#10;10th percentile. 2,042.&#10;10th/25th percentile. 4,176. &#10;25th percentile/median. 9,751.&#10;median/75th percentile. 22,158. &#10;75th/90th percentile. 36,324.&#10;&#10;&#10;Other Physical_3.&#10;10th percentile. 6,531.&#10;10th/25th percentile. 10,648. &#10;25th percentile/median. 27,052.&#10;median/75th percentile. 53,391. &#10;75th/90th percentile. 55,126.&#10;&#10;&#10;Psychosocial disability_2.&#10;10th percentile. 0.&#10;10th/25th percentile. 1,781. &#10;25th percentile/median. 7,056.&#10;median/75th percentile. 11,105. &#10;75th/90th percentile. 12,443.&#10;&#10;&#10;Psychosocial disability_3.&#10;10th percentile. 1,773.&#10;10th/25th percentile. 5,069. &#10;25th percentile/median. 9,951.&#10;median/75th percentile. 12,942. &#10;75th/90th percentile. 13,524.&#10;&#10;&#10;Psychosocial disability_4.&#10;10th percentile. 4,136.&#10;10th/25th percentile. 7,848. &#10;25th percentile/median. 13,813.&#10;median/75th percentile. 20,922. &#10;75th/90th percentile. 26,622.&#10;&#10;&#10;Psychosocial disability_5.&#10;10th percentile. 6,601.&#10;10th/25th percentile. 10,391. &#10;25th percentile/median. 19,085.&#10;median/75th percentile. 36,272. &#10;75th/90th percentile. 51,128.&#10;&#10;&#10;Stroke_3.&#10;10th percentile. 6,319.&#10;10th/25th percentile. 13,292. &#10;25th percentile/median. 27,653.&#10;median/75th percentile. 53,959. &#10;75th/90th percentile. 46,894.&#10;&#10;&#10;Visual Impairment_1.&#10;10th percentile. 1,776.&#10;10th/25th percentile. 2,254. &#10;25th percentile/median. 5,352.&#10;median/75th percentile. 8,884. &#10;75th/90th percentile. 10,709.&#10;&#10;&#10;Visual Impairment_2.&#10;10th percentile. 4,164.&#10;10th/25th percentile. 5,839. &#10;25th percentile/median. 11,568.&#10;median/75th percentile. 16,947. &#10;75th/90th percentile. 29,382."/>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976620" cy="2790190"/>
                    </a:xfrm>
                    <a:prstGeom prst="rect">
                      <a:avLst/>
                    </a:prstGeom>
                    <a:noFill/>
                    <a:ln>
                      <a:noFill/>
                    </a:ln>
                  </pic:spPr>
                </pic:pic>
              </a:graphicData>
            </a:graphic>
          </wp:inline>
        </w:drawing>
      </w:r>
    </w:p>
    <w:p w14:paraId="58E42542" w14:textId="70F7A2E3" w:rsidR="002537FC" w:rsidRDefault="002537FC" w:rsidP="002537FC">
      <w:r>
        <w:t>Some disabilities such as ABI</w:t>
      </w:r>
      <w:r w:rsidR="00240FEF">
        <w:t xml:space="preserve"> </w:t>
      </w:r>
      <w:r>
        <w:t>6 and Cerebral Palsy</w:t>
      </w:r>
      <w:r w:rsidR="00240FEF">
        <w:t xml:space="preserve"> </w:t>
      </w:r>
      <w:r>
        <w:t>4 have a high degree of variation in support needs with those at the 90</w:t>
      </w:r>
      <w:r w:rsidRPr="003D2B0D">
        <w:rPr>
          <w:vertAlign w:val="superscript"/>
        </w:rPr>
        <w:t>th</w:t>
      </w:r>
      <w:r>
        <w:t xml:space="preserve"> percentile receiving nearly </w:t>
      </w:r>
      <w:r w:rsidR="003651F4">
        <w:t>three</w:t>
      </w:r>
      <w:r>
        <w:t xml:space="preserve"> times as much support as the median level, noting that 10% of participants have even higher support levels. In contrast</w:t>
      </w:r>
      <w:r w:rsidR="002B4625">
        <w:t>, we see</w:t>
      </w:r>
      <w:r>
        <w:t xml:space="preserve"> for these disabilities </w:t>
      </w:r>
      <w:r w:rsidR="002B4625">
        <w:t xml:space="preserve">that </w:t>
      </w:r>
      <w:r>
        <w:t>10% of participants spent less than $</w:t>
      </w:r>
      <w:r w:rsidR="003651F4">
        <w:t>15</w:t>
      </w:r>
      <w:r>
        <w:t xml:space="preserve">,000 during 2020-21. </w:t>
      </w:r>
    </w:p>
    <w:p w14:paraId="4376279F" w14:textId="60DC0931" w:rsidR="002537FC" w:rsidRDefault="002537FC" w:rsidP="002537FC">
      <w:r>
        <w:t>For intellectual and psychosocial disabilities</w:t>
      </w:r>
      <w:r w:rsidR="00095047">
        <w:t>,</w:t>
      </w:r>
      <w:r>
        <w:t xml:space="preserve"> a range of functional levels have been included in the chart, and for these groups generally the higher the level of incapacity the wider the range of support needs. However, one of the key points to take from these disabilities is the high degree of overlap across functional levels. For example, the 75</w:t>
      </w:r>
      <w:r w:rsidRPr="00FA6184">
        <w:rPr>
          <w:vertAlign w:val="superscript"/>
        </w:rPr>
        <w:t>th</w:t>
      </w:r>
      <w:r>
        <w:t xml:space="preserve"> percentile of payments for Intellectual Disability 3 was about $</w:t>
      </w:r>
      <w:r w:rsidR="00095047">
        <w:t>64</w:t>
      </w:r>
      <w:r>
        <w:t xml:space="preserve">,000 which was </w:t>
      </w:r>
      <w:r w:rsidR="008263F7">
        <w:t xml:space="preserve">only </w:t>
      </w:r>
      <w:r w:rsidR="00095047">
        <w:t>slightly below</w:t>
      </w:r>
      <w:r>
        <w:t xml:space="preserve"> the median spend for Intellectual Disability 4. In other words, the top 25% of people with lower levels of disability received </w:t>
      </w:r>
      <w:r w:rsidR="005505DE">
        <w:t xml:space="preserve">a </w:t>
      </w:r>
      <w:r w:rsidR="00095047">
        <w:t xml:space="preserve">similar amount </w:t>
      </w:r>
      <w:r w:rsidR="005505DE">
        <w:t xml:space="preserve">of support </w:t>
      </w:r>
      <w:r w:rsidR="00095047">
        <w:t>to</w:t>
      </w:r>
      <w:r>
        <w:t xml:space="preserve"> the median for the next functional group.</w:t>
      </w:r>
    </w:p>
    <w:p w14:paraId="2A66A450" w14:textId="5BFD2D9B" w:rsidR="00240FEF" w:rsidRDefault="002537FC" w:rsidP="00CE3B88">
      <w:pPr>
        <w:rPr>
          <w:rFonts w:asciiTheme="majorHAnsi" w:eastAsiaTheme="majorEastAsia" w:hAnsiTheme="majorHAnsi" w:cstheme="majorBidi"/>
          <w:color w:val="006EC8" w:themeColor="accent1"/>
        </w:rPr>
      </w:pPr>
      <w:r>
        <w:t>The chart also shows that for many cohorts, such as hearing impairment</w:t>
      </w:r>
      <w:r w:rsidR="00D0399F">
        <w:t>,</w:t>
      </w:r>
      <w:r>
        <w:t xml:space="preserve"> there is little variation in costs and that a large proportion of participants across most groups have very low levels of support. The chart demonstrates that headline participant numbers by themselves do not drive </w:t>
      </w:r>
      <w:r w:rsidR="00232FFF">
        <w:t>Scheme</w:t>
      </w:r>
      <w:r>
        <w:t xml:space="preserve"> costs, but rather it is the types of disabilities that they have and the number requiring high </w:t>
      </w:r>
      <w:r w:rsidR="005505DE">
        <w:t xml:space="preserve">levels of </w:t>
      </w:r>
      <w:r>
        <w:t>support.</w:t>
      </w:r>
    </w:p>
    <w:p w14:paraId="70689A9B" w14:textId="64BFFC03" w:rsidR="00A520C9" w:rsidRDefault="00A520C9" w:rsidP="00033E97">
      <w:pPr>
        <w:pStyle w:val="NNheading4"/>
      </w:pPr>
      <w:r w:rsidRPr="008A5742">
        <w:t>Review of available evidence of early</w:t>
      </w:r>
      <w:r w:rsidRPr="00077B1B">
        <w:t xml:space="preserve"> ‘investments’ reducing subsequent participant costs</w:t>
      </w:r>
      <w:r>
        <w:t>.</w:t>
      </w:r>
    </w:p>
    <w:p w14:paraId="18206679" w14:textId="61556E7B" w:rsidR="00033E97" w:rsidRDefault="00DB4786" w:rsidP="00033E97">
      <w:r>
        <w:t xml:space="preserve">Capacity building costs are </w:t>
      </w:r>
      <w:r w:rsidRPr="00DB4786">
        <w:t>18% of total payments, with CB Daily Activities alone being 12%</w:t>
      </w:r>
      <w:r>
        <w:t xml:space="preserve">. These services are aimed at improving participants’ independence or allowing them to meet social, employment or other goals. </w:t>
      </w:r>
    </w:p>
    <w:p w14:paraId="4E6E40EC" w14:textId="0B15863C" w:rsidR="00DB4786" w:rsidRDefault="00DB4786" w:rsidP="00033E97">
      <w:r>
        <w:t xml:space="preserve">It is recognised that it will take time to test whether these ambitions can be achieved, so currently the </w:t>
      </w:r>
      <w:r w:rsidR="00232FFF">
        <w:t>Scheme</w:t>
      </w:r>
      <w:r>
        <w:t xml:space="preserve"> is paying for core services to meet existing levels of independence as well as capacity building</w:t>
      </w:r>
      <w:r w:rsidR="005505DE">
        <w:t>,</w:t>
      </w:r>
      <w:r>
        <w:t xml:space="preserve"> which is one reason why costs have increased rapidly over the past few years.</w:t>
      </w:r>
    </w:p>
    <w:p w14:paraId="7BE42C71" w14:textId="4F08A025" w:rsidR="00DB4786" w:rsidRDefault="00DB4786" w:rsidP="00033E97">
      <w:r>
        <w:t>For the vast majority of participants</w:t>
      </w:r>
      <w:r w:rsidR="005505DE">
        <w:t>,</w:t>
      </w:r>
      <w:r>
        <w:t xml:space="preserve"> it is too early to tell if the capa</w:t>
      </w:r>
      <w:r w:rsidR="00E801A8">
        <w:t>c</w:t>
      </w:r>
      <w:r>
        <w:t>ity building services will meet their objectives or not</w:t>
      </w:r>
      <w:r w:rsidR="00E801A8">
        <w:t>,</w:t>
      </w:r>
      <w:r>
        <w:t xml:space="preserve"> but it is crucial that the outcomes of these programs are monitored. If the </w:t>
      </w:r>
      <w:r w:rsidR="00E801A8">
        <w:t xml:space="preserve">programs are successful, then this </w:t>
      </w:r>
      <w:r w:rsidR="006E2852">
        <w:t xml:space="preserve">investment </w:t>
      </w:r>
      <w:r w:rsidR="00E801A8">
        <w:t xml:space="preserve">should lead to reduced core support costs for many participants and potentially more investment in similar programs. However, if capacity building is not successful then controls need to be implemented to either rein in these costs or to switch to other proven programs. There is a risk that such steps are not adequately managed or that </w:t>
      </w:r>
      <w:r w:rsidR="006E2852">
        <w:t xml:space="preserve">this is not possible as they are really core services masquerading as </w:t>
      </w:r>
      <w:r w:rsidR="00E801A8">
        <w:t>capacity building</w:t>
      </w:r>
      <w:r w:rsidR="006E2852">
        <w:t xml:space="preserve">. </w:t>
      </w:r>
    </w:p>
    <w:p w14:paraId="573F4762" w14:textId="6B76602B" w:rsidR="00DB4786" w:rsidRDefault="006E2852" w:rsidP="00033E97">
      <w:r>
        <w:t xml:space="preserve">The projection model assumes growth in both core services and capacity building costs per participant. For the reasons stated above, if the </w:t>
      </w:r>
      <w:r w:rsidR="005505DE">
        <w:t xml:space="preserve">NDIA </w:t>
      </w:r>
      <w:r>
        <w:t xml:space="preserve">has the proper controls in place then </w:t>
      </w:r>
      <w:r w:rsidR="00F74CCA">
        <w:t xml:space="preserve">from around 2025 onwards when </w:t>
      </w:r>
      <w:r w:rsidR="00224942">
        <w:t xml:space="preserve">capacity building </w:t>
      </w:r>
      <w:r w:rsidR="00F74CCA">
        <w:t xml:space="preserve">outcomes should be well understood </w:t>
      </w:r>
      <w:r>
        <w:t xml:space="preserve">the model is likely to overstate aggregate expenditure in this context. </w:t>
      </w:r>
    </w:p>
    <w:p w14:paraId="3BC95951" w14:textId="0254C322" w:rsidR="00F42104" w:rsidRPr="00F74CCA" w:rsidRDefault="006E2852" w:rsidP="006E2852">
      <w:r w:rsidRPr="00F74CCA">
        <w:t xml:space="preserve">Capacity building also has the </w:t>
      </w:r>
      <w:r w:rsidR="00F42104" w:rsidRPr="00F74CCA">
        <w:t xml:space="preserve">potential </w:t>
      </w:r>
      <w:r w:rsidRPr="00F74CCA">
        <w:t xml:space="preserve">to create </w:t>
      </w:r>
      <w:r w:rsidR="00F42104" w:rsidRPr="00F74CCA">
        <w:t xml:space="preserve">conflicts of interest </w:t>
      </w:r>
      <w:r w:rsidR="00F74CCA" w:rsidRPr="00F74CCA">
        <w:t xml:space="preserve">if </w:t>
      </w:r>
      <w:r w:rsidR="00F42104" w:rsidRPr="00F74CCA">
        <w:t xml:space="preserve">providers of </w:t>
      </w:r>
      <w:r w:rsidR="00F74CCA" w:rsidRPr="00F74CCA">
        <w:t xml:space="preserve">these </w:t>
      </w:r>
      <w:r w:rsidR="00F42104" w:rsidRPr="00F74CCA">
        <w:t>services also provid</w:t>
      </w:r>
      <w:r w:rsidR="005505DE">
        <w:t>e</w:t>
      </w:r>
      <w:r w:rsidR="00F42104" w:rsidRPr="00F74CCA">
        <w:t xml:space="preserve"> support with </w:t>
      </w:r>
      <w:r w:rsidR="00F74CCA">
        <w:t>core serv</w:t>
      </w:r>
      <w:r w:rsidR="00224942">
        <w:t>ic</w:t>
      </w:r>
      <w:r w:rsidR="00F74CCA">
        <w:t>es</w:t>
      </w:r>
      <w:r w:rsidR="00F74CCA" w:rsidRPr="00F74CCA">
        <w:t>. In this circumstance</w:t>
      </w:r>
      <w:r w:rsidR="00F1179E">
        <w:t>,</w:t>
      </w:r>
      <w:r w:rsidR="00F42104" w:rsidRPr="00F74CCA">
        <w:t xml:space="preserve"> they </w:t>
      </w:r>
      <w:r w:rsidR="00CB3C8B">
        <w:t xml:space="preserve">may not </w:t>
      </w:r>
      <w:r w:rsidR="00F42104" w:rsidRPr="00F74CCA">
        <w:t xml:space="preserve">have a strong </w:t>
      </w:r>
      <w:r w:rsidR="00CB3C8B">
        <w:t xml:space="preserve">financial </w:t>
      </w:r>
      <w:r w:rsidR="00F42104" w:rsidRPr="00F74CCA">
        <w:t>incentive to improve independence</w:t>
      </w:r>
      <w:r w:rsidR="00CB3C8B">
        <w:t xml:space="preserve"> as this could reduce the need for core services</w:t>
      </w:r>
      <w:r w:rsidR="00F42104" w:rsidRPr="00F74CCA">
        <w:t>. Having fees for capacity building linked with outcomes may alleviate these potential conflicts</w:t>
      </w:r>
      <w:r w:rsidR="00F74CCA">
        <w:t>,</w:t>
      </w:r>
      <w:r w:rsidR="00F42104" w:rsidRPr="00F74CCA">
        <w:t xml:space="preserve"> but there are challenges associated with such an approach</w:t>
      </w:r>
      <w:r w:rsidR="005505DE">
        <w:t>,</w:t>
      </w:r>
      <w:r w:rsidR="00F42104" w:rsidRPr="00F74CCA">
        <w:t xml:space="preserve"> including providers only taking on participants where they are confident of getting good outcomes and leaving more challenging participants without the opportunity to improve their independence. </w:t>
      </w:r>
      <w:r w:rsidR="00F74CCA">
        <w:t>Assuming that there are no changes to fee arrangements or restrictions on who can deliver different services</w:t>
      </w:r>
      <w:r w:rsidR="00224942">
        <w:t>,</w:t>
      </w:r>
      <w:r w:rsidR="00F74CCA">
        <w:t xml:space="preserve"> </w:t>
      </w:r>
      <w:r w:rsidR="00224942">
        <w:t xml:space="preserve">this risk of conflicts </w:t>
      </w:r>
      <w:r w:rsidR="00F74CCA">
        <w:t>further underlines the importance of developing and adhering to suitable controls</w:t>
      </w:r>
      <w:r w:rsidR="006827FA">
        <w:t>,</w:t>
      </w:r>
      <w:r w:rsidR="008729F6">
        <w:t xml:space="preserve"> collecting information on the quality of provider services</w:t>
      </w:r>
      <w:r w:rsidR="006102F3">
        <w:t>,</w:t>
      </w:r>
      <w:r w:rsidR="006827FA">
        <w:t xml:space="preserve"> and connecting capacity building services to participants’ goals</w:t>
      </w:r>
      <w:r w:rsidR="00F74CCA">
        <w:t>.</w:t>
      </w:r>
    </w:p>
    <w:bookmarkEnd w:id="151"/>
    <w:p w14:paraId="7800144E" w14:textId="77777777" w:rsidR="00A520C9" w:rsidRPr="009E0EB5" w:rsidRDefault="00A520C9" w:rsidP="00A520C9"/>
    <w:p w14:paraId="3617F909" w14:textId="77777777" w:rsidR="00A520C9" w:rsidRDefault="00A520C9" w:rsidP="00A520C9">
      <w:pPr>
        <w:spacing w:before="0" w:after="160" w:line="259" w:lineRule="auto"/>
        <w:rPr>
          <w:rFonts w:asciiTheme="majorHAnsi" w:eastAsiaTheme="majorEastAsia" w:hAnsiTheme="majorHAnsi" w:cstheme="majorBidi"/>
          <w:color w:val="006EC8" w:themeColor="accent1"/>
          <w:sz w:val="28"/>
          <w:szCs w:val="28"/>
        </w:rPr>
      </w:pPr>
      <w:r>
        <w:br w:type="page"/>
      </w:r>
    </w:p>
    <w:p w14:paraId="50B99C1F" w14:textId="77777777" w:rsidR="00A520C9" w:rsidRDefault="00A520C9" w:rsidP="00A520C9">
      <w:pPr>
        <w:pStyle w:val="Heading2"/>
      </w:pPr>
      <w:bookmarkStart w:id="163" w:name="_Ref83714389"/>
      <w:bookmarkStart w:id="164" w:name="_Toc83828725"/>
      <w:bookmarkStart w:id="165" w:name="_Toc83828754"/>
      <w:bookmarkStart w:id="166" w:name="_Toc83997770"/>
      <w:bookmarkStart w:id="167" w:name="_Toc87700475"/>
      <w:bookmarkStart w:id="168" w:name="_Toc88686127"/>
      <w:r>
        <w:t>Inflation assumptions</w:t>
      </w:r>
      <w:bookmarkEnd w:id="163"/>
      <w:bookmarkEnd w:id="164"/>
      <w:bookmarkEnd w:id="165"/>
      <w:bookmarkEnd w:id="166"/>
      <w:bookmarkEnd w:id="167"/>
      <w:bookmarkEnd w:id="168"/>
    </w:p>
    <w:p w14:paraId="7BA72088" w14:textId="77777777" w:rsidR="00A520C9" w:rsidRDefault="00A520C9" w:rsidP="00A520C9">
      <w:r>
        <w:t>There are several reasons why costs may increase over time including:</w:t>
      </w:r>
    </w:p>
    <w:p w14:paraId="5598085A" w14:textId="77777777" w:rsidR="00A520C9" w:rsidRDefault="00A520C9" w:rsidP="00A520C9">
      <w:pPr>
        <w:pStyle w:val="Subparagraph2"/>
        <w:spacing w:before="40" w:after="40"/>
        <w:ind w:left="357"/>
        <w:contextualSpacing w:val="0"/>
      </w:pPr>
      <w:r>
        <w:t>Higher prices</w:t>
      </w:r>
    </w:p>
    <w:p w14:paraId="448543C8" w14:textId="77777777" w:rsidR="00A520C9" w:rsidRDefault="00A520C9" w:rsidP="00A520C9">
      <w:pPr>
        <w:pStyle w:val="Subparagraph2"/>
        <w:spacing w:before="40" w:after="40"/>
        <w:ind w:left="357"/>
        <w:contextualSpacing w:val="0"/>
      </w:pPr>
      <w:r>
        <w:t>Shift towards more expensive services</w:t>
      </w:r>
    </w:p>
    <w:p w14:paraId="47861663" w14:textId="77777777" w:rsidR="00A520C9" w:rsidRDefault="00A520C9" w:rsidP="00A520C9">
      <w:pPr>
        <w:pStyle w:val="Subparagraph2"/>
        <w:spacing w:before="40" w:after="40"/>
        <w:ind w:left="357"/>
        <w:contextualSpacing w:val="0"/>
      </w:pPr>
      <w:r>
        <w:t>Increases in support plans as people age</w:t>
      </w:r>
    </w:p>
    <w:p w14:paraId="7E15BFC8" w14:textId="32727B12" w:rsidR="00A520C9" w:rsidRDefault="00A520C9" w:rsidP="00A520C9">
      <w:pPr>
        <w:pStyle w:val="Subparagraph2"/>
        <w:spacing w:before="40" w:after="40"/>
        <w:ind w:left="357"/>
        <w:contextualSpacing w:val="0"/>
      </w:pPr>
      <w:r>
        <w:t xml:space="preserve">Higher utilisation of plans, including as a result of family members who may provide some </w:t>
      </w:r>
      <w:r w:rsidR="001251E9">
        <w:t xml:space="preserve">informal </w:t>
      </w:r>
      <w:r>
        <w:t>care no longer being able to do so</w:t>
      </w:r>
    </w:p>
    <w:p w14:paraId="236B6A79" w14:textId="77777777" w:rsidR="00A520C9" w:rsidRPr="00DD143E" w:rsidRDefault="00A520C9" w:rsidP="00A520C9">
      <w:pPr>
        <w:pStyle w:val="Subparagraph2"/>
        <w:spacing w:before="40" w:after="40"/>
        <w:ind w:left="357"/>
        <w:contextualSpacing w:val="0"/>
      </w:pPr>
      <w:r>
        <w:t>Expansion of the types of services that people will expect the Scheme to fund.</w:t>
      </w:r>
    </w:p>
    <w:p w14:paraId="6AE05F86" w14:textId="77777777" w:rsidR="00A520C9" w:rsidRDefault="00A520C9" w:rsidP="00A520C9">
      <w:r>
        <w:t>The Scheme Actuary allows for these increases via inflation and superimposed inflation allowance. We understand that the allowance for higher prices is mostly captured through a standard inflation allowance while the other sources of cost inflation are captured via superimposed inflation.</w:t>
      </w:r>
    </w:p>
    <w:p w14:paraId="3CBD8108" w14:textId="77777777" w:rsidR="00A520C9" w:rsidRDefault="00A520C9" w:rsidP="00A520C9">
      <w:r>
        <w:t>The inflation assumptions are applied by type of support and differ for non-SIL and SIL participants.</w:t>
      </w:r>
    </w:p>
    <w:p w14:paraId="4D0BD25E" w14:textId="77777777" w:rsidR="00A520C9" w:rsidRDefault="00A520C9" w:rsidP="00A520C9">
      <w:pPr>
        <w:pStyle w:val="Heading3"/>
      </w:pPr>
      <w:bookmarkStart w:id="169" w:name="_Ref87547830"/>
      <w:r>
        <w:t>Price inflation</w:t>
      </w:r>
      <w:bookmarkEnd w:id="169"/>
    </w:p>
    <w:p w14:paraId="2A12D48D" w14:textId="67BAD707" w:rsidR="00C51195" w:rsidRDefault="00A520C9" w:rsidP="00A520C9">
      <w:r>
        <w:t xml:space="preserve">Daily Activities and Social, Community and Civic supports </w:t>
      </w:r>
      <w:r w:rsidR="00C51195">
        <w:t xml:space="preserve">were 73% of total support payments during 2020-21 and prices </w:t>
      </w:r>
      <w:r>
        <w:t xml:space="preserve">are assumed to increase by 3.5% p.a. </w:t>
      </w:r>
      <w:r w:rsidR="00250068">
        <w:t>The assumed level of price increase for these services is discussed in more detail below.</w:t>
      </w:r>
    </w:p>
    <w:p w14:paraId="7DEB9A77" w14:textId="37D4C444" w:rsidR="0086055C" w:rsidRDefault="00A520C9" w:rsidP="00A520C9">
      <w:r>
        <w:t xml:space="preserve">Prices for all other services are assumed to increase by 1.75% in 2021-22 then 2.25% the following year and 2.5% p.a. </w:t>
      </w:r>
      <w:r w:rsidR="00C51195">
        <w:t>which is based on forecast CPI</w:t>
      </w:r>
      <w:r>
        <w:t>.</w:t>
      </w:r>
      <w:r w:rsidR="005046A1">
        <w:t xml:space="preserve"> </w:t>
      </w:r>
      <w:r w:rsidR="00250068">
        <w:t xml:space="preserve">The risks related to prices are less material compared to Daily Activities and Social, Community and Civic supports and are likely to largely mirror broader economic wage and price inflation. </w:t>
      </w:r>
      <w:r w:rsidR="0086055C">
        <w:t>The CPI assumption of 2.5% is the middle of the RBA target range and as part of this review we are not assessing the reasonableness of RBA’s assumption, noting that some economists think that inflation will be lower than this while others believe higher levels of inflation may emerge post-COVID.</w:t>
      </w:r>
    </w:p>
    <w:p w14:paraId="59923E68" w14:textId="568E6737" w:rsidR="00A520C9" w:rsidRDefault="00250068" w:rsidP="00A520C9">
      <w:r>
        <w:t>Should the demand for specialised services, such as some types of modifications increase, this could put pressure on prices for some support types</w:t>
      </w:r>
      <w:r w:rsidR="001251E9">
        <w:t>,</w:t>
      </w:r>
      <w:r>
        <w:t xml:space="preserve"> but these are likely to be only a very small proportion of total </w:t>
      </w:r>
      <w:r w:rsidR="00232FFF">
        <w:t>Scheme</w:t>
      </w:r>
      <w:r>
        <w:t xml:space="preserve"> costs.</w:t>
      </w:r>
      <w:r w:rsidR="0086055C">
        <w:t xml:space="preserve"> </w:t>
      </w:r>
    </w:p>
    <w:p w14:paraId="7B971642" w14:textId="3A8ED405" w:rsidR="005046A1" w:rsidRDefault="005046A1" w:rsidP="005046A1">
      <w:pPr>
        <w:pStyle w:val="NNheading4"/>
      </w:pPr>
      <w:r>
        <w:t>Daily Activity and Social, Community and Civic supports</w:t>
      </w:r>
    </w:p>
    <w:p w14:paraId="5A7108F3" w14:textId="7D19D83A" w:rsidR="00A520C9" w:rsidRDefault="00A520C9" w:rsidP="00A520C9">
      <w:r>
        <w:t xml:space="preserve">The inflation assumption for Daily Activity and Social, Community and Civic supports </w:t>
      </w:r>
      <w:r w:rsidR="001251E9">
        <w:t xml:space="preserve">is </w:t>
      </w:r>
      <w:r w:rsidR="002537FC">
        <w:t xml:space="preserve">1% higher than </w:t>
      </w:r>
      <w:r w:rsidR="001251E9">
        <w:t xml:space="preserve">forecast </w:t>
      </w:r>
      <w:r w:rsidR="002537FC">
        <w:t xml:space="preserve">CPI largely based on </w:t>
      </w:r>
      <w:r>
        <w:t>anticipated increases in carer wages as set by Fair Work Australia. Over the past few years, wage increases (excluding the Equal Remuneration Order) for carers have been consistent with minimum wage increases.</w:t>
      </w:r>
    </w:p>
    <w:p w14:paraId="3D714511" w14:textId="77777777" w:rsidR="00A520C9" w:rsidRDefault="00A520C9" w:rsidP="00A520C9">
      <w:r>
        <w:t>For a standard hour of weekday care, the maximum price as per the NDIS price guide increased by less than carer wages in 2020-21 but by more in 2021-22. This followed a ‘re-basing’ of costs at 1 July 2019 where prices rose significantly. Price increases vary by type of service so while the daytime rate in 2020-21 increased by 2.74% the weighted average across all Daily Activity services was approximately 3.1%.</w:t>
      </w:r>
    </w:p>
    <w:p w14:paraId="3D738181" w14:textId="42ABD3F1" w:rsidR="00A520C9" w:rsidRDefault="00A520C9" w:rsidP="00A520C9">
      <w:pPr>
        <w:pStyle w:val="Caption"/>
      </w:pPr>
      <w:r>
        <w:t xml:space="preserve">Table </w:t>
      </w:r>
      <w:r w:rsidR="007F6BE8">
        <w:fldChar w:fldCharType="begin"/>
      </w:r>
      <w:r w:rsidR="007F6BE8">
        <w:instrText xml:space="preserve"> STYLEREF 1 \s </w:instrText>
      </w:r>
      <w:r w:rsidR="007F6BE8">
        <w:fldChar w:fldCharType="separate"/>
      </w:r>
      <w:r w:rsidR="00E6217F">
        <w:rPr>
          <w:noProof/>
        </w:rPr>
        <w:t>4</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4</w:t>
      </w:r>
      <w:r w:rsidR="007F6BE8">
        <w:fldChar w:fldCharType="end"/>
      </w:r>
      <w:r>
        <w:t xml:space="preserve"> – Comparison of carer wages increases and NDIS price guide increases</w:t>
      </w:r>
    </w:p>
    <w:tbl>
      <w:tblPr>
        <w:tblW w:w="9355" w:type="dxa"/>
        <w:tblLook w:val="04A0" w:firstRow="1" w:lastRow="0" w:firstColumn="1" w:lastColumn="0" w:noHBand="0" w:noVBand="1"/>
      </w:tblPr>
      <w:tblGrid>
        <w:gridCol w:w="1045"/>
        <w:gridCol w:w="1808"/>
        <w:gridCol w:w="1583"/>
        <w:gridCol w:w="1561"/>
        <w:gridCol w:w="2020"/>
        <w:gridCol w:w="1338"/>
      </w:tblGrid>
      <w:tr w:rsidR="00A520C9" w:rsidRPr="00820CD2" w14:paraId="7726BA66" w14:textId="77777777" w:rsidTr="003F577D">
        <w:trPr>
          <w:trHeight w:val="662"/>
          <w:tblHeader/>
        </w:trPr>
        <w:tc>
          <w:tcPr>
            <w:tcW w:w="1027" w:type="dxa"/>
            <w:tcBorders>
              <w:top w:val="single" w:sz="4" w:space="0" w:color="006EC8"/>
              <w:left w:val="nil"/>
              <w:bottom w:val="single" w:sz="4" w:space="0" w:color="006EC8"/>
              <w:right w:val="nil"/>
            </w:tcBorders>
            <w:shd w:val="clear" w:color="auto" w:fill="auto"/>
            <w:tcMar>
              <w:left w:w="28" w:type="dxa"/>
              <w:right w:w="28" w:type="dxa"/>
            </w:tcMar>
            <w:vAlign w:val="bottom"/>
            <w:hideMark/>
          </w:tcPr>
          <w:p w14:paraId="133C1406" w14:textId="77777777" w:rsidR="00A520C9" w:rsidRPr="00820CD2" w:rsidRDefault="00A520C9" w:rsidP="00DA0930">
            <w:pPr>
              <w:spacing w:before="0" w:after="0"/>
              <w:rPr>
                <w:rFonts w:ascii="Blanco" w:eastAsia="Times New Roman" w:hAnsi="Blanco" w:cs="Times New Roman"/>
                <w:b/>
                <w:bCs/>
                <w:color w:val="231F20"/>
                <w:szCs w:val="21"/>
                <w:lang w:eastAsia="en-GB"/>
              </w:rPr>
            </w:pPr>
            <w:r w:rsidRPr="00820CD2">
              <w:rPr>
                <w:rFonts w:ascii="Blanco" w:eastAsia="Times New Roman" w:hAnsi="Blanco" w:cs="Times New Roman"/>
                <w:b/>
                <w:bCs/>
                <w:color w:val="231F20"/>
                <w:szCs w:val="21"/>
                <w:lang w:eastAsia="en-GB"/>
              </w:rPr>
              <w:t>Financial Year</w:t>
            </w:r>
          </w:p>
        </w:tc>
        <w:tc>
          <w:tcPr>
            <w:tcW w:w="1777" w:type="dxa"/>
            <w:tcBorders>
              <w:top w:val="single" w:sz="4" w:space="0" w:color="006EC8"/>
              <w:left w:val="nil"/>
              <w:bottom w:val="single" w:sz="4" w:space="0" w:color="006EC8"/>
              <w:right w:val="nil"/>
            </w:tcBorders>
            <w:shd w:val="clear" w:color="auto" w:fill="auto"/>
            <w:tcMar>
              <w:left w:w="28" w:type="dxa"/>
              <w:right w:w="28" w:type="dxa"/>
            </w:tcMar>
            <w:vAlign w:val="bottom"/>
            <w:hideMark/>
          </w:tcPr>
          <w:p w14:paraId="02D8DBB6" w14:textId="77777777" w:rsidR="00A520C9" w:rsidRPr="00820CD2" w:rsidRDefault="00A520C9" w:rsidP="00DA0930">
            <w:pPr>
              <w:spacing w:before="0" w:after="0"/>
              <w:jc w:val="center"/>
              <w:rPr>
                <w:rFonts w:ascii="Blanco" w:eastAsia="Times New Roman" w:hAnsi="Blanco" w:cs="Times New Roman"/>
                <w:b/>
                <w:bCs/>
                <w:color w:val="231F20"/>
                <w:szCs w:val="21"/>
                <w:lang w:eastAsia="en-GB"/>
              </w:rPr>
            </w:pPr>
            <w:r w:rsidRPr="00820CD2">
              <w:rPr>
                <w:rFonts w:ascii="Blanco" w:eastAsia="Times New Roman" w:hAnsi="Blanco" w:cs="Times New Roman"/>
                <w:b/>
                <w:bCs/>
                <w:color w:val="231F20"/>
                <w:szCs w:val="21"/>
                <w:lang w:eastAsia="en-GB"/>
              </w:rPr>
              <w:t xml:space="preserve">Carer Wages </w:t>
            </w:r>
            <w:r w:rsidRPr="00820CD2">
              <w:rPr>
                <w:rFonts w:ascii="Blanco" w:eastAsia="Times New Roman" w:hAnsi="Blanco" w:cs="Times New Roman"/>
                <w:b/>
                <w:bCs/>
                <w:color w:val="231F20"/>
                <w:szCs w:val="21"/>
                <w:lang w:eastAsia="en-GB"/>
              </w:rPr>
              <w:br/>
              <w:t>/ Minimum Wage</w:t>
            </w:r>
          </w:p>
        </w:tc>
        <w:tc>
          <w:tcPr>
            <w:tcW w:w="1556" w:type="dxa"/>
            <w:tcBorders>
              <w:top w:val="single" w:sz="4" w:space="0" w:color="006EC8"/>
              <w:left w:val="nil"/>
              <w:bottom w:val="single" w:sz="4" w:space="0" w:color="006EC8"/>
              <w:right w:val="single" w:sz="4" w:space="0" w:color="006EC8"/>
            </w:tcBorders>
            <w:shd w:val="clear" w:color="auto" w:fill="auto"/>
            <w:tcMar>
              <w:left w:w="28" w:type="dxa"/>
              <w:right w:w="28" w:type="dxa"/>
            </w:tcMar>
            <w:vAlign w:val="bottom"/>
            <w:hideMark/>
          </w:tcPr>
          <w:p w14:paraId="54718B11" w14:textId="77777777" w:rsidR="00A520C9" w:rsidRPr="00820CD2" w:rsidRDefault="00A520C9" w:rsidP="00DA0930">
            <w:pPr>
              <w:spacing w:before="0" w:after="0"/>
              <w:jc w:val="center"/>
              <w:rPr>
                <w:rFonts w:ascii="Blanco" w:eastAsia="Times New Roman" w:hAnsi="Blanco" w:cs="Times New Roman"/>
                <w:b/>
                <w:bCs/>
                <w:color w:val="231F20"/>
                <w:szCs w:val="21"/>
                <w:lang w:eastAsia="en-GB"/>
              </w:rPr>
            </w:pPr>
            <w:r w:rsidRPr="00820CD2">
              <w:rPr>
                <w:rFonts w:ascii="Blanco" w:eastAsia="Times New Roman" w:hAnsi="Blanco" w:cs="Times New Roman"/>
                <w:b/>
                <w:bCs/>
                <w:color w:val="231F20"/>
                <w:szCs w:val="21"/>
                <w:lang w:eastAsia="en-GB"/>
              </w:rPr>
              <w:t>Equal Remuneration Order increase</w:t>
            </w:r>
          </w:p>
        </w:tc>
        <w:tc>
          <w:tcPr>
            <w:tcW w:w="1534" w:type="dxa"/>
            <w:tcBorders>
              <w:top w:val="single" w:sz="4" w:space="0" w:color="006EC8"/>
              <w:left w:val="nil"/>
              <w:bottom w:val="single" w:sz="4" w:space="0" w:color="006EC8"/>
              <w:right w:val="nil"/>
            </w:tcBorders>
            <w:shd w:val="clear" w:color="auto" w:fill="auto"/>
            <w:tcMar>
              <w:left w:w="28" w:type="dxa"/>
              <w:right w:w="28" w:type="dxa"/>
            </w:tcMar>
            <w:vAlign w:val="bottom"/>
            <w:hideMark/>
          </w:tcPr>
          <w:p w14:paraId="22F0DCA1" w14:textId="77777777" w:rsidR="00A520C9" w:rsidRPr="00820CD2" w:rsidRDefault="00A520C9" w:rsidP="00DA0930">
            <w:pPr>
              <w:spacing w:before="0" w:after="0"/>
              <w:jc w:val="center"/>
              <w:rPr>
                <w:rFonts w:ascii="Blanco" w:eastAsia="Times New Roman" w:hAnsi="Blanco" w:cs="Times New Roman"/>
                <w:b/>
                <w:bCs/>
                <w:color w:val="231F20"/>
                <w:szCs w:val="21"/>
                <w:lang w:eastAsia="en-GB"/>
              </w:rPr>
            </w:pPr>
            <w:r w:rsidRPr="00820CD2">
              <w:rPr>
                <w:rFonts w:ascii="Blanco" w:eastAsia="Times New Roman" w:hAnsi="Blanco" w:cs="Times New Roman"/>
                <w:b/>
                <w:bCs/>
                <w:color w:val="231F20"/>
                <w:szCs w:val="21"/>
                <w:lang w:eastAsia="en-GB"/>
              </w:rPr>
              <w:t>Total increase in carer wages</w:t>
            </w:r>
          </w:p>
        </w:tc>
        <w:tc>
          <w:tcPr>
            <w:tcW w:w="1985" w:type="dxa"/>
            <w:tcBorders>
              <w:top w:val="single" w:sz="4" w:space="0" w:color="006EC8"/>
              <w:left w:val="nil"/>
              <w:bottom w:val="single" w:sz="4" w:space="0" w:color="006EC8"/>
              <w:right w:val="nil"/>
            </w:tcBorders>
            <w:shd w:val="clear" w:color="auto" w:fill="auto"/>
            <w:tcMar>
              <w:left w:w="28" w:type="dxa"/>
              <w:right w:w="28" w:type="dxa"/>
            </w:tcMar>
            <w:vAlign w:val="bottom"/>
            <w:hideMark/>
          </w:tcPr>
          <w:p w14:paraId="0D4CC19E" w14:textId="20060B4E" w:rsidR="00A520C9" w:rsidRPr="00820CD2" w:rsidRDefault="00A520C9" w:rsidP="00DA0930">
            <w:pPr>
              <w:spacing w:before="0" w:after="0"/>
              <w:jc w:val="center"/>
              <w:rPr>
                <w:rFonts w:ascii="Blanco" w:eastAsia="Times New Roman" w:hAnsi="Blanco" w:cs="Times New Roman"/>
                <w:b/>
                <w:bCs/>
                <w:color w:val="231F20"/>
                <w:szCs w:val="21"/>
                <w:lang w:eastAsia="en-GB"/>
              </w:rPr>
            </w:pPr>
            <w:r w:rsidRPr="00820CD2">
              <w:rPr>
                <w:rFonts w:ascii="Blanco" w:eastAsia="Times New Roman" w:hAnsi="Blanco" w:cs="Times New Roman"/>
                <w:b/>
                <w:bCs/>
                <w:color w:val="231F20"/>
                <w:szCs w:val="21"/>
                <w:lang w:eastAsia="en-GB"/>
              </w:rPr>
              <w:t>Assistance With Self-Care</w:t>
            </w:r>
            <w:r w:rsidRPr="00820CD2">
              <w:rPr>
                <w:rFonts w:ascii="Blanco" w:eastAsia="Times New Roman" w:hAnsi="Blanco" w:cs="Times New Roman"/>
                <w:b/>
                <w:bCs/>
                <w:color w:val="231F20"/>
                <w:szCs w:val="21"/>
                <w:lang w:eastAsia="en-GB"/>
              </w:rPr>
              <w:br/>
              <w:t xml:space="preserve">Standard </w:t>
            </w:r>
            <w:r w:rsidR="00F36406">
              <w:rPr>
                <w:rFonts w:ascii="Blanco" w:eastAsia="Times New Roman" w:hAnsi="Blanco" w:cs="Times New Roman"/>
                <w:b/>
                <w:bCs/>
                <w:color w:val="231F20"/>
                <w:szCs w:val="21"/>
                <w:lang w:eastAsia="en-GB"/>
              </w:rPr>
              <w:t>–</w:t>
            </w:r>
            <w:r w:rsidRPr="00820CD2">
              <w:rPr>
                <w:rFonts w:ascii="Blanco" w:eastAsia="Times New Roman" w:hAnsi="Blanco" w:cs="Times New Roman"/>
                <w:b/>
                <w:bCs/>
                <w:color w:val="231F20"/>
                <w:szCs w:val="21"/>
                <w:lang w:eastAsia="en-GB"/>
              </w:rPr>
              <w:t xml:space="preserve"> Weekday </w:t>
            </w:r>
          </w:p>
        </w:tc>
        <w:tc>
          <w:tcPr>
            <w:tcW w:w="1315" w:type="dxa"/>
            <w:tcBorders>
              <w:top w:val="single" w:sz="4" w:space="0" w:color="006EC8"/>
              <w:left w:val="nil"/>
              <w:bottom w:val="single" w:sz="4" w:space="0" w:color="006EC8"/>
              <w:right w:val="nil"/>
            </w:tcBorders>
            <w:shd w:val="clear" w:color="auto" w:fill="auto"/>
            <w:noWrap/>
            <w:tcMar>
              <w:left w:w="28" w:type="dxa"/>
              <w:right w:w="28" w:type="dxa"/>
            </w:tcMar>
            <w:vAlign w:val="bottom"/>
            <w:hideMark/>
          </w:tcPr>
          <w:p w14:paraId="54AC758E" w14:textId="77777777" w:rsidR="00A520C9" w:rsidRPr="00820CD2" w:rsidRDefault="00A520C9" w:rsidP="00DA0930">
            <w:pPr>
              <w:spacing w:before="0" w:after="0"/>
              <w:jc w:val="center"/>
              <w:rPr>
                <w:rFonts w:ascii="Blanco" w:eastAsia="Times New Roman" w:hAnsi="Blanco" w:cs="Times New Roman"/>
                <w:b/>
                <w:bCs/>
                <w:color w:val="231F20"/>
                <w:szCs w:val="21"/>
                <w:lang w:eastAsia="en-GB"/>
              </w:rPr>
            </w:pPr>
            <w:r w:rsidRPr="00820CD2">
              <w:rPr>
                <w:rFonts w:ascii="Blanco" w:eastAsia="Times New Roman" w:hAnsi="Blanco" w:cs="Times New Roman"/>
                <w:b/>
                <w:bCs/>
                <w:color w:val="231F20"/>
                <w:szCs w:val="21"/>
                <w:lang w:eastAsia="en-GB"/>
              </w:rPr>
              <w:t>Difference</w:t>
            </w:r>
          </w:p>
        </w:tc>
      </w:tr>
      <w:tr w:rsidR="00A520C9" w:rsidRPr="00820CD2" w14:paraId="0A663A73" w14:textId="77777777" w:rsidTr="00DA0930">
        <w:trPr>
          <w:trHeight w:val="331"/>
        </w:trPr>
        <w:tc>
          <w:tcPr>
            <w:tcW w:w="1027" w:type="dxa"/>
            <w:tcBorders>
              <w:top w:val="nil"/>
              <w:left w:val="nil"/>
              <w:bottom w:val="dotted" w:sz="4" w:space="0" w:color="006EC8"/>
              <w:right w:val="nil"/>
            </w:tcBorders>
            <w:shd w:val="clear" w:color="auto" w:fill="auto"/>
            <w:noWrap/>
            <w:tcMar>
              <w:left w:w="28" w:type="dxa"/>
            </w:tcMar>
            <w:vAlign w:val="bottom"/>
            <w:hideMark/>
          </w:tcPr>
          <w:p w14:paraId="23C9D7E3" w14:textId="77777777" w:rsidR="00A520C9" w:rsidRPr="00820CD2" w:rsidRDefault="00A520C9" w:rsidP="00DA0930">
            <w:pPr>
              <w:spacing w:before="0" w:after="0"/>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2019</w:t>
            </w:r>
            <w:r>
              <w:rPr>
                <w:rFonts w:ascii="Blanco" w:eastAsia="Times New Roman" w:hAnsi="Blanco" w:cs="Times New Roman"/>
                <w:color w:val="231F20"/>
                <w:szCs w:val="21"/>
                <w:lang w:eastAsia="en-GB"/>
              </w:rPr>
              <w:t>-</w:t>
            </w:r>
            <w:r w:rsidRPr="00820CD2">
              <w:rPr>
                <w:rFonts w:ascii="Blanco" w:eastAsia="Times New Roman" w:hAnsi="Blanco" w:cs="Times New Roman"/>
                <w:color w:val="231F20"/>
                <w:szCs w:val="21"/>
                <w:lang w:eastAsia="en-GB"/>
              </w:rPr>
              <w:t>20</w:t>
            </w:r>
          </w:p>
        </w:tc>
        <w:tc>
          <w:tcPr>
            <w:tcW w:w="1777" w:type="dxa"/>
            <w:tcBorders>
              <w:top w:val="nil"/>
              <w:left w:val="nil"/>
              <w:bottom w:val="dotted" w:sz="4" w:space="0" w:color="006EC8"/>
              <w:right w:val="nil"/>
            </w:tcBorders>
            <w:shd w:val="clear" w:color="auto" w:fill="auto"/>
            <w:noWrap/>
            <w:vAlign w:val="bottom"/>
            <w:hideMark/>
          </w:tcPr>
          <w:p w14:paraId="116BEA9F"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3.00%</w:t>
            </w:r>
          </w:p>
        </w:tc>
        <w:tc>
          <w:tcPr>
            <w:tcW w:w="1556" w:type="dxa"/>
            <w:tcBorders>
              <w:top w:val="nil"/>
              <w:left w:val="nil"/>
              <w:bottom w:val="dotted" w:sz="4" w:space="0" w:color="006EC8"/>
              <w:right w:val="single" w:sz="4" w:space="0" w:color="006EC8"/>
            </w:tcBorders>
            <w:shd w:val="clear" w:color="auto" w:fill="auto"/>
            <w:noWrap/>
            <w:vAlign w:val="bottom"/>
            <w:hideMark/>
          </w:tcPr>
          <w:p w14:paraId="7414905A"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2.20%</w:t>
            </w:r>
          </w:p>
        </w:tc>
        <w:tc>
          <w:tcPr>
            <w:tcW w:w="1534" w:type="dxa"/>
            <w:tcBorders>
              <w:top w:val="nil"/>
              <w:left w:val="nil"/>
              <w:bottom w:val="dotted" w:sz="4" w:space="0" w:color="006EC8"/>
              <w:right w:val="nil"/>
            </w:tcBorders>
            <w:shd w:val="clear" w:color="auto" w:fill="auto"/>
            <w:noWrap/>
            <w:vAlign w:val="bottom"/>
            <w:hideMark/>
          </w:tcPr>
          <w:p w14:paraId="53F2CE8C"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5.20%</w:t>
            </w:r>
          </w:p>
        </w:tc>
        <w:tc>
          <w:tcPr>
            <w:tcW w:w="1985" w:type="dxa"/>
            <w:tcBorders>
              <w:top w:val="nil"/>
              <w:left w:val="nil"/>
              <w:bottom w:val="dotted" w:sz="4" w:space="0" w:color="006EC8"/>
              <w:right w:val="nil"/>
            </w:tcBorders>
            <w:shd w:val="clear" w:color="auto" w:fill="auto"/>
            <w:noWrap/>
            <w:vAlign w:val="bottom"/>
            <w:hideMark/>
          </w:tcPr>
          <w:p w14:paraId="24EAA275"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9.78%</w:t>
            </w:r>
          </w:p>
        </w:tc>
        <w:tc>
          <w:tcPr>
            <w:tcW w:w="1315" w:type="dxa"/>
            <w:tcBorders>
              <w:top w:val="nil"/>
              <w:left w:val="nil"/>
              <w:bottom w:val="dotted" w:sz="4" w:space="0" w:color="006EC8"/>
              <w:right w:val="nil"/>
            </w:tcBorders>
            <w:shd w:val="clear" w:color="auto" w:fill="auto"/>
            <w:noWrap/>
            <w:vAlign w:val="bottom"/>
            <w:hideMark/>
          </w:tcPr>
          <w:p w14:paraId="586734ED" w14:textId="68C43EB6" w:rsidR="00A520C9" w:rsidRPr="00820CD2" w:rsidRDefault="002537FC" w:rsidP="00DA0930">
            <w:pPr>
              <w:spacing w:before="0" w:after="0"/>
              <w:jc w:val="center"/>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w:t>
            </w:r>
            <w:r w:rsidR="00A520C9" w:rsidRPr="00820CD2">
              <w:rPr>
                <w:rFonts w:ascii="Blanco" w:eastAsia="Times New Roman" w:hAnsi="Blanco" w:cs="Times New Roman"/>
                <w:color w:val="231F20"/>
                <w:szCs w:val="21"/>
                <w:lang w:eastAsia="en-GB"/>
              </w:rPr>
              <w:t>4.58%</w:t>
            </w:r>
          </w:p>
        </w:tc>
      </w:tr>
      <w:tr w:rsidR="00A520C9" w:rsidRPr="00820CD2" w14:paraId="588D19C8" w14:textId="77777777" w:rsidTr="00DA0930">
        <w:trPr>
          <w:trHeight w:val="331"/>
        </w:trPr>
        <w:tc>
          <w:tcPr>
            <w:tcW w:w="1027" w:type="dxa"/>
            <w:tcBorders>
              <w:top w:val="dotted" w:sz="4" w:space="0" w:color="006EC8"/>
              <w:left w:val="nil"/>
              <w:bottom w:val="nil"/>
              <w:right w:val="nil"/>
            </w:tcBorders>
            <w:shd w:val="clear" w:color="auto" w:fill="auto"/>
            <w:noWrap/>
            <w:tcMar>
              <w:left w:w="28" w:type="dxa"/>
            </w:tcMar>
            <w:vAlign w:val="bottom"/>
            <w:hideMark/>
          </w:tcPr>
          <w:p w14:paraId="0EDCF2CC" w14:textId="77777777" w:rsidR="00A520C9" w:rsidRPr="00820CD2" w:rsidRDefault="00A520C9" w:rsidP="00DA0930">
            <w:pPr>
              <w:spacing w:before="0" w:after="0"/>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2020</w:t>
            </w:r>
            <w:r>
              <w:rPr>
                <w:rFonts w:ascii="Blanco" w:eastAsia="Times New Roman" w:hAnsi="Blanco" w:cs="Times New Roman"/>
                <w:color w:val="231F20"/>
                <w:szCs w:val="21"/>
                <w:lang w:eastAsia="en-GB"/>
              </w:rPr>
              <w:t>-</w:t>
            </w:r>
            <w:r w:rsidRPr="00820CD2">
              <w:rPr>
                <w:rFonts w:ascii="Blanco" w:eastAsia="Times New Roman" w:hAnsi="Blanco" w:cs="Times New Roman"/>
                <w:color w:val="231F20"/>
                <w:szCs w:val="21"/>
                <w:lang w:eastAsia="en-GB"/>
              </w:rPr>
              <w:t>21</w:t>
            </w:r>
          </w:p>
        </w:tc>
        <w:tc>
          <w:tcPr>
            <w:tcW w:w="1777" w:type="dxa"/>
            <w:tcBorders>
              <w:top w:val="dotted" w:sz="4" w:space="0" w:color="006EC8"/>
              <w:left w:val="nil"/>
              <w:bottom w:val="nil"/>
              <w:right w:val="nil"/>
            </w:tcBorders>
            <w:shd w:val="clear" w:color="auto" w:fill="auto"/>
            <w:noWrap/>
            <w:vAlign w:val="bottom"/>
            <w:hideMark/>
          </w:tcPr>
          <w:p w14:paraId="4D5B253F"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1.75%</w:t>
            </w:r>
          </w:p>
        </w:tc>
        <w:tc>
          <w:tcPr>
            <w:tcW w:w="1556" w:type="dxa"/>
            <w:tcBorders>
              <w:top w:val="dotted" w:sz="4" w:space="0" w:color="006EC8"/>
              <w:left w:val="nil"/>
              <w:bottom w:val="nil"/>
              <w:right w:val="single" w:sz="4" w:space="0" w:color="006EC8"/>
            </w:tcBorders>
            <w:shd w:val="clear" w:color="auto" w:fill="auto"/>
            <w:noWrap/>
            <w:vAlign w:val="bottom"/>
            <w:hideMark/>
          </w:tcPr>
          <w:p w14:paraId="3CB0B103"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2.20%</w:t>
            </w:r>
          </w:p>
        </w:tc>
        <w:tc>
          <w:tcPr>
            <w:tcW w:w="1534" w:type="dxa"/>
            <w:tcBorders>
              <w:top w:val="dotted" w:sz="4" w:space="0" w:color="006EC8"/>
              <w:left w:val="nil"/>
              <w:bottom w:val="nil"/>
              <w:right w:val="nil"/>
            </w:tcBorders>
            <w:shd w:val="clear" w:color="auto" w:fill="auto"/>
            <w:noWrap/>
            <w:vAlign w:val="bottom"/>
            <w:hideMark/>
          </w:tcPr>
          <w:p w14:paraId="618392BC"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3.95%</w:t>
            </w:r>
          </w:p>
        </w:tc>
        <w:tc>
          <w:tcPr>
            <w:tcW w:w="1985" w:type="dxa"/>
            <w:tcBorders>
              <w:top w:val="dotted" w:sz="4" w:space="0" w:color="006EC8"/>
              <w:left w:val="nil"/>
              <w:bottom w:val="nil"/>
              <w:right w:val="nil"/>
            </w:tcBorders>
            <w:shd w:val="clear" w:color="auto" w:fill="auto"/>
            <w:noWrap/>
            <w:vAlign w:val="bottom"/>
            <w:hideMark/>
          </w:tcPr>
          <w:p w14:paraId="0FA11D8D"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2.74%</w:t>
            </w:r>
          </w:p>
        </w:tc>
        <w:tc>
          <w:tcPr>
            <w:tcW w:w="1315" w:type="dxa"/>
            <w:tcBorders>
              <w:top w:val="dotted" w:sz="4" w:space="0" w:color="006EC8"/>
              <w:left w:val="nil"/>
              <w:bottom w:val="nil"/>
              <w:right w:val="nil"/>
            </w:tcBorders>
            <w:shd w:val="clear" w:color="auto" w:fill="auto"/>
            <w:noWrap/>
            <w:vAlign w:val="bottom"/>
            <w:hideMark/>
          </w:tcPr>
          <w:p w14:paraId="32F7693D"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-1.21%</w:t>
            </w:r>
          </w:p>
        </w:tc>
      </w:tr>
      <w:tr w:rsidR="00A520C9" w:rsidRPr="00820CD2" w14:paraId="1AC8F704" w14:textId="77777777" w:rsidTr="00DA0930">
        <w:trPr>
          <w:trHeight w:val="331"/>
        </w:trPr>
        <w:tc>
          <w:tcPr>
            <w:tcW w:w="1027" w:type="dxa"/>
            <w:tcBorders>
              <w:top w:val="nil"/>
              <w:left w:val="nil"/>
              <w:bottom w:val="single" w:sz="4" w:space="0" w:color="006EC8"/>
              <w:right w:val="nil"/>
            </w:tcBorders>
            <w:shd w:val="clear" w:color="auto" w:fill="auto"/>
            <w:noWrap/>
            <w:tcMar>
              <w:left w:w="28" w:type="dxa"/>
            </w:tcMar>
            <w:vAlign w:val="bottom"/>
            <w:hideMark/>
          </w:tcPr>
          <w:p w14:paraId="3822F894" w14:textId="77777777" w:rsidR="00A520C9" w:rsidRPr="00820CD2" w:rsidRDefault="00A520C9" w:rsidP="00DA0930">
            <w:pPr>
              <w:spacing w:before="0" w:after="0"/>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2021</w:t>
            </w:r>
            <w:r>
              <w:rPr>
                <w:rFonts w:ascii="Blanco" w:eastAsia="Times New Roman" w:hAnsi="Blanco" w:cs="Times New Roman"/>
                <w:color w:val="231F20"/>
                <w:szCs w:val="21"/>
                <w:lang w:eastAsia="en-GB"/>
              </w:rPr>
              <w:t>-</w:t>
            </w:r>
            <w:r w:rsidRPr="00820CD2">
              <w:rPr>
                <w:rFonts w:ascii="Blanco" w:eastAsia="Times New Roman" w:hAnsi="Blanco" w:cs="Times New Roman"/>
                <w:color w:val="231F20"/>
                <w:szCs w:val="21"/>
                <w:lang w:eastAsia="en-GB"/>
              </w:rPr>
              <w:t>22</w:t>
            </w:r>
          </w:p>
        </w:tc>
        <w:tc>
          <w:tcPr>
            <w:tcW w:w="1777" w:type="dxa"/>
            <w:tcBorders>
              <w:top w:val="nil"/>
              <w:left w:val="nil"/>
              <w:bottom w:val="single" w:sz="4" w:space="0" w:color="006EC8"/>
              <w:right w:val="nil"/>
            </w:tcBorders>
            <w:shd w:val="clear" w:color="auto" w:fill="auto"/>
            <w:noWrap/>
            <w:vAlign w:val="bottom"/>
            <w:hideMark/>
          </w:tcPr>
          <w:p w14:paraId="30A72753"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2.50%</w:t>
            </w:r>
          </w:p>
        </w:tc>
        <w:tc>
          <w:tcPr>
            <w:tcW w:w="1556" w:type="dxa"/>
            <w:tcBorders>
              <w:top w:val="nil"/>
              <w:left w:val="nil"/>
              <w:bottom w:val="single" w:sz="4" w:space="0" w:color="006EC8"/>
              <w:right w:val="single" w:sz="4" w:space="0" w:color="006EC8"/>
            </w:tcBorders>
            <w:shd w:val="clear" w:color="auto" w:fill="auto"/>
            <w:noWrap/>
            <w:vAlign w:val="bottom"/>
            <w:hideMark/>
          </w:tcPr>
          <w:p w14:paraId="179C61AA" w14:textId="550466E1" w:rsidR="00A520C9" w:rsidRPr="00820CD2" w:rsidRDefault="002537FC" w:rsidP="00DA0930">
            <w:pPr>
              <w:spacing w:before="0" w:after="0"/>
              <w:jc w:val="center"/>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w:t>
            </w:r>
          </w:p>
        </w:tc>
        <w:tc>
          <w:tcPr>
            <w:tcW w:w="1534" w:type="dxa"/>
            <w:tcBorders>
              <w:top w:val="nil"/>
              <w:left w:val="nil"/>
              <w:bottom w:val="single" w:sz="4" w:space="0" w:color="006EC8"/>
              <w:right w:val="nil"/>
            </w:tcBorders>
            <w:shd w:val="clear" w:color="auto" w:fill="auto"/>
            <w:noWrap/>
            <w:vAlign w:val="bottom"/>
            <w:hideMark/>
          </w:tcPr>
          <w:p w14:paraId="655B674F" w14:textId="1812A213" w:rsidR="00A520C9" w:rsidRPr="00820CD2" w:rsidRDefault="002537FC" w:rsidP="00DA0930">
            <w:pPr>
              <w:spacing w:before="0" w:after="0"/>
              <w:jc w:val="center"/>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2.5</w:t>
            </w:r>
            <w:r w:rsidR="00A520C9" w:rsidRPr="00820CD2">
              <w:rPr>
                <w:rFonts w:ascii="Blanco" w:eastAsia="Times New Roman" w:hAnsi="Blanco" w:cs="Times New Roman"/>
                <w:color w:val="231F20"/>
                <w:szCs w:val="21"/>
                <w:lang w:eastAsia="en-GB"/>
              </w:rPr>
              <w:t>0%</w:t>
            </w:r>
          </w:p>
        </w:tc>
        <w:tc>
          <w:tcPr>
            <w:tcW w:w="1985" w:type="dxa"/>
            <w:tcBorders>
              <w:top w:val="nil"/>
              <w:left w:val="nil"/>
              <w:bottom w:val="single" w:sz="4" w:space="0" w:color="006EC8"/>
              <w:right w:val="nil"/>
            </w:tcBorders>
            <w:shd w:val="clear" w:color="auto" w:fill="auto"/>
            <w:noWrap/>
            <w:vAlign w:val="bottom"/>
            <w:hideMark/>
          </w:tcPr>
          <w:p w14:paraId="7E973682" w14:textId="77777777" w:rsidR="00A520C9" w:rsidRPr="00820CD2" w:rsidRDefault="00A520C9" w:rsidP="00DA0930">
            <w:pPr>
              <w:spacing w:before="0" w:after="0"/>
              <w:jc w:val="center"/>
              <w:rPr>
                <w:rFonts w:ascii="Blanco" w:eastAsia="Times New Roman" w:hAnsi="Blanco" w:cs="Times New Roman"/>
                <w:color w:val="231F20"/>
                <w:szCs w:val="21"/>
                <w:lang w:eastAsia="en-GB"/>
              </w:rPr>
            </w:pPr>
            <w:r w:rsidRPr="00820CD2">
              <w:rPr>
                <w:rFonts w:ascii="Blanco" w:eastAsia="Times New Roman" w:hAnsi="Blanco" w:cs="Times New Roman"/>
                <w:color w:val="231F20"/>
                <w:szCs w:val="21"/>
                <w:lang w:eastAsia="en-GB"/>
              </w:rPr>
              <w:t>5.16%</w:t>
            </w:r>
          </w:p>
        </w:tc>
        <w:tc>
          <w:tcPr>
            <w:tcW w:w="1315" w:type="dxa"/>
            <w:tcBorders>
              <w:top w:val="nil"/>
              <w:left w:val="nil"/>
              <w:bottom w:val="single" w:sz="4" w:space="0" w:color="006EC8"/>
              <w:right w:val="nil"/>
            </w:tcBorders>
            <w:shd w:val="clear" w:color="auto" w:fill="auto"/>
            <w:noWrap/>
            <w:vAlign w:val="bottom"/>
            <w:hideMark/>
          </w:tcPr>
          <w:p w14:paraId="0A132040" w14:textId="7D62467E" w:rsidR="00A520C9" w:rsidRPr="00820CD2" w:rsidRDefault="002537FC" w:rsidP="00DA0930">
            <w:pPr>
              <w:spacing w:before="0" w:after="0"/>
              <w:jc w:val="center"/>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+2.6</w:t>
            </w:r>
            <w:r w:rsidR="00A520C9" w:rsidRPr="00820CD2">
              <w:rPr>
                <w:rFonts w:ascii="Blanco" w:eastAsia="Times New Roman" w:hAnsi="Blanco" w:cs="Times New Roman"/>
                <w:color w:val="231F20"/>
                <w:szCs w:val="21"/>
                <w:lang w:eastAsia="en-GB"/>
              </w:rPr>
              <w:t>6%</w:t>
            </w:r>
          </w:p>
        </w:tc>
      </w:tr>
    </w:tbl>
    <w:p w14:paraId="4F9537BD" w14:textId="18814B3B" w:rsidR="00467CF3" w:rsidRDefault="00467CF3" w:rsidP="00467CF3">
      <w:pPr>
        <w:spacing w:after="160" w:line="259" w:lineRule="auto"/>
      </w:pPr>
      <w:r>
        <w:t>Taking a longer-term perspective, since 2015 carer wages (</w:t>
      </w:r>
      <w:r w:rsidR="00CA6520">
        <w:t xml:space="preserve">weekday rate </w:t>
      </w:r>
      <w:r>
        <w:t xml:space="preserve">for social and community services, level 2 employees at pay point 4) have increased from </w:t>
      </w:r>
      <w:r w:rsidR="005046A1">
        <w:t xml:space="preserve">about </w:t>
      </w:r>
      <w:r>
        <w:t xml:space="preserve">59% of </w:t>
      </w:r>
      <w:r w:rsidRPr="00467CF3">
        <w:t>Average Weekly Ordinary Time Earnings (AWOTE)</w:t>
      </w:r>
      <w:r>
        <w:t xml:space="preserve"> to 69%. Of this 2% is attributable to the minimum wage increasing by more than AWOTE</w:t>
      </w:r>
      <w:r w:rsidR="00B26885">
        <w:t>,</w:t>
      </w:r>
      <w:r>
        <w:t xml:space="preserve"> and 8% </w:t>
      </w:r>
      <w:r w:rsidR="002537FC">
        <w:t xml:space="preserve">($3.62) </w:t>
      </w:r>
      <w:r>
        <w:t xml:space="preserve">relates to the Equal Remuneration Order. This is summarised in </w:t>
      </w:r>
      <w:r>
        <w:fldChar w:fldCharType="begin"/>
      </w:r>
      <w:r>
        <w:instrText xml:space="preserve"> REF _Ref86249924 \h </w:instrText>
      </w:r>
      <w:r>
        <w:fldChar w:fldCharType="separate"/>
      </w:r>
      <w:r w:rsidR="00E6217F">
        <w:t xml:space="preserve">Figure </w:t>
      </w:r>
      <w:r w:rsidR="00E6217F">
        <w:rPr>
          <w:noProof/>
        </w:rPr>
        <w:t>4</w:t>
      </w:r>
      <w:r w:rsidR="00E6217F">
        <w:t>.</w:t>
      </w:r>
      <w:r w:rsidR="00E6217F">
        <w:rPr>
          <w:noProof/>
        </w:rPr>
        <w:t>15</w:t>
      </w:r>
      <w:r>
        <w:fldChar w:fldCharType="end"/>
      </w:r>
      <w:r>
        <w:t>. As the final Equal Remuneration Order increase occurred in December 2020 growth in carer wages will depend on</w:t>
      </w:r>
      <w:r w:rsidR="00F44920">
        <w:t xml:space="preserve"> whether</w:t>
      </w:r>
      <w:r>
        <w:t>:</w:t>
      </w:r>
    </w:p>
    <w:p w14:paraId="36CF62E1" w14:textId="7DE2C397" w:rsidR="00467CF3" w:rsidRDefault="00467CF3" w:rsidP="00467CF3">
      <w:pPr>
        <w:pStyle w:val="Bullet1"/>
      </w:pPr>
      <w:r>
        <w:t>the minimum wage grows faster or slower than wages more broadly</w:t>
      </w:r>
    </w:p>
    <w:p w14:paraId="3946404E" w14:textId="3B2756AA" w:rsidR="00467CF3" w:rsidRDefault="00467CF3" w:rsidP="00F44920">
      <w:pPr>
        <w:pStyle w:val="Bullet1"/>
      </w:pPr>
      <w:r>
        <w:t xml:space="preserve">at some </w:t>
      </w:r>
      <w:r w:rsidR="00F44920">
        <w:t xml:space="preserve">stage </w:t>
      </w:r>
      <w:r>
        <w:t>carers receive increases above the minimum wage</w:t>
      </w:r>
    </w:p>
    <w:p w14:paraId="557DBFD9" w14:textId="17E0ADE5" w:rsidR="00F44920" w:rsidRPr="00467CF3" w:rsidRDefault="00F44920" w:rsidP="00F44920">
      <w:pPr>
        <w:pStyle w:val="Bullet1"/>
      </w:pPr>
      <w:r>
        <w:t xml:space="preserve">there is a shift to carers either requiring higher </w:t>
      </w:r>
      <w:r w:rsidR="002537FC">
        <w:t xml:space="preserve">qualifications or increasing their </w:t>
      </w:r>
      <w:r>
        <w:t>level of qualification to move into higher paid wage groups.</w:t>
      </w:r>
    </w:p>
    <w:p w14:paraId="1B225DCA" w14:textId="0E0C09F8" w:rsidR="00467CF3" w:rsidRPr="00631444" w:rsidRDefault="00467CF3" w:rsidP="00467CF3">
      <w:pPr>
        <w:pStyle w:val="Caption"/>
      </w:pPr>
      <w:bookmarkStart w:id="170" w:name="_Ref86249924"/>
      <w:r>
        <w:t xml:space="preserve">Figure </w:t>
      </w:r>
      <w:r w:rsidR="009366CE">
        <w:fldChar w:fldCharType="begin"/>
      </w:r>
      <w:r w:rsidR="009366CE">
        <w:instrText xml:space="preserve"> STYLEREF 1 \s </w:instrText>
      </w:r>
      <w:r w:rsidR="009366CE">
        <w:fldChar w:fldCharType="separate"/>
      </w:r>
      <w:r w:rsidR="00E6217F">
        <w:rPr>
          <w:noProof/>
        </w:rPr>
        <w:t>4</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15</w:t>
      </w:r>
      <w:r w:rsidR="009366CE">
        <w:fldChar w:fldCharType="end"/>
      </w:r>
      <w:bookmarkEnd w:id="170"/>
      <w:r>
        <w:t xml:space="preserve"> – Carer wages relative to Average Weekly Ordinary Time Earnings (AWOTE) </w:t>
      </w:r>
    </w:p>
    <w:p w14:paraId="167C01B5" w14:textId="1A41C7B5" w:rsidR="00467CF3" w:rsidRDefault="002B4625" w:rsidP="00A520C9">
      <w:pPr>
        <w:spacing w:before="0" w:after="160" w:line="259" w:lineRule="auto"/>
        <w:rPr>
          <w:rFonts w:asciiTheme="majorHAnsi" w:eastAsiaTheme="majorEastAsia" w:hAnsiTheme="majorHAnsi" w:cstheme="majorBidi"/>
          <w:color w:val="006EC8" w:themeColor="accent1"/>
          <w:sz w:val="24"/>
          <w:szCs w:val="24"/>
        </w:rPr>
      </w:pPr>
      <w:r w:rsidRPr="00D80E60">
        <w:rPr>
          <w:noProof/>
        </w:rPr>
        <w:drawing>
          <wp:inline distT="0" distB="0" distL="0" distR="0" wp14:anchorId="76304500" wp14:editId="381E6217">
            <wp:extent cx="5106670" cy="2861945"/>
            <wp:effectExtent l="0" t="0" r="0" b="0"/>
            <wp:docPr id="78" name="Picture 78" descr="2014-2015.&#10;Weekday hourly rate for SACS employee level 2. $23.07.&#10;% of Average weekly ordinary time earnings (AWOTE). 59%. &#10;% of AWOTE Min wage increase only. 59%. &#10;&#10;2015-2016.&#10;Weekday hourly rate for SACS employee level 2. $24.21.&#10;% of AWOTE. 61%. &#10;% of AWOTE Min wage increase only. 60%. &#10;&#10;2016-2017.&#10;Weekday hourly rate for SACS employee level 2. $25.36.&#10;% of AWOTE. 63%. &#10;% of AWOTE Min wage increase only. 60%. &#10;&#10;2017-2018.&#10;Weekday hourly rate for SACS employee level 2. $26.79.&#10;% of AWOTE. 65%. &#10;% of AWOTE Min wage increase only. 61%. &#10;&#10;2018-2019.&#10;Weekday hourly rate for SACS employee level 2. $28.35.&#10;% of AWOTE. 67%. &#10;% of AWOTE Min wage increase only. 62%. &#10;&#10;2019-2020.&#10;Weekday hourly rate for SACS employee level 2. $29.83.&#10;% of AWOTE. 68%. &#10;% of AWOTE Min wage increase only. 62%. &#10;&#10;2020-2021.&#10;Weekday hourly rate for SACS employee level 2. $31.00.&#10;% of AWOTE. 69%. &#10;% of AWOTE Min wage increase only.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2014-2015.&#10;Weekday hourly rate for SACS employee level 2. $23.07.&#10;% of Average weekly ordinary time earnings (AWOTE). 59%. &#10;% of AWOTE Min wage increase only. 59%. &#10;&#10;2015-2016.&#10;Weekday hourly rate for SACS employee level 2. $24.21.&#10;% of AWOTE. 61%. &#10;% of AWOTE Min wage increase only. 60%. &#10;&#10;2016-2017.&#10;Weekday hourly rate for SACS employee level 2. $25.36.&#10;% of AWOTE. 63%. &#10;% of AWOTE Min wage increase only. 60%. &#10;&#10;2017-2018.&#10;Weekday hourly rate for SACS employee level 2. $26.79.&#10;% of AWOTE. 65%. &#10;% of AWOTE Min wage increase only. 61%. &#10;&#10;2018-2019.&#10;Weekday hourly rate for SACS employee level 2. $28.35.&#10;% of AWOTE. 67%. &#10;% of AWOTE Min wage increase only. 62%. &#10;&#10;2019-2020.&#10;Weekday hourly rate for SACS employee level 2. $29.83.&#10;% of AWOTE. 68%. &#10;% of AWOTE Min wage increase only. 62%. &#10;&#10;2020-2021.&#10;Weekday hourly rate for SACS employee level 2. $31.00.&#10;% of AWOTE. 69%. &#10;% of AWOTE Min wage increase only. 61%. "/>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106670" cy="2861945"/>
                    </a:xfrm>
                    <a:prstGeom prst="rect">
                      <a:avLst/>
                    </a:prstGeom>
                    <a:noFill/>
                    <a:ln>
                      <a:noFill/>
                    </a:ln>
                  </pic:spPr>
                </pic:pic>
              </a:graphicData>
            </a:graphic>
          </wp:inline>
        </w:drawing>
      </w:r>
    </w:p>
    <w:p w14:paraId="205D6146" w14:textId="3E3D4DEE" w:rsidR="00F44920" w:rsidRDefault="004B774A" w:rsidP="00F44920">
      <w:pPr>
        <w:spacing w:after="160" w:line="259" w:lineRule="auto"/>
      </w:pPr>
      <w:r>
        <w:t xml:space="preserve">It is uncertain where carer wages will end up over the next ten years, but there is </w:t>
      </w:r>
      <w:r w:rsidR="002537FC">
        <w:t xml:space="preserve">a risk </w:t>
      </w:r>
      <w:r>
        <w:t xml:space="preserve">that at some stage </w:t>
      </w:r>
      <w:r w:rsidRPr="004B774A">
        <w:t>the growing demand from the aging population and from the NDIS</w:t>
      </w:r>
      <w:r>
        <w:t xml:space="preserve"> could necessitate a larger increase. This risk could be compounded </w:t>
      </w:r>
      <w:r w:rsidR="00B26885">
        <w:t xml:space="preserve">by </w:t>
      </w:r>
      <w:r>
        <w:t xml:space="preserve">supply side pressures if the workforce can’t be replenished as baby boomer carers retire or reduce their hours. Should these risks manifest, it is plausible that carer wages increase </w:t>
      </w:r>
      <w:r w:rsidR="002537FC">
        <w:t xml:space="preserve">in the order of </w:t>
      </w:r>
      <w:r>
        <w:t>75-80% of AWOTE</w:t>
      </w:r>
      <w:r w:rsidR="00B26885">
        <w:t xml:space="preserve"> over the next ten to twenty years</w:t>
      </w:r>
      <w:r>
        <w:t>.</w:t>
      </w:r>
    </w:p>
    <w:p w14:paraId="19FF11BA" w14:textId="46DC9E5E" w:rsidR="004B774A" w:rsidRDefault="008B6C65" w:rsidP="00F44920">
      <w:pPr>
        <w:spacing w:after="160" w:line="259" w:lineRule="auto"/>
      </w:pPr>
      <w:r>
        <w:t>W</w:t>
      </w:r>
      <w:r w:rsidR="004B774A">
        <w:t xml:space="preserve">age </w:t>
      </w:r>
      <w:r w:rsidR="00CA6520">
        <w:t xml:space="preserve">related </w:t>
      </w:r>
      <w:r w:rsidR="004B774A">
        <w:t xml:space="preserve">costs </w:t>
      </w:r>
      <w:r w:rsidR="00CA6520">
        <w:t xml:space="preserve">such as superannuation, </w:t>
      </w:r>
      <w:r>
        <w:t>leave and other on-costs add a further 37% to the base wage rate and are proportional to the base wage rates</w:t>
      </w:r>
      <w:r>
        <w:rPr>
          <w:rStyle w:val="FootnoteReference"/>
        </w:rPr>
        <w:footnoteReference w:id="13"/>
      </w:r>
      <w:r>
        <w:t>. In addition, the NDIA includes in its pricing assessments loadings for supervision, casual employees, breaks, training, overheads and margins. Of these</w:t>
      </w:r>
      <w:r w:rsidR="00F164D6">
        <w:t>,</w:t>
      </w:r>
      <w:r>
        <w:t xml:space="preserve"> allowance</w:t>
      </w:r>
      <w:r w:rsidR="00F164D6">
        <w:t>s</w:t>
      </w:r>
      <w:r>
        <w:t xml:space="preserve"> for overheads and margins</w:t>
      </w:r>
      <w:r w:rsidR="00F164D6">
        <w:t xml:space="preserve"> are estimated to be 14% of the rates paid to providers. The </w:t>
      </w:r>
      <w:r w:rsidR="00F164D6" w:rsidRPr="00F164D6">
        <w:t>Disability Support Worker Cost Model 2021-22</w:t>
      </w:r>
      <w:r w:rsidR="00F164D6">
        <w:t xml:space="preserve"> report notes that the overhead allowance has increased, which demonstrates that these costs can increase faster than carer wages. The temporary transition payment (TTP) which commenced in 2019 was designed to help some providers build administrative capability and systems to meet the NDIA’s requirements</w:t>
      </w:r>
      <w:r w:rsidR="00CA074B">
        <w:t>.</w:t>
      </w:r>
      <w:r w:rsidR="00F164D6">
        <w:t xml:space="preserve"> </w:t>
      </w:r>
      <w:r w:rsidR="00CA074B">
        <w:t>T</w:t>
      </w:r>
      <w:r w:rsidR="00F164D6">
        <w:t>his amount is being wound down over the next four years</w:t>
      </w:r>
      <w:r w:rsidR="00CA074B">
        <w:t>,</w:t>
      </w:r>
      <w:r w:rsidR="00F164D6">
        <w:t xml:space="preserve"> but </w:t>
      </w:r>
      <w:r w:rsidR="00CA074B">
        <w:t xml:space="preserve">the need for the TTP </w:t>
      </w:r>
      <w:r w:rsidR="00F164D6">
        <w:t xml:space="preserve">demonstrates </w:t>
      </w:r>
      <w:r w:rsidR="00CA074B">
        <w:t>pressure on rates could re-emerge in the future.</w:t>
      </w:r>
    </w:p>
    <w:p w14:paraId="5A897DAC" w14:textId="718AEA80" w:rsidR="00CA074B" w:rsidRDefault="00CA074B" w:rsidP="00F44920">
      <w:pPr>
        <w:spacing w:after="160" w:line="259" w:lineRule="auto"/>
      </w:pPr>
      <w:r w:rsidRPr="00066033">
        <w:t xml:space="preserve">As the largest purchaser of care services </w:t>
      </w:r>
      <w:r w:rsidR="00636FA6" w:rsidRPr="00066033">
        <w:t>in Australia</w:t>
      </w:r>
      <w:r w:rsidRPr="00066033">
        <w:t xml:space="preserve">, the NDIA </w:t>
      </w:r>
      <w:r w:rsidR="00066033" w:rsidRPr="00066033">
        <w:t xml:space="preserve">has a significant influence on </w:t>
      </w:r>
      <w:r w:rsidRPr="00066033">
        <w:t>price</w:t>
      </w:r>
      <w:r w:rsidR="00066033" w:rsidRPr="00066033">
        <w:t>s</w:t>
      </w:r>
      <w:r w:rsidRPr="00066033">
        <w:t xml:space="preserve"> in the care market</w:t>
      </w:r>
      <w:r w:rsidR="00A96AC6">
        <w:t xml:space="preserve">. The current assumption that prices will increase by 3.5% p.a. is </w:t>
      </w:r>
      <w:r w:rsidR="00086CAA">
        <w:t xml:space="preserve">1% p.a. </w:t>
      </w:r>
      <w:r w:rsidR="00A96AC6">
        <w:t xml:space="preserve">higher than for the other services which implicitly allows for a combination of minimum wage increases being higher than CPI and potentially broader wage inflation (as capacity building services are only expected to increase by 2.5% p.a.) and/or increased overheads and margins to providers. </w:t>
      </w:r>
      <w:r w:rsidR="00086CAA">
        <w:t xml:space="preserve">The </w:t>
      </w:r>
      <w:r w:rsidR="00612C2A">
        <w:t xml:space="preserve">price </w:t>
      </w:r>
      <w:r w:rsidR="00086CAA">
        <w:t xml:space="preserve">inflation assumptions up to 2024-25 are reasonable, but beyond this we think that there is a non-trivial risk that at some stage over the </w:t>
      </w:r>
      <w:r w:rsidR="00A6763D">
        <w:t xml:space="preserve">subsequent </w:t>
      </w:r>
      <w:r w:rsidR="00B26885">
        <w:t xml:space="preserve">five </w:t>
      </w:r>
      <w:r w:rsidR="00086CAA">
        <w:t xml:space="preserve">years rates </w:t>
      </w:r>
      <w:r w:rsidR="00A6763D">
        <w:t xml:space="preserve">for Daily Activities </w:t>
      </w:r>
      <w:r w:rsidR="00086CAA">
        <w:t>may increase at a faster pace due to the increasing demand for these services.</w:t>
      </w:r>
    </w:p>
    <w:p w14:paraId="6F3A8636" w14:textId="4A64DA31" w:rsidR="00821223" w:rsidRPr="00821223" w:rsidRDefault="00E77CE1" w:rsidP="00821223">
      <w:pPr>
        <w:spacing w:after="160" w:line="259" w:lineRule="auto"/>
      </w:pPr>
      <w:r>
        <w:t xml:space="preserve">Although there is a high degree of uncertainty it would be beneficial if the NDIA were able to </w:t>
      </w:r>
      <w:r w:rsidR="00297CC9">
        <w:t xml:space="preserve">design a framework that assessed the long-term risks related to rates paid for Daily Activities. This could consider long-term demand and supply assessments that will drive prices over a </w:t>
      </w:r>
      <w:r w:rsidR="00636FA6">
        <w:t>ten- or twenty-year</w:t>
      </w:r>
      <w:r w:rsidR="00297CC9">
        <w:t xml:space="preserve"> horizon. We acknowledge the challenges this poses and that such analysis, especially if it indicates higher prices, must avoid being self-</w:t>
      </w:r>
      <w:r w:rsidR="002537FC">
        <w:t>fulfilling</w:t>
      </w:r>
      <w:r w:rsidR="00297CC9">
        <w:t xml:space="preserve">. </w:t>
      </w:r>
    </w:p>
    <w:p w14:paraId="1AC200FC" w14:textId="77777777" w:rsidR="00A520C9" w:rsidRDefault="00A520C9" w:rsidP="00A520C9">
      <w:pPr>
        <w:pStyle w:val="Heading3"/>
      </w:pPr>
      <w:bookmarkStart w:id="171" w:name="_Ref87099494"/>
      <w:r>
        <w:t>Superimposed inflation</w:t>
      </w:r>
      <w:bookmarkEnd w:id="171"/>
    </w:p>
    <w:p w14:paraId="1FAC827D" w14:textId="794D7BE2" w:rsidR="00A520C9" w:rsidRDefault="00A520C9" w:rsidP="00A520C9">
      <w:pPr>
        <w:keepNext/>
      </w:pPr>
      <w:r>
        <w:t xml:space="preserve">As described above the superimposed inflation allowance captures a range of non-price related effects, these are summarised in </w:t>
      </w:r>
      <w:r>
        <w:fldChar w:fldCharType="begin"/>
      </w:r>
      <w:r>
        <w:instrText xml:space="preserve"> REF _Ref83739702 \h </w:instrText>
      </w:r>
      <w:r>
        <w:fldChar w:fldCharType="separate"/>
      </w:r>
      <w:r w:rsidR="00E6217F">
        <w:t xml:space="preserve">Figure </w:t>
      </w:r>
      <w:r w:rsidR="00E6217F">
        <w:rPr>
          <w:noProof/>
        </w:rPr>
        <w:t>4</w:t>
      </w:r>
      <w:r w:rsidR="00E6217F">
        <w:t>.</w:t>
      </w:r>
      <w:r w:rsidR="00E6217F">
        <w:rPr>
          <w:noProof/>
        </w:rPr>
        <w:t>16</w:t>
      </w:r>
      <w:r>
        <w:fldChar w:fldCharType="end"/>
      </w:r>
      <w:r>
        <w:t>.</w:t>
      </w:r>
    </w:p>
    <w:p w14:paraId="763BF5F2" w14:textId="17099D4C" w:rsidR="000F695F" w:rsidRDefault="00A520C9" w:rsidP="00E50847">
      <w:pPr>
        <w:pStyle w:val="Caption"/>
      </w:pPr>
      <w:bookmarkStart w:id="172" w:name="_Ref83739702"/>
      <w:r>
        <w:t xml:space="preserve">Figure </w:t>
      </w:r>
      <w:r w:rsidR="009366CE">
        <w:fldChar w:fldCharType="begin"/>
      </w:r>
      <w:r w:rsidR="009366CE">
        <w:instrText xml:space="preserve"> STYLEREF 1 \s </w:instrText>
      </w:r>
      <w:r w:rsidR="009366CE">
        <w:fldChar w:fldCharType="separate"/>
      </w:r>
      <w:r w:rsidR="00E6217F">
        <w:t>4</w:t>
      </w:r>
      <w:r w:rsidR="009366CE">
        <w:fldChar w:fldCharType="end"/>
      </w:r>
      <w:r w:rsidR="009366CE">
        <w:t>.</w:t>
      </w:r>
      <w:r w:rsidR="009366CE">
        <w:fldChar w:fldCharType="begin"/>
      </w:r>
      <w:r w:rsidR="009366CE">
        <w:instrText xml:space="preserve"> SEQ Figure \* ARABIC \s 1 </w:instrText>
      </w:r>
      <w:r w:rsidR="009366CE">
        <w:fldChar w:fldCharType="separate"/>
      </w:r>
      <w:r w:rsidR="00E6217F">
        <w:t>16</w:t>
      </w:r>
      <w:r w:rsidR="009366CE">
        <w:fldChar w:fldCharType="end"/>
      </w:r>
      <w:bookmarkEnd w:id="172"/>
      <w:r>
        <w:t xml:space="preserve"> – Projected superimposed inflation</w:t>
      </w:r>
    </w:p>
    <w:p w14:paraId="778F186C" w14:textId="5D63129B" w:rsidR="00AF4D4A" w:rsidRPr="00AF4D4A" w:rsidRDefault="00AF4D4A" w:rsidP="007C5D24">
      <w:pPr>
        <w:jc w:val="right"/>
      </w:pPr>
      <w:r>
        <w:rPr>
          <w:noProof/>
        </w:rPr>
        <w:drawing>
          <wp:inline distT="0" distB="0" distL="0" distR="0" wp14:anchorId="75CCF182" wp14:editId="16BA4570">
            <wp:extent cx="5976620" cy="2183765"/>
            <wp:effectExtent l="0" t="0" r="5080" b="6985"/>
            <wp:docPr id="143" name="Graphic 143" descr="Non-SIL participants&#10;&#10;2022.&#10;Daily Activities. Superimposed inflation. 7%.&#10;Social Community Civic. 7%.&#10;Transport. 11%.&#10;CB Choice Control. 12%.&#10;CB Employment. 59%.&#10;Other. 7%.&#10;&#10;2023.&#10;Daily Activities. 5%.&#10;Social Community Civic. 5%.&#10;Transport. 5%.&#10;CB Choice Control. 10%.&#10;CB Employment. 12%.&#10;Other. 5%.&#10;&#10;2024.&#10;Daily Activities. 2%.&#10;Social Community Civic. 2%.&#10;Transport. 3%.&#10;CB Choice Control. 3%.&#10;CB Employment. 3%.&#10;Other. 3%.&#10;&#10;2025.&#10;Daily Activities. 0%.&#10;Social Community Civic. 0%.&#10;Transport. 1%.&#10;CB Choice Control. 1%.&#10;CB Employment. 1%.&#10;Other. 1%.&#10;&#10;2026.&#10;Daily Activities. 0%.&#10;Social Community Civic. 0%.&#10;Transport. 0%.&#10;CB Choice Control. 0%.&#10;CB Employment. 0%.&#10;Other. 0%.&#10;&#10;SIL participants&#10;&#10;2022.&#10;Home Modifications. Superimposed inflation. 17%.&#10;Social Community Civic. -1%.&#10;Transport. 4%.&#10;CB Choice Control. 5%.&#10;CB Employment. 52%.&#10;Other. 0%.&#10;&#10;2023.&#10;Home Modifications. 17%.&#10;Social Community Civic. -1%.&#10;Transport. 0%.&#10;CB Choice Control. 5%.&#10;CB Employment. 7%.&#10;Other. 0%.&#10;&#10;2024.&#10;Home Modifications. 0%.&#10;Social Community Civic. -1%.&#10;Transport. 0%.&#10;CB Choice Control. 0%.&#10;CB Employment. 0%.&#10;Other. 0%.&#10;&#10;2025.&#10;Home Modifications. 0%.&#10;Social Community Civic. -1%.&#10;Transport. 0%.&#10;CB Choice Control. 0%.&#10;CB Employment. 0%.&#10;Other. 0%.&#10;&#10;2026.&#10;Home Modifications. 0%.&#10;Social Community Civic. 0%.&#10;Transport. 0%.&#10;CB Choice Control. 0%.&#10;CB Employment. 0%.&#10;Other.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phic 143" descr="Non-SIL participants&#10;&#10;2022.&#10;Daily Activities. Superimposed inflation. 7%.&#10;Social Community Civic. 7%.&#10;Transport. 11%.&#10;CB Choice Control. 12%.&#10;CB Employment. 59%.&#10;Other. 7%.&#10;&#10;2023.&#10;Daily Activities. 5%.&#10;Social Community Civic. 5%.&#10;Transport. 5%.&#10;CB Choice Control. 10%.&#10;CB Employment. 12%.&#10;Other. 5%.&#10;&#10;2024.&#10;Daily Activities. 2%.&#10;Social Community Civic. 2%.&#10;Transport. 3%.&#10;CB Choice Control. 3%.&#10;CB Employment. 3%.&#10;Other. 3%.&#10;&#10;2025.&#10;Daily Activities. 0%.&#10;Social Community Civic. 0%.&#10;Transport. 1%.&#10;CB Choice Control. 1%.&#10;CB Employment. 1%.&#10;Other. 1%.&#10;&#10;2026.&#10;Daily Activities. 0%.&#10;Social Community Civic. 0%.&#10;Transport. 0%.&#10;CB Choice Control. 0%.&#10;CB Employment. 0%.&#10;Other. 0%.&#10;&#10;SIL participants&#10;&#10;2022.&#10;Home Modifications. Superimposed inflation. 17%.&#10;Social Community Civic. -1%.&#10;Transport. 4%.&#10;CB Choice Control. 5%.&#10;CB Employment. 52%.&#10;Other. 0%.&#10;&#10;2023.&#10;Home Modifications. 17%.&#10;Social Community Civic. -1%.&#10;Transport. 0%.&#10;CB Choice Control. 5%.&#10;CB Employment. 7%.&#10;Other. 0%.&#10;&#10;2024.&#10;Home Modifications. 0%.&#10;Social Community Civic. -1%.&#10;Transport. 0%.&#10;CB Choice Control. 0%.&#10;CB Employment. 0%.&#10;Other. 0%.&#10;&#10;2025.&#10;Home Modifications. 0%.&#10;Social Community Civic. -1%.&#10;Transport. 0%.&#10;CB Choice Control. 0%.&#10;CB Employment. 0%.&#10;Other. 0%.&#10;&#10;2026.&#10;Home Modifications. 0%.&#10;Social Community Civic. 0%.&#10;Transport. 0%.&#10;CB Choice Control. 0%.&#10;CB Employment. 0%.&#10;Other. 0%."/>
                    <pic:cNvPicPr/>
                  </pic:nvPicPr>
                  <pic:blipFill>
                    <a:blip r:embed="rId78" cstate="print">
                      <a:extLst>
                        <a:ext uri="{28A0092B-C50C-407E-A947-70E740481C1C}">
                          <a14:useLocalDpi xmlns:a14="http://schemas.microsoft.com/office/drawing/2010/main"/>
                        </a:ext>
                        <a:ext uri="{96DAC541-7B7A-43D3-8B79-37D633B846F1}">
                          <asvg:svgBlip xmlns:asvg="http://schemas.microsoft.com/office/drawing/2016/SVG/main" r:embed="rId79"/>
                        </a:ext>
                      </a:extLst>
                    </a:blip>
                    <a:stretch>
                      <a:fillRect/>
                    </a:stretch>
                  </pic:blipFill>
                  <pic:spPr>
                    <a:xfrm>
                      <a:off x="0" y="0"/>
                      <a:ext cx="5976620" cy="2183765"/>
                    </a:xfrm>
                    <a:prstGeom prst="rect">
                      <a:avLst/>
                    </a:prstGeom>
                  </pic:spPr>
                </pic:pic>
              </a:graphicData>
            </a:graphic>
          </wp:inline>
        </w:drawing>
      </w:r>
    </w:p>
    <w:p w14:paraId="0C162DBE" w14:textId="4DD0CFDA" w:rsidR="00A520C9" w:rsidRDefault="00A520C9" w:rsidP="00A520C9">
      <w:r>
        <w:t xml:space="preserve">In total, superimposed inflation contributes $5.0B to payments in 2025 and </w:t>
      </w:r>
      <w:r w:rsidRPr="000F695F">
        <w:t>$</w:t>
      </w:r>
      <w:r w:rsidR="000F695F" w:rsidRPr="002A687C">
        <w:t>7.4</w:t>
      </w:r>
      <w:r w:rsidRPr="000F695F">
        <w:t xml:space="preserve">B in </w:t>
      </w:r>
      <w:r w:rsidR="000F695F" w:rsidRPr="000F695F">
        <w:t>2030</w:t>
      </w:r>
      <w:r>
        <w:t xml:space="preserve">. More than 70% of these amounts relate to Daily Activities, Community and Civic supports, and Capacity Building for Daily Activities. The </w:t>
      </w:r>
      <w:r w:rsidR="003F40CA">
        <w:t>n</w:t>
      </w:r>
      <w:r>
        <w:t>on-SIL superimposed inflation allowances for these supports are expected to be more than 5% during 2022 then reduce to around 2.5% by 2024 and 0% from 2026 onwards. This implicitly means that average costs for a given cohort of participants is assumed to stabilise (in real terms) within the next five years.</w:t>
      </w:r>
    </w:p>
    <w:p w14:paraId="4FC80446" w14:textId="4AFB750C" w:rsidR="00075572" w:rsidRDefault="00A520C9" w:rsidP="00CE3B88">
      <w:r>
        <w:t>For most supports, superimposed inflation for people in SIL is less th</w:t>
      </w:r>
      <w:r w:rsidR="00B26885">
        <w:t>an</w:t>
      </w:r>
      <w:r>
        <w:t xml:space="preserve"> 0.25% p.a. noting that for Social, Community and Civic supports it is negative (i.e. costs are forecast to reduce) over the next three years</w:t>
      </w:r>
      <w:r w:rsidR="009E1C5F">
        <w:t xml:space="preserve"> (and are zero thereafter)</w:t>
      </w:r>
      <w:r>
        <w:t xml:space="preserve">. Also of note is that superimposed inflation for CB Employment supports is assumed to be more than 50% in 2021-22 with further large allowances over the following two years. </w:t>
      </w:r>
      <w:r w:rsidR="00666A0F">
        <w:t xml:space="preserve"> This increase relates to </w:t>
      </w:r>
      <w:r w:rsidR="00666A0F" w:rsidRPr="0081422E">
        <w:t>a new pricing</w:t>
      </w:r>
      <w:r w:rsidR="00666A0F">
        <w:t xml:space="preserve"> </w:t>
      </w:r>
      <w:bookmarkStart w:id="173" w:name="_Hlk88149008"/>
      <w:r w:rsidR="00666A0F" w:rsidRPr="0081422E">
        <w:t>framework which introduces an hours-based, per-participant model</w:t>
      </w:r>
      <w:bookmarkEnd w:id="173"/>
      <w:r w:rsidR="00666A0F">
        <w:t>,</w:t>
      </w:r>
      <w:r w:rsidR="00666A0F" w:rsidRPr="0081422E">
        <w:t xml:space="preserve"> </w:t>
      </w:r>
      <w:r w:rsidR="00666A0F">
        <w:t>the overall impact of which is $0.2B in 2024-25.</w:t>
      </w:r>
    </w:p>
    <w:p w14:paraId="2BC61EE2" w14:textId="77777777" w:rsidR="00075572" w:rsidRDefault="00075572">
      <w:pPr>
        <w:spacing w:before="0" w:after="160" w:line="259" w:lineRule="auto"/>
      </w:pPr>
      <w:r>
        <w:br w:type="page"/>
      </w:r>
    </w:p>
    <w:p w14:paraId="1C2735D3" w14:textId="7FA4EE22" w:rsidR="003F40CA" w:rsidRDefault="003F40CA" w:rsidP="00CE3B88">
      <w:pPr>
        <w:keepNext/>
      </w:pPr>
      <w:r>
        <w:t xml:space="preserve">We have been provided with a breakdown of the constituent components of the superimposed inflation allowances for each </w:t>
      </w:r>
      <w:r w:rsidR="00104D39">
        <w:t>support category</w:t>
      </w:r>
      <w:r>
        <w:t xml:space="preserve">. </w:t>
      </w:r>
      <w:r w:rsidR="00564D91">
        <w:t xml:space="preserve">This is shown in </w:t>
      </w:r>
      <w:r w:rsidR="00564D91">
        <w:fldChar w:fldCharType="begin"/>
      </w:r>
      <w:r w:rsidR="00564D91">
        <w:instrText xml:space="preserve"> REF _Ref86684463 \h </w:instrText>
      </w:r>
      <w:r w:rsidR="00564D91">
        <w:fldChar w:fldCharType="separate"/>
      </w:r>
      <w:r w:rsidR="00E6217F">
        <w:t xml:space="preserve">Table </w:t>
      </w:r>
      <w:r w:rsidR="00E6217F">
        <w:rPr>
          <w:noProof/>
        </w:rPr>
        <w:t>4</w:t>
      </w:r>
      <w:r w:rsidR="00E6217F">
        <w:t>.</w:t>
      </w:r>
      <w:r w:rsidR="00E6217F">
        <w:rPr>
          <w:noProof/>
        </w:rPr>
        <w:t>5</w:t>
      </w:r>
      <w:r w:rsidR="00564D91">
        <w:fldChar w:fldCharType="end"/>
      </w:r>
      <w:r w:rsidR="005345B7">
        <w:t>.</w:t>
      </w:r>
    </w:p>
    <w:p w14:paraId="268A4786" w14:textId="31C2535F" w:rsidR="00AF1DFE" w:rsidRDefault="00564D91" w:rsidP="005345B7">
      <w:pPr>
        <w:pStyle w:val="Caption"/>
        <w:spacing w:before="120" w:after="0"/>
      </w:pPr>
      <w:bookmarkStart w:id="174" w:name="_Ref86684463"/>
      <w:r>
        <w:t xml:space="preserve">Table </w:t>
      </w:r>
      <w:r w:rsidR="007F6BE8">
        <w:fldChar w:fldCharType="begin"/>
      </w:r>
      <w:r w:rsidR="007F6BE8">
        <w:instrText xml:space="preserve"> STYLEREF 1 \s </w:instrText>
      </w:r>
      <w:r w:rsidR="007F6BE8">
        <w:fldChar w:fldCharType="separate"/>
      </w:r>
      <w:r w:rsidR="00E6217F">
        <w:rPr>
          <w:noProof/>
        </w:rPr>
        <w:t>4</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5</w:t>
      </w:r>
      <w:r w:rsidR="007F6BE8">
        <w:fldChar w:fldCharType="end"/>
      </w:r>
      <w:bookmarkEnd w:id="174"/>
      <w:r>
        <w:t xml:space="preserve"> – Source of superimposed inflation by support category</w:t>
      </w:r>
    </w:p>
    <w:tbl>
      <w:tblPr>
        <w:tblStyle w:val="TFBlue"/>
        <w:tblW w:w="9412" w:type="dxa"/>
        <w:tblLayout w:type="fixed"/>
        <w:tblLook w:val="04A0" w:firstRow="1" w:lastRow="0" w:firstColumn="1" w:lastColumn="0" w:noHBand="0" w:noVBand="1"/>
      </w:tblPr>
      <w:tblGrid>
        <w:gridCol w:w="2552"/>
        <w:gridCol w:w="857"/>
        <w:gridCol w:w="858"/>
        <w:gridCol w:w="857"/>
        <w:gridCol w:w="858"/>
        <w:gridCol w:w="857"/>
        <w:gridCol w:w="858"/>
        <w:gridCol w:w="857"/>
        <w:gridCol w:w="858"/>
      </w:tblGrid>
      <w:tr w:rsidR="00AF1DFE" w:rsidRPr="00564D91" w14:paraId="292B2C71" w14:textId="62483D04" w:rsidTr="003F577D">
        <w:trPr>
          <w:cnfStyle w:val="100000000000" w:firstRow="1" w:lastRow="0" w:firstColumn="0" w:lastColumn="0" w:oddVBand="0" w:evenVBand="0" w:oddHBand="0" w:evenHBand="0" w:firstRowFirstColumn="0" w:firstRowLastColumn="0" w:lastRowFirstColumn="0" w:lastRowLastColumn="0"/>
          <w:trHeight w:val="375"/>
        </w:trPr>
        <w:tc>
          <w:tcPr>
            <w:tcW w:w="2552" w:type="dxa"/>
            <w:tcBorders>
              <w:top w:val="nil"/>
            </w:tcBorders>
            <w:shd w:val="clear" w:color="auto" w:fill="auto"/>
            <w:noWrap/>
          </w:tcPr>
          <w:p w14:paraId="6FBA74DF" w14:textId="77777777" w:rsidR="00AF1DFE" w:rsidRPr="00564D91" w:rsidRDefault="00AF1DFE" w:rsidP="00DB0427">
            <w:pPr>
              <w:pStyle w:val="Tablecentred"/>
              <w:keepNext/>
              <w:jc w:val="left"/>
              <w:rPr>
                <w:rFonts w:ascii="Blanco" w:hAnsi="Blanco"/>
                <w:b w:val="0"/>
                <w:bCs/>
                <w:szCs w:val="21"/>
                <w:lang w:eastAsia="en-GB"/>
              </w:rPr>
            </w:pPr>
          </w:p>
        </w:tc>
        <w:tc>
          <w:tcPr>
            <w:tcW w:w="6860" w:type="dxa"/>
            <w:gridSpan w:val="8"/>
            <w:tcBorders>
              <w:top w:val="nil"/>
            </w:tcBorders>
            <w:shd w:val="clear" w:color="auto" w:fill="auto"/>
            <w:noWrap/>
          </w:tcPr>
          <w:p w14:paraId="0859B4A6" w14:textId="0666AEB5" w:rsidR="00AF1DFE" w:rsidRPr="00564D91" w:rsidRDefault="00AF1DFE" w:rsidP="00DB0427">
            <w:pPr>
              <w:pStyle w:val="Tablecentred"/>
              <w:keepNext/>
              <w:rPr>
                <w:rFonts w:ascii="Blanco" w:hAnsi="Blanco"/>
                <w:b w:val="0"/>
                <w:bCs/>
                <w:szCs w:val="21"/>
                <w:lang w:eastAsia="en-GB"/>
              </w:rPr>
            </w:pPr>
            <w:r w:rsidRPr="00564D91">
              <w:rPr>
                <w:rFonts w:ascii="Blanco" w:hAnsi="Blanco"/>
                <w:bCs/>
                <w:szCs w:val="21"/>
                <w:u w:val="single"/>
                <w:lang w:eastAsia="en-GB"/>
              </w:rPr>
              <w:t>Source of superimposed inflation</w:t>
            </w:r>
            <w:r w:rsidRPr="00564D91">
              <w:rPr>
                <w:rFonts w:ascii="Cambria" w:hAnsi="Cambria" w:cs="Cambria"/>
                <w:u w:val="single"/>
                <w:lang w:eastAsia="en-GB"/>
              </w:rPr>
              <w:t> </w:t>
            </w:r>
          </w:p>
        </w:tc>
      </w:tr>
      <w:tr w:rsidR="00075572" w:rsidRPr="00564D91" w14:paraId="574AED8A" w14:textId="7473F0E2" w:rsidTr="003F577D">
        <w:trPr>
          <w:cnfStyle w:val="000000100000" w:firstRow="0" w:lastRow="0" w:firstColumn="0" w:lastColumn="0" w:oddVBand="0" w:evenVBand="0" w:oddHBand="1" w:evenHBand="0" w:firstRowFirstColumn="0" w:firstRowLastColumn="0" w:lastRowFirstColumn="0" w:lastRowLastColumn="0"/>
          <w:trHeight w:val="375"/>
        </w:trPr>
        <w:tc>
          <w:tcPr>
            <w:tcW w:w="2552" w:type="dxa"/>
            <w:vMerge w:val="restart"/>
            <w:shd w:val="clear" w:color="auto" w:fill="auto"/>
            <w:noWrap/>
            <w:vAlign w:val="center"/>
            <w:hideMark/>
          </w:tcPr>
          <w:p w14:paraId="1C4BDD95" w14:textId="77777777" w:rsidR="00075572" w:rsidRPr="00564D91" w:rsidRDefault="00075572" w:rsidP="00075572">
            <w:pPr>
              <w:pStyle w:val="Tablecentred"/>
              <w:keepNext/>
              <w:jc w:val="left"/>
              <w:rPr>
                <w:rFonts w:ascii="Blanco" w:hAnsi="Blanco"/>
                <w:b/>
                <w:bCs/>
                <w:szCs w:val="21"/>
                <w:lang w:eastAsia="en-GB"/>
              </w:rPr>
            </w:pPr>
            <w:r w:rsidRPr="00564D91">
              <w:rPr>
                <w:rFonts w:ascii="Blanco" w:hAnsi="Blanco"/>
                <w:bCs/>
                <w:szCs w:val="21"/>
                <w:lang w:eastAsia="en-GB"/>
              </w:rPr>
              <w:t>Support Category</w:t>
            </w:r>
          </w:p>
        </w:tc>
        <w:tc>
          <w:tcPr>
            <w:tcW w:w="1715" w:type="dxa"/>
            <w:gridSpan w:val="2"/>
            <w:tcBorders>
              <w:right w:val="single" w:sz="4" w:space="0" w:color="006EC8" w:themeColor="accent1"/>
            </w:tcBorders>
            <w:shd w:val="clear" w:color="auto" w:fill="auto"/>
            <w:noWrap/>
            <w:hideMark/>
          </w:tcPr>
          <w:p w14:paraId="0CDB7376" w14:textId="689D63CD" w:rsidR="00075572" w:rsidRDefault="00075572" w:rsidP="00DB0427">
            <w:pPr>
              <w:pStyle w:val="Tablecentred"/>
              <w:keepNext/>
              <w:rPr>
                <w:rFonts w:ascii="Blanco" w:hAnsi="Blanco"/>
                <w:b/>
                <w:bCs/>
                <w:szCs w:val="21"/>
                <w:lang w:eastAsia="en-GB"/>
              </w:rPr>
            </w:pPr>
            <w:r w:rsidRPr="00564D91">
              <w:rPr>
                <w:rFonts w:ascii="Blanco" w:hAnsi="Blanco"/>
                <w:bCs/>
                <w:szCs w:val="21"/>
                <w:lang w:eastAsia="en-GB"/>
              </w:rPr>
              <w:t>Utilisation</w:t>
            </w:r>
          </w:p>
        </w:tc>
        <w:tc>
          <w:tcPr>
            <w:tcW w:w="1715" w:type="dxa"/>
            <w:gridSpan w:val="2"/>
            <w:tcBorders>
              <w:left w:val="single" w:sz="4" w:space="0" w:color="006EC8" w:themeColor="accent1"/>
              <w:right w:val="single" w:sz="4" w:space="0" w:color="006EC8" w:themeColor="accent1"/>
            </w:tcBorders>
            <w:shd w:val="clear" w:color="auto" w:fill="auto"/>
            <w:noWrap/>
            <w:hideMark/>
          </w:tcPr>
          <w:p w14:paraId="7BD27183" w14:textId="04A8EB38" w:rsidR="00075572" w:rsidRPr="00564D91" w:rsidRDefault="00075572" w:rsidP="00DB0427">
            <w:pPr>
              <w:pStyle w:val="Tablecentred"/>
              <w:keepNext/>
              <w:rPr>
                <w:rFonts w:ascii="Blanco" w:hAnsi="Blanco"/>
                <w:b/>
                <w:bCs/>
                <w:szCs w:val="21"/>
                <w:lang w:eastAsia="en-GB"/>
              </w:rPr>
            </w:pPr>
            <w:r>
              <w:rPr>
                <w:rFonts w:ascii="Blanco" w:hAnsi="Blanco"/>
                <w:bCs/>
                <w:szCs w:val="21"/>
                <w:lang w:eastAsia="en-GB"/>
              </w:rPr>
              <w:t>Other additional inflation</w:t>
            </w:r>
          </w:p>
        </w:tc>
        <w:tc>
          <w:tcPr>
            <w:tcW w:w="1715" w:type="dxa"/>
            <w:gridSpan w:val="2"/>
            <w:tcBorders>
              <w:left w:val="single" w:sz="4" w:space="0" w:color="006EC8" w:themeColor="accent1"/>
              <w:right w:val="single" w:sz="4" w:space="0" w:color="006EC8" w:themeColor="accent1"/>
            </w:tcBorders>
            <w:shd w:val="clear" w:color="auto" w:fill="auto"/>
            <w:noWrap/>
            <w:hideMark/>
          </w:tcPr>
          <w:p w14:paraId="62C16FE1" w14:textId="5242EDCF" w:rsidR="00075572" w:rsidRPr="00564D91" w:rsidRDefault="00075572" w:rsidP="00DB0427">
            <w:pPr>
              <w:pStyle w:val="Tablecentred"/>
              <w:keepNext/>
              <w:rPr>
                <w:rFonts w:ascii="Blanco" w:hAnsi="Blanco"/>
                <w:b/>
                <w:bCs/>
                <w:szCs w:val="21"/>
                <w:lang w:eastAsia="en-GB"/>
              </w:rPr>
            </w:pPr>
            <w:r w:rsidRPr="00564D91">
              <w:rPr>
                <w:rFonts w:ascii="Blanco" w:hAnsi="Blanco"/>
                <w:bCs/>
                <w:szCs w:val="21"/>
                <w:lang w:eastAsia="en-GB"/>
              </w:rPr>
              <w:t>Unwind of TTP</w:t>
            </w:r>
          </w:p>
        </w:tc>
        <w:tc>
          <w:tcPr>
            <w:tcW w:w="1715" w:type="dxa"/>
            <w:gridSpan w:val="2"/>
            <w:tcBorders>
              <w:left w:val="single" w:sz="4" w:space="0" w:color="006EC8" w:themeColor="accent1"/>
            </w:tcBorders>
            <w:shd w:val="clear" w:color="auto" w:fill="auto"/>
            <w:noWrap/>
            <w:hideMark/>
          </w:tcPr>
          <w:p w14:paraId="1EED113A" w14:textId="1A6322C9" w:rsidR="00075572" w:rsidRPr="00564D91" w:rsidRDefault="00075572" w:rsidP="00DB0427">
            <w:pPr>
              <w:pStyle w:val="Tablecentred"/>
              <w:keepNext/>
              <w:rPr>
                <w:rFonts w:ascii="Blanco" w:hAnsi="Blanco"/>
                <w:b/>
                <w:bCs/>
                <w:szCs w:val="21"/>
                <w:lang w:eastAsia="en-GB"/>
              </w:rPr>
            </w:pPr>
            <w:r w:rsidRPr="00564D91">
              <w:rPr>
                <w:rFonts w:ascii="Blanco" w:hAnsi="Blanco"/>
                <w:bCs/>
                <w:szCs w:val="21"/>
                <w:lang w:eastAsia="en-GB"/>
              </w:rPr>
              <w:t>Support Specific</w:t>
            </w:r>
          </w:p>
        </w:tc>
      </w:tr>
      <w:tr w:rsidR="00075572" w:rsidRPr="00564D91" w14:paraId="4578FC26" w14:textId="07BAB31E" w:rsidTr="003F577D">
        <w:trPr>
          <w:trHeight w:val="360"/>
        </w:trPr>
        <w:tc>
          <w:tcPr>
            <w:tcW w:w="2552" w:type="dxa"/>
            <w:vMerge/>
            <w:noWrap/>
            <w:vAlign w:val="center"/>
          </w:tcPr>
          <w:p w14:paraId="7087A17E" w14:textId="77777777" w:rsidR="00075572" w:rsidRPr="00564D91" w:rsidRDefault="00075572" w:rsidP="00AF1DFE">
            <w:pPr>
              <w:keepNext/>
              <w:spacing w:before="0" w:after="0"/>
              <w:rPr>
                <w:rFonts w:ascii="Blanco" w:eastAsia="Times New Roman" w:hAnsi="Blanco" w:cs="Calibri"/>
                <w:color w:val="000000"/>
                <w:szCs w:val="21"/>
                <w:lang w:eastAsia="en-GB"/>
              </w:rPr>
            </w:pPr>
          </w:p>
        </w:tc>
        <w:tc>
          <w:tcPr>
            <w:tcW w:w="857" w:type="dxa"/>
            <w:noWrap/>
            <w:vAlign w:val="center"/>
          </w:tcPr>
          <w:p w14:paraId="1E4B613A" w14:textId="3AAC7F81" w:rsidR="00075572" w:rsidRPr="00015430" w:rsidRDefault="00075572" w:rsidP="00075572">
            <w:pPr>
              <w:keepNext/>
              <w:spacing w:before="0" w:after="0"/>
              <w:jc w:val="center"/>
              <w:rPr>
                <w:rFonts w:asciiTheme="majorHAnsi" w:eastAsia="Times New Roman" w:hAnsiTheme="majorHAnsi" w:cs="Calibri"/>
                <w:b/>
                <w:bCs/>
                <w:color w:val="006EC8" w:themeColor="accent1"/>
                <w:sz w:val="22"/>
                <w:lang w:eastAsia="en-GB"/>
              </w:rPr>
            </w:pPr>
            <w:r w:rsidRPr="00015430">
              <w:rPr>
                <w:rFonts w:asciiTheme="majorHAnsi" w:eastAsia="Times New Roman" w:hAnsiTheme="majorHAnsi" w:cs="Calibri"/>
                <w:bCs/>
                <w:color w:val="006EC8" w:themeColor="accent1"/>
                <w:sz w:val="22"/>
                <w:lang w:eastAsia="en-GB"/>
              </w:rPr>
              <w:t>Non-SIL</w:t>
            </w:r>
          </w:p>
        </w:tc>
        <w:tc>
          <w:tcPr>
            <w:tcW w:w="858" w:type="dxa"/>
            <w:tcBorders>
              <w:right w:val="single" w:sz="4" w:space="0" w:color="006EC8" w:themeColor="accent1"/>
            </w:tcBorders>
            <w:vAlign w:val="center"/>
          </w:tcPr>
          <w:p w14:paraId="60DE26E6" w14:textId="66867317" w:rsidR="00075572" w:rsidRPr="00015430" w:rsidRDefault="00075572" w:rsidP="00075572">
            <w:pPr>
              <w:jc w:val="center"/>
              <w:rPr>
                <w:b/>
                <w:bCs/>
                <w:color w:val="FF1452" w:themeColor="accent5"/>
                <w:lang w:eastAsia="en-GB"/>
              </w:rPr>
            </w:pPr>
            <w:r w:rsidRPr="00015430">
              <w:rPr>
                <w:bCs/>
                <w:color w:val="FF1452" w:themeColor="accent5"/>
                <w:lang w:eastAsia="en-GB"/>
              </w:rPr>
              <w:t>SIL</w:t>
            </w:r>
          </w:p>
        </w:tc>
        <w:tc>
          <w:tcPr>
            <w:tcW w:w="857" w:type="dxa"/>
            <w:tcBorders>
              <w:left w:val="single" w:sz="4" w:space="0" w:color="006EC8" w:themeColor="accent1"/>
            </w:tcBorders>
            <w:noWrap/>
            <w:vAlign w:val="center"/>
          </w:tcPr>
          <w:p w14:paraId="4CDDAAB0" w14:textId="00519283" w:rsidR="00075572" w:rsidRPr="00015430" w:rsidRDefault="00075572" w:rsidP="00075572">
            <w:pPr>
              <w:keepNext/>
              <w:spacing w:before="0" w:after="0"/>
              <w:jc w:val="center"/>
              <w:rPr>
                <w:rFonts w:ascii="Wingdings" w:eastAsia="Times New Roman" w:hAnsi="Wingdings" w:cs="Calibri"/>
                <w:b/>
                <w:bCs/>
                <w:color w:val="006EC8" w:themeColor="accent1"/>
                <w:sz w:val="22"/>
                <w:lang w:eastAsia="en-GB"/>
              </w:rPr>
            </w:pPr>
            <w:r w:rsidRPr="00015430">
              <w:rPr>
                <w:rFonts w:asciiTheme="majorHAnsi" w:eastAsia="Times New Roman" w:hAnsiTheme="majorHAnsi" w:cs="Calibri"/>
                <w:bCs/>
                <w:color w:val="006EC8" w:themeColor="accent1"/>
                <w:sz w:val="22"/>
                <w:lang w:eastAsia="en-GB"/>
              </w:rPr>
              <w:t>Non-SIL</w:t>
            </w:r>
          </w:p>
        </w:tc>
        <w:tc>
          <w:tcPr>
            <w:tcW w:w="858" w:type="dxa"/>
            <w:tcBorders>
              <w:right w:val="single" w:sz="4" w:space="0" w:color="006EC8" w:themeColor="accent1"/>
            </w:tcBorders>
            <w:vAlign w:val="center"/>
          </w:tcPr>
          <w:p w14:paraId="34709E07" w14:textId="27DA9104" w:rsidR="00075572" w:rsidRPr="00015430" w:rsidRDefault="00075572" w:rsidP="00075572">
            <w:pPr>
              <w:keepNext/>
              <w:spacing w:before="0" w:after="0"/>
              <w:jc w:val="center"/>
              <w:rPr>
                <w:rFonts w:ascii="Wingdings" w:eastAsia="Times New Roman" w:hAnsi="Wingdings" w:cs="Calibri"/>
                <w:b/>
                <w:bCs/>
                <w:color w:val="006EC8" w:themeColor="accent1"/>
                <w:sz w:val="22"/>
                <w:lang w:eastAsia="en-GB"/>
              </w:rPr>
            </w:pPr>
            <w:r w:rsidRPr="00015430">
              <w:rPr>
                <w:bCs/>
                <w:color w:val="FF1452" w:themeColor="accent5"/>
                <w:lang w:eastAsia="en-GB"/>
              </w:rPr>
              <w:t>SIL</w:t>
            </w:r>
          </w:p>
        </w:tc>
        <w:tc>
          <w:tcPr>
            <w:tcW w:w="857" w:type="dxa"/>
            <w:tcBorders>
              <w:left w:val="single" w:sz="4" w:space="0" w:color="006EC8" w:themeColor="accent1"/>
            </w:tcBorders>
            <w:noWrap/>
            <w:vAlign w:val="center"/>
          </w:tcPr>
          <w:p w14:paraId="6EE9F9C0" w14:textId="336D6D56" w:rsidR="00075572" w:rsidRPr="00015430" w:rsidRDefault="00075572" w:rsidP="00075572">
            <w:pPr>
              <w:keepNext/>
              <w:spacing w:before="0" w:after="0"/>
              <w:jc w:val="center"/>
              <w:rPr>
                <w:rFonts w:ascii="Wingdings" w:eastAsia="Times New Roman" w:hAnsi="Wingdings" w:cs="Calibri"/>
                <w:b/>
                <w:bCs/>
                <w:color w:val="006EC8" w:themeColor="accent1"/>
                <w:sz w:val="22"/>
                <w:lang w:eastAsia="en-GB"/>
              </w:rPr>
            </w:pPr>
            <w:r w:rsidRPr="00015430">
              <w:rPr>
                <w:rFonts w:asciiTheme="majorHAnsi" w:eastAsia="Times New Roman" w:hAnsiTheme="majorHAnsi" w:cs="Calibri"/>
                <w:bCs/>
                <w:color w:val="006EC8" w:themeColor="accent1"/>
                <w:sz w:val="22"/>
                <w:lang w:eastAsia="en-GB"/>
              </w:rPr>
              <w:t>Non-SIL</w:t>
            </w:r>
          </w:p>
        </w:tc>
        <w:tc>
          <w:tcPr>
            <w:tcW w:w="858" w:type="dxa"/>
            <w:tcBorders>
              <w:right w:val="single" w:sz="4" w:space="0" w:color="006EC8" w:themeColor="accent1"/>
            </w:tcBorders>
            <w:vAlign w:val="center"/>
          </w:tcPr>
          <w:p w14:paraId="11972EB6" w14:textId="409C4F2B" w:rsidR="00075572" w:rsidRPr="00015430" w:rsidRDefault="00075572" w:rsidP="00075572">
            <w:pPr>
              <w:keepNext/>
              <w:spacing w:before="0" w:after="0"/>
              <w:jc w:val="center"/>
              <w:rPr>
                <w:rFonts w:ascii="Wingdings" w:eastAsia="Times New Roman" w:hAnsi="Wingdings" w:cs="Calibri"/>
                <w:b/>
                <w:bCs/>
                <w:color w:val="000000"/>
                <w:sz w:val="22"/>
                <w:lang w:eastAsia="en-GB"/>
              </w:rPr>
            </w:pPr>
            <w:r w:rsidRPr="00015430">
              <w:rPr>
                <w:bCs/>
                <w:color w:val="FF1452" w:themeColor="accent5"/>
                <w:lang w:eastAsia="en-GB"/>
              </w:rPr>
              <w:t>SIL</w:t>
            </w:r>
          </w:p>
        </w:tc>
        <w:tc>
          <w:tcPr>
            <w:tcW w:w="857" w:type="dxa"/>
            <w:tcBorders>
              <w:left w:val="single" w:sz="4" w:space="0" w:color="006EC8" w:themeColor="accent1"/>
            </w:tcBorders>
            <w:noWrap/>
            <w:vAlign w:val="center"/>
          </w:tcPr>
          <w:p w14:paraId="211F3675" w14:textId="58709F82" w:rsidR="00075572" w:rsidRPr="00015430" w:rsidRDefault="00075572" w:rsidP="00075572">
            <w:pPr>
              <w:keepNext/>
              <w:spacing w:before="0" w:after="0"/>
              <w:jc w:val="center"/>
              <w:rPr>
                <w:rFonts w:ascii="Wingdings" w:eastAsia="Times New Roman" w:hAnsi="Wingdings" w:cs="Calibri"/>
                <w:b/>
                <w:bCs/>
                <w:color w:val="000000"/>
                <w:sz w:val="22"/>
                <w:lang w:eastAsia="en-GB"/>
              </w:rPr>
            </w:pPr>
            <w:r w:rsidRPr="00015430">
              <w:rPr>
                <w:rFonts w:asciiTheme="majorHAnsi" w:eastAsia="Times New Roman" w:hAnsiTheme="majorHAnsi" w:cs="Calibri"/>
                <w:bCs/>
                <w:color w:val="006EC8" w:themeColor="accent1"/>
                <w:sz w:val="22"/>
                <w:lang w:eastAsia="en-GB"/>
              </w:rPr>
              <w:t>Non-SIL</w:t>
            </w:r>
          </w:p>
        </w:tc>
        <w:tc>
          <w:tcPr>
            <w:tcW w:w="858" w:type="dxa"/>
            <w:vAlign w:val="center"/>
          </w:tcPr>
          <w:p w14:paraId="20763F98" w14:textId="793C15D8" w:rsidR="00075572" w:rsidRPr="00015430" w:rsidRDefault="00075572" w:rsidP="00075572">
            <w:pPr>
              <w:keepNext/>
              <w:spacing w:before="0" w:after="0"/>
              <w:jc w:val="center"/>
              <w:rPr>
                <w:rFonts w:ascii="Wingdings" w:eastAsia="Times New Roman" w:hAnsi="Wingdings" w:cs="Calibri"/>
                <w:b/>
                <w:bCs/>
                <w:color w:val="000000"/>
                <w:sz w:val="22"/>
                <w:lang w:eastAsia="en-GB"/>
              </w:rPr>
            </w:pPr>
            <w:r w:rsidRPr="00015430">
              <w:rPr>
                <w:bCs/>
                <w:color w:val="FF1452" w:themeColor="accent5"/>
                <w:lang w:eastAsia="en-GB"/>
              </w:rPr>
              <w:t>SIL</w:t>
            </w:r>
          </w:p>
        </w:tc>
      </w:tr>
      <w:tr w:rsidR="00015430" w:rsidRPr="00564D91" w14:paraId="26198831" w14:textId="73727ECF" w:rsidTr="00075572">
        <w:trPr>
          <w:cnfStyle w:val="000000100000" w:firstRow="0" w:lastRow="0" w:firstColumn="0" w:lastColumn="0" w:oddVBand="0" w:evenVBand="0" w:oddHBand="1" w:evenHBand="0" w:firstRowFirstColumn="0" w:firstRowLastColumn="0" w:lastRowFirstColumn="0" w:lastRowLastColumn="0"/>
          <w:trHeight w:val="360"/>
        </w:trPr>
        <w:tc>
          <w:tcPr>
            <w:tcW w:w="2552" w:type="dxa"/>
            <w:tcBorders>
              <w:top w:val="single" w:sz="4" w:space="0" w:color="006EC8" w:themeColor="accent1"/>
            </w:tcBorders>
            <w:noWrap/>
            <w:vAlign w:val="center"/>
            <w:hideMark/>
          </w:tcPr>
          <w:p w14:paraId="4D6E08E2" w14:textId="77777777"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Daily Activities</w:t>
            </w:r>
          </w:p>
        </w:tc>
        <w:tc>
          <w:tcPr>
            <w:tcW w:w="857" w:type="dxa"/>
            <w:tcBorders>
              <w:top w:val="single" w:sz="4" w:space="0" w:color="006EC8" w:themeColor="accent1"/>
            </w:tcBorders>
            <w:noWrap/>
            <w:vAlign w:val="center"/>
            <w:hideMark/>
          </w:tcPr>
          <w:p w14:paraId="1157A018" w14:textId="5634AA61" w:rsidR="00015430" w:rsidRPr="00015430" w:rsidRDefault="00015430" w:rsidP="00075572">
            <w:pPr>
              <w:spacing w:before="0" w:after="0"/>
              <w:jc w:val="center"/>
              <w:rPr>
                <w:b/>
                <w:bCs/>
                <w:color w:val="006EC8" w:themeColor="accent1"/>
                <w:lang w:eastAsia="en-GB"/>
              </w:rPr>
            </w:pPr>
            <w:r w:rsidRPr="00015430">
              <w:rPr>
                <w:b/>
                <w:bCs/>
                <w:color w:val="006EC8" w:themeColor="accent1"/>
                <w:lang w:eastAsia="en-GB"/>
              </w:rPr>
              <w:t>Yes</w:t>
            </w:r>
          </w:p>
        </w:tc>
        <w:tc>
          <w:tcPr>
            <w:tcW w:w="858" w:type="dxa"/>
            <w:tcBorders>
              <w:top w:val="single" w:sz="4" w:space="0" w:color="006EC8" w:themeColor="accent1"/>
              <w:right w:val="single" w:sz="4" w:space="0" w:color="006EC8" w:themeColor="accent1"/>
            </w:tcBorders>
            <w:vAlign w:val="center"/>
          </w:tcPr>
          <w:p w14:paraId="6CF729E9" w14:textId="31CC2EEB" w:rsidR="00015430" w:rsidRPr="00015430" w:rsidRDefault="00015430" w:rsidP="00075572">
            <w:pPr>
              <w:spacing w:before="0" w:after="0"/>
              <w:jc w:val="center"/>
              <w:rPr>
                <w:b/>
                <w:bCs/>
                <w:color w:val="FF1452" w:themeColor="accent5"/>
                <w:lang w:eastAsia="en-GB"/>
              </w:rPr>
            </w:pPr>
            <w:r w:rsidRPr="00015430">
              <w:rPr>
                <w:b/>
                <w:bCs/>
                <w:color w:val="FF1452" w:themeColor="accent5"/>
                <w:lang w:eastAsia="en-GB"/>
              </w:rPr>
              <w:t>Yes</w:t>
            </w:r>
          </w:p>
        </w:tc>
        <w:tc>
          <w:tcPr>
            <w:tcW w:w="857" w:type="dxa"/>
            <w:tcBorders>
              <w:top w:val="single" w:sz="4" w:space="0" w:color="006EC8" w:themeColor="accent1"/>
              <w:left w:val="single" w:sz="4" w:space="0" w:color="006EC8" w:themeColor="accent1"/>
            </w:tcBorders>
            <w:noWrap/>
            <w:vAlign w:val="center"/>
            <w:hideMark/>
          </w:tcPr>
          <w:p w14:paraId="69A571F6" w14:textId="1F01AB55"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top w:val="single" w:sz="4" w:space="0" w:color="006EC8" w:themeColor="accent1"/>
              <w:right w:val="single" w:sz="4" w:space="0" w:color="006EC8" w:themeColor="accent1"/>
            </w:tcBorders>
            <w:vAlign w:val="center"/>
          </w:tcPr>
          <w:p w14:paraId="2E8FA91E" w14:textId="700527D1" w:rsidR="00015430" w:rsidRPr="00564D91" w:rsidRDefault="00015430" w:rsidP="00075572">
            <w:pPr>
              <w:spacing w:before="0" w:after="0"/>
              <w:jc w:val="center"/>
              <w:rPr>
                <w:lang w:eastAsia="en-GB"/>
              </w:rPr>
            </w:pPr>
            <w:r>
              <w:rPr>
                <w:lang w:eastAsia="en-GB"/>
              </w:rPr>
              <w:t>No</w:t>
            </w:r>
          </w:p>
        </w:tc>
        <w:tc>
          <w:tcPr>
            <w:tcW w:w="857" w:type="dxa"/>
            <w:tcBorders>
              <w:top w:val="single" w:sz="4" w:space="0" w:color="006EC8" w:themeColor="accent1"/>
              <w:left w:val="single" w:sz="4" w:space="0" w:color="006EC8" w:themeColor="accent1"/>
            </w:tcBorders>
            <w:noWrap/>
            <w:vAlign w:val="center"/>
            <w:hideMark/>
          </w:tcPr>
          <w:p w14:paraId="0B11E1E2" w14:textId="664CA440"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top w:val="single" w:sz="4" w:space="0" w:color="006EC8" w:themeColor="accent1"/>
              <w:right w:val="single" w:sz="4" w:space="0" w:color="006EC8" w:themeColor="accent1"/>
            </w:tcBorders>
            <w:vAlign w:val="center"/>
          </w:tcPr>
          <w:p w14:paraId="290B4C14" w14:textId="3FA8B189" w:rsidR="00015430" w:rsidRPr="00564D91" w:rsidRDefault="00015430" w:rsidP="00075572">
            <w:pPr>
              <w:spacing w:before="0" w:after="0"/>
              <w:jc w:val="center"/>
              <w:rPr>
                <w:lang w:eastAsia="en-GB"/>
              </w:rPr>
            </w:pPr>
            <w:r>
              <w:rPr>
                <w:lang w:eastAsia="en-GB"/>
              </w:rPr>
              <w:t>No</w:t>
            </w:r>
          </w:p>
        </w:tc>
        <w:tc>
          <w:tcPr>
            <w:tcW w:w="857" w:type="dxa"/>
            <w:tcBorders>
              <w:top w:val="single" w:sz="4" w:space="0" w:color="006EC8" w:themeColor="accent1"/>
              <w:left w:val="single" w:sz="4" w:space="0" w:color="006EC8" w:themeColor="accent1"/>
            </w:tcBorders>
            <w:noWrap/>
            <w:vAlign w:val="center"/>
            <w:hideMark/>
          </w:tcPr>
          <w:p w14:paraId="481343B6" w14:textId="2E76C67C" w:rsidR="00015430" w:rsidRPr="00015430" w:rsidRDefault="00015430" w:rsidP="00075572">
            <w:pPr>
              <w:spacing w:before="0" w:after="0"/>
              <w:jc w:val="center"/>
              <w:rPr>
                <w:lang w:eastAsia="en-GB"/>
              </w:rPr>
            </w:pPr>
            <w:r w:rsidRPr="00015430">
              <w:rPr>
                <w:lang w:eastAsia="en-GB"/>
              </w:rPr>
              <w:t>No</w:t>
            </w:r>
          </w:p>
        </w:tc>
        <w:tc>
          <w:tcPr>
            <w:tcW w:w="858" w:type="dxa"/>
            <w:tcBorders>
              <w:top w:val="single" w:sz="4" w:space="0" w:color="006EC8" w:themeColor="accent1"/>
            </w:tcBorders>
            <w:vAlign w:val="center"/>
          </w:tcPr>
          <w:p w14:paraId="0A77CE2D" w14:textId="172D93D8" w:rsidR="00015430" w:rsidRPr="00564D91" w:rsidRDefault="00015430" w:rsidP="00075572">
            <w:pPr>
              <w:keepNext/>
              <w:spacing w:before="0" w:after="0"/>
              <w:jc w:val="center"/>
              <w:rPr>
                <w:rFonts w:ascii="Wingdings" w:eastAsia="Times New Roman" w:hAnsi="Wingdings" w:cs="Calibri"/>
                <w:color w:val="000000"/>
                <w:sz w:val="22"/>
                <w:lang w:eastAsia="en-GB"/>
              </w:rPr>
            </w:pPr>
            <w:r>
              <w:rPr>
                <w:lang w:eastAsia="en-GB"/>
              </w:rPr>
              <w:t>No</w:t>
            </w:r>
          </w:p>
        </w:tc>
      </w:tr>
      <w:tr w:rsidR="00015430" w:rsidRPr="00564D91" w14:paraId="32E73991" w14:textId="312D5B4E" w:rsidTr="00075572">
        <w:trPr>
          <w:trHeight w:val="360"/>
        </w:trPr>
        <w:tc>
          <w:tcPr>
            <w:tcW w:w="2552" w:type="dxa"/>
            <w:noWrap/>
            <w:vAlign w:val="center"/>
            <w:hideMark/>
          </w:tcPr>
          <w:p w14:paraId="3C8A88EE" w14:textId="77777777"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Social Community Civic</w:t>
            </w:r>
          </w:p>
        </w:tc>
        <w:tc>
          <w:tcPr>
            <w:tcW w:w="857" w:type="dxa"/>
            <w:noWrap/>
            <w:vAlign w:val="center"/>
            <w:hideMark/>
          </w:tcPr>
          <w:p w14:paraId="29B3F717" w14:textId="4885F5FF"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359755BD" w14:textId="163F15CF" w:rsidR="00015430" w:rsidRPr="00015430" w:rsidRDefault="00015430" w:rsidP="00075572">
            <w:pPr>
              <w:keepNext/>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781B0505" w14:textId="655AC723"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35AA14C7" w14:textId="127DE8AD"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3F9C7E96" w14:textId="0FC4B237"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0C7F7B74" w14:textId="65842F4E" w:rsidR="00015430" w:rsidRPr="00015430" w:rsidRDefault="00015430" w:rsidP="00075572">
            <w:pPr>
              <w:spacing w:before="0" w:after="0"/>
              <w:jc w:val="center"/>
              <w:rPr>
                <w:b/>
                <w:bCs/>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71B11E60" w14:textId="1DA941FD" w:rsidR="00015430" w:rsidRPr="00015430" w:rsidRDefault="00015430" w:rsidP="00075572">
            <w:pPr>
              <w:spacing w:before="0" w:after="0"/>
              <w:jc w:val="center"/>
              <w:rPr>
                <w:lang w:eastAsia="en-GB"/>
              </w:rPr>
            </w:pPr>
            <w:r w:rsidRPr="00015430">
              <w:rPr>
                <w:lang w:eastAsia="en-GB"/>
              </w:rPr>
              <w:t>No</w:t>
            </w:r>
          </w:p>
        </w:tc>
        <w:tc>
          <w:tcPr>
            <w:tcW w:w="858" w:type="dxa"/>
            <w:vAlign w:val="center"/>
          </w:tcPr>
          <w:p w14:paraId="341499B3" w14:textId="4A8D7DE4" w:rsidR="00015430" w:rsidRPr="00564D91" w:rsidRDefault="00015430" w:rsidP="00075572">
            <w:pPr>
              <w:keepNext/>
              <w:spacing w:before="0" w:after="0"/>
              <w:jc w:val="center"/>
              <w:rPr>
                <w:rFonts w:ascii="Wingdings" w:eastAsia="Times New Roman" w:hAnsi="Wingdings" w:cs="Calibri"/>
                <w:color w:val="000000"/>
                <w:sz w:val="22"/>
                <w:lang w:eastAsia="en-GB"/>
              </w:rPr>
            </w:pPr>
            <w:r>
              <w:rPr>
                <w:lang w:eastAsia="en-GB"/>
              </w:rPr>
              <w:t>No</w:t>
            </w:r>
          </w:p>
        </w:tc>
      </w:tr>
      <w:tr w:rsidR="00015430" w:rsidRPr="00564D91" w14:paraId="77FEABB4" w14:textId="1559441E" w:rsidTr="00075572">
        <w:trPr>
          <w:cnfStyle w:val="000000100000" w:firstRow="0" w:lastRow="0" w:firstColumn="0" w:lastColumn="0" w:oddVBand="0" w:evenVBand="0" w:oddHBand="1" w:evenHBand="0" w:firstRowFirstColumn="0" w:firstRowLastColumn="0" w:lastRowFirstColumn="0" w:lastRowLastColumn="0"/>
          <w:trHeight w:val="360"/>
        </w:trPr>
        <w:tc>
          <w:tcPr>
            <w:tcW w:w="2552" w:type="dxa"/>
            <w:noWrap/>
            <w:vAlign w:val="center"/>
            <w:hideMark/>
          </w:tcPr>
          <w:p w14:paraId="6B9850B5" w14:textId="5BB12C62"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Transport</w:t>
            </w:r>
            <w:r w:rsidR="00075572">
              <w:rPr>
                <w:rFonts w:ascii="Blanco" w:eastAsia="Times New Roman" w:hAnsi="Blanco" w:cs="Calibri"/>
                <w:color w:val="000000"/>
                <w:szCs w:val="21"/>
                <w:lang w:eastAsia="en-GB"/>
              </w:rPr>
              <w:t xml:space="preserve"> </w:t>
            </w:r>
          </w:p>
        </w:tc>
        <w:tc>
          <w:tcPr>
            <w:tcW w:w="857" w:type="dxa"/>
            <w:noWrap/>
            <w:vAlign w:val="center"/>
            <w:hideMark/>
          </w:tcPr>
          <w:p w14:paraId="4D5D1236" w14:textId="35CC27F4"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49F9C9AB" w14:textId="0D3474A7" w:rsidR="00015430" w:rsidRPr="00015430" w:rsidRDefault="00015430" w:rsidP="00075572">
            <w:pPr>
              <w:keepNext/>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06906F2C" w14:textId="37BD137A"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6CFB0A72" w14:textId="57C4E48D"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6E059E62" w14:textId="23226448" w:rsidR="00015430" w:rsidRPr="00015430" w:rsidRDefault="00015430" w:rsidP="00075572">
            <w:pPr>
              <w:keepNext/>
              <w:spacing w:before="0" w:after="0"/>
              <w:jc w:val="center"/>
              <w:rPr>
                <w:rFonts w:ascii="Wingdings" w:eastAsia="Times New Roman" w:hAnsi="Wingdings" w:cs="Calibri"/>
                <w:sz w:val="22"/>
                <w:lang w:eastAsia="en-GB"/>
              </w:rPr>
            </w:pPr>
            <w:r w:rsidRPr="00015430">
              <w:rPr>
                <w:lang w:eastAsia="en-GB"/>
              </w:rPr>
              <w:t>No</w:t>
            </w:r>
          </w:p>
        </w:tc>
        <w:tc>
          <w:tcPr>
            <w:tcW w:w="858" w:type="dxa"/>
            <w:tcBorders>
              <w:right w:val="single" w:sz="4" w:space="0" w:color="006EC8" w:themeColor="accent1"/>
            </w:tcBorders>
            <w:vAlign w:val="center"/>
          </w:tcPr>
          <w:p w14:paraId="1F616FB6" w14:textId="5EDA9FD2" w:rsidR="00015430" w:rsidRPr="00564D91" w:rsidRDefault="00015430" w:rsidP="00075572">
            <w:pPr>
              <w:keepNext/>
              <w:spacing w:before="0" w:after="0"/>
              <w:jc w:val="center"/>
              <w:rPr>
                <w:rFonts w:ascii="Wingdings" w:eastAsia="Times New Roman" w:hAnsi="Wingdings" w:cs="Calibri"/>
                <w:color w:val="006EC8" w:themeColor="accent1"/>
                <w:sz w:val="22"/>
                <w:lang w:eastAsia="en-GB"/>
              </w:rPr>
            </w:pPr>
            <w:r w:rsidRPr="006E7CC9">
              <w:rPr>
                <w:lang w:eastAsia="en-GB"/>
              </w:rPr>
              <w:t>No</w:t>
            </w:r>
          </w:p>
        </w:tc>
        <w:tc>
          <w:tcPr>
            <w:tcW w:w="857" w:type="dxa"/>
            <w:tcBorders>
              <w:left w:val="single" w:sz="4" w:space="0" w:color="006EC8" w:themeColor="accent1"/>
            </w:tcBorders>
            <w:noWrap/>
            <w:vAlign w:val="center"/>
            <w:hideMark/>
          </w:tcPr>
          <w:p w14:paraId="689A06AB" w14:textId="7C58FEB2" w:rsidR="00015430" w:rsidRPr="00015430" w:rsidRDefault="00015430" w:rsidP="00075572">
            <w:pPr>
              <w:spacing w:before="0" w:after="0"/>
              <w:jc w:val="center"/>
              <w:rPr>
                <w:b/>
                <w:bCs/>
                <w:color w:val="006EC8" w:themeColor="accent1"/>
                <w:lang w:eastAsia="en-GB"/>
              </w:rPr>
            </w:pPr>
            <w:r w:rsidRPr="00015430">
              <w:rPr>
                <w:b/>
                <w:bCs/>
                <w:color w:val="006EC8" w:themeColor="accent1"/>
                <w:lang w:eastAsia="en-GB"/>
              </w:rPr>
              <w:t>Yes</w:t>
            </w:r>
          </w:p>
        </w:tc>
        <w:tc>
          <w:tcPr>
            <w:tcW w:w="858" w:type="dxa"/>
            <w:vAlign w:val="center"/>
          </w:tcPr>
          <w:p w14:paraId="1C96EF71" w14:textId="04085683" w:rsidR="00015430" w:rsidRPr="00075572" w:rsidRDefault="00015430" w:rsidP="00075572">
            <w:pPr>
              <w:keepNext/>
              <w:spacing w:before="0" w:after="0"/>
              <w:jc w:val="center"/>
              <w:rPr>
                <w:rFonts w:ascii="Wingdings" w:eastAsia="Times New Roman" w:hAnsi="Wingdings" w:cs="Calibri"/>
                <w:b/>
                <w:bCs/>
                <w:color w:val="FF1452" w:themeColor="accent5"/>
                <w:sz w:val="22"/>
                <w:lang w:eastAsia="en-GB"/>
              </w:rPr>
            </w:pPr>
            <w:r w:rsidRPr="00075572">
              <w:rPr>
                <w:b/>
                <w:bCs/>
                <w:color w:val="FF1452" w:themeColor="accent5"/>
                <w:lang w:eastAsia="en-GB"/>
              </w:rPr>
              <w:t>Yes</w:t>
            </w:r>
          </w:p>
        </w:tc>
      </w:tr>
      <w:tr w:rsidR="00015430" w:rsidRPr="00564D91" w14:paraId="07141F19" w14:textId="656C92E5" w:rsidTr="00075572">
        <w:trPr>
          <w:trHeight w:val="330"/>
        </w:trPr>
        <w:tc>
          <w:tcPr>
            <w:tcW w:w="2552" w:type="dxa"/>
            <w:noWrap/>
            <w:vAlign w:val="center"/>
            <w:hideMark/>
          </w:tcPr>
          <w:p w14:paraId="000E1394" w14:textId="77777777"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Home Modifications</w:t>
            </w:r>
          </w:p>
        </w:tc>
        <w:tc>
          <w:tcPr>
            <w:tcW w:w="857" w:type="dxa"/>
            <w:noWrap/>
            <w:vAlign w:val="center"/>
            <w:hideMark/>
          </w:tcPr>
          <w:p w14:paraId="3711B98E" w14:textId="621513A5"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25350311" w14:textId="306BE4F7" w:rsidR="00015430" w:rsidRPr="00015430" w:rsidRDefault="00015430" w:rsidP="00075572">
            <w:pPr>
              <w:keepNext/>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3E085D8C" w14:textId="19095CAD"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478DB2AA" w14:textId="23FC8553"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61F9869E" w14:textId="051B8503" w:rsidR="00015430" w:rsidRPr="00015430" w:rsidRDefault="00015430" w:rsidP="00075572">
            <w:pPr>
              <w:keepNext/>
              <w:spacing w:before="0" w:after="0"/>
              <w:jc w:val="center"/>
              <w:rPr>
                <w:rFonts w:ascii="Wingdings" w:eastAsia="Times New Roman" w:hAnsi="Wingdings" w:cs="Calibri"/>
                <w:sz w:val="22"/>
                <w:lang w:eastAsia="en-GB"/>
              </w:rPr>
            </w:pPr>
            <w:r w:rsidRPr="00015430">
              <w:rPr>
                <w:lang w:eastAsia="en-GB"/>
              </w:rPr>
              <w:t>No</w:t>
            </w:r>
          </w:p>
        </w:tc>
        <w:tc>
          <w:tcPr>
            <w:tcW w:w="858" w:type="dxa"/>
            <w:tcBorders>
              <w:right w:val="single" w:sz="4" w:space="0" w:color="006EC8" w:themeColor="accent1"/>
            </w:tcBorders>
            <w:vAlign w:val="center"/>
          </w:tcPr>
          <w:p w14:paraId="4C31A7F5" w14:textId="04322877" w:rsidR="00015430" w:rsidRPr="00564D91" w:rsidRDefault="00015430" w:rsidP="00075572">
            <w:pPr>
              <w:keepNext/>
              <w:spacing w:before="0" w:after="0"/>
              <w:jc w:val="center"/>
              <w:rPr>
                <w:rFonts w:ascii="Wingdings" w:eastAsia="Times New Roman" w:hAnsi="Wingdings" w:cs="Calibri"/>
                <w:color w:val="000000"/>
                <w:sz w:val="22"/>
                <w:lang w:eastAsia="en-GB"/>
              </w:rPr>
            </w:pPr>
            <w:r w:rsidRPr="006E7CC9">
              <w:rPr>
                <w:lang w:eastAsia="en-GB"/>
              </w:rPr>
              <w:t>No</w:t>
            </w:r>
          </w:p>
        </w:tc>
        <w:tc>
          <w:tcPr>
            <w:tcW w:w="857" w:type="dxa"/>
            <w:tcBorders>
              <w:left w:val="single" w:sz="4" w:space="0" w:color="006EC8" w:themeColor="accent1"/>
            </w:tcBorders>
            <w:noWrap/>
            <w:vAlign w:val="center"/>
            <w:hideMark/>
          </w:tcPr>
          <w:p w14:paraId="3CAE5588" w14:textId="2B28ECA0" w:rsidR="00015430" w:rsidRPr="00015430" w:rsidRDefault="00015430" w:rsidP="00075572">
            <w:pPr>
              <w:spacing w:before="0" w:after="0"/>
              <w:jc w:val="center"/>
              <w:rPr>
                <w:color w:val="006EC8" w:themeColor="accent1"/>
                <w:lang w:eastAsia="en-GB"/>
              </w:rPr>
            </w:pPr>
            <w:r w:rsidRPr="00015430">
              <w:rPr>
                <w:lang w:eastAsia="en-GB"/>
              </w:rPr>
              <w:t>No</w:t>
            </w:r>
          </w:p>
        </w:tc>
        <w:tc>
          <w:tcPr>
            <w:tcW w:w="858" w:type="dxa"/>
            <w:vAlign w:val="center"/>
          </w:tcPr>
          <w:p w14:paraId="114C5B06" w14:textId="4EEB9670" w:rsidR="00015430" w:rsidRPr="00075572" w:rsidRDefault="00015430" w:rsidP="00075572">
            <w:pPr>
              <w:keepNext/>
              <w:spacing w:before="0" w:after="0"/>
              <w:jc w:val="center"/>
              <w:rPr>
                <w:rFonts w:ascii="Wingdings" w:eastAsia="Times New Roman" w:hAnsi="Wingdings" w:cs="Calibri"/>
                <w:b/>
                <w:bCs/>
                <w:color w:val="FF1452" w:themeColor="accent5"/>
                <w:sz w:val="22"/>
                <w:lang w:eastAsia="en-GB"/>
              </w:rPr>
            </w:pPr>
            <w:r w:rsidRPr="00075572">
              <w:rPr>
                <w:b/>
                <w:bCs/>
                <w:color w:val="FF1452" w:themeColor="accent5"/>
                <w:lang w:eastAsia="en-GB"/>
              </w:rPr>
              <w:t>Yes</w:t>
            </w:r>
          </w:p>
        </w:tc>
      </w:tr>
      <w:tr w:rsidR="00015430" w:rsidRPr="00564D91" w14:paraId="598C8044" w14:textId="394CA403" w:rsidTr="00075572">
        <w:trPr>
          <w:cnfStyle w:val="000000100000" w:firstRow="0" w:lastRow="0" w:firstColumn="0" w:lastColumn="0" w:oddVBand="0" w:evenVBand="0" w:oddHBand="1" w:evenHBand="0" w:firstRowFirstColumn="0" w:firstRowLastColumn="0" w:lastRowFirstColumn="0" w:lastRowLastColumn="0"/>
          <w:trHeight w:val="330"/>
        </w:trPr>
        <w:tc>
          <w:tcPr>
            <w:tcW w:w="2552" w:type="dxa"/>
            <w:noWrap/>
            <w:vAlign w:val="center"/>
            <w:hideMark/>
          </w:tcPr>
          <w:p w14:paraId="29F9A9A5" w14:textId="77777777"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CB Choice Control</w:t>
            </w:r>
          </w:p>
        </w:tc>
        <w:tc>
          <w:tcPr>
            <w:tcW w:w="857" w:type="dxa"/>
            <w:noWrap/>
            <w:vAlign w:val="center"/>
            <w:hideMark/>
          </w:tcPr>
          <w:p w14:paraId="69EDF52E" w14:textId="4DAB747F"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4A337297" w14:textId="363B9758" w:rsidR="00015430" w:rsidRPr="00015430" w:rsidRDefault="00015430" w:rsidP="00075572">
            <w:pPr>
              <w:keepNext/>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68E3E889" w14:textId="6BFAFD3B"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3F12BF04" w14:textId="479C379D"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0A5CAF28" w14:textId="6ED5E450" w:rsidR="00015430" w:rsidRPr="00015430" w:rsidRDefault="00015430" w:rsidP="00075572">
            <w:pPr>
              <w:keepNext/>
              <w:spacing w:before="0" w:after="0"/>
              <w:jc w:val="center"/>
              <w:rPr>
                <w:rFonts w:ascii="Wingdings" w:eastAsia="Times New Roman" w:hAnsi="Wingdings" w:cs="Calibri"/>
                <w:sz w:val="22"/>
                <w:lang w:eastAsia="en-GB"/>
              </w:rPr>
            </w:pPr>
            <w:r w:rsidRPr="00015430">
              <w:rPr>
                <w:lang w:eastAsia="en-GB"/>
              </w:rPr>
              <w:t>No</w:t>
            </w:r>
          </w:p>
        </w:tc>
        <w:tc>
          <w:tcPr>
            <w:tcW w:w="858" w:type="dxa"/>
            <w:tcBorders>
              <w:right w:val="single" w:sz="4" w:space="0" w:color="006EC8" w:themeColor="accent1"/>
            </w:tcBorders>
            <w:vAlign w:val="center"/>
          </w:tcPr>
          <w:p w14:paraId="6D458E96" w14:textId="1347034C" w:rsidR="00015430" w:rsidRPr="00564D91" w:rsidRDefault="00015430" w:rsidP="00075572">
            <w:pPr>
              <w:keepNext/>
              <w:spacing w:before="0" w:after="0"/>
              <w:jc w:val="center"/>
              <w:rPr>
                <w:rFonts w:ascii="Wingdings" w:eastAsia="Times New Roman" w:hAnsi="Wingdings" w:cs="Calibri"/>
                <w:color w:val="006EC8" w:themeColor="accent1"/>
                <w:sz w:val="22"/>
                <w:lang w:eastAsia="en-GB"/>
              </w:rPr>
            </w:pPr>
            <w:r w:rsidRPr="006E7CC9">
              <w:rPr>
                <w:lang w:eastAsia="en-GB"/>
              </w:rPr>
              <w:t>No</w:t>
            </w:r>
          </w:p>
        </w:tc>
        <w:tc>
          <w:tcPr>
            <w:tcW w:w="857" w:type="dxa"/>
            <w:tcBorders>
              <w:left w:val="single" w:sz="4" w:space="0" w:color="006EC8" w:themeColor="accent1"/>
            </w:tcBorders>
            <w:noWrap/>
            <w:vAlign w:val="center"/>
            <w:hideMark/>
          </w:tcPr>
          <w:p w14:paraId="20B84DC7" w14:textId="050D5E65"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vAlign w:val="center"/>
          </w:tcPr>
          <w:p w14:paraId="4C3CCEB9" w14:textId="3EF71F07" w:rsidR="00015430" w:rsidRPr="00075572" w:rsidRDefault="00015430" w:rsidP="00075572">
            <w:pPr>
              <w:keepNext/>
              <w:spacing w:before="0" w:after="0"/>
              <w:jc w:val="center"/>
              <w:rPr>
                <w:rFonts w:ascii="Wingdings" w:eastAsia="Times New Roman" w:hAnsi="Wingdings" w:cs="Calibri"/>
                <w:b/>
                <w:bCs/>
                <w:color w:val="FF1452" w:themeColor="accent5"/>
                <w:sz w:val="22"/>
                <w:lang w:eastAsia="en-GB"/>
              </w:rPr>
            </w:pPr>
            <w:r w:rsidRPr="00075572">
              <w:rPr>
                <w:b/>
                <w:bCs/>
                <w:color w:val="FF1452" w:themeColor="accent5"/>
                <w:lang w:eastAsia="en-GB"/>
              </w:rPr>
              <w:t>Yes</w:t>
            </w:r>
          </w:p>
        </w:tc>
      </w:tr>
      <w:tr w:rsidR="00015430" w:rsidRPr="00564D91" w14:paraId="0ACFCCDB" w14:textId="53D35B8F" w:rsidTr="00075572">
        <w:trPr>
          <w:trHeight w:val="330"/>
        </w:trPr>
        <w:tc>
          <w:tcPr>
            <w:tcW w:w="2552" w:type="dxa"/>
            <w:noWrap/>
            <w:vAlign w:val="center"/>
            <w:hideMark/>
          </w:tcPr>
          <w:p w14:paraId="7E219AA6" w14:textId="77777777"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CB Employment</w:t>
            </w:r>
          </w:p>
        </w:tc>
        <w:tc>
          <w:tcPr>
            <w:tcW w:w="857" w:type="dxa"/>
            <w:noWrap/>
            <w:vAlign w:val="center"/>
            <w:hideMark/>
          </w:tcPr>
          <w:p w14:paraId="6A36CC5C" w14:textId="4CDF5FF5"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05FD5A9E" w14:textId="2729ECFA" w:rsidR="00015430" w:rsidRPr="00015430" w:rsidRDefault="00015430" w:rsidP="00075572">
            <w:pPr>
              <w:keepNext/>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534AE194" w14:textId="075F4466"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4B2C93E7" w14:textId="0B511B5A"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7ABCC3C7" w14:textId="3447AC17" w:rsidR="00015430" w:rsidRPr="00015430" w:rsidRDefault="00015430" w:rsidP="00075572">
            <w:pPr>
              <w:keepNext/>
              <w:spacing w:before="0" w:after="0"/>
              <w:jc w:val="center"/>
              <w:rPr>
                <w:rFonts w:ascii="Wingdings" w:eastAsia="Times New Roman" w:hAnsi="Wingdings" w:cs="Calibri"/>
                <w:sz w:val="22"/>
                <w:lang w:eastAsia="en-GB"/>
              </w:rPr>
            </w:pPr>
            <w:r w:rsidRPr="00015430">
              <w:rPr>
                <w:lang w:eastAsia="en-GB"/>
              </w:rPr>
              <w:t>No</w:t>
            </w:r>
          </w:p>
        </w:tc>
        <w:tc>
          <w:tcPr>
            <w:tcW w:w="858" w:type="dxa"/>
            <w:tcBorders>
              <w:right w:val="single" w:sz="4" w:space="0" w:color="006EC8" w:themeColor="accent1"/>
            </w:tcBorders>
            <w:vAlign w:val="center"/>
          </w:tcPr>
          <w:p w14:paraId="4E3840D9" w14:textId="26563894" w:rsidR="00015430" w:rsidRPr="00564D91" w:rsidRDefault="00015430" w:rsidP="00075572">
            <w:pPr>
              <w:keepNext/>
              <w:spacing w:before="0" w:after="0"/>
              <w:jc w:val="center"/>
              <w:rPr>
                <w:rFonts w:ascii="Wingdings" w:eastAsia="Times New Roman" w:hAnsi="Wingdings" w:cs="Calibri"/>
                <w:color w:val="006EC8" w:themeColor="accent1"/>
                <w:sz w:val="22"/>
                <w:lang w:eastAsia="en-GB"/>
              </w:rPr>
            </w:pPr>
            <w:r w:rsidRPr="006E7CC9">
              <w:rPr>
                <w:lang w:eastAsia="en-GB"/>
              </w:rPr>
              <w:t>No</w:t>
            </w:r>
          </w:p>
        </w:tc>
        <w:tc>
          <w:tcPr>
            <w:tcW w:w="857" w:type="dxa"/>
            <w:tcBorders>
              <w:left w:val="single" w:sz="4" w:space="0" w:color="006EC8" w:themeColor="accent1"/>
            </w:tcBorders>
            <w:noWrap/>
            <w:vAlign w:val="center"/>
            <w:hideMark/>
          </w:tcPr>
          <w:p w14:paraId="36AFA167" w14:textId="0C88956C"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vAlign w:val="center"/>
          </w:tcPr>
          <w:p w14:paraId="6E6C5A4F" w14:textId="296E2F4E" w:rsidR="00015430" w:rsidRPr="00075572" w:rsidRDefault="00015430" w:rsidP="00075572">
            <w:pPr>
              <w:keepNext/>
              <w:spacing w:before="0" w:after="0"/>
              <w:jc w:val="center"/>
              <w:rPr>
                <w:rFonts w:ascii="Wingdings" w:eastAsia="Times New Roman" w:hAnsi="Wingdings" w:cs="Calibri"/>
                <w:b/>
                <w:bCs/>
                <w:color w:val="FF1452" w:themeColor="accent5"/>
                <w:sz w:val="22"/>
                <w:lang w:eastAsia="en-GB"/>
              </w:rPr>
            </w:pPr>
            <w:r w:rsidRPr="00075572">
              <w:rPr>
                <w:b/>
                <w:bCs/>
                <w:color w:val="FF1452" w:themeColor="accent5"/>
                <w:lang w:eastAsia="en-GB"/>
              </w:rPr>
              <w:t>Yes</w:t>
            </w:r>
          </w:p>
        </w:tc>
      </w:tr>
      <w:tr w:rsidR="00015430" w:rsidRPr="00564D91" w14:paraId="729F295C" w14:textId="4DD16EFA" w:rsidTr="00075572">
        <w:trPr>
          <w:cnfStyle w:val="000000100000" w:firstRow="0" w:lastRow="0" w:firstColumn="0" w:lastColumn="0" w:oddVBand="0" w:evenVBand="0" w:oddHBand="1" w:evenHBand="0" w:firstRowFirstColumn="0" w:firstRowLastColumn="0" w:lastRowFirstColumn="0" w:lastRowLastColumn="0"/>
          <w:trHeight w:val="330"/>
        </w:trPr>
        <w:tc>
          <w:tcPr>
            <w:tcW w:w="2552" w:type="dxa"/>
            <w:noWrap/>
            <w:vAlign w:val="center"/>
            <w:hideMark/>
          </w:tcPr>
          <w:p w14:paraId="60F29844" w14:textId="77777777" w:rsidR="00015430" w:rsidRPr="00564D91" w:rsidRDefault="00015430" w:rsidP="00075572">
            <w:pPr>
              <w:keepNext/>
              <w:spacing w:before="0" w:after="0"/>
              <w:rPr>
                <w:rFonts w:ascii="Blanco" w:eastAsia="Times New Roman" w:hAnsi="Blanco" w:cs="Calibri"/>
                <w:color w:val="000000"/>
                <w:szCs w:val="21"/>
                <w:lang w:eastAsia="en-GB"/>
              </w:rPr>
            </w:pPr>
            <w:r w:rsidRPr="00564D91">
              <w:rPr>
                <w:rFonts w:ascii="Blanco" w:eastAsia="Times New Roman" w:hAnsi="Blanco" w:cs="Calibri"/>
                <w:color w:val="000000"/>
                <w:szCs w:val="21"/>
                <w:lang w:eastAsia="en-GB"/>
              </w:rPr>
              <w:t>Support Coordination</w:t>
            </w:r>
          </w:p>
        </w:tc>
        <w:tc>
          <w:tcPr>
            <w:tcW w:w="857" w:type="dxa"/>
            <w:noWrap/>
            <w:vAlign w:val="center"/>
            <w:hideMark/>
          </w:tcPr>
          <w:p w14:paraId="55C85712" w14:textId="7F23FF57"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4239B61A" w14:textId="0E74FCC7" w:rsidR="00015430" w:rsidRPr="00015430" w:rsidRDefault="00015430" w:rsidP="00075572">
            <w:pPr>
              <w:keepNext/>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01C13CBD" w14:textId="74DF9828"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right w:val="single" w:sz="4" w:space="0" w:color="006EC8" w:themeColor="accent1"/>
            </w:tcBorders>
            <w:vAlign w:val="center"/>
          </w:tcPr>
          <w:p w14:paraId="2162181E" w14:textId="4591213D"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6D43C10D" w14:textId="21F50118" w:rsidR="00015430" w:rsidRPr="00015430" w:rsidRDefault="00015430" w:rsidP="00075572">
            <w:pPr>
              <w:keepNext/>
              <w:spacing w:before="0" w:after="0"/>
              <w:jc w:val="center"/>
              <w:rPr>
                <w:rFonts w:ascii="Wingdings" w:eastAsia="Times New Roman" w:hAnsi="Wingdings" w:cs="Calibri"/>
                <w:sz w:val="22"/>
                <w:lang w:eastAsia="en-GB"/>
              </w:rPr>
            </w:pPr>
            <w:r w:rsidRPr="00015430">
              <w:rPr>
                <w:lang w:eastAsia="en-GB"/>
              </w:rPr>
              <w:t>No</w:t>
            </w:r>
          </w:p>
        </w:tc>
        <w:tc>
          <w:tcPr>
            <w:tcW w:w="858" w:type="dxa"/>
            <w:tcBorders>
              <w:right w:val="single" w:sz="4" w:space="0" w:color="006EC8" w:themeColor="accent1"/>
            </w:tcBorders>
            <w:vAlign w:val="center"/>
          </w:tcPr>
          <w:p w14:paraId="685ED9E3" w14:textId="54C5418F" w:rsidR="00015430" w:rsidRPr="00564D91" w:rsidRDefault="00015430" w:rsidP="00075572">
            <w:pPr>
              <w:keepNext/>
              <w:spacing w:before="0" w:after="0"/>
              <w:jc w:val="center"/>
              <w:rPr>
                <w:rFonts w:ascii="Wingdings" w:eastAsia="Times New Roman" w:hAnsi="Wingdings" w:cs="Calibri"/>
                <w:color w:val="006EC8" w:themeColor="accent1"/>
                <w:sz w:val="22"/>
                <w:lang w:eastAsia="en-GB"/>
              </w:rPr>
            </w:pPr>
            <w:r w:rsidRPr="006E7CC9">
              <w:rPr>
                <w:lang w:eastAsia="en-GB"/>
              </w:rPr>
              <w:t>No</w:t>
            </w:r>
          </w:p>
        </w:tc>
        <w:tc>
          <w:tcPr>
            <w:tcW w:w="857" w:type="dxa"/>
            <w:tcBorders>
              <w:left w:val="single" w:sz="4" w:space="0" w:color="006EC8" w:themeColor="accent1"/>
            </w:tcBorders>
            <w:noWrap/>
            <w:vAlign w:val="center"/>
            <w:hideMark/>
          </w:tcPr>
          <w:p w14:paraId="5B51F7E0" w14:textId="1602F3B5" w:rsidR="00015430" w:rsidRPr="00015430" w:rsidRDefault="00015430" w:rsidP="00075572">
            <w:pPr>
              <w:keepNext/>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vAlign w:val="center"/>
          </w:tcPr>
          <w:p w14:paraId="769B4469" w14:textId="03197C10" w:rsidR="00015430" w:rsidRPr="00075572" w:rsidRDefault="00015430" w:rsidP="00075572">
            <w:pPr>
              <w:keepNext/>
              <w:spacing w:before="0" w:after="0"/>
              <w:jc w:val="center"/>
              <w:rPr>
                <w:rFonts w:ascii="Wingdings" w:eastAsia="Times New Roman" w:hAnsi="Wingdings" w:cs="Calibri"/>
                <w:b/>
                <w:bCs/>
                <w:color w:val="FF1452" w:themeColor="accent5"/>
                <w:sz w:val="22"/>
                <w:lang w:eastAsia="en-GB"/>
              </w:rPr>
            </w:pPr>
            <w:r w:rsidRPr="00075572">
              <w:rPr>
                <w:b/>
                <w:bCs/>
                <w:color w:val="FF1452" w:themeColor="accent5"/>
                <w:lang w:eastAsia="en-GB"/>
              </w:rPr>
              <w:t>Yes</w:t>
            </w:r>
          </w:p>
        </w:tc>
      </w:tr>
      <w:tr w:rsidR="00015430" w:rsidRPr="00564D91" w14:paraId="0E1E3638" w14:textId="3D9C56F2" w:rsidTr="00075572">
        <w:trPr>
          <w:trHeight w:val="330"/>
        </w:trPr>
        <w:tc>
          <w:tcPr>
            <w:tcW w:w="2552" w:type="dxa"/>
            <w:noWrap/>
            <w:vAlign w:val="center"/>
            <w:hideMark/>
          </w:tcPr>
          <w:p w14:paraId="5F029838" w14:textId="77777777" w:rsidR="00015430" w:rsidRPr="00564D91" w:rsidRDefault="00015430" w:rsidP="00075572">
            <w:pPr>
              <w:spacing w:before="0" w:after="0"/>
              <w:rPr>
                <w:rFonts w:ascii="Blanco" w:eastAsia="Times New Roman" w:hAnsi="Blanco" w:cs="Calibri"/>
                <w:color w:val="000000"/>
                <w:szCs w:val="21"/>
                <w:lang w:eastAsia="en-GB"/>
              </w:rPr>
            </w:pPr>
            <w:r>
              <w:rPr>
                <w:rFonts w:ascii="Blanco" w:eastAsia="Times New Roman" w:hAnsi="Blanco" w:cs="Calibri"/>
                <w:color w:val="000000"/>
                <w:szCs w:val="21"/>
                <w:lang w:eastAsia="en-GB"/>
              </w:rPr>
              <w:t>All o</w:t>
            </w:r>
            <w:r w:rsidRPr="00564D91">
              <w:rPr>
                <w:rFonts w:ascii="Blanco" w:eastAsia="Times New Roman" w:hAnsi="Blanco" w:cs="Calibri"/>
                <w:color w:val="000000"/>
                <w:szCs w:val="21"/>
                <w:lang w:eastAsia="en-GB"/>
              </w:rPr>
              <w:t>ther supports</w:t>
            </w:r>
          </w:p>
        </w:tc>
        <w:tc>
          <w:tcPr>
            <w:tcW w:w="857" w:type="dxa"/>
            <w:noWrap/>
            <w:vAlign w:val="center"/>
            <w:hideMark/>
          </w:tcPr>
          <w:p w14:paraId="01968878" w14:textId="79C50433" w:rsidR="00015430" w:rsidRPr="00015430" w:rsidRDefault="00015430" w:rsidP="00075572">
            <w:pPr>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bottom w:val="single" w:sz="4" w:space="0" w:color="006EC8" w:themeColor="accent1"/>
              <w:right w:val="single" w:sz="4" w:space="0" w:color="006EC8" w:themeColor="accent1"/>
            </w:tcBorders>
            <w:vAlign w:val="center"/>
          </w:tcPr>
          <w:p w14:paraId="4E60ABC8" w14:textId="39121C7C" w:rsidR="00015430" w:rsidRPr="00015430" w:rsidRDefault="00015430" w:rsidP="00075572">
            <w:pPr>
              <w:spacing w:before="0" w:after="0"/>
              <w:jc w:val="center"/>
              <w:rPr>
                <w:rFonts w:ascii="Wingdings" w:eastAsia="Times New Roman" w:hAnsi="Wingdings" w:cs="Calibri"/>
                <w:b/>
                <w:bCs/>
                <w:color w:val="FF1452" w:themeColor="accent5"/>
                <w:sz w:val="22"/>
                <w:lang w:eastAsia="en-GB"/>
              </w:rPr>
            </w:pPr>
            <w:r w:rsidRPr="00015430">
              <w:rPr>
                <w:b/>
                <w:bCs/>
                <w:color w:val="FF1452" w:themeColor="accent5"/>
                <w:lang w:eastAsia="en-GB"/>
              </w:rPr>
              <w:t>Yes</w:t>
            </w:r>
          </w:p>
        </w:tc>
        <w:tc>
          <w:tcPr>
            <w:tcW w:w="857" w:type="dxa"/>
            <w:tcBorders>
              <w:left w:val="single" w:sz="4" w:space="0" w:color="006EC8" w:themeColor="accent1"/>
            </w:tcBorders>
            <w:noWrap/>
            <w:vAlign w:val="center"/>
            <w:hideMark/>
          </w:tcPr>
          <w:p w14:paraId="06FE1B32" w14:textId="7EA9BD26" w:rsidR="00015430" w:rsidRPr="00015430" w:rsidRDefault="00015430" w:rsidP="00075572">
            <w:pPr>
              <w:spacing w:before="0" w:after="0"/>
              <w:jc w:val="center"/>
              <w:rPr>
                <w:rFonts w:ascii="Wingdings" w:eastAsia="Times New Roman" w:hAnsi="Wingdings" w:cs="Calibri"/>
                <w:b/>
                <w:bCs/>
                <w:color w:val="006EC8" w:themeColor="accent1"/>
                <w:sz w:val="22"/>
                <w:lang w:eastAsia="en-GB"/>
              </w:rPr>
            </w:pPr>
            <w:r w:rsidRPr="00015430">
              <w:rPr>
                <w:b/>
                <w:bCs/>
                <w:color w:val="006EC8" w:themeColor="accent1"/>
                <w:lang w:eastAsia="en-GB"/>
              </w:rPr>
              <w:t>Yes</w:t>
            </w:r>
          </w:p>
        </w:tc>
        <w:tc>
          <w:tcPr>
            <w:tcW w:w="858" w:type="dxa"/>
            <w:tcBorders>
              <w:bottom w:val="single" w:sz="4" w:space="0" w:color="006EC8" w:themeColor="accent1"/>
              <w:right w:val="single" w:sz="4" w:space="0" w:color="006EC8" w:themeColor="accent1"/>
            </w:tcBorders>
            <w:vAlign w:val="center"/>
          </w:tcPr>
          <w:p w14:paraId="0AE74F7E" w14:textId="634C74F4" w:rsidR="00015430" w:rsidRPr="00564D91" w:rsidRDefault="00015430" w:rsidP="00075572">
            <w:pPr>
              <w:spacing w:before="0" w:after="0"/>
              <w:jc w:val="center"/>
              <w:rPr>
                <w:lang w:eastAsia="en-GB"/>
              </w:rPr>
            </w:pPr>
            <w:r>
              <w:rPr>
                <w:lang w:eastAsia="en-GB"/>
              </w:rPr>
              <w:t>No</w:t>
            </w:r>
          </w:p>
        </w:tc>
        <w:tc>
          <w:tcPr>
            <w:tcW w:w="857" w:type="dxa"/>
            <w:tcBorders>
              <w:left w:val="single" w:sz="4" w:space="0" w:color="006EC8" w:themeColor="accent1"/>
            </w:tcBorders>
            <w:noWrap/>
            <w:vAlign w:val="center"/>
            <w:hideMark/>
          </w:tcPr>
          <w:p w14:paraId="5D65F819" w14:textId="26DB43E5" w:rsidR="00015430" w:rsidRPr="00015430" w:rsidRDefault="00015430" w:rsidP="00075572">
            <w:pPr>
              <w:spacing w:before="0" w:after="0"/>
              <w:jc w:val="center"/>
              <w:rPr>
                <w:rFonts w:ascii="Wingdings" w:eastAsia="Times New Roman" w:hAnsi="Wingdings" w:cs="Calibri"/>
                <w:sz w:val="22"/>
                <w:lang w:eastAsia="en-GB"/>
              </w:rPr>
            </w:pPr>
            <w:r w:rsidRPr="00015430">
              <w:rPr>
                <w:lang w:eastAsia="en-GB"/>
              </w:rPr>
              <w:t>No</w:t>
            </w:r>
          </w:p>
        </w:tc>
        <w:tc>
          <w:tcPr>
            <w:tcW w:w="858" w:type="dxa"/>
            <w:tcBorders>
              <w:bottom w:val="single" w:sz="4" w:space="0" w:color="006EC8" w:themeColor="accent1"/>
              <w:right w:val="single" w:sz="4" w:space="0" w:color="006EC8" w:themeColor="accent1"/>
            </w:tcBorders>
            <w:vAlign w:val="center"/>
          </w:tcPr>
          <w:p w14:paraId="524D0BA6" w14:textId="2E70E2D7" w:rsidR="00015430" w:rsidRPr="00564D91" w:rsidRDefault="00015430" w:rsidP="00075572">
            <w:pPr>
              <w:spacing w:before="0" w:after="0"/>
              <w:jc w:val="center"/>
              <w:rPr>
                <w:rFonts w:ascii="Wingdings" w:eastAsia="Times New Roman" w:hAnsi="Wingdings" w:cs="Calibri"/>
                <w:color w:val="000000"/>
                <w:sz w:val="22"/>
                <w:lang w:eastAsia="en-GB"/>
              </w:rPr>
            </w:pPr>
            <w:r w:rsidRPr="006E7CC9">
              <w:rPr>
                <w:lang w:eastAsia="en-GB"/>
              </w:rPr>
              <w:t>No</w:t>
            </w:r>
          </w:p>
        </w:tc>
        <w:tc>
          <w:tcPr>
            <w:tcW w:w="857" w:type="dxa"/>
            <w:tcBorders>
              <w:left w:val="single" w:sz="4" w:space="0" w:color="006EC8" w:themeColor="accent1"/>
            </w:tcBorders>
            <w:noWrap/>
            <w:vAlign w:val="center"/>
            <w:hideMark/>
          </w:tcPr>
          <w:p w14:paraId="2BEBBF7F" w14:textId="78752E97" w:rsidR="00015430" w:rsidRPr="00015430" w:rsidRDefault="00015430" w:rsidP="00075572">
            <w:pPr>
              <w:spacing w:before="0" w:after="0"/>
              <w:jc w:val="center"/>
              <w:rPr>
                <w:color w:val="006EC8" w:themeColor="accent1"/>
                <w:lang w:eastAsia="en-GB"/>
              </w:rPr>
            </w:pPr>
            <w:r w:rsidRPr="00015430">
              <w:rPr>
                <w:lang w:eastAsia="en-GB"/>
              </w:rPr>
              <w:t>No</w:t>
            </w:r>
          </w:p>
        </w:tc>
        <w:tc>
          <w:tcPr>
            <w:tcW w:w="858" w:type="dxa"/>
            <w:vAlign w:val="center"/>
          </w:tcPr>
          <w:p w14:paraId="31C063D9" w14:textId="51254347" w:rsidR="00015430" w:rsidRPr="00564D91" w:rsidRDefault="00015430" w:rsidP="00075572">
            <w:pPr>
              <w:spacing w:before="0" w:after="0"/>
              <w:jc w:val="center"/>
              <w:rPr>
                <w:lang w:eastAsia="en-GB"/>
              </w:rPr>
            </w:pPr>
            <w:r>
              <w:rPr>
                <w:lang w:eastAsia="en-GB"/>
              </w:rPr>
              <w:t>No</w:t>
            </w:r>
          </w:p>
        </w:tc>
      </w:tr>
    </w:tbl>
    <w:p w14:paraId="7A31403F" w14:textId="4CFD24E0" w:rsidR="002537FC" w:rsidRDefault="002537FC" w:rsidP="005345B7">
      <w:pPr>
        <w:spacing w:before="180"/>
      </w:pPr>
      <w:r w:rsidRPr="00564D91">
        <w:rPr>
          <w:b/>
          <w:bCs/>
        </w:rPr>
        <w:t>Utilisation</w:t>
      </w:r>
      <w:r>
        <w:t xml:space="preserve">: All supports are expected to have increased utilisation of 3.75% for non-SIL </w:t>
      </w:r>
      <w:r w:rsidR="00B26885">
        <w:t xml:space="preserve">participants </w:t>
      </w:r>
      <w:r>
        <w:t xml:space="preserve">and 1.5% for SIL. This difference reflects that </w:t>
      </w:r>
      <w:r w:rsidR="00CA4579">
        <w:t>in the June 2021 quarter</w:t>
      </w:r>
      <w:r w:rsidR="00CA4579" w:rsidDel="00CA4579">
        <w:t xml:space="preserve"> </w:t>
      </w:r>
      <w:r>
        <w:t>SIL utilisation is higher than non-</w:t>
      </w:r>
      <w:r w:rsidRPr="00BE6A48">
        <w:t>SIL (95% vs 7</w:t>
      </w:r>
      <w:r w:rsidR="0037513E">
        <w:t>4</w:t>
      </w:r>
      <w:r w:rsidRPr="00BE6A48">
        <w:t>%</w:t>
      </w:r>
      <w:r w:rsidR="0037513E">
        <w:t xml:space="preserve"> after respreading residential aged care payments</w:t>
      </w:r>
      <w:r w:rsidRPr="00BE6A48">
        <w:t>)</w:t>
      </w:r>
      <w:r>
        <w:t xml:space="preserve"> and hence the superimposed inflation allowance only partly closes this gap. It also means that scope still remains for large increases in non-SIL utilisation. As shown in Figure 37 of the </w:t>
      </w:r>
      <w:r w:rsidR="00243F4C">
        <w:t>2020-21 AFSR</w:t>
      </w:r>
      <w:r>
        <w:t xml:space="preserve">, over the past </w:t>
      </w:r>
      <w:r w:rsidRPr="00BE6A48">
        <w:t>year</w:t>
      </w:r>
      <w:r>
        <w:t xml:space="preserve"> non-SIL utilisation has increased </w:t>
      </w:r>
      <w:r w:rsidR="00636FA6">
        <w:t>by approximately</w:t>
      </w:r>
      <w:r>
        <w:t xml:space="preserve"> 11% compared to 6% for SIL. The growth in non-SIL utilisation is assumed to occur over the next four years only, whereas the SIL growth is spread over a longer time horizon. In total</w:t>
      </w:r>
      <w:r w:rsidR="00B26885">
        <w:t>,</w:t>
      </w:r>
      <w:r>
        <w:t xml:space="preserve"> growth in utilisation represents an </w:t>
      </w:r>
      <w:r w:rsidRPr="009064E0">
        <w:t>increase of 2.7% in payments</w:t>
      </w:r>
      <w:r>
        <w:t xml:space="preserve"> in 2024-25 and 3.1% by 2029-30.</w:t>
      </w:r>
    </w:p>
    <w:p w14:paraId="4B897417" w14:textId="6D440D5E" w:rsidR="002C3E2D" w:rsidRDefault="002537FC" w:rsidP="00D40A30">
      <w:r w:rsidRPr="00B052A8">
        <w:rPr>
          <w:b/>
          <w:bCs/>
        </w:rPr>
        <w:t>Other additional inflation</w:t>
      </w:r>
      <w:r>
        <w:t xml:space="preserve">: This allowance only relates to non-SIL costs and is largely in response to, at least partially, allowing the high rate of cost escalation to continue for the next three years. </w:t>
      </w:r>
      <w:r w:rsidR="00D40A30">
        <w:t xml:space="preserve">As outlined in Section </w:t>
      </w:r>
      <w:r w:rsidR="003A45E0">
        <w:fldChar w:fldCharType="begin"/>
      </w:r>
      <w:r w:rsidR="003A45E0">
        <w:instrText xml:space="preserve"> REF _Ref88220348 \r \h </w:instrText>
      </w:r>
      <w:r w:rsidR="003A45E0">
        <w:fldChar w:fldCharType="separate"/>
      </w:r>
      <w:r w:rsidR="00E6217F">
        <w:t>3.2</w:t>
      </w:r>
      <w:r w:rsidR="003A45E0">
        <w:fldChar w:fldCharType="end"/>
      </w:r>
      <w:r w:rsidR="00D40A30">
        <w:t xml:space="preserve"> this allow</w:t>
      </w:r>
      <w:r w:rsidR="002C3E2D">
        <w:t>s</w:t>
      </w:r>
      <w:r w:rsidR="00D40A30">
        <w:t xml:space="preserve"> for</w:t>
      </w:r>
      <w:r w:rsidR="002C3E2D">
        <w:t>:</w:t>
      </w:r>
    </w:p>
    <w:p w14:paraId="105AA18D" w14:textId="77777777" w:rsidR="002C3E2D" w:rsidRDefault="002C3E2D" w:rsidP="002C3E2D">
      <w:pPr>
        <w:pStyle w:val="Bullet1"/>
      </w:pPr>
      <w:r>
        <w:t>H</w:t>
      </w:r>
      <w:r w:rsidR="00D40A30">
        <w:t>igher than expected price increases</w:t>
      </w:r>
    </w:p>
    <w:p w14:paraId="5FDE8A65" w14:textId="704C0617" w:rsidR="002C3E2D" w:rsidRDefault="002C3E2D" w:rsidP="002C3E2D">
      <w:pPr>
        <w:pStyle w:val="Bullet1"/>
      </w:pPr>
      <w:r>
        <w:t>A shift towards more expensive services</w:t>
      </w:r>
    </w:p>
    <w:p w14:paraId="39AA5817" w14:textId="604F1CD9" w:rsidR="00D40A30" w:rsidRPr="002518D5" w:rsidRDefault="002C3E2D" w:rsidP="002C3E2D">
      <w:pPr>
        <w:pStyle w:val="Bullet1"/>
      </w:pPr>
      <w:r>
        <w:t>Higher volumes of services being purchased. This can arise from:</w:t>
      </w:r>
      <w:r w:rsidR="00D40A30" w:rsidRPr="002518D5">
        <w:t xml:space="preserve"> </w:t>
      </w:r>
    </w:p>
    <w:p w14:paraId="0C91C8C1" w14:textId="57D8DE54" w:rsidR="00D40A30" w:rsidRPr="00625619" w:rsidRDefault="002C3E2D" w:rsidP="002C3E2D">
      <w:pPr>
        <w:pStyle w:val="Bullet2"/>
      </w:pPr>
      <w:r>
        <w:t>Combinations of i</w:t>
      </w:r>
      <w:r w:rsidR="00D40A30">
        <w:t xml:space="preserve">ncreased utilisation </w:t>
      </w:r>
      <w:r>
        <w:t xml:space="preserve">and increases in packages </w:t>
      </w:r>
    </w:p>
    <w:p w14:paraId="47F883CD" w14:textId="77777777" w:rsidR="002C3E2D" w:rsidRDefault="002C3E2D" w:rsidP="002C3E2D">
      <w:pPr>
        <w:pStyle w:val="Bullet2"/>
      </w:pPr>
      <w:r>
        <w:t xml:space="preserve">Participants becoming less </w:t>
      </w:r>
      <w:r w:rsidRPr="00E517E0">
        <w:t>reliant on informal care supports over time</w:t>
      </w:r>
    </w:p>
    <w:p w14:paraId="5E61B8DF" w14:textId="77777777" w:rsidR="00D40A30" w:rsidRPr="00625619" w:rsidRDefault="00D40A30" w:rsidP="002C3E2D">
      <w:pPr>
        <w:pStyle w:val="Bullet2"/>
      </w:pPr>
      <w:r w:rsidRPr="00625619">
        <w:t>Transitions to lower level of functional ability</w:t>
      </w:r>
    </w:p>
    <w:p w14:paraId="6157E0D9" w14:textId="77777777" w:rsidR="00D40A30" w:rsidRDefault="00D40A30" w:rsidP="002C3E2D">
      <w:pPr>
        <w:pStyle w:val="Bullet2"/>
      </w:pPr>
      <w:r w:rsidRPr="00625619">
        <w:t>Duration effects (e.g. people see faster increases in payment levels in their first few reviews)</w:t>
      </w:r>
    </w:p>
    <w:p w14:paraId="4A024F42" w14:textId="520C1844" w:rsidR="00D40A30" w:rsidRDefault="00D40A30" w:rsidP="002C3E2D">
      <w:pPr>
        <w:pStyle w:val="Bullet2"/>
      </w:pPr>
      <w:r w:rsidRPr="00E517E0">
        <w:t>Cross-sectional effects (e.g. people transitioning to different age bands but not taking on the assumed payment levels of that new age band)</w:t>
      </w:r>
    </w:p>
    <w:p w14:paraId="4E7A9FEE" w14:textId="267C740D" w:rsidR="002537FC" w:rsidRDefault="002537FC" w:rsidP="002537FC">
      <w:r>
        <w:t xml:space="preserve">The Scheme Actuary has a total superimposed inflation allowance of 14% and although this could cover a wide range of sources it seems likely that it will mostly relate to growth in some combination of committed supports and utilisation for non-SIL costs. This implies that underlying support volumes </w:t>
      </w:r>
      <w:r w:rsidR="00BF2899">
        <w:t xml:space="preserve">could </w:t>
      </w:r>
      <w:r>
        <w:t xml:space="preserve">increase by </w:t>
      </w:r>
      <w:r w:rsidR="00BF2899">
        <w:t xml:space="preserve">up to </w:t>
      </w:r>
      <w:r>
        <w:t>14% over four years.</w:t>
      </w:r>
    </w:p>
    <w:p w14:paraId="51564ECB" w14:textId="0123E2C8" w:rsidR="002537FC" w:rsidRDefault="002537FC" w:rsidP="002537FC">
      <w:r>
        <w:t>If this superimposed inflation allowance does not end up being volume driven it could be used to meet the cost of unforeseen price increases. However, we note that no such allowance is available for SIL costs.</w:t>
      </w:r>
    </w:p>
    <w:p w14:paraId="58BFB619" w14:textId="43CFA763" w:rsidR="00F23C3C" w:rsidRDefault="00F23C3C" w:rsidP="002537FC">
      <w:r>
        <w:t xml:space="preserve">The overall allowance of 14% for non-SIL costs equates to 10% of total costs, with all of this allowance assumed to occur by 2024-25. Given that this </w:t>
      </w:r>
      <w:r w:rsidRPr="00616AFB">
        <w:t>additional inflation</w:t>
      </w:r>
      <w:r>
        <w:t xml:space="preserve"> is in effect a catch-all bucket, should actual superimposed inflation be less than expected it may be necessary to ascertain if this is a delay in when higher costs may emerge (i.e. push out any ‘savings’ into future payment years) or whether it is a real and sustainable reduction.</w:t>
      </w:r>
    </w:p>
    <w:p w14:paraId="4AEB9A8A" w14:textId="01A5D85C" w:rsidR="002537FC" w:rsidRDefault="002537FC" w:rsidP="002537FC">
      <w:r>
        <w:rPr>
          <w:b/>
          <w:bCs/>
        </w:rPr>
        <w:t xml:space="preserve">Unwind of the TTP: </w:t>
      </w:r>
      <w:r>
        <w:t xml:space="preserve">The temporary </w:t>
      </w:r>
      <w:r w:rsidR="005B0F46">
        <w:t xml:space="preserve">transition </w:t>
      </w:r>
      <w:r>
        <w:t>payment was a 7.5% increase in 2019/20 which has already been reduce to 6% and this reduction will continue for the next four years until it is completely removed. This allowance is easy to measure and seems uncontroversial with limited judgement required. The main risk attached to this, is if some providers have not fully updated their systems and processes by the end of the TTP period and another similar allowance was applied, but this seems to be a relatively small risk.</w:t>
      </w:r>
    </w:p>
    <w:p w14:paraId="4B947CF8" w14:textId="77777777" w:rsidR="002537FC" w:rsidRDefault="002537FC" w:rsidP="002537FC">
      <w:r w:rsidRPr="00AB598D">
        <w:rPr>
          <w:b/>
          <w:bCs/>
        </w:rPr>
        <w:t>Support Specific</w:t>
      </w:r>
      <w:r>
        <w:rPr>
          <w:b/>
          <w:bCs/>
        </w:rPr>
        <w:t xml:space="preserve">: </w:t>
      </w:r>
      <w:r w:rsidRPr="00AB598D">
        <w:t>There</w:t>
      </w:r>
      <w:r>
        <w:t xml:space="preserve"> are a number of other targeted superimposed inflation allowances which includes the following:</w:t>
      </w:r>
    </w:p>
    <w:p w14:paraId="1A8B11F5" w14:textId="77777777" w:rsidR="002537FC" w:rsidRDefault="002537FC" w:rsidP="002537FC">
      <w:pPr>
        <w:pStyle w:val="Bullet1"/>
      </w:pPr>
      <w:r>
        <w:t>Transport: 3.7%</w:t>
      </w:r>
    </w:p>
    <w:p w14:paraId="643CB201" w14:textId="458D6859" w:rsidR="002537FC" w:rsidRDefault="00D53DA6" w:rsidP="002537FC">
      <w:pPr>
        <w:pStyle w:val="Bullet1"/>
      </w:pPr>
      <w:r>
        <w:t>Plan Management</w:t>
      </w:r>
      <w:r w:rsidR="00636FA6">
        <w:t>:</w:t>
      </w:r>
      <w:r w:rsidR="002537FC">
        <w:t xml:space="preserve"> 9.3%</w:t>
      </w:r>
    </w:p>
    <w:p w14:paraId="0785AD94" w14:textId="77777777" w:rsidR="002537FC" w:rsidRDefault="002537FC" w:rsidP="002537FC">
      <w:pPr>
        <w:pStyle w:val="Bullet1"/>
      </w:pPr>
      <w:r>
        <w:t>Employment: 59%</w:t>
      </w:r>
    </w:p>
    <w:p w14:paraId="2E60B8BF" w14:textId="77777777" w:rsidR="002537FC" w:rsidRDefault="002537FC" w:rsidP="002537FC">
      <w:pPr>
        <w:pStyle w:val="Bullet1"/>
      </w:pPr>
      <w:r>
        <w:t>Support coordination: 16%</w:t>
      </w:r>
    </w:p>
    <w:p w14:paraId="4F9C30C8" w14:textId="77777777" w:rsidR="002537FC" w:rsidRDefault="002537FC" w:rsidP="002537FC">
      <w:pPr>
        <w:pStyle w:val="Bullet1"/>
      </w:pPr>
      <w:r>
        <w:t>SDA home modifications for SIL costs only: 33%</w:t>
      </w:r>
    </w:p>
    <w:p w14:paraId="360847BE" w14:textId="456EA8F2" w:rsidR="002537FC" w:rsidRPr="007B43B5" w:rsidRDefault="002537FC" w:rsidP="002537FC">
      <w:r>
        <w:t>Although some of these are very large increases in isolation, they are being applied to smaller support categories which means that they increase overall costs by only 1.4% ($0.5B) in 2024-25 or 1.6% ($0.8B) in 2029-30. Of these amounts about 70% relates to the allowance for support coordination as more people transition to having self-managed plans and high fees for employment services.</w:t>
      </w:r>
      <w:r w:rsidR="00BF2899">
        <w:t xml:space="preserve"> </w:t>
      </w:r>
    </w:p>
    <w:p w14:paraId="76B50AC1" w14:textId="5B9E2938" w:rsidR="002537FC" w:rsidRDefault="002537FC" w:rsidP="002537FC">
      <w:r>
        <w:t xml:space="preserve">The overall impact of the superimposed inflation allowances is to increase payments in 2024-25 by about 13.7% which increases to 14.2% by 2029-30. This is summarised in </w:t>
      </w:r>
      <w:r>
        <w:fldChar w:fldCharType="begin"/>
      </w:r>
      <w:r>
        <w:instrText xml:space="preserve"> REF _Ref86755871 \h </w:instrText>
      </w:r>
      <w:r>
        <w:fldChar w:fldCharType="separate"/>
      </w:r>
      <w:r w:rsidR="00E6217F">
        <w:t xml:space="preserve">Figure </w:t>
      </w:r>
      <w:r w:rsidR="00E6217F">
        <w:rPr>
          <w:noProof/>
        </w:rPr>
        <w:t>4</w:t>
      </w:r>
      <w:r w:rsidR="00E6217F">
        <w:t>.</w:t>
      </w:r>
      <w:r w:rsidR="00E6217F">
        <w:rPr>
          <w:noProof/>
        </w:rPr>
        <w:t>17</w:t>
      </w:r>
      <w:r>
        <w:fldChar w:fldCharType="end"/>
      </w:r>
      <w:r>
        <w:t>.</w:t>
      </w:r>
    </w:p>
    <w:p w14:paraId="1A6A79F0" w14:textId="2E215913" w:rsidR="002537FC" w:rsidRDefault="002537FC" w:rsidP="002537FC">
      <w:pPr>
        <w:pStyle w:val="Caption"/>
      </w:pPr>
      <w:bookmarkStart w:id="175" w:name="_Ref86755871"/>
      <w:r>
        <w:t xml:space="preserve">Figure </w:t>
      </w:r>
      <w:r w:rsidR="009366CE">
        <w:fldChar w:fldCharType="begin"/>
      </w:r>
      <w:r w:rsidR="009366CE">
        <w:instrText xml:space="preserve"> STYLEREF 1 \s </w:instrText>
      </w:r>
      <w:r w:rsidR="009366CE">
        <w:fldChar w:fldCharType="separate"/>
      </w:r>
      <w:r w:rsidR="00E6217F">
        <w:rPr>
          <w:noProof/>
        </w:rPr>
        <w:t>4</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17</w:t>
      </w:r>
      <w:r w:rsidR="009366CE">
        <w:fldChar w:fldCharType="end"/>
      </w:r>
      <w:bookmarkEnd w:id="175"/>
      <w:r>
        <w:t xml:space="preserve"> – Cumulative impact of superimposed inflation on total projected payments</w:t>
      </w:r>
    </w:p>
    <w:p w14:paraId="01D4AE5A" w14:textId="7F9543CF" w:rsidR="002537FC" w:rsidRDefault="002537FC" w:rsidP="002537FC">
      <w:r w:rsidRPr="00937B10">
        <w:rPr>
          <w:noProof/>
        </w:rPr>
        <w:t xml:space="preserve"> </w:t>
      </w:r>
      <w:r w:rsidR="004C7E07" w:rsidRPr="004C7E07">
        <w:rPr>
          <w:noProof/>
        </w:rPr>
        <w:drawing>
          <wp:inline distT="0" distB="0" distL="0" distR="0" wp14:anchorId="1C575CDB" wp14:editId="3ADD5D0B">
            <wp:extent cx="4776826" cy="2585247"/>
            <wp:effectExtent l="0" t="0" r="5080" b="5715"/>
            <wp:docPr id="72" name="Picture 72" descr="2021-2022.&#10;Utilisation. 0.50%.&#10;Other additional inflation. 3.50%.&#10;Unwind of TTP. -0.10%.&#10;Support Specific. 0.50%.&#10;&#10;&#10;2022-2023.&#10;Utilisation. 1.40%.&#10;Other additional inflation. 7.10%.&#10;Unwind of TTP. -0.30%.&#10;Support Specific. 1.20%.&#10;&#10;&#10;2023-2024.&#10;Utilisation. 2.20%.&#10;Other additional inflation. 9.50%.&#10;Unwind of TTP. -0.50%.&#10;Support Specific. 1.40%.&#10;&#10;&#10;2024-2025.&#10;Utilisation. 2.70%.&#10;Other additional inflation. 10.30%.&#10;Unwind of TTP. -0.70%.&#10;Support Specific. 1.40%.&#10;&#10;&#10;2025-2026.&#10;Utilisation. 3.00%.&#10;Other additional inflation. 10.30%.&#10;Unwind of TTP. -0.80%.&#10;Support Specific. 1.50%.&#10;&#10;&#10;2026-2027.&#10;Utilisation. 3.0%.&#10;Other additional inflation. 10.3%.&#10;Unwind of TTP. -0.8%.&#10;Support Specific. 1.5%.&#10;&#10;&#10;2027-2028.&#10;Utilisation. 3.10%.&#10;Other additional inflation. 10.30%.&#10;Unwind of TTP. -0.80%.&#10;Support Specific. 1.50%.&#10;&#10;&#10;2028-2029.&#10;Utilisation. 3.10%.&#10;Other additional inflation. 10.30%.&#10;Unwind of TTP. -0.80%.&#10;Support Specific. 1.50%.&#10;&#10;&#10;2029-2030.&#10;Utilisation. 3.10%.&#10;Other additional inflation. 10.30%.&#10;Unwind of TTP. -0.80%.&#10;Support Specif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2021-2022.&#10;Utilisation. 0.50%.&#10;Other additional inflation. 3.50%.&#10;Unwind of TTP. -0.10%.&#10;Support Specific. 0.50%.&#10;&#10;&#10;2022-2023.&#10;Utilisation. 1.40%.&#10;Other additional inflation. 7.10%.&#10;Unwind of TTP. -0.30%.&#10;Support Specific. 1.20%.&#10;&#10;&#10;2023-2024.&#10;Utilisation. 2.20%.&#10;Other additional inflation. 9.50%.&#10;Unwind of TTP. -0.50%.&#10;Support Specific. 1.40%.&#10;&#10;&#10;2024-2025.&#10;Utilisation. 2.70%.&#10;Other additional inflation. 10.30%.&#10;Unwind of TTP. -0.70%.&#10;Support Specific. 1.40%.&#10;&#10;&#10;2025-2026.&#10;Utilisation. 3.00%.&#10;Other additional inflation. 10.30%.&#10;Unwind of TTP. -0.80%.&#10;Support Specific. 1.50%.&#10;&#10;&#10;2026-2027.&#10;Utilisation. 3.0%.&#10;Other additional inflation. 10.3%.&#10;Unwind of TTP. -0.8%.&#10;Support Specific. 1.5%.&#10;&#10;&#10;2027-2028.&#10;Utilisation. 3.10%.&#10;Other additional inflation. 10.30%.&#10;Unwind of TTP. -0.80%.&#10;Support Specific. 1.50%.&#10;&#10;&#10;2028-2029.&#10;Utilisation. 3.10%.&#10;Other additional inflation. 10.30%.&#10;Unwind of TTP. -0.80%.&#10;Support Specific. 1.50%.&#10;&#10;&#10;2029-2030.&#10;Utilisation. 3.10%.&#10;Other additional inflation. 10.30%.&#10;Unwind of TTP. -0.80%.&#10;Support Specific. 1.60%."/>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4780995" cy="2587503"/>
                    </a:xfrm>
                    <a:prstGeom prst="rect">
                      <a:avLst/>
                    </a:prstGeom>
                    <a:noFill/>
                    <a:ln>
                      <a:noFill/>
                    </a:ln>
                  </pic:spPr>
                </pic:pic>
              </a:graphicData>
            </a:graphic>
          </wp:inline>
        </w:drawing>
      </w:r>
    </w:p>
    <w:p w14:paraId="57317515" w14:textId="785F09B1" w:rsidR="002537FC" w:rsidRDefault="002537FC" w:rsidP="002537FC">
      <w:r w:rsidRPr="00961332">
        <w:t xml:space="preserve">The </w:t>
      </w:r>
      <w:r>
        <w:t>unwinding of the TTP and other support specific allowances are based on relatively well-known changes, while the growth in utilisation and other additional inflation allowances require more judgement. Assuming growth in these last two assumptions based on recent trends would lead to very high projected payments</w:t>
      </w:r>
      <w:r w:rsidR="005B0F46">
        <w:t>,</w:t>
      </w:r>
      <w:r>
        <w:t xml:space="preserve"> and therefore the</w:t>
      </w:r>
      <w:r w:rsidR="005B0F46">
        <w:t xml:space="preserve"> assumptions</w:t>
      </w:r>
      <w:r>
        <w:t xml:space="preserve"> </w:t>
      </w:r>
      <w:r w:rsidR="005B0F46">
        <w:t xml:space="preserve">imply </w:t>
      </w:r>
      <w:r>
        <w:t xml:space="preserve">slower growth in the future. </w:t>
      </w:r>
      <w:r w:rsidR="005B0F46">
        <w:t xml:space="preserve">Having some degree of lower growth is </w:t>
      </w:r>
      <w:r>
        <w:t>reasonable, noting that there are a wide range of plausible assumptions.</w:t>
      </w:r>
    </w:p>
    <w:p w14:paraId="1F657DED" w14:textId="3F25E009" w:rsidR="002537FC" w:rsidRDefault="002537FC" w:rsidP="002537FC">
      <w:r>
        <w:t xml:space="preserve">As shown in </w:t>
      </w:r>
      <w:r>
        <w:fldChar w:fldCharType="begin"/>
      </w:r>
      <w:r>
        <w:instrText xml:space="preserve"> REF _Ref86755871 \h </w:instrText>
      </w:r>
      <w:r>
        <w:fldChar w:fldCharType="separate"/>
      </w:r>
      <w:r w:rsidR="00E6217F">
        <w:t xml:space="preserve">Figure </w:t>
      </w:r>
      <w:r w:rsidR="00E6217F">
        <w:rPr>
          <w:noProof/>
        </w:rPr>
        <w:t>4</w:t>
      </w:r>
      <w:r w:rsidR="00E6217F">
        <w:t>.</w:t>
      </w:r>
      <w:r w:rsidR="00E6217F">
        <w:rPr>
          <w:noProof/>
        </w:rPr>
        <w:t>17</w:t>
      </w:r>
      <w:r>
        <w:fldChar w:fldCharType="end"/>
      </w:r>
      <w:r w:rsidR="00362B5C">
        <w:t xml:space="preserve">, </w:t>
      </w:r>
      <w:r>
        <w:t xml:space="preserve">almost all of the superimposed inflation is assumed to occur by 2024-25 with minimal amounts assumed over the subsequent five years. While we recognise there is a high degree of uncertainty, </w:t>
      </w:r>
      <w:r w:rsidR="00612C2A">
        <w:t xml:space="preserve">but </w:t>
      </w:r>
      <w:r w:rsidR="00612C2A" w:rsidRPr="00612C2A">
        <w:t>In our opinion, it would take considerable operational effectiveness to avoid superimposed inflation from 2025 through to 2030</w:t>
      </w:r>
      <w:r>
        <w:t xml:space="preserve"> – so one interpretation of the current allowances is that some initiatives are implicitly assumed to occur during this period. The type of superimposed inflation risks from 2026 onwards could relate to general increases in plans or utilisation, or the cost or use of specific support services, similar to those driving the ‘support specific’ increases over the next two years.</w:t>
      </w:r>
    </w:p>
    <w:p w14:paraId="1126D364" w14:textId="130C8DA0" w:rsidR="002C3E2D" w:rsidRDefault="002C3E2D" w:rsidP="002537FC"/>
    <w:p w14:paraId="19F64838" w14:textId="3E2DABC0" w:rsidR="002C3E2D" w:rsidRPr="00D40A30" w:rsidRDefault="002C3E2D" w:rsidP="002C3E2D">
      <w:pPr>
        <w:rPr>
          <w:color w:val="006EC8" w:themeColor="accent1"/>
        </w:rPr>
      </w:pPr>
      <w:r w:rsidRPr="00D40A30">
        <w:rPr>
          <w:color w:val="006EC8" w:themeColor="accent1"/>
        </w:rPr>
        <w:t xml:space="preserve">Scenario Testing: </w:t>
      </w:r>
      <w:r>
        <w:rPr>
          <w:color w:val="006EC8" w:themeColor="accent1"/>
        </w:rPr>
        <w:t>Implied levels of utilisation</w:t>
      </w:r>
      <w:r w:rsidR="0037513E">
        <w:rPr>
          <w:color w:val="006EC8" w:themeColor="accent1"/>
        </w:rPr>
        <w:t xml:space="preserve"> </w:t>
      </w:r>
    </w:p>
    <w:p w14:paraId="5BEF011D" w14:textId="414AC50A" w:rsidR="00F23C3C" w:rsidRDefault="00CF7887" w:rsidP="005E3A08">
      <w:r>
        <w:fldChar w:fldCharType="begin"/>
      </w:r>
      <w:r>
        <w:instrText xml:space="preserve"> REF _Ref88144361 \h </w:instrText>
      </w:r>
      <w:r>
        <w:fldChar w:fldCharType="separate"/>
      </w:r>
      <w:r w:rsidR="00E6217F">
        <w:t xml:space="preserve">Figure </w:t>
      </w:r>
      <w:r w:rsidR="00E6217F">
        <w:rPr>
          <w:noProof/>
        </w:rPr>
        <w:t>4</w:t>
      </w:r>
      <w:r w:rsidR="00E6217F">
        <w:t>.</w:t>
      </w:r>
      <w:r w:rsidR="00E6217F">
        <w:rPr>
          <w:noProof/>
        </w:rPr>
        <w:t>18</w:t>
      </w:r>
      <w:r>
        <w:fldChar w:fldCharType="end"/>
      </w:r>
      <w:r>
        <w:t xml:space="preserve"> shows that over the past year </w:t>
      </w:r>
      <w:r w:rsidR="0037513E">
        <w:t>non-SIL utilisation has increased, and after respreading the cost of residential aged care, we calculate th</w:t>
      </w:r>
      <w:r w:rsidR="00104CC0">
        <w:t>at</w:t>
      </w:r>
      <w:r w:rsidR="0037513E">
        <w:t xml:space="preserve"> in the June 2021 quarter utilisation was 74%. For SIL participants it was 95%.</w:t>
      </w:r>
    </w:p>
    <w:p w14:paraId="09A06895" w14:textId="71FA26C2" w:rsidR="00F23C3C" w:rsidRDefault="00F23C3C" w:rsidP="00ED2326">
      <w:pPr>
        <w:pStyle w:val="Caption"/>
      </w:pPr>
      <w:bookmarkStart w:id="176" w:name="_Ref88144361"/>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18</w:t>
      </w:r>
      <w:r>
        <w:fldChar w:fldCharType="end"/>
      </w:r>
      <w:bookmarkEnd w:id="176"/>
      <w:r>
        <w:t xml:space="preserve"> – Historical utilisation</w:t>
      </w:r>
    </w:p>
    <w:p w14:paraId="0D4427E5" w14:textId="3BE4345F" w:rsidR="00ED2326" w:rsidRDefault="00ED2326" w:rsidP="005E3A08">
      <w:r>
        <w:rPr>
          <w:noProof/>
        </w:rPr>
        <w:drawing>
          <wp:inline distT="0" distB="0" distL="0" distR="0" wp14:anchorId="6720ED24" wp14:editId="557E5BB7">
            <wp:extent cx="5976620" cy="2065655"/>
            <wp:effectExtent l="0" t="0" r="5080" b="0"/>
            <wp:docPr id="146" name="Graphic 146" descr="Non-SIL participants&#10;&#10;June 2017.&#10;Average Payment. 5,427. &#10;Average Plan. 9,137. &#10;Utilisation. 59%. &#10;Utilisation RAC Adjusted. -.&#10;&#10;&#10;September 2017.&#10;Average Payment. 5,320. &#10;Average Plan. 9,046. &#10;Utilisation. 59%. &#10;Utilisation RAC Adjusted. -.&#10;&#10;&#10;December 2017.&#10;Average Payment. 5,383. &#10;Average Plan. 9,830. &#10;Utilisation. 55%. &#10;Utilisation RAC Adjusted. -.&#10;&#10;&#10;March 2018.&#10;Average Payment. 5,475. &#10;Average Plan. 9,932. &#10;Utilisation. 55%. &#10;Utilisation RAC Adjusted. -.&#10;&#10;&#10;June 2018.&#10;Average Payment. 6,054. &#10;Average Plan. 10,043. &#10;Utilisation. 60%. &#10;Utilisation RAC Adjusted. -.&#10;&#10;&#10;September 2018.&#10;Average Payment. 6,038. &#10;Average Plan. 10,456. &#10;Utilisation. 58%. &#10;Utilisation RAC Adjusted. -.&#10;&#10;&#10;December 2018.&#10;Average Payment. 6,256. &#10;Average Plan. 10,750. &#10;Utilisation. 58%. &#10;Utilisation RAC Adjusted. -.&#10;&#10;&#10;March 2019.&#10;Average Payment. 6,103. &#10;Average Plan. 10,914. &#10;Utilisation. 56%. &#10;Utilisation RAC Adjusted. -.&#10;&#10;&#10;June 2019.&#10;Average Payment. 6,868. &#10;Average Plan. 11,801. &#10;Utilisation. 58%. &#10;Utilisation RAC Adjusted. -.&#10;&#10;&#10;September 2019.&#10;Average Payment. 8,066. &#10;Average Plan. 12,122. &#10;Utilisation. 67%. &#10;Utilisation RAC Adjusted. -.&#10;&#10;&#10;December 2019.&#10;Average Payment. 7,899. &#10;Average Plan. 12,392. &#10;Utilisation. 64%. &#10;Utilisation RAC Adjusted. -.&#10;&#10;&#10;March 2020.&#10;Average Payment. 7,734. &#10;Average Plan. 13,040. &#10;Utilisation. 59%. &#10;Utilisation RAC Adjusted. -.&#10;&#10;&#10;June 2020.&#10;Average Payment. 8,341. &#10;Average Plan. 13,821. &#10;Utilisation. 60%. &#10;Utilisation RAC Adjusted. -.&#10;&#10;&#10;September 2020.&#10;Average Payment. 8,892. &#10;Average Plan. 14,148. &#10;Utilisation. 63%. &#10;Utilisation RAC Adjusted. -.&#10;&#10;&#10;December 2020.&#10;Average Payment. 8,803. &#10;Average Plan. 14,090. &#10;Utilisation. 62%. &#10;Utilisation RAC Adjusted. 64%.&#10;&#10;&#10;March 2021.&#10;Average Payment. 8,962. &#10;Average Plan. 13,480. &#10;Utilisation. 66%. &#10;Utilisation RAC Adjusted. 69%.&#10;&#10;&#10;June 2021.&#10;Average Payment. 10,315. &#10;Average Plan. 13,262. &#10;Utilisation. 78%. &#10;Utilisation RAC Adjusted. 74%.&#10;&#10;SIL participants&#10;&#10;June 2017.&#10;Average Payment. 55,408. &#10;Average Plan. 55,601. &#10;Utilisation. 100%. &#10;&#10;September 2017.&#10;Average Payment. 39,625. &#10;Average Plan. 50,977. &#10;Utilisation. 78%. &#10;&#10;December 2017.&#10;Average Payment. 45,903. &#10;Average Plan. 58,023. &#10;Utilisation. 79%. &#10;&#10;March 2018.&#10;Average Payment. 52,223. &#10;Average Plan. 59,611. &#10;Utilisation. 88%. &#10;&#10;June 2018.&#10;Average Payment. 55,007. &#10;Average Plan. 63,542. &#10;Utilisation. 87%. &#10;&#10;September 2018.&#10;Average Payment. 51,373. &#10;Average Plan. 63,895. &#10;Utilisation. 80%. &#10;&#10;December 2018.&#10;Average Payment. 51,660. &#10;Average Plan. 63,038. &#10;Utilisation. 82%. &#10;&#10;March 2019.&#10;Average Payment. 55,458. &#10;Average Plan. 66,022. &#10;Utilisation. 84%. &#10;&#10;June 2019.&#10;Average Payment. 61,520. &#10;Average Plan. 74,402. &#10;Utilisation. 83%. &#10;&#10;September 2019.&#10;Average Payment. 64,680. &#10;Average Plan. 76,943. &#10;Utilisation. 84%. &#10;&#10;December 2019.&#10;Average Payment. 69,945. &#10;Average Plan. 82,581. &#10;Utilisation. 85%. &#10;&#10;March 2020.&#10;Average Payment. 73,456. &#10;Average Plan. 86,806. &#10;Utilisation. 85%. &#10;&#10;June 2020.&#10;Average Payment. 79,484. &#10;Average Plan. 88,969. &#10;Utilisation. 89%. &#10;&#10;September 2020.&#10;Average Payment. 77,855. &#10;Average Plan. 90,571. &#10;Utilisation. 86%. &#10;&#10;December 2020.&#10;Average Payment. 75,071. &#10;Average Plan. 89,108. &#10;Utilisation. 84%. &#10;&#10;March 2021.&#10;Average Payment. 79,971. &#10;Average Plan. 86,775. &#10;Utilisation. 92%. &#10;&#10;June 2021.&#10;Average Payment. 82,204. &#10;Average Plan. 87,565. &#10;Utilisatio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Graphic 146" descr="Non-SIL participants&#10;&#10;June 2017.&#10;Average Payment. 5,427. &#10;Average Plan. 9,137. &#10;Utilisation. 59%. &#10;Utilisation RAC Adjusted. -.&#10;&#10;&#10;September 2017.&#10;Average Payment. 5,320. &#10;Average Plan. 9,046. &#10;Utilisation. 59%. &#10;Utilisation RAC Adjusted. -.&#10;&#10;&#10;December 2017.&#10;Average Payment. 5,383. &#10;Average Plan. 9,830. &#10;Utilisation. 55%. &#10;Utilisation RAC Adjusted. -.&#10;&#10;&#10;March 2018.&#10;Average Payment. 5,475. &#10;Average Plan. 9,932. &#10;Utilisation. 55%. &#10;Utilisation RAC Adjusted. -.&#10;&#10;&#10;June 2018.&#10;Average Payment. 6,054. &#10;Average Plan. 10,043. &#10;Utilisation. 60%. &#10;Utilisation RAC Adjusted. -.&#10;&#10;&#10;September 2018.&#10;Average Payment. 6,038. &#10;Average Plan. 10,456. &#10;Utilisation. 58%. &#10;Utilisation RAC Adjusted. -.&#10;&#10;&#10;December 2018.&#10;Average Payment. 6,256. &#10;Average Plan. 10,750. &#10;Utilisation. 58%. &#10;Utilisation RAC Adjusted. -.&#10;&#10;&#10;March 2019.&#10;Average Payment. 6,103. &#10;Average Plan. 10,914. &#10;Utilisation. 56%. &#10;Utilisation RAC Adjusted. -.&#10;&#10;&#10;June 2019.&#10;Average Payment. 6,868. &#10;Average Plan. 11,801. &#10;Utilisation. 58%. &#10;Utilisation RAC Adjusted. -.&#10;&#10;&#10;September 2019.&#10;Average Payment. 8,066. &#10;Average Plan. 12,122. &#10;Utilisation. 67%. &#10;Utilisation RAC Adjusted. -.&#10;&#10;&#10;December 2019.&#10;Average Payment. 7,899. &#10;Average Plan. 12,392. &#10;Utilisation. 64%. &#10;Utilisation RAC Adjusted. -.&#10;&#10;&#10;March 2020.&#10;Average Payment. 7,734. &#10;Average Plan. 13,040. &#10;Utilisation. 59%. &#10;Utilisation RAC Adjusted. -.&#10;&#10;&#10;June 2020.&#10;Average Payment. 8,341. &#10;Average Plan. 13,821. &#10;Utilisation. 60%. &#10;Utilisation RAC Adjusted. -.&#10;&#10;&#10;September 2020.&#10;Average Payment. 8,892. &#10;Average Plan. 14,148. &#10;Utilisation. 63%. &#10;Utilisation RAC Adjusted. -.&#10;&#10;&#10;December 2020.&#10;Average Payment. 8,803. &#10;Average Plan. 14,090. &#10;Utilisation. 62%. &#10;Utilisation RAC Adjusted. 64%.&#10;&#10;&#10;March 2021.&#10;Average Payment. 8,962. &#10;Average Plan. 13,480. &#10;Utilisation. 66%. &#10;Utilisation RAC Adjusted. 69%.&#10;&#10;&#10;June 2021.&#10;Average Payment. 10,315. &#10;Average Plan. 13,262. &#10;Utilisation. 78%. &#10;Utilisation RAC Adjusted. 74%.&#10;&#10;SIL participants&#10;&#10;June 2017.&#10;Average Payment. 55,408. &#10;Average Plan. 55,601. &#10;Utilisation. 100%. &#10;&#10;September 2017.&#10;Average Payment. 39,625. &#10;Average Plan. 50,977. &#10;Utilisation. 78%. &#10;&#10;December 2017.&#10;Average Payment. 45,903. &#10;Average Plan. 58,023. &#10;Utilisation. 79%. &#10;&#10;March 2018.&#10;Average Payment. 52,223. &#10;Average Plan. 59,611. &#10;Utilisation. 88%. &#10;&#10;June 2018.&#10;Average Payment. 55,007. &#10;Average Plan. 63,542. &#10;Utilisation. 87%. &#10;&#10;September 2018.&#10;Average Payment. 51,373. &#10;Average Plan. 63,895. &#10;Utilisation. 80%. &#10;&#10;December 2018.&#10;Average Payment. 51,660. &#10;Average Plan. 63,038. &#10;Utilisation. 82%. &#10;&#10;March 2019.&#10;Average Payment. 55,458. &#10;Average Plan. 66,022. &#10;Utilisation. 84%. &#10;&#10;June 2019.&#10;Average Payment. 61,520. &#10;Average Plan. 74,402. &#10;Utilisation. 83%. &#10;&#10;September 2019.&#10;Average Payment. 64,680. &#10;Average Plan. 76,943. &#10;Utilisation. 84%. &#10;&#10;December 2019.&#10;Average Payment. 69,945. &#10;Average Plan. 82,581. &#10;Utilisation. 85%. &#10;&#10;March 2020.&#10;Average Payment. 73,456. &#10;Average Plan. 86,806. &#10;Utilisation. 85%. &#10;&#10;June 2020.&#10;Average Payment. 79,484. &#10;Average Plan. 88,969. &#10;Utilisation. 89%. &#10;&#10;September 2020.&#10;Average Payment. 77,855. &#10;Average Plan. 90,571. &#10;Utilisation. 86%. &#10;&#10;December 2020.&#10;Average Payment. 75,071. &#10;Average Plan. 89,108. &#10;Utilisation. 84%. &#10;&#10;March 2021.&#10;Average Payment. 79,971. &#10;Average Plan. 86,775. &#10;Utilisation. 92%. &#10;&#10;June 2021.&#10;Average Payment. 82,204. &#10;Average Plan. 87,565. &#10;Utilisation. 94%."/>
                    <pic:cNvPicPr/>
                  </pic:nvPicPr>
                  <pic:blipFill>
                    <a:blip r:embed="rId81" cstate="print">
                      <a:extLst>
                        <a:ext uri="{28A0092B-C50C-407E-A947-70E740481C1C}">
                          <a14:useLocalDpi xmlns:a14="http://schemas.microsoft.com/office/drawing/2010/main"/>
                        </a:ext>
                        <a:ext uri="{96DAC541-7B7A-43D3-8B79-37D633B846F1}">
                          <asvg:svgBlip xmlns:asvg="http://schemas.microsoft.com/office/drawing/2016/SVG/main" r:embed="rId82"/>
                        </a:ext>
                      </a:extLst>
                    </a:blip>
                    <a:stretch>
                      <a:fillRect/>
                    </a:stretch>
                  </pic:blipFill>
                  <pic:spPr>
                    <a:xfrm>
                      <a:off x="0" y="0"/>
                      <a:ext cx="5976620" cy="2065655"/>
                    </a:xfrm>
                    <a:prstGeom prst="rect">
                      <a:avLst/>
                    </a:prstGeom>
                  </pic:spPr>
                </pic:pic>
              </a:graphicData>
            </a:graphic>
          </wp:inline>
        </w:drawing>
      </w:r>
    </w:p>
    <w:p w14:paraId="3CB9E765" w14:textId="0B3F7133" w:rsidR="00A70124" w:rsidRDefault="00A70124" w:rsidP="005E3A08">
      <w:r w:rsidRPr="00A70124">
        <w:rPr>
          <w:noProof/>
        </w:rPr>
        <w:drawing>
          <wp:inline distT="0" distB="0" distL="0" distR="0" wp14:anchorId="1BE67318" wp14:editId="2A058029">
            <wp:extent cx="5976000" cy="1992000"/>
            <wp:effectExtent l="0" t="0" r="5715" b="8255"/>
            <wp:docPr id="32" name="Graphic 32" descr="Non-SIL participants&#10;&#10;June 2017.&#10;Average Payment. 5,427. &#10;Average Plan. 9,137. &#10;Utilisation. 59%. &#10;Utilisation RAC Adjusted. -.&#10;&#10;&#10;September 2017.&#10;Average Payment. 5,320. &#10;Average Plan. 9,046. &#10;Utilisation. 59%. &#10;Utilisation RAC Adjusted. -.&#10;&#10;&#10;December 2017.&#10;Average Payment. 5,383. &#10;Average Plan. 9,830. &#10;Utilisation. 55%. &#10;Utilisation RAC Adjusted. -.&#10;&#10;&#10;March 2018.&#10;Average Payment. 5,475. &#10;Average Plan. 9,932. &#10;Utilisation. 55%. &#10;Utilisation RAC Adjusted. -.&#10;&#10;&#10;June 2018.&#10;Average Payment. 6,054. &#10;Average Plan. 10,043. &#10;Utilisation. 60%. &#10;Utilisation RAC Adjusted. -.&#10;&#10;&#10;September 2018.&#10;Average Payment. 6,038. &#10;Average Plan. 10,456. &#10;Utilisation. 58%. &#10;Utilisation RAC Adjusted. -.&#10;&#10;&#10;December 2018.&#10;Average Payment. 6,256. &#10;Average Plan. 10,750. &#10;Utilisation. 58%. &#10;Utilisation RAC Adjusted. -.&#10;&#10;&#10;March 2019.&#10;Average Payment. 6,103. &#10;Average Plan. 10,914. &#10;Utilisation. 56%. &#10;Utilisation RAC Adjusted. -.&#10;&#10;&#10;June 2019.&#10;Average Payment. 6,868. &#10;Average Plan. 11,801. &#10;Utilisation. 58%. &#10;Utilisation RAC Adjusted. -.&#10;&#10;&#10;September 2019.&#10;Average Payment. 8,066. &#10;Average Plan. 12,122. &#10;Utilisation. 67%. &#10;Utilisation RAC Adjusted. -.&#10;&#10;&#10;December 2019.&#10;Average Payment. 7,899. &#10;Average Plan. 12,392. &#10;Utilisation. 64%. &#10;Utilisation RAC Adjusted. -.&#10;&#10;&#10;March 2020.&#10;Average Payment. 7,734. &#10;Average Plan. 13,040. &#10;Utilisation. 59%. &#10;Utilisation RAC Adjusted. -.&#10;&#10;&#10;June 2020.&#10;Average Payment. 8,341. &#10;Average Plan. 13,821. &#10;Utilisation. 60%. &#10;Utilisation RAC Adjusted. -.&#10;&#10;&#10;September 2020.&#10;Average Payment. 8,892. &#10;Average Plan. 14,148. &#10;Utilisation. 63%. &#10;Utilisation RAC Adjusted. -.&#10;&#10;&#10;December 2020.&#10;Average Payment. 8,803. &#10;Average Plan. 14,090. &#10;Utilisation. 62%. &#10;Utilisation RAC Adjusted. 64%.&#10;&#10;&#10;March 2021.&#10;Average Payment. 8,962. &#10;Average Plan. 13,480. &#10;Utilisation. 66%. &#10;Utilisation RAC Adjusted. 69%.&#10;&#10;&#10;June 2021.&#10;Average Payment. 10,315. &#10;Average Plan. 13,262. &#10;Utilisation. 78%. &#10;Utilisation RAC Adjusted. 74%.&#10;&#10;SIL participants&#10;&#10;June 2017.&#10;Average Payment. 55,408. &#10;Average Plan. 55,601. &#10;Utilisation. 100%. &#10;&#10;September 2017.&#10;Average Payment. 39,625. &#10;Average Plan. 50,977. &#10;Utilisation. 78%. &#10;&#10;December 2017.&#10;Average Payment. 45,903. &#10;Average Plan. 58,023. &#10;Utilisation. 79%. &#10;&#10;March 2018.&#10;Average Payment. 52,223. &#10;Average Plan. 59,611. &#10;Utilisation. 88%. &#10;&#10;June 2018.&#10;Average Payment. 55,007. &#10;Average Plan. 63,542. &#10;Utilisation. 87%. &#10;&#10;September 2018.&#10;Average Payment. 51,373. &#10;Average Plan. 63,895. &#10;Utilisation. 80%. &#10;&#10;December 2018.&#10;Average Payment. 51,660. &#10;Average Plan. 63,038. &#10;Utilisation. 82%. &#10;&#10;March 2019.&#10;Average Payment. 55,458. &#10;Average Plan. 66,022. &#10;Utilisation. 84%. &#10;&#10;June 2019.&#10;Average Payment. 61,520. &#10;Average Plan. 74,402. &#10;Utilisation. 83%. &#10;&#10;September 2019.&#10;Average Payment. 64,680. &#10;Average Plan. 76,943. &#10;Utilisation. 84%. &#10;&#10;December 2019.&#10;Average Payment. 69,945. &#10;Average Plan. 82,581. &#10;Utilisation. 85%. &#10;&#10;March 2020.&#10;Average Payment. 73,456. &#10;Average Plan. 86,806. &#10;Utilisation. 85%. &#10;&#10;June 2020.&#10;Average Payment. 79,484. &#10;Average Plan. 88,969. &#10;Utilisation. 89%. &#10;&#10;September 2020.&#10;Average Payment. 77,855. &#10;Average Plan. 90,571. &#10;Utilisation. 86%. &#10;&#10;December 2020.&#10;Average Payment. 75,071. &#10;Average Plan. 89,108. &#10;Utilisation. 84%. &#10;&#10;March 2021.&#10;Average Payment. 79,971. &#10;Average Plan. 86,775. &#10;Utilisation. 92%. &#10;&#10;June 2021.&#10;Average Payment. 82,204. &#10;Average Plan. 87,565. &#10;Utilisatio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Non-SIL participants&#10;&#10;June 2017.&#10;Average Payment. 5,427. &#10;Average Plan. 9,137. &#10;Utilisation. 59%. &#10;Utilisation RAC Adjusted. -.&#10;&#10;&#10;September 2017.&#10;Average Payment. 5,320. &#10;Average Plan. 9,046. &#10;Utilisation. 59%. &#10;Utilisation RAC Adjusted. -.&#10;&#10;&#10;December 2017.&#10;Average Payment. 5,383. &#10;Average Plan. 9,830. &#10;Utilisation. 55%. &#10;Utilisation RAC Adjusted. -.&#10;&#10;&#10;March 2018.&#10;Average Payment. 5,475. &#10;Average Plan. 9,932. &#10;Utilisation. 55%. &#10;Utilisation RAC Adjusted. -.&#10;&#10;&#10;June 2018.&#10;Average Payment. 6,054. &#10;Average Plan. 10,043. &#10;Utilisation. 60%. &#10;Utilisation RAC Adjusted. -.&#10;&#10;&#10;September 2018.&#10;Average Payment. 6,038. &#10;Average Plan. 10,456. &#10;Utilisation. 58%. &#10;Utilisation RAC Adjusted. -.&#10;&#10;&#10;December 2018.&#10;Average Payment. 6,256. &#10;Average Plan. 10,750. &#10;Utilisation. 58%. &#10;Utilisation RAC Adjusted. -.&#10;&#10;&#10;March 2019.&#10;Average Payment. 6,103. &#10;Average Plan. 10,914. &#10;Utilisation. 56%. &#10;Utilisation RAC Adjusted. -.&#10;&#10;&#10;June 2019.&#10;Average Payment. 6,868. &#10;Average Plan. 11,801. &#10;Utilisation. 58%. &#10;Utilisation RAC Adjusted. -.&#10;&#10;&#10;September 2019.&#10;Average Payment. 8,066. &#10;Average Plan. 12,122. &#10;Utilisation. 67%. &#10;Utilisation RAC Adjusted. -.&#10;&#10;&#10;December 2019.&#10;Average Payment. 7,899. &#10;Average Plan. 12,392. &#10;Utilisation. 64%. &#10;Utilisation RAC Adjusted. -.&#10;&#10;&#10;March 2020.&#10;Average Payment. 7,734. &#10;Average Plan. 13,040. &#10;Utilisation. 59%. &#10;Utilisation RAC Adjusted. -.&#10;&#10;&#10;June 2020.&#10;Average Payment. 8,341. &#10;Average Plan. 13,821. &#10;Utilisation. 60%. &#10;Utilisation RAC Adjusted. -.&#10;&#10;&#10;September 2020.&#10;Average Payment. 8,892. &#10;Average Plan. 14,148. &#10;Utilisation. 63%. &#10;Utilisation RAC Adjusted. -.&#10;&#10;&#10;December 2020.&#10;Average Payment. 8,803. &#10;Average Plan. 14,090. &#10;Utilisation. 62%. &#10;Utilisation RAC Adjusted. 64%.&#10;&#10;&#10;March 2021.&#10;Average Payment. 8,962. &#10;Average Plan. 13,480. &#10;Utilisation. 66%. &#10;Utilisation RAC Adjusted. 69%.&#10;&#10;&#10;June 2021.&#10;Average Payment. 10,315. &#10;Average Plan. 13,262. &#10;Utilisation. 78%. &#10;Utilisation RAC Adjusted. 74%.&#10;&#10;SIL participants&#10;&#10;June 2017.&#10;Average Payment. 55,408. &#10;Average Plan. 55,601. &#10;Utilisation. 100%. &#10;&#10;September 2017.&#10;Average Payment. 39,625. &#10;Average Plan. 50,977. &#10;Utilisation. 78%. &#10;&#10;December 2017.&#10;Average Payment. 45,903. &#10;Average Plan. 58,023. &#10;Utilisation. 79%. &#10;&#10;March 2018.&#10;Average Payment. 52,223. &#10;Average Plan. 59,611. &#10;Utilisation. 88%. &#10;&#10;June 2018.&#10;Average Payment. 55,007. &#10;Average Plan. 63,542. &#10;Utilisation. 87%. &#10;&#10;September 2018.&#10;Average Payment. 51,373. &#10;Average Plan. 63,895. &#10;Utilisation. 80%. &#10;&#10;December 2018.&#10;Average Payment. 51,660. &#10;Average Plan. 63,038. &#10;Utilisation. 82%. &#10;&#10;March 2019.&#10;Average Payment. 55,458. &#10;Average Plan. 66,022. &#10;Utilisation. 84%. &#10;&#10;June 2019.&#10;Average Payment. 61,520. &#10;Average Plan. 74,402. &#10;Utilisation. 83%. &#10;&#10;September 2019.&#10;Average Payment. 64,680. &#10;Average Plan. 76,943. &#10;Utilisation. 84%. &#10;&#10;December 2019.&#10;Average Payment. 69,945. &#10;Average Plan. 82,581. &#10;Utilisation. 85%. &#10;&#10;March 2020.&#10;Average Payment. 73,456. &#10;Average Plan. 86,806. &#10;Utilisation. 85%. &#10;&#10;June 2020.&#10;Average Payment. 79,484. &#10;Average Plan. 88,969. &#10;Utilisation. 89%. &#10;&#10;September 2020.&#10;Average Payment. 77,855. &#10;Average Plan. 90,571. &#10;Utilisation. 86%. &#10;&#10;December 2020.&#10;Average Payment. 75,071. &#10;Average Plan. 89,108. &#10;Utilisation. 84%. &#10;&#10;March 2021.&#10;Average Payment. 79,971. &#10;Average Plan. 86,775. &#10;Utilisation. 92%. &#10;&#10;June 2021.&#10;Average Payment. 82,204. &#10;Average Plan. 87,565. &#10;Utilisation. 94%."/>
                    <pic:cNvPicPr/>
                  </pic:nvPicPr>
                  <pic:blipFill>
                    <a:blip r:embed="rId83">
                      <a:extLst>
                        <a:ext uri="{96DAC541-7B7A-43D3-8B79-37D633B846F1}">
                          <asvg:svgBlip xmlns:asvg="http://schemas.microsoft.com/office/drawing/2016/SVG/main" r:embed="rId84"/>
                        </a:ext>
                      </a:extLst>
                    </a:blip>
                    <a:stretch>
                      <a:fillRect/>
                    </a:stretch>
                  </pic:blipFill>
                  <pic:spPr>
                    <a:xfrm>
                      <a:off x="0" y="0"/>
                      <a:ext cx="5976000" cy="1992000"/>
                    </a:xfrm>
                    <a:prstGeom prst="rect">
                      <a:avLst/>
                    </a:prstGeom>
                  </pic:spPr>
                </pic:pic>
              </a:graphicData>
            </a:graphic>
          </wp:inline>
        </w:drawing>
      </w:r>
    </w:p>
    <w:p w14:paraId="1258DAD6" w14:textId="7D18D62A" w:rsidR="005E3A08" w:rsidRDefault="005E3A08" w:rsidP="005E3A08">
      <w:r>
        <w:t xml:space="preserve">For non-SIL costs one can make a judgement as to the likely theoretical maximum level </w:t>
      </w:r>
      <w:r w:rsidR="00BF2899">
        <w:t xml:space="preserve">which </w:t>
      </w:r>
      <w:r>
        <w:t xml:space="preserve">utilisation may reach. To test the reasonableness of the projections, we have assessed the upper bound for utilisation implied in the projections which can be measured against </w:t>
      </w:r>
      <w:r w:rsidR="0037513E">
        <w:t xml:space="preserve">what one presumes </w:t>
      </w:r>
      <w:r>
        <w:t>the theoretical maximum</w:t>
      </w:r>
      <w:r w:rsidR="0037513E">
        <w:t xml:space="preserve"> to be</w:t>
      </w:r>
      <w:r>
        <w:t>. If the upper bound is below the theoretical maximum</w:t>
      </w:r>
      <w:r w:rsidR="0037513E">
        <w:t>,</w:t>
      </w:r>
      <w:r>
        <w:t xml:space="preserve"> it prov</w:t>
      </w:r>
      <w:r w:rsidR="00393B24">
        <w:t>id</w:t>
      </w:r>
      <w:r>
        <w:t>es one check that the projected payments are not unreasonably high.</w:t>
      </w:r>
    </w:p>
    <w:p w14:paraId="34266163" w14:textId="16E3CB3A" w:rsidR="002C3E2D" w:rsidRDefault="002C3E2D" w:rsidP="002C3E2D">
      <w:r>
        <w:t xml:space="preserve">In </w:t>
      </w:r>
      <w:r w:rsidR="003273CC">
        <w:t xml:space="preserve">order to test the </w:t>
      </w:r>
      <w:r w:rsidR="005E3A08">
        <w:t xml:space="preserve">upper bound </w:t>
      </w:r>
      <w:r w:rsidR="003273CC">
        <w:t xml:space="preserve">levels of utilisation implied </w:t>
      </w:r>
      <w:r w:rsidR="00393B24">
        <w:t xml:space="preserve">in the projections </w:t>
      </w:r>
      <w:r>
        <w:t>we assume that:</w:t>
      </w:r>
    </w:p>
    <w:p w14:paraId="02469104" w14:textId="77777777" w:rsidR="002C3E2D" w:rsidRDefault="002C3E2D" w:rsidP="002C3E2D">
      <w:pPr>
        <w:pStyle w:val="Bullet1"/>
      </w:pPr>
      <w:r>
        <w:t>future payments are consistent with the AFSR projections</w:t>
      </w:r>
    </w:p>
    <w:p w14:paraId="183D4FA2" w14:textId="039F8AE6" w:rsidR="002C3E2D" w:rsidRDefault="002C3E2D" w:rsidP="002C3E2D">
      <w:pPr>
        <w:pStyle w:val="Bullet1"/>
      </w:pPr>
      <w:r>
        <w:t>price increase</w:t>
      </w:r>
      <w:r w:rsidR="00104CC0">
        <w:t>s</w:t>
      </w:r>
      <w:r>
        <w:t xml:space="preserve"> are </w:t>
      </w:r>
      <w:r w:rsidR="00953202">
        <w:t>as per</w:t>
      </w:r>
      <w:r>
        <w:t xml:space="preserve"> </w:t>
      </w:r>
      <w:r w:rsidR="00953202">
        <w:t xml:space="preserve">Section </w:t>
      </w:r>
      <w:r w:rsidR="00953202">
        <w:fldChar w:fldCharType="begin"/>
      </w:r>
      <w:r w:rsidR="00953202">
        <w:instrText xml:space="preserve"> REF _Ref87547830 \r \h </w:instrText>
      </w:r>
      <w:r w:rsidR="00953202">
        <w:fldChar w:fldCharType="separate"/>
      </w:r>
      <w:r w:rsidR="00E6217F">
        <w:t>4.6.1</w:t>
      </w:r>
      <w:r w:rsidR="00953202">
        <w:fldChar w:fldCharType="end"/>
      </w:r>
      <w:r>
        <w:t xml:space="preserve"> </w:t>
      </w:r>
    </w:p>
    <w:p w14:paraId="66631A8B" w14:textId="18C23330" w:rsidR="00953202" w:rsidRPr="00953202" w:rsidRDefault="00953202" w:rsidP="00953202">
      <w:pPr>
        <w:pStyle w:val="Bullet1"/>
      </w:pPr>
      <w:r>
        <w:t>age-related changes in support cost</w:t>
      </w:r>
      <w:r w:rsidR="00104CC0">
        <w:t>s</w:t>
      </w:r>
      <w:r>
        <w:t xml:space="preserve"> match the projection model assumptions</w:t>
      </w:r>
    </w:p>
    <w:p w14:paraId="32B4542E" w14:textId="6EAA2F6F" w:rsidR="00953202" w:rsidRDefault="00953202" w:rsidP="00953202">
      <w:pPr>
        <w:pStyle w:val="Bullet1"/>
      </w:pPr>
      <w:r>
        <w:t>the unwind of the TTP and support specific cost increases match their superimposed inflation allowances</w:t>
      </w:r>
    </w:p>
    <w:p w14:paraId="7C5A70C8" w14:textId="7F41D3EF" w:rsidR="00953202" w:rsidRPr="00953202" w:rsidRDefault="00953202" w:rsidP="00953202">
      <w:pPr>
        <w:pStyle w:val="Bullet1"/>
      </w:pPr>
      <w:r>
        <w:t xml:space="preserve">there are no other changes to functional levels, no duration effects etc </w:t>
      </w:r>
    </w:p>
    <w:p w14:paraId="6E402F7C" w14:textId="5D5226E8" w:rsidR="005E3A08" w:rsidRDefault="00953202" w:rsidP="002C3E2D">
      <w:r>
        <w:t>In making these assumptions it means that the only reason why payments will increase is from a combination of higher packages and utilisation</w:t>
      </w:r>
      <w:r w:rsidR="005E3A08">
        <w:t>. This</w:t>
      </w:r>
      <w:r w:rsidR="003273CC">
        <w:t xml:space="preserve"> effectively </w:t>
      </w:r>
      <w:r w:rsidR="005E3A08">
        <w:t xml:space="preserve">means </w:t>
      </w:r>
      <w:r w:rsidR="003273CC">
        <w:t>that the superimposed inflation allowances for ‘utilisation’ and ‘o</w:t>
      </w:r>
      <w:r w:rsidR="003273CC" w:rsidRPr="00BE6A48">
        <w:t>ther additional inflation</w:t>
      </w:r>
      <w:r w:rsidR="003273CC">
        <w:t>’ will be used to meet the growth in support volumes</w:t>
      </w:r>
      <w:r>
        <w:t xml:space="preserve">. </w:t>
      </w:r>
    </w:p>
    <w:p w14:paraId="0B304524" w14:textId="1511206C" w:rsidR="00953202" w:rsidRDefault="00393B24" w:rsidP="002C3E2D">
      <w:r>
        <w:t>On</w:t>
      </w:r>
      <w:r w:rsidR="00953202">
        <w:t xml:space="preserve"> this basis, </w:t>
      </w:r>
      <w:r>
        <w:fldChar w:fldCharType="begin"/>
      </w:r>
      <w:r>
        <w:instrText xml:space="preserve"> REF _Ref88146238 \h </w:instrText>
      </w:r>
      <w:r>
        <w:fldChar w:fldCharType="separate"/>
      </w:r>
      <w:r w:rsidR="00E6217F">
        <w:t xml:space="preserve">Figure </w:t>
      </w:r>
      <w:r w:rsidR="00E6217F">
        <w:rPr>
          <w:noProof/>
        </w:rPr>
        <w:t>4</w:t>
      </w:r>
      <w:r w:rsidR="00E6217F">
        <w:t>.</w:t>
      </w:r>
      <w:r w:rsidR="00E6217F">
        <w:rPr>
          <w:noProof/>
        </w:rPr>
        <w:t>19</w:t>
      </w:r>
      <w:r>
        <w:fldChar w:fldCharType="end"/>
      </w:r>
      <w:r>
        <w:t xml:space="preserve"> </w:t>
      </w:r>
      <w:r w:rsidR="002C3E2D">
        <w:t>show</w:t>
      </w:r>
      <w:r w:rsidR="00953202">
        <w:t xml:space="preserve">s the implied utilisation from three scenarios </w:t>
      </w:r>
      <w:r w:rsidR="003273CC">
        <w:t xml:space="preserve">with different levels of </w:t>
      </w:r>
      <w:r w:rsidR="00953202">
        <w:t xml:space="preserve">increase </w:t>
      </w:r>
      <w:r w:rsidR="003273CC">
        <w:t>to</w:t>
      </w:r>
      <w:r w:rsidR="00953202">
        <w:t xml:space="preserve"> average packages</w:t>
      </w:r>
      <w:r w:rsidR="003273CC">
        <w:t xml:space="preserve">, noting that projected payments are the same </w:t>
      </w:r>
      <w:r w:rsidR="00104CC0">
        <w:t xml:space="preserve">as the AFSR projections </w:t>
      </w:r>
      <w:r w:rsidR="003273CC">
        <w:t>in all three scenarios</w:t>
      </w:r>
      <w:r w:rsidR="00953202">
        <w:t>.</w:t>
      </w:r>
      <w:r w:rsidR="002C3E2D">
        <w:t xml:space="preserve"> </w:t>
      </w:r>
    </w:p>
    <w:p w14:paraId="1B17ECA9" w14:textId="5EF313EE" w:rsidR="002C3E2D" w:rsidRDefault="002C3E2D" w:rsidP="002C3E2D">
      <w:pPr>
        <w:pStyle w:val="Caption"/>
      </w:pPr>
      <w:bookmarkStart w:id="177" w:name="_Ref88146238"/>
      <w:r>
        <w:t xml:space="preserve">Figure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Figure \* ARABIC \s 1 </w:instrText>
      </w:r>
      <w:r>
        <w:fldChar w:fldCharType="separate"/>
      </w:r>
      <w:r w:rsidR="00E6217F">
        <w:rPr>
          <w:noProof/>
        </w:rPr>
        <w:t>19</w:t>
      </w:r>
      <w:r>
        <w:fldChar w:fldCharType="end"/>
      </w:r>
      <w:bookmarkEnd w:id="177"/>
      <w:r>
        <w:t xml:space="preserve"> – Projected utilisation based on growth in committed support scenarios</w:t>
      </w:r>
    </w:p>
    <w:p w14:paraId="7FDEC544" w14:textId="1FACCDAF" w:rsidR="002C3E2D" w:rsidRDefault="00523C11" w:rsidP="002C3E2D">
      <w:r>
        <w:rPr>
          <w:noProof/>
        </w:rPr>
        <w:drawing>
          <wp:inline distT="0" distB="0" distL="0" distR="0" wp14:anchorId="435B6CA5" wp14:editId="72408430">
            <wp:extent cx="5976620" cy="3556635"/>
            <wp:effectExtent l="0" t="0" r="5080" b="5715"/>
            <wp:docPr id="8" name="Graphic 8" descr="2020-2021.&#10;Non-SIL: Plan growth 0% p.a. Implied utilisation rate. 74%.&#10;Non-SIL: Plan growth 1% p.a. 74%.&#10;Non-SIL: Plan growth 2% p.a. 74%.&#10;SIL: Plan growth 0% p.a. 95%.&#10;SIL: Plan growth 1% p.a. 95%.&#10;SIL: Plan growth 2% p.a. 95%.&#10;&#10;&#10;2021-2022.&#10;Non-SIL: Plan growth 0% p.a. 81%.&#10;Non-SIL: Plan growth 1% p.a. 80%.&#10;Non-SIL: Plan growth 2% p.a. 79%.&#10;SIL: Plan growth 0% p.a. 95%.&#10;SIL: Plan growth 1% p.a. 94%.&#10;SIL: Plan growth 2% p.a. 93%.&#10;&#10;&#10;2022-2023.&#10;Non-SIL: Plan growth 0% p.a. 85%.&#10;Non-SIL: Plan growth 1% p.a. 83%.&#10;Non-SIL: Plan growth 2% p.a. 82%.&#10;SIL: Plan growth 0% p.a. 95%.&#10;SIL: Plan growth 1% p.a. 94%.&#10;SIL: Plan growth 2% p.a. 92%.&#10;&#10;&#10;2023-2024.&#10;Non-SIL: Plan growth 0% p.a. 87%.&#10;Non-SIL: Plan growth 1% p.a. 85%.&#10;Non-SIL: Plan growth 2% p.a. 82%.&#10;SIL: Plan growth 0% p.a. 96%.&#10;SIL: Plan growth 1% p.a. 93%.&#10;SIL: Plan growth 2% p.a. 90%.&#10;&#10;&#10;2024-2025.&#10;Non-SIL: Plan growth 0% p.a. 88%.&#10;Non-SIL: Plan growth 1% p.a. 84%.&#10;Non-SIL: Plan growth 2% p.a. 81%.&#10;SIL: Plan growth 0% p.a. 96%.&#10;SIL: Plan growth 1% p.a. 92%.&#10;SIL: Plan growth 2% p.a. 89%.&#10;&#10;&#10;2025-2026.&#10;Non-SIL: Plan growth 0% p.a. 88%.&#10;Non-SIL: Plan growth 1% p.a. 84%.&#10;Non-SIL: Plan growth 2% p.a. 80%.&#10;SIL: Plan growth 0% p.a. 96%.&#10;SIL: Plan growth 1% p.a. 91%.&#10;SIL: Plan growth 2% p.a. 87%.&#10;&#10;&#10;2026-2027.&#10;Non-SIL: Plan growth 0% p.a. 88%.&#10;Non-SIL: Plan growth 1% p.a. 83%.&#10;Non-SIL: Plan growth 2% p.a. 78%.&#10;SIL: Plan growth 0% p.a. 96%.&#10;SIL: Plan growth 1% p.a. 91%.&#10;SIL: Plan growth 2% p.a. 85%.&#10;&#10;&#10;2027-2028.&#10;Non-SIL: Plan growth 0% p.a. 88%.&#10;Non-SIL: Plan growth 1% p.a. 82%.&#10;Non-SIL: Plan growth 2% p.a. 77%.&#10;SIL: Plan growth 0% p.a. 96%.&#10;SIL: Plan growth 1% p.a. 90%.&#10;SIL: Plan growth 2% p.a. 84%.&#10;&#10;&#10;2028-2029.&#10;Non-SIL: Plan growth 0% p.a. 88%.&#10;Non-SIL: Plan growth 1% p.a. 81%.&#10;Non-SIL: Plan growth 2% p.a. 75%.&#10;SIL: Plan growth 0% p.a. 96%.&#10;SIL: Plan growth 1% p.a. 89%.&#10;SIL: Plan growth 2% p.a. 82%.&#10;&#10;&#10;2029-2030.&#10;Non-SIL: Plan growth 0% p.a. 88%.&#10;Non-SIL: Plan growth 1% p.a. 80%.&#10;Non-SIL: Plan growth 2% p.a. 74%.&#10;SIL: Plan growth 0% p.a. 96%.&#10;SIL: Plan growth 1% p.a. 88%.&#10;SIL: Plan growth 2% p.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2020-2021.&#10;Non-SIL: Plan growth 0% p.a. Implied utilisation rate. 74%.&#10;Non-SIL: Plan growth 1% p.a. 74%.&#10;Non-SIL: Plan growth 2% p.a. 74%.&#10;SIL: Plan growth 0% p.a. 95%.&#10;SIL: Plan growth 1% p.a. 95%.&#10;SIL: Plan growth 2% p.a. 95%.&#10;&#10;&#10;2021-2022.&#10;Non-SIL: Plan growth 0% p.a. 81%.&#10;Non-SIL: Plan growth 1% p.a. 80%.&#10;Non-SIL: Plan growth 2% p.a. 79%.&#10;SIL: Plan growth 0% p.a. 95%.&#10;SIL: Plan growth 1% p.a. 94%.&#10;SIL: Plan growth 2% p.a. 93%.&#10;&#10;&#10;2022-2023.&#10;Non-SIL: Plan growth 0% p.a. 85%.&#10;Non-SIL: Plan growth 1% p.a. 83%.&#10;Non-SIL: Plan growth 2% p.a. 82%.&#10;SIL: Plan growth 0% p.a. 95%.&#10;SIL: Plan growth 1% p.a. 94%.&#10;SIL: Plan growth 2% p.a. 92%.&#10;&#10;&#10;2023-2024.&#10;Non-SIL: Plan growth 0% p.a. 87%.&#10;Non-SIL: Plan growth 1% p.a. 85%.&#10;Non-SIL: Plan growth 2% p.a. 82%.&#10;SIL: Plan growth 0% p.a. 96%.&#10;SIL: Plan growth 1% p.a. 93%.&#10;SIL: Plan growth 2% p.a. 90%.&#10;&#10;&#10;2024-2025.&#10;Non-SIL: Plan growth 0% p.a. 88%.&#10;Non-SIL: Plan growth 1% p.a. 84%.&#10;Non-SIL: Plan growth 2% p.a. 81%.&#10;SIL: Plan growth 0% p.a. 96%.&#10;SIL: Plan growth 1% p.a. 92%.&#10;SIL: Plan growth 2% p.a. 89%.&#10;&#10;&#10;2025-2026.&#10;Non-SIL: Plan growth 0% p.a. 88%.&#10;Non-SIL: Plan growth 1% p.a. 84%.&#10;Non-SIL: Plan growth 2% p.a. 80%.&#10;SIL: Plan growth 0% p.a. 96%.&#10;SIL: Plan growth 1% p.a. 91%.&#10;SIL: Plan growth 2% p.a. 87%.&#10;&#10;&#10;2026-2027.&#10;Non-SIL: Plan growth 0% p.a. 88%.&#10;Non-SIL: Plan growth 1% p.a. 83%.&#10;Non-SIL: Plan growth 2% p.a. 78%.&#10;SIL: Plan growth 0% p.a. 96%.&#10;SIL: Plan growth 1% p.a. 91%.&#10;SIL: Plan growth 2% p.a. 85%.&#10;&#10;&#10;2027-2028.&#10;Non-SIL: Plan growth 0% p.a. 88%.&#10;Non-SIL: Plan growth 1% p.a. 82%.&#10;Non-SIL: Plan growth 2% p.a. 77%.&#10;SIL: Plan growth 0% p.a. 96%.&#10;SIL: Plan growth 1% p.a. 90%.&#10;SIL: Plan growth 2% p.a. 84%.&#10;&#10;&#10;2028-2029.&#10;Non-SIL: Plan growth 0% p.a. 88%.&#10;Non-SIL: Plan growth 1% p.a. 81%.&#10;Non-SIL: Plan growth 2% p.a. 75%.&#10;SIL: Plan growth 0% p.a. 96%.&#10;SIL: Plan growth 1% p.a. 89%.&#10;SIL: Plan growth 2% p.a. 82%.&#10;&#10;&#10;2029-2030.&#10;Non-SIL: Plan growth 0% p.a. 88%.&#10;Non-SIL: Plan growth 1% p.a. 80%.&#10;Non-SIL: Plan growth 2% p.a. 74%.&#10;SIL: Plan growth 0% p.a. 96%.&#10;SIL: Plan growth 1% p.a. 88%.&#10;SIL: Plan growth 2% p.a. 81%."/>
                    <pic:cNvPicPr/>
                  </pic:nvPicPr>
                  <pic:blipFill>
                    <a:blip r:embed="rId85">
                      <a:extLst>
                        <a:ext uri="{96DAC541-7B7A-43D3-8B79-37D633B846F1}">
                          <asvg:svgBlip xmlns:asvg="http://schemas.microsoft.com/office/drawing/2016/SVG/main" r:embed="rId86"/>
                        </a:ext>
                      </a:extLst>
                    </a:blip>
                    <a:stretch>
                      <a:fillRect/>
                    </a:stretch>
                  </pic:blipFill>
                  <pic:spPr>
                    <a:xfrm>
                      <a:off x="0" y="0"/>
                      <a:ext cx="5976620" cy="3556635"/>
                    </a:xfrm>
                    <a:prstGeom prst="rect">
                      <a:avLst/>
                    </a:prstGeom>
                  </pic:spPr>
                </pic:pic>
              </a:graphicData>
            </a:graphic>
          </wp:inline>
        </w:drawing>
      </w:r>
    </w:p>
    <w:p w14:paraId="0715B19C" w14:textId="3582D97A" w:rsidR="003273CC" w:rsidRDefault="003273CC" w:rsidP="002C3E2D">
      <w:r>
        <w:t xml:space="preserve">If committed supports remain stable, then the model implies utilisation from 2024-25 onwards of </w:t>
      </w:r>
      <w:r w:rsidR="0037513E">
        <w:t>86</w:t>
      </w:r>
      <w:r>
        <w:t>% for non-SIL and 96% for SIL participants.</w:t>
      </w:r>
      <w:r w:rsidR="00393B24">
        <w:t xml:space="preserve"> Although we do not have a view as to what the theoretical maximum level of utilisation may be, having an upper bound for non-SIL utilisation of 8</w:t>
      </w:r>
      <w:r w:rsidR="000A4AB7">
        <w:t>8</w:t>
      </w:r>
      <w:r w:rsidR="00393B24">
        <w:t>% does not appear to be unreasonably high.</w:t>
      </w:r>
      <w:r w:rsidR="000A4AB7">
        <w:t xml:space="preserve"> </w:t>
      </w:r>
      <w:r w:rsidR="003C41B1">
        <w:t xml:space="preserve">If one thought that utilisation would not exceed 85%, then </w:t>
      </w:r>
      <w:r w:rsidR="00963BE7">
        <w:t xml:space="preserve">in this case it </w:t>
      </w:r>
      <w:r w:rsidR="003C41B1">
        <w:t>this would mean that projected non-SIL payments could be overstated by a maximum of 3 percentage points, equivalent to $1.0</w:t>
      </w:r>
      <w:r w:rsidR="00963BE7">
        <w:t>B in 2024-25 and $1.4B in 2029-30.</w:t>
      </w:r>
    </w:p>
    <w:p w14:paraId="4DAE9321" w14:textId="4F03FA51" w:rsidR="003273CC" w:rsidRDefault="003273CC" w:rsidP="002C3E2D">
      <w:r>
        <w:t xml:space="preserve">If non-SIL packages increased by 1% p.a. then the higher plans would mean that utilisation in 2029-30 would drop to </w:t>
      </w:r>
      <w:r w:rsidR="003C41B1">
        <w:t>80</w:t>
      </w:r>
      <w:r>
        <w:t>%, leaving greater scope for subsequent utilisation growth and potentially higher payments. This demonstrates the importance of monitoring and containing aggregate growth in committed supports for a sustained period and the implications if this cannot be achieved.</w:t>
      </w:r>
    </w:p>
    <w:p w14:paraId="088A0645" w14:textId="6FF4E9E8" w:rsidR="00A520C9" w:rsidRDefault="00F2245F" w:rsidP="00F2245F">
      <w:pPr>
        <w:pStyle w:val="Heading2"/>
      </w:pPr>
      <w:bookmarkStart w:id="178" w:name="_Toc88220300"/>
      <w:bookmarkStart w:id="179" w:name="_Toc87700476"/>
      <w:bookmarkStart w:id="180" w:name="_Toc88686128"/>
      <w:bookmarkEnd w:id="178"/>
      <w:r>
        <w:t xml:space="preserve">Other assumptions </w:t>
      </w:r>
      <w:r w:rsidR="0022029D">
        <w:t>that we have reviewed</w:t>
      </w:r>
      <w:bookmarkEnd w:id="179"/>
      <w:bookmarkEnd w:id="180"/>
    </w:p>
    <w:p w14:paraId="3983F2EB" w14:textId="7D10816C" w:rsidR="00F2245F" w:rsidRPr="00F2245F" w:rsidRDefault="00F2245F" w:rsidP="00376E9C">
      <w:pPr>
        <w:pStyle w:val="NNheading3alt2"/>
      </w:pPr>
      <w:r>
        <w:t>Mortality assumptions</w:t>
      </w:r>
    </w:p>
    <w:p w14:paraId="06FAFD4E" w14:textId="0A53D228" w:rsidR="00F2245F" w:rsidRDefault="00F2245F" w:rsidP="001275CA">
      <w:r>
        <w:t>People with disabilities have higher mortality rate</w:t>
      </w:r>
      <w:r w:rsidR="00023142">
        <w:t>s</w:t>
      </w:r>
      <w:r>
        <w:t xml:space="preserve"> than the average population. The model allows for this by applying a mortality multiplier to the base population</w:t>
      </w:r>
      <w:r w:rsidR="00A666E0">
        <w:t>-</w:t>
      </w:r>
      <w:r>
        <w:t>wide mortality rates (Australian Life Tables 16-18). The mortality multiplier varies by age, gender, disability groups and functional levels to capture the differences in mortality experience between the various sub-cohorts. For example, the average mortality relativity for a participant with other neurological disabilities is 23.5 times that of an average Australian.</w:t>
      </w:r>
    </w:p>
    <w:p w14:paraId="227DFCCC" w14:textId="4D33008C" w:rsidR="00F2245F" w:rsidRDefault="00F2245F" w:rsidP="00BC1B17">
      <w:r>
        <w:t xml:space="preserve">While the applied relativities are </w:t>
      </w:r>
      <w:r w:rsidR="00023142">
        <w:t xml:space="preserve">mostly </w:t>
      </w:r>
      <w:r>
        <w:t>unsmoothed</w:t>
      </w:r>
      <w:r w:rsidR="00E40FD7">
        <w:t>, the approach to mortality and the</w:t>
      </w:r>
      <w:r>
        <w:t xml:space="preserve"> </w:t>
      </w:r>
      <w:r w:rsidR="00E40FD7">
        <w:t>aggregate</w:t>
      </w:r>
      <w:r>
        <w:t xml:space="preserve"> mortality assumptions seem reasonable. Experience has broadly been in line with assumptions set in the </w:t>
      </w:r>
      <w:r w:rsidR="00D320CF">
        <w:t>2018-19 AFSR</w:t>
      </w:r>
      <w:r w:rsidR="00E40FD7">
        <w:t>, as shown in the table below</w:t>
      </w:r>
      <w:r>
        <w:t xml:space="preserve">. In the two years to June 2021, overall mortality rates </w:t>
      </w:r>
      <w:r w:rsidR="00023142">
        <w:t>were</w:t>
      </w:r>
      <w:r>
        <w:t xml:space="preserve"> 8% lower than expected compared to projections from the </w:t>
      </w:r>
      <w:r w:rsidR="00D320CF">
        <w:t>2018-19 AFSR</w:t>
      </w:r>
      <w:r>
        <w:t xml:space="preserve">. The largest contributors are lower than expected deaths for participants with Intellectual Disability or Other Neurological disability. Some of this </w:t>
      </w:r>
      <w:r w:rsidR="00E40FD7">
        <w:t xml:space="preserve">difference </w:t>
      </w:r>
      <w:r>
        <w:t xml:space="preserve">has been reflected in the latest assumptions. </w:t>
      </w:r>
    </w:p>
    <w:p w14:paraId="5657F2A1" w14:textId="217BDF17" w:rsidR="00F2245F" w:rsidRDefault="00F2245F" w:rsidP="00F2245F">
      <w:pPr>
        <w:pStyle w:val="Caption"/>
      </w:pPr>
      <w:r>
        <w:t xml:space="preserve">Table </w:t>
      </w:r>
      <w:r>
        <w:fldChar w:fldCharType="begin"/>
      </w:r>
      <w:r>
        <w:instrText xml:space="preserve"> STYLEREF 1 \s </w:instrText>
      </w:r>
      <w:r>
        <w:fldChar w:fldCharType="separate"/>
      </w:r>
      <w:r w:rsidR="00E6217F">
        <w:rPr>
          <w:noProof/>
        </w:rPr>
        <w:t>4</w:t>
      </w:r>
      <w:r>
        <w:fldChar w:fldCharType="end"/>
      </w:r>
      <w:r>
        <w:t>.</w:t>
      </w:r>
      <w:r>
        <w:fldChar w:fldCharType="begin"/>
      </w:r>
      <w:r>
        <w:instrText xml:space="preserve"> SEQ Table \* ARABIC \s 1 </w:instrText>
      </w:r>
      <w:r>
        <w:fldChar w:fldCharType="separate"/>
      </w:r>
      <w:r w:rsidR="00E6217F">
        <w:rPr>
          <w:noProof/>
        </w:rPr>
        <w:t>6</w:t>
      </w:r>
      <w:r>
        <w:fldChar w:fldCharType="end"/>
      </w:r>
      <w:r>
        <w:t xml:space="preserve"> – Comparison of actual and expected mortality over the past two years</w:t>
      </w:r>
    </w:p>
    <w:tbl>
      <w:tblPr>
        <w:tblStyle w:val="TFBlue"/>
        <w:tblW w:w="0" w:type="auto"/>
        <w:tblLook w:val="06A0" w:firstRow="1" w:lastRow="0" w:firstColumn="1" w:lastColumn="0" w:noHBand="1" w:noVBand="1"/>
      </w:tblPr>
      <w:tblGrid>
        <w:gridCol w:w="2358"/>
        <w:gridCol w:w="1753"/>
        <w:gridCol w:w="1417"/>
        <w:gridCol w:w="992"/>
      </w:tblGrid>
      <w:tr w:rsidR="00F2245F" w14:paraId="0CB0669E" w14:textId="77777777" w:rsidTr="00F30F13">
        <w:trPr>
          <w:cnfStyle w:val="100000000000" w:firstRow="1" w:lastRow="0" w:firstColumn="0" w:lastColumn="0" w:oddVBand="0" w:evenVBand="0" w:oddHBand="0" w:evenHBand="0" w:firstRowFirstColumn="0" w:firstRowLastColumn="0" w:lastRowFirstColumn="0" w:lastRowLastColumn="0"/>
        </w:trPr>
        <w:tc>
          <w:tcPr>
            <w:tcW w:w="2358" w:type="dxa"/>
            <w:vAlign w:val="top"/>
          </w:tcPr>
          <w:p w14:paraId="0703E023" w14:textId="77777777" w:rsidR="00F2245F" w:rsidRDefault="00F2245F" w:rsidP="00F30F13">
            <w:r>
              <w:t>Year</w:t>
            </w:r>
          </w:p>
        </w:tc>
        <w:tc>
          <w:tcPr>
            <w:tcW w:w="1753" w:type="dxa"/>
            <w:vAlign w:val="top"/>
          </w:tcPr>
          <w:p w14:paraId="4CD19FCD" w14:textId="77777777" w:rsidR="00F30F13" w:rsidRDefault="00F2245F" w:rsidP="00F30F13">
            <w:pPr>
              <w:contextualSpacing/>
              <w:jc w:val="center"/>
              <w:rPr>
                <w:b w:val="0"/>
              </w:rPr>
            </w:pPr>
            <w:r>
              <w:t>Expected</w:t>
            </w:r>
          </w:p>
          <w:p w14:paraId="3ABA436E" w14:textId="4C2BF137" w:rsidR="00F2245F" w:rsidRDefault="00F2245F" w:rsidP="00F30F13">
            <w:pPr>
              <w:contextualSpacing/>
              <w:jc w:val="center"/>
            </w:pPr>
            <w:r>
              <w:t>(</w:t>
            </w:r>
            <w:r w:rsidR="00D320CF">
              <w:t>2018-19 AFSR</w:t>
            </w:r>
            <w:r>
              <w:t>)</w:t>
            </w:r>
          </w:p>
        </w:tc>
        <w:tc>
          <w:tcPr>
            <w:tcW w:w="1417" w:type="dxa"/>
            <w:vAlign w:val="top"/>
          </w:tcPr>
          <w:p w14:paraId="16B9ACF4" w14:textId="77777777" w:rsidR="00F2245F" w:rsidRDefault="00F2245F" w:rsidP="00F30F13">
            <w:pPr>
              <w:jc w:val="center"/>
            </w:pPr>
            <w:r>
              <w:t>Actual</w:t>
            </w:r>
          </w:p>
        </w:tc>
        <w:tc>
          <w:tcPr>
            <w:tcW w:w="992" w:type="dxa"/>
            <w:vAlign w:val="top"/>
          </w:tcPr>
          <w:p w14:paraId="6C2CC5E2" w14:textId="77777777" w:rsidR="00F2245F" w:rsidRDefault="00F2245F" w:rsidP="00F30F13">
            <w:pPr>
              <w:jc w:val="center"/>
            </w:pPr>
            <w:r>
              <w:t>Ratio</w:t>
            </w:r>
          </w:p>
        </w:tc>
      </w:tr>
      <w:tr w:rsidR="00F2245F" w14:paraId="5BBECE70" w14:textId="77777777" w:rsidTr="00F30F13">
        <w:tc>
          <w:tcPr>
            <w:tcW w:w="2358" w:type="dxa"/>
          </w:tcPr>
          <w:p w14:paraId="665D6415" w14:textId="77777777" w:rsidR="00F2245F" w:rsidRDefault="00F2245F" w:rsidP="00582ECF">
            <w:r>
              <w:t>2019-20</w:t>
            </w:r>
          </w:p>
        </w:tc>
        <w:tc>
          <w:tcPr>
            <w:tcW w:w="1753" w:type="dxa"/>
            <w:vAlign w:val="center"/>
          </w:tcPr>
          <w:p w14:paraId="27D56BAC" w14:textId="77777777" w:rsidR="00F2245F" w:rsidRDefault="00F2245F" w:rsidP="00582ECF">
            <w:pPr>
              <w:pStyle w:val="Tablenumbers"/>
              <w:jc w:val="center"/>
            </w:pPr>
            <w:r>
              <w:rPr>
                <w:rFonts w:ascii="Blanco" w:hAnsi="Blanco" w:cs="Calibri"/>
                <w:color w:val="231F20"/>
                <w:szCs w:val="21"/>
              </w:rPr>
              <w:t>3,455</w:t>
            </w:r>
          </w:p>
        </w:tc>
        <w:tc>
          <w:tcPr>
            <w:tcW w:w="1417" w:type="dxa"/>
            <w:vAlign w:val="center"/>
          </w:tcPr>
          <w:p w14:paraId="41906A7E" w14:textId="77777777" w:rsidR="00F2245F" w:rsidRDefault="00F2245F" w:rsidP="00582ECF">
            <w:pPr>
              <w:pStyle w:val="Tablenumbers"/>
              <w:jc w:val="center"/>
            </w:pPr>
            <w:r>
              <w:rPr>
                <w:rFonts w:ascii="Blanco" w:hAnsi="Blanco" w:cs="Calibri"/>
                <w:color w:val="231F20"/>
                <w:szCs w:val="21"/>
              </w:rPr>
              <w:t>3,281</w:t>
            </w:r>
          </w:p>
        </w:tc>
        <w:tc>
          <w:tcPr>
            <w:tcW w:w="992" w:type="dxa"/>
            <w:vAlign w:val="center"/>
          </w:tcPr>
          <w:p w14:paraId="5C5248C6" w14:textId="77777777" w:rsidR="00F2245F" w:rsidRDefault="00F2245F" w:rsidP="00582ECF">
            <w:pPr>
              <w:pStyle w:val="Tablenumbers"/>
              <w:jc w:val="center"/>
            </w:pPr>
            <w:r>
              <w:t>95%</w:t>
            </w:r>
          </w:p>
        </w:tc>
      </w:tr>
      <w:tr w:rsidR="00F2245F" w14:paraId="438F7398" w14:textId="77777777" w:rsidTr="00F30F13">
        <w:tc>
          <w:tcPr>
            <w:tcW w:w="2358" w:type="dxa"/>
          </w:tcPr>
          <w:p w14:paraId="420277DA" w14:textId="77777777" w:rsidR="00F2245F" w:rsidRDefault="00F2245F" w:rsidP="00582ECF">
            <w:r>
              <w:t>2020-21</w:t>
            </w:r>
          </w:p>
        </w:tc>
        <w:tc>
          <w:tcPr>
            <w:tcW w:w="1753" w:type="dxa"/>
            <w:vAlign w:val="center"/>
          </w:tcPr>
          <w:p w14:paraId="73BCC5E0" w14:textId="77777777" w:rsidR="00F2245F" w:rsidRDefault="00F2245F" w:rsidP="00582ECF">
            <w:pPr>
              <w:pStyle w:val="Tablenumbers"/>
              <w:jc w:val="center"/>
            </w:pPr>
            <w:r>
              <w:rPr>
                <w:rFonts w:ascii="Blanco" w:hAnsi="Blanco" w:cs="Calibri"/>
                <w:color w:val="231F20"/>
                <w:szCs w:val="21"/>
              </w:rPr>
              <w:t>4,030</w:t>
            </w:r>
          </w:p>
        </w:tc>
        <w:tc>
          <w:tcPr>
            <w:tcW w:w="1417" w:type="dxa"/>
            <w:vAlign w:val="center"/>
          </w:tcPr>
          <w:p w14:paraId="2C0020DB" w14:textId="77777777" w:rsidR="00F2245F" w:rsidRDefault="00F2245F" w:rsidP="00582ECF">
            <w:pPr>
              <w:pStyle w:val="Tablenumbers"/>
              <w:jc w:val="center"/>
            </w:pPr>
            <w:r>
              <w:rPr>
                <w:rFonts w:ascii="Blanco" w:hAnsi="Blanco" w:cs="Calibri"/>
                <w:color w:val="231F20"/>
                <w:szCs w:val="21"/>
              </w:rPr>
              <w:t>3,605</w:t>
            </w:r>
          </w:p>
        </w:tc>
        <w:tc>
          <w:tcPr>
            <w:tcW w:w="992" w:type="dxa"/>
            <w:vAlign w:val="center"/>
          </w:tcPr>
          <w:p w14:paraId="1BF93C6A" w14:textId="77777777" w:rsidR="00F2245F" w:rsidRDefault="00F2245F" w:rsidP="00582ECF">
            <w:pPr>
              <w:pStyle w:val="Tablenumbers"/>
              <w:jc w:val="center"/>
            </w:pPr>
            <w:r>
              <w:t>89%</w:t>
            </w:r>
          </w:p>
        </w:tc>
      </w:tr>
    </w:tbl>
    <w:p w14:paraId="009E8730" w14:textId="7AAFE2E4" w:rsidR="00F2245F" w:rsidRDefault="00E40FD7" w:rsidP="00376E9C">
      <w:pPr>
        <w:pStyle w:val="NNheading3alt2"/>
      </w:pPr>
      <w:r>
        <w:t>Population growth assumptions</w:t>
      </w:r>
    </w:p>
    <w:p w14:paraId="48A03F7C" w14:textId="7878167E" w:rsidR="00E40FD7" w:rsidRDefault="00E40FD7" w:rsidP="00E40FD7">
      <w:r>
        <w:t>The model is relatively insensitive to population growth assumptions, which we show in Section</w:t>
      </w:r>
      <w:r w:rsidR="003A45E0">
        <w:t xml:space="preserve"> </w:t>
      </w:r>
      <w:r w:rsidR="003A45E0">
        <w:fldChar w:fldCharType="begin"/>
      </w:r>
      <w:r w:rsidR="003A45E0">
        <w:instrText xml:space="preserve"> REF _Ref88220387 \r \h </w:instrText>
      </w:r>
      <w:r w:rsidR="003A45E0">
        <w:fldChar w:fldCharType="separate"/>
      </w:r>
      <w:r w:rsidR="00E6217F">
        <w:t>6</w:t>
      </w:r>
      <w:r w:rsidR="003A45E0">
        <w:fldChar w:fldCharType="end"/>
      </w:r>
      <w:r>
        <w:t xml:space="preserve">. The main action of population growth assumptions </w:t>
      </w:r>
      <w:r w:rsidR="000729AF">
        <w:t xml:space="preserve">is to gradually increase the number of entries over time. While relatively simple, the </w:t>
      </w:r>
      <w:r w:rsidR="0063470F">
        <w:t xml:space="preserve">current </w:t>
      </w:r>
      <w:r w:rsidR="000729AF">
        <w:t xml:space="preserve">approach is fit for purpose and assumptions reasonable. </w:t>
      </w:r>
    </w:p>
    <w:p w14:paraId="642FB63B" w14:textId="08C420AB" w:rsidR="00E40FD7" w:rsidRPr="00E40FD7" w:rsidRDefault="00E40FD7" w:rsidP="00E40FD7">
      <w:r>
        <w:t>The assumptions have been updated in the 2020-21 AFSR to reflect a short-term slowdown in population growth (primarily driven by lower immigration during the pandemic).</w:t>
      </w:r>
    </w:p>
    <w:p w14:paraId="321F3758" w14:textId="77777777" w:rsidR="00A520C9" w:rsidRDefault="00A520C9" w:rsidP="00A520C9"/>
    <w:p w14:paraId="729B0BBC" w14:textId="77777777" w:rsidR="00A520C9" w:rsidRDefault="00A520C9" w:rsidP="00A520C9"/>
    <w:p w14:paraId="411E2EE9" w14:textId="77777777" w:rsidR="00A520C9" w:rsidRPr="004B5CF7" w:rsidRDefault="00A520C9" w:rsidP="00A520C9">
      <w:pPr>
        <w:sectPr w:rsidR="00A520C9" w:rsidRPr="004B5CF7" w:rsidSect="00BC6986">
          <w:headerReference w:type="even" r:id="rId87"/>
          <w:headerReference w:type="default" r:id="rId88"/>
          <w:footerReference w:type="default" r:id="rId89"/>
          <w:headerReference w:type="first" r:id="rId90"/>
          <w:pgSz w:w="11906" w:h="16838" w:code="9"/>
          <w:pgMar w:top="1418" w:right="1247" w:bottom="1418" w:left="1247" w:header="709" w:footer="454" w:gutter="0"/>
          <w:cols w:space="708"/>
          <w:docGrid w:linePitch="360"/>
        </w:sectPr>
      </w:pPr>
    </w:p>
    <w:tbl>
      <w:tblPr>
        <w:tblStyle w:val="TFBlank"/>
        <w:tblW w:w="0" w:type="auto"/>
        <w:tblLayout w:type="fixed"/>
        <w:tblCellMar>
          <w:left w:w="0" w:type="dxa"/>
          <w:right w:w="0" w:type="dxa"/>
        </w:tblCellMar>
        <w:tblLook w:val="04A0" w:firstRow="1" w:lastRow="0" w:firstColumn="1" w:lastColumn="0" w:noHBand="0" w:noVBand="1"/>
      </w:tblPr>
      <w:tblGrid>
        <w:gridCol w:w="9412"/>
      </w:tblGrid>
      <w:tr w:rsidR="00A520C9" w14:paraId="4AAA5634" w14:textId="77777777" w:rsidTr="00DA0930">
        <w:trPr>
          <w:trHeight w:val="12043"/>
        </w:trPr>
        <w:tc>
          <w:tcPr>
            <w:tcW w:w="9412" w:type="dxa"/>
            <w:vAlign w:val="bottom"/>
          </w:tcPr>
          <w:p w14:paraId="3DFA6966" w14:textId="77777777" w:rsidR="00A520C9" w:rsidRPr="001A4807" w:rsidRDefault="00A520C9" w:rsidP="00DA0930">
            <w:pPr>
              <w:pStyle w:val="Sectionnumber"/>
            </w:pPr>
            <w:bookmarkStart w:id="181" w:name="_Toc83997771"/>
            <w:bookmarkStart w:id="182" w:name="_Toc87700477"/>
            <w:bookmarkStart w:id="183" w:name="_Toc88686129"/>
            <w:r>
              <w:t>B</w:t>
            </w:r>
            <w:bookmarkEnd w:id="181"/>
            <w:bookmarkEnd w:id="182"/>
            <w:bookmarkEnd w:id="183"/>
          </w:p>
        </w:tc>
      </w:tr>
      <w:tr w:rsidR="00A520C9" w14:paraId="0FFF11CB" w14:textId="77777777" w:rsidTr="00DA0930">
        <w:tc>
          <w:tcPr>
            <w:tcW w:w="9412" w:type="dxa"/>
          </w:tcPr>
          <w:p w14:paraId="03B9F52A" w14:textId="77777777" w:rsidR="00A520C9" w:rsidRDefault="00A520C9" w:rsidP="00DA0930">
            <w:pPr>
              <w:pStyle w:val="Sectiontitle"/>
            </w:pPr>
            <w:bookmarkStart w:id="184" w:name="_Toc83828726"/>
            <w:bookmarkStart w:id="185" w:name="_Toc83997772"/>
            <w:bookmarkStart w:id="186" w:name="_Toc87700478"/>
            <w:bookmarkStart w:id="187" w:name="_Toc88686130"/>
            <w:r>
              <w:t>Drivers of Scheme cost and changes since 2017</w:t>
            </w:r>
            <w:bookmarkEnd w:id="184"/>
            <w:bookmarkEnd w:id="185"/>
            <w:bookmarkEnd w:id="186"/>
            <w:bookmarkEnd w:id="187"/>
          </w:p>
        </w:tc>
      </w:tr>
    </w:tbl>
    <w:p w14:paraId="475A61CD" w14:textId="77777777" w:rsidR="00A520C9" w:rsidRPr="004B5CF7" w:rsidRDefault="00A520C9" w:rsidP="00DE6F11">
      <w:r>
        <w:rPr>
          <w:noProof/>
        </w:rPr>
        <w:drawing>
          <wp:anchor distT="0" distB="0" distL="114300" distR="114300" simplePos="0" relativeHeight="251660288" behindDoc="1" locked="0" layoutInCell="1" allowOverlap="1" wp14:anchorId="59EBCC77" wp14:editId="773082A8">
            <wp:simplePos x="0" y="0"/>
            <wp:positionH relativeFrom="page">
              <wp:align>left</wp:align>
            </wp:positionH>
            <wp:positionV relativeFrom="page">
              <wp:align>top</wp:align>
            </wp:positionV>
            <wp:extent cx="7560000" cy="10689432"/>
            <wp:effectExtent l="0" t="0" r="3175" b="0"/>
            <wp:wrapNone/>
            <wp:docPr id="91"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a:ext>
                      </a:extLst>
                    </a:blip>
                    <a:stretch>
                      <a:fillRect/>
                    </a:stretch>
                  </pic:blipFill>
                  <pic:spPr>
                    <a:xfrm>
                      <a:off x="0" y="0"/>
                      <a:ext cx="7560000" cy="10689432"/>
                    </a:xfrm>
                    <a:prstGeom prst="rect">
                      <a:avLst/>
                    </a:prstGeom>
                  </pic:spPr>
                </pic:pic>
              </a:graphicData>
            </a:graphic>
            <wp14:sizeRelH relativeFrom="page">
              <wp14:pctWidth>0</wp14:pctWidth>
            </wp14:sizeRelH>
            <wp14:sizeRelV relativeFrom="page">
              <wp14:pctHeight>0</wp14:pctHeight>
            </wp14:sizeRelV>
          </wp:anchor>
        </w:drawing>
      </w:r>
    </w:p>
    <w:p w14:paraId="7166D321" w14:textId="77777777" w:rsidR="00A520C9" w:rsidRPr="004B5CF7" w:rsidRDefault="00A520C9" w:rsidP="00A520C9">
      <w:pPr>
        <w:sectPr w:rsidR="00A520C9" w:rsidRPr="004B5CF7" w:rsidSect="00436B04">
          <w:headerReference w:type="even" r:id="rId92"/>
          <w:headerReference w:type="default" r:id="rId93"/>
          <w:footerReference w:type="default" r:id="rId94"/>
          <w:headerReference w:type="first" r:id="rId95"/>
          <w:pgSz w:w="11906" w:h="16838" w:code="9"/>
          <w:pgMar w:top="1418" w:right="1247" w:bottom="1418" w:left="1247" w:header="709" w:footer="454" w:gutter="0"/>
          <w:cols w:space="708"/>
          <w:docGrid w:linePitch="360"/>
        </w:sectPr>
      </w:pPr>
    </w:p>
    <w:p w14:paraId="10BE9B24" w14:textId="7EAB97B1" w:rsidR="00A520C9" w:rsidRDefault="00A520C9" w:rsidP="00A520C9">
      <w:pPr>
        <w:pStyle w:val="Heading1"/>
      </w:pPr>
      <w:bookmarkStart w:id="188" w:name="_Toc83828727"/>
      <w:bookmarkStart w:id="189" w:name="_Toc83828755"/>
      <w:bookmarkStart w:id="190" w:name="_Ref83897110"/>
      <w:bookmarkStart w:id="191" w:name="_Toc83997773"/>
      <w:bookmarkStart w:id="192" w:name="_Ref87485447"/>
      <w:bookmarkStart w:id="193" w:name="_Ref87621686"/>
      <w:bookmarkStart w:id="194" w:name="_Toc87700479"/>
      <w:bookmarkStart w:id="195" w:name="_Ref88582485"/>
      <w:bookmarkStart w:id="196" w:name="_Toc88686131"/>
      <w:r w:rsidRPr="00D908BB">
        <w:t>Quantification of change</w:t>
      </w:r>
      <w:r>
        <w:t>s</w:t>
      </w:r>
      <w:r w:rsidRPr="00D908BB">
        <w:t xml:space="preserve"> in projected payments</w:t>
      </w:r>
      <w:r>
        <w:t xml:space="preserve"> since 2017</w:t>
      </w:r>
      <w:bookmarkEnd w:id="188"/>
      <w:bookmarkEnd w:id="189"/>
      <w:bookmarkEnd w:id="190"/>
      <w:bookmarkEnd w:id="191"/>
      <w:bookmarkEnd w:id="192"/>
      <w:bookmarkEnd w:id="193"/>
      <w:bookmarkEnd w:id="194"/>
      <w:bookmarkEnd w:id="195"/>
      <w:bookmarkEnd w:id="196"/>
    </w:p>
    <w:p w14:paraId="7B527B2F" w14:textId="752327B0" w:rsidR="00A520C9" w:rsidRDefault="00A520C9" w:rsidP="00A520C9">
      <w:r>
        <w:fldChar w:fldCharType="begin"/>
      </w:r>
      <w:r>
        <w:instrText xml:space="preserve"> REF _Ref83229009 \h </w:instrText>
      </w:r>
      <w:r>
        <w:fldChar w:fldCharType="separate"/>
      </w:r>
      <w:r w:rsidR="00E6217F">
        <w:t xml:space="preserve">Figure </w:t>
      </w:r>
      <w:r w:rsidR="00E6217F">
        <w:rPr>
          <w:noProof/>
        </w:rPr>
        <w:t>5</w:t>
      </w:r>
      <w:r w:rsidR="00E6217F">
        <w:t>.</w:t>
      </w:r>
      <w:r w:rsidR="00E6217F">
        <w:rPr>
          <w:noProof/>
        </w:rPr>
        <w:t>1</w:t>
      </w:r>
      <w:r>
        <w:fldChar w:fldCharType="end"/>
      </w:r>
      <w:r>
        <w:t xml:space="preserve"> shows that from the June 2017 PC review to the 201</w:t>
      </w:r>
      <w:r w:rsidR="00D320CF">
        <w:t>8-1</w:t>
      </w:r>
      <w:r>
        <w:t xml:space="preserve">9 AFSR there was minimal change in projected payments from 2024-25 onwards, aside from the inclusion of unanticipated costs (difference between the two yellow lines), whereas since 2019 projected payments have increased significantly. </w:t>
      </w:r>
    </w:p>
    <w:p w14:paraId="264CA260" w14:textId="79F73F7C" w:rsidR="00A520C9" w:rsidRDefault="00A520C9" w:rsidP="00A520C9">
      <w:r>
        <w:t xml:space="preserve">Given these two distinct phases, combined with changes in the modelling approach at June </w:t>
      </w:r>
      <w:r w:rsidRPr="003240BB">
        <w:t>2019,</w:t>
      </w:r>
      <w:r>
        <w:t xml:space="preserve"> we have separately assessed the changes in projected costs from the 2017 to 2019 estimates and then from the 2019 to 2021 projections. </w:t>
      </w:r>
      <w:r w:rsidR="00596711">
        <w:t>The analysis is performed based on projected cash payments rather than the accrued cost which is approximately 1.37% higher.</w:t>
      </w:r>
    </w:p>
    <w:p w14:paraId="37D333DA" w14:textId="6FDC318A" w:rsidR="00636EC7" w:rsidRDefault="00A520C9" w:rsidP="00A70124">
      <w:pPr>
        <w:pStyle w:val="Caption"/>
        <w:spacing w:after="40"/>
      </w:pPr>
      <w:bookmarkStart w:id="197" w:name="_Ref83229009"/>
      <w:r>
        <w:t xml:space="preserve">Figure </w:t>
      </w:r>
      <w:r w:rsidR="009366CE">
        <w:fldChar w:fldCharType="begin"/>
      </w:r>
      <w:r w:rsidR="009366CE">
        <w:instrText xml:space="preserve"> STYLEREF 1 \s </w:instrText>
      </w:r>
      <w:r w:rsidR="009366CE">
        <w:fldChar w:fldCharType="separate"/>
      </w:r>
      <w:r w:rsidR="00E6217F">
        <w:rPr>
          <w:noProof/>
        </w:rPr>
        <w:t>5</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w:t>
      </w:r>
      <w:r w:rsidR="009366CE">
        <w:fldChar w:fldCharType="end"/>
      </w:r>
      <w:bookmarkEnd w:id="197"/>
      <w:r>
        <w:t xml:space="preserve"> – Change in projected payments from different forecast models</w:t>
      </w:r>
    </w:p>
    <w:p w14:paraId="36C82644" w14:textId="68E70847" w:rsidR="00A70124" w:rsidRPr="00636EC7" w:rsidRDefault="00A70124" w:rsidP="00636EC7">
      <w:r w:rsidRPr="00A70124">
        <w:rPr>
          <w:noProof/>
        </w:rPr>
        <w:drawing>
          <wp:inline distT="0" distB="0" distL="0" distR="0" wp14:anchorId="023573A6" wp14:editId="65BA0FD6">
            <wp:extent cx="5220000" cy="3129583"/>
            <wp:effectExtent l="0" t="0" r="0" b="0"/>
            <wp:docPr id="33" name="Graphic 33" descr="2017-2018.&#10;Actual Payments. Total payments. 5.4.&#10;2017 PC review. 7.7.&#10;2017 + Unanticipated costs. 7.7.&#10;June 2019 AFSR. -.&#10;June 2020 AFSR. -.&#10;June 2021 AFSR. -.&#10;&#10;&#10;2018-2019.&#10;Actual Payments. 10.5.&#10;2017 PC review. 14.7.&#10;2017 + Unanticipated costs. 14.7.&#10;June 2019 AFSR. -.&#10;June 2020 AFSR. -.&#10;June 2021 AFSR. -.&#10;&#10;&#10;2019-2020.&#10;Actual Payments. 17.6.&#10;2017 PC review. 20.8.&#10;2017 + Unanticipated costs. 21.9.&#10;June 2019 AFSR. 16.3.&#10;June 2020 AFSR. -.&#10;June 2021 AFSR. -.&#10;&#10;&#10;2020-2021.&#10;Actual Payments. 23.3.&#10;2017 PC review. 22.2.&#10;2017 + Unanticipated costs. 23.8.&#10;June 2019 AFSR. 20.6.&#10;June 2020 AFSR. 22.&#10;June 2021 AFSR. -.&#10;&#10;&#10;2021-2022.&#10;Actual Payments. -.&#10;2017 PC review. 23.7.&#10;2017 + Unanticipated costs. 25.5.&#10;June 2019 AFSR. 23.9.&#10;June 2020 AFSR. 25.7.&#10;June 2021 AFSR. 28.8.&#10;&#10;&#10;2022-2023.&#10;Actual Payments. -.&#10;2017 PC review. 25.2.&#10;2017 + Unanticipated costs. 27.2.&#10;June 2019 AFSR. 26.6.&#10;June 2020 AFSR. 28.5.&#10;June 2021 AFSR. 33.4.&#10;&#10;&#10;2023-2024.&#10;Actual Payments. -.&#10;2017 PC review. 26.8.&#10;2017 + Unanticipated costs. 29.&#10;June 2019 AFSR. 28.8.&#10;June 2020 AFSR. 31.2.&#10;June 2021 AFSR. 37.5.&#10;&#10;&#10;2024-2025.&#10;Actual Payments. -.&#10;2017 PC review. 28.5.&#10;2017 + Unanticipated costs. 30.8.&#10;June 2019 AFSR. 30.8.&#10;June 2020 AFSR. 34.1.&#10;June 2021 AFSR. 40.8.&#10;&#10;&#10;2025-2026-.&#10;Actual Payments. -.&#10;2017 PC review. 30.6.&#10;2017 + Unanticipated costs. 33.1.&#10;June 2019 AFSR. 33.1.&#10;June 2020 AFSR. 37.2.&#10;June 2021 AFSR. 44.&#10;&#10;&#10;2026-2027.&#10;Actual Payments. -.&#10;2017 PC review. 32.9.&#10;2017 + Unanticipated costs. 35.5.&#10;June 2019 AFSR. 35.5.&#10;June 2020 AFSR. 40.4.&#10;June 2021 AFSR. 47.3.&#10;&#10;&#10;2027-2028.&#10;Actual Payments. -.&#10;2017 PC review. 35.3.&#10;2017 + Unanticipated costs. 38.1.&#10;June 2019 AFSR. 38.1.&#10;June 2020 AFSR. 43.8.&#10;June 2021 AFSR. 50.8.&#10;&#10;&#10;2028-2029.&#10;Actual Payments. -.&#10;2017 PC review. 37.8.&#10;2017 + Unanticipated costs. 40.9.&#10;June 2019 AFSR. 40.9.&#10;June 2020 AFSR. 47.4.&#10;June 2021 AFSR. 54.5.&#10;&#10;&#10;2029-2030.&#10;Actual Payments. -.&#10;2017 PC review. 40.4.&#10;2017 + Unanticipated costs. 43.7.&#10;June 2019 AFSR. 43.7.&#10;June 2020 AFSR. 51.3.&#10;June 2021 AFSR. 5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33" descr="2017-2018.&#10;Actual Payments. Total payments. 5.4.&#10;2017 PC review. 7.7.&#10;2017 + Unanticipated costs. 7.7.&#10;June 2019 AFSR. -.&#10;June 2020 AFSR. -.&#10;June 2021 AFSR. -.&#10;&#10;&#10;2018-2019.&#10;Actual Payments. 10.5.&#10;2017 PC review. 14.7.&#10;2017 + Unanticipated costs. 14.7.&#10;June 2019 AFSR. -.&#10;June 2020 AFSR. -.&#10;June 2021 AFSR. -.&#10;&#10;&#10;2019-2020.&#10;Actual Payments. 17.6.&#10;2017 PC review. 20.8.&#10;2017 + Unanticipated costs. 21.9.&#10;June 2019 AFSR. 16.3.&#10;June 2020 AFSR. -.&#10;June 2021 AFSR. -.&#10;&#10;&#10;2020-2021.&#10;Actual Payments. 23.3.&#10;2017 PC review. 22.2.&#10;2017 + Unanticipated costs. 23.8.&#10;June 2019 AFSR. 20.6.&#10;June 2020 AFSR. 22.&#10;June 2021 AFSR. -.&#10;&#10;&#10;2021-2022.&#10;Actual Payments. -.&#10;2017 PC review. 23.7.&#10;2017 + Unanticipated costs. 25.5.&#10;June 2019 AFSR. 23.9.&#10;June 2020 AFSR. 25.7.&#10;June 2021 AFSR. 28.8.&#10;&#10;&#10;2022-2023.&#10;Actual Payments. -.&#10;2017 PC review. 25.2.&#10;2017 + Unanticipated costs. 27.2.&#10;June 2019 AFSR. 26.6.&#10;June 2020 AFSR. 28.5.&#10;June 2021 AFSR. 33.4.&#10;&#10;&#10;2023-2024.&#10;Actual Payments. -.&#10;2017 PC review. 26.8.&#10;2017 + Unanticipated costs. 29.&#10;June 2019 AFSR. 28.8.&#10;June 2020 AFSR. 31.2.&#10;June 2021 AFSR. 37.5.&#10;&#10;&#10;2024-2025.&#10;Actual Payments. -.&#10;2017 PC review. 28.5.&#10;2017 + Unanticipated costs. 30.8.&#10;June 2019 AFSR. 30.8.&#10;June 2020 AFSR. 34.1.&#10;June 2021 AFSR. 40.8.&#10;&#10;&#10;2025-2026-.&#10;Actual Payments. -.&#10;2017 PC review. 30.6.&#10;2017 + Unanticipated costs. 33.1.&#10;June 2019 AFSR. 33.1.&#10;June 2020 AFSR. 37.2.&#10;June 2021 AFSR. 44.&#10;&#10;&#10;2026-2027.&#10;Actual Payments. -.&#10;2017 PC review. 32.9.&#10;2017 + Unanticipated costs. 35.5.&#10;June 2019 AFSR. 35.5.&#10;June 2020 AFSR. 40.4.&#10;June 2021 AFSR. 47.3.&#10;&#10;&#10;2027-2028.&#10;Actual Payments. -.&#10;2017 PC review. 35.3.&#10;2017 + Unanticipated costs. 38.1.&#10;June 2019 AFSR. 38.1.&#10;June 2020 AFSR. 43.8.&#10;June 2021 AFSR. 50.8.&#10;&#10;&#10;2028-2029.&#10;Actual Payments. -.&#10;2017 PC review. 37.8.&#10;2017 + Unanticipated costs. 40.9.&#10;June 2019 AFSR. 40.9.&#10;June 2020 AFSR. 47.4.&#10;June 2021 AFSR. 54.5.&#10;&#10;&#10;2029-2030.&#10;Actual Payments. -.&#10;2017 PC review. 40.4.&#10;2017 + Unanticipated costs. 43.7.&#10;June 2019 AFSR. 43.7.&#10;June 2020 AFSR. 51.3.&#10;June 2021 AFSR. 58.5.&#10;"/>
                    <pic:cNvPicPr/>
                  </pic:nvPicPr>
                  <pic:blipFill>
                    <a:blip r:embed="rId29">
                      <a:extLst>
                        <a:ext uri="{96DAC541-7B7A-43D3-8B79-37D633B846F1}">
                          <asvg:svgBlip xmlns:asvg="http://schemas.microsoft.com/office/drawing/2016/SVG/main" r:embed="rId30"/>
                        </a:ext>
                      </a:extLst>
                    </a:blip>
                    <a:stretch>
                      <a:fillRect/>
                    </a:stretch>
                  </pic:blipFill>
                  <pic:spPr>
                    <a:xfrm>
                      <a:off x="0" y="0"/>
                      <a:ext cx="5220000" cy="3129583"/>
                    </a:xfrm>
                    <a:prstGeom prst="rect">
                      <a:avLst/>
                    </a:prstGeom>
                  </pic:spPr>
                </pic:pic>
              </a:graphicData>
            </a:graphic>
          </wp:inline>
        </w:drawing>
      </w:r>
    </w:p>
    <w:p w14:paraId="47A1664E" w14:textId="608DEBDF" w:rsidR="00A520C9" w:rsidRDefault="00A520C9" w:rsidP="00376E9C">
      <w:pPr>
        <w:pStyle w:val="NNheading2alt"/>
      </w:pPr>
      <w:r>
        <w:t>2017 Productivity Commission (PC) estimates to 201</w:t>
      </w:r>
      <w:r w:rsidR="00D320CF">
        <w:t>8-1</w:t>
      </w:r>
      <w:r>
        <w:t>9 AFSR</w:t>
      </w:r>
    </w:p>
    <w:p w14:paraId="15DE94F5" w14:textId="2EE4F6B4" w:rsidR="00A520C9" w:rsidRDefault="00A520C9" w:rsidP="00A520C9">
      <w:r>
        <w:t xml:space="preserve">The 2017 PC estimates of NDIS costs was an update to </w:t>
      </w:r>
      <w:r w:rsidR="009956A3">
        <w:t xml:space="preserve">its </w:t>
      </w:r>
      <w:r>
        <w:t xml:space="preserve">2011 estimates, with inflation adjustments the main component. The original 2011 estimates used existing sources (primarily the ABS Survey of Disability, Aging and Carers) to estimate the numbers eligible for the </w:t>
      </w:r>
      <w:r w:rsidR="00232FFF">
        <w:t>Scheme</w:t>
      </w:r>
      <w:r>
        <w:t xml:space="preserve"> and a distribution of functional capacity. Per person costs were then assumed based on the estimated volume and scope of supports, by age and severity. International comparisons were used as a check that the resulting increased spending appeared reasonable. </w:t>
      </w:r>
    </w:p>
    <w:p w14:paraId="17054496" w14:textId="79DCBD34" w:rsidR="00A520C9" w:rsidRDefault="00A520C9" w:rsidP="00A520C9">
      <w:r>
        <w:t>Following the 2017 PC review additional unanticipated costs relating to such things as school transport and including children with developmental delay were covered by the Scheme and were not factored into the PC report. The Scheme Actuary has separately estimated these costs (Table 36 of the 20</w:t>
      </w:r>
      <w:r w:rsidR="00243F4C">
        <w:t>20-</w:t>
      </w:r>
      <w:r>
        <w:t xml:space="preserve">21 AFSR which is reproduced below) and added them to the original PC projections. We understand that there are ongoing discussions regarding who will </w:t>
      </w:r>
      <w:r w:rsidR="009956A3">
        <w:t xml:space="preserve">ultimately be </w:t>
      </w:r>
      <w:r>
        <w:t>responsible for some of these costs.</w:t>
      </w:r>
      <w:r w:rsidR="009956A3">
        <w:t xml:space="preserve"> We discuss the reasonableness of these allowances in Section </w:t>
      </w:r>
      <w:r w:rsidR="009956A3">
        <w:fldChar w:fldCharType="begin"/>
      </w:r>
      <w:r w:rsidR="009956A3">
        <w:instrText xml:space="preserve"> REF _Ref87548696 \r \h </w:instrText>
      </w:r>
      <w:r w:rsidR="009956A3">
        <w:fldChar w:fldCharType="separate"/>
      </w:r>
      <w:r w:rsidR="00E6217F">
        <w:t>7.6</w:t>
      </w:r>
      <w:r w:rsidR="009956A3">
        <w:fldChar w:fldCharType="end"/>
      </w:r>
      <w:r w:rsidR="009956A3">
        <w:t>.</w:t>
      </w:r>
    </w:p>
    <w:p w14:paraId="4024F034" w14:textId="43E42418" w:rsidR="00A520C9" w:rsidRDefault="00A520C9" w:rsidP="00A520C9">
      <w:pPr>
        <w:pStyle w:val="Caption"/>
      </w:pPr>
      <w:bookmarkStart w:id="198" w:name="_Ref87624933"/>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w:t>
      </w:r>
      <w:r w:rsidR="007F6BE8">
        <w:fldChar w:fldCharType="end"/>
      </w:r>
      <w:bookmarkEnd w:id="198"/>
      <w:r>
        <w:t xml:space="preserve"> – Projected ‘unanticipated’ costs ($B)</w:t>
      </w:r>
      <w:r>
        <w:rPr>
          <w:rStyle w:val="FootnoteReference"/>
        </w:rPr>
        <w:footnoteReference w:id="14"/>
      </w:r>
    </w:p>
    <w:tbl>
      <w:tblPr>
        <w:tblStyle w:val="TFBlue"/>
        <w:tblW w:w="8640" w:type="dxa"/>
        <w:tblLook w:val="04E0" w:firstRow="1" w:lastRow="1" w:firstColumn="1" w:lastColumn="0" w:noHBand="0" w:noVBand="1"/>
      </w:tblPr>
      <w:tblGrid>
        <w:gridCol w:w="3776"/>
        <w:gridCol w:w="1216"/>
        <w:gridCol w:w="1216"/>
        <w:gridCol w:w="1216"/>
        <w:gridCol w:w="1216"/>
      </w:tblGrid>
      <w:tr w:rsidR="00A520C9" w:rsidRPr="004E1E3D" w14:paraId="464536D0" w14:textId="77777777" w:rsidTr="00DA0930">
        <w:trPr>
          <w:cnfStyle w:val="100000000000" w:firstRow="1" w:lastRow="0" w:firstColumn="0" w:lastColumn="0" w:oddVBand="0" w:evenVBand="0" w:oddHBand="0" w:evenHBand="0" w:firstRowFirstColumn="0" w:firstRowLastColumn="0" w:lastRowFirstColumn="0" w:lastRowLastColumn="0"/>
          <w:trHeight w:val="360"/>
        </w:trPr>
        <w:tc>
          <w:tcPr>
            <w:tcW w:w="3776" w:type="dxa"/>
            <w:noWrap/>
            <w:hideMark/>
          </w:tcPr>
          <w:p w14:paraId="641FE031" w14:textId="77777777" w:rsidR="00A520C9" w:rsidRPr="004E1E3D" w:rsidRDefault="00A520C9" w:rsidP="00DA0930">
            <w:pPr>
              <w:keepNext/>
              <w:spacing w:before="0" w:after="0"/>
              <w:rPr>
                <w:rFonts w:asciiTheme="majorHAnsi" w:eastAsia="Times New Roman" w:hAnsiTheme="majorHAnsi" w:cs="Times New Roman"/>
                <w:b w:val="0"/>
                <w:bCs/>
                <w:color w:val="231F20"/>
                <w:szCs w:val="21"/>
                <w:lang w:eastAsia="en-GB"/>
              </w:rPr>
            </w:pPr>
            <w:r w:rsidRPr="004E1E3D">
              <w:rPr>
                <w:rFonts w:ascii="Cambria" w:eastAsia="Times New Roman" w:hAnsi="Cambria" w:cs="Cambria"/>
                <w:bCs/>
                <w:color w:val="231F20"/>
                <w:szCs w:val="21"/>
                <w:lang w:eastAsia="en-GB"/>
              </w:rPr>
              <w:t> </w:t>
            </w:r>
            <w:r>
              <w:rPr>
                <w:rFonts w:ascii="Cambria" w:eastAsia="Times New Roman" w:hAnsi="Cambria" w:cs="Cambria"/>
                <w:bCs/>
                <w:color w:val="231F20"/>
                <w:szCs w:val="21"/>
                <w:lang w:eastAsia="en-GB"/>
              </w:rPr>
              <w:t>Nature of unanticipated cost</w:t>
            </w:r>
          </w:p>
        </w:tc>
        <w:tc>
          <w:tcPr>
            <w:tcW w:w="1216" w:type="dxa"/>
            <w:noWrap/>
            <w:hideMark/>
          </w:tcPr>
          <w:p w14:paraId="35E8A7D2" w14:textId="77777777" w:rsidR="00A520C9" w:rsidRPr="004E1E3D" w:rsidRDefault="00A520C9" w:rsidP="004446E1">
            <w:pPr>
              <w:keepNext/>
              <w:spacing w:before="0" w:after="0"/>
              <w:jc w:val="center"/>
              <w:rPr>
                <w:rFonts w:asciiTheme="majorHAnsi" w:eastAsia="Times New Roman" w:hAnsiTheme="majorHAnsi" w:cs="Times New Roman"/>
                <w:b w:val="0"/>
                <w:bCs/>
                <w:color w:val="231F20"/>
                <w:szCs w:val="21"/>
                <w:lang w:eastAsia="en-GB"/>
              </w:rPr>
            </w:pPr>
            <w:r w:rsidRPr="004E1E3D">
              <w:rPr>
                <w:rFonts w:asciiTheme="majorHAnsi" w:eastAsia="Times New Roman" w:hAnsiTheme="majorHAnsi" w:cs="Times New Roman"/>
                <w:bCs/>
                <w:color w:val="231F20"/>
                <w:szCs w:val="21"/>
                <w:lang w:eastAsia="en-GB"/>
              </w:rPr>
              <w:t>2021-22</w:t>
            </w:r>
          </w:p>
        </w:tc>
        <w:tc>
          <w:tcPr>
            <w:tcW w:w="1216" w:type="dxa"/>
            <w:noWrap/>
            <w:hideMark/>
          </w:tcPr>
          <w:p w14:paraId="397AEBF8" w14:textId="77777777" w:rsidR="00A520C9" w:rsidRPr="004E1E3D" w:rsidRDefault="00A520C9" w:rsidP="004446E1">
            <w:pPr>
              <w:keepNext/>
              <w:spacing w:before="0" w:after="0"/>
              <w:jc w:val="center"/>
              <w:rPr>
                <w:rFonts w:asciiTheme="majorHAnsi" w:eastAsia="Times New Roman" w:hAnsiTheme="majorHAnsi" w:cs="Times New Roman"/>
                <w:b w:val="0"/>
                <w:bCs/>
                <w:color w:val="231F20"/>
                <w:szCs w:val="21"/>
                <w:lang w:eastAsia="en-GB"/>
              </w:rPr>
            </w:pPr>
            <w:r w:rsidRPr="004E1E3D">
              <w:rPr>
                <w:rFonts w:asciiTheme="majorHAnsi" w:eastAsia="Times New Roman" w:hAnsiTheme="majorHAnsi" w:cs="Times New Roman"/>
                <w:bCs/>
                <w:color w:val="231F20"/>
                <w:szCs w:val="21"/>
                <w:lang w:eastAsia="en-GB"/>
              </w:rPr>
              <w:t>2022-23</w:t>
            </w:r>
          </w:p>
        </w:tc>
        <w:tc>
          <w:tcPr>
            <w:tcW w:w="1216" w:type="dxa"/>
          </w:tcPr>
          <w:p w14:paraId="3BBB6A47" w14:textId="77777777" w:rsidR="00A520C9" w:rsidRPr="004E1E3D" w:rsidRDefault="00A520C9" w:rsidP="004446E1">
            <w:pPr>
              <w:keepNext/>
              <w:spacing w:before="0" w:after="0"/>
              <w:jc w:val="center"/>
              <w:rPr>
                <w:rFonts w:asciiTheme="majorHAnsi" w:eastAsia="Times New Roman" w:hAnsiTheme="majorHAnsi" w:cs="Times New Roman"/>
                <w:bCs/>
                <w:color w:val="231F20"/>
                <w:szCs w:val="21"/>
                <w:lang w:eastAsia="en-GB"/>
              </w:rPr>
            </w:pPr>
            <w:r w:rsidRPr="004E1E3D">
              <w:rPr>
                <w:rFonts w:asciiTheme="majorHAnsi" w:eastAsia="Times New Roman" w:hAnsiTheme="majorHAnsi" w:cs="Times New Roman"/>
                <w:bCs/>
                <w:color w:val="231F20"/>
                <w:szCs w:val="21"/>
                <w:lang w:eastAsia="en-GB"/>
              </w:rPr>
              <w:t>2023-24</w:t>
            </w:r>
          </w:p>
        </w:tc>
        <w:tc>
          <w:tcPr>
            <w:tcW w:w="1216" w:type="dxa"/>
          </w:tcPr>
          <w:p w14:paraId="1FE8EFD3" w14:textId="77777777" w:rsidR="00A520C9" w:rsidRPr="004E1E3D" w:rsidRDefault="00A520C9" w:rsidP="004446E1">
            <w:pPr>
              <w:keepNext/>
              <w:spacing w:before="0" w:after="0"/>
              <w:jc w:val="center"/>
              <w:rPr>
                <w:rFonts w:asciiTheme="majorHAnsi" w:eastAsia="Times New Roman" w:hAnsiTheme="majorHAnsi" w:cs="Times New Roman"/>
                <w:bCs/>
                <w:color w:val="231F20"/>
                <w:szCs w:val="21"/>
                <w:lang w:eastAsia="en-GB"/>
              </w:rPr>
            </w:pPr>
            <w:r w:rsidRPr="004E1E3D">
              <w:rPr>
                <w:rFonts w:asciiTheme="majorHAnsi" w:eastAsia="Times New Roman" w:hAnsiTheme="majorHAnsi" w:cs="Times New Roman"/>
                <w:bCs/>
                <w:color w:val="231F20"/>
                <w:szCs w:val="21"/>
                <w:lang w:eastAsia="en-GB"/>
              </w:rPr>
              <w:t>2024-25</w:t>
            </w:r>
          </w:p>
        </w:tc>
      </w:tr>
      <w:tr w:rsidR="00A520C9" w:rsidRPr="004E1E3D" w14:paraId="44077CCA"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3776" w:type="dxa"/>
            <w:noWrap/>
            <w:hideMark/>
          </w:tcPr>
          <w:p w14:paraId="68549623" w14:textId="77777777" w:rsidR="00A520C9" w:rsidRPr="004E1E3D" w:rsidRDefault="00A520C9" w:rsidP="00DA0930">
            <w:pPr>
              <w:pStyle w:val="Tabletext"/>
              <w:keepNext/>
              <w:rPr>
                <w:rFonts w:asciiTheme="majorHAnsi" w:hAnsiTheme="majorHAnsi"/>
                <w:szCs w:val="21"/>
              </w:rPr>
            </w:pPr>
            <w:r w:rsidRPr="00C9224D">
              <w:rPr>
                <w:rFonts w:asciiTheme="majorHAnsi" w:hAnsiTheme="majorHAnsi"/>
                <w:szCs w:val="21"/>
              </w:rPr>
              <w:t>National Injury Insurance Scheme</w:t>
            </w:r>
            <w:r>
              <w:rPr>
                <w:rFonts w:asciiTheme="majorHAnsi" w:hAnsiTheme="majorHAnsi"/>
                <w:szCs w:val="21"/>
              </w:rPr>
              <w:t xml:space="preserve"> </w:t>
            </w:r>
            <w:r w:rsidRPr="004E1E3D">
              <w:rPr>
                <w:rFonts w:asciiTheme="majorHAnsi" w:hAnsiTheme="majorHAnsi"/>
                <w:szCs w:val="21"/>
              </w:rPr>
              <w:t>offset not fully operational</w:t>
            </w:r>
          </w:p>
        </w:tc>
        <w:tc>
          <w:tcPr>
            <w:tcW w:w="1216" w:type="dxa"/>
            <w:noWrap/>
          </w:tcPr>
          <w:p w14:paraId="1010AEFC"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0.5</w:t>
            </w:r>
          </w:p>
        </w:tc>
        <w:tc>
          <w:tcPr>
            <w:tcW w:w="1216" w:type="dxa"/>
            <w:noWrap/>
          </w:tcPr>
          <w:p w14:paraId="6B15AD18"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0.5</w:t>
            </w:r>
          </w:p>
        </w:tc>
        <w:tc>
          <w:tcPr>
            <w:tcW w:w="1216" w:type="dxa"/>
          </w:tcPr>
          <w:p w14:paraId="399E70B9"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0.6</w:t>
            </w:r>
          </w:p>
        </w:tc>
        <w:tc>
          <w:tcPr>
            <w:tcW w:w="1216" w:type="dxa"/>
          </w:tcPr>
          <w:p w14:paraId="0E573E8E"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0.6</w:t>
            </w:r>
          </w:p>
        </w:tc>
      </w:tr>
      <w:tr w:rsidR="00A520C9" w:rsidRPr="004E1E3D" w14:paraId="4F2299BF" w14:textId="77777777" w:rsidTr="00DA0930">
        <w:trPr>
          <w:trHeight w:val="360"/>
        </w:trPr>
        <w:tc>
          <w:tcPr>
            <w:tcW w:w="3776" w:type="dxa"/>
            <w:noWrap/>
            <w:hideMark/>
          </w:tcPr>
          <w:p w14:paraId="6E4B3BDA" w14:textId="77777777" w:rsidR="00A520C9" w:rsidRPr="004E1E3D" w:rsidRDefault="00A520C9" w:rsidP="00DA0930">
            <w:pPr>
              <w:pStyle w:val="Tabletext"/>
              <w:keepNext/>
              <w:rPr>
                <w:rFonts w:asciiTheme="majorHAnsi" w:hAnsiTheme="majorHAnsi"/>
                <w:szCs w:val="21"/>
              </w:rPr>
            </w:pPr>
            <w:r w:rsidRPr="004E1E3D">
              <w:rPr>
                <w:rFonts w:asciiTheme="majorHAnsi" w:hAnsiTheme="majorHAnsi"/>
                <w:szCs w:val="21"/>
              </w:rPr>
              <w:t>Children with developmental delay</w:t>
            </w:r>
          </w:p>
        </w:tc>
        <w:tc>
          <w:tcPr>
            <w:tcW w:w="1216" w:type="dxa"/>
            <w:noWrap/>
          </w:tcPr>
          <w:p w14:paraId="57441EAB"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0.5</w:t>
            </w:r>
          </w:p>
        </w:tc>
        <w:tc>
          <w:tcPr>
            <w:tcW w:w="1216" w:type="dxa"/>
            <w:noWrap/>
          </w:tcPr>
          <w:p w14:paraId="6B59655A"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0.5</w:t>
            </w:r>
          </w:p>
        </w:tc>
        <w:tc>
          <w:tcPr>
            <w:tcW w:w="1216" w:type="dxa"/>
          </w:tcPr>
          <w:p w14:paraId="5F9228BA"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0.6</w:t>
            </w:r>
          </w:p>
        </w:tc>
        <w:tc>
          <w:tcPr>
            <w:tcW w:w="1216" w:type="dxa"/>
          </w:tcPr>
          <w:p w14:paraId="05314B4E"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0.6</w:t>
            </w:r>
          </w:p>
        </w:tc>
      </w:tr>
      <w:tr w:rsidR="00A520C9" w:rsidRPr="004E1E3D" w14:paraId="220585C3"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3776" w:type="dxa"/>
            <w:noWrap/>
            <w:hideMark/>
          </w:tcPr>
          <w:p w14:paraId="7D7106E1" w14:textId="77777777" w:rsidR="00A520C9" w:rsidRPr="004E1E3D" w:rsidRDefault="00A520C9" w:rsidP="00DA0930">
            <w:pPr>
              <w:pStyle w:val="Tabletext"/>
              <w:keepNext/>
              <w:rPr>
                <w:rFonts w:asciiTheme="majorHAnsi" w:hAnsiTheme="majorHAnsi"/>
                <w:szCs w:val="21"/>
              </w:rPr>
            </w:pPr>
            <w:r w:rsidRPr="004E1E3D">
              <w:rPr>
                <w:rFonts w:asciiTheme="majorHAnsi" w:hAnsiTheme="majorHAnsi"/>
                <w:szCs w:val="21"/>
              </w:rPr>
              <w:t>School transport</w:t>
            </w:r>
          </w:p>
        </w:tc>
        <w:tc>
          <w:tcPr>
            <w:tcW w:w="1216" w:type="dxa"/>
            <w:noWrap/>
          </w:tcPr>
          <w:p w14:paraId="7421E56A"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0.4</w:t>
            </w:r>
          </w:p>
        </w:tc>
        <w:tc>
          <w:tcPr>
            <w:tcW w:w="1216" w:type="dxa"/>
            <w:noWrap/>
          </w:tcPr>
          <w:p w14:paraId="536B0121"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0.4</w:t>
            </w:r>
          </w:p>
        </w:tc>
        <w:tc>
          <w:tcPr>
            <w:tcW w:w="1216" w:type="dxa"/>
          </w:tcPr>
          <w:p w14:paraId="4B171EF0"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0.4</w:t>
            </w:r>
          </w:p>
        </w:tc>
        <w:tc>
          <w:tcPr>
            <w:tcW w:w="1216" w:type="dxa"/>
          </w:tcPr>
          <w:p w14:paraId="510AAFC2"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0.4</w:t>
            </w:r>
          </w:p>
        </w:tc>
      </w:tr>
      <w:tr w:rsidR="00A520C9" w:rsidRPr="004E1E3D" w14:paraId="7FDBD470" w14:textId="77777777" w:rsidTr="00DA0930">
        <w:trPr>
          <w:trHeight w:val="360"/>
        </w:trPr>
        <w:tc>
          <w:tcPr>
            <w:tcW w:w="3776" w:type="dxa"/>
            <w:noWrap/>
            <w:hideMark/>
          </w:tcPr>
          <w:p w14:paraId="48E94CFA" w14:textId="77777777" w:rsidR="00A520C9" w:rsidRPr="004E1E3D" w:rsidRDefault="00A520C9" w:rsidP="00DA0930">
            <w:pPr>
              <w:pStyle w:val="Tabletext"/>
              <w:keepNext/>
              <w:rPr>
                <w:rFonts w:asciiTheme="majorHAnsi" w:hAnsiTheme="majorHAnsi"/>
                <w:szCs w:val="21"/>
              </w:rPr>
            </w:pPr>
            <w:r w:rsidRPr="004E1E3D">
              <w:rPr>
                <w:rFonts w:asciiTheme="majorHAnsi" w:hAnsiTheme="majorHAnsi"/>
                <w:szCs w:val="21"/>
              </w:rPr>
              <w:t>Personal care in schools</w:t>
            </w:r>
          </w:p>
        </w:tc>
        <w:tc>
          <w:tcPr>
            <w:tcW w:w="1216" w:type="dxa"/>
            <w:noWrap/>
          </w:tcPr>
          <w:p w14:paraId="393AE312"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c>
          <w:tcPr>
            <w:tcW w:w="1216" w:type="dxa"/>
            <w:noWrap/>
          </w:tcPr>
          <w:p w14:paraId="2325F19F"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c>
          <w:tcPr>
            <w:tcW w:w="1216" w:type="dxa"/>
          </w:tcPr>
          <w:p w14:paraId="01B33091"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c>
          <w:tcPr>
            <w:tcW w:w="1216" w:type="dxa"/>
          </w:tcPr>
          <w:p w14:paraId="525AC8F2"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r>
      <w:tr w:rsidR="00A520C9" w:rsidRPr="004E1E3D" w14:paraId="57615A03"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3776" w:type="dxa"/>
            <w:noWrap/>
          </w:tcPr>
          <w:p w14:paraId="2F71CC71" w14:textId="77777777" w:rsidR="00A520C9" w:rsidRPr="004E1E3D" w:rsidRDefault="00A520C9" w:rsidP="00DA0930">
            <w:pPr>
              <w:pStyle w:val="Tabletext"/>
              <w:keepNext/>
              <w:rPr>
                <w:rFonts w:asciiTheme="majorHAnsi" w:hAnsiTheme="majorHAnsi"/>
                <w:szCs w:val="21"/>
              </w:rPr>
            </w:pPr>
            <w:r w:rsidRPr="004E1E3D">
              <w:rPr>
                <w:rFonts w:asciiTheme="majorHAnsi" w:hAnsiTheme="majorHAnsi"/>
                <w:szCs w:val="21"/>
              </w:rPr>
              <w:t>Disability related health supports</w:t>
            </w:r>
          </w:p>
        </w:tc>
        <w:tc>
          <w:tcPr>
            <w:tcW w:w="1216" w:type="dxa"/>
            <w:noWrap/>
          </w:tcPr>
          <w:p w14:paraId="3BBCD95A" w14:textId="5CE90176"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w:t>
            </w:r>
            <w:r w:rsidR="00D53DA6">
              <w:rPr>
                <w:rFonts w:asciiTheme="majorHAnsi" w:hAnsiTheme="majorHAnsi"/>
                <w:szCs w:val="21"/>
              </w:rPr>
              <w:t>2</w:t>
            </w:r>
          </w:p>
        </w:tc>
        <w:tc>
          <w:tcPr>
            <w:tcW w:w="1216" w:type="dxa"/>
            <w:noWrap/>
          </w:tcPr>
          <w:p w14:paraId="56EB246A"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c>
          <w:tcPr>
            <w:tcW w:w="1216" w:type="dxa"/>
          </w:tcPr>
          <w:p w14:paraId="15E0E4BB"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c>
          <w:tcPr>
            <w:tcW w:w="1216" w:type="dxa"/>
          </w:tcPr>
          <w:p w14:paraId="6FB394D3" w14:textId="77777777" w:rsidR="00A520C9" w:rsidRPr="004E1E3D" w:rsidRDefault="00A520C9" w:rsidP="004446E1">
            <w:pPr>
              <w:pStyle w:val="Tablenumbers"/>
              <w:keepNext/>
              <w:jc w:val="center"/>
              <w:rPr>
                <w:rFonts w:asciiTheme="majorHAnsi" w:hAnsiTheme="majorHAnsi"/>
                <w:szCs w:val="21"/>
              </w:rPr>
            </w:pPr>
            <w:r w:rsidRPr="004E1E3D">
              <w:rPr>
                <w:rFonts w:asciiTheme="majorHAnsi" w:hAnsiTheme="majorHAnsi"/>
                <w:szCs w:val="21"/>
              </w:rPr>
              <w:t>0.3</w:t>
            </w:r>
          </w:p>
        </w:tc>
      </w:tr>
      <w:tr w:rsidR="00A520C9" w:rsidRPr="004E1E3D" w14:paraId="41445063" w14:textId="77777777" w:rsidTr="00DA0930">
        <w:trPr>
          <w:cnfStyle w:val="010000000000" w:firstRow="0" w:lastRow="1" w:firstColumn="0" w:lastColumn="0" w:oddVBand="0" w:evenVBand="0" w:oddHBand="0" w:evenHBand="0" w:firstRowFirstColumn="0" w:firstRowLastColumn="0" w:lastRowFirstColumn="0" w:lastRowLastColumn="0"/>
          <w:trHeight w:val="360"/>
        </w:trPr>
        <w:tc>
          <w:tcPr>
            <w:tcW w:w="3776" w:type="dxa"/>
            <w:noWrap/>
            <w:hideMark/>
          </w:tcPr>
          <w:p w14:paraId="4CC70C91" w14:textId="77777777" w:rsidR="00A520C9" w:rsidRPr="004E1E3D" w:rsidRDefault="00A520C9" w:rsidP="00DA0930">
            <w:pPr>
              <w:pStyle w:val="Tabletext"/>
              <w:rPr>
                <w:rFonts w:asciiTheme="majorHAnsi" w:hAnsiTheme="majorHAnsi"/>
                <w:szCs w:val="21"/>
              </w:rPr>
            </w:pPr>
            <w:r w:rsidRPr="004E1E3D">
              <w:rPr>
                <w:rFonts w:asciiTheme="majorHAnsi" w:hAnsiTheme="majorHAnsi"/>
                <w:szCs w:val="21"/>
              </w:rPr>
              <w:t>Total</w:t>
            </w:r>
          </w:p>
        </w:tc>
        <w:tc>
          <w:tcPr>
            <w:tcW w:w="1216" w:type="dxa"/>
            <w:noWrap/>
          </w:tcPr>
          <w:p w14:paraId="0B39EA99" w14:textId="77777777" w:rsidR="00A520C9" w:rsidRPr="004E1E3D" w:rsidRDefault="00A520C9" w:rsidP="004446E1">
            <w:pPr>
              <w:pStyle w:val="Tablenumbers"/>
              <w:jc w:val="center"/>
              <w:rPr>
                <w:rFonts w:asciiTheme="majorHAnsi" w:hAnsiTheme="majorHAnsi"/>
                <w:szCs w:val="21"/>
              </w:rPr>
            </w:pPr>
            <w:r w:rsidRPr="004E1E3D">
              <w:rPr>
                <w:rFonts w:asciiTheme="majorHAnsi" w:hAnsiTheme="majorHAnsi"/>
                <w:szCs w:val="21"/>
              </w:rPr>
              <w:t>1.8</w:t>
            </w:r>
          </w:p>
        </w:tc>
        <w:tc>
          <w:tcPr>
            <w:tcW w:w="1216" w:type="dxa"/>
            <w:noWrap/>
          </w:tcPr>
          <w:p w14:paraId="47E9B3D7" w14:textId="77777777" w:rsidR="00A520C9" w:rsidRPr="004E1E3D" w:rsidRDefault="00A520C9" w:rsidP="004446E1">
            <w:pPr>
              <w:pStyle w:val="Tablenumbers"/>
              <w:jc w:val="center"/>
              <w:rPr>
                <w:rFonts w:asciiTheme="majorHAnsi" w:hAnsiTheme="majorHAnsi"/>
                <w:szCs w:val="21"/>
              </w:rPr>
            </w:pPr>
            <w:r w:rsidRPr="004E1E3D">
              <w:rPr>
                <w:rFonts w:asciiTheme="majorHAnsi" w:hAnsiTheme="majorHAnsi"/>
                <w:szCs w:val="21"/>
              </w:rPr>
              <w:t>2.0</w:t>
            </w:r>
          </w:p>
        </w:tc>
        <w:tc>
          <w:tcPr>
            <w:tcW w:w="1216" w:type="dxa"/>
          </w:tcPr>
          <w:p w14:paraId="6BA52B26" w14:textId="77777777" w:rsidR="00A520C9" w:rsidRPr="004E1E3D" w:rsidRDefault="00A520C9" w:rsidP="004446E1">
            <w:pPr>
              <w:pStyle w:val="Tablenumbers"/>
              <w:jc w:val="center"/>
              <w:rPr>
                <w:rFonts w:asciiTheme="majorHAnsi" w:hAnsiTheme="majorHAnsi"/>
                <w:szCs w:val="21"/>
              </w:rPr>
            </w:pPr>
            <w:r w:rsidRPr="004E1E3D">
              <w:rPr>
                <w:rFonts w:asciiTheme="majorHAnsi" w:hAnsiTheme="majorHAnsi"/>
                <w:szCs w:val="21"/>
              </w:rPr>
              <w:t>2.2</w:t>
            </w:r>
          </w:p>
        </w:tc>
        <w:tc>
          <w:tcPr>
            <w:tcW w:w="1216" w:type="dxa"/>
          </w:tcPr>
          <w:p w14:paraId="3A754E29" w14:textId="77777777" w:rsidR="00A520C9" w:rsidRPr="004E1E3D" w:rsidRDefault="00A520C9" w:rsidP="004446E1">
            <w:pPr>
              <w:pStyle w:val="Tablenumbers"/>
              <w:jc w:val="center"/>
              <w:rPr>
                <w:rFonts w:asciiTheme="majorHAnsi" w:hAnsiTheme="majorHAnsi"/>
                <w:szCs w:val="21"/>
              </w:rPr>
            </w:pPr>
            <w:r w:rsidRPr="004E1E3D">
              <w:rPr>
                <w:rFonts w:asciiTheme="majorHAnsi" w:hAnsiTheme="majorHAnsi"/>
                <w:szCs w:val="21"/>
              </w:rPr>
              <w:t>2.3</w:t>
            </w:r>
          </w:p>
        </w:tc>
      </w:tr>
    </w:tbl>
    <w:p w14:paraId="281F9F6B" w14:textId="07C74D5E" w:rsidR="002B4625" w:rsidRDefault="002B4625" w:rsidP="00CE626D">
      <w:pPr>
        <w:pStyle w:val="Tablenotesorsource"/>
        <w:spacing w:before="0"/>
      </w:pPr>
      <w:r>
        <w:t>Note: Components may not sum to totals due to rounding.</w:t>
      </w:r>
    </w:p>
    <w:p w14:paraId="74CCC977" w14:textId="77777777" w:rsidR="00A520C9" w:rsidRDefault="00A520C9" w:rsidP="00A520C9">
      <w:r>
        <w:t>Given that the Scheme only commenced in 2016, the PC and initial Scheme Actuary projections estimated average support needs derived mostly from external sources. From June 2019 onwards more weight was placed on observed Scheme experience.</w:t>
      </w:r>
    </w:p>
    <w:p w14:paraId="6F59E2D2" w14:textId="47224E82" w:rsidR="00A520C9" w:rsidRDefault="00A520C9" w:rsidP="00A520C9">
      <w:r>
        <w:t xml:space="preserve">The 2017 projections had steeper growth than actually occurred, however, from 2024 onwards the two forecasts are almost identical. This means that even after allowing for the $5.7B increase in payments observed over </w:t>
      </w:r>
      <w:r w:rsidR="009956A3">
        <w:t xml:space="preserve">the </w:t>
      </w:r>
      <w:r>
        <w:t>past year, payments for 2020-21 remain below the adjusted PC estimate but are $2.7B higher than the 201</w:t>
      </w:r>
      <w:r w:rsidR="00D320CF">
        <w:t>8-1</w:t>
      </w:r>
      <w:r>
        <w:t>9 AFSR projections.</w:t>
      </w:r>
    </w:p>
    <w:p w14:paraId="665F9796" w14:textId="6B0A63A5" w:rsidR="00A520C9" w:rsidRDefault="00A520C9" w:rsidP="00A520C9">
      <w:r>
        <w:t xml:space="preserve">The main difference between the 2017 and 2019 projections relates to the speed at which people were expected to join the </w:t>
      </w:r>
      <w:r w:rsidR="009A6334">
        <w:t>Scheme</w:t>
      </w:r>
      <w:r>
        <w:t xml:space="preserve">, but with both estimates having similar participant numbers by June 2024. </w:t>
      </w:r>
    </w:p>
    <w:p w14:paraId="7C4734B9" w14:textId="71E9F19E" w:rsidR="00A520C9" w:rsidRDefault="00A520C9" w:rsidP="00A520C9">
      <w:pPr>
        <w:rPr>
          <w:rFonts w:asciiTheme="majorHAnsi" w:eastAsiaTheme="majorEastAsia" w:hAnsiTheme="majorHAnsi" w:cstheme="majorBidi"/>
          <w:color w:val="006EC8" w:themeColor="accent1"/>
        </w:rPr>
      </w:pPr>
      <w:r>
        <w:t>The PC estimates are made using high-level assumptions, many of which were based on their original 201</w:t>
      </w:r>
      <w:r w:rsidR="002B4625">
        <w:t>1</w:t>
      </w:r>
      <w:r>
        <w:t xml:space="preserve"> analysis. For this reason, a reconciliation between current projections and PC estimates is difficult. Since </w:t>
      </w:r>
      <w:r w:rsidR="009956A3">
        <w:t xml:space="preserve">the </w:t>
      </w:r>
      <w:r>
        <w:t>PC estimates align well with the 201</w:t>
      </w:r>
      <w:r w:rsidR="00D320CF">
        <w:t>8-1</w:t>
      </w:r>
      <w:r>
        <w:t>9 AFSR, which is more amendable to comparison, we focus much of the remaining discussion on this comparison.</w:t>
      </w:r>
    </w:p>
    <w:p w14:paraId="52BE983D" w14:textId="0DE85374" w:rsidR="00A520C9" w:rsidRDefault="00A520C9" w:rsidP="00376E9C">
      <w:pPr>
        <w:pStyle w:val="NNheading2alt"/>
      </w:pPr>
      <w:r>
        <w:t>201</w:t>
      </w:r>
      <w:r w:rsidR="00D320CF">
        <w:t>8-1</w:t>
      </w:r>
      <w:r>
        <w:t>9 AFSR to 20</w:t>
      </w:r>
      <w:r w:rsidR="00D320CF">
        <w:t>20-</w:t>
      </w:r>
      <w:r>
        <w:t>21 AFSR</w:t>
      </w:r>
    </w:p>
    <w:p w14:paraId="74E33FE3" w14:textId="442664FD" w:rsidR="00ED2326" w:rsidRDefault="00A520C9" w:rsidP="00A520C9">
      <w:r>
        <w:t>Since June 2019 there have been increases in projected costs relating to a combination of more participants, larger average support packages and higher inflation.</w:t>
      </w:r>
      <w:r w:rsidRPr="00456997">
        <w:t xml:space="preserve"> </w:t>
      </w:r>
      <w:r>
        <w:t xml:space="preserve">The reasons for the changes are consistent across different projection years and therefore we focus on quantifying the changes in payments during 2024-25 and </w:t>
      </w:r>
      <w:r w:rsidRPr="00C57633">
        <w:t>20</w:t>
      </w:r>
      <w:r w:rsidR="00C57633" w:rsidRPr="00C57633">
        <w:t>29-30</w:t>
      </w:r>
      <w:r>
        <w:t xml:space="preserve"> between the two AFSRs.</w:t>
      </w:r>
    </w:p>
    <w:p w14:paraId="0FFD0F23" w14:textId="77777777" w:rsidR="00ED2326" w:rsidRDefault="00ED2326">
      <w:pPr>
        <w:spacing w:before="0" w:after="160" w:line="259" w:lineRule="auto"/>
      </w:pPr>
      <w:r>
        <w:br w:type="page"/>
      </w:r>
    </w:p>
    <w:p w14:paraId="01668C98" w14:textId="39477739" w:rsidR="00A520C9" w:rsidRDefault="00A520C9" w:rsidP="002A687C">
      <w:pPr>
        <w:pStyle w:val="Caption"/>
      </w:pPr>
      <w:r>
        <w:t xml:space="preserve">Figure </w:t>
      </w:r>
      <w:r w:rsidR="009366CE">
        <w:rPr>
          <w:iCs w:val="0"/>
        </w:rPr>
        <w:fldChar w:fldCharType="begin"/>
      </w:r>
      <w:r w:rsidR="009366CE">
        <w:instrText xml:space="preserve"> STYLEREF 1 \s </w:instrText>
      </w:r>
      <w:r w:rsidR="009366CE">
        <w:rPr>
          <w:iCs w:val="0"/>
        </w:rPr>
        <w:fldChar w:fldCharType="separate"/>
      </w:r>
      <w:r w:rsidR="00E6217F">
        <w:rPr>
          <w:noProof/>
        </w:rPr>
        <w:t>5</w:t>
      </w:r>
      <w:r w:rsidR="009366CE">
        <w:rPr>
          <w:iCs w:val="0"/>
        </w:rPr>
        <w:fldChar w:fldCharType="end"/>
      </w:r>
      <w:r w:rsidR="009366CE">
        <w:t>.</w:t>
      </w:r>
      <w:r w:rsidR="009366CE">
        <w:rPr>
          <w:iCs w:val="0"/>
        </w:rPr>
        <w:fldChar w:fldCharType="begin"/>
      </w:r>
      <w:r w:rsidR="009366CE">
        <w:instrText xml:space="preserve"> SEQ Figure \* ARABIC \s 1 </w:instrText>
      </w:r>
      <w:r w:rsidR="009366CE">
        <w:rPr>
          <w:iCs w:val="0"/>
        </w:rPr>
        <w:fldChar w:fldCharType="separate"/>
      </w:r>
      <w:r w:rsidR="00E6217F">
        <w:rPr>
          <w:noProof/>
        </w:rPr>
        <w:t>2</w:t>
      </w:r>
      <w:r w:rsidR="009366CE">
        <w:rPr>
          <w:iCs w:val="0"/>
        </w:rPr>
        <w:fldChar w:fldCharType="end"/>
      </w:r>
      <w:r>
        <w:t xml:space="preserve"> – Change in projected payments from 201</w:t>
      </w:r>
      <w:r w:rsidR="00243F4C">
        <w:t>8-1</w:t>
      </w:r>
      <w:r>
        <w:t>9 to 20</w:t>
      </w:r>
      <w:r w:rsidR="00243F4C">
        <w:t>20-</w:t>
      </w:r>
      <w:r>
        <w:t>21 AFSR estimates</w:t>
      </w:r>
    </w:p>
    <w:p w14:paraId="4F0F0073" w14:textId="534050D6" w:rsidR="00C57633" w:rsidRDefault="00C57633" w:rsidP="00A520C9">
      <w:pPr>
        <w:spacing w:after="0"/>
      </w:pPr>
    </w:p>
    <w:p w14:paraId="6373116D" w14:textId="3A4968F1" w:rsidR="00ED2326" w:rsidRDefault="00ED2326" w:rsidP="00A520C9">
      <w:pPr>
        <w:spacing w:after="0"/>
      </w:pPr>
      <w:r>
        <w:rPr>
          <w:noProof/>
        </w:rPr>
        <w:drawing>
          <wp:inline distT="0" distB="0" distL="0" distR="0" wp14:anchorId="2D4BA923" wp14:editId="446AF17B">
            <wp:extent cx="5976620" cy="3103245"/>
            <wp:effectExtent l="0" t="0" r="5080" b="1905"/>
            <wp:docPr id="147" name="Graphic 147" descr="2017-2018.&#10;Actual Payments. Total payments. 5.4.&#10;June 2019 AFSR. -.&#10;Cost Escalation. -.&#10;Revised average package costs. -.&#10;Revised participant numbers. -.&#10;Revised SIL proportions. -.&#10;&#10;&#10;2018-2019.&#10;Actual Payments. 10.5.&#10;June 2019 AFSR. -.&#10;Cost Escalation. -.&#10;Revised average package costs. -.&#10;Revised participant numbers. -.&#10;Revised SIL proportions. -.&#10;&#10;&#10;&#10;2019-2020.&#10;Actual Payments. 17.6.&#10;June 2019 AFSR. 16.3.&#10;Cost Escalation. -.&#10;Revised average package costs. -.&#10;Revised participant numbers. -.&#10;Revised SIL proportions. -.&#10;&#10;&#10;2020-2021.&#10;Actual Payments. 23.3.&#10;June 2019 AFSR. 20.6.&#10;Cost Escalation. -.&#10;Revised average package costs. -.&#10;Revised participant numbers. -.&#10;Revised SIL proportions. -.&#10;&#10;&#10;2021-2022.&#10;Actual Payments. -.&#10;June 2019 AFSR. 23.9.&#10;Cost Escalation. 1.9.&#10;Revised average package costs. 3.2.&#10;Revised participant numbers. -0.2.&#10;Revised SIL proportions. 0.8.&#10;&#10;&#10;&#10;2022-2023.&#10;Actual Payments. -.&#10;June 2019 AFSR. 26.6.&#10;Cost Escalation. 3.5.&#10;Revised average package costs. 3.2.&#10;Revised participant numbers. 0.&#10;Revised SIL proportions. 1.&#10;&#10;&#10;2023-2024.&#10;Actual Payments. -.&#10;June 2019 AFSR. 28.8.&#10;Cost Escalation. 4.8.&#10;Revised average package costs. 3.3.&#10;Revised participant numbers. 0.6.&#10;Revised SIL proportions. 1.3.&#10;&#10;&#10;2024-2025.&#10;Actual Payments. -.&#10;June 2019 AFSR. 30.8.&#10;Cost Escalation. 5.5.&#10;Revised average package costs. 3.4.&#10;Revised participant numbers. 1.1.&#10;Revised SIL proportions. 1.6.&#10;&#10;2025-2026-.&#10;Actual Payments. -.&#10;June 2019 AFSR. 33.1.&#10;Cost Escalation. 5.7.&#10;Revised average package costs. 3.6.&#10;Revised participant numbers. 1.6.&#10;Revised SIL proportions. 1.9.&#10;&#10;2026-2027.&#10;Actual Payments. -.&#10;June 2019 AFSR. 35.5.&#10;Cost Escalation. 5.8.&#10;Revised average package costs. 3.8.&#10;Revised participant numbers. 2.1.&#10;Revised SIL proportions. 2.2.&#10;&#10;2027-2028.&#10;Actual Payments. -.&#10;June 2019 AFSR. 38.1.&#10;Cost Escalation. 5.9.&#10;Revised average package costs. 4.&#10;Revised participant numbers. 2.7.&#10;Revised SIL proportions. 2.7.&#10;&#10;&#10;2028-2029.&#10;Actual Payments. -.&#10;June 2019 AFSR. 40.9.&#10;Cost Escalation. 6.&#10;Revised average package costs. 4.3.&#10;Revised participant numbers. 3.3.&#10;Revised SIL proportions. 3.1.&#10;&#10;&#10;2029-2030.&#10;Actual Payments. -.&#10;June 2019 AFSR. 43.7.&#10;Cost Escalation. 6.1.&#10;Revised average package costs. 4.5.&#10;Revised participant numbers. 4.1.&#10;Revised SIL proportion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Graphic 147" descr="2017-2018.&#10;Actual Payments. Total payments. 5.4.&#10;June 2019 AFSR. -.&#10;Cost Escalation. -.&#10;Revised average package costs. -.&#10;Revised participant numbers. -.&#10;Revised SIL proportions. -.&#10;&#10;&#10;2018-2019.&#10;Actual Payments. 10.5.&#10;June 2019 AFSR. -.&#10;Cost Escalation. -.&#10;Revised average package costs. -.&#10;Revised participant numbers. -.&#10;Revised SIL proportions. -.&#10;&#10;&#10;&#10;2019-2020.&#10;Actual Payments. 17.6.&#10;June 2019 AFSR. 16.3.&#10;Cost Escalation. -.&#10;Revised average package costs. -.&#10;Revised participant numbers. -.&#10;Revised SIL proportions. -.&#10;&#10;&#10;2020-2021.&#10;Actual Payments. 23.3.&#10;June 2019 AFSR. 20.6.&#10;Cost Escalation. -.&#10;Revised average package costs. -.&#10;Revised participant numbers. -.&#10;Revised SIL proportions. -.&#10;&#10;&#10;2021-2022.&#10;Actual Payments. -.&#10;June 2019 AFSR. 23.9.&#10;Cost Escalation. 1.9.&#10;Revised average package costs. 3.2.&#10;Revised participant numbers. -0.2.&#10;Revised SIL proportions. 0.8.&#10;&#10;&#10;&#10;2022-2023.&#10;Actual Payments. -.&#10;June 2019 AFSR. 26.6.&#10;Cost Escalation. 3.5.&#10;Revised average package costs. 3.2.&#10;Revised participant numbers. 0.&#10;Revised SIL proportions. 1.&#10;&#10;&#10;2023-2024.&#10;Actual Payments. -.&#10;June 2019 AFSR. 28.8.&#10;Cost Escalation. 4.8.&#10;Revised average package costs. 3.3.&#10;Revised participant numbers. 0.6.&#10;Revised SIL proportions. 1.3.&#10;&#10;&#10;2024-2025.&#10;Actual Payments. -.&#10;June 2019 AFSR. 30.8.&#10;Cost Escalation. 5.5.&#10;Revised average package costs. 3.4.&#10;Revised participant numbers. 1.1.&#10;Revised SIL proportions. 1.6.&#10;&#10;2025-2026-.&#10;Actual Payments. -.&#10;June 2019 AFSR. 33.1.&#10;Cost Escalation. 5.7.&#10;Revised average package costs. 3.6.&#10;Revised participant numbers. 1.6.&#10;Revised SIL proportions. 1.9.&#10;&#10;2026-2027.&#10;Actual Payments. -.&#10;June 2019 AFSR. 35.5.&#10;Cost Escalation. 5.8.&#10;Revised average package costs. 3.8.&#10;Revised participant numbers. 2.1.&#10;Revised SIL proportions. 2.2.&#10;&#10;2027-2028.&#10;Actual Payments. -.&#10;June 2019 AFSR. 38.1.&#10;Cost Escalation. 5.9.&#10;Revised average package costs. 4.&#10;Revised participant numbers. 2.7.&#10;Revised SIL proportions. 2.7.&#10;&#10;&#10;2028-2029.&#10;Actual Payments. -.&#10;June 2019 AFSR. 40.9.&#10;Cost Escalation. 6.&#10;Revised average package costs. 4.3.&#10;Revised participant numbers. 3.3.&#10;Revised SIL proportions. 3.1.&#10;&#10;&#10;2029-2030.&#10;Actual Payments. -.&#10;June 2019 AFSR. 43.7.&#10;Cost Escalation. 6.1.&#10;Revised average package costs. 4.5.&#10;Revised participant numbers. 4.1.&#10;Revised SIL proportions. 3.5."/>
                    <pic:cNvPicPr/>
                  </pic:nvPicPr>
                  <pic:blipFill>
                    <a:blip r:embed="rId31" cstate="print">
                      <a:extLst>
                        <a:ext uri="{28A0092B-C50C-407E-A947-70E740481C1C}">
                          <a14:useLocalDpi xmlns:a14="http://schemas.microsoft.com/office/drawing/2010/main"/>
                        </a:ext>
                        <a:ext uri="{96DAC541-7B7A-43D3-8B79-37D633B846F1}">
                          <asvg:svgBlip xmlns:asvg="http://schemas.microsoft.com/office/drawing/2016/SVG/main" r:embed="rId32"/>
                        </a:ext>
                      </a:extLst>
                    </a:blip>
                    <a:stretch>
                      <a:fillRect/>
                    </a:stretch>
                  </pic:blipFill>
                  <pic:spPr>
                    <a:xfrm>
                      <a:off x="0" y="0"/>
                      <a:ext cx="5976620" cy="3103245"/>
                    </a:xfrm>
                    <a:prstGeom prst="rect">
                      <a:avLst/>
                    </a:prstGeom>
                  </pic:spPr>
                </pic:pic>
              </a:graphicData>
            </a:graphic>
          </wp:inline>
        </w:drawing>
      </w:r>
    </w:p>
    <w:p w14:paraId="562C641B" w14:textId="77777777" w:rsidR="00A520C9" w:rsidRPr="00C924E4" w:rsidRDefault="00A520C9" w:rsidP="00A520C9">
      <w:pPr>
        <w:spacing w:before="0" w:after="240"/>
        <w:rPr>
          <w:sz w:val="16"/>
          <w:szCs w:val="16"/>
        </w:rPr>
      </w:pPr>
      <w:r w:rsidRPr="00C924E4">
        <w:rPr>
          <w:sz w:val="16"/>
          <w:szCs w:val="16"/>
        </w:rPr>
        <w:t>Note: Because the SIL proportion (purple area) is a reductio</w:t>
      </w:r>
      <w:r>
        <w:rPr>
          <w:sz w:val="16"/>
          <w:szCs w:val="16"/>
        </w:rPr>
        <w:t>n,</w:t>
      </w:r>
      <w:r w:rsidRPr="00C924E4">
        <w:rPr>
          <w:sz w:val="16"/>
          <w:szCs w:val="16"/>
        </w:rPr>
        <w:t xml:space="preserve"> the increase relating to revised participant numbers needs to be measured from the bottom of the purple area</w:t>
      </w:r>
    </w:p>
    <w:p w14:paraId="00094531" w14:textId="72151544" w:rsidR="00A520C9" w:rsidRDefault="00A520C9" w:rsidP="00A520C9">
      <w:r>
        <w:t xml:space="preserve">To produce this attribution we have used the following method. Starting with the </w:t>
      </w:r>
      <w:r w:rsidR="00D320CF">
        <w:t>2018-19 AFSR</w:t>
      </w:r>
      <w:r>
        <w:t xml:space="preserve"> model assumptions and structure we:</w:t>
      </w:r>
    </w:p>
    <w:p w14:paraId="7EB01E85" w14:textId="77777777" w:rsidR="00A520C9" w:rsidRDefault="00A520C9" w:rsidP="00A520C9">
      <w:pPr>
        <w:pStyle w:val="Bullet1"/>
      </w:pPr>
      <w:r>
        <w:t>Substitute in the 2021 starting number of participants and the assumptions around entrants, transitions and exits</w:t>
      </w:r>
    </w:p>
    <w:p w14:paraId="458FDD96" w14:textId="77777777" w:rsidR="00A520C9" w:rsidRPr="001130BC" w:rsidRDefault="00A520C9" w:rsidP="00A520C9">
      <w:pPr>
        <w:pStyle w:val="Bullet1"/>
      </w:pPr>
      <w:r>
        <w:t>Substitute in the 2021 assumptions of initial and future SIL rates</w:t>
      </w:r>
    </w:p>
    <w:p w14:paraId="3B34A221" w14:textId="77777777" w:rsidR="00A520C9" w:rsidRDefault="00A520C9" w:rsidP="00A520C9">
      <w:pPr>
        <w:pStyle w:val="Bullet1"/>
      </w:pPr>
      <w:r>
        <w:t>Substitute in 2021 average cost assumptions for each cohort</w:t>
      </w:r>
    </w:p>
    <w:p w14:paraId="6D3C8F45" w14:textId="77777777" w:rsidR="00A520C9" w:rsidRPr="001130BC" w:rsidRDefault="00A520C9" w:rsidP="00A520C9">
      <w:pPr>
        <w:pStyle w:val="Bullet1"/>
      </w:pPr>
      <w:r>
        <w:t xml:space="preserve">Substitute in inflation assumptions. </w:t>
      </w:r>
    </w:p>
    <w:p w14:paraId="47514E9D" w14:textId="7EC9D697" w:rsidR="00A520C9" w:rsidRDefault="00A520C9" w:rsidP="00A520C9">
      <w:r>
        <w:t>The average cost assumptions used by</w:t>
      </w:r>
      <w:r w:rsidR="009956A3">
        <w:t xml:space="preserve"> the</w:t>
      </w:r>
      <w:r>
        <w:t xml:space="preserve"> Scheme Actuary are the assumed support costs at June 2021 for different participant cohorts. In quantifying the impact of how these have changed since the </w:t>
      </w:r>
      <w:r w:rsidR="00D320CF">
        <w:t>2018-19 AFSR</w:t>
      </w:r>
      <w:r>
        <w:t xml:space="preserve"> we took the 2019 assumptions and indexed them in accordance with the cost escalation assumptions from the 2019 report for the first two projection years. Therefore, the changes in the cost escalation assumptions measure the change in the rate of growth in costs (both from price and non-price factors) from 1 July 2021 onwards between the 201</w:t>
      </w:r>
      <w:r w:rsidR="00243F4C">
        <w:t>8-1</w:t>
      </w:r>
      <w:r>
        <w:t>9 and 202</w:t>
      </w:r>
      <w:r w:rsidR="00243F4C">
        <w:t>0-2</w:t>
      </w:r>
      <w:r>
        <w:t xml:space="preserve">1 AFSRs. </w:t>
      </w:r>
    </w:p>
    <w:p w14:paraId="1541C351" w14:textId="3EA3C5D6" w:rsidR="00A520C9" w:rsidRDefault="00A520C9" w:rsidP="00A520C9">
      <w:r>
        <w:t>The differences between the 201</w:t>
      </w:r>
      <w:r w:rsidR="00243F4C">
        <w:t>8-1</w:t>
      </w:r>
      <w:r>
        <w:t>9 and 20</w:t>
      </w:r>
      <w:r w:rsidR="00243F4C">
        <w:t>20-</w:t>
      </w:r>
      <w:r>
        <w:t xml:space="preserve">21 AFSRs are explored in more detail in the following sections. It is worth noting that due to the interaction between assumptions, the order in which changes are made affects how the increase in costs is attributed. </w:t>
      </w:r>
    </w:p>
    <w:p w14:paraId="12082BD9" w14:textId="37001FA5" w:rsidR="006529C9" w:rsidRDefault="006529C9" w:rsidP="00A520C9">
      <w:r w:rsidRPr="007011AC">
        <w:t>Over the next four years to 2024-25</w:t>
      </w:r>
      <w:r w:rsidR="005040A4">
        <w:t>,</w:t>
      </w:r>
      <w:r w:rsidRPr="007011AC">
        <w:t xml:space="preserve"> </w:t>
      </w:r>
      <w:r w:rsidR="00F42104" w:rsidRPr="007011AC">
        <w:t xml:space="preserve">higher </w:t>
      </w:r>
      <w:r w:rsidRPr="007011AC">
        <w:t xml:space="preserve">average package cost </w:t>
      </w:r>
      <w:r w:rsidR="00F36406">
        <w:t>is</w:t>
      </w:r>
      <w:r w:rsidRPr="007011AC">
        <w:t xml:space="preserve"> the main reason for the increase relative to the 20</w:t>
      </w:r>
      <w:r w:rsidR="00F36406">
        <w:t>18-</w:t>
      </w:r>
      <w:r w:rsidRPr="007011AC">
        <w:t>19 AFS</w:t>
      </w:r>
      <w:r w:rsidR="00F36406">
        <w:t>R</w:t>
      </w:r>
      <w:r w:rsidRPr="007011AC">
        <w:t xml:space="preserve">, whereas </w:t>
      </w:r>
      <w:r w:rsidR="00F42104" w:rsidRPr="007011AC">
        <w:t>by 2029-30 it is the ongoing growth in participant numbers which is the largest driver of the increase.</w:t>
      </w:r>
    </w:p>
    <w:p w14:paraId="5D392C99" w14:textId="5EEE82DB" w:rsidR="00A520C9" w:rsidRDefault="00A520C9" w:rsidP="002A687C">
      <w:pPr>
        <w:pStyle w:val="Caption"/>
      </w:pPr>
      <w:r w:rsidRPr="00C133EE">
        <w:t xml:space="preserve">Figure </w:t>
      </w:r>
      <w:r w:rsidR="009366CE">
        <w:rPr>
          <w:iCs w:val="0"/>
        </w:rPr>
        <w:fldChar w:fldCharType="begin"/>
      </w:r>
      <w:r w:rsidR="009366CE">
        <w:instrText xml:space="preserve"> STYLEREF 1 \s </w:instrText>
      </w:r>
      <w:r w:rsidR="009366CE">
        <w:rPr>
          <w:iCs w:val="0"/>
        </w:rPr>
        <w:fldChar w:fldCharType="separate"/>
      </w:r>
      <w:r w:rsidR="00E6217F">
        <w:rPr>
          <w:noProof/>
        </w:rPr>
        <w:t>5</w:t>
      </w:r>
      <w:r w:rsidR="009366CE">
        <w:rPr>
          <w:iCs w:val="0"/>
        </w:rPr>
        <w:fldChar w:fldCharType="end"/>
      </w:r>
      <w:r w:rsidR="009366CE">
        <w:t>.</w:t>
      </w:r>
      <w:r w:rsidR="009366CE">
        <w:rPr>
          <w:iCs w:val="0"/>
        </w:rPr>
        <w:fldChar w:fldCharType="begin"/>
      </w:r>
      <w:r w:rsidR="009366CE">
        <w:instrText xml:space="preserve"> SEQ Figure \* ARABIC \s 1 </w:instrText>
      </w:r>
      <w:r w:rsidR="009366CE">
        <w:rPr>
          <w:iCs w:val="0"/>
        </w:rPr>
        <w:fldChar w:fldCharType="separate"/>
      </w:r>
      <w:r w:rsidR="00E6217F">
        <w:rPr>
          <w:noProof/>
        </w:rPr>
        <w:t>3</w:t>
      </w:r>
      <w:r w:rsidR="009366CE">
        <w:rPr>
          <w:iCs w:val="0"/>
        </w:rPr>
        <w:fldChar w:fldCharType="end"/>
      </w:r>
      <w:r w:rsidRPr="00C133EE">
        <w:t xml:space="preserve"> – </w:t>
      </w:r>
      <w:r>
        <w:t>Difference in projected payments between 201</w:t>
      </w:r>
      <w:r w:rsidR="00243F4C">
        <w:t>8-1</w:t>
      </w:r>
      <w:r>
        <w:t>9 and 20</w:t>
      </w:r>
      <w:r w:rsidR="00243F4C">
        <w:t>20-</w:t>
      </w:r>
      <w:r>
        <w:t>21 AFSR forecast models, selected support types and disability categories</w:t>
      </w:r>
    </w:p>
    <w:p w14:paraId="0A0C7D5D" w14:textId="562B82B7" w:rsidR="001C4016" w:rsidRDefault="002B4625" w:rsidP="00A520C9">
      <w:pPr>
        <w:spacing w:before="0" w:after="160" w:line="259" w:lineRule="auto"/>
      </w:pPr>
      <w:r w:rsidRPr="008058BF">
        <w:rPr>
          <w:noProof/>
        </w:rPr>
        <w:drawing>
          <wp:inline distT="0" distB="0" distL="0" distR="0" wp14:anchorId="5E427C6C" wp14:editId="1A5F1297">
            <wp:extent cx="5976620" cy="2584450"/>
            <wp:effectExtent l="0" t="0" r="5080" b="6350"/>
            <wp:docPr id="170" name="Picture 170" descr="Change in Payments by Support Category&#10;&#10;Non-SIL. Daily Activities.&#10;Projected payments ($B)&#10;2025. 5.1.&#10;2030. 7.7.&#10;&#10;&#10;Non-SIL. Social &amp; Community.&#10;Projected payments ($B)&#10;2025. 1.9.&#10;2030. 3.6.&#10;&#10;&#10;Non-SIL. CB Daily Activities.&#10;Projected payments ($B)&#10;2025. 2.3.&#10;2030. 3.0.&#10;&#10;&#10;Non-SIL. Support Coordination.&#10;Projected payments ($B)&#10;2025. 0.5.&#10;2030. 0.7.&#10;&#10;&#10;Non-SIL. Other Supports.&#10;Projected payments ($B)&#10;2025. 1.0.&#10;2030. 1.5.&#10;&#10;&#10;SIL. Daily Activities.&#10;Projected payments ($B)&#10;2025. -0.7.&#10;2030. -1.5.&#10;&#10;&#10;SIL. Other Supports.&#10;Projected payments ($B)&#10;2025. -0.0.&#10;2030. -0.2.&#10;&#10;Change in Payments by Disability&#10;&#10;Non-SIL. Autism. &#10;Projected payments ($B)&#10;2025. 3.7.&#10;2030. 6.9.&#10;&#10;Non-SIL Intellectual Disabilities. &#10;Projected payments ($B)&#10;2025. 1.6.&#10;2030. 2.5.&#10;&#10;Non-SIL Psychosocial Disabilities. &#10;Projected payments ($B)&#10;2025. 2.0.&#10;2030. 3.1.&#10;&#10;Non-SIL Other Disabilities. &#10;Projected payments ($B)&#10;2025. 3.4.&#10;2030. 4.0.&#10;&#10;Non-SIL Autism. &#10;Projected payments ($B)&#10;2025. 0.3.&#10;2030. 0.5.&#10;&#10;SIL Intellectual Disabilities. &#10;Projected payments ($B)&#10;2025. -1.4.&#10;2030. -2.4.&#10;&#10;SIL Other Disabilities. &#10;Projected payments ($B)&#10;2025. 0.4.&#10;2030.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hange in Payments by Support Category&#10;&#10;Non-SIL. Daily Activities.&#10;Projected payments ($B)&#10;2025. 5.1.&#10;2030. 7.7.&#10;&#10;&#10;Non-SIL. Social &amp; Community.&#10;Projected payments ($B)&#10;2025. 1.9.&#10;2030. 3.6.&#10;&#10;&#10;Non-SIL. CB Daily Activities.&#10;Projected payments ($B)&#10;2025. 2.3.&#10;2030. 3.0.&#10;&#10;&#10;Non-SIL. Support Coordination.&#10;Projected payments ($B)&#10;2025. 0.5.&#10;2030. 0.7.&#10;&#10;&#10;Non-SIL. Other Supports.&#10;Projected payments ($B)&#10;2025. 1.0.&#10;2030. 1.5.&#10;&#10;&#10;SIL. Daily Activities.&#10;Projected payments ($B)&#10;2025. -0.7.&#10;2030. -1.5.&#10;&#10;&#10;SIL. Other Supports.&#10;Projected payments ($B)&#10;2025. -0.0.&#10;2030. -0.2.&#10;&#10;Change in Payments by Disability&#10;&#10;Non-SIL. Autism. &#10;Projected payments ($B)&#10;2025. 3.7.&#10;2030. 6.9.&#10;&#10;Non-SIL Intellectual Disabilities. &#10;Projected payments ($B)&#10;2025. 1.6.&#10;2030. 2.5.&#10;&#10;Non-SIL Psychosocial Disabilities. &#10;Projected payments ($B)&#10;2025. 2.0.&#10;2030. 3.1.&#10;&#10;Non-SIL Other Disabilities. &#10;Projected payments ($B)&#10;2025. 3.4.&#10;2030. 4.0.&#10;&#10;Non-SIL Autism. &#10;Projected payments ($B)&#10;2025. 0.3.&#10;2030. 0.5.&#10;&#10;SIL Intellectual Disabilities. &#10;Projected payments ($B)&#10;2025. -1.4.&#10;2030. -2.4.&#10;&#10;SIL Other Disabilities. &#10;Projected payments ($B)&#10;2025. 0.4.&#10;2030. 0.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976620" cy="2584450"/>
                    </a:xfrm>
                    <a:prstGeom prst="rect">
                      <a:avLst/>
                    </a:prstGeom>
                    <a:noFill/>
                    <a:ln>
                      <a:noFill/>
                    </a:ln>
                  </pic:spPr>
                </pic:pic>
              </a:graphicData>
            </a:graphic>
          </wp:inline>
        </w:drawing>
      </w:r>
    </w:p>
    <w:p w14:paraId="7570CFA2" w14:textId="1237EF04" w:rsidR="00A520C9" w:rsidRDefault="00A520C9" w:rsidP="00A520C9">
      <w:pPr>
        <w:spacing w:before="0" w:after="160" w:line="259" w:lineRule="auto"/>
      </w:pPr>
      <w:r>
        <w:t>For non-SIL costs, most of the increases in payments relate to Daily Activities, Social and Community access as well as capacity building for daily activities. These services are spread across most disabilities</w:t>
      </w:r>
      <w:r w:rsidR="00E64396">
        <w:t>,</w:t>
      </w:r>
      <w:r>
        <w:t xml:space="preserve"> with autism, intellectual and psychosocial disabilities having the largest shares. Autism costs in particular are projected to increase significantly. Total daily activity costs for SIL participants, especially those with intellectual disabilities, are forecast to increase </w:t>
      </w:r>
      <w:r w:rsidR="00D7389C">
        <w:t xml:space="preserve">slower </w:t>
      </w:r>
      <w:r>
        <w:t>than the 201</w:t>
      </w:r>
      <w:r w:rsidR="00D320CF">
        <w:t>8-1</w:t>
      </w:r>
      <w:r>
        <w:t>9 AFSR estimates as fewer participants are now expected to be in SIL.</w:t>
      </w:r>
    </w:p>
    <w:p w14:paraId="03DA62D5" w14:textId="77777777" w:rsidR="00A520C9" w:rsidRDefault="00A520C9" w:rsidP="00376E9C">
      <w:pPr>
        <w:pStyle w:val="NNheading2alt"/>
      </w:pPr>
      <w:r>
        <w:t>Comparisons to other AFSR estimates</w:t>
      </w:r>
    </w:p>
    <w:p w14:paraId="6C0E24EC" w14:textId="19531FC9" w:rsidR="00A520C9" w:rsidRDefault="00A520C9" w:rsidP="00A520C9">
      <w:pPr>
        <w:spacing w:before="0" w:after="160" w:line="259" w:lineRule="auto"/>
      </w:pPr>
      <w:r>
        <w:t>Between June 2019 and June 2021 there have been other forecasts made, most recently the 20</w:t>
      </w:r>
      <w:r w:rsidR="00D320CF">
        <w:t>19-20</w:t>
      </w:r>
      <w:r>
        <w:t xml:space="preserve"> AFSR and the December 2020 interim AFSR. We have reproduced the NDIA’s summary table of comparisons for convenience.</w:t>
      </w:r>
    </w:p>
    <w:p w14:paraId="75AB5DA1" w14:textId="717825EB" w:rsidR="00A520C9" w:rsidRDefault="00A520C9" w:rsidP="00A520C9">
      <w:pPr>
        <w:pStyle w:val="Caption"/>
      </w:pPr>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2</w:t>
      </w:r>
      <w:r w:rsidR="007F6BE8">
        <w:fldChar w:fldCharType="end"/>
      </w:r>
      <w:r>
        <w:t xml:space="preserve"> – NDIS projected costs, accrual basis ($B)</w:t>
      </w:r>
    </w:p>
    <w:tbl>
      <w:tblPr>
        <w:tblStyle w:val="TFBlue"/>
        <w:tblW w:w="8114" w:type="dxa"/>
        <w:tblLook w:val="04A0" w:firstRow="1" w:lastRow="0" w:firstColumn="1" w:lastColumn="0" w:noHBand="0" w:noVBand="1"/>
      </w:tblPr>
      <w:tblGrid>
        <w:gridCol w:w="2778"/>
        <w:gridCol w:w="667"/>
        <w:gridCol w:w="667"/>
        <w:gridCol w:w="667"/>
        <w:gridCol w:w="667"/>
        <w:gridCol w:w="667"/>
        <w:gridCol w:w="667"/>
        <w:gridCol w:w="667"/>
        <w:gridCol w:w="667"/>
      </w:tblGrid>
      <w:tr w:rsidR="00A520C9" w14:paraId="2FE9D3B0" w14:textId="77777777" w:rsidTr="00DA0930">
        <w:trPr>
          <w:cnfStyle w:val="100000000000" w:firstRow="1" w:lastRow="0" w:firstColumn="0" w:lastColumn="0" w:oddVBand="0" w:evenVBand="0" w:oddHBand="0" w:evenHBand="0" w:firstRowFirstColumn="0" w:firstRowLastColumn="0" w:lastRowFirstColumn="0" w:lastRowLastColumn="0"/>
          <w:cantSplit/>
          <w:trHeight w:val="1134"/>
        </w:trPr>
        <w:tc>
          <w:tcPr>
            <w:tcW w:w="2778" w:type="dxa"/>
          </w:tcPr>
          <w:p w14:paraId="4A33D8E8" w14:textId="77777777" w:rsidR="00A520C9" w:rsidRDefault="00A520C9" w:rsidP="00DA0930">
            <w:pPr>
              <w:spacing w:before="0" w:after="160" w:line="259" w:lineRule="auto"/>
            </w:pPr>
          </w:p>
        </w:tc>
        <w:tc>
          <w:tcPr>
            <w:tcW w:w="667" w:type="dxa"/>
            <w:textDirection w:val="btLr"/>
            <w:vAlign w:val="center"/>
          </w:tcPr>
          <w:p w14:paraId="42151A04" w14:textId="77777777" w:rsidR="00A520C9" w:rsidRDefault="00A520C9" w:rsidP="00DA0930">
            <w:pPr>
              <w:spacing w:before="0" w:after="0" w:line="259" w:lineRule="auto"/>
              <w:ind w:left="113" w:right="113"/>
            </w:pPr>
            <w:r>
              <w:t>2017-18</w:t>
            </w:r>
          </w:p>
        </w:tc>
        <w:tc>
          <w:tcPr>
            <w:tcW w:w="667" w:type="dxa"/>
            <w:textDirection w:val="btLr"/>
            <w:vAlign w:val="center"/>
          </w:tcPr>
          <w:p w14:paraId="3E93EE36" w14:textId="77777777" w:rsidR="00A520C9" w:rsidRDefault="00A520C9" w:rsidP="00DA0930">
            <w:pPr>
              <w:spacing w:before="0" w:after="0" w:line="259" w:lineRule="auto"/>
              <w:ind w:left="113" w:right="113"/>
            </w:pPr>
            <w:r>
              <w:t>2018-19</w:t>
            </w:r>
          </w:p>
        </w:tc>
        <w:tc>
          <w:tcPr>
            <w:tcW w:w="667" w:type="dxa"/>
            <w:textDirection w:val="btLr"/>
            <w:vAlign w:val="center"/>
          </w:tcPr>
          <w:p w14:paraId="4C265087" w14:textId="77777777" w:rsidR="00A520C9" w:rsidRDefault="00A520C9" w:rsidP="00DA0930">
            <w:pPr>
              <w:spacing w:before="0" w:after="0" w:line="259" w:lineRule="auto"/>
              <w:ind w:left="113" w:right="113"/>
            </w:pPr>
            <w:r>
              <w:t>2019-20</w:t>
            </w:r>
          </w:p>
        </w:tc>
        <w:tc>
          <w:tcPr>
            <w:tcW w:w="667" w:type="dxa"/>
            <w:textDirection w:val="btLr"/>
            <w:vAlign w:val="center"/>
          </w:tcPr>
          <w:p w14:paraId="74EC2CBF" w14:textId="77777777" w:rsidR="00A520C9" w:rsidRDefault="00A520C9" w:rsidP="00DA0930">
            <w:pPr>
              <w:spacing w:before="0" w:after="0" w:line="259" w:lineRule="auto"/>
              <w:ind w:left="113" w:right="113"/>
            </w:pPr>
            <w:r>
              <w:t>2020-21</w:t>
            </w:r>
          </w:p>
        </w:tc>
        <w:tc>
          <w:tcPr>
            <w:tcW w:w="667" w:type="dxa"/>
            <w:textDirection w:val="btLr"/>
            <w:vAlign w:val="center"/>
          </w:tcPr>
          <w:p w14:paraId="237D9632" w14:textId="77777777" w:rsidR="00A520C9" w:rsidRDefault="00A520C9" w:rsidP="00DA0930">
            <w:pPr>
              <w:spacing w:before="0" w:after="0" w:line="259" w:lineRule="auto"/>
              <w:ind w:left="113" w:right="113"/>
            </w:pPr>
            <w:r>
              <w:t>2021-22</w:t>
            </w:r>
          </w:p>
        </w:tc>
        <w:tc>
          <w:tcPr>
            <w:tcW w:w="667" w:type="dxa"/>
            <w:textDirection w:val="btLr"/>
            <w:vAlign w:val="center"/>
          </w:tcPr>
          <w:p w14:paraId="23F7CAEA" w14:textId="77777777" w:rsidR="00A520C9" w:rsidRDefault="00A520C9" w:rsidP="00DA0930">
            <w:pPr>
              <w:spacing w:before="0" w:after="0" w:line="259" w:lineRule="auto"/>
              <w:ind w:left="113" w:right="113"/>
            </w:pPr>
            <w:r>
              <w:t>2022-23</w:t>
            </w:r>
          </w:p>
        </w:tc>
        <w:tc>
          <w:tcPr>
            <w:tcW w:w="667" w:type="dxa"/>
            <w:textDirection w:val="btLr"/>
            <w:vAlign w:val="center"/>
          </w:tcPr>
          <w:p w14:paraId="7430492C" w14:textId="77777777" w:rsidR="00A520C9" w:rsidRDefault="00A520C9" w:rsidP="00DA0930">
            <w:pPr>
              <w:spacing w:before="0" w:after="0" w:line="259" w:lineRule="auto"/>
              <w:ind w:left="113" w:right="113"/>
            </w:pPr>
            <w:r>
              <w:t>2023-24</w:t>
            </w:r>
          </w:p>
        </w:tc>
        <w:tc>
          <w:tcPr>
            <w:tcW w:w="667" w:type="dxa"/>
            <w:textDirection w:val="btLr"/>
            <w:vAlign w:val="center"/>
          </w:tcPr>
          <w:p w14:paraId="7B7418D6" w14:textId="77777777" w:rsidR="00A520C9" w:rsidRDefault="00A520C9" w:rsidP="00DA0930">
            <w:pPr>
              <w:spacing w:before="0" w:after="0" w:line="259" w:lineRule="auto"/>
              <w:ind w:left="113" w:right="113"/>
            </w:pPr>
            <w:r>
              <w:t>2024-25</w:t>
            </w:r>
          </w:p>
        </w:tc>
      </w:tr>
      <w:tr w:rsidR="00A520C9" w14:paraId="5AEB9485" w14:textId="77777777" w:rsidTr="00DA0930">
        <w:trPr>
          <w:cnfStyle w:val="000000100000" w:firstRow="0" w:lastRow="0" w:firstColumn="0" w:lastColumn="0" w:oddVBand="0" w:evenVBand="0" w:oddHBand="1" w:evenHBand="0" w:firstRowFirstColumn="0" w:firstRowLastColumn="0" w:lastRowFirstColumn="0" w:lastRowLastColumn="0"/>
        </w:trPr>
        <w:tc>
          <w:tcPr>
            <w:tcW w:w="2778" w:type="dxa"/>
            <w:vAlign w:val="center"/>
          </w:tcPr>
          <w:p w14:paraId="386AC9D9" w14:textId="77777777" w:rsidR="00A520C9" w:rsidRDefault="00A520C9" w:rsidP="00DA0930">
            <w:pPr>
              <w:pStyle w:val="Tabletext"/>
            </w:pPr>
            <w:r>
              <w:t>Actual Costs (accrual)</w:t>
            </w:r>
          </w:p>
        </w:tc>
        <w:tc>
          <w:tcPr>
            <w:tcW w:w="667" w:type="dxa"/>
            <w:vAlign w:val="center"/>
          </w:tcPr>
          <w:p w14:paraId="73CE6B89" w14:textId="77777777" w:rsidR="00A520C9" w:rsidRDefault="00A520C9" w:rsidP="00DA0930">
            <w:pPr>
              <w:pStyle w:val="Tablenumbers"/>
            </w:pPr>
            <w:r>
              <w:t>5.4</w:t>
            </w:r>
          </w:p>
        </w:tc>
        <w:tc>
          <w:tcPr>
            <w:tcW w:w="667" w:type="dxa"/>
            <w:vAlign w:val="center"/>
          </w:tcPr>
          <w:p w14:paraId="51006194" w14:textId="77777777" w:rsidR="00A520C9" w:rsidRDefault="00A520C9" w:rsidP="00DA0930">
            <w:pPr>
              <w:pStyle w:val="Tablenumbers"/>
            </w:pPr>
            <w:r>
              <w:t>10.5</w:t>
            </w:r>
          </w:p>
        </w:tc>
        <w:tc>
          <w:tcPr>
            <w:tcW w:w="667" w:type="dxa"/>
            <w:vAlign w:val="center"/>
          </w:tcPr>
          <w:p w14:paraId="16AC3985" w14:textId="77777777" w:rsidR="00A520C9" w:rsidRDefault="00A520C9" w:rsidP="00DA0930">
            <w:pPr>
              <w:pStyle w:val="Tablenumbers"/>
            </w:pPr>
            <w:r>
              <w:t>17.6</w:t>
            </w:r>
          </w:p>
        </w:tc>
        <w:tc>
          <w:tcPr>
            <w:tcW w:w="667" w:type="dxa"/>
            <w:vAlign w:val="center"/>
          </w:tcPr>
          <w:p w14:paraId="6827531E" w14:textId="77777777" w:rsidR="00A520C9" w:rsidRDefault="00A520C9" w:rsidP="00DA0930">
            <w:pPr>
              <w:pStyle w:val="Tablenumbers"/>
            </w:pPr>
            <w:r>
              <w:t>23.2</w:t>
            </w:r>
          </w:p>
        </w:tc>
        <w:tc>
          <w:tcPr>
            <w:tcW w:w="667" w:type="dxa"/>
            <w:vAlign w:val="center"/>
          </w:tcPr>
          <w:p w14:paraId="47ACA1C1" w14:textId="77777777" w:rsidR="00A520C9" w:rsidRDefault="00A520C9" w:rsidP="00DA0930">
            <w:pPr>
              <w:pStyle w:val="Tablenumbers"/>
            </w:pPr>
          </w:p>
        </w:tc>
        <w:tc>
          <w:tcPr>
            <w:tcW w:w="667" w:type="dxa"/>
            <w:vAlign w:val="center"/>
          </w:tcPr>
          <w:p w14:paraId="44C64C9E" w14:textId="77777777" w:rsidR="00A520C9" w:rsidRDefault="00A520C9" w:rsidP="00DA0930">
            <w:pPr>
              <w:pStyle w:val="Tablenumbers"/>
            </w:pPr>
          </w:p>
        </w:tc>
        <w:tc>
          <w:tcPr>
            <w:tcW w:w="667" w:type="dxa"/>
            <w:vAlign w:val="center"/>
          </w:tcPr>
          <w:p w14:paraId="06762BA2" w14:textId="77777777" w:rsidR="00A520C9" w:rsidRDefault="00A520C9" w:rsidP="00DA0930">
            <w:pPr>
              <w:pStyle w:val="Tablenumbers"/>
            </w:pPr>
          </w:p>
        </w:tc>
        <w:tc>
          <w:tcPr>
            <w:tcW w:w="667" w:type="dxa"/>
            <w:vAlign w:val="center"/>
          </w:tcPr>
          <w:p w14:paraId="7E749E58" w14:textId="77777777" w:rsidR="00A520C9" w:rsidRDefault="00A520C9" w:rsidP="00DA0930">
            <w:pPr>
              <w:pStyle w:val="Tablenumbers"/>
            </w:pPr>
          </w:p>
        </w:tc>
      </w:tr>
      <w:tr w:rsidR="00A520C9" w14:paraId="2A61CD3A" w14:textId="77777777" w:rsidTr="00DA0930">
        <w:tc>
          <w:tcPr>
            <w:tcW w:w="2778" w:type="dxa"/>
            <w:vAlign w:val="center"/>
          </w:tcPr>
          <w:p w14:paraId="1AADAA94" w14:textId="77777777" w:rsidR="00A520C9" w:rsidRDefault="00A520C9" w:rsidP="00DA0930">
            <w:pPr>
              <w:pStyle w:val="Tabletext"/>
            </w:pPr>
            <w:r>
              <w:t>2017 PC estimates (including unanticipated costs)</w:t>
            </w:r>
          </w:p>
        </w:tc>
        <w:tc>
          <w:tcPr>
            <w:tcW w:w="667" w:type="dxa"/>
            <w:vAlign w:val="center"/>
          </w:tcPr>
          <w:p w14:paraId="1375B7B3" w14:textId="77777777" w:rsidR="00A520C9" w:rsidRDefault="00A520C9" w:rsidP="00DA0930">
            <w:pPr>
              <w:pStyle w:val="Tablenumbers"/>
            </w:pPr>
          </w:p>
        </w:tc>
        <w:tc>
          <w:tcPr>
            <w:tcW w:w="667" w:type="dxa"/>
            <w:vAlign w:val="center"/>
          </w:tcPr>
          <w:p w14:paraId="26150FE4" w14:textId="77777777" w:rsidR="00A520C9" w:rsidRDefault="00A520C9" w:rsidP="00DA0930">
            <w:pPr>
              <w:pStyle w:val="Tablenumbers"/>
            </w:pPr>
          </w:p>
        </w:tc>
        <w:tc>
          <w:tcPr>
            <w:tcW w:w="667" w:type="dxa"/>
            <w:vAlign w:val="center"/>
          </w:tcPr>
          <w:p w14:paraId="110F6AB5" w14:textId="77777777" w:rsidR="00A520C9" w:rsidRDefault="00A520C9" w:rsidP="00DA0930">
            <w:pPr>
              <w:pStyle w:val="Tablenumbers"/>
            </w:pPr>
            <w:r>
              <w:t>21.9</w:t>
            </w:r>
          </w:p>
        </w:tc>
        <w:tc>
          <w:tcPr>
            <w:tcW w:w="667" w:type="dxa"/>
            <w:vAlign w:val="center"/>
          </w:tcPr>
          <w:p w14:paraId="177D632B" w14:textId="77777777" w:rsidR="00A520C9" w:rsidRDefault="00A520C9" w:rsidP="00DA0930">
            <w:pPr>
              <w:pStyle w:val="Tablenumbers"/>
            </w:pPr>
            <w:r>
              <w:t>23.8</w:t>
            </w:r>
          </w:p>
        </w:tc>
        <w:tc>
          <w:tcPr>
            <w:tcW w:w="667" w:type="dxa"/>
            <w:vAlign w:val="center"/>
          </w:tcPr>
          <w:p w14:paraId="4052320D" w14:textId="77777777" w:rsidR="00A520C9" w:rsidRDefault="00A520C9" w:rsidP="00DA0930">
            <w:pPr>
              <w:pStyle w:val="Tablenumbers"/>
            </w:pPr>
            <w:r>
              <w:t>25.5</w:t>
            </w:r>
          </w:p>
        </w:tc>
        <w:tc>
          <w:tcPr>
            <w:tcW w:w="667" w:type="dxa"/>
            <w:vAlign w:val="center"/>
          </w:tcPr>
          <w:p w14:paraId="2C56F6DD" w14:textId="77777777" w:rsidR="00A520C9" w:rsidRDefault="00A520C9" w:rsidP="00DA0930">
            <w:pPr>
              <w:pStyle w:val="Tablenumbers"/>
            </w:pPr>
            <w:r>
              <w:t>27.2</w:t>
            </w:r>
          </w:p>
        </w:tc>
        <w:tc>
          <w:tcPr>
            <w:tcW w:w="667" w:type="dxa"/>
            <w:vAlign w:val="center"/>
          </w:tcPr>
          <w:p w14:paraId="1F494378" w14:textId="77777777" w:rsidR="00A520C9" w:rsidRDefault="00A520C9" w:rsidP="00DA0930">
            <w:pPr>
              <w:pStyle w:val="Tablenumbers"/>
            </w:pPr>
            <w:r>
              <w:t>29.0</w:t>
            </w:r>
          </w:p>
        </w:tc>
        <w:tc>
          <w:tcPr>
            <w:tcW w:w="667" w:type="dxa"/>
            <w:vAlign w:val="center"/>
          </w:tcPr>
          <w:p w14:paraId="58AE1B7F" w14:textId="77777777" w:rsidR="00A520C9" w:rsidRDefault="00A520C9" w:rsidP="00DA0930">
            <w:pPr>
              <w:pStyle w:val="Tablenumbers"/>
            </w:pPr>
            <w:r>
              <w:t>30.8</w:t>
            </w:r>
          </w:p>
        </w:tc>
      </w:tr>
      <w:tr w:rsidR="00A520C9" w14:paraId="7EC042B0" w14:textId="77777777" w:rsidTr="00DA0930">
        <w:trPr>
          <w:cnfStyle w:val="000000100000" w:firstRow="0" w:lastRow="0" w:firstColumn="0" w:lastColumn="0" w:oddVBand="0" w:evenVBand="0" w:oddHBand="1" w:evenHBand="0" w:firstRowFirstColumn="0" w:firstRowLastColumn="0" w:lastRowFirstColumn="0" w:lastRowLastColumn="0"/>
        </w:trPr>
        <w:tc>
          <w:tcPr>
            <w:tcW w:w="2778" w:type="dxa"/>
            <w:vAlign w:val="center"/>
          </w:tcPr>
          <w:p w14:paraId="050AE7BD" w14:textId="77777777" w:rsidR="00A520C9" w:rsidRDefault="00A520C9" w:rsidP="00DA0930">
            <w:pPr>
              <w:pStyle w:val="Tabletext"/>
            </w:pPr>
            <w:r>
              <w:t>June 2019 AFSR</w:t>
            </w:r>
          </w:p>
        </w:tc>
        <w:tc>
          <w:tcPr>
            <w:tcW w:w="667" w:type="dxa"/>
            <w:vAlign w:val="center"/>
          </w:tcPr>
          <w:p w14:paraId="0E6903F2" w14:textId="77777777" w:rsidR="00A520C9" w:rsidRDefault="00A520C9" w:rsidP="00DA0930">
            <w:pPr>
              <w:pStyle w:val="Tablenumbers"/>
            </w:pPr>
          </w:p>
        </w:tc>
        <w:tc>
          <w:tcPr>
            <w:tcW w:w="667" w:type="dxa"/>
            <w:vAlign w:val="center"/>
          </w:tcPr>
          <w:p w14:paraId="6DC91CEC" w14:textId="77777777" w:rsidR="00A520C9" w:rsidRDefault="00A520C9" w:rsidP="00DA0930">
            <w:pPr>
              <w:pStyle w:val="Tablenumbers"/>
            </w:pPr>
          </w:p>
        </w:tc>
        <w:tc>
          <w:tcPr>
            <w:tcW w:w="667" w:type="dxa"/>
            <w:vAlign w:val="center"/>
          </w:tcPr>
          <w:p w14:paraId="57678AE9" w14:textId="77777777" w:rsidR="00A520C9" w:rsidRDefault="00A520C9" w:rsidP="00DA0930">
            <w:pPr>
              <w:pStyle w:val="Tablenumbers"/>
            </w:pPr>
            <w:r>
              <w:t>16.7</w:t>
            </w:r>
          </w:p>
        </w:tc>
        <w:tc>
          <w:tcPr>
            <w:tcW w:w="667" w:type="dxa"/>
            <w:vAlign w:val="center"/>
          </w:tcPr>
          <w:p w14:paraId="3A48EC2E" w14:textId="77777777" w:rsidR="00A520C9" w:rsidRDefault="00A520C9" w:rsidP="00DA0930">
            <w:pPr>
              <w:pStyle w:val="Tablenumbers"/>
            </w:pPr>
            <w:r>
              <w:t>21.1</w:t>
            </w:r>
          </w:p>
        </w:tc>
        <w:tc>
          <w:tcPr>
            <w:tcW w:w="667" w:type="dxa"/>
            <w:vAlign w:val="center"/>
          </w:tcPr>
          <w:p w14:paraId="1A996AE4" w14:textId="77777777" w:rsidR="00A520C9" w:rsidRDefault="00A520C9" w:rsidP="00DA0930">
            <w:pPr>
              <w:pStyle w:val="Tablenumbers"/>
            </w:pPr>
            <w:r>
              <w:t>24.2</w:t>
            </w:r>
          </w:p>
        </w:tc>
        <w:tc>
          <w:tcPr>
            <w:tcW w:w="667" w:type="dxa"/>
            <w:vAlign w:val="center"/>
          </w:tcPr>
          <w:p w14:paraId="0AA67FED" w14:textId="77777777" w:rsidR="00A520C9" w:rsidRDefault="00A520C9" w:rsidP="00DA0930">
            <w:pPr>
              <w:pStyle w:val="Tablenumbers"/>
            </w:pPr>
            <w:r>
              <w:t>26.9</w:t>
            </w:r>
          </w:p>
        </w:tc>
        <w:tc>
          <w:tcPr>
            <w:tcW w:w="667" w:type="dxa"/>
            <w:vAlign w:val="center"/>
          </w:tcPr>
          <w:p w14:paraId="30866B6F" w14:textId="77777777" w:rsidR="00A520C9" w:rsidRDefault="00A520C9" w:rsidP="00DA0930">
            <w:pPr>
              <w:pStyle w:val="Tablenumbers"/>
            </w:pPr>
            <w:r>
              <w:t>28.9</w:t>
            </w:r>
          </w:p>
        </w:tc>
        <w:tc>
          <w:tcPr>
            <w:tcW w:w="667" w:type="dxa"/>
            <w:vAlign w:val="center"/>
          </w:tcPr>
          <w:p w14:paraId="2FD44DFA" w14:textId="77777777" w:rsidR="00A520C9" w:rsidRDefault="00A520C9" w:rsidP="00DA0930">
            <w:pPr>
              <w:pStyle w:val="Tablenumbers"/>
            </w:pPr>
            <w:r>
              <w:t>30.8</w:t>
            </w:r>
          </w:p>
        </w:tc>
      </w:tr>
      <w:tr w:rsidR="00A520C9" w14:paraId="0DE0BF4A" w14:textId="77777777" w:rsidTr="00DA0930">
        <w:tc>
          <w:tcPr>
            <w:tcW w:w="2778" w:type="dxa"/>
            <w:vAlign w:val="center"/>
          </w:tcPr>
          <w:p w14:paraId="30CB5618" w14:textId="77777777" w:rsidR="00A520C9" w:rsidRDefault="00A520C9" w:rsidP="00DA0930">
            <w:pPr>
              <w:pStyle w:val="Tabletext"/>
            </w:pPr>
            <w:r>
              <w:t>June 2020 AFSR</w:t>
            </w:r>
          </w:p>
        </w:tc>
        <w:tc>
          <w:tcPr>
            <w:tcW w:w="667" w:type="dxa"/>
            <w:vAlign w:val="center"/>
          </w:tcPr>
          <w:p w14:paraId="03B2AFD0" w14:textId="77777777" w:rsidR="00A520C9" w:rsidRDefault="00A520C9" w:rsidP="00DA0930">
            <w:pPr>
              <w:pStyle w:val="Tablenumbers"/>
            </w:pPr>
          </w:p>
        </w:tc>
        <w:tc>
          <w:tcPr>
            <w:tcW w:w="667" w:type="dxa"/>
            <w:vAlign w:val="center"/>
          </w:tcPr>
          <w:p w14:paraId="790F70E9" w14:textId="77777777" w:rsidR="00A520C9" w:rsidRDefault="00A520C9" w:rsidP="00DA0930">
            <w:pPr>
              <w:pStyle w:val="Tablenumbers"/>
            </w:pPr>
          </w:p>
        </w:tc>
        <w:tc>
          <w:tcPr>
            <w:tcW w:w="667" w:type="dxa"/>
            <w:vAlign w:val="center"/>
          </w:tcPr>
          <w:p w14:paraId="606B9D3E" w14:textId="77777777" w:rsidR="00A520C9" w:rsidRDefault="00A520C9" w:rsidP="00DA0930">
            <w:pPr>
              <w:pStyle w:val="Tablenumbers"/>
            </w:pPr>
          </w:p>
        </w:tc>
        <w:tc>
          <w:tcPr>
            <w:tcW w:w="667" w:type="dxa"/>
            <w:vAlign w:val="center"/>
          </w:tcPr>
          <w:p w14:paraId="1B7C4471" w14:textId="77777777" w:rsidR="00A520C9" w:rsidRDefault="00A520C9" w:rsidP="00DA0930">
            <w:pPr>
              <w:pStyle w:val="Tablenumbers"/>
            </w:pPr>
            <w:r>
              <w:t>22.3</w:t>
            </w:r>
          </w:p>
        </w:tc>
        <w:tc>
          <w:tcPr>
            <w:tcW w:w="667" w:type="dxa"/>
            <w:vAlign w:val="center"/>
          </w:tcPr>
          <w:p w14:paraId="095A72A1" w14:textId="77777777" w:rsidR="00A520C9" w:rsidRDefault="00A520C9" w:rsidP="00DA0930">
            <w:pPr>
              <w:pStyle w:val="Tablenumbers"/>
            </w:pPr>
            <w:r>
              <w:t>26.1</w:t>
            </w:r>
          </w:p>
        </w:tc>
        <w:tc>
          <w:tcPr>
            <w:tcW w:w="667" w:type="dxa"/>
            <w:vAlign w:val="center"/>
          </w:tcPr>
          <w:p w14:paraId="6DEC3A37" w14:textId="77777777" w:rsidR="00A520C9" w:rsidRDefault="00A520C9" w:rsidP="00DA0930">
            <w:pPr>
              <w:pStyle w:val="Tablenumbers"/>
            </w:pPr>
            <w:r>
              <w:t>28.9</w:t>
            </w:r>
          </w:p>
        </w:tc>
        <w:tc>
          <w:tcPr>
            <w:tcW w:w="667" w:type="dxa"/>
            <w:vAlign w:val="center"/>
          </w:tcPr>
          <w:p w14:paraId="1A8244DF" w14:textId="77777777" w:rsidR="00A520C9" w:rsidRDefault="00A520C9" w:rsidP="00DA0930">
            <w:pPr>
              <w:pStyle w:val="Tablenumbers"/>
            </w:pPr>
            <w:r>
              <w:t>31.4</w:t>
            </w:r>
          </w:p>
        </w:tc>
        <w:tc>
          <w:tcPr>
            <w:tcW w:w="667" w:type="dxa"/>
            <w:vAlign w:val="center"/>
          </w:tcPr>
          <w:p w14:paraId="1298E047" w14:textId="77777777" w:rsidR="00A520C9" w:rsidRDefault="00A520C9" w:rsidP="00DA0930">
            <w:pPr>
              <w:pStyle w:val="Tablenumbers"/>
            </w:pPr>
            <w:r>
              <w:t>34.3</w:t>
            </w:r>
          </w:p>
        </w:tc>
      </w:tr>
      <w:tr w:rsidR="00A520C9" w14:paraId="58A26C25" w14:textId="77777777" w:rsidTr="00DA0930">
        <w:trPr>
          <w:cnfStyle w:val="000000100000" w:firstRow="0" w:lastRow="0" w:firstColumn="0" w:lastColumn="0" w:oddVBand="0" w:evenVBand="0" w:oddHBand="1" w:evenHBand="0" w:firstRowFirstColumn="0" w:firstRowLastColumn="0" w:lastRowFirstColumn="0" w:lastRowLastColumn="0"/>
        </w:trPr>
        <w:tc>
          <w:tcPr>
            <w:tcW w:w="2778" w:type="dxa"/>
            <w:vAlign w:val="center"/>
          </w:tcPr>
          <w:p w14:paraId="021735E8" w14:textId="77777777" w:rsidR="00A520C9" w:rsidRDefault="00A520C9" w:rsidP="00DA0930">
            <w:pPr>
              <w:pStyle w:val="Tabletext"/>
            </w:pPr>
            <w:r>
              <w:t>Dec 2020 AFSR</w:t>
            </w:r>
          </w:p>
        </w:tc>
        <w:tc>
          <w:tcPr>
            <w:tcW w:w="667" w:type="dxa"/>
            <w:vAlign w:val="center"/>
          </w:tcPr>
          <w:p w14:paraId="4F7BA55A" w14:textId="77777777" w:rsidR="00A520C9" w:rsidRDefault="00A520C9" w:rsidP="00DA0930">
            <w:pPr>
              <w:pStyle w:val="Tablenumbers"/>
            </w:pPr>
          </w:p>
        </w:tc>
        <w:tc>
          <w:tcPr>
            <w:tcW w:w="667" w:type="dxa"/>
            <w:vAlign w:val="center"/>
          </w:tcPr>
          <w:p w14:paraId="55833DA5" w14:textId="77777777" w:rsidR="00A520C9" w:rsidRDefault="00A520C9" w:rsidP="00DA0930">
            <w:pPr>
              <w:pStyle w:val="Tablenumbers"/>
            </w:pPr>
          </w:p>
        </w:tc>
        <w:tc>
          <w:tcPr>
            <w:tcW w:w="667" w:type="dxa"/>
            <w:vAlign w:val="center"/>
          </w:tcPr>
          <w:p w14:paraId="26E0CC84" w14:textId="77777777" w:rsidR="00A520C9" w:rsidRDefault="00A520C9" w:rsidP="00DA0930">
            <w:pPr>
              <w:pStyle w:val="Tablenumbers"/>
            </w:pPr>
          </w:p>
        </w:tc>
        <w:tc>
          <w:tcPr>
            <w:tcW w:w="667" w:type="dxa"/>
            <w:vAlign w:val="center"/>
          </w:tcPr>
          <w:p w14:paraId="1912BB2C" w14:textId="77777777" w:rsidR="00A520C9" w:rsidRDefault="00A520C9" w:rsidP="00DA0930">
            <w:pPr>
              <w:pStyle w:val="Tablenumbers"/>
            </w:pPr>
          </w:p>
        </w:tc>
        <w:tc>
          <w:tcPr>
            <w:tcW w:w="667" w:type="dxa"/>
            <w:vAlign w:val="center"/>
          </w:tcPr>
          <w:p w14:paraId="7EA34AF1" w14:textId="77777777" w:rsidR="00A520C9" w:rsidRDefault="00A520C9" w:rsidP="00DA0930">
            <w:pPr>
              <w:pStyle w:val="Tablenumbers"/>
            </w:pPr>
            <w:r>
              <w:t>28.1</w:t>
            </w:r>
          </w:p>
        </w:tc>
        <w:tc>
          <w:tcPr>
            <w:tcW w:w="667" w:type="dxa"/>
            <w:vAlign w:val="center"/>
          </w:tcPr>
          <w:p w14:paraId="597EF616" w14:textId="77777777" w:rsidR="00A520C9" w:rsidRDefault="00A520C9" w:rsidP="00DA0930">
            <w:pPr>
              <w:pStyle w:val="Tablenumbers"/>
            </w:pPr>
            <w:r>
              <w:t>32.9</w:t>
            </w:r>
          </w:p>
        </w:tc>
        <w:tc>
          <w:tcPr>
            <w:tcW w:w="667" w:type="dxa"/>
            <w:vAlign w:val="center"/>
          </w:tcPr>
          <w:p w14:paraId="76B3919D" w14:textId="77777777" w:rsidR="00A520C9" w:rsidRDefault="00A520C9" w:rsidP="00DA0930">
            <w:pPr>
              <w:pStyle w:val="Tablenumbers"/>
            </w:pPr>
            <w:r>
              <w:t>36.9</w:t>
            </w:r>
          </w:p>
        </w:tc>
        <w:tc>
          <w:tcPr>
            <w:tcW w:w="667" w:type="dxa"/>
            <w:vAlign w:val="center"/>
          </w:tcPr>
          <w:p w14:paraId="61E63C41" w14:textId="77777777" w:rsidR="00A520C9" w:rsidRDefault="00A520C9" w:rsidP="00DA0930">
            <w:pPr>
              <w:pStyle w:val="Tablenumbers"/>
            </w:pPr>
            <w:r>
              <w:t>40.7</w:t>
            </w:r>
          </w:p>
        </w:tc>
      </w:tr>
      <w:tr w:rsidR="00A520C9" w14:paraId="17C98621" w14:textId="77777777" w:rsidTr="00DA0930">
        <w:tc>
          <w:tcPr>
            <w:tcW w:w="2778" w:type="dxa"/>
            <w:vAlign w:val="center"/>
          </w:tcPr>
          <w:p w14:paraId="6A1B9BCF" w14:textId="77777777" w:rsidR="00A520C9" w:rsidRDefault="00A520C9" w:rsidP="00DA0930">
            <w:pPr>
              <w:pStyle w:val="Tabletext"/>
            </w:pPr>
            <w:r>
              <w:t>June 2021 AFSR</w:t>
            </w:r>
          </w:p>
        </w:tc>
        <w:tc>
          <w:tcPr>
            <w:tcW w:w="667" w:type="dxa"/>
            <w:vAlign w:val="center"/>
          </w:tcPr>
          <w:p w14:paraId="40354245" w14:textId="77777777" w:rsidR="00A520C9" w:rsidRDefault="00A520C9" w:rsidP="00DA0930">
            <w:pPr>
              <w:pStyle w:val="Tablenumbers"/>
            </w:pPr>
          </w:p>
        </w:tc>
        <w:tc>
          <w:tcPr>
            <w:tcW w:w="667" w:type="dxa"/>
            <w:vAlign w:val="center"/>
          </w:tcPr>
          <w:p w14:paraId="563C2463" w14:textId="77777777" w:rsidR="00A520C9" w:rsidRDefault="00A520C9" w:rsidP="00DA0930">
            <w:pPr>
              <w:pStyle w:val="Tablenumbers"/>
            </w:pPr>
          </w:p>
        </w:tc>
        <w:tc>
          <w:tcPr>
            <w:tcW w:w="667" w:type="dxa"/>
            <w:vAlign w:val="center"/>
          </w:tcPr>
          <w:p w14:paraId="5C4CC334" w14:textId="77777777" w:rsidR="00A520C9" w:rsidRDefault="00A520C9" w:rsidP="00DA0930">
            <w:pPr>
              <w:pStyle w:val="Tablenumbers"/>
            </w:pPr>
          </w:p>
        </w:tc>
        <w:tc>
          <w:tcPr>
            <w:tcW w:w="667" w:type="dxa"/>
            <w:vAlign w:val="center"/>
          </w:tcPr>
          <w:p w14:paraId="07E9888C" w14:textId="77777777" w:rsidR="00A520C9" w:rsidRDefault="00A520C9" w:rsidP="00DA0930">
            <w:pPr>
              <w:pStyle w:val="Tablenumbers"/>
            </w:pPr>
          </w:p>
        </w:tc>
        <w:tc>
          <w:tcPr>
            <w:tcW w:w="667" w:type="dxa"/>
            <w:vAlign w:val="center"/>
          </w:tcPr>
          <w:p w14:paraId="2528107E" w14:textId="77777777" w:rsidR="00A520C9" w:rsidRDefault="00A520C9" w:rsidP="00DA0930">
            <w:pPr>
              <w:pStyle w:val="Tablenumbers"/>
            </w:pPr>
            <w:r>
              <w:t>29.2</w:t>
            </w:r>
          </w:p>
        </w:tc>
        <w:tc>
          <w:tcPr>
            <w:tcW w:w="667" w:type="dxa"/>
            <w:vAlign w:val="center"/>
          </w:tcPr>
          <w:p w14:paraId="0D0D7D01" w14:textId="77777777" w:rsidR="00A520C9" w:rsidRDefault="00A520C9" w:rsidP="00DA0930">
            <w:pPr>
              <w:pStyle w:val="Tablenumbers"/>
            </w:pPr>
            <w:r>
              <w:t>33.9</w:t>
            </w:r>
          </w:p>
        </w:tc>
        <w:tc>
          <w:tcPr>
            <w:tcW w:w="667" w:type="dxa"/>
            <w:vAlign w:val="center"/>
          </w:tcPr>
          <w:p w14:paraId="598150ED" w14:textId="77777777" w:rsidR="00A520C9" w:rsidRDefault="00A520C9" w:rsidP="00DA0930">
            <w:pPr>
              <w:pStyle w:val="Tablenumbers"/>
            </w:pPr>
            <w:r>
              <w:t>38.0</w:t>
            </w:r>
          </w:p>
        </w:tc>
        <w:tc>
          <w:tcPr>
            <w:tcW w:w="667" w:type="dxa"/>
            <w:vAlign w:val="center"/>
          </w:tcPr>
          <w:p w14:paraId="510A6B77" w14:textId="77777777" w:rsidR="00A520C9" w:rsidRDefault="00A520C9" w:rsidP="00DA0930">
            <w:pPr>
              <w:pStyle w:val="Tablenumbers"/>
            </w:pPr>
            <w:r>
              <w:t>41.3</w:t>
            </w:r>
          </w:p>
        </w:tc>
      </w:tr>
    </w:tbl>
    <w:p w14:paraId="292B67EC" w14:textId="145C5013" w:rsidR="00A520C9" w:rsidRDefault="00A520C9" w:rsidP="00A520C9">
      <w:pPr>
        <w:pStyle w:val="Tablenotesorsource"/>
      </w:pPr>
      <w:r>
        <w:t xml:space="preserve">Note: All numbers except final row taken from the June 2021 quarterly update. June 2021 numbers taken from the </w:t>
      </w:r>
      <w:r w:rsidR="00D320CF">
        <w:t>2020-21 AFSR</w:t>
      </w:r>
      <w:r>
        <w:t>.</w:t>
      </w:r>
    </w:p>
    <w:p w14:paraId="013E8A9A" w14:textId="77777777" w:rsidR="00A520C9" w:rsidRPr="00B80B64" w:rsidRDefault="00A520C9" w:rsidP="00A520C9"/>
    <w:p w14:paraId="5757DC75" w14:textId="77777777" w:rsidR="00A520C9" w:rsidRDefault="00A520C9" w:rsidP="00A520C9">
      <w:pPr>
        <w:keepNext/>
        <w:spacing w:before="0" w:after="160" w:line="259" w:lineRule="auto"/>
      </w:pPr>
      <w:r>
        <w:t>The June 2020 and December 2020 forecasts take values between the June 2019 and June 2021 levels, indicating that assumption changes have been made over time. We have not performed a detailed analysis attributing assumption changes for the intermediate AFSR, but in broad terms:</w:t>
      </w:r>
    </w:p>
    <w:p w14:paraId="60B15C47" w14:textId="4F3D1F34" w:rsidR="00A520C9" w:rsidRDefault="00A520C9" w:rsidP="00A520C9">
      <w:pPr>
        <w:pStyle w:val="Bullet1"/>
      </w:pPr>
      <w:r>
        <w:t>Most of the increase related to future</w:t>
      </w:r>
      <w:r w:rsidRPr="00B80B64">
        <w:rPr>
          <w:b/>
          <w:bCs/>
        </w:rPr>
        <w:t xml:space="preserve"> participant numbers </w:t>
      </w:r>
      <w:r>
        <w:t xml:space="preserve">was applied in the December </w:t>
      </w:r>
      <w:r w:rsidR="0080563C">
        <w:t xml:space="preserve">2020 </w:t>
      </w:r>
      <w:r>
        <w:t>interim update; the long-term number of entrants w</w:t>
      </w:r>
      <w:r w:rsidR="00935520">
        <w:t>as</w:t>
      </w:r>
      <w:r>
        <w:t xml:space="preserve"> increased </w:t>
      </w:r>
      <w:r w:rsidR="00935520">
        <w:t xml:space="preserve">by </w:t>
      </w:r>
      <w:r>
        <w:t xml:space="preserve">roughly 50% and the short-term lowering of exit rates was applied. </w:t>
      </w:r>
    </w:p>
    <w:p w14:paraId="0F2E0B0E" w14:textId="0519E481" w:rsidR="00A520C9" w:rsidRDefault="00A520C9" w:rsidP="00A520C9">
      <w:pPr>
        <w:pStyle w:val="Bullet1"/>
      </w:pPr>
      <w:r>
        <w:t xml:space="preserve">The increase related to rising </w:t>
      </w:r>
      <w:r w:rsidRPr="00B80B64">
        <w:rPr>
          <w:b/>
          <w:bCs/>
        </w:rPr>
        <w:t>average package costs</w:t>
      </w:r>
      <w:r>
        <w:t xml:space="preserve"> has been recognised incrementally. These assumptions a</w:t>
      </w:r>
      <w:r w:rsidR="002B4625">
        <w:t>re</w:t>
      </w:r>
      <w:r>
        <w:t xml:space="preserve"> tied to actual levels, which have generally been higher than expected at each timepoint. </w:t>
      </w:r>
    </w:p>
    <w:p w14:paraId="746AC3D7" w14:textId="0C721A04" w:rsidR="00A520C9" w:rsidRPr="00B80B64" w:rsidRDefault="00A520C9" w:rsidP="00A520C9">
      <w:pPr>
        <w:pStyle w:val="Bullet1"/>
      </w:pPr>
      <w:r>
        <w:t xml:space="preserve">While individual components of </w:t>
      </w:r>
      <w:r w:rsidRPr="00B80B64">
        <w:rPr>
          <w:b/>
          <w:bCs/>
        </w:rPr>
        <w:t>cost escalation</w:t>
      </w:r>
      <w:r>
        <w:t xml:space="preserve"> (inflation plus superimposed inflation) have varied over time, the largest increase was applied in the </w:t>
      </w:r>
      <w:r w:rsidR="00D320CF">
        <w:t>(June) 2020-21 AFSR</w:t>
      </w:r>
      <w:r>
        <w:t>, with smaller increases in the preceding reports.</w:t>
      </w:r>
    </w:p>
    <w:p w14:paraId="3EE8124E" w14:textId="653FEFA2" w:rsidR="00A520C9" w:rsidRDefault="00A520C9" w:rsidP="00A520C9">
      <w:pPr>
        <w:pStyle w:val="Bullet1"/>
      </w:pPr>
      <w:r>
        <w:t xml:space="preserve">Much of the reduction related to </w:t>
      </w:r>
      <w:r w:rsidRPr="00B80B64">
        <w:rPr>
          <w:b/>
          <w:bCs/>
        </w:rPr>
        <w:t>future SIL number assumptions</w:t>
      </w:r>
      <w:r>
        <w:t xml:space="preserve"> is concentrated in the </w:t>
      </w:r>
      <w:r w:rsidR="00D320CF">
        <w:t>2020-21 AFSR</w:t>
      </w:r>
      <w:r>
        <w:t>, where a much lower growth trajectory is assumed.</w:t>
      </w:r>
    </w:p>
    <w:p w14:paraId="366D6CDD" w14:textId="5E1F7FD4" w:rsidR="00823C1B" w:rsidRDefault="00823C1B" w:rsidP="00650784">
      <w:r>
        <w:t xml:space="preserve">In particular, this means that compared to the December 2020 interim report, the 2020-21 </w:t>
      </w:r>
      <w:r w:rsidR="006C4709">
        <w:t xml:space="preserve">AFSR has </w:t>
      </w:r>
      <w:r>
        <w:t xml:space="preserve">a reduction in SIL numbers, increases to average package costs, and strengthened cost escalation assumptions. </w:t>
      </w:r>
    </w:p>
    <w:p w14:paraId="501ACC13" w14:textId="3B266A6D" w:rsidR="00650784" w:rsidRDefault="00650784" w:rsidP="00650784">
      <w:r>
        <w:t xml:space="preserve">We note other forecasts exist, such as those related to budget estimates and those from the Parliamentary Budget Office. We have not reviewed these in </w:t>
      </w:r>
      <w:r w:rsidR="00CF34E2">
        <w:t>detail but</w:t>
      </w:r>
      <w:r>
        <w:t xml:space="preserve"> understand that recent estimates lie between 2018-19 and 2020-21 AFSR numbers, so likely reflect gradual recognition of emerging experience.</w:t>
      </w:r>
    </w:p>
    <w:p w14:paraId="68131645" w14:textId="77777777" w:rsidR="00A520C9" w:rsidRDefault="00A520C9" w:rsidP="00A520C9">
      <w:pPr>
        <w:pStyle w:val="Heading2"/>
      </w:pPr>
      <w:bookmarkStart w:id="199" w:name="_Toc83828728"/>
      <w:bookmarkStart w:id="200" w:name="_Toc83828756"/>
      <w:bookmarkStart w:id="201" w:name="_Toc83997774"/>
      <w:bookmarkStart w:id="202" w:name="_Ref87100601"/>
      <w:bookmarkStart w:id="203" w:name="_Toc87700480"/>
      <w:bookmarkStart w:id="204" w:name="_Toc88686132"/>
      <w:r w:rsidRPr="00966030">
        <w:t>Number and characteristics of participants</w:t>
      </w:r>
      <w:bookmarkEnd w:id="199"/>
      <w:bookmarkEnd w:id="200"/>
      <w:bookmarkEnd w:id="201"/>
      <w:bookmarkEnd w:id="202"/>
      <w:bookmarkEnd w:id="203"/>
      <w:bookmarkEnd w:id="204"/>
      <w:r>
        <w:t xml:space="preserve"> </w:t>
      </w:r>
    </w:p>
    <w:tbl>
      <w:tblPr>
        <w:tblStyle w:val="ListTable1Light-Accent1"/>
        <w:tblW w:w="0" w:type="auto"/>
        <w:tblLook w:val="0620" w:firstRow="1" w:lastRow="0" w:firstColumn="0" w:lastColumn="0" w:noHBand="1" w:noVBand="1"/>
      </w:tblPr>
      <w:tblGrid>
        <w:gridCol w:w="3402"/>
        <w:gridCol w:w="1701"/>
        <w:gridCol w:w="1701"/>
      </w:tblGrid>
      <w:tr w:rsidR="00A520C9" w14:paraId="52BD70C4" w14:textId="77777777" w:rsidTr="003F577D">
        <w:trPr>
          <w:cnfStyle w:val="100000000000" w:firstRow="1" w:lastRow="0" w:firstColumn="0" w:lastColumn="0" w:oddVBand="0" w:evenVBand="0" w:oddHBand="0" w:evenHBand="0" w:firstRowFirstColumn="0" w:firstRowLastColumn="0" w:lastRowFirstColumn="0" w:lastRowLastColumn="0"/>
          <w:tblHeader/>
        </w:trPr>
        <w:tc>
          <w:tcPr>
            <w:tcW w:w="3402" w:type="dxa"/>
            <w:shd w:val="clear" w:color="auto" w:fill="C1E3FF" w:themeFill="accent1" w:themeFillTint="33"/>
          </w:tcPr>
          <w:p w14:paraId="3F4A5066" w14:textId="77777777" w:rsidR="00A520C9" w:rsidRDefault="00A520C9" w:rsidP="00DA0930">
            <w:pPr>
              <w:keepNext/>
            </w:pPr>
          </w:p>
        </w:tc>
        <w:tc>
          <w:tcPr>
            <w:tcW w:w="1701" w:type="dxa"/>
            <w:shd w:val="clear" w:color="auto" w:fill="C1E3FF" w:themeFill="accent1" w:themeFillTint="33"/>
          </w:tcPr>
          <w:p w14:paraId="20FB3226" w14:textId="77777777" w:rsidR="00A520C9" w:rsidRPr="00965FA7" w:rsidRDefault="00A520C9" w:rsidP="00DA0930">
            <w:pPr>
              <w:keepNext/>
              <w:jc w:val="right"/>
              <w:rPr>
                <w:b w:val="0"/>
                <w:bCs w:val="0"/>
              </w:rPr>
            </w:pPr>
            <w:r w:rsidRPr="00965FA7">
              <w:t>2024-25</w:t>
            </w:r>
          </w:p>
        </w:tc>
        <w:tc>
          <w:tcPr>
            <w:tcW w:w="1701" w:type="dxa"/>
            <w:shd w:val="clear" w:color="auto" w:fill="C1E3FF" w:themeFill="accent1" w:themeFillTint="33"/>
          </w:tcPr>
          <w:p w14:paraId="5FBF8E28" w14:textId="14E04B52" w:rsidR="00A520C9" w:rsidRPr="002A687C" w:rsidRDefault="001C4016" w:rsidP="00DA0930">
            <w:pPr>
              <w:keepNext/>
              <w:jc w:val="right"/>
              <w:rPr>
                <w:b w:val="0"/>
                <w:bCs w:val="0"/>
                <w:highlight w:val="yellow"/>
              </w:rPr>
            </w:pPr>
            <w:r w:rsidRPr="001C4016">
              <w:t>20</w:t>
            </w:r>
            <w:r w:rsidRPr="002A687C">
              <w:t>29</w:t>
            </w:r>
            <w:r w:rsidR="00A520C9" w:rsidRPr="001C4016">
              <w:t>-</w:t>
            </w:r>
            <w:r w:rsidRPr="001C4016">
              <w:t>3</w:t>
            </w:r>
            <w:r w:rsidRPr="002A687C">
              <w:t>0</w:t>
            </w:r>
          </w:p>
        </w:tc>
      </w:tr>
      <w:tr w:rsidR="00A520C9" w:rsidRPr="001C4016" w14:paraId="1BDE8F11" w14:textId="77777777" w:rsidTr="00AA7697">
        <w:tc>
          <w:tcPr>
            <w:tcW w:w="3402" w:type="dxa"/>
            <w:shd w:val="clear" w:color="auto" w:fill="C1E3FF" w:themeFill="accent1" w:themeFillTint="33"/>
          </w:tcPr>
          <w:p w14:paraId="489C000C" w14:textId="77777777" w:rsidR="00A520C9" w:rsidRDefault="00A520C9" w:rsidP="00DA0930">
            <w:r>
              <w:t xml:space="preserve">Change due to assumptions around number &amp; characteristics </w:t>
            </w:r>
          </w:p>
        </w:tc>
        <w:tc>
          <w:tcPr>
            <w:tcW w:w="1701" w:type="dxa"/>
            <w:shd w:val="clear" w:color="auto" w:fill="C1E3FF" w:themeFill="accent1" w:themeFillTint="33"/>
          </w:tcPr>
          <w:p w14:paraId="23BA94F8" w14:textId="77777777" w:rsidR="00A520C9" w:rsidRDefault="00A520C9" w:rsidP="00DA0930">
            <w:pPr>
              <w:jc w:val="right"/>
            </w:pPr>
            <w:r>
              <w:t>+$2.6B</w:t>
            </w:r>
          </w:p>
        </w:tc>
        <w:tc>
          <w:tcPr>
            <w:tcW w:w="1701" w:type="dxa"/>
            <w:shd w:val="clear" w:color="auto" w:fill="C1E3FF" w:themeFill="accent1" w:themeFillTint="33"/>
          </w:tcPr>
          <w:p w14:paraId="47F1A1F2" w14:textId="1B1B7864" w:rsidR="00A520C9" w:rsidRPr="001C4016" w:rsidRDefault="00A520C9" w:rsidP="00DA0930">
            <w:pPr>
              <w:jc w:val="right"/>
            </w:pPr>
            <w:r w:rsidRPr="001C4016">
              <w:t>+$</w:t>
            </w:r>
            <w:r w:rsidR="001C4016" w:rsidRPr="002A687C">
              <w:t>7</w:t>
            </w:r>
            <w:r w:rsidRPr="001C4016">
              <w:t>.</w:t>
            </w:r>
            <w:r w:rsidR="001C4016" w:rsidRPr="002A687C">
              <w:t>7</w:t>
            </w:r>
            <w:r w:rsidR="001C4016" w:rsidRPr="001C4016">
              <w:t>B</w:t>
            </w:r>
          </w:p>
        </w:tc>
      </w:tr>
    </w:tbl>
    <w:p w14:paraId="442343F6" w14:textId="77777777" w:rsidR="00A520C9" w:rsidRDefault="00A520C9" w:rsidP="00CE626D">
      <w:pPr>
        <w:spacing w:before="40" w:after="60"/>
        <w:ind w:left="851"/>
      </w:pPr>
    </w:p>
    <w:p w14:paraId="17F30478" w14:textId="2521F03E" w:rsidR="00A520C9" w:rsidRDefault="00A520C9" w:rsidP="00A520C9">
      <w:r>
        <w:t>There are several factors which contribute to the increase associated with participant numbers and characteristics. Similar to the overall attribution, we started with the 201</w:t>
      </w:r>
      <w:r w:rsidR="00D320CF">
        <w:t>8-1</w:t>
      </w:r>
      <w:r>
        <w:t xml:space="preserve">9 AFSR model and then: </w:t>
      </w:r>
    </w:p>
    <w:p w14:paraId="60FF29BD" w14:textId="0A58EE69" w:rsidR="00A520C9" w:rsidRDefault="00A520C9" w:rsidP="00A520C9">
      <w:pPr>
        <w:pStyle w:val="Bullet1"/>
      </w:pPr>
      <w:r>
        <w:t>Substituted in the revised number of projected participants, assuming the mix was the same as per the 201</w:t>
      </w:r>
      <w:r w:rsidR="00D320CF">
        <w:t>8-1</w:t>
      </w:r>
      <w:r>
        <w:t>9 AFSR model</w:t>
      </w:r>
    </w:p>
    <w:p w14:paraId="37F10FB4" w14:textId="77777777" w:rsidR="00A520C9" w:rsidRDefault="00A520C9" w:rsidP="00A520C9">
      <w:pPr>
        <w:pStyle w:val="Bullet1"/>
      </w:pPr>
      <w:r>
        <w:t>Applied the projected 2021 disability mix but maintained the functional mix from 2019</w:t>
      </w:r>
    </w:p>
    <w:p w14:paraId="35F43047" w14:textId="77777777" w:rsidR="00A520C9" w:rsidRDefault="00A520C9" w:rsidP="00A520C9">
      <w:pPr>
        <w:pStyle w:val="Bullet1"/>
      </w:pPr>
      <w:r>
        <w:t>Within each disability we then applied the 2021 functional mix</w:t>
      </w:r>
    </w:p>
    <w:p w14:paraId="73ECDCFF" w14:textId="0224565B" w:rsidR="00A520C9" w:rsidRPr="00654BDF" w:rsidRDefault="00A520C9" w:rsidP="00A520C9">
      <w:pPr>
        <w:pStyle w:val="Bullet1"/>
      </w:pPr>
      <w:r>
        <w:t xml:space="preserve">Applied the 2021 age distribution, which after all the changes above results in the projected participants being the same as the </w:t>
      </w:r>
      <w:r w:rsidR="00D320CF">
        <w:t>2020-21 AFSR</w:t>
      </w:r>
      <w:r>
        <w:t xml:space="preserve"> model.</w:t>
      </w:r>
    </w:p>
    <w:p w14:paraId="60E70E3B" w14:textId="153EC54F" w:rsidR="00A520C9" w:rsidRDefault="00A520C9" w:rsidP="00CE626D">
      <w:pPr>
        <w:pStyle w:val="Caption"/>
        <w:spacing w:before="160" w:after="80"/>
      </w:pPr>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3</w:t>
      </w:r>
      <w:r w:rsidR="007F6BE8">
        <w:fldChar w:fldCharType="end"/>
      </w:r>
      <w:r>
        <w:t xml:space="preserve"> – Breakdown </w:t>
      </w:r>
      <w:r w:rsidR="00E96424">
        <w:t>of</w:t>
      </w:r>
      <w:r>
        <w:t xml:space="preserve"> increase in projected payments: P</w:t>
      </w:r>
      <w:r w:rsidRPr="005E067E">
        <w:t>articipant number and characteristics</w:t>
      </w:r>
      <w:r>
        <w:t xml:space="preserve"> ($B)</w:t>
      </w:r>
    </w:p>
    <w:tbl>
      <w:tblPr>
        <w:tblStyle w:val="TFBlue"/>
        <w:tblW w:w="6208" w:type="dxa"/>
        <w:tblLook w:val="04E0" w:firstRow="1" w:lastRow="1" w:firstColumn="1" w:lastColumn="0" w:noHBand="0" w:noVBand="1"/>
      </w:tblPr>
      <w:tblGrid>
        <w:gridCol w:w="3776"/>
        <w:gridCol w:w="1216"/>
        <w:gridCol w:w="1216"/>
      </w:tblGrid>
      <w:tr w:rsidR="00A520C9" w:rsidRPr="004E1E3D" w14:paraId="0BA4E6C1" w14:textId="77777777" w:rsidTr="00DA0930">
        <w:trPr>
          <w:cnfStyle w:val="100000000000" w:firstRow="1" w:lastRow="0" w:firstColumn="0" w:lastColumn="0" w:oddVBand="0" w:evenVBand="0" w:oddHBand="0" w:evenHBand="0" w:firstRowFirstColumn="0" w:firstRowLastColumn="0" w:lastRowFirstColumn="0" w:lastRowLastColumn="0"/>
          <w:trHeight w:val="360"/>
        </w:trPr>
        <w:tc>
          <w:tcPr>
            <w:tcW w:w="3776" w:type="dxa"/>
            <w:noWrap/>
            <w:hideMark/>
          </w:tcPr>
          <w:p w14:paraId="1B19E758" w14:textId="77777777" w:rsidR="00A520C9" w:rsidRPr="004E1E3D" w:rsidRDefault="00A520C9" w:rsidP="00DA0930">
            <w:pPr>
              <w:pStyle w:val="Tabletext"/>
              <w:rPr>
                <w:rFonts w:asciiTheme="majorHAnsi" w:hAnsiTheme="majorHAnsi" w:cs="Times New Roman"/>
                <w:b w:val="0"/>
                <w:szCs w:val="21"/>
                <w:lang w:eastAsia="en-GB"/>
              </w:rPr>
            </w:pPr>
            <w:r w:rsidRPr="004E1E3D">
              <w:rPr>
                <w:rFonts w:ascii="Cambria" w:hAnsi="Cambria" w:cs="Cambria"/>
                <w:szCs w:val="21"/>
                <w:lang w:eastAsia="en-GB"/>
              </w:rPr>
              <w:t> </w:t>
            </w:r>
            <w:r w:rsidRPr="004E1E3D">
              <w:rPr>
                <w:rFonts w:asciiTheme="majorHAnsi" w:hAnsiTheme="majorHAnsi"/>
                <w:szCs w:val="21"/>
                <w:lang w:eastAsia="en-GB"/>
              </w:rPr>
              <w:t>Change in assumption</w:t>
            </w:r>
          </w:p>
        </w:tc>
        <w:tc>
          <w:tcPr>
            <w:tcW w:w="1216" w:type="dxa"/>
            <w:noWrap/>
            <w:hideMark/>
          </w:tcPr>
          <w:p w14:paraId="4BCCE2C0" w14:textId="77777777" w:rsidR="00A520C9" w:rsidRPr="004E1E3D" w:rsidRDefault="00A520C9" w:rsidP="00DA0930">
            <w:pPr>
              <w:pStyle w:val="Tablenumbers"/>
              <w:rPr>
                <w:rFonts w:asciiTheme="majorHAnsi" w:hAnsiTheme="majorHAnsi"/>
                <w:b w:val="0"/>
                <w:szCs w:val="21"/>
                <w:lang w:eastAsia="en-GB"/>
              </w:rPr>
            </w:pPr>
            <w:r w:rsidRPr="004E1E3D">
              <w:rPr>
                <w:rFonts w:asciiTheme="majorHAnsi" w:hAnsiTheme="majorHAnsi"/>
                <w:szCs w:val="21"/>
                <w:lang w:eastAsia="en-GB"/>
              </w:rPr>
              <w:t>2024-25</w:t>
            </w:r>
          </w:p>
        </w:tc>
        <w:tc>
          <w:tcPr>
            <w:tcW w:w="1216" w:type="dxa"/>
            <w:noWrap/>
            <w:hideMark/>
          </w:tcPr>
          <w:p w14:paraId="0E23BA0B" w14:textId="0CB1C526" w:rsidR="00A520C9" w:rsidRPr="001C4016" w:rsidRDefault="001C4016" w:rsidP="00DA0930">
            <w:pPr>
              <w:pStyle w:val="Tablenumbers"/>
              <w:rPr>
                <w:rFonts w:asciiTheme="majorHAnsi" w:hAnsiTheme="majorHAnsi"/>
                <w:b w:val="0"/>
                <w:szCs w:val="21"/>
                <w:lang w:eastAsia="en-GB"/>
              </w:rPr>
            </w:pPr>
            <w:r w:rsidRPr="001C4016">
              <w:rPr>
                <w:rFonts w:asciiTheme="majorHAnsi" w:hAnsiTheme="majorHAnsi"/>
                <w:szCs w:val="21"/>
                <w:lang w:eastAsia="en-GB"/>
              </w:rPr>
              <w:t>20</w:t>
            </w:r>
            <w:r w:rsidRPr="002A687C">
              <w:rPr>
                <w:rFonts w:asciiTheme="majorHAnsi" w:hAnsiTheme="majorHAnsi"/>
                <w:szCs w:val="21"/>
                <w:lang w:eastAsia="en-GB"/>
              </w:rPr>
              <w:t>29</w:t>
            </w:r>
            <w:r w:rsidR="00A520C9" w:rsidRPr="001C4016">
              <w:rPr>
                <w:rFonts w:asciiTheme="majorHAnsi" w:hAnsiTheme="majorHAnsi"/>
                <w:szCs w:val="21"/>
                <w:lang w:eastAsia="en-GB"/>
              </w:rPr>
              <w:t>-</w:t>
            </w:r>
            <w:r w:rsidRPr="002A687C">
              <w:rPr>
                <w:rFonts w:asciiTheme="majorHAnsi" w:hAnsiTheme="majorHAnsi"/>
                <w:szCs w:val="21"/>
                <w:lang w:eastAsia="en-GB"/>
              </w:rPr>
              <w:t>30</w:t>
            </w:r>
          </w:p>
        </w:tc>
      </w:tr>
      <w:tr w:rsidR="00A520C9" w:rsidRPr="004E1E3D" w14:paraId="5EC13B3C"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3776" w:type="dxa"/>
            <w:noWrap/>
            <w:hideMark/>
          </w:tcPr>
          <w:p w14:paraId="50353AC7" w14:textId="77777777" w:rsidR="00A520C9" w:rsidRPr="004E1E3D" w:rsidRDefault="00A520C9" w:rsidP="00CE626D">
            <w:pPr>
              <w:pStyle w:val="Tabletext"/>
              <w:spacing w:before="40"/>
              <w:rPr>
                <w:rFonts w:asciiTheme="majorHAnsi" w:hAnsiTheme="majorHAnsi"/>
                <w:szCs w:val="21"/>
                <w:lang w:eastAsia="en-GB"/>
              </w:rPr>
            </w:pPr>
            <w:r w:rsidRPr="004E1E3D">
              <w:rPr>
                <w:rFonts w:asciiTheme="majorHAnsi" w:hAnsiTheme="majorHAnsi"/>
                <w:szCs w:val="21"/>
                <w:lang w:eastAsia="en-GB"/>
              </w:rPr>
              <w:t>Number of participants</w:t>
            </w:r>
          </w:p>
        </w:tc>
        <w:tc>
          <w:tcPr>
            <w:tcW w:w="1216" w:type="dxa"/>
            <w:noWrap/>
            <w:hideMark/>
          </w:tcPr>
          <w:p w14:paraId="251CB4C5" w14:textId="77777777" w:rsidR="00A520C9" w:rsidRPr="004E1E3D" w:rsidRDefault="00A520C9" w:rsidP="00CE626D">
            <w:pPr>
              <w:pStyle w:val="Tablenumbers"/>
              <w:spacing w:before="40"/>
              <w:rPr>
                <w:rFonts w:asciiTheme="majorHAnsi" w:hAnsiTheme="majorHAnsi"/>
                <w:szCs w:val="21"/>
                <w:lang w:eastAsia="en-GB"/>
              </w:rPr>
            </w:pPr>
            <w:r w:rsidRPr="004E1E3D">
              <w:rPr>
                <w:rFonts w:asciiTheme="majorHAnsi" w:hAnsiTheme="majorHAnsi"/>
                <w:szCs w:val="21"/>
              </w:rPr>
              <w:t>6.8</w:t>
            </w:r>
          </w:p>
        </w:tc>
        <w:tc>
          <w:tcPr>
            <w:tcW w:w="1216" w:type="dxa"/>
            <w:noWrap/>
            <w:hideMark/>
          </w:tcPr>
          <w:p w14:paraId="594FA030" w14:textId="1AE4EFEA" w:rsidR="00A520C9" w:rsidRPr="001C4016" w:rsidRDefault="001C4016" w:rsidP="00CE626D">
            <w:pPr>
              <w:pStyle w:val="Tablenumbers"/>
              <w:spacing w:before="40"/>
              <w:rPr>
                <w:rFonts w:asciiTheme="majorHAnsi" w:hAnsiTheme="majorHAnsi"/>
                <w:szCs w:val="21"/>
                <w:lang w:eastAsia="en-GB"/>
              </w:rPr>
            </w:pPr>
            <w:r w:rsidRPr="002A687C">
              <w:rPr>
                <w:rFonts w:asciiTheme="majorHAnsi" w:hAnsiTheme="majorHAnsi"/>
                <w:szCs w:val="21"/>
              </w:rPr>
              <w:t>15.0</w:t>
            </w:r>
          </w:p>
        </w:tc>
      </w:tr>
      <w:tr w:rsidR="00A520C9" w:rsidRPr="004E1E3D" w14:paraId="6CA56642" w14:textId="77777777" w:rsidTr="00DA0930">
        <w:trPr>
          <w:trHeight w:val="360"/>
        </w:trPr>
        <w:tc>
          <w:tcPr>
            <w:tcW w:w="3776" w:type="dxa"/>
            <w:noWrap/>
            <w:hideMark/>
          </w:tcPr>
          <w:p w14:paraId="360A58EB" w14:textId="77777777" w:rsidR="00A520C9" w:rsidRPr="004E1E3D" w:rsidRDefault="00A520C9" w:rsidP="00CE626D">
            <w:pPr>
              <w:pStyle w:val="Tabletext"/>
              <w:spacing w:before="40"/>
              <w:rPr>
                <w:rFonts w:asciiTheme="majorHAnsi" w:hAnsiTheme="majorHAnsi"/>
                <w:szCs w:val="21"/>
                <w:lang w:eastAsia="en-GB"/>
              </w:rPr>
            </w:pPr>
            <w:r w:rsidRPr="004E1E3D">
              <w:rPr>
                <w:rFonts w:asciiTheme="majorHAnsi" w:hAnsiTheme="majorHAnsi"/>
                <w:szCs w:val="21"/>
                <w:lang w:eastAsia="en-GB"/>
              </w:rPr>
              <w:t>Disability mix</w:t>
            </w:r>
          </w:p>
        </w:tc>
        <w:tc>
          <w:tcPr>
            <w:tcW w:w="1216" w:type="dxa"/>
            <w:noWrap/>
            <w:hideMark/>
          </w:tcPr>
          <w:p w14:paraId="46020D55" w14:textId="77777777" w:rsidR="00A520C9" w:rsidRPr="004E1E3D" w:rsidRDefault="00A520C9" w:rsidP="00CE626D">
            <w:pPr>
              <w:pStyle w:val="Tablenumbers"/>
              <w:spacing w:before="40"/>
              <w:rPr>
                <w:rFonts w:asciiTheme="majorHAnsi" w:hAnsiTheme="majorHAnsi"/>
                <w:szCs w:val="21"/>
                <w:lang w:eastAsia="en-GB"/>
              </w:rPr>
            </w:pPr>
            <w:r w:rsidRPr="004E1E3D">
              <w:rPr>
                <w:rFonts w:asciiTheme="majorHAnsi" w:hAnsiTheme="majorHAnsi"/>
                <w:szCs w:val="21"/>
              </w:rPr>
              <w:t>-3.5</w:t>
            </w:r>
          </w:p>
        </w:tc>
        <w:tc>
          <w:tcPr>
            <w:tcW w:w="1216" w:type="dxa"/>
            <w:noWrap/>
            <w:hideMark/>
          </w:tcPr>
          <w:p w14:paraId="57C6472D" w14:textId="77777777" w:rsidR="00A520C9" w:rsidRPr="001C4016" w:rsidRDefault="00A520C9" w:rsidP="00CE626D">
            <w:pPr>
              <w:pStyle w:val="Tablenumbers"/>
              <w:spacing w:before="40"/>
              <w:rPr>
                <w:rFonts w:asciiTheme="majorHAnsi" w:hAnsiTheme="majorHAnsi"/>
                <w:szCs w:val="21"/>
                <w:lang w:eastAsia="en-GB"/>
              </w:rPr>
            </w:pPr>
            <w:r w:rsidRPr="001C4016">
              <w:rPr>
                <w:rFonts w:asciiTheme="majorHAnsi" w:hAnsiTheme="majorHAnsi"/>
                <w:szCs w:val="21"/>
              </w:rPr>
              <w:t>-4.0</w:t>
            </w:r>
          </w:p>
        </w:tc>
      </w:tr>
      <w:tr w:rsidR="00A520C9" w:rsidRPr="004E1E3D" w14:paraId="5A4B80E7"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3776" w:type="dxa"/>
            <w:noWrap/>
            <w:hideMark/>
          </w:tcPr>
          <w:p w14:paraId="2050D4CF" w14:textId="77777777" w:rsidR="00A520C9" w:rsidRPr="004E1E3D" w:rsidRDefault="00A520C9" w:rsidP="00CE626D">
            <w:pPr>
              <w:pStyle w:val="Tabletext"/>
              <w:spacing w:before="40"/>
              <w:rPr>
                <w:rFonts w:asciiTheme="majorHAnsi" w:hAnsiTheme="majorHAnsi"/>
                <w:szCs w:val="21"/>
                <w:lang w:eastAsia="en-GB"/>
              </w:rPr>
            </w:pPr>
            <w:r w:rsidRPr="004E1E3D">
              <w:rPr>
                <w:rFonts w:asciiTheme="majorHAnsi" w:hAnsiTheme="majorHAnsi"/>
                <w:szCs w:val="21"/>
                <w:lang w:eastAsia="en-GB"/>
              </w:rPr>
              <w:t>Functional Level / Severity mix</w:t>
            </w:r>
          </w:p>
        </w:tc>
        <w:tc>
          <w:tcPr>
            <w:tcW w:w="1216" w:type="dxa"/>
            <w:noWrap/>
            <w:hideMark/>
          </w:tcPr>
          <w:p w14:paraId="5800D327" w14:textId="77777777" w:rsidR="00A520C9" w:rsidRPr="004E1E3D" w:rsidRDefault="00A520C9" w:rsidP="00CE626D">
            <w:pPr>
              <w:pStyle w:val="Tablenumbers"/>
              <w:spacing w:before="40"/>
              <w:rPr>
                <w:rFonts w:asciiTheme="majorHAnsi" w:hAnsiTheme="majorHAnsi"/>
                <w:szCs w:val="21"/>
                <w:lang w:eastAsia="en-GB"/>
              </w:rPr>
            </w:pPr>
            <w:r w:rsidRPr="004E1E3D">
              <w:rPr>
                <w:rFonts w:asciiTheme="majorHAnsi" w:hAnsiTheme="majorHAnsi"/>
                <w:szCs w:val="21"/>
              </w:rPr>
              <w:t>-0.9</w:t>
            </w:r>
          </w:p>
        </w:tc>
        <w:tc>
          <w:tcPr>
            <w:tcW w:w="1216" w:type="dxa"/>
            <w:noWrap/>
            <w:hideMark/>
          </w:tcPr>
          <w:p w14:paraId="32B163B9" w14:textId="5BD4A4D2" w:rsidR="00A520C9" w:rsidRPr="001C4016" w:rsidRDefault="00A520C9" w:rsidP="00CE626D">
            <w:pPr>
              <w:pStyle w:val="Tablenumbers"/>
              <w:spacing w:before="40"/>
              <w:rPr>
                <w:rFonts w:asciiTheme="majorHAnsi" w:hAnsiTheme="majorHAnsi"/>
                <w:szCs w:val="21"/>
                <w:lang w:eastAsia="en-GB"/>
              </w:rPr>
            </w:pPr>
            <w:r w:rsidRPr="001C4016">
              <w:rPr>
                <w:rFonts w:asciiTheme="majorHAnsi" w:hAnsiTheme="majorHAnsi"/>
                <w:szCs w:val="21"/>
              </w:rPr>
              <w:t>-</w:t>
            </w:r>
            <w:r w:rsidR="001C4016" w:rsidRPr="002A687C">
              <w:rPr>
                <w:rFonts w:asciiTheme="majorHAnsi" w:hAnsiTheme="majorHAnsi"/>
                <w:szCs w:val="21"/>
              </w:rPr>
              <w:t>4.0</w:t>
            </w:r>
          </w:p>
        </w:tc>
      </w:tr>
      <w:tr w:rsidR="00A520C9" w:rsidRPr="004E1E3D" w14:paraId="7B643379" w14:textId="77777777" w:rsidTr="00DA0930">
        <w:trPr>
          <w:trHeight w:val="360"/>
        </w:trPr>
        <w:tc>
          <w:tcPr>
            <w:tcW w:w="3776" w:type="dxa"/>
            <w:noWrap/>
            <w:hideMark/>
          </w:tcPr>
          <w:p w14:paraId="1D9D0FD0" w14:textId="77777777" w:rsidR="00A520C9" w:rsidRPr="004E1E3D" w:rsidRDefault="00A520C9" w:rsidP="00CE626D">
            <w:pPr>
              <w:pStyle w:val="Tabletext"/>
              <w:spacing w:before="40"/>
              <w:rPr>
                <w:rFonts w:asciiTheme="majorHAnsi" w:hAnsiTheme="majorHAnsi"/>
                <w:szCs w:val="21"/>
                <w:lang w:eastAsia="en-GB"/>
              </w:rPr>
            </w:pPr>
            <w:r w:rsidRPr="004E1E3D">
              <w:rPr>
                <w:rFonts w:asciiTheme="majorHAnsi" w:hAnsiTheme="majorHAnsi"/>
                <w:szCs w:val="21"/>
                <w:lang w:eastAsia="en-GB"/>
              </w:rPr>
              <w:t>Age Mix</w:t>
            </w:r>
          </w:p>
        </w:tc>
        <w:tc>
          <w:tcPr>
            <w:tcW w:w="1216" w:type="dxa"/>
            <w:noWrap/>
            <w:hideMark/>
          </w:tcPr>
          <w:p w14:paraId="2D7455A3" w14:textId="77777777" w:rsidR="00A520C9" w:rsidRPr="004E1E3D" w:rsidRDefault="00A520C9" w:rsidP="00CE626D">
            <w:pPr>
              <w:pStyle w:val="Tablenumbers"/>
              <w:spacing w:before="40"/>
              <w:rPr>
                <w:rFonts w:asciiTheme="majorHAnsi" w:hAnsiTheme="majorHAnsi"/>
                <w:szCs w:val="21"/>
                <w:lang w:eastAsia="en-GB"/>
              </w:rPr>
            </w:pPr>
            <w:r w:rsidRPr="004E1E3D">
              <w:rPr>
                <w:rFonts w:asciiTheme="majorHAnsi" w:hAnsiTheme="majorHAnsi"/>
                <w:szCs w:val="21"/>
              </w:rPr>
              <w:t>0.3</w:t>
            </w:r>
          </w:p>
        </w:tc>
        <w:tc>
          <w:tcPr>
            <w:tcW w:w="1216" w:type="dxa"/>
            <w:noWrap/>
            <w:hideMark/>
          </w:tcPr>
          <w:p w14:paraId="63061518" w14:textId="07C3EAB4" w:rsidR="00A520C9" w:rsidRPr="001C4016" w:rsidRDefault="00A520C9" w:rsidP="00CE626D">
            <w:pPr>
              <w:pStyle w:val="Tablenumbers"/>
              <w:spacing w:before="40"/>
              <w:rPr>
                <w:rFonts w:asciiTheme="majorHAnsi" w:hAnsiTheme="majorHAnsi"/>
                <w:szCs w:val="21"/>
                <w:lang w:eastAsia="en-GB"/>
              </w:rPr>
            </w:pPr>
            <w:r w:rsidRPr="001C4016">
              <w:rPr>
                <w:rFonts w:asciiTheme="majorHAnsi" w:hAnsiTheme="majorHAnsi"/>
                <w:szCs w:val="21"/>
              </w:rPr>
              <w:t>0.</w:t>
            </w:r>
            <w:r w:rsidR="001C4016" w:rsidRPr="002A687C">
              <w:rPr>
                <w:rFonts w:asciiTheme="majorHAnsi" w:hAnsiTheme="majorHAnsi"/>
                <w:szCs w:val="21"/>
              </w:rPr>
              <w:t>7</w:t>
            </w:r>
          </w:p>
        </w:tc>
      </w:tr>
      <w:tr w:rsidR="00A520C9" w:rsidRPr="004E1E3D" w14:paraId="49ED32C9" w14:textId="77777777" w:rsidTr="00DA0930">
        <w:trPr>
          <w:cnfStyle w:val="010000000000" w:firstRow="0" w:lastRow="1" w:firstColumn="0" w:lastColumn="0" w:oddVBand="0" w:evenVBand="0" w:oddHBand="0" w:evenHBand="0" w:firstRowFirstColumn="0" w:firstRowLastColumn="0" w:lastRowFirstColumn="0" w:lastRowLastColumn="0"/>
          <w:trHeight w:val="360"/>
        </w:trPr>
        <w:tc>
          <w:tcPr>
            <w:tcW w:w="3776" w:type="dxa"/>
            <w:noWrap/>
            <w:hideMark/>
          </w:tcPr>
          <w:p w14:paraId="4E17AF87" w14:textId="77777777" w:rsidR="00A520C9" w:rsidRPr="004E1E3D" w:rsidRDefault="00A520C9" w:rsidP="00CE626D">
            <w:pPr>
              <w:pStyle w:val="Tabletext"/>
              <w:spacing w:before="40"/>
              <w:rPr>
                <w:rFonts w:asciiTheme="majorHAnsi" w:hAnsiTheme="majorHAnsi"/>
                <w:b w:val="0"/>
                <w:szCs w:val="21"/>
                <w:lang w:eastAsia="en-GB"/>
              </w:rPr>
            </w:pPr>
            <w:r w:rsidRPr="004E1E3D">
              <w:rPr>
                <w:rFonts w:asciiTheme="majorHAnsi" w:hAnsiTheme="majorHAnsi"/>
                <w:szCs w:val="21"/>
                <w:lang w:eastAsia="en-GB"/>
              </w:rPr>
              <w:t>Total</w:t>
            </w:r>
          </w:p>
        </w:tc>
        <w:tc>
          <w:tcPr>
            <w:tcW w:w="1216" w:type="dxa"/>
            <w:noWrap/>
            <w:hideMark/>
          </w:tcPr>
          <w:p w14:paraId="7DB5B092" w14:textId="77777777" w:rsidR="00A520C9" w:rsidRPr="004E1E3D" w:rsidRDefault="00A520C9" w:rsidP="00CE626D">
            <w:pPr>
              <w:pStyle w:val="Tablenumbers"/>
              <w:spacing w:before="40"/>
              <w:rPr>
                <w:rFonts w:asciiTheme="majorHAnsi" w:hAnsiTheme="majorHAnsi"/>
                <w:b w:val="0"/>
                <w:szCs w:val="21"/>
                <w:lang w:eastAsia="en-GB"/>
              </w:rPr>
            </w:pPr>
            <w:r w:rsidRPr="004E1E3D">
              <w:rPr>
                <w:rFonts w:asciiTheme="majorHAnsi" w:hAnsiTheme="majorHAnsi"/>
                <w:szCs w:val="21"/>
              </w:rPr>
              <w:t>2.6</w:t>
            </w:r>
          </w:p>
        </w:tc>
        <w:tc>
          <w:tcPr>
            <w:tcW w:w="1216" w:type="dxa"/>
            <w:noWrap/>
            <w:hideMark/>
          </w:tcPr>
          <w:p w14:paraId="3E43CBC6" w14:textId="020FA9C6" w:rsidR="00A520C9" w:rsidRPr="001C4016" w:rsidRDefault="001C4016" w:rsidP="00CE626D">
            <w:pPr>
              <w:pStyle w:val="Tablenumbers"/>
              <w:spacing w:before="40"/>
              <w:rPr>
                <w:rFonts w:asciiTheme="majorHAnsi" w:hAnsiTheme="majorHAnsi"/>
                <w:b w:val="0"/>
                <w:szCs w:val="21"/>
                <w:lang w:eastAsia="en-GB"/>
              </w:rPr>
            </w:pPr>
            <w:r w:rsidRPr="002A687C">
              <w:rPr>
                <w:rFonts w:asciiTheme="majorHAnsi" w:hAnsiTheme="majorHAnsi"/>
                <w:szCs w:val="21"/>
              </w:rPr>
              <w:t>7.7</w:t>
            </w:r>
          </w:p>
        </w:tc>
      </w:tr>
    </w:tbl>
    <w:p w14:paraId="037FD6CA" w14:textId="77777777" w:rsidR="002B4625" w:rsidRPr="00CE626D" w:rsidRDefault="002B4625" w:rsidP="00CE626D">
      <w:pPr>
        <w:pStyle w:val="Tablenotesorsource"/>
        <w:spacing w:before="0"/>
        <w:rPr>
          <w:szCs w:val="18"/>
        </w:rPr>
      </w:pPr>
      <w:r w:rsidRPr="00CE626D">
        <w:rPr>
          <w:szCs w:val="18"/>
        </w:rPr>
        <w:t>Note: Components may not sum to totals due to rounding.</w:t>
      </w:r>
    </w:p>
    <w:p w14:paraId="2BC22A47" w14:textId="2FC9E0CF" w:rsidR="00A520C9" w:rsidRDefault="00A520C9" w:rsidP="00A520C9">
      <w:pPr>
        <w:pStyle w:val="Heading3"/>
      </w:pPr>
      <w:r>
        <w:t>Number of participants</w:t>
      </w:r>
    </w:p>
    <w:p w14:paraId="52DCB6CA" w14:textId="159240B1" w:rsidR="00A520C9" w:rsidRDefault="00A520C9" w:rsidP="00A520C9">
      <w:r>
        <w:t xml:space="preserve">The number of participants in the Scheme at June 2025 </w:t>
      </w:r>
      <w:r w:rsidR="00C91B70">
        <w:t xml:space="preserve">is </w:t>
      </w:r>
      <w:r>
        <w:t>projected to be 2</w:t>
      </w:r>
      <w:r w:rsidR="001237F2">
        <w:t>3</w:t>
      </w:r>
      <w:r>
        <w:t xml:space="preserve">% higher than the </w:t>
      </w:r>
      <w:r w:rsidR="00D320CF">
        <w:t>2018-19 AFSR</w:t>
      </w:r>
      <w:r>
        <w:t xml:space="preserve"> forecast which, all else being equal, increases the projected payments in 2025 by $6.8B. Under the revised projections, the number of participants at June 2025 is about the same as was expected to be in the Scheme in </w:t>
      </w:r>
      <w:r w:rsidR="001C4016" w:rsidRPr="001C4016">
        <w:t>2030</w:t>
      </w:r>
      <w:r w:rsidR="001C4016">
        <w:t xml:space="preserve"> </w:t>
      </w:r>
      <w:r>
        <w:t xml:space="preserve">under the </w:t>
      </w:r>
      <w:r w:rsidR="00D320CF">
        <w:t>2018-19 AFSR</w:t>
      </w:r>
      <w:r>
        <w:t xml:space="preserve"> assumption</w:t>
      </w:r>
      <w:r w:rsidR="005F58F0">
        <w:t>s</w:t>
      </w:r>
      <w:r>
        <w:t xml:space="preserve">. </w:t>
      </w:r>
    </w:p>
    <w:p w14:paraId="785D4AC8" w14:textId="36E72DDD" w:rsidR="00A520C9" w:rsidRDefault="00A520C9" w:rsidP="00A520C9">
      <w:r>
        <w:t xml:space="preserve">Growth is expected to continue after 2025 with the Scheme expected to have more </w:t>
      </w:r>
      <w:r w:rsidRPr="001C4016">
        <w:t xml:space="preserve">than </w:t>
      </w:r>
      <w:r w:rsidR="001C4016" w:rsidRPr="002A687C">
        <w:t>85</w:t>
      </w:r>
      <w:r w:rsidR="001C4016" w:rsidRPr="001C4016">
        <w:t>0</w:t>
      </w:r>
      <w:r w:rsidRPr="001C4016">
        <w:t xml:space="preserve">,000 participants by </w:t>
      </w:r>
      <w:r w:rsidR="001C4016" w:rsidRPr="001C4016">
        <w:t>2030</w:t>
      </w:r>
      <w:r>
        <w:t xml:space="preserve">. The </w:t>
      </w:r>
      <w:r w:rsidR="002B4625">
        <w:t xml:space="preserve">growth in the </w:t>
      </w:r>
      <w:r>
        <w:t xml:space="preserve">number of participants in the Scheme at any point is a combination of the number of new entrants and the number of exits. These are discussed in more detail below, but it is </w:t>
      </w:r>
      <w:r w:rsidRPr="008F6B38">
        <w:t xml:space="preserve">more new entrants </w:t>
      </w:r>
      <w:r w:rsidR="00785021">
        <w:t>that</w:t>
      </w:r>
      <w:r w:rsidR="00785021" w:rsidRPr="008F6B38">
        <w:t xml:space="preserve"> </w:t>
      </w:r>
      <w:r w:rsidRPr="008F6B38">
        <w:t xml:space="preserve">is the main reason why </w:t>
      </w:r>
      <w:r w:rsidR="005F58F0" w:rsidRPr="008F6B38">
        <w:t xml:space="preserve">projected </w:t>
      </w:r>
      <w:r w:rsidRPr="008F6B38">
        <w:t>participant numbers are so much higher than</w:t>
      </w:r>
      <w:r>
        <w:t xml:space="preserve"> the estimates from 2019.</w:t>
      </w:r>
    </w:p>
    <w:p w14:paraId="6F8C91E9" w14:textId="172B157F" w:rsidR="00A520C9" w:rsidRDefault="00A520C9" w:rsidP="002A687C">
      <w:pPr>
        <w:pStyle w:val="Caption"/>
      </w:pPr>
      <w:bookmarkStart w:id="205" w:name="_Ref83563743"/>
      <w:r>
        <w:t xml:space="preserve">Figure </w:t>
      </w:r>
      <w:r w:rsidR="009366CE">
        <w:rPr>
          <w:iCs w:val="0"/>
        </w:rPr>
        <w:fldChar w:fldCharType="begin"/>
      </w:r>
      <w:r w:rsidR="009366CE">
        <w:instrText xml:space="preserve"> STYLEREF 1 \s </w:instrText>
      </w:r>
      <w:r w:rsidR="009366CE">
        <w:rPr>
          <w:iCs w:val="0"/>
        </w:rPr>
        <w:fldChar w:fldCharType="separate"/>
      </w:r>
      <w:r w:rsidR="00E6217F">
        <w:rPr>
          <w:noProof/>
        </w:rPr>
        <w:t>5</w:t>
      </w:r>
      <w:r w:rsidR="009366CE">
        <w:rPr>
          <w:iCs w:val="0"/>
        </w:rPr>
        <w:fldChar w:fldCharType="end"/>
      </w:r>
      <w:r w:rsidR="009366CE">
        <w:t>.</w:t>
      </w:r>
      <w:r w:rsidR="009366CE">
        <w:rPr>
          <w:iCs w:val="0"/>
        </w:rPr>
        <w:fldChar w:fldCharType="begin"/>
      </w:r>
      <w:r w:rsidR="009366CE">
        <w:instrText xml:space="preserve"> SEQ Figure \* ARABIC \s 1 </w:instrText>
      </w:r>
      <w:r w:rsidR="009366CE">
        <w:rPr>
          <w:iCs w:val="0"/>
        </w:rPr>
        <w:fldChar w:fldCharType="separate"/>
      </w:r>
      <w:r w:rsidR="00E6217F">
        <w:rPr>
          <w:noProof/>
        </w:rPr>
        <w:t>4</w:t>
      </w:r>
      <w:r w:rsidR="009366CE">
        <w:rPr>
          <w:iCs w:val="0"/>
        </w:rPr>
        <w:fldChar w:fldCharType="end"/>
      </w:r>
      <w:bookmarkEnd w:id="205"/>
      <w:r>
        <w:t xml:space="preserve"> – Comparison of projected cumulative entrants and exits</w:t>
      </w:r>
    </w:p>
    <w:p w14:paraId="4DC145AA" w14:textId="6AB701DC" w:rsidR="007F737A" w:rsidRDefault="007F737A" w:rsidP="00A520C9">
      <w:r w:rsidRPr="007F737A">
        <w:rPr>
          <w:noProof/>
        </w:rPr>
        <w:drawing>
          <wp:inline distT="0" distB="0" distL="0" distR="0" wp14:anchorId="00F8D507" wp14:editId="14C57E03">
            <wp:extent cx="5222875" cy="2900045"/>
            <wp:effectExtent l="0" t="0" r="0" b="0"/>
            <wp:docPr id="47" name="Picture 47" descr="2021.&#10;Cumulative New Entrants: 2021 AFSR. 485,203.&#10;Cumulative New Entrants: 2019 AFSR. 446,246.&#10;Cumulative Exits: 2021 AFSR. 18,584.&#10;Cumulative Exits: 2019 AFSR. 22,357.&#10;&#10;&#10;2022.&#10;Cumulative New Entrants: 2021 AFSR. 557,944.&#10;Cumulative New Entrants: 2019 AFSR. 504,622.&#10;Cumulative Exits: 2021 AFSR. 27,488.&#10;Cumulative Exits: 2019 AFSR. 34,007.&#10;&#10;&#10;2023.&#10;Cumulative New Entrants: 2021 AFSR. 626,593.&#10;Cumulative New Entrants: 2019 AFSR. 548,638.&#10;Cumulative Exits: 2021 AFSR. 40,159.&#10;Cumulative Exits: 2019 AFSR. 47,147.&#10;&#10;&#10;2024.&#10;Cumulative New Entrants: 2021 AFSR. 686,926.&#10;Cumulative New Entrants: 2019 AFSR. 585,397.&#10;Cumulative Exits: 2021 AFSR. 56,599.&#10;Cumulative Exits: 2019 AFSR. 61,674.&#10;&#10;&#10;2025.&#10;Cumulative New Entrants: 2021 AFSR. 747,486.&#10;Cumulative New Entrants: 2019 AFSR. 622,581.&#10;Cumulative Exits: 2021 AFSR. 77,086.&#10;Cumulative Exits: 2019 AFSR. 77,964.&#10;&#10;&#10;2026.&#10;Cumulative New Entrants: 2021 AFSR. 808,640.&#10;Cumulative New Entrants: 2019 AFSR. 660,174.&#10;Cumulative Exits: 2021 AFSR. 98,995.&#10;Cumulative Exits: 2019 AFSR. 95,854.&#10;&#10;&#10;2027.&#10;Cumulative New Entrants: 2021 AFSR. 870,384.&#10;Cumulative New Entrants: 2019 AFSR. 698,177.&#10;Cumulative Exits: 2021 AFSR. 122,367.&#10;Cumulative Exits: 2019 AFSR. 114,954.&#10;&#10;&#10;2028.&#10;Cumulative New Entrants: 2021 AFSR. 932,714.&#10;Cumulative New Entrants: 2019 AFSR. 736,592.&#10;Cumulative Exits: 2021 AFSR. 147,069.&#10;Cumulative Exits: 2019 AFSR. 135,102.&#10;&#10;&#10;2029.&#10;Cumulative New Entrants: 2021 AFSR. 995,640.&#10;Cumulative New Entrants: 2019 AFSR. 775,427.&#10;Cumulative Exits: 2021 AFSR. 172,943.&#10;Cumulative Exits: 2019 AFSR. 156,145.&#10;&#10;&#10;2030.&#10;Cumulative New Entrants: 2021 AFSR. 1,059,199.&#10;Cumulative New Entrants: 2019 AFSR. 814,697.&#10;Cumulative Exits: 2021 AFSR. 199,871.&#10;Cumulative Exits: 2019 AFSR. 17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2021.&#10;Cumulative New Entrants: 2021 AFSR. 485,203.&#10;Cumulative New Entrants: 2019 AFSR. 446,246.&#10;Cumulative Exits: 2021 AFSR. 18,584.&#10;Cumulative Exits: 2019 AFSR. 22,357.&#10;&#10;&#10;2022.&#10;Cumulative New Entrants: 2021 AFSR. 557,944.&#10;Cumulative New Entrants: 2019 AFSR. 504,622.&#10;Cumulative Exits: 2021 AFSR. 27,488.&#10;Cumulative Exits: 2019 AFSR. 34,007.&#10;&#10;&#10;2023.&#10;Cumulative New Entrants: 2021 AFSR. 626,593.&#10;Cumulative New Entrants: 2019 AFSR. 548,638.&#10;Cumulative Exits: 2021 AFSR. 40,159.&#10;Cumulative Exits: 2019 AFSR. 47,147.&#10;&#10;&#10;2024.&#10;Cumulative New Entrants: 2021 AFSR. 686,926.&#10;Cumulative New Entrants: 2019 AFSR. 585,397.&#10;Cumulative Exits: 2021 AFSR. 56,599.&#10;Cumulative Exits: 2019 AFSR. 61,674.&#10;&#10;&#10;2025.&#10;Cumulative New Entrants: 2021 AFSR. 747,486.&#10;Cumulative New Entrants: 2019 AFSR. 622,581.&#10;Cumulative Exits: 2021 AFSR. 77,086.&#10;Cumulative Exits: 2019 AFSR. 77,964.&#10;&#10;&#10;2026.&#10;Cumulative New Entrants: 2021 AFSR. 808,640.&#10;Cumulative New Entrants: 2019 AFSR. 660,174.&#10;Cumulative Exits: 2021 AFSR. 98,995.&#10;Cumulative Exits: 2019 AFSR. 95,854.&#10;&#10;&#10;2027.&#10;Cumulative New Entrants: 2021 AFSR. 870,384.&#10;Cumulative New Entrants: 2019 AFSR. 698,177.&#10;Cumulative Exits: 2021 AFSR. 122,367.&#10;Cumulative Exits: 2019 AFSR. 114,954.&#10;&#10;&#10;2028.&#10;Cumulative New Entrants: 2021 AFSR. 932,714.&#10;Cumulative New Entrants: 2019 AFSR. 736,592.&#10;Cumulative Exits: 2021 AFSR. 147,069.&#10;Cumulative Exits: 2019 AFSR. 135,102.&#10;&#10;&#10;2029.&#10;Cumulative New Entrants: 2021 AFSR. 995,640.&#10;Cumulative New Entrants: 2019 AFSR. 775,427.&#10;Cumulative Exits: 2021 AFSR. 172,943.&#10;Cumulative Exits: 2019 AFSR. 156,145.&#10;&#10;&#10;2030.&#10;Cumulative New Entrants: 2021 AFSR. 1,059,199.&#10;Cumulative New Entrants: 2019 AFSR. 814,697.&#10;Cumulative Exits: 2021 AFSR. 199,871.&#10;Cumulative Exits: 2019 AFSR. 178,053."/>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222875" cy="2900045"/>
                    </a:xfrm>
                    <a:prstGeom prst="rect">
                      <a:avLst/>
                    </a:prstGeom>
                    <a:noFill/>
                    <a:ln>
                      <a:noFill/>
                    </a:ln>
                  </pic:spPr>
                </pic:pic>
              </a:graphicData>
            </a:graphic>
          </wp:inline>
        </w:drawing>
      </w:r>
    </w:p>
    <w:p w14:paraId="7EC68A48" w14:textId="77777777" w:rsidR="00A520C9" w:rsidRDefault="00A520C9" w:rsidP="00A520C9">
      <w:pPr>
        <w:pStyle w:val="NNheading4"/>
      </w:pPr>
      <w:r>
        <w:t>New entrants</w:t>
      </w:r>
    </w:p>
    <w:p w14:paraId="21B3E910" w14:textId="67718515" w:rsidR="00A520C9" w:rsidRDefault="00A520C9" w:rsidP="00A520C9">
      <w:r>
        <w:t>The staggered nature of the roll-out means that some sites have been operating longer than others. These older sites are not seeing the number of new entrants slow</w:t>
      </w:r>
      <w:r w:rsidR="003A6AD1">
        <w:t xml:space="preserve"> </w:t>
      </w:r>
      <w:r>
        <w:t xml:space="preserve">down and this level of growth has been assumed to continue for all sites. As shown in </w:t>
      </w:r>
      <w:r>
        <w:fldChar w:fldCharType="begin"/>
      </w:r>
      <w:r>
        <w:instrText xml:space="preserve"> REF _Ref83563743 \h </w:instrText>
      </w:r>
      <w:r>
        <w:fldChar w:fldCharType="separate"/>
      </w:r>
      <w:r w:rsidR="00E6217F">
        <w:t xml:space="preserve">Figure </w:t>
      </w:r>
      <w:r w:rsidR="00E6217F">
        <w:rPr>
          <w:noProof/>
        </w:rPr>
        <w:t>5</w:t>
      </w:r>
      <w:r w:rsidR="00E6217F">
        <w:t>.</w:t>
      </w:r>
      <w:r w:rsidR="00E6217F">
        <w:rPr>
          <w:noProof/>
        </w:rPr>
        <w:t>4</w:t>
      </w:r>
      <w:r>
        <w:fldChar w:fldCharType="end"/>
      </w:r>
      <w:r>
        <w:t xml:space="preserve"> the number of people who have entered the Scheme to date is only about 40,000 (10%) higher than was forecast in 2019 </w:t>
      </w:r>
      <w:r w:rsidR="005F58F0">
        <w:t xml:space="preserve">but </w:t>
      </w:r>
      <w:r>
        <w:t xml:space="preserve">this is expected to increase to 125,000 by 2025, and nearly </w:t>
      </w:r>
      <w:r w:rsidR="007F737A" w:rsidRPr="002A687C">
        <w:t>25</w:t>
      </w:r>
      <w:r w:rsidR="007F737A" w:rsidRPr="009125AE">
        <w:t>0</w:t>
      </w:r>
      <w:r w:rsidRPr="009125AE">
        <w:t>,000 (</w:t>
      </w:r>
      <w:r w:rsidR="007F737A" w:rsidRPr="009125AE">
        <w:t>3</w:t>
      </w:r>
      <w:r w:rsidR="007F737A" w:rsidRPr="002A687C">
        <w:t>0</w:t>
      </w:r>
      <w:r w:rsidRPr="009125AE">
        <w:t xml:space="preserve">%) by </w:t>
      </w:r>
      <w:r w:rsidR="009125AE" w:rsidRPr="009125AE">
        <w:t>2030</w:t>
      </w:r>
      <w:r w:rsidRPr="007F737A">
        <w:t>.</w:t>
      </w:r>
    </w:p>
    <w:p w14:paraId="0E00DCDD" w14:textId="5CB3306C" w:rsidR="00A520C9" w:rsidRDefault="00A520C9" w:rsidP="00A520C9">
      <w:r w:rsidRPr="007F737A">
        <w:t xml:space="preserve">By </w:t>
      </w:r>
      <w:r w:rsidR="007F737A" w:rsidRPr="007F737A">
        <w:t>2030</w:t>
      </w:r>
      <w:r w:rsidR="007F737A">
        <w:t xml:space="preserve"> </w:t>
      </w:r>
      <w:r>
        <w:t xml:space="preserve">the Scheme is expected to have accepted </w:t>
      </w:r>
      <w:r w:rsidRPr="007F737A">
        <w:t>1.</w:t>
      </w:r>
      <w:r w:rsidR="007F737A" w:rsidRPr="002A687C">
        <w:t>1</w:t>
      </w:r>
      <w:r w:rsidR="007F737A" w:rsidRPr="007F737A">
        <w:t xml:space="preserve"> </w:t>
      </w:r>
      <w:r w:rsidRPr="007F737A">
        <w:t>million people</w:t>
      </w:r>
      <w:r>
        <w:t xml:space="preserve"> which equates to </w:t>
      </w:r>
      <w:r w:rsidR="007F737A">
        <w:t>3.6</w:t>
      </w:r>
      <w:r w:rsidRPr="007F737A">
        <w:t>% of the</w:t>
      </w:r>
      <w:r>
        <w:t xml:space="preserve"> forecast population. </w:t>
      </w:r>
    </w:p>
    <w:p w14:paraId="5225B9CA" w14:textId="77777777" w:rsidR="00A520C9" w:rsidRPr="00FD5B65" w:rsidRDefault="00A520C9" w:rsidP="00A520C9">
      <w:pPr>
        <w:pStyle w:val="NNheading4"/>
      </w:pPr>
      <w:r w:rsidRPr="00FD5B65">
        <w:t>Exits</w:t>
      </w:r>
    </w:p>
    <w:p w14:paraId="0C555A5F" w14:textId="30B3A93D" w:rsidR="00A520C9" w:rsidRPr="00FD5B65" w:rsidRDefault="00A520C9" w:rsidP="00A520C9">
      <w:r w:rsidRPr="00FD5B65">
        <w:t>Despite having significantly more new entrants</w:t>
      </w:r>
      <w:r>
        <w:t>,</w:t>
      </w:r>
      <w:r w:rsidRPr="00FD5B65">
        <w:t xml:space="preserve"> the number of exits is expected to be similar to the </w:t>
      </w:r>
      <w:r w:rsidR="00D320CF">
        <w:t>2018-19 AFSR</w:t>
      </w:r>
      <w:r w:rsidRPr="00FD5B65">
        <w:t xml:space="preserve"> forecast. This means that the proportion of participants in the Scheme in </w:t>
      </w:r>
      <w:r w:rsidR="009125AE" w:rsidRPr="009125AE">
        <w:t>203</w:t>
      </w:r>
      <w:r w:rsidR="009125AE" w:rsidRPr="002A687C">
        <w:t>0</w:t>
      </w:r>
      <w:r w:rsidR="009125AE" w:rsidRPr="009125AE">
        <w:t xml:space="preserve"> </w:t>
      </w:r>
      <w:r w:rsidRPr="009125AE">
        <w:t xml:space="preserve">will be </w:t>
      </w:r>
      <w:r w:rsidR="00A33E88" w:rsidRPr="002A687C">
        <w:t>81</w:t>
      </w:r>
      <w:r w:rsidRPr="009125AE">
        <w:t>%</w:t>
      </w:r>
      <w:r w:rsidRPr="00FD5B65">
        <w:t xml:space="preserve"> of all entrants </w:t>
      </w:r>
      <w:r>
        <w:t xml:space="preserve">to that point, </w:t>
      </w:r>
      <w:r w:rsidRPr="00FD5B65">
        <w:t xml:space="preserve">compared to </w:t>
      </w:r>
      <w:r w:rsidR="00A33E88" w:rsidRPr="00FD5B65">
        <w:t>7</w:t>
      </w:r>
      <w:r w:rsidR="00A33E88">
        <w:t>8</w:t>
      </w:r>
      <w:r w:rsidRPr="00FD5B65">
        <w:t>% forecast from 2019.</w:t>
      </w:r>
    </w:p>
    <w:p w14:paraId="417895C6" w14:textId="395211C5" w:rsidR="00A520C9" w:rsidRPr="00E926D9" w:rsidRDefault="00A520C9" w:rsidP="00A520C9">
      <w:r w:rsidRPr="00E926D9">
        <w:t>There are several reasons why people will exit the Scheme</w:t>
      </w:r>
      <w:r>
        <w:t>. In the model</w:t>
      </w:r>
      <w:r w:rsidR="00381247">
        <w:t>,</w:t>
      </w:r>
      <w:r>
        <w:t xml:space="preserve"> the main distinction are exits due to death (mortality) and other exits. The reduction in non-mortality exit rates, reflecting continued experience, is one factor </w:t>
      </w:r>
      <w:r w:rsidR="005F58F0">
        <w:t xml:space="preserve">which </w:t>
      </w:r>
      <w:r>
        <w:t xml:space="preserve">means that </w:t>
      </w:r>
      <w:r w:rsidR="00D320CF">
        <w:t>2020-21 AFSR</w:t>
      </w:r>
      <w:r>
        <w:t xml:space="preserve"> exits are close to 2019 levels despite the higher number of participants in the </w:t>
      </w:r>
      <w:r w:rsidR="00232FFF">
        <w:t>Scheme</w:t>
      </w:r>
      <w:r>
        <w:t>.</w:t>
      </w:r>
    </w:p>
    <w:p w14:paraId="4A16ADA9" w14:textId="77777777" w:rsidR="00A520C9" w:rsidRDefault="00A520C9" w:rsidP="00A520C9">
      <w:pPr>
        <w:pStyle w:val="Heading3"/>
      </w:pPr>
      <w:r>
        <w:t>Type of disability</w:t>
      </w:r>
    </w:p>
    <w:p w14:paraId="63111957" w14:textId="77777777" w:rsidR="00A520C9" w:rsidRDefault="00A520C9" w:rsidP="00A520C9">
      <w:r>
        <w:t>The amount of support required varies significantly depending on the type of disability that people have. The growth in the number of participants is concentrated toward less severe disabilities and hence this results in a $3.5B reduction in payments during 2024-25, just over half of the increase attributable to having more participants.</w:t>
      </w:r>
    </w:p>
    <w:p w14:paraId="5AB4381A" w14:textId="1D384152" w:rsidR="00A520C9" w:rsidRDefault="00A520C9" w:rsidP="00A02643">
      <w:pPr>
        <w:pStyle w:val="Caption"/>
      </w:pPr>
      <w:r>
        <w:t xml:space="preserve">Figure </w:t>
      </w:r>
      <w:r w:rsidR="009366CE">
        <w:fldChar w:fldCharType="begin"/>
      </w:r>
      <w:r w:rsidR="009366CE">
        <w:instrText xml:space="preserve"> STYLEREF 1 \s </w:instrText>
      </w:r>
      <w:r w:rsidR="009366CE">
        <w:fldChar w:fldCharType="separate"/>
      </w:r>
      <w:r w:rsidR="00E6217F">
        <w:rPr>
          <w:noProof/>
        </w:rPr>
        <w:t>5</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5</w:t>
      </w:r>
      <w:r w:rsidR="009366CE">
        <w:fldChar w:fldCharType="end"/>
      </w:r>
      <w:r>
        <w:t xml:space="preserve"> – Breakdown of additional participants by disability compared to </w:t>
      </w:r>
      <w:r w:rsidR="00D320CF">
        <w:t>2018-19 AFSR</w:t>
      </w:r>
    </w:p>
    <w:p w14:paraId="23FF883A" w14:textId="71770D2C" w:rsidR="00A33E88" w:rsidRDefault="00A33E88" w:rsidP="00A520C9">
      <w:r w:rsidRPr="00A33E88">
        <w:rPr>
          <w:noProof/>
        </w:rPr>
        <w:drawing>
          <wp:inline distT="0" distB="0" distL="0" distR="0" wp14:anchorId="7C5C431E" wp14:editId="05FCC740">
            <wp:extent cx="5222875" cy="3012440"/>
            <wp:effectExtent l="0" t="0" r="0" b="0"/>
            <wp:docPr id="48" name="Picture 48" descr="Autism.&#10;Participants in 2021. 31,570. &#10;Participants in 2025. 69,814.&#10;Participants in 2030. 123,069.&#10;&#10;Delayed Development.&#10;Participants in 2021. 20,760. &#10;Participants in 2025. 34,698.&#10;Participants in 2030. 33,559.&#10;&#10;Psychosocial Disability.&#10;Participants in 2021. 5,059. &#10;Participants in 2025. 17,901.&#10;Participants in 2030. 30,349.&#10;&#10;Intellectual Disability.&#10;Participants in 2021. -8,196. &#10;Participants in 2025. -483.&#10;Participants in 2030. 21,037.&#10;&#10;All Other Disabilities.&#10;Participants in 2021. -6,463. &#10;Participants in 2025. 3,853.&#10;Participants in 2030. 1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utism.&#10;Participants in 2021. 31,570. &#10;Participants in 2025. 69,814.&#10;Participants in 2030. 123,069.&#10;&#10;Delayed Development.&#10;Participants in 2021. 20,760. &#10;Participants in 2025. 34,698.&#10;Participants in 2030. 33,559.&#10;&#10;Psychosocial Disability.&#10;Participants in 2021. 5,059. &#10;Participants in 2025. 17,901.&#10;Participants in 2030. 30,349.&#10;&#10;Intellectual Disability.&#10;Participants in 2021. -8,196. &#10;Participants in 2025. -483.&#10;Participants in 2030. 21,037.&#10;&#10;All Other Disabilities.&#10;Participants in 2021. -6,463. &#10;Participants in 2025. 3,853.&#10;Participants in 2030. 14,669."/>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5222875" cy="3012440"/>
                    </a:xfrm>
                    <a:prstGeom prst="rect">
                      <a:avLst/>
                    </a:prstGeom>
                    <a:noFill/>
                    <a:ln>
                      <a:noFill/>
                    </a:ln>
                  </pic:spPr>
                </pic:pic>
              </a:graphicData>
            </a:graphic>
          </wp:inline>
        </w:drawing>
      </w:r>
    </w:p>
    <w:p w14:paraId="4ED91E7A" w14:textId="157F541F" w:rsidR="00A520C9" w:rsidRDefault="00A520C9" w:rsidP="00A520C9">
      <w:r>
        <w:t>By 2025 the Scheme is expected to have an additional 126,000 participants compared to the 2019 projections, of which more than half are expected to have autism. There are also expected to be a lot more people with delayed development and psychosocial disabilities. While the number of participants with delayed development is projected to stabilise after 2025</w:t>
      </w:r>
      <w:r w:rsidR="00381247">
        <w:t>,</w:t>
      </w:r>
      <w:r>
        <w:t xml:space="preserve"> participants with autism, psychosocial and intellectual disabilities are assumed to grow to </w:t>
      </w:r>
      <w:r w:rsidR="003164F3">
        <w:t xml:space="preserve">2030 </w:t>
      </w:r>
      <w:r>
        <w:t>and beyond.</w:t>
      </w:r>
    </w:p>
    <w:p w14:paraId="7A7310C6" w14:textId="77777777" w:rsidR="00A520C9" w:rsidRDefault="00A520C9" w:rsidP="00A520C9">
      <w:pPr>
        <w:pStyle w:val="Heading3"/>
      </w:pPr>
      <w:r>
        <w:t>Functional Level (Severity of disability)</w:t>
      </w:r>
    </w:p>
    <w:p w14:paraId="2B576FB2" w14:textId="202A84E5" w:rsidR="00A520C9" w:rsidRDefault="00A520C9" w:rsidP="00A520C9">
      <w:r>
        <w:t>Within each type of disability, the Scheme Actuary segments participants into different functional groups, which range from two groups for people with visual impairment up to nine for spinal cord injuries. These subgroups allow the Scheme Actuary to reflect different levels of disability and associated supports.</w:t>
      </w:r>
    </w:p>
    <w:p w14:paraId="5464CB91" w14:textId="24508CCE" w:rsidR="00A520C9" w:rsidRDefault="00A520C9" w:rsidP="00A520C9">
      <w:r>
        <w:t xml:space="preserve">We have noted in section </w:t>
      </w:r>
      <w:r w:rsidR="00F36406">
        <w:fldChar w:fldCharType="begin"/>
      </w:r>
      <w:r w:rsidR="00F36406">
        <w:instrText xml:space="preserve"> REF _Ref87628405 \r \h </w:instrText>
      </w:r>
      <w:r w:rsidR="00F36406">
        <w:fldChar w:fldCharType="separate"/>
      </w:r>
      <w:r w:rsidR="00E6217F">
        <w:t>3.3</w:t>
      </w:r>
      <w:r w:rsidR="00F36406">
        <w:fldChar w:fldCharType="end"/>
      </w:r>
      <w:r>
        <w:t xml:space="preserve"> some of the difficulties around the disability-severity groupings; comparisons between 2019 and 2021 have not explicitly allowed for transitions between different levels of function, even though this is present in the recorded data. Our discussion here focuses on the mix of severity bands as projected in the AFSR models. </w:t>
      </w:r>
    </w:p>
    <w:p w14:paraId="39E25397" w14:textId="37E25F1B" w:rsidR="00ED2326" w:rsidRDefault="00A520C9" w:rsidP="00A520C9">
      <w:r>
        <w:t xml:space="preserve">As discussed above, most of the increase in participant numbers relates to a small number of disabilities. Within these groups the additional participants are expected to have higher levels of function and require less support. This shift to higher levels of function reduces the projected payments by $0.9B in 2025 and </w:t>
      </w:r>
      <w:r w:rsidRPr="00E91D64">
        <w:t>$</w:t>
      </w:r>
      <w:r w:rsidR="00E91D64" w:rsidRPr="002A687C">
        <w:t>4</w:t>
      </w:r>
      <w:r w:rsidRPr="00E91D64">
        <w:t xml:space="preserve">B in </w:t>
      </w:r>
      <w:r w:rsidR="00E91D64" w:rsidRPr="00E91D64">
        <w:t>203</w:t>
      </w:r>
      <w:r w:rsidR="00E91D64" w:rsidRPr="002A687C">
        <w:t>0</w:t>
      </w:r>
      <w:r w:rsidRPr="00E91D64">
        <w:t>.</w:t>
      </w:r>
      <w:r>
        <w:t xml:space="preserve"> The disabilities where changes in the functional mix which have the largest impact on projected payments are summarised in </w:t>
      </w:r>
      <w:r>
        <w:fldChar w:fldCharType="begin"/>
      </w:r>
      <w:r>
        <w:instrText xml:space="preserve"> REF _Ref83574529 \h </w:instrText>
      </w:r>
      <w:r>
        <w:fldChar w:fldCharType="separate"/>
      </w:r>
      <w:r w:rsidR="00E6217F">
        <w:t xml:space="preserve">Figure </w:t>
      </w:r>
      <w:r w:rsidR="00E6217F">
        <w:rPr>
          <w:noProof/>
        </w:rPr>
        <w:t>5</w:t>
      </w:r>
      <w:r w:rsidR="00E6217F">
        <w:t>.</w:t>
      </w:r>
      <w:r w:rsidR="00E6217F">
        <w:rPr>
          <w:noProof/>
        </w:rPr>
        <w:t>6</w:t>
      </w:r>
      <w:r>
        <w:fldChar w:fldCharType="end"/>
      </w:r>
      <w:r>
        <w:t>, with severity 1 participants having the highest level of function and hence the lowest average cost.</w:t>
      </w:r>
    </w:p>
    <w:p w14:paraId="02676A4D" w14:textId="77777777" w:rsidR="00ED2326" w:rsidRDefault="00ED2326">
      <w:pPr>
        <w:spacing w:before="0" w:after="160" w:line="259" w:lineRule="auto"/>
      </w:pPr>
      <w:r>
        <w:br w:type="page"/>
      </w:r>
    </w:p>
    <w:p w14:paraId="4B340DE8" w14:textId="1B49B2F9" w:rsidR="00E91D64" w:rsidRDefault="00A520C9" w:rsidP="0093011A">
      <w:pPr>
        <w:pStyle w:val="Caption"/>
      </w:pPr>
      <w:bookmarkStart w:id="206" w:name="_Ref83574529"/>
      <w:r>
        <w:t xml:space="preserve">Figure </w:t>
      </w:r>
      <w:r w:rsidR="009366CE">
        <w:fldChar w:fldCharType="begin"/>
      </w:r>
      <w:r w:rsidR="009366CE">
        <w:instrText xml:space="preserve"> STYLEREF 1 \s </w:instrText>
      </w:r>
      <w:r w:rsidR="009366CE">
        <w:fldChar w:fldCharType="separate"/>
      </w:r>
      <w:r w:rsidR="00E6217F">
        <w:rPr>
          <w:noProof/>
        </w:rPr>
        <w:t>5</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6</w:t>
      </w:r>
      <w:r w:rsidR="009366CE">
        <w:fldChar w:fldCharType="end"/>
      </w:r>
      <w:bookmarkEnd w:id="206"/>
      <w:r>
        <w:t xml:space="preserve"> – Comparison of the severity mix within disability groups</w:t>
      </w:r>
    </w:p>
    <w:p w14:paraId="0B0536DE" w14:textId="6BBAD690" w:rsidR="00ED2326" w:rsidRDefault="00ED2326" w:rsidP="00A520C9">
      <w:r>
        <w:rPr>
          <w:noProof/>
        </w:rPr>
        <w:drawing>
          <wp:inline distT="0" distB="0" distL="0" distR="0" wp14:anchorId="79C65249" wp14:editId="374C3D2F">
            <wp:extent cx="5976620" cy="2101850"/>
            <wp:effectExtent l="0" t="0" r="5080" b="0"/>
            <wp:docPr id="148" name="Graphic 148" descr="Projected Functional Mix in 2025.&#10;&#10;Autism.  &#10;2019 AFSR. &#10;Severity 1. 46,994.&#10;Severity 2. 79,487.&#10;Severity 3. 13,316.&#10;Severity 4. 27,335.&#10;Severity 5. -.&#10;&#10;Autism.&#10;2021 AFSR.&#10;Severity 1. 47,827.&#10;Severity 2. 138,511.&#10;Severity 3. 11,616.&#10;Severity 4. 38,992.&#10;Severity 5. -.&#10;&#10;&#10;Cerebral Palsy. &#10;2019 AFSR.&#10;Severity 1. 1,313.&#10;Severity 2. 6,552.&#10;Severity 3. 3,087.&#10;Severity 4. 10,447.&#10;Severity 5. -.&#10;&#10;Cerebral Palsy.&#10;2021 AFSR.&#10;Severity 1. 1,390.&#10;Severity 2. 6,668.&#10;Severity 3. 2,502.&#10;Severity 4. 8,328.&#10;Severity 5. -.&#10; &#10;Intellectual Disability.&#10;2019 AFSR.&#10;Severity 1. 20,760.&#10;Severity 2. 39,528.&#10;Severity 3. 27,213.&#10;Severity 4. 28,533.&#10;Severity 5. -.&#10;&#10;&#10;Intellectual Disability.&#10;2021 AFSR.&#10;Severity 1. 28,673.&#10;Severity 2. 37,796.&#10;Severity 3. 25,326.&#10;Severity 4. 23,757.&#10;Severity 5. -.&#10;&#10;Psychosocial disability. &#10;2019 AFSR.&#10;Severity 1. 45.&#10;Severity 2. 12,104.&#10;Severity 3. 11,642.&#10;Severity 4. 15,188.&#10;Severity 5. 12,855.&#10;&#10;Psychosocial disability. &#10;2021 AFSR.&#10;Severity 1. 134.&#10;Severity 2. 13,004.&#10;Severity 3. 14,782.&#10;Severity 4. 21,728.&#10;Severity 5. 20,086.&#10;&#10;&#10;Projected Functional Mix in 2030&#10;&#10;Autism.  &#10;2019 AFSR. &#10;Severity 1. 61,311.&#10;Severity 2. 99,668.&#10;Severity 3. 18,622.&#10;Severity 4. 35,239.&#10;Severity 5. -.&#10;&#10;2021 AFSR.&#10;Severity 1. 71,786.&#10;Severity 2. 198,481.&#10;Severity 3. 13,907.&#10;Severity 4. 53,734.&#10;Severity 5. -.&#10;&#10;&#10;Cerebral Palsy &#10;2019 AFSR.&#10;Severity 1. 1,473.&#10;Severity 2. 7,106.&#10;Severity 3. 3,515.&#10;Severity 4. 11,997.&#10;Severity 5. -.&#10;&#10;&#10;2021 AFSR.&#10;Severity 1. 1,691.&#10;Severity 2. 8,681.&#10;Severity 3. 2,817.&#10;Severity 4. 8,196.&#10;Severity 5. -.&#10; &#10;Intellectual Disability &#10;2019 AFSR.&#10;Severity 1. 21,627.&#10;Severity 2. 41,424.&#10;Severity 3. 29,662.&#10;Severity 4. 29,966.&#10;Severity 5. -.&#10;&#10;&#10;2021 AFSR.&#10;Severity 1. 44,218.&#10;Severity 2. 47,582.&#10;Severity 3. 28,793.&#10;Severity 4. 23,123.&#10;Severity 5. -.&#10;&#10;Psychosocial disability &#10;2019 AFSR.&#10;Severity 1. 35.&#10;Severity 2. 13,946.&#10;Severity 3. 13,013.&#10;Severity 4. 16,777.&#10;Severity 5. 14,060.&#10; &#10;2021 AFSR.&#10;Severity 1. 141.&#10;Severity 2. 17,108.&#10;Severity 3. 19,271.&#10;Severity 4. 27,683.&#10;Severity 5. 2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phic 148" descr="Projected Functional Mix in 2025.&#10;&#10;Autism.  &#10;2019 AFSR. &#10;Severity 1. 46,994.&#10;Severity 2. 79,487.&#10;Severity 3. 13,316.&#10;Severity 4. 27,335.&#10;Severity 5. -.&#10;&#10;Autism.&#10;2021 AFSR.&#10;Severity 1. 47,827.&#10;Severity 2. 138,511.&#10;Severity 3. 11,616.&#10;Severity 4. 38,992.&#10;Severity 5. -.&#10;&#10;&#10;Cerebral Palsy. &#10;2019 AFSR.&#10;Severity 1. 1,313.&#10;Severity 2. 6,552.&#10;Severity 3. 3,087.&#10;Severity 4. 10,447.&#10;Severity 5. -.&#10;&#10;Cerebral Palsy.&#10;2021 AFSR.&#10;Severity 1. 1,390.&#10;Severity 2. 6,668.&#10;Severity 3. 2,502.&#10;Severity 4. 8,328.&#10;Severity 5. -.&#10; &#10;Intellectual Disability.&#10;2019 AFSR.&#10;Severity 1. 20,760.&#10;Severity 2. 39,528.&#10;Severity 3. 27,213.&#10;Severity 4. 28,533.&#10;Severity 5. -.&#10;&#10;&#10;Intellectual Disability.&#10;2021 AFSR.&#10;Severity 1. 28,673.&#10;Severity 2. 37,796.&#10;Severity 3. 25,326.&#10;Severity 4. 23,757.&#10;Severity 5. -.&#10;&#10;Psychosocial disability. &#10;2019 AFSR.&#10;Severity 1. 45.&#10;Severity 2. 12,104.&#10;Severity 3. 11,642.&#10;Severity 4. 15,188.&#10;Severity 5. 12,855.&#10;&#10;Psychosocial disability. &#10;2021 AFSR.&#10;Severity 1. 134.&#10;Severity 2. 13,004.&#10;Severity 3. 14,782.&#10;Severity 4. 21,728.&#10;Severity 5. 20,086.&#10;&#10;&#10;Projected Functional Mix in 2030&#10;&#10;Autism.  &#10;2019 AFSR. &#10;Severity 1. 61,311.&#10;Severity 2. 99,668.&#10;Severity 3. 18,622.&#10;Severity 4. 35,239.&#10;Severity 5. -.&#10;&#10;2021 AFSR.&#10;Severity 1. 71,786.&#10;Severity 2. 198,481.&#10;Severity 3. 13,907.&#10;Severity 4. 53,734.&#10;Severity 5. -.&#10;&#10;&#10;Cerebral Palsy &#10;2019 AFSR.&#10;Severity 1. 1,473.&#10;Severity 2. 7,106.&#10;Severity 3. 3,515.&#10;Severity 4. 11,997.&#10;Severity 5. -.&#10;&#10;&#10;2021 AFSR.&#10;Severity 1. 1,691.&#10;Severity 2. 8,681.&#10;Severity 3. 2,817.&#10;Severity 4. 8,196.&#10;Severity 5. -.&#10; &#10;Intellectual Disability &#10;2019 AFSR.&#10;Severity 1. 21,627.&#10;Severity 2. 41,424.&#10;Severity 3. 29,662.&#10;Severity 4. 29,966.&#10;Severity 5. -.&#10;&#10;&#10;2021 AFSR.&#10;Severity 1. 44,218.&#10;Severity 2. 47,582.&#10;Severity 3. 28,793.&#10;Severity 4. 23,123.&#10;Severity 5. -.&#10;&#10;Psychosocial disability &#10;2019 AFSR.&#10;Severity 1. 35.&#10;Severity 2. 13,946.&#10;Severity 3. 13,013.&#10;Severity 4. 16,777.&#10;Severity 5. 14,060.&#10; &#10;2021 AFSR.&#10;Severity 1. 141.&#10;Severity 2. 17,108.&#10;Severity 3. 19,271.&#10;Severity 4. 27,683.&#10;Severity 5. 23,977."/>
                    <pic:cNvPicPr/>
                  </pic:nvPicPr>
                  <pic:blipFill>
                    <a:blip r:embed="rId99" cstate="print">
                      <a:extLst>
                        <a:ext uri="{28A0092B-C50C-407E-A947-70E740481C1C}">
                          <a14:useLocalDpi xmlns:a14="http://schemas.microsoft.com/office/drawing/2010/main"/>
                        </a:ext>
                        <a:ext uri="{96DAC541-7B7A-43D3-8B79-37D633B846F1}">
                          <asvg:svgBlip xmlns:asvg="http://schemas.microsoft.com/office/drawing/2016/SVG/main" r:embed="rId100"/>
                        </a:ext>
                      </a:extLst>
                    </a:blip>
                    <a:stretch>
                      <a:fillRect/>
                    </a:stretch>
                  </pic:blipFill>
                  <pic:spPr>
                    <a:xfrm>
                      <a:off x="0" y="0"/>
                      <a:ext cx="5976620" cy="2101850"/>
                    </a:xfrm>
                    <a:prstGeom prst="rect">
                      <a:avLst/>
                    </a:prstGeom>
                  </pic:spPr>
                </pic:pic>
              </a:graphicData>
            </a:graphic>
          </wp:inline>
        </w:drawing>
      </w:r>
    </w:p>
    <w:p w14:paraId="2ED53BEC" w14:textId="77777777" w:rsidR="00E91D64" w:rsidRDefault="00E91D64" w:rsidP="00A520C9"/>
    <w:p w14:paraId="51F04D61" w14:textId="5DD74DAD" w:rsidR="00A520C9" w:rsidRDefault="00A520C9" w:rsidP="00A520C9">
      <w:r>
        <w:t>The mix of participants with an intellectual disability is now projected to be much more weighted towards severity 1 and 2</w:t>
      </w:r>
      <w:r w:rsidR="0031603F">
        <w:t>,</w:t>
      </w:r>
      <w:r>
        <w:t xml:space="preserve"> resulting in a reduction to the average size (using 2019 cost assumptions) of 8% in 2025 and </w:t>
      </w:r>
      <w:r w:rsidR="00E91D64" w:rsidRPr="002A687C">
        <w:t>17</w:t>
      </w:r>
      <w:r w:rsidRPr="00E91D64">
        <w:t xml:space="preserve">% by </w:t>
      </w:r>
      <w:r w:rsidR="00E91D64" w:rsidRPr="00E91D64">
        <w:t>2030</w:t>
      </w:r>
      <w:r>
        <w:t xml:space="preserve">. This large shift means that there are expected to be fewer severity 3 or 4 participants compared to the </w:t>
      </w:r>
      <w:r w:rsidR="00D320CF">
        <w:t>2018-19 AFSR</w:t>
      </w:r>
      <w:r>
        <w:t xml:space="preserve">, despite </w:t>
      </w:r>
      <w:r w:rsidRPr="00E91D64">
        <w:t xml:space="preserve">having </w:t>
      </w:r>
      <w:r w:rsidR="00E91D64" w:rsidRPr="002A687C">
        <w:t>17</w:t>
      </w:r>
      <w:r w:rsidRPr="00E91D64">
        <w:t xml:space="preserve">% more total participants in </w:t>
      </w:r>
      <w:r w:rsidR="00E91D64" w:rsidRPr="00E91D64">
        <w:t>2030</w:t>
      </w:r>
      <w:r w:rsidRPr="00E91D64">
        <w:t>.</w:t>
      </w:r>
      <w:r>
        <w:t xml:space="preserve"> </w:t>
      </w:r>
      <w:r w:rsidR="002B4625">
        <w:t>T</w:t>
      </w:r>
      <w:r>
        <w:t xml:space="preserve">his has contributed to projected payments being $0.85B lower in 2025 and </w:t>
      </w:r>
      <w:r w:rsidRPr="00E91D64">
        <w:t>$</w:t>
      </w:r>
      <w:r w:rsidR="00E91D64" w:rsidRPr="002A687C">
        <w:t>3</w:t>
      </w:r>
      <w:r w:rsidRPr="00E91D64">
        <w:t xml:space="preserve">B lower in </w:t>
      </w:r>
      <w:r w:rsidR="00E91D64" w:rsidRPr="00E91D64">
        <w:t>2030</w:t>
      </w:r>
      <w:r>
        <w:t>. Therefore, should such a change in mix not occur there could be upward pressure o</w:t>
      </w:r>
      <w:r w:rsidR="0031603F">
        <w:t>n</w:t>
      </w:r>
      <w:r>
        <w:t xml:space="preserve"> costs.</w:t>
      </w:r>
    </w:p>
    <w:p w14:paraId="0AD570D6" w14:textId="2B8F55DF" w:rsidR="00A520C9" w:rsidRDefault="00A520C9" w:rsidP="00A520C9">
      <w:r>
        <w:t xml:space="preserve">Cerebral palsy exhibits a similar change while </w:t>
      </w:r>
      <w:r w:rsidR="0031603F">
        <w:t>a</w:t>
      </w:r>
      <w:r>
        <w:t xml:space="preserve">utism has a larger proportion </w:t>
      </w:r>
      <w:r w:rsidR="00A96BA5">
        <w:t xml:space="preserve">of </w:t>
      </w:r>
      <w:r>
        <w:t xml:space="preserve">participants in severity 2 with fewer </w:t>
      </w:r>
      <w:r w:rsidR="0031603F">
        <w:t xml:space="preserve">people </w:t>
      </w:r>
      <w:r>
        <w:t xml:space="preserve">in both severity 1 and 3. In 2025 the change in mix for these two disabilities reduces payments by $0.13B which is forecast to increase to a </w:t>
      </w:r>
      <w:r w:rsidRPr="00F641C5">
        <w:t>$</w:t>
      </w:r>
      <w:r w:rsidR="002B3E08" w:rsidRPr="002A687C">
        <w:t>0</w:t>
      </w:r>
      <w:r w:rsidRPr="00F641C5">
        <w:t>.</w:t>
      </w:r>
      <w:r w:rsidR="002B3E08" w:rsidRPr="002A687C">
        <w:t>54</w:t>
      </w:r>
      <w:r w:rsidR="002B3E08" w:rsidRPr="00F641C5">
        <w:t xml:space="preserve">B </w:t>
      </w:r>
      <w:r w:rsidRPr="00F641C5">
        <w:t xml:space="preserve">reduction by </w:t>
      </w:r>
      <w:r w:rsidR="002B3E08" w:rsidRPr="00F641C5">
        <w:t>2030</w:t>
      </w:r>
      <w:r>
        <w:t>.</w:t>
      </w:r>
    </w:p>
    <w:p w14:paraId="3956791D" w14:textId="7A65305A" w:rsidR="00A520C9" w:rsidRDefault="00A520C9" w:rsidP="00A520C9">
      <w:pPr>
        <w:rPr>
          <w:rFonts w:asciiTheme="majorHAnsi" w:eastAsiaTheme="majorEastAsia" w:hAnsiTheme="majorHAnsi" w:cstheme="majorBidi"/>
          <w:color w:val="006EC8" w:themeColor="accent1"/>
          <w:sz w:val="24"/>
          <w:szCs w:val="24"/>
        </w:rPr>
      </w:pPr>
      <w:r>
        <w:t>Psychosocial disabilit</w:t>
      </w:r>
      <w:r w:rsidR="00ED2FC8">
        <w:t>y</w:t>
      </w:r>
      <w:r>
        <w:t xml:space="preserve"> is one of the few categories where the mix is expected to be more severe on average than the </w:t>
      </w:r>
      <w:r w:rsidR="00D320CF">
        <w:t>2018-19 AFSR</w:t>
      </w:r>
      <w:r>
        <w:t xml:space="preserve"> projection.</w:t>
      </w:r>
    </w:p>
    <w:p w14:paraId="4571304A" w14:textId="77777777" w:rsidR="00A520C9" w:rsidRDefault="00A520C9" w:rsidP="00A520C9">
      <w:pPr>
        <w:pStyle w:val="Heading3"/>
      </w:pPr>
      <w:r>
        <w:t>Age mix</w:t>
      </w:r>
    </w:p>
    <w:p w14:paraId="22567029" w14:textId="61878B68" w:rsidR="00A520C9" w:rsidRDefault="00A520C9" w:rsidP="00A520C9">
      <w:r>
        <w:t xml:space="preserve">After allowing for changes in the disability and functional mix, the remaining impact for changing the age mix within each disability-severity cohort results in a relatively small increase in projected payments. About 80% of the higher cost relates to changes in the age profile of autism, cerebral palsy and delayed development participants where more people are expected to be aged 15 to 24 and over 55, </w:t>
      </w:r>
      <w:r w:rsidR="002B4625">
        <w:t xml:space="preserve">with </w:t>
      </w:r>
      <w:r>
        <w:t>a smaller proportion aged 7 to 14.</w:t>
      </w:r>
    </w:p>
    <w:p w14:paraId="6919903C" w14:textId="10963368" w:rsidR="00A520C9" w:rsidRDefault="00A520C9" w:rsidP="00A520C9">
      <w:r>
        <w:t xml:space="preserve">The </w:t>
      </w:r>
      <w:r w:rsidR="002C465D">
        <w:t xml:space="preserve">Scheme </w:t>
      </w:r>
      <w:r>
        <w:t xml:space="preserve">provides limited access to new participants once they are over 65, but as those who entered at younger ages get older there will be a natural increase in the number of participants who are older than 65. Currently there are about 16,600 participants who are over 65, which equates to 3.6% of total participants. By June 2025 this is forecast to grow to nearly 37,000 participants (5.5% of total participants) and </w:t>
      </w:r>
      <w:r w:rsidRPr="00F641C5">
        <w:t xml:space="preserve">by </w:t>
      </w:r>
      <w:r w:rsidR="00F641C5" w:rsidRPr="00F641C5">
        <w:t>203</w:t>
      </w:r>
      <w:r w:rsidR="00F641C5" w:rsidRPr="002A687C">
        <w:t>0</w:t>
      </w:r>
      <w:r w:rsidR="00F641C5" w:rsidRPr="00F641C5">
        <w:t xml:space="preserve"> </w:t>
      </w:r>
      <w:r w:rsidRPr="00F641C5">
        <w:t xml:space="preserve">there are forecast to be </w:t>
      </w:r>
      <w:r w:rsidR="00F641C5" w:rsidRPr="002A687C">
        <w:t>more than</w:t>
      </w:r>
      <w:r w:rsidR="00F641C5" w:rsidRPr="00F641C5">
        <w:t xml:space="preserve"> </w:t>
      </w:r>
      <w:r w:rsidR="00F641C5" w:rsidRPr="002A687C">
        <w:t>60</w:t>
      </w:r>
      <w:r w:rsidRPr="00F641C5">
        <w:t>,000 people over 65 (7.</w:t>
      </w:r>
      <w:r w:rsidR="00F641C5" w:rsidRPr="002A687C">
        <w:t>1</w:t>
      </w:r>
      <w:r w:rsidRPr="00F641C5">
        <w:t>% of total participants).</w:t>
      </w:r>
      <w:r>
        <w:t xml:space="preserve"> Payments in </w:t>
      </w:r>
      <w:r w:rsidR="00F641C5" w:rsidRPr="00014391">
        <w:t>20</w:t>
      </w:r>
      <w:r w:rsidR="00F641C5" w:rsidRPr="002A687C">
        <w:t>29</w:t>
      </w:r>
      <w:r w:rsidRPr="00014391">
        <w:t>-</w:t>
      </w:r>
      <w:r w:rsidR="00F641C5" w:rsidRPr="00014391">
        <w:t>30</w:t>
      </w:r>
      <w:r w:rsidR="00F641C5">
        <w:t xml:space="preserve"> </w:t>
      </w:r>
      <w:r>
        <w:t xml:space="preserve">relating to people over 65 have increased from </w:t>
      </w:r>
      <w:r w:rsidRPr="00014391">
        <w:t>$</w:t>
      </w:r>
      <w:r w:rsidR="00F641C5" w:rsidRPr="002A687C">
        <w:t>5.1</w:t>
      </w:r>
      <w:r w:rsidRPr="00014391">
        <w:t>B to $</w:t>
      </w:r>
      <w:r w:rsidR="00F641C5" w:rsidRPr="002A687C">
        <w:t>7</w:t>
      </w:r>
      <w:r w:rsidRPr="00014391">
        <w:t>B</w:t>
      </w:r>
      <w:r>
        <w:t xml:space="preserve">. This is consistent with the increase in total </w:t>
      </w:r>
      <w:r w:rsidR="00232FFF">
        <w:t>Scheme</w:t>
      </w:r>
      <w:r>
        <w:t xml:space="preserve"> payments between the 201</w:t>
      </w:r>
      <w:r w:rsidR="00D320CF">
        <w:t>8-1</w:t>
      </w:r>
      <w:r>
        <w:t>9 and 20</w:t>
      </w:r>
      <w:r w:rsidR="00D320CF">
        <w:t>20-</w:t>
      </w:r>
      <w:r>
        <w:t xml:space="preserve">21 AFSRs and remain </w:t>
      </w:r>
      <w:r w:rsidR="00014391">
        <w:t xml:space="preserve">around </w:t>
      </w:r>
      <w:r w:rsidR="00014391" w:rsidRPr="00014391">
        <w:t>1</w:t>
      </w:r>
      <w:r w:rsidR="00014391" w:rsidRPr="002A687C">
        <w:t>2</w:t>
      </w:r>
      <w:r w:rsidRPr="00014391">
        <w:t xml:space="preserve">% of total payments in </w:t>
      </w:r>
      <w:r w:rsidR="00F641C5" w:rsidRPr="00014391">
        <w:t>20</w:t>
      </w:r>
      <w:r w:rsidR="00F641C5" w:rsidRPr="002A687C">
        <w:t>29</w:t>
      </w:r>
      <w:r w:rsidR="006A743C">
        <w:noBreakHyphen/>
      </w:r>
      <w:r w:rsidR="00F641C5" w:rsidRPr="00014391">
        <w:t>30</w:t>
      </w:r>
      <w:r w:rsidRPr="00014391">
        <w:t>.</w:t>
      </w:r>
    </w:p>
    <w:p w14:paraId="14BF489B" w14:textId="0FC2E999" w:rsidR="00A520C9" w:rsidRDefault="00A520C9" w:rsidP="00A520C9">
      <w:r>
        <w:t xml:space="preserve">Relative to the </w:t>
      </w:r>
      <w:r w:rsidR="00D320CF">
        <w:t>2018-19 AFSR</w:t>
      </w:r>
      <w:r>
        <w:t xml:space="preserve"> projections there are expected to be approximately 4,500 more participants over 65 in 2025 and </w:t>
      </w:r>
      <w:r w:rsidR="00AB1F8A" w:rsidRPr="00AB1F8A">
        <w:t>nearly 1</w:t>
      </w:r>
      <w:r w:rsidR="00AB1F8A" w:rsidRPr="002A687C">
        <w:t>0</w:t>
      </w:r>
      <w:r w:rsidRPr="00AB1F8A">
        <w:t>,</w:t>
      </w:r>
      <w:r w:rsidR="00AB1F8A" w:rsidRPr="002A687C">
        <w:t>0</w:t>
      </w:r>
      <w:r w:rsidR="00AB1F8A" w:rsidRPr="00AB1F8A">
        <w:t xml:space="preserve">00 </w:t>
      </w:r>
      <w:r w:rsidRPr="00AB1F8A">
        <w:t xml:space="preserve">more in </w:t>
      </w:r>
      <w:r w:rsidR="00AB1F8A" w:rsidRPr="00AB1F8A">
        <w:t>2030</w:t>
      </w:r>
      <w:r w:rsidR="006A743C">
        <w:t>,</w:t>
      </w:r>
      <w:r w:rsidR="00AB1F8A">
        <w:t xml:space="preserve"> </w:t>
      </w:r>
      <w:r>
        <w:t>but they will represent a smaller proportion of total participants. This implies growth in younger participants will exceed the impact of aging.</w:t>
      </w:r>
    </w:p>
    <w:p w14:paraId="0AD102C0" w14:textId="7344350C" w:rsidR="00A520C9" w:rsidRDefault="00A520C9" w:rsidP="00AF0127">
      <w:pPr>
        <w:pStyle w:val="Caption"/>
        <w:spacing w:after="0"/>
      </w:pPr>
      <w:r>
        <w:t xml:space="preserve">Figure </w:t>
      </w:r>
      <w:r w:rsidR="009366CE">
        <w:rPr>
          <w:iCs w:val="0"/>
        </w:rPr>
        <w:fldChar w:fldCharType="begin"/>
      </w:r>
      <w:r w:rsidR="009366CE">
        <w:instrText xml:space="preserve"> STYLEREF 1 \s </w:instrText>
      </w:r>
      <w:r w:rsidR="009366CE">
        <w:rPr>
          <w:iCs w:val="0"/>
        </w:rPr>
        <w:fldChar w:fldCharType="separate"/>
      </w:r>
      <w:r w:rsidR="00E6217F">
        <w:rPr>
          <w:noProof/>
        </w:rPr>
        <w:t>5</w:t>
      </w:r>
      <w:r w:rsidR="009366CE">
        <w:rPr>
          <w:iCs w:val="0"/>
        </w:rPr>
        <w:fldChar w:fldCharType="end"/>
      </w:r>
      <w:r w:rsidR="009366CE">
        <w:t>.</w:t>
      </w:r>
      <w:r w:rsidR="009366CE">
        <w:rPr>
          <w:iCs w:val="0"/>
        </w:rPr>
        <w:fldChar w:fldCharType="begin"/>
      </w:r>
      <w:r w:rsidR="009366CE">
        <w:instrText xml:space="preserve"> SEQ Figure \* ARABIC \s 1 </w:instrText>
      </w:r>
      <w:r w:rsidR="009366CE">
        <w:rPr>
          <w:iCs w:val="0"/>
        </w:rPr>
        <w:fldChar w:fldCharType="separate"/>
      </w:r>
      <w:r w:rsidR="00E6217F">
        <w:rPr>
          <w:noProof/>
        </w:rPr>
        <w:t>7</w:t>
      </w:r>
      <w:r w:rsidR="009366CE">
        <w:rPr>
          <w:iCs w:val="0"/>
        </w:rPr>
        <w:fldChar w:fldCharType="end"/>
      </w:r>
      <w:r>
        <w:t xml:space="preserve"> – Change in age profile between the 201</w:t>
      </w:r>
      <w:r w:rsidR="00D320CF">
        <w:t>8-1</w:t>
      </w:r>
      <w:r>
        <w:t>9 and 20</w:t>
      </w:r>
      <w:r w:rsidR="00D320CF">
        <w:t>20-</w:t>
      </w:r>
      <w:r>
        <w:t>21 AFSR</w:t>
      </w:r>
    </w:p>
    <w:p w14:paraId="287E3ACE" w14:textId="2C76D39D" w:rsidR="00AB1F8A" w:rsidRDefault="00AB1F8A" w:rsidP="00AF0127">
      <w:pPr>
        <w:spacing w:before="0" w:after="0"/>
      </w:pPr>
      <w:r w:rsidRPr="00AB1F8A">
        <w:rPr>
          <w:noProof/>
        </w:rPr>
        <w:drawing>
          <wp:inline distT="0" distB="0" distL="0" distR="0" wp14:anchorId="00753EBF" wp14:editId="29E1AD05">
            <wp:extent cx="5110619" cy="2995086"/>
            <wp:effectExtent l="0" t="0" r="0" b="0"/>
            <wp:docPr id="53" name="Picture 53" descr="0 to 6.&#10;Change in 2025. 2.3%.&#10;Change in 2030. 1.5%. &#10;&#10;7 to 14.&#10;Change in 2025. 0.3%.&#10;Change in 2030. -0.8%. &#10;&#10;&#10;15 to 18.&#10;Change in 2025. 2.0%.&#10;Change in 2030. 1.5%. &#10;&#10;&#10;19 to 24.&#10;Change in 2025. 0.0%.&#10;Change in 2030. 2.2%. &#10;&#10;&#10;25 to 34.&#10;Change in 2025. -0.7%.&#10;Change in 2030. -0.7%. &#10;&#10;&#10;35 to 44.&#10;Change in 2025. -1.0%.&#10;Change in 2030. -1.0%. &#10;&#10;&#10;45 to 54.&#10;Change in 2025. -1.4%.&#10;Change in 2030. -0.9%. &#10;&#10;&#10;55 to 64.&#10;Change in 2025. -1.2%.&#10;Change in 2030. -0.9%. &#10;&#10;&#10;65+.&#10;Change in 2025. -0.4%.&#10;Change in 2030. -0.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0 to 6.&#10;Change in 2025. 2.3%.&#10;Change in 2030. 1.5%. &#10;&#10;7 to 14.&#10;Change in 2025. 0.3%.&#10;Change in 2030. -0.8%. &#10;&#10;&#10;15 to 18.&#10;Change in 2025. 2.0%.&#10;Change in 2030. 1.5%. &#10;&#10;&#10;19 to 24.&#10;Change in 2025. 0.0%.&#10;Change in 2030. 2.2%. &#10;&#10;&#10;25 to 34.&#10;Change in 2025. -0.7%.&#10;Change in 2030. -0.7%. &#10;&#10;&#10;35 to 44.&#10;Change in 2025. -1.0%.&#10;Change in 2030. -1.0%. &#10;&#10;&#10;45 to 54.&#10;Change in 2025. -1.4%.&#10;Change in 2030. -0.9%. &#10;&#10;&#10;55 to 64.&#10;Change in 2025. -1.2%.&#10;Change in 2030. -0.9%. &#10;&#10;&#10;65+.&#10;Change in 2025. -0.4%.&#10;Change in 2030. -0.9%. "/>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11945" cy="2995863"/>
                    </a:xfrm>
                    <a:prstGeom prst="rect">
                      <a:avLst/>
                    </a:prstGeom>
                    <a:noFill/>
                    <a:ln>
                      <a:noFill/>
                    </a:ln>
                  </pic:spPr>
                </pic:pic>
              </a:graphicData>
            </a:graphic>
          </wp:inline>
        </w:drawing>
      </w:r>
    </w:p>
    <w:p w14:paraId="0F633301" w14:textId="77777777" w:rsidR="00A520C9" w:rsidRDefault="00A520C9" w:rsidP="00AF0127">
      <w:pPr>
        <w:pStyle w:val="Heading2"/>
        <w:spacing w:before="300"/>
      </w:pPr>
      <w:bookmarkStart w:id="207" w:name="_Toc83828729"/>
      <w:bookmarkStart w:id="208" w:name="_Toc83828757"/>
      <w:bookmarkStart w:id="209" w:name="_Toc83997775"/>
      <w:bookmarkStart w:id="210" w:name="_Ref87100135"/>
      <w:bookmarkStart w:id="211" w:name="_Toc87700481"/>
      <w:bookmarkStart w:id="212" w:name="_Toc88686133"/>
      <w:r>
        <w:t>Number of people in SIL</w:t>
      </w:r>
      <w:bookmarkEnd w:id="207"/>
      <w:bookmarkEnd w:id="208"/>
      <w:bookmarkEnd w:id="209"/>
      <w:bookmarkEnd w:id="210"/>
      <w:bookmarkEnd w:id="211"/>
      <w:bookmarkEnd w:id="212"/>
    </w:p>
    <w:tbl>
      <w:tblPr>
        <w:tblStyle w:val="ListTable1Light-Accent1"/>
        <w:tblW w:w="0" w:type="auto"/>
        <w:tblLook w:val="0620" w:firstRow="1" w:lastRow="0" w:firstColumn="0" w:lastColumn="0" w:noHBand="1" w:noVBand="1"/>
      </w:tblPr>
      <w:tblGrid>
        <w:gridCol w:w="3402"/>
        <w:gridCol w:w="1701"/>
        <w:gridCol w:w="1701"/>
      </w:tblGrid>
      <w:tr w:rsidR="00A520C9" w:rsidRPr="00965FA7" w14:paraId="7A50B0AE" w14:textId="77777777" w:rsidTr="00E50847">
        <w:trPr>
          <w:cnfStyle w:val="100000000000" w:firstRow="1" w:lastRow="0" w:firstColumn="0" w:lastColumn="0" w:oddVBand="0" w:evenVBand="0" w:oddHBand="0" w:evenHBand="0" w:firstRowFirstColumn="0" w:firstRowLastColumn="0" w:lastRowFirstColumn="0" w:lastRowLastColumn="0"/>
          <w:tblHeader/>
        </w:trPr>
        <w:tc>
          <w:tcPr>
            <w:tcW w:w="3402" w:type="dxa"/>
            <w:tcBorders>
              <w:bottom w:val="none" w:sz="0" w:space="0" w:color="auto"/>
            </w:tcBorders>
            <w:shd w:val="clear" w:color="auto" w:fill="C1E3FF" w:themeFill="accent1" w:themeFillTint="33"/>
          </w:tcPr>
          <w:p w14:paraId="6BA86A21" w14:textId="77777777" w:rsidR="00A520C9" w:rsidRDefault="00A520C9" w:rsidP="00DA0930">
            <w:pPr>
              <w:keepNext/>
            </w:pPr>
          </w:p>
        </w:tc>
        <w:tc>
          <w:tcPr>
            <w:tcW w:w="1701" w:type="dxa"/>
            <w:tcBorders>
              <w:bottom w:val="none" w:sz="0" w:space="0" w:color="auto"/>
            </w:tcBorders>
            <w:shd w:val="clear" w:color="auto" w:fill="C1E3FF" w:themeFill="accent1" w:themeFillTint="33"/>
          </w:tcPr>
          <w:p w14:paraId="36FC59BE" w14:textId="77777777" w:rsidR="00A520C9" w:rsidRPr="00965FA7" w:rsidRDefault="00A520C9" w:rsidP="00DA0930">
            <w:pPr>
              <w:keepNext/>
              <w:jc w:val="right"/>
              <w:rPr>
                <w:b w:val="0"/>
                <w:bCs w:val="0"/>
              </w:rPr>
            </w:pPr>
            <w:r w:rsidRPr="00965FA7">
              <w:t>2024-25</w:t>
            </w:r>
          </w:p>
        </w:tc>
        <w:tc>
          <w:tcPr>
            <w:tcW w:w="1701" w:type="dxa"/>
            <w:tcBorders>
              <w:bottom w:val="none" w:sz="0" w:space="0" w:color="auto"/>
            </w:tcBorders>
            <w:shd w:val="clear" w:color="auto" w:fill="C1E3FF" w:themeFill="accent1" w:themeFillTint="33"/>
          </w:tcPr>
          <w:p w14:paraId="0A0B9B47" w14:textId="2B4E17D2" w:rsidR="00A520C9" w:rsidRPr="00AB1F8A" w:rsidRDefault="00AB1F8A" w:rsidP="00DA0930">
            <w:pPr>
              <w:keepNext/>
              <w:jc w:val="right"/>
              <w:rPr>
                <w:b w:val="0"/>
                <w:bCs w:val="0"/>
              </w:rPr>
            </w:pPr>
            <w:r w:rsidRPr="00AB1F8A">
              <w:t>20</w:t>
            </w:r>
            <w:r w:rsidRPr="002A687C">
              <w:t>29</w:t>
            </w:r>
            <w:r w:rsidR="00A520C9" w:rsidRPr="00AB1F8A">
              <w:t>-</w:t>
            </w:r>
            <w:r w:rsidRPr="00AB1F8A">
              <w:t>3</w:t>
            </w:r>
            <w:r w:rsidRPr="002A687C">
              <w:t>0</w:t>
            </w:r>
          </w:p>
        </w:tc>
      </w:tr>
      <w:tr w:rsidR="00A520C9" w14:paraId="59CD2A36" w14:textId="77777777" w:rsidTr="00E50847">
        <w:tc>
          <w:tcPr>
            <w:tcW w:w="3402" w:type="dxa"/>
            <w:shd w:val="clear" w:color="auto" w:fill="C1E3FF" w:themeFill="accent1" w:themeFillTint="33"/>
          </w:tcPr>
          <w:p w14:paraId="049704C4" w14:textId="77777777" w:rsidR="00A520C9" w:rsidRDefault="00A520C9" w:rsidP="00DA0930">
            <w:r>
              <w:t xml:space="preserve">Change due to assumptions around number of people in SIL </w:t>
            </w:r>
          </w:p>
        </w:tc>
        <w:tc>
          <w:tcPr>
            <w:tcW w:w="1701" w:type="dxa"/>
            <w:shd w:val="clear" w:color="auto" w:fill="C1E3FF" w:themeFill="accent1" w:themeFillTint="33"/>
          </w:tcPr>
          <w:p w14:paraId="309E88EE" w14:textId="77777777" w:rsidR="00A520C9" w:rsidRDefault="00A520C9" w:rsidP="00DA0930">
            <w:pPr>
              <w:jc w:val="right"/>
            </w:pPr>
            <w:r>
              <w:t>-$1.6B</w:t>
            </w:r>
          </w:p>
        </w:tc>
        <w:tc>
          <w:tcPr>
            <w:tcW w:w="1701" w:type="dxa"/>
            <w:shd w:val="clear" w:color="auto" w:fill="C1E3FF" w:themeFill="accent1" w:themeFillTint="33"/>
          </w:tcPr>
          <w:p w14:paraId="4CF7CF01" w14:textId="6DF48C4F" w:rsidR="00A520C9" w:rsidRPr="00AB1F8A" w:rsidRDefault="00A520C9" w:rsidP="00DA0930">
            <w:pPr>
              <w:jc w:val="right"/>
            </w:pPr>
            <w:r w:rsidRPr="00AB1F8A">
              <w:t>-$</w:t>
            </w:r>
            <w:r w:rsidR="00AB1F8A" w:rsidRPr="002A687C">
              <w:t>3.5</w:t>
            </w:r>
            <w:r w:rsidRPr="00AB1F8A">
              <w:t>B</w:t>
            </w:r>
          </w:p>
        </w:tc>
      </w:tr>
    </w:tbl>
    <w:p w14:paraId="2ED93315" w14:textId="77777777" w:rsidR="00A520C9" w:rsidRPr="0083160A" w:rsidRDefault="00A520C9" w:rsidP="00A520C9">
      <w:pPr>
        <w:rPr>
          <w:b/>
          <w:bCs/>
        </w:rPr>
      </w:pPr>
    </w:p>
    <w:p w14:paraId="5D8981D2" w14:textId="593154B2" w:rsidR="00A520C9" w:rsidRDefault="00A520C9" w:rsidP="00A520C9">
      <w:r>
        <w:t>As part of the 20</w:t>
      </w:r>
      <w:r w:rsidR="00D320CF">
        <w:t>20-</w:t>
      </w:r>
      <w:r>
        <w:t xml:space="preserve">21 AFSR, the Scheme Actuary has reduced the expected number of people in SIL following only 1,201 new SIL participants during the past year compared to 3,834 </w:t>
      </w:r>
      <w:r w:rsidR="009E0E97">
        <w:t>in 2019-20</w:t>
      </w:r>
      <w:r>
        <w:t xml:space="preserve"> when there was a large transfer from </w:t>
      </w:r>
      <w:r w:rsidRPr="003579D3">
        <w:t>State/Territory and Commonwealth programs</w:t>
      </w:r>
      <w:r>
        <w:t xml:space="preserve">. At June 2021 there are 3,541 fewer SIL participants compared to the </w:t>
      </w:r>
      <w:r w:rsidR="00D320CF">
        <w:t>2018-19 AFSR</w:t>
      </w:r>
      <w:r>
        <w:t xml:space="preserve"> projections and this gap is expected to grow to 5,819 by June 2025 and </w:t>
      </w:r>
      <w:r w:rsidR="00882459" w:rsidRPr="002A687C">
        <w:t>7</w:t>
      </w:r>
      <w:r w:rsidRPr="00882459">
        <w:t>,</w:t>
      </w:r>
      <w:r w:rsidR="00882459" w:rsidRPr="002A687C">
        <w:t>183</w:t>
      </w:r>
      <w:r w:rsidR="00882459" w:rsidRPr="00882459">
        <w:t xml:space="preserve"> </w:t>
      </w:r>
      <w:r w:rsidRPr="00882459">
        <w:t xml:space="preserve">by June </w:t>
      </w:r>
      <w:r w:rsidR="00882459" w:rsidRPr="00882459">
        <w:t>2030</w:t>
      </w:r>
      <w:r w:rsidRPr="00882459">
        <w:t>.</w:t>
      </w:r>
      <w:r>
        <w:t xml:space="preserve"> </w:t>
      </w:r>
    </w:p>
    <w:p w14:paraId="2AAAC485" w14:textId="7A059E2C" w:rsidR="00DD70AA" w:rsidRDefault="00A520C9" w:rsidP="002A687C">
      <w:pPr>
        <w:pStyle w:val="Caption"/>
      </w:pPr>
      <w:r>
        <w:t xml:space="preserve">Table </w:t>
      </w:r>
      <w:r w:rsidR="007F6BE8">
        <w:rPr>
          <w:iCs w:val="0"/>
        </w:rPr>
        <w:fldChar w:fldCharType="begin"/>
      </w:r>
      <w:r w:rsidR="007F6BE8">
        <w:instrText xml:space="preserve"> STYLEREF 1 \s </w:instrText>
      </w:r>
      <w:r w:rsidR="007F6BE8">
        <w:rPr>
          <w:iCs w:val="0"/>
        </w:rPr>
        <w:fldChar w:fldCharType="separate"/>
      </w:r>
      <w:r w:rsidR="00E6217F">
        <w:rPr>
          <w:noProof/>
        </w:rPr>
        <w:t>5</w:t>
      </w:r>
      <w:r w:rsidR="007F6BE8">
        <w:rPr>
          <w:iCs w:val="0"/>
        </w:rPr>
        <w:fldChar w:fldCharType="end"/>
      </w:r>
      <w:r w:rsidR="007F6BE8">
        <w:t>.</w:t>
      </w:r>
      <w:r w:rsidR="007F6BE8">
        <w:rPr>
          <w:iCs w:val="0"/>
        </w:rPr>
        <w:fldChar w:fldCharType="begin"/>
      </w:r>
      <w:r w:rsidR="007F6BE8">
        <w:instrText xml:space="preserve"> SEQ Table \* ARABIC \s 1 </w:instrText>
      </w:r>
      <w:r w:rsidR="007F6BE8">
        <w:rPr>
          <w:iCs w:val="0"/>
        </w:rPr>
        <w:fldChar w:fldCharType="separate"/>
      </w:r>
      <w:r w:rsidR="00E6217F">
        <w:rPr>
          <w:noProof/>
        </w:rPr>
        <w:t>4</w:t>
      </w:r>
      <w:r w:rsidR="007F6BE8">
        <w:rPr>
          <w:iCs w:val="0"/>
        </w:rPr>
        <w:fldChar w:fldCharType="end"/>
      </w:r>
      <w:r>
        <w:t xml:space="preserve"> – Change in the number of people in SIL</w:t>
      </w:r>
    </w:p>
    <w:tbl>
      <w:tblPr>
        <w:tblW w:w="9407" w:type="dxa"/>
        <w:tblLook w:val="04A0" w:firstRow="1" w:lastRow="0" w:firstColumn="1" w:lastColumn="0" w:noHBand="0" w:noVBand="1"/>
      </w:tblPr>
      <w:tblGrid>
        <w:gridCol w:w="2209"/>
        <w:gridCol w:w="1204"/>
        <w:gridCol w:w="1196"/>
        <w:gridCol w:w="1204"/>
        <w:gridCol w:w="1196"/>
        <w:gridCol w:w="1199"/>
        <w:gridCol w:w="1199"/>
      </w:tblGrid>
      <w:tr w:rsidR="00DD70AA" w:rsidRPr="00315868" w14:paraId="1E2386BF" w14:textId="3B3A70AC" w:rsidTr="003F577D">
        <w:trPr>
          <w:trHeight w:val="375"/>
          <w:tblHeader/>
        </w:trPr>
        <w:tc>
          <w:tcPr>
            <w:tcW w:w="2209" w:type="dxa"/>
            <w:tcBorders>
              <w:top w:val="single" w:sz="4" w:space="0" w:color="006EC8"/>
              <w:left w:val="nil"/>
              <w:bottom w:val="nil"/>
              <w:right w:val="nil"/>
            </w:tcBorders>
            <w:shd w:val="clear" w:color="auto" w:fill="auto"/>
            <w:noWrap/>
            <w:vAlign w:val="bottom"/>
            <w:hideMark/>
          </w:tcPr>
          <w:p w14:paraId="5F7F651F" w14:textId="77777777" w:rsidR="00DD70AA" w:rsidRPr="00315868" w:rsidRDefault="00DD70AA" w:rsidP="002A687C">
            <w:pPr>
              <w:spacing w:after="0"/>
              <w:rPr>
                <w:rFonts w:ascii="Blanco" w:eastAsia="Times New Roman" w:hAnsi="Blanco" w:cs="Times New Roman"/>
                <w:color w:val="231F20"/>
                <w:szCs w:val="21"/>
                <w:lang w:eastAsia="en-GB"/>
              </w:rPr>
            </w:pPr>
            <w:r w:rsidRPr="00315868">
              <w:rPr>
                <w:rFonts w:ascii="Cambria" w:eastAsia="Times New Roman" w:hAnsi="Cambria" w:cs="Cambria"/>
                <w:color w:val="231F20"/>
                <w:szCs w:val="21"/>
                <w:lang w:eastAsia="en-GB"/>
              </w:rPr>
              <w:t> </w:t>
            </w:r>
          </w:p>
        </w:tc>
        <w:tc>
          <w:tcPr>
            <w:tcW w:w="2400" w:type="dxa"/>
            <w:gridSpan w:val="2"/>
            <w:tcBorders>
              <w:top w:val="single" w:sz="4" w:space="0" w:color="006EC8"/>
              <w:left w:val="single" w:sz="4" w:space="0" w:color="006EC8"/>
              <w:bottom w:val="nil"/>
              <w:right w:val="single" w:sz="4" w:space="0" w:color="006EC8"/>
            </w:tcBorders>
            <w:shd w:val="clear" w:color="auto" w:fill="auto"/>
            <w:noWrap/>
            <w:vAlign w:val="bottom"/>
            <w:hideMark/>
          </w:tcPr>
          <w:p w14:paraId="35575198" w14:textId="77777777" w:rsidR="00DD70AA" w:rsidRPr="00315868" w:rsidRDefault="00DD70AA" w:rsidP="002A687C">
            <w:pPr>
              <w:spacing w:after="0"/>
              <w:jc w:val="center"/>
              <w:rPr>
                <w:rFonts w:ascii="Blanco" w:eastAsia="Times New Roman" w:hAnsi="Blanco" w:cs="Times New Roman"/>
                <w:b/>
                <w:bCs/>
                <w:color w:val="231F20"/>
                <w:szCs w:val="21"/>
                <w:lang w:eastAsia="en-GB"/>
              </w:rPr>
            </w:pPr>
            <w:r>
              <w:rPr>
                <w:rFonts w:ascii="Blanco" w:eastAsia="Times New Roman" w:hAnsi="Blanco" w:cs="Times New Roman"/>
                <w:b/>
                <w:bCs/>
                <w:color w:val="231F20"/>
                <w:szCs w:val="21"/>
                <w:lang w:eastAsia="en-GB"/>
              </w:rPr>
              <w:t>Number</w:t>
            </w:r>
            <w:r w:rsidRPr="00315868">
              <w:rPr>
                <w:rFonts w:ascii="Blanco" w:eastAsia="Times New Roman" w:hAnsi="Blanco" w:cs="Times New Roman"/>
                <w:b/>
                <w:bCs/>
                <w:color w:val="231F20"/>
                <w:szCs w:val="21"/>
                <w:lang w:eastAsia="en-GB"/>
              </w:rPr>
              <w:t xml:space="preserve"> at June 2021</w:t>
            </w:r>
          </w:p>
        </w:tc>
        <w:tc>
          <w:tcPr>
            <w:tcW w:w="2400" w:type="dxa"/>
            <w:gridSpan w:val="2"/>
            <w:tcBorders>
              <w:top w:val="single" w:sz="4" w:space="0" w:color="006EC8"/>
              <w:left w:val="single" w:sz="4" w:space="0" w:color="006EC8"/>
              <w:bottom w:val="nil"/>
              <w:right w:val="single" w:sz="4" w:space="0" w:color="006EC8" w:themeColor="accent1"/>
            </w:tcBorders>
            <w:shd w:val="clear" w:color="auto" w:fill="auto"/>
            <w:noWrap/>
            <w:vAlign w:val="bottom"/>
            <w:hideMark/>
          </w:tcPr>
          <w:p w14:paraId="71E20D4E" w14:textId="77777777" w:rsidR="00DD70AA" w:rsidRPr="00315868" w:rsidRDefault="00DD70AA" w:rsidP="002A687C">
            <w:pPr>
              <w:spacing w:after="0"/>
              <w:jc w:val="center"/>
              <w:rPr>
                <w:rFonts w:ascii="Blanco" w:eastAsia="Times New Roman" w:hAnsi="Blanco" w:cs="Times New Roman"/>
                <w:b/>
                <w:bCs/>
                <w:color w:val="231F20"/>
                <w:szCs w:val="21"/>
                <w:lang w:eastAsia="en-GB"/>
              </w:rPr>
            </w:pPr>
            <w:r w:rsidRPr="00315868">
              <w:rPr>
                <w:rFonts w:ascii="Blanco" w:eastAsia="Times New Roman" w:hAnsi="Blanco" w:cs="Times New Roman"/>
                <w:b/>
                <w:bCs/>
                <w:color w:val="231F20"/>
                <w:szCs w:val="21"/>
                <w:lang w:eastAsia="en-GB"/>
              </w:rPr>
              <w:t>Projected at June 2025</w:t>
            </w:r>
          </w:p>
        </w:tc>
        <w:tc>
          <w:tcPr>
            <w:tcW w:w="2398" w:type="dxa"/>
            <w:gridSpan w:val="2"/>
            <w:tcBorders>
              <w:top w:val="single" w:sz="4" w:space="0" w:color="006EC8" w:themeColor="accent1"/>
              <w:left w:val="single" w:sz="4" w:space="0" w:color="006EC8" w:themeColor="accent1"/>
              <w:bottom w:val="nil"/>
            </w:tcBorders>
          </w:tcPr>
          <w:p w14:paraId="69E64CA6" w14:textId="354D6506" w:rsidR="00DD70AA" w:rsidRPr="00315868" w:rsidRDefault="00DD70AA" w:rsidP="002A687C">
            <w:pPr>
              <w:spacing w:after="0"/>
              <w:jc w:val="center"/>
              <w:rPr>
                <w:rFonts w:ascii="Blanco" w:eastAsia="Times New Roman" w:hAnsi="Blanco" w:cs="Times New Roman"/>
                <w:b/>
                <w:bCs/>
                <w:color w:val="231F20"/>
                <w:szCs w:val="21"/>
                <w:lang w:eastAsia="en-GB"/>
              </w:rPr>
            </w:pPr>
            <w:r>
              <w:rPr>
                <w:rFonts w:ascii="Blanco" w:eastAsia="Times New Roman" w:hAnsi="Blanco" w:cs="Times New Roman"/>
                <w:b/>
                <w:bCs/>
                <w:color w:val="231F20"/>
                <w:szCs w:val="21"/>
                <w:lang w:eastAsia="en-GB"/>
              </w:rPr>
              <w:t>Projected at June 2030</w:t>
            </w:r>
          </w:p>
        </w:tc>
      </w:tr>
      <w:tr w:rsidR="00DD70AA" w:rsidRPr="00315868" w14:paraId="2F9CB1CD" w14:textId="431770AB" w:rsidTr="003F577D">
        <w:trPr>
          <w:trHeight w:val="375"/>
          <w:tblHeader/>
        </w:trPr>
        <w:tc>
          <w:tcPr>
            <w:tcW w:w="2209" w:type="dxa"/>
            <w:tcBorders>
              <w:top w:val="nil"/>
              <w:left w:val="nil"/>
              <w:bottom w:val="single" w:sz="4" w:space="0" w:color="006EC8"/>
              <w:right w:val="nil"/>
            </w:tcBorders>
            <w:shd w:val="clear" w:color="auto" w:fill="auto"/>
            <w:noWrap/>
            <w:vAlign w:val="bottom"/>
            <w:hideMark/>
          </w:tcPr>
          <w:p w14:paraId="53F517DD" w14:textId="77777777" w:rsidR="00DD70AA" w:rsidRPr="00315868" w:rsidRDefault="00DD70AA" w:rsidP="002A687C">
            <w:pPr>
              <w:spacing w:after="0"/>
              <w:rPr>
                <w:rFonts w:ascii="Blanco" w:eastAsia="Times New Roman" w:hAnsi="Blanco" w:cs="Times New Roman"/>
                <w:b/>
                <w:bCs/>
                <w:color w:val="231F20"/>
                <w:szCs w:val="21"/>
                <w:lang w:eastAsia="en-GB"/>
              </w:rPr>
            </w:pPr>
            <w:r w:rsidRPr="00315868">
              <w:rPr>
                <w:rFonts w:ascii="Blanco" w:eastAsia="Times New Roman" w:hAnsi="Blanco" w:cs="Times New Roman"/>
                <w:b/>
                <w:bCs/>
                <w:color w:val="231F20"/>
                <w:szCs w:val="21"/>
                <w:lang w:eastAsia="en-GB"/>
              </w:rPr>
              <w:t>Participants</w:t>
            </w:r>
          </w:p>
        </w:tc>
        <w:tc>
          <w:tcPr>
            <w:tcW w:w="1204" w:type="dxa"/>
            <w:tcBorders>
              <w:top w:val="nil"/>
              <w:left w:val="single" w:sz="4" w:space="0" w:color="006EC8"/>
              <w:bottom w:val="single" w:sz="4" w:space="0" w:color="006EC8"/>
              <w:right w:val="nil"/>
            </w:tcBorders>
            <w:shd w:val="clear" w:color="auto" w:fill="auto"/>
            <w:noWrap/>
            <w:vAlign w:val="bottom"/>
            <w:hideMark/>
          </w:tcPr>
          <w:p w14:paraId="7CA16840" w14:textId="109AFE54" w:rsidR="00DD70AA" w:rsidRPr="00315868" w:rsidRDefault="00D320CF" w:rsidP="002A687C">
            <w:pPr>
              <w:spacing w:after="0"/>
              <w:jc w:val="right"/>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2018-19 AFSR</w:t>
            </w:r>
          </w:p>
        </w:tc>
        <w:tc>
          <w:tcPr>
            <w:tcW w:w="1196" w:type="dxa"/>
            <w:tcBorders>
              <w:top w:val="nil"/>
              <w:left w:val="nil"/>
              <w:bottom w:val="single" w:sz="4" w:space="0" w:color="006EC8"/>
              <w:right w:val="single" w:sz="4" w:space="0" w:color="006EC8"/>
            </w:tcBorders>
            <w:shd w:val="clear" w:color="auto" w:fill="auto"/>
            <w:noWrap/>
            <w:vAlign w:val="bottom"/>
            <w:hideMark/>
          </w:tcPr>
          <w:p w14:paraId="57295FD3" w14:textId="52AFFFBA" w:rsidR="00DD70AA" w:rsidRPr="00315868" w:rsidRDefault="00D320CF" w:rsidP="002A687C">
            <w:pPr>
              <w:spacing w:after="0"/>
              <w:jc w:val="right"/>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2020-21 AFSR</w:t>
            </w:r>
          </w:p>
        </w:tc>
        <w:tc>
          <w:tcPr>
            <w:tcW w:w="1204" w:type="dxa"/>
            <w:tcBorders>
              <w:top w:val="nil"/>
              <w:left w:val="nil"/>
              <w:bottom w:val="single" w:sz="4" w:space="0" w:color="006EC8"/>
              <w:right w:val="nil"/>
            </w:tcBorders>
            <w:shd w:val="clear" w:color="auto" w:fill="auto"/>
            <w:noWrap/>
            <w:vAlign w:val="bottom"/>
            <w:hideMark/>
          </w:tcPr>
          <w:p w14:paraId="694E162A" w14:textId="5F24502B" w:rsidR="00DD70AA" w:rsidRPr="00315868" w:rsidRDefault="00D320CF" w:rsidP="002A687C">
            <w:pPr>
              <w:spacing w:after="0"/>
              <w:jc w:val="right"/>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2018-19 AFSR</w:t>
            </w:r>
          </w:p>
        </w:tc>
        <w:tc>
          <w:tcPr>
            <w:tcW w:w="1196" w:type="dxa"/>
            <w:tcBorders>
              <w:top w:val="nil"/>
              <w:left w:val="nil"/>
              <w:bottom w:val="single" w:sz="4" w:space="0" w:color="006EC8"/>
              <w:right w:val="single" w:sz="4" w:space="0" w:color="006EC8" w:themeColor="accent1"/>
            </w:tcBorders>
            <w:shd w:val="clear" w:color="auto" w:fill="auto"/>
            <w:noWrap/>
            <w:vAlign w:val="bottom"/>
            <w:hideMark/>
          </w:tcPr>
          <w:p w14:paraId="73B53467" w14:textId="37747972" w:rsidR="00DD70AA" w:rsidRPr="00315868" w:rsidRDefault="00D320CF" w:rsidP="002A687C">
            <w:pPr>
              <w:spacing w:after="0"/>
              <w:jc w:val="right"/>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2020-21 AFSR</w:t>
            </w:r>
          </w:p>
        </w:tc>
        <w:tc>
          <w:tcPr>
            <w:tcW w:w="1199" w:type="dxa"/>
            <w:tcBorders>
              <w:top w:val="nil"/>
              <w:left w:val="single" w:sz="4" w:space="0" w:color="006EC8" w:themeColor="accent1"/>
              <w:bottom w:val="single" w:sz="4" w:space="0" w:color="006EC8" w:themeColor="accent1"/>
            </w:tcBorders>
          </w:tcPr>
          <w:p w14:paraId="754A2D54" w14:textId="414E52AD" w:rsidR="00DD70AA" w:rsidRPr="00CB49F0" w:rsidRDefault="00D320CF" w:rsidP="002A687C">
            <w:pPr>
              <w:spacing w:after="0"/>
              <w:jc w:val="right"/>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2018-19 AFSR</w:t>
            </w:r>
          </w:p>
        </w:tc>
        <w:tc>
          <w:tcPr>
            <w:tcW w:w="1199" w:type="dxa"/>
            <w:tcBorders>
              <w:top w:val="nil"/>
              <w:bottom w:val="single" w:sz="4" w:space="0" w:color="006EC8" w:themeColor="accent1"/>
            </w:tcBorders>
          </w:tcPr>
          <w:p w14:paraId="39B9EE38" w14:textId="55F8FAF3" w:rsidR="00DD70AA" w:rsidRPr="00CB49F0" w:rsidRDefault="00D320CF" w:rsidP="002A687C">
            <w:pPr>
              <w:spacing w:after="0"/>
              <w:jc w:val="right"/>
              <w:rPr>
                <w:rFonts w:ascii="Blanco" w:eastAsia="Times New Roman" w:hAnsi="Blanco" w:cs="Times New Roman"/>
                <w:color w:val="231F20"/>
                <w:szCs w:val="21"/>
                <w:lang w:eastAsia="en-GB"/>
              </w:rPr>
            </w:pPr>
            <w:r>
              <w:rPr>
                <w:rFonts w:ascii="Blanco" w:eastAsia="Times New Roman" w:hAnsi="Blanco" w:cs="Times New Roman"/>
                <w:color w:val="231F20"/>
                <w:szCs w:val="21"/>
                <w:lang w:eastAsia="en-GB"/>
              </w:rPr>
              <w:t>2020-21 AFSR</w:t>
            </w:r>
          </w:p>
        </w:tc>
      </w:tr>
      <w:tr w:rsidR="00DD70AA" w:rsidRPr="00315868" w14:paraId="253E1DBB" w14:textId="2CF4BA2E" w:rsidTr="002A687C">
        <w:trPr>
          <w:trHeight w:val="360"/>
        </w:trPr>
        <w:tc>
          <w:tcPr>
            <w:tcW w:w="2209" w:type="dxa"/>
            <w:tcBorders>
              <w:top w:val="nil"/>
              <w:left w:val="nil"/>
              <w:bottom w:val="nil"/>
              <w:right w:val="nil"/>
            </w:tcBorders>
            <w:shd w:val="clear" w:color="auto" w:fill="auto"/>
            <w:noWrap/>
            <w:vAlign w:val="bottom"/>
            <w:hideMark/>
          </w:tcPr>
          <w:p w14:paraId="295DC53D" w14:textId="77777777" w:rsidR="00DD70AA" w:rsidRPr="00315868" w:rsidRDefault="00DD70AA" w:rsidP="005B327E">
            <w:pPr>
              <w:pStyle w:val="Tabletext"/>
              <w:rPr>
                <w:lang w:eastAsia="en-GB"/>
              </w:rPr>
            </w:pPr>
            <w:r w:rsidRPr="00315868">
              <w:rPr>
                <w:lang w:eastAsia="en-GB"/>
              </w:rPr>
              <w:t>Living in SIL</w:t>
            </w:r>
          </w:p>
        </w:tc>
        <w:tc>
          <w:tcPr>
            <w:tcW w:w="1204" w:type="dxa"/>
            <w:tcBorders>
              <w:top w:val="nil"/>
              <w:left w:val="single" w:sz="4" w:space="0" w:color="006EC8"/>
              <w:bottom w:val="nil"/>
              <w:right w:val="nil"/>
            </w:tcBorders>
            <w:shd w:val="clear" w:color="auto" w:fill="auto"/>
            <w:noWrap/>
            <w:vAlign w:val="bottom"/>
            <w:hideMark/>
          </w:tcPr>
          <w:p w14:paraId="0D647EBE" w14:textId="77777777" w:rsidR="00DD70AA" w:rsidRPr="00315868" w:rsidRDefault="00DD70AA" w:rsidP="005B327E">
            <w:pPr>
              <w:pStyle w:val="Tablenumbers"/>
              <w:rPr>
                <w:lang w:eastAsia="en-GB"/>
              </w:rPr>
            </w:pPr>
            <w:r w:rsidRPr="00315868">
              <w:rPr>
                <w:lang w:eastAsia="en-GB"/>
              </w:rPr>
              <w:t>28,861</w:t>
            </w:r>
          </w:p>
        </w:tc>
        <w:tc>
          <w:tcPr>
            <w:tcW w:w="1196" w:type="dxa"/>
            <w:tcBorders>
              <w:top w:val="nil"/>
              <w:left w:val="nil"/>
              <w:bottom w:val="nil"/>
              <w:right w:val="single" w:sz="4" w:space="0" w:color="006EC8"/>
            </w:tcBorders>
            <w:shd w:val="clear" w:color="auto" w:fill="auto"/>
            <w:noWrap/>
            <w:vAlign w:val="bottom"/>
            <w:hideMark/>
          </w:tcPr>
          <w:p w14:paraId="635F00BC" w14:textId="77777777" w:rsidR="00DD70AA" w:rsidRPr="00315868" w:rsidRDefault="00DD70AA" w:rsidP="005B327E">
            <w:pPr>
              <w:pStyle w:val="Tablenumbers"/>
              <w:rPr>
                <w:lang w:eastAsia="en-GB"/>
              </w:rPr>
            </w:pPr>
            <w:r w:rsidRPr="00315868">
              <w:rPr>
                <w:lang w:eastAsia="en-GB"/>
              </w:rPr>
              <w:t>25,320</w:t>
            </w:r>
          </w:p>
        </w:tc>
        <w:tc>
          <w:tcPr>
            <w:tcW w:w="1204" w:type="dxa"/>
            <w:tcBorders>
              <w:top w:val="single" w:sz="4" w:space="0" w:color="006EC8" w:themeColor="accent1"/>
              <w:left w:val="nil"/>
              <w:bottom w:val="nil"/>
              <w:right w:val="nil"/>
            </w:tcBorders>
            <w:shd w:val="clear" w:color="auto" w:fill="auto"/>
            <w:noWrap/>
            <w:vAlign w:val="bottom"/>
            <w:hideMark/>
          </w:tcPr>
          <w:p w14:paraId="4EAC1199" w14:textId="77777777" w:rsidR="00DD70AA" w:rsidRPr="00315868" w:rsidRDefault="00DD70AA" w:rsidP="005B327E">
            <w:pPr>
              <w:pStyle w:val="Tablenumbers"/>
              <w:rPr>
                <w:lang w:eastAsia="en-GB"/>
              </w:rPr>
            </w:pPr>
            <w:r w:rsidRPr="00315868">
              <w:rPr>
                <w:lang w:eastAsia="en-GB"/>
              </w:rPr>
              <w:t>35,179</w:t>
            </w:r>
          </w:p>
        </w:tc>
        <w:tc>
          <w:tcPr>
            <w:tcW w:w="1196" w:type="dxa"/>
            <w:tcBorders>
              <w:top w:val="single" w:sz="4" w:space="0" w:color="006EC8" w:themeColor="accent1"/>
              <w:left w:val="nil"/>
              <w:bottom w:val="nil"/>
              <w:right w:val="single" w:sz="4" w:space="0" w:color="006EC8" w:themeColor="accent1"/>
            </w:tcBorders>
            <w:shd w:val="clear" w:color="auto" w:fill="auto"/>
            <w:noWrap/>
            <w:vAlign w:val="bottom"/>
            <w:hideMark/>
          </w:tcPr>
          <w:p w14:paraId="3A2C0A9A" w14:textId="77777777" w:rsidR="00DD70AA" w:rsidRPr="00315868" w:rsidRDefault="00DD70AA" w:rsidP="005B327E">
            <w:pPr>
              <w:pStyle w:val="Tablenumbers"/>
              <w:rPr>
                <w:lang w:eastAsia="en-GB"/>
              </w:rPr>
            </w:pPr>
            <w:r w:rsidRPr="00315868">
              <w:rPr>
                <w:lang w:eastAsia="en-GB"/>
              </w:rPr>
              <w:t>29,359</w:t>
            </w:r>
          </w:p>
        </w:tc>
        <w:tc>
          <w:tcPr>
            <w:tcW w:w="1199" w:type="dxa"/>
            <w:tcBorders>
              <w:top w:val="single" w:sz="4" w:space="0" w:color="006EC8" w:themeColor="accent1"/>
              <w:left w:val="single" w:sz="4" w:space="0" w:color="006EC8" w:themeColor="accent1"/>
            </w:tcBorders>
          </w:tcPr>
          <w:p w14:paraId="43973666" w14:textId="3657635C" w:rsidR="00DD70AA" w:rsidRPr="00315868" w:rsidRDefault="00CB49F0" w:rsidP="005B327E">
            <w:pPr>
              <w:pStyle w:val="Tablenumbers"/>
              <w:rPr>
                <w:lang w:eastAsia="en-GB"/>
              </w:rPr>
            </w:pPr>
            <w:r>
              <w:rPr>
                <w:lang w:eastAsia="en-GB"/>
              </w:rPr>
              <w:t>42,337</w:t>
            </w:r>
          </w:p>
        </w:tc>
        <w:tc>
          <w:tcPr>
            <w:tcW w:w="1199" w:type="dxa"/>
            <w:tcBorders>
              <w:top w:val="single" w:sz="4" w:space="0" w:color="006EC8" w:themeColor="accent1"/>
              <w:bottom w:val="nil"/>
            </w:tcBorders>
          </w:tcPr>
          <w:p w14:paraId="1B0ED008" w14:textId="2A66EA49" w:rsidR="00DD70AA" w:rsidRPr="00315868" w:rsidRDefault="00CB49F0" w:rsidP="005B327E">
            <w:pPr>
              <w:pStyle w:val="Tablenumbers"/>
              <w:rPr>
                <w:lang w:eastAsia="en-GB"/>
              </w:rPr>
            </w:pPr>
            <w:r>
              <w:rPr>
                <w:lang w:eastAsia="en-GB"/>
              </w:rPr>
              <w:t>35,154</w:t>
            </w:r>
          </w:p>
        </w:tc>
      </w:tr>
      <w:tr w:rsidR="00DD70AA" w:rsidRPr="00315868" w14:paraId="3540DAC4" w14:textId="224F88BE" w:rsidTr="002A687C">
        <w:trPr>
          <w:trHeight w:val="360"/>
        </w:trPr>
        <w:tc>
          <w:tcPr>
            <w:tcW w:w="2209" w:type="dxa"/>
            <w:tcBorders>
              <w:top w:val="nil"/>
              <w:left w:val="nil"/>
              <w:bottom w:val="nil"/>
              <w:right w:val="nil"/>
            </w:tcBorders>
            <w:shd w:val="clear" w:color="auto" w:fill="auto"/>
            <w:noWrap/>
            <w:vAlign w:val="bottom"/>
            <w:hideMark/>
          </w:tcPr>
          <w:p w14:paraId="5B075417" w14:textId="77777777" w:rsidR="00DD70AA" w:rsidRPr="00315868" w:rsidRDefault="00DD70AA" w:rsidP="005B327E">
            <w:pPr>
              <w:pStyle w:val="Tabletext"/>
              <w:rPr>
                <w:lang w:eastAsia="en-GB"/>
              </w:rPr>
            </w:pPr>
            <w:r w:rsidRPr="00315868">
              <w:rPr>
                <w:lang w:eastAsia="en-GB"/>
              </w:rPr>
              <w:t>Total</w:t>
            </w:r>
          </w:p>
        </w:tc>
        <w:tc>
          <w:tcPr>
            <w:tcW w:w="1204" w:type="dxa"/>
            <w:tcBorders>
              <w:top w:val="nil"/>
              <w:left w:val="single" w:sz="4" w:space="0" w:color="006EC8"/>
              <w:bottom w:val="nil"/>
              <w:right w:val="nil"/>
            </w:tcBorders>
            <w:shd w:val="clear" w:color="auto" w:fill="auto"/>
            <w:noWrap/>
            <w:vAlign w:val="bottom"/>
            <w:hideMark/>
          </w:tcPr>
          <w:p w14:paraId="4331E94C" w14:textId="77777777" w:rsidR="00DD70AA" w:rsidRPr="00315868" w:rsidRDefault="00DD70AA" w:rsidP="005B327E">
            <w:pPr>
              <w:pStyle w:val="Tablenumbers"/>
              <w:rPr>
                <w:lang w:eastAsia="en-GB"/>
              </w:rPr>
            </w:pPr>
            <w:r>
              <w:rPr>
                <w:rFonts w:ascii="Blanco" w:hAnsi="Blanco"/>
                <w:color w:val="231F20"/>
                <w:szCs w:val="21"/>
              </w:rPr>
              <w:t>423,889</w:t>
            </w:r>
          </w:p>
        </w:tc>
        <w:tc>
          <w:tcPr>
            <w:tcW w:w="1196" w:type="dxa"/>
            <w:tcBorders>
              <w:top w:val="nil"/>
              <w:left w:val="nil"/>
              <w:bottom w:val="nil"/>
              <w:right w:val="single" w:sz="4" w:space="0" w:color="006EC8"/>
            </w:tcBorders>
            <w:shd w:val="clear" w:color="auto" w:fill="auto"/>
            <w:noWrap/>
            <w:vAlign w:val="bottom"/>
            <w:hideMark/>
          </w:tcPr>
          <w:p w14:paraId="6CCFD482" w14:textId="77777777" w:rsidR="00DD70AA" w:rsidRPr="00315868" w:rsidRDefault="00DD70AA" w:rsidP="005B327E">
            <w:pPr>
              <w:pStyle w:val="Tablenumbers"/>
              <w:rPr>
                <w:lang w:eastAsia="en-GB"/>
              </w:rPr>
            </w:pPr>
            <w:r>
              <w:rPr>
                <w:rFonts w:ascii="Blanco" w:hAnsi="Blanco"/>
                <w:color w:val="231F20"/>
                <w:szCs w:val="21"/>
              </w:rPr>
              <w:t>466,619</w:t>
            </w:r>
          </w:p>
        </w:tc>
        <w:tc>
          <w:tcPr>
            <w:tcW w:w="1204" w:type="dxa"/>
            <w:tcBorders>
              <w:top w:val="nil"/>
              <w:left w:val="nil"/>
              <w:bottom w:val="nil"/>
              <w:right w:val="nil"/>
            </w:tcBorders>
            <w:shd w:val="clear" w:color="auto" w:fill="auto"/>
            <w:noWrap/>
            <w:vAlign w:val="bottom"/>
            <w:hideMark/>
          </w:tcPr>
          <w:p w14:paraId="7C187F80" w14:textId="77777777" w:rsidR="00DD70AA" w:rsidRPr="00315868" w:rsidRDefault="00DD70AA" w:rsidP="005B327E">
            <w:pPr>
              <w:pStyle w:val="Tablenumbers"/>
              <w:rPr>
                <w:lang w:eastAsia="en-GB"/>
              </w:rPr>
            </w:pPr>
            <w:r>
              <w:rPr>
                <w:rFonts w:ascii="Blanco" w:hAnsi="Blanco"/>
                <w:color w:val="231F20"/>
                <w:szCs w:val="21"/>
              </w:rPr>
              <w:t>544,617</w:t>
            </w:r>
          </w:p>
        </w:tc>
        <w:tc>
          <w:tcPr>
            <w:tcW w:w="1196" w:type="dxa"/>
            <w:tcBorders>
              <w:top w:val="nil"/>
              <w:left w:val="nil"/>
              <w:bottom w:val="nil"/>
              <w:right w:val="single" w:sz="4" w:space="0" w:color="006EC8" w:themeColor="accent1"/>
            </w:tcBorders>
            <w:shd w:val="clear" w:color="auto" w:fill="auto"/>
            <w:noWrap/>
            <w:vAlign w:val="bottom"/>
            <w:hideMark/>
          </w:tcPr>
          <w:p w14:paraId="52E05081" w14:textId="77777777" w:rsidR="00DD70AA" w:rsidRPr="00315868" w:rsidRDefault="00DD70AA" w:rsidP="005B327E">
            <w:pPr>
              <w:pStyle w:val="Tablenumbers"/>
              <w:rPr>
                <w:lang w:eastAsia="en-GB"/>
              </w:rPr>
            </w:pPr>
            <w:r>
              <w:rPr>
                <w:rFonts w:ascii="Blanco" w:hAnsi="Blanco"/>
                <w:color w:val="231F20"/>
                <w:szCs w:val="21"/>
              </w:rPr>
              <w:t>670,400</w:t>
            </w:r>
          </w:p>
        </w:tc>
        <w:tc>
          <w:tcPr>
            <w:tcW w:w="1199" w:type="dxa"/>
            <w:tcBorders>
              <w:top w:val="nil"/>
              <w:left w:val="single" w:sz="4" w:space="0" w:color="006EC8" w:themeColor="accent1"/>
              <w:bottom w:val="single" w:sz="4" w:space="0" w:color="006EC8" w:themeColor="accent1"/>
            </w:tcBorders>
          </w:tcPr>
          <w:p w14:paraId="603D9F96" w14:textId="6D890E60" w:rsidR="00DD70AA" w:rsidRDefault="00CB49F0" w:rsidP="005B327E">
            <w:pPr>
              <w:pStyle w:val="Tablenumbers"/>
              <w:rPr>
                <w:rFonts w:ascii="Blanco" w:hAnsi="Blanco"/>
                <w:color w:val="231F20"/>
                <w:szCs w:val="21"/>
              </w:rPr>
            </w:pPr>
            <w:r>
              <w:rPr>
                <w:rFonts w:ascii="Blanco" w:hAnsi="Blanco"/>
                <w:color w:val="231F20"/>
                <w:szCs w:val="21"/>
              </w:rPr>
              <w:t>636,645</w:t>
            </w:r>
          </w:p>
        </w:tc>
        <w:tc>
          <w:tcPr>
            <w:tcW w:w="1199" w:type="dxa"/>
            <w:tcBorders>
              <w:top w:val="nil"/>
              <w:bottom w:val="single" w:sz="4" w:space="0" w:color="006EC8" w:themeColor="accent1"/>
            </w:tcBorders>
          </w:tcPr>
          <w:p w14:paraId="37203108" w14:textId="22260EA8" w:rsidR="00DD70AA" w:rsidRDefault="00CB49F0" w:rsidP="005B327E">
            <w:pPr>
              <w:pStyle w:val="Tablenumbers"/>
              <w:rPr>
                <w:rFonts w:ascii="Blanco" w:hAnsi="Blanco"/>
                <w:color w:val="231F20"/>
                <w:szCs w:val="21"/>
              </w:rPr>
            </w:pPr>
            <w:r>
              <w:rPr>
                <w:rFonts w:ascii="Blanco" w:hAnsi="Blanco"/>
                <w:color w:val="231F20"/>
                <w:szCs w:val="21"/>
              </w:rPr>
              <w:t>859,328</w:t>
            </w:r>
          </w:p>
        </w:tc>
      </w:tr>
      <w:tr w:rsidR="00DD70AA" w:rsidRPr="00315868" w14:paraId="7F2A61AF" w14:textId="6905DD31" w:rsidTr="002A687C">
        <w:trPr>
          <w:trHeight w:val="360"/>
        </w:trPr>
        <w:tc>
          <w:tcPr>
            <w:tcW w:w="2209" w:type="dxa"/>
            <w:tcBorders>
              <w:top w:val="single" w:sz="4" w:space="0" w:color="006EC8"/>
              <w:left w:val="nil"/>
              <w:bottom w:val="single" w:sz="4" w:space="0" w:color="006EC8"/>
              <w:right w:val="nil"/>
            </w:tcBorders>
            <w:shd w:val="clear" w:color="auto" w:fill="auto"/>
            <w:noWrap/>
            <w:vAlign w:val="bottom"/>
            <w:hideMark/>
          </w:tcPr>
          <w:p w14:paraId="14155FF5" w14:textId="77777777" w:rsidR="00DD70AA" w:rsidRPr="00315868" w:rsidRDefault="00DD70AA" w:rsidP="005B327E">
            <w:pPr>
              <w:pStyle w:val="Tabletext"/>
              <w:rPr>
                <w:lang w:eastAsia="en-GB"/>
              </w:rPr>
            </w:pPr>
            <w:r>
              <w:rPr>
                <w:lang w:eastAsia="en-GB"/>
              </w:rPr>
              <w:t xml:space="preserve">Proportion in </w:t>
            </w:r>
            <w:r w:rsidRPr="00315868">
              <w:rPr>
                <w:lang w:eastAsia="en-GB"/>
              </w:rPr>
              <w:t>SI</w:t>
            </w:r>
            <w:r>
              <w:rPr>
                <w:lang w:eastAsia="en-GB"/>
              </w:rPr>
              <w:t>L</w:t>
            </w:r>
          </w:p>
        </w:tc>
        <w:tc>
          <w:tcPr>
            <w:tcW w:w="1204" w:type="dxa"/>
            <w:tcBorders>
              <w:top w:val="single" w:sz="4" w:space="0" w:color="006EC8"/>
              <w:left w:val="single" w:sz="4" w:space="0" w:color="006EC8"/>
              <w:bottom w:val="single" w:sz="4" w:space="0" w:color="006EC8"/>
              <w:right w:val="nil"/>
            </w:tcBorders>
            <w:shd w:val="clear" w:color="auto" w:fill="auto"/>
            <w:noWrap/>
            <w:vAlign w:val="bottom"/>
            <w:hideMark/>
          </w:tcPr>
          <w:p w14:paraId="130EE9D0" w14:textId="77777777" w:rsidR="00DD70AA" w:rsidRPr="00315868" w:rsidRDefault="00DD70AA" w:rsidP="005B327E">
            <w:pPr>
              <w:pStyle w:val="Tablenumbers"/>
              <w:rPr>
                <w:lang w:eastAsia="en-GB"/>
              </w:rPr>
            </w:pPr>
            <w:r>
              <w:rPr>
                <w:rFonts w:ascii="Blanco" w:hAnsi="Blanco"/>
                <w:color w:val="231F20"/>
                <w:szCs w:val="21"/>
              </w:rPr>
              <w:t>6.8%</w:t>
            </w:r>
          </w:p>
        </w:tc>
        <w:tc>
          <w:tcPr>
            <w:tcW w:w="1196" w:type="dxa"/>
            <w:tcBorders>
              <w:top w:val="single" w:sz="4" w:space="0" w:color="006EC8"/>
              <w:left w:val="nil"/>
              <w:bottom w:val="single" w:sz="4" w:space="0" w:color="006EC8"/>
              <w:right w:val="single" w:sz="4" w:space="0" w:color="006EC8"/>
            </w:tcBorders>
            <w:shd w:val="clear" w:color="auto" w:fill="auto"/>
            <w:noWrap/>
            <w:vAlign w:val="bottom"/>
            <w:hideMark/>
          </w:tcPr>
          <w:p w14:paraId="3E2C7FB1" w14:textId="77777777" w:rsidR="00DD70AA" w:rsidRPr="00315868" w:rsidRDefault="00DD70AA" w:rsidP="005B327E">
            <w:pPr>
              <w:pStyle w:val="Tablenumbers"/>
              <w:rPr>
                <w:lang w:eastAsia="en-GB"/>
              </w:rPr>
            </w:pPr>
            <w:r>
              <w:rPr>
                <w:rFonts w:ascii="Blanco" w:hAnsi="Blanco"/>
                <w:color w:val="231F20"/>
                <w:szCs w:val="21"/>
              </w:rPr>
              <w:t>5.4%</w:t>
            </w:r>
          </w:p>
        </w:tc>
        <w:tc>
          <w:tcPr>
            <w:tcW w:w="1204" w:type="dxa"/>
            <w:tcBorders>
              <w:top w:val="single" w:sz="4" w:space="0" w:color="006EC8"/>
              <w:left w:val="nil"/>
              <w:bottom w:val="single" w:sz="4" w:space="0" w:color="006EC8"/>
              <w:right w:val="nil"/>
            </w:tcBorders>
            <w:shd w:val="clear" w:color="auto" w:fill="auto"/>
            <w:noWrap/>
            <w:vAlign w:val="bottom"/>
            <w:hideMark/>
          </w:tcPr>
          <w:p w14:paraId="4C2B8CCE" w14:textId="77777777" w:rsidR="00DD70AA" w:rsidRPr="00315868" w:rsidRDefault="00DD70AA" w:rsidP="005B327E">
            <w:pPr>
              <w:pStyle w:val="Tablenumbers"/>
              <w:rPr>
                <w:lang w:eastAsia="en-GB"/>
              </w:rPr>
            </w:pPr>
            <w:r>
              <w:rPr>
                <w:rFonts w:ascii="Blanco" w:hAnsi="Blanco"/>
                <w:color w:val="231F20"/>
                <w:szCs w:val="21"/>
              </w:rPr>
              <w:t>6.5%</w:t>
            </w:r>
          </w:p>
        </w:tc>
        <w:tc>
          <w:tcPr>
            <w:tcW w:w="1196" w:type="dxa"/>
            <w:tcBorders>
              <w:top w:val="single" w:sz="4" w:space="0" w:color="006EC8"/>
              <w:left w:val="nil"/>
              <w:bottom w:val="single" w:sz="4" w:space="0" w:color="006EC8"/>
              <w:right w:val="single" w:sz="4" w:space="0" w:color="006EC8" w:themeColor="accent1"/>
            </w:tcBorders>
            <w:shd w:val="clear" w:color="auto" w:fill="auto"/>
            <w:noWrap/>
            <w:vAlign w:val="bottom"/>
            <w:hideMark/>
          </w:tcPr>
          <w:p w14:paraId="3DC59D11" w14:textId="77777777" w:rsidR="00DD70AA" w:rsidRPr="00315868" w:rsidRDefault="00DD70AA" w:rsidP="005B327E">
            <w:pPr>
              <w:pStyle w:val="Tablenumbers"/>
              <w:rPr>
                <w:lang w:eastAsia="en-GB"/>
              </w:rPr>
            </w:pPr>
            <w:r>
              <w:rPr>
                <w:rFonts w:ascii="Blanco" w:hAnsi="Blanco"/>
                <w:color w:val="231F20"/>
                <w:szCs w:val="21"/>
              </w:rPr>
              <w:t>4.4%</w:t>
            </w:r>
          </w:p>
        </w:tc>
        <w:tc>
          <w:tcPr>
            <w:tcW w:w="1199" w:type="dxa"/>
            <w:tcBorders>
              <w:top w:val="single" w:sz="4" w:space="0" w:color="006EC8" w:themeColor="accent1"/>
              <w:left w:val="single" w:sz="4" w:space="0" w:color="006EC8" w:themeColor="accent1"/>
              <w:bottom w:val="single" w:sz="4" w:space="0" w:color="006EC8" w:themeColor="accent1"/>
            </w:tcBorders>
          </w:tcPr>
          <w:p w14:paraId="2103801D" w14:textId="6EDD6092" w:rsidR="00DD70AA" w:rsidRDefault="00CB49F0" w:rsidP="005B327E">
            <w:pPr>
              <w:pStyle w:val="Tablenumbers"/>
              <w:rPr>
                <w:rFonts w:ascii="Blanco" w:hAnsi="Blanco"/>
                <w:color w:val="231F20"/>
                <w:szCs w:val="21"/>
              </w:rPr>
            </w:pPr>
            <w:r>
              <w:rPr>
                <w:rFonts w:ascii="Blanco" w:hAnsi="Blanco"/>
                <w:color w:val="231F20"/>
                <w:szCs w:val="21"/>
              </w:rPr>
              <w:t>6.7%</w:t>
            </w:r>
          </w:p>
        </w:tc>
        <w:tc>
          <w:tcPr>
            <w:tcW w:w="1199" w:type="dxa"/>
            <w:tcBorders>
              <w:top w:val="single" w:sz="4" w:space="0" w:color="006EC8" w:themeColor="accent1"/>
              <w:bottom w:val="single" w:sz="4" w:space="0" w:color="006EC8" w:themeColor="accent1"/>
            </w:tcBorders>
          </w:tcPr>
          <w:p w14:paraId="1E568DD0" w14:textId="09C0C2F6" w:rsidR="00DD70AA" w:rsidRDefault="00CB49F0" w:rsidP="005B327E">
            <w:pPr>
              <w:pStyle w:val="Tablenumbers"/>
              <w:rPr>
                <w:rFonts w:ascii="Blanco" w:hAnsi="Blanco"/>
                <w:color w:val="231F20"/>
                <w:szCs w:val="21"/>
              </w:rPr>
            </w:pPr>
            <w:r>
              <w:rPr>
                <w:rFonts w:ascii="Blanco" w:hAnsi="Blanco"/>
                <w:color w:val="231F20"/>
                <w:szCs w:val="21"/>
              </w:rPr>
              <w:t>4.1%</w:t>
            </w:r>
          </w:p>
        </w:tc>
      </w:tr>
    </w:tbl>
    <w:p w14:paraId="2B28F1EB" w14:textId="3408A3F1" w:rsidR="00A520C9" w:rsidRDefault="00A520C9" w:rsidP="00A520C9">
      <w:r>
        <w:t xml:space="preserve">The difference in the number of SIL participants is magnified when assessed as a proportion of the total number of participants, being about 6.5% </w:t>
      </w:r>
      <w:r w:rsidR="006A743C">
        <w:t xml:space="preserve">in </w:t>
      </w:r>
      <w:r>
        <w:t xml:space="preserve">the </w:t>
      </w:r>
      <w:r w:rsidR="00D320CF">
        <w:t>2018-19 AFSR</w:t>
      </w:r>
      <w:r>
        <w:t xml:space="preserve"> to just above 4% under the latest estimates. About half of this difference can be attributed to changes in the mix of participants and more new entrants having less severe disabilities</w:t>
      </w:r>
      <w:r w:rsidR="006A743C">
        <w:t>,</w:t>
      </w:r>
      <w:r>
        <w:t xml:space="preserve"> but the remainder is accounted for </w:t>
      </w:r>
      <w:r w:rsidR="00D14F23">
        <w:t xml:space="preserve">by </w:t>
      </w:r>
      <w:r>
        <w:t>participants generally being less likely to move into SIL.</w:t>
      </w:r>
      <w:r w:rsidRPr="00760870">
        <w:t xml:space="preserve"> </w:t>
      </w:r>
    </w:p>
    <w:p w14:paraId="5CD58C87" w14:textId="2E477AFA" w:rsidR="00A520C9" w:rsidRDefault="00A520C9" w:rsidP="00A520C9">
      <w:pPr>
        <w:spacing w:before="0" w:after="160" w:line="259" w:lineRule="auto"/>
        <w:rPr>
          <w:rFonts w:asciiTheme="majorHAnsi" w:eastAsiaTheme="majorEastAsia" w:hAnsiTheme="majorHAnsi" w:cstheme="majorBidi"/>
          <w:color w:val="006EC8" w:themeColor="accent1"/>
          <w:sz w:val="28"/>
          <w:szCs w:val="28"/>
        </w:rPr>
      </w:pPr>
      <w:r>
        <w:t xml:space="preserve">As the cost for people living in SIL is so much higher than those who do not, getting reliable and preferably stable estimates for the number of SIL participants is important. </w:t>
      </w:r>
      <w:r w:rsidR="006A743C">
        <w:t>I</w:t>
      </w:r>
      <w:r>
        <w:t xml:space="preserve">n </w:t>
      </w:r>
      <w:r w:rsidR="006A743C">
        <w:t xml:space="preserve">Appendix </w:t>
      </w:r>
      <w:r>
        <w:fldChar w:fldCharType="begin"/>
      </w:r>
      <w:r>
        <w:instrText xml:space="preserve"> REF _Ref83553792 \r \h </w:instrText>
      </w:r>
      <w:r>
        <w:fldChar w:fldCharType="separate"/>
      </w:r>
      <w:r w:rsidR="00E6217F">
        <w:t>B.5</w:t>
      </w:r>
      <w:r>
        <w:fldChar w:fldCharType="end"/>
      </w:r>
      <w:r>
        <w:t xml:space="preserve"> we suggest some refinements which can be made to how SIL participants are projected.</w:t>
      </w:r>
    </w:p>
    <w:p w14:paraId="077CEDD0" w14:textId="77777777" w:rsidR="00A520C9" w:rsidRDefault="00A520C9" w:rsidP="00A520C9">
      <w:pPr>
        <w:pStyle w:val="Heading2"/>
      </w:pPr>
      <w:bookmarkStart w:id="213" w:name="_Toc83828730"/>
      <w:bookmarkStart w:id="214" w:name="_Toc83828758"/>
      <w:bookmarkStart w:id="215" w:name="_Ref83971063"/>
      <w:bookmarkStart w:id="216" w:name="_Toc83997776"/>
      <w:bookmarkStart w:id="217" w:name="_Toc87700482"/>
      <w:bookmarkStart w:id="218" w:name="_Toc88686134"/>
      <w:r w:rsidRPr="006751F1">
        <w:t>Amount of support provided</w:t>
      </w:r>
      <w:bookmarkEnd w:id="213"/>
      <w:bookmarkEnd w:id="214"/>
      <w:bookmarkEnd w:id="215"/>
      <w:bookmarkEnd w:id="216"/>
      <w:r>
        <w:t xml:space="preserve"> (actual experience to June 2021)</w:t>
      </w:r>
      <w:bookmarkEnd w:id="217"/>
      <w:bookmarkEnd w:id="218"/>
    </w:p>
    <w:tbl>
      <w:tblPr>
        <w:tblStyle w:val="ListTable1Light-Accent1"/>
        <w:tblW w:w="0" w:type="auto"/>
        <w:tblLook w:val="0620" w:firstRow="1" w:lastRow="0" w:firstColumn="0" w:lastColumn="0" w:noHBand="1" w:noVBand="1"/>
      </w:tblPr>
      <w:tblGrid>
        <w:gridCol w:w="3402"/>
        <w:gridCol w:w="1701"/>
        <w:gridCol w:w="1701"/>
      </w:tblGrid>
      <w:tr w:rsidR="00A520C9" w:rsidRPr="00965FA7" w14:paraId="2FBD6727" w14:textId="77777777" w:rsidTr="003F577D">
        <w:trPr>
          <w:cnfStyle w:val="100000000000" w:firstRow="1" w:lastRow="0" w:firstColumn="0" w:lastColumn="0" w:oddVBand="0" w:evenVBand="0" w:oddHBand="0" w:evenHBand="0" w:firstRowFirstColumn="0" w:firstRowLastColumn="0" w:lastRowFirstColumn="0" w:lastRowLastColumn="0"/>
          <w:tblHeader/>
        </w:trPr>
        <w:tc>
          <w:tcPr>
            <w:tcW w:w="3402" w:type="dxa"/>
            <w:tcBorders>
              <w:bottom w:val="none" w:sz="0" w:space="0" w:color="auto"/>
            </w:tcBorders>
            <w:shd w:val="clear" w:color="auto" w:fill="C1E3FF" w:themeFill="accent1" w:themeFillTint="33"/>
          </w:tcPr>
          <w:p w14:paraId="5EBC0513" w14:textId="77777777" w:rsidR="00A520C9" w:rsidRDefault="00A520C9" w:rsidP="00DA0930">
            <w:pPr>
              <w:keepNext/>
            </w:pPr>
          </w:p>
        </w:tc>
        <w:tc>
          <w:tcPr>
            <w:tcW w:w="1701" w:type="dxa"/>
            <w:tcBorders>
              <w:bottom w:val="none" w:sz="0" w:space="0" w:color="auto"/>
            </w:tcBorders>
            <w:shd w:val="clear" w:color="auto" w:fill="C1E3FF" w:themeFill="accent1" w:themeFillTint="33"/>
          </w:tcPr>
          <w:p w14:paraId="6E1B92CD" w14:textId="77777777" w:rsidR="00A520C9" w:rsidRPr="00965FA7" w:rsidRDefault="00A520C9" w:rsidP="00DA0930">
            <w:pPr>
              <w:keepNext/>
              <w:jc w:val="right"/>
              <w:rPr>
                <w:b w:val="0"/>
                <w:bCs w:val="0"/>
              </w:rPr>
            </w:pPr>
            <w:r w:rsidRPr="00965FA7">
              <w:t>2024-25</w:t>
            </w:r>
          </w:p>
        </w:tc>
        <w:tc>
          <w:tcPr>
            <w:tcW w:w="1701" w:type="dxa"/>
            <w:tcBorders>
              <w:bottom w:val="none" w:sz="0" w:space="0" w:color="auto"/>
            </w:tcBorders>
            <w:shd w:val="clear" w:color="auto" w:fill="C1E3FF" w:themeFill="accent1" w:themeFillTint="33"/>
          </w:tcPr>
          <w:p w14:paraId="32DBA7B4" w14:textId="7D3BD7FD" w:rsidR="00A520C9" w:rsidRPr="00D128D7" w:rsidRDefault="00D128D7" w:rsidP="00DA0930">
            <w:pPr>
              <w:keepNext/>
              <w:jc w:val="right"/>
              <w:rPr>
                <w:b w:val="0"/>
                <w:bCs w:val="0"/>
              </w:rPr>
            </w:pPr>
            <w:r w:rsidRPr="00D128D7">
              <w:t>20</w:t>
            </w:r>
            <w:r w:rsidRPr="002A687C">
              <w:t>29</w:t>
            </w:r>
            <w:r w:rsidR="00A520C9" w:rsidRPr="00D128D7">
              <w:t>-</w:t>
            </w:r>
            <w:r w:rsidRPr="00D128D7">
              <w:t>3</w:t>
            </w:r>
            <w:r w:rsidRPr="002A687C">
              <w:t>0</w:t>
            </w:r>
          </w:p>
        </w:tc>
      </w:tr>
      <w:tr w:rsidR="00A520C9" w14:paraId="4B2EFC37" w14:textId="77777777" w:rsidTr="00E50847">
        <w:tc>
          <w:tcPr>
            <w:tcW w:w="3402" w:type="dxa"/>
            <w:shd w:val="clear" w:color="auto" w:fill="C1E3FF" w:themeFill="accent1" w:themeFillTint="33"/>
          </w:tcPr>
          <w:p w14:paraId="102B16F1" w14:textId="77777777" w:rsidR="00A520C9" w:rsidRDefault="00A520C9" w:rsidP="00DA0930">
            <w:r>
              <w:t xml:space="preserve">Change due to assumptions around amount of support provided </w:t>
            </w:r>
          </w:p>
        </w:tc>
        <w:tc>
          <w:tcPr>
            <w:tcW w:w="1701" w:type="dxa"/>
            <w:shd w:val="clear" w:color="auto" w:fill="C1E3FF" w:themeFill="accent1" w:themeFillTint="33"/>
          </w:tcPr>
          <w:p w14:paraId="601BD1DF" w14:textId="77777777" w:rsidR="00A520C9" w:rsidRDefault="00A520C9" w:rsidP="00DA0930">
            <w:pPr>
              <w:jc w:val="right"/>
            </w:pPr>
            <w:r>
              <w:t>+$3.4B</w:t>
            </w:r>
          </w:p>
        </w:tc>
        <w:tc>
          <w:tcPr>
            <w:tcW w:w="1701" w:type="dxa"/>
            <w:shd w:val="clear" w:color="auto" w:fill="C1E3FF" w:themeFill="accent1" w:themeFillTint="33"/>
          </w:tcPr>
          <w:p w14:paraId="264F4C4D" w14:textId="7BD9F513" w:rsidR="00A520C9" w:rsidRPr="00D128D7" w:rsidRDefault="00A520C9" w:rsidP="00DA0930">
            <w:pPr>
              <w:jc w:val="right"/>
            </w:pPr>
            <w:r w:rsidRPr="00D128D7">
              <w:t>+$</w:t>
            </w:r>
            <w:r w:rsidR="00D128D7" w:rsidRPr="002A687C">
              <w:t>4.5</w:t>
            </w:r>
            <w:r w:rsidRPr="00D128D7">
              <w:t>B</w:t>
            </w:r>
          </w:p>
        </w:tc>
      </w:tr>
    </w:tbl>
    <w:p w14:paraId="648EA671" w14:textId="5082892F" w:rsidR="00A520C9" w:rsidRDefault="00A520C9" w:rsidP="00A520C9">
      <w:pPr>
        <w:keepNext/>
      </w:pPr>
      <w:r>
        <w:t xml:space="preserve">In estimating the cost of changes in the volume and intensity of support provided, we have adjusted for the number and mix of participants, including changes in functional capacity and assuming that prices were as per the </w:t>
      </w:r>
      <w:r w:rsidR="00D320CF">
        <w:t>2018-19 AFSR</w:t>
      </w:r>
      <w:r>
        <w:t xml:space="preserve">. </w:t>
      </w:r>
    </w:p>
    <w:p w14:paraId="4F941C6F" w14:textId="2B8C8B19" w:rsidR="00A520C9" w:rsidRDefault="00A520C9" w:rsidP="00A520C9">
      <w:pPr>
        <w:keepNext/>
      </w:pPr>
      <w:r>
        <w:t>Change</w:t>
      </w:r>
      <w:r w:rsidR="006A743C">
        <w:t>s</w:t>
      </w:r>
      <w:r>
        <w:t xml:space="preserve"> in assumptions for</w:t>
      </w:r>
      <w:r w:rsidR="006A743C">
        <w:t xml:space="preserve"> the</w:t>
      </w:r>
      <w:r>
        <w:t xml:space="preserve"> amount of support provided results in an overall increase of $3.4B in 2025 and </w:t>
      </w:r>
      <w:r w:rsidRPr="00D128D7">
        <w:t>$</w:t>
      </w:r>
      <w:r w:rsidR="00D128D7" w:rsidRPr="002A687C">
        <w:t>4.5</w:t>
      </w:r>
      <w:r w:rsidRPr="00D128D7">
        <w:t xml:space="preserve">B in </w:t>
      </w:r>
      <w:r w:rsidR="00D128D7" w:rsidRPr="00D128D7">
        <w:t>2030</w:t>
      </w:r>
      <w:r w:rsidRPr="00D128D7">
        <w:t>.</w:t>
      </w:r>
    </w:p>
    <w:p w14:paraId="0013B0EF" w14:textId="1A20CD31" w:rsidR="00A520C9" w:rsidRDefault="00A520C9" w:rsidP="00A520C9">
      <w:pPr>
        <w:pStyle w:val="Caption"/>
      </w:pPr>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5</w:t>
      </w:r>
      <w:r w:rsidR="007F6BE8">
        <w:fldChar w:fldCharType="end"/>
      </w:r>
      <w:r>
        <w:t xml:space="preserve"> – Breakdown o</w:t>
      </w:r>
      <w:r w:rsidR="00E96424">
        <w:t>f</w:t>
      </w:r>
      <w:r>
        <w:t xml:space="preserve"> increase in projected payments: Amount of support provided ($B)</w:t>
      </w:r>
    </w:p>
    <w:tbl>
      <w:tblPr>
        <w:tblStyle w:val="TFBlue"/>
        <w:tblW w:w="6208" w:type="dxa"/>
        <w:tblLook w:val="06E0" w:firstRow="1" w:lastRow="1" w:firstColumn="1" w:lastColumn="0" w:noHBand="1" w:noVBand="1"/>
      </w:tblPr>
      <w:tblGrid>
        <w:gridCol w:w="3776"/>
        <w:gridCol w:w="1216"/>
        <w:gridCol w:w="1216"/>
      </w:tblGrid>
      <w:tr w:rsidR="00A520C9" w:rsidRPr="005E067E" w14:paraId="2CD7CD97" w14:textId="77777777" w:rsidTr="00DA0930">
        <w:trPr>
          <w:cnfStyle w:val="100000000000" w:firstRow="1" w:lastRow="0" w:firstColumn="0" w:lastColumn="0" w:oddVBand="0" w:evenVBand="0" w:oddHBand="0" w:evenHBand="0" w:firstRowFirstColumn="0" w:firstRowLastColumn="0" w:lastRowFirstColumn="0" w:lastRowLastColumn="0"/>
          <w:trHeight w:val="360"/>
        </w:trPr>
        <w:tc>
          <w:tcPr>
            <w:tcW w:w="3776" w:type="dxa"/>
            <w:noWrap/>
            <w:hideMark/>
          </w:tcPr>
          <w:p w14:paraId="0E7775CD" w14:textId="77777777" w:rsidR="00A520C9" w:rsidRPr="005E067E" w:rsidRDefault="00A520C9" w:rsidP="00DA0930">
            <w:pPr>
              <w:spacing w:before="0" w:after="0"/>
              <w:rPr>
                <w:rFonts w:ascii="Blanco" w:eastAsia="Times New Roman" w:hAnsi="Blanco" w:cs="Times New Roman"/>
                <w:b w:val="0"/>
                <w:bCs/>
                <w:color w:val="231F20"/>
                <w:sz w:val="22"/>
                <w:lang w:eastAsia="en-GB"/>
              </w:rPr>
            </w:pPr>
            <w:r w:rsidRPr="005E067E">
              <w:rPr>
                <w:rFonts w:ascii="Cambria" w:eastAsia="Times New Roman" w:hAnsi="Cambria" w:cs="Cambria"/>
                <w:bCs/>
                <w:color w:val="231F20"/>
                <w:sz w:val="22"/>
                <w:lang w:eastAsia="en-GB"/>
              </w:rPr>
              <w:t> </w:t>
            </w:r>
          </w:p>
        </w:tc>
        <w:tc>
          <w:tcPr>
            <w:tcW w:w="1216" w:type="dxa"/>
            <w:noWrap/>
            <w:hideMark/>
          </w:tcPr>
          <w:p w14:paraId="17EEFD10" w14:textId="77777777" w:rsidR="00A520C9" w:rsidRPr="005E067E" w:rsidRDefault="00A520C9" w:rsidP="00DA0930">
            <w:pPr>
              <w:spacing w:before="0" w:after="0"/>
              <w:jc w:val="right"/>
              <w:rPr>
                <w:rFonts w:ascii="Blanco" w:eastAsia="Times New Roman" w:hAnsi="Blanco" w:cs="Times New Roman"/>
                <w:b w:val="0"/>
                <w:bCs/>
                <w:color w:val="231F20"/>
                <w:sz w:val="22"/>
                <w:lang w:eastAsia="en-GB"/>
              </w:rPr>
            </w:pPr>
            <w:r w:rsidRPr="005E067E">
              <w:rPr>
                <w:rFonts w:ascii="Blanco" w:eastAsia="Times New Roman" w:hAnsi="Blanco" w:cs="Times New Roman"/>
                <w:bCs/>
                <w:color w:val="231F20"/>
                <w:sz w:val="22"/>
                <w:lang w:eastAsia="en-GB"/>
              </w:rPr>
              <w:t>2025</w:t>
            </w:r>
          </w:p>
        </w:tc>
        <w:tc>
          <w:tcPr>
            <w:tcW w:w="1216" w:type="dxa"/>
            <w:noWrap/>
            <w:hideMark/>
          </w:tcPr>
          <w:p w14:paraId="466F09CD" w14:textId="1B50E181" w:rsidR="00A520C9" w:rsidRPr="00D128D7" w:rsidRDefault="00D128D7" w:rsidP="00DA0930">
            <w:pPr>
              <w:spacing w:before="0" w:after="0"/>
              <w:jc w:val="right"/>
              <w:rPr>
                <w:rFonts w:ascii="Blanco" w:eastAsia="Times New Roman" w:hAnsi="Blanco" w:cs="Times New Roman"/>
                <w:b w:val="0"/>
                <w:bCs/>
                <w:color w:val="231F20"/>
                <w:sz w:val="22"/>
                <w:lang w:eastAsia="en-GB"/>
              </w:rPr>
            </w:pPr>
            <w:r w:rsidRPr="00D128D7">
              <w:rPr>
                <w:rFonts w:ascii="Blanco" w:eastAsia="Times New Roman" w:hAnsi="Blanco" w:cs="Times New Roman"/>
                <w:bCs/>
                <w:color w:val="231F20"/>
                <w:sz w:val="22"/>
                <w:lang w:eastAsia="en-GB"/>
              </w:rPr>
              <w:t>203</w:t>
            </w:r>
            <w:r w:rsidRPr="002A687C">
              <w:rPr>
                <w:rFonts w:ascii="Blanco" w:eastAsia="Times New Roman" w:hAnsi="Blanco" w:cs="Times New Roman"/>
                <w:bCs/>
                <w:color w:val="231F20"/>
                <w:sz w:val="22"/>
                <w:lang w:eastAsia="en-GB"/>
              </w:rPr>
              <w:t>0</w:t>
            </w:r>
          </w:p>
        </w:tc>
      </w:tr>
      <w:tr w:rsidR="00A520C9" w:rsidRPr="00F37673" w14:paraId="6959CA92" w14:textId="77777777" w:rsidTr="00DA0930">
        <w:trPr>
          <w:trHeight w:val="360"/>
        </w:trPr>
        <w:tc>
          <w:tcPr>
            <w:tcW w:w="3776" w:type="dxa"/>
            <w:noWrap/>
            <w:hideMark/>
          </w:tcPr>
          <w:p w14:paraId="6DF6F27E" w14:textId="77777777" w:rsidR="00A520C9" w:rsidRPr="00F37673" w:rsidRDefault="00A520C9" w:rsidP="00DA0930">
            <w:pPr>
              <w:pStyle w:val="Tabletext"/>
              <w:rPr>
                <w:lang w:eastAsia="en-GB"/>
              </w:rPr>
            </w:pPr>
            <w:r w:rsidRPr="00F37673">
              <w:rPr>
                <w:lang w:eastAsia="en-GB"/>
              </w:rPr>
              <w:t xml:space="preserve">Average support </w:t>
            </w:r>
            <w:r>
              <w:rPr>
                <w:lang w:eastAsia="en-GB"/>
              </w:rPr>
              <w:t>assumptions</w:t>
            </w:r>
          </w:p>
        </w:tc>
        <w:tc>
          <w:tcPr>
            <w:tcW w:w="1216" w:type="dxa"/>
            <w:noWrap/>
            <w:hideMark/>
          </w:tcPr>
          <w:p w14:paraId="35C1C768" w14:textId="77777777" w:rsidR="00A520C9" w:rsidRPr="006751F1" w:rsidRDefault="00A520C9" w:rsidP="00DA0930">
            <w:pPr>
              <w:pStyle w:val="Tablenumbers"/>
              <w:rPr>
                <w:lang w:eastAsia="en-GB"/>
              </w:rPr>
            </w:pPr>
            <w:r w:rsidRPr="006751F1">
              <w:t>4.1</w:t>
            </w:r>
          </w:p>
        </w:tc>
        <w:tc>
          <w:tcPr>
            <w:tcW w:w="1216" w:type="dxa"/>
            <w:noWrap/>
            <w:hideMark/>
          </w:tcPr>
          <w:p w14:paraId="660BAF87" w14:textId="08E7D8D3" w:rsidR="00A520C9" w:rsidRPr="00D128D7" w:rsidRDefault="00D128D7" w:rsidP="00DA0930">
            <w:pPr>
              <w:pStyle w:val="Tablenumbers"/>
              <w:rPr>
                <w:lang w:eastAsia="en-GB"/>
              </w:rPr>
            </w:pPr>
            <w:r w:rsidRPr="002A687C">
              <w:t>6.3</w:t>
            </w:r>
          </w:p>
        </w:tc>
      </w:tr>
      <w:tr w:rsidR="00A520C9" w:rsidRPr="005E067E" w14:paraId="4F37D00D" w14:textId="77777777" w:rsidTr="00DA0930">
        <w:trPr>
          <w:trHeight w:val="360"/>
        </w:trPr>
        <w:tc>
          <w:tcPr>
            <w:tcW w:w="3776" w:type="dxa"/>
            <w:noWrap/>
            <w:hideMark/>
          </w:tcPr>
          <w:p w14:paraId="34BD3EE6" w14:textId="77777777" w:rsidR="00A520C9" w:rsidRPr="00F37673" w:rsidRDefault="00A520C9" w:rsidP="00DA0930">
            <w:pPr>
              <w:pStyle w:val="Tabletext"/>
              <w:rPr>
                <w:lang w:eastAsia="en-GB"/>
              </w:rPr>
            </w:pPr>
            <w:r>
              <w:rPr>
                <w:lang w:eastAsia="en-GB"/>
              </w:rPr>
              <w:t>C</w:t>
            </w:r>
            <w:r w:rsidRPr="00F37673">
              <w:rPr>
                <w:lang w:eastAsia="en-GB"/>
              </w:rPr>
              <w:t>ost for new entrants</w:t>
            </w:r>
          </w:p>
        </w:tc>
        <w:tc>
          <w:tcPr>
            <w:tcW w:w="1216" w:type="dxa"/>
            <w:noWrap/>
            <w:hideMark/>
          </w:tcPr>
          <w:p w14:paraId="5B22BAB2" w14:textId="77777777" w:rsidR="00A520C9" w:rsidRPr="006751F1" w:rsidRDefault="00A520C9" w:rsidP="00DA0930">
            <w:pPr>
              <w:pStyle w:val="Tablenumbers"/>
              <w:rPr>
                <w:lang w:eastAsia="en-GB"/>
              </w:rPr>
            </w:pPr>
            <w:r w:rsidRPr="006751F1">
              <w:t>-0.7</w:t>
            </w:r>
          </w:p>
        </w:tc>
        <w:tc>
          <w:tcPr>
            <w:tcW w:w="1216" w:type="dxa"/>
            <w:noWrap/>
            <w:hideMark/>
          </w:tcPr>
          <w:p w14:paraId="5E6120E5" w14:textId="4175CAA7" w:rsidR="00A520C9" w:rsidRPr="00D128D7" w:rsidRDefault="00A520C9" w:rsidP="00DA0930">
            <w:pPr>
              <w:pStyle w:val="Tablenumbers"/>
              <w:rPr>
                <w:lang w:eastAsia="en-GB"/>
              </w:rPr>
            </w:pPr>
            <w:r w:rsidRPr="00D128D7">
              <w:rPr>
                <w:lang w:eastAsia="en-GB"/>
              </w:rPr>
              <w:t>-</w:t>
            </w:r>
            <w:r w:rsidR="00D128D7" w:rsidRPr="002A687C">
              <w:rPr>
                <w:lang w:eastAsia="en-GB"/>
              </w:rPr>
              <w:t>1.8</w:t>
            </w:r>
          </w:p>
        </w:tc>
      </w:tr>
      <w:tr w:rsidR="00A520C9" w:rsidRPr="005E067E" w14:paraId="20A9A5F4" w14:textId="77777777" w:rsidTr="00DA0930">
        <w:trPr>
          <w:cnfStyle w:val="010000000000" w:firstRow="0" w:lastRow="1" w:firstColumn="0" w:lastColumn="0" w:oddVBand="0" w:evenVBand="0" w:oddHBand="0" w:evenHBand="0" w:firstRowFirstColumn="0" w:firstRowLastColumn="0" w:lastRowFirstColumn="0" w:lastRowLastColumn="0"/>
          <w:trHeight w:val="360"/>
        </w:trPr>
        <w:tc>
          <w:tcPr>
            <w:tcW w:w="3776" w:type="dxa"/>
            <w:noWrap/>
            <w:hideMark/>
          </w:tcPr>
          <w:p w14:paraId="2B355AEA" w14:textId="77777777" w:rsidR="00A520C9" w:rsidRPr="005E067E" w:rsidRDefault="00A520C9" w:rsidP="00DA0930">
            <w:pPr>
              <w:pStyle w:val="Tabletext"/>
              <w:rPr>
                <w:b w:val="0"/>
                <w:bCs/>
                <w:lang w:eastAsia="en-GB"/>
              </w:rPr>
            </w:pPr>
            <w:r w:rsidRPr="005E067E">
              <w:rPr>
                <w:bCs/>
                <w:lang w:eastAsia="en-GB"/>
              </w:rPr>
              <w:t>Total</w:t>
            </w:r>
          </w:p>
        </w:tc>
        <w:tc>
          <w:tcPr>
            <w:tcW w:w="1216" w:type="dxa"/>
            <w:noWrap/>
            <w:hideMark/>
          </w:tcPr>
          <w:p w14:paraId="38ED94D5" w14:textId="77777777" w:rsidR="00A520C9" w:rsidRPr="006751F1" w:rsidRDefault="00A520C9" w:rsidP="00DA0930">
            <w:pPr>
              <w:pStyle w:val="Tablenumbers"/>
              <w:rPr>
                <w:b w:val="0"/>
                <w:bCs/>
                <w:lang w:eastAsia="en-GB"/>
              </w:rPr>
            </w:pPr>
            <w:r w:rsidRPr="006751F1">
              <w:rPr>
                <w:bCs/>
                <w:lang w:eastAsia="en-GB"/>
              </w:rPr>
              <w:t>3.4</w:t>
            </w:r>
          </w:p>
        </w:tc>
        <w:tc>
          <w:tcPr>
            <w:tcW w:w="1216" w:type="dxa"/>
            <w:noWrap/>
            <w:hideMark/>
          </w:tcPr>
          <w:p w14:paraId="0D737058" w14:textId="5EEC44C1" w:rsidR="00A520C9" w:rsidRPr="00D128D7" w:rsidRDefault="00D128D7" w:rsidP="00DA0930">
            <w:pPr>
              <w:pStyle w:val="Tablenumbers"/>
              <w:rPr>
                <w:b w:val="0"/>
                <w:bCs/>
                <w:lang w:eastAsia="en-GB"/>
              </w:rPr>
            </w:pPr>
            <w:r w:rsidRPr="002A687C">
              <w:rPr>
                <w:bCs/>
              </w:rPr>
              <w:t>4.5</w:t>
            </w:r>
          </w:p>
        </w:tc>
      </w:tr>
    </w:tbl>
    <w:p w14:paraId="27504E25" w14:textId="77777777" w:rsidR="00A520C9" w:rsidRDefault="00A520C9" w:rsidP="00A520C9">
      <w:pPr>
        <w:pStyle w:val="Heading3"/>
      </w:pPr>
      <w:r w:rsidRPr="00F37673">
        <w:rPr>
          <w:lang w:eastAsia="en-GB"/>
        </w:rPr>
        <w:t xml:space="preserve">Average support </w:t>
      </w:r>
      <w:r>
        <w:rPr>
          <w:lang w:eastAsia="en-GB"/>
        </w:rPr>
        <w:t>assumptions</w:t>
      </w:r>
    </w:p>
    <w:p w14:paraId="4ED2A660" w14:textId="440B15FD" w:rsidR="00A520C9" w:rsidRDefault="00A520C9" w:rsidP="00A520C9">
      <w:r>
        <w:t xml:space="preserve">Changes in average support assumptions have increased projected payments in 2025 by $4.1B and by </w:t>
      </w:r>
      <w:r w:rsidRPr="00D128D7">
        <w:t>$</w:t>
      </w:r>
      <w:r w:rsidR="00D128D7" w:rsidRPr="002A687C">
        <w:t>6.3</w:t>
      </w:r>
      <w:r w:rsidRPr="00D128D7">
        <w:t xml:space="preserve">B in </w:t>
      </w:r>
      <w:r w:rsidR="00D128D7" w:rsidRPr="00D128D7">
        <w:t>2030</w:t>
      </w:r>
      <w:r>
        <w:t xml:space="preserve">. Approximately 65% of these increases relate to supports for Daily Activities and are assumed to affect both non-SIL and SIL participants. Furthermore, participants with Autism, Intellectual Disability and </w:t>
      </w:r>
      <w:r w:rsidRPr="00E67EA2">
        <w:rPr>
          <w:rFonts w:ascii="Blanco" w:eastAsia="Times New Roman" w:hAnsi="Blanco" w:cs="Times New Roman"/>
          <w:color w:val="231F20"/>
          <w:sz w:val="22"/>
          <w:lang w:eastAsia="en-GB"/>
        </w:rPr>
        <w:t>Psychosocial Disabilit</w:t>
      </w:r>
      <w:r>
        <w:rPr>
          <w:rFonts w:ascii="Blanco" w:eastAsia="Times New Roman" w:hAnsi="Blanco" w:cs="Times New Roman"/>
          <w:color w:val="231F20"/>
          <w:sz w:val="22"/>
          <w:lang w:eastAsia="en-GB"/>
        </w:rPr>
        <w:t>ies are expected to experience the largest increase in amount of support provided.</w:t>
      </w:r>
      <w:bookmarkStart w:id="219" w:name="_Ref83647783"/>
      <w:r>
        <w:rPr>
          <w:rFonts w:ascii="Blanco" w:eastAsia="Times New Roman" w:hAnsi="Blanco" w:cs="Times New Roman"/>
          <w:color w:val="231F20"/>
          <w:sz w:val="22"/>
          <w:lang w:eastAsia="en-GB"/>
        </w:rPr>
        <w:t xml:space="preserve"> </w:t>
      </w:r>
      <w:r>
        <w:fldChar w:fldCharType="begin"/>
      </w:r>
      <w:r>
        <w:instrText xml:space="preserve"> REF _Ref83647842 \h </w:instrText>
      </w:r>
      <w:r>
        <w:fldChar w:fldCharType="separate"/>
      </w:r>
      <w:r w:rsidR="00E6217F">
        <w:t xml:space="preserve">Table </w:t>
      </w:r>
      <w:r w:rsidR="00E6217F">
        <w:rPr>
          <w:noProof/>
        </w:rPr>
        <w:t>5</w:t>
      </w:r>
      <w:r w:rsidR="00E6217F">
        <w:t>.</w:t>
      </w:r>
      <w:r w:rsidR="00E6217F">
        <w:rPr>
          <w:noProof/>
        </w:rPr>
        <w:t>6</w:t>
      </w:r>
      <w:r>
        <w:fldChar w:fldCharType="end"/>
      </w:r>
      <w:r>
        <w:t xml:space="preserve"> and </w:t>
      </w:r>
      <w:r>
        <w:fldChar w:fldCharType="begin"/>
      </w:r>
      <w:r>
        <w:instrText xml:space="preserve"> REF _Ref83647859 \h </w:instrText>
      </w:r>
      <w:r>
        <w:fldChar w:fldCharType="separate"/>
      </w:r>
      <w:r w:rsidR="00E6217F">
        <w:t xml:space="preserve">Table </w:t>
      </w:r>
      <w:r w:rsidR="00E6217F">
        <w:rPr>
          <w:noProof/>
        </w:rPr>
        <w:t>5</w:t>
      </w:r>
      <w:r w:rsidR="00E6217F">
        <w:t>.</w:t>
      </w:r>
      <w:r w:rsidR="00E6217F">
        <w:rPr>
          <w:noProof/>
        </w:rPr>
        <w:t>7</w:t>
      </w:r>
      <w:r>
        <w:fldChar w:fldCharType="end"/>
      </w:r>
      <w:r>
        <w:t xml:space="preserve"> show a breakdown of the increase in projected payments in 2025 and </w:t>
      </w:r>
      <w:r w:rsidR="00886EB3" w:rsidRPr="00886EB3">
        <w:t>2030</w:t>
      </w:r>
      <w:r w:rsidR="00886EB3">
        <w:t xml:space="preserve"> </w:t>
      </w:r>
      <w:r>
        <w:t xml:space="preserve">respectively by support category and type of disability. </w:t>
      </w:r>
    </w:p>
    <w:p w14:paraId="02458EEA" w14:textId="47A671CA" w:rsidR="00A520C9" w:rsidRDefault="00A520C9" w:rsidP="00A520C9">
      <w:pPr>
        <w:pStyle w:val="Caption"/>
      </w:pPr>
      <w:bookmarkStart w:id="220" w:name="_Ref83647842"/>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6</w:t>
      </w:r>
      <w:r w:rsidR="007F6BE8">
        <w:fldChar w:fldCharType="end"/>
      </w:r>
      <w:bookmarkEnd w:id="220"/>
      <w:r>
        <w:t xml:space="preserve"> – Breakdown o</w:t>
      </w:r>
      <w:r w:rsidR="00E96424">
        <w:t>f</w:t>
      </w:r>
      <w:r>
        <w:t xml:space="preserve"> increase in projected payments in </w:t>
      </w:r>
      <w:r w:rsidRPr="00E67EA2">
        <w:rPr>
          <w:b/>
          <w:bCs/>
        </w:rPr>
        <w:t>2025</w:t>
      </w:r>
      <w:r>
        <w:t>: Support category and disability ($B)</w:t>
      </w:r>
      <w:bookmarkEnd w:id="219"/>
    </w:p>
    <w:tbl>
      <w:tblPr>
        <w:tblW w:w="9661" w:type="dxa"/>
        <w:tblCellMar>
          <w:left w:w="0" w:type="dxa"/>
          <w:right w:w="0" w:type="dxa"/>
        </w:tblCellMar>
        <w:tblLook w:val="04A0" w:firstRow="1" w:lastRow="0" w:firstColumn="1" w:lastColumn="0" w:noHBand="0" w:noVBand="1"/>
      </w:tblPr>
      <w:tblGrid>
        <w:gridCol w:w="3859"/>
        <w:gridCol w:w="1135"/>
        <w:gridCol w:w="1354"/>
        <w:gridCol w:w="1344"/>
        <w:gridCol w:w="1310"/>
        <w:gridCol w:w="659"/>
      </w:tblGrid>
      <w:tr w:rsidR="00A520C9" w:rsidRPr="005E067E" w14:paraId="4483E213" w14:textId="77777777" w:rsidTr="003F577D">
        <w:trPr>
          <w:trHeight w:val="354"/>
          <w:tblHeader/>
        </w:trPr>
        <w:tc>
          <w:tcPr>
            <w:tcW w:w="3843" w:type="dxa"/>
            <w:tcBorders>
              <w:top w:val="single" w:sz="4" w:space="0" w:color="006EC8"/>
              <w:left w:val="nil"/>
              <w:bottom w:val="single" w:sz="4" w:space="0" w:color="006EC8"/>
              <w:right w:val="nil"/>
            </w:tcBorders>
            <w:shd w:val="clear" w:color="auto" w:fill="auto"/>
            <w:noWrap/>
            <w:vAlign w:val="bottom"/>
            <w:hideMark/>
          </w:tcPr>
          <w:p w14:paraId="418858E9" w14:textId="77777777" w:rsidR="00A520C9" w:rsidRPr="00E926D9" w:rsidRDefault="00A520C9" w:rsidP="00DA0930">
            <w:pPr>
              <w:spacing w:before="0" w:after="0"/>
              <w:rPr>
                <w:rFonts w:ascii="Blanco" w:eastAsia="Times New Roman" w:hAnsi="Blanco" w:cs="Times New Roman"/>
                <w:b/>
                <w:bCs/>
                <w:color w:val="231F20"/>
                <w:sz w:val="22"/>
                <w:lang w:eastAsia="en-GB"/>
              </w:rPr>
            </w:pPr>
            <w:r w:rsidRPr="00E926D9">
              <w:rPr>
                <w:rFonts w:ascii="Cambria" w:eastAsia="Times New Roman" w:hAnsi="Cambria" w:cs="Cambria"/>
                <w:b/>
                <w:bCs/>
                <w:color w:val="231F20"/>
                <w:sz w:val="22"/>
                <w:lang w:eastAsia="en-GB"/>
              </w:rPr>
              <w:t> </w:t>
            </w:r>
          </w:p>
        </w:tc>
        <w:tc>
          <w:tcPr>
            <w:tcW w:w="1119" w:type="dxa"/>
            <w:tcBorders>
              <w:top w:val="single" w:sz="4" w:space="0" w:color="006EC8"/>
              <w:left w:val="nil"/>
              <w:bottom w:val="single" w:sz="4" w:space="0" w:color="006EC8"/>
              <w:right w:val="nil"/>
            </w:tcBorders>
            <w:shd w:val="clear" w:color="auto" w:fill="auto"/>
            <w:noWrap/>
            <w:hideMark/>
          </w:tcPr>
          <w:p w14:paraId="26C7BB70" w14:textId="77777777" w:rsidR="00A520C9" w:rsidRPr="00E926D9" w:rsidRDefault="00A520C9" w:rsidP="00793029">
            <w:pPr>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Autism</w:t>
            </w:r>
          </w:p>
          <w:p w14:paraId="576E8B88" w14:textId="77777777" w:rsidR="00A520C9" w:rsidRPr="00E926D9" w:rsidRDefault="00A520C9" w:rsidP="00793029">
            <w:pPr>
              <w:spacing w:before="0" w:after="0"/>
              <w:jc w:val="center"/>
              <w:rPr>
                <w:rFonts w:ascii="Blanco" w:eastAsia="Times New Roman" w:hAnsi="Blanco" w:cs="Times New Roman"/>
                <w:b/>
                <w:bCs/>
                <w:color w:val="231F20"/>
                <w:sz w:val="22"/>
                <w:lang w:eastAsia="en-GB"/>
              </w:rPr>
            </w:pPr>
          </w:p>
          <w:p w14:paraId="46EBC410" w14:textId="77777777" w:rsidR="00A520C9" w:rsidRPr="00E926D9" w:rsidRDefault="00A520C9" w:rsidP="00793029">
            <w:pPr>
              <w:spacing w:before="0" w:after="0"/>
              <w:jc w:val="center"/>
              <w:rPr>
                <w:rFonts w:ascii="Blanco" w:eastAsia="Times New Roman" w:hAnsi="Blanco" w:cs="Times New Roman"/>
                <w:b/>
                <w:bCs/>
                <w:color w:val="231F20"/>
                <w:sz w:val="22"/>
                <w:lang w:eastAsia="en-GB"/>
              </w:rPr>
            </w:pPr>
          </w:p>
        </w:tc>
        <w:tc>
          <w:tcPr>
            <w:tcW w:w="1338" w:type="dxa"/>
            <w:tcBorders>
              <w:top w:val="single" w:sz="4" w:space="0" w:color="006EC8"/>
              <w:left w:val="nil"/>
              <w:bottom w:val="single" w:sz="4" w:space="0" w:color="006EC8"/>
              <w:right w:val="nil"/>
            </w:tcBorders>
            <w:shd w:val="clear" w:color="auto" w:fill="auto"/>
            <w:noWrap/>
            <w:hideMark/>
          </w:tcPr>
          <w:p w14:paraId="5DCD639E" w14:textId="77777777" w:rsidR="00A520C9" w:rsidRPr="00E926D9" w:rsidRDefault="00A520C9" w:rsidP="00793029">
            <w:pPr>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Intellectual Disability</w:t>
            </w:r>
          </w:p>
        </w:tc>
        <w:tc>
          <w:tcPr>
            <w:tcW w:w="1352" w:type="dxa"/>
            <w:tcBorders>
              <w:top w:val="single" w:sz="4" w:space="0" w:color="006EC8"/>
              <w:left w:val="nil"/>
              <w:bottom w:val="single" w:sz="4" w:space="0" w:color="006EC8"/>
              <w:right w:val="nil"/>
            </w:tcBorders>
          </w:tcPr>
          <w:p w14:paraId="2B737B04" w14:textId="77777777" w:rsidR="00A520C9" w:rsidRPr="00E926D9" w:rsidRDefault="00A520C9" w:rsidP="00793029">
            <w:pPr>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Psychosocial Disability</w:t>
            </w:r>
          </w:p>
        </w:tc>
        <w:tc>
          <w:tcPr>
            <w:tcW w:w="1335" w:type="dxa"/>
            <w:tcBorders>
              <w:top w:val="single" w:sz="4" w:space="0" w:color="006EC8"/>
              <w:left w:val="nil"/>
              <w:bottom w:val="single" w:sz="4" w:space="0" w:color="006EC8"/>
              <w:right w:val="single" w:sz="4" w:space="0" w:color="006EC8" w:themeColor="accent1"/>
            </w:tcBorders>
          </w:tcPr>
          <w:p w14:paraId="08432166" w14:textId="77777777" w:rsidR="00A520C9" w:rsidRPr="00E926D9" w:rsidRDefault="00A520C9" w:rsidP="00793029">
            <w:pPr>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Other disabilities</w:t>
            </w:r>
          </w:p>
        </w:tc>
        <w:tc>
          <w:tcPr>
            <w:tcW w:w="674" w:type="dxa"/>
            <w:tcBorders>
              <w:top w:val="single" w:sz="4" w:space="0" w:color="006EC8"/>
              <w:left w:val="single" w:sz="4" w:space="0" w:color="006EC8" w:themeColor="accent1"/>
              <w:bottom w:val="single" w:sz="4" w:space="0" w:color="006EC8"/>
              <w:right w:val="nil"/>
            </w:tcBorders>
          </w:tcPr>
          <w:p w14:paraId="1264EA79" w14:textId="77777777" w:rsidR="00A520C9" w:rsidRPr="00E67EA2" w:rsidRDefault="00A520C9" w:rsidP="00793029">
            <w:pPr>
              <w:spacing w:before="0" w:after="0"/>
              <w:jc w:val="center"/>
              <w:rPr>
                <w:rFonts w:ascii="Blanco" w:eastAsia="Times New Roman" w:hAnsi="Blanco" w:cs="Times New Roman"/>
                <w:b/>
                <w:bCs/>
                <w:color w:val="231F20"/>
                <w:sz w:val="22"/>
                <w:lang w:eastAsia="en-GB"/>
              </w:rPr>
            </w:pPr>
            <w:r>
              <w:rPr>
                <w:rFonts w:ascii="Blanco" w:eastAsia="Times New Roman" w:hAnsi="Blanco" w:cs="Times New Roman"/>
                <w:b/>
                <w:bCs/>
                <w:color w:val="231F20"/>
                <w:sz w:val="22"/>
                <w:lang w:eastAsia="en-GB"/>
              </w:rPr>
              <w:t>Total</w:t>
            </w:r>
          </w:p>
        </w:tc>
      </w:tr>
      <w:tr w:rsidR="00A520C9" w:rsidRPr="005E067E" w14:paraId="496E0597" w14:textId="77777777" w:rsidTr="00793029">
        <w:trPr>
          <w:trHeight w:val="354"/>
        </w:trPr>
        <w:tc>
          <w:tcPr>
            <w:tcW w:w="3843" w:type="dxa"/>
            <w:tcBorders>
              <w:top w:val="nil"/>
              <w:left w:val="nil"/>
              <w:bottom w:val="nil"/>
              <w:right w:val="nil"/>
            </w:tcBorders>
            <w:shd w:val="clear" w:color="auto" w:fill="auto"/>
            <w:noWrap/>
            <w:vAlign w:val="bottom"/>
            <w:hideMark/>
          </w:tcPr>
          <w:p w14:paraId="1284BCA3" w14:textId="4CD0AFC4" w:rsidR="00A520C9" w:rsidRPr="005E067E" w:rsidRDefault="00A520C9" w:rsidP="00DA0930">
            <w:pPr>
              <w:pStyle w:val="Tabletext"/>
              <w:rPr>
                <w:lang w:eastAsia="en-GB"/>
              </w:rPr>
            </w:pPr>
            <w:r w:rsidRPr="00E67EA2">
              <w:rPr>
                <w:lang w:eastAsia="en-GB"/>
              </w:rPr>
              <w:t>Daily Activities</w:t>
            </w:r>
            <w:r>
              <w:rPr>
                <w:lang w:eastAsia="en-GB"/>
              </w:rPr>
              <w:t xml:space="preserve"> </w:t>
            </w:r>
            <w:r w:rsidR="002537FC">
              <w:rPr>
                <w:lang w:eastAsia="en-GB"/>
              </w:rPr>
              <w:t>–</w:t>
            </w:r>
            <w:r w:rsidRPr="00E67EA2">
              <w:rPr>
                <w:lang w:eastAsia="en-GB"/>
              </w:rPr>
              <w:t xml:space="preserve"> </w:t>
            </w:r>
            <w:r>
              <w:rPr>
                <w:lang w:eastAsia="en-GB"/>
              </w:rPr>
              <w:t>n</w:t>
            </w:r>
            <w:r w:rsidRPr="00E67EA2">
              <w:rPr>
                <w:lang w:eastAsia="en-GB"/>
              </w:rPr>
              <w:t>on-SIL participants</w:t>
            </w:r>
          </w:p>
        </w:tc>
        <w:tc>
          <w:tcPr>
            <w:tcW w:w="1119" w:type="dxa"/>
            <w:tcBorders>
              <w:top w:val="nil"/>
              <w:left w:val="nil"/>
              <w:bottom w:val="nil"/>
              <w:right w:val="nil"/>
            </w:tcBorders>
            <w:shd w:val="clear" w:color="auto" w:fill="auto"/>
            <w:noWrap/>
            <w:hideMark/>
          </w:tcPr>
          <w:p w14:paraId="09456281" w14:textId="77777777" w:rsidR="00A520C9" w:rsidRPr="005E067E" w:rsidRDefault="00A520C9" w:rsidP="00DA0930">
            <w:pPr>
              <w:pStyle w:val="Tablenumbers"/>
              <w:jc w:val="center"/>
              <w:rPr>
                <w:lang w:eastAsia="en-GB"/>
              </w:rPr>
            </w:pPr>
            <w:r>
              <w:t>0.1</w:t>
            </w:r>
          </w:p>
        </w:tc>
        <w:tc>
          <w:tcPr>
            <w:tcW w:w="1338" w:type="dxa"/>
            <w:tcBorders>
              <w:top w:val="nil"/>
              <w:left w:val="nil"/>
              <w:bottom w:val="nil"/>
              <w:right w:val="nil"/>
            </w:tcBorders>
            <w:shd w:val="clear" w:color="auto" w:fill="C1E3FF" w:themeFill="accent1" w:themeFillTint="33"/>
            <w:noWrap/>
            <w:hideMark/>
          </w:tcPr>
          <w:p w14:paraId="45E0A590" w14:textId="77777777" w:rsidR="00A520C9" w:rsidRPr="005E067E" w:rsidRDefault="00A520C9" w:rsidP="00DA0930">
            <w:pPr>
              <w:pStyle w:val="Tablenumbers"/>
              <w:jc w:val="center"/>
              <w:rPr>
                <w:highlight w:val="yellow"/>
                <w:lang w:eastAsia="en-GB"/>
              </w:rPr>
            </w:pPr>
            <w:r>
              <w:t>0.4</w:t>
            </w:r>
          </w:p>
        </w:tc>
        <w:tc>
          <w:tcPr>
            <w:tcW w:w="1352" w:type="dxa"/>
            <w:tcBorders>
              <w:top w:val="nil"/>
              <w:left w:val="nil"/>
              <w:bottom w:val="nil"/>
              <w:right w:val="nil"/>
            </w:tcBorders>
            <w:shd w:val="clear" w:color="auto" w:fill="C1E3FF" w:themeFill="accent1" w:themeFillTint="33"/>
          </w:tcPr>
          <w:p w14:paraId="563C4FB7" w14:textId="77777777" w:rsidR="00A520C9" w:rsidRDefault="00A520C9" w:rsidP="00DA0930">
            <w:pPr>
              <w:pStyle w:val="Tablenumbers"/>
              <w:jc w:val="center"/>
            </w:pPr>
            <w:r>
              <w:t>0.4</w:t>
            </w:r>
          </w:p>
        </w:tc>
        <w:tc>
          <w:tcPr>
            <w:tcW w:w="1335" w:type="dxa"/>
            <w:tcBorders>
              <w:top w:val="nil"/>
              <w:left w:val="nil"/>
              <w:bottom w:val="nil"/>
              <w:right w:val="single" w:sz="4" w:space="0" w:color="006EC8" w:themeColor="accent1"/>
            </w:tcBorders>
            <w:shd w:val="clear" w:color="auto" w:fill="C1E3FF" w:themeFill="accent1" w:themeFillTint="33"/>
          </w:tcPr>
          <w:p w14:paraId="62CB077B" w14:textId="77777777" w:rsidR="00A520C9" w:rsidRDefault="00A520C9" w:rsidP="00DA0930">
            <w:pPr>
              <w:pStyle w:val="Tablenumbers"/>
              <w:jc w:val="center"/>
            </w:pPr>
            <w:r>
              <w:t>0.6</w:t>
            </w:r>
          </w:p>
        </w:tc>
        <w:tc>
          <w:tcPr>
            <w:tcW w:w="674" w:type="dxa"/>
            <w:tcBorders>
              <w:top w:val="nil"/>
              <w:left w:val="single" w:sz="4" w:space="0" w:color="006EC8" w:themeColor="accent1"/>
              <w:bottom w:val="nil"/>
              <w:right w:val="nil"/>
            </w:tcBorders>
          </w:tcPr>
          <w:p w14:paraId="21EAD805" w14:textId="77777777" w:rsidR="00A520C9" w:rsidRPr="00E67EA2" w:rsidRDefault="00A520C9" w:rsidP="00DA0930">
            <w:pPr>
              <w:pStyle w:val="Tablenumbers"/>
              <w:jc w:val="center"/>
              <w:rPr>
                <w:b/>
                <w:bCs/>
              </w:rPr>
            </w:pPr>
            <w:r>
              <w:rPr>
                <w:b/>
                <w:bCs/>
              </w:rPr>
              <w:t>1.5</w:t>
            </w:r>
          </w:p>
        </w:tc>
      </w:tr>
      <w:tr w:rsidR="00A520C9" w:rsidRPr="005E067E" w14:paraId="5E919770" w14:textId="77777777" w:rsidTr="00793029">
        <w:trPr>
          <w:trHeight w:val="354"/>
        </w:trPr>
        <w:tc>
          <w:tcPr>
            <w:tcW w:w="3843" w:type="dxa"/>
            <w:tcBorders>
              <w:top w:val="nil"/>
              <w:left w:val="nil"/>
              <w:bottom w:val="nil"/>
              <w:right w:val="nil"/>
            </w:tcBorders>
            <w:shd w:val="clear" w:color="auto" w:fill="auto"/>
            <w:noWrap/>
            <w:vAlign w:val="bottom"/>
            <w:hideMark/>
          </w:tcPr>
          <w:p w14:paraId="1CD96087" w14:textId="515FF278" w:rsidR="00A520C9" w:rsidRPr="005E067E" w:rsidRDefault="00A520C9" w:rsidP="00DA0930">
            <w:pPr>
              <w:pStyle w:val="Tabletext"/>
              <w:rPr>
                <w:lang w:eastAsia="en-GB"/>
              </w:rPr>
            </w:pPr>
            <w:r w:rsidRPr="00E67EA2">
              <w:rPr>
                <w:lang w:eastAsia="en-GB"/>
              </w:rPr>
              <w:t xml:space="preserve">Daily Activities </w:t>
            </w:r>
            <w:r w:rsidR="002537FC">
              <w:rPr>
                <w:lang w:eastAsia="en-GB"/>
              </w:rPr>
              <w:t>–</w:t>
            </w:r>
            <w:r w:rsidRPr="00E67EA2">
              <w:rPr>
                <w:lang w:eastAsia="en-GB"/>
              </w:rPr>
              <w:t xml:space="preserve"> SIL participants</w:t>
            </w:r>
          </w:p>
        </w:tc>
        <w:tc>
          <w:tcPr>
            <w:tcW w:w="1119" w:type="dxa"/>
            <w:tcBorders>
              <w:top w:val="nil"/>
              <w:left w:val="nil"/>
              <w:bottom w:val="nil"/>
              <w:right w:val="nil"/>
            </w:tcBorders>
            <w:shd w:val="clear" w:color="auto" w:fill="auto"/>
            <w:noWrap/>
            <w:hideMark/>
          </w:tcPr>
          <w:p w14:paraId="5A58D962" w14:textId="77777777" w:rsidR="00A520C9" w:rsidRPr="00E926D9" w:rsidRDefault="00A520C9" w:rsidP="00DA0930">
            <w:pPr>
              <w:pStyle w:val="Tablenumbers"/>
              <w:jc w:val="center"/>
              <w:rPr>
                <w:lang w:eastAsia="en-GB"/>
              </w:rPr>
            </w:pPr>
            <w:r w:rsidRPr="00E926D9">
              <w:t>0.3</w:t>
            </w:r>
          </w:p>
        </w:tc>
        <w:tc>
          <w:tcPr>
            <w:tcW w:w="1338" w:type="dxa"/>
            <w:tcBorders>
              <w:top w:val="nil"/>
              <w:left w:val="nil"/>
              <w:bottom w:val="nil"/>
              <w:right w:val="nil"/>
            </w:tcBorders>
            <w:shd w:val="clear" w:color="auto" w:fill="auto"/>
            <w:noWrap/>
            <w:hideMark/>
          </w:tcPr>
          <w:p w14:paraId="1D98633D" w14:textId="77777777" w:rsidR="00A520C9" w:rsidRPr="005E067E" w:rsidRDefault="00A520C9" w:rsidP="00DA0930">
            <w:pPr>
              <w:pStyle w:val="Tablenumbers"/>
              <w:jc w:val="center"/>
              <w:rPr>
                <w:highlight w:val="yellow"/>
                <w:lang w:eastAsia="en-GB"/>
              </w:rPr>
            </w:pPr>
            <w:r>
              <w:t>0.3</w:t>
            </w:r>
          </w:p>
        </w:tc>
        <w:tc>
          <w:tcPr>
            <w:tcW w:w="1352" w:type="dxa"/>
            <w:tcBorders>
              <w:top w:val="nil"/>
              <w:left w:val="nil"/>
              <w:bottom w:val="nil"/>
              <w:right w:val="nil"/>
            </w:tcBorders>
          </w:tcPr>
          <w:p w14:paraId="7A23DE71" w14:textId="77777777" w:rsidR="00A520C9" w:rsidRDefault="00A520C9" w:rsidP="00DA0930">
            <w:pPr>
              <w:pStyle w:val="Tablenumbers"/>
              <w:jc w:val="center"/>
            </w:pPr>
            <w:r>
              <w:t>0.1</w:t>
            </w:r>
          </w:p>
        </w:tc>
        <w:tc>
          <w:tcPr>
            <w:tcW w:w="1335" w:type="dxa"/>
            <w:tcBorders>
              <w:top w:val="nil"/>
              <w:left w:val="nil"/>
              <w:bottom w:val="nil"/>
              <w:right w:val="single" w:sz="4" w:space="0" w:color="006EC8" w:themeColor="accent1"/>
            </w:tcBorders>
          </w:tcPr>
          <w:p w14:paraId="4D199999" w14:textId="77777777" w:rsidR="00A520C9" w:rsidRDefault="00A520C9" w:rsidP="00DA0930">
            <w:pPr>
              <w:pStyle w:val="Tablenumbers"/>
              <w:jc w:val="center"/>
            </w:pPr>
            <w:r>
              <w:t>0.4</w:t>
            </w:r>
          </w:p>
        </w:tc>
        <w:tc>
          <w:tcPr>
            <w:tcW w:w="674" w:type="dxa"/>
            <w:tcBorders>
              <w:top w:val="nil"/>
              <w:left w:val="single" w:sz="4" w:space="0" w:color="006EC8" w:themeColor="accent1"/>
              <w:bottom w:val="nil"/>
              <w:right w:val="nil"/>
            </w:tcBorders>
          </w:tcPr>
          <w:p w14:paraId="6A2668DB" w14:textId="77777777" w:rsidR="00A520C9" w:rsidRPr="00E67EA2" w:rsidRDefault="00A520C9" w:rsidP="00DA0930">
            <w:pPr>
              <w:pStyle w:val="Tablenumbers"/>
              <w:jc w:val="center"/>
              <w:rPr>
                <w:b/>
                <w:bCs/>
              </w:rPr>
            </w:pPr>
            <w:r>
              <w:rPr>
                <w:b/>
                <w:bCs/>
              </w:rPr>
              <w:t>1.2</w:t>
            </w:r>
          </w:p>
        </w:tc>
      </w:tr>
      <w:tr w:rsidR="00A520C9" w:rsidRPr="005E067E" w14:paraId="0FF1E6A9" w14:textId="77777777" w:rsidTr="00793029">
        <w:trPr>
          <w:trHeight w:val="354"/>
        </w:trPr>
        <w:tc>
          <w:tcPr>
            <w:tcW w:w="3843" w:type="dxa"/>
            <w:tcBorders>
              <w:top w:val="nil"/>
              <w:left w:val="nil"/>
              <w:bottom w:val="nil"/>
              <w:right w:val="nil"/>
            </w:tcBorders>
            <w:shd w:val="clear" w:color="auto" w:fill="auto"/>
            <w:noWrap/>
            <w:vAlign w:val="bottom"/>
          </w:tcPr>
          <w:p w14:paraId="126B8386" w14:textId="77777777" w:rsidR="00A520C9" w:rsidRPr="00E14592" w:rsidRDefault="00A520C9" w:rsidP="00DA0930">
            <w:pPr>
              <w:pStyle w:val="Tabletext"/>
              <w:rPr>
                <w:lang w:eastAsia="en-GB"/>
              </w:rPr>
            </w:pPr>
            <w:r>
              <w:rPr>
                <w:lang w:eastAsia="en-GB"/>
              </w:rPr>
              <w:t>CB</w:t>
            </w:r>
            <w:r w:rsidRPr="00E67EA2">
              <w:rPr>
                <w:lang w:eastAsia="en-GB"/>
              </w:rPr>
              <w:t xml:space="preserve"> Daily Activities </w:t>
            </w:r>
            <w:r>
              <w:rPr>
                <w:lang w:eastAsia="en-GB"/>
              </w:rPr>
              <w:t>–</w:t>
            </w:r>
            <w:r w:rsidRPr="00E67EA2">
              <w:rPr>
                <w:lang w:eastAsia="en-GB"/>
              </w:rPr>
              <w:t xml:space="preserve"> </w:t>
            </w:r>
            <w:r>
              <w:rPr>
                <w:lang w:eastAsia="en-GB"/>
              </w:rPr>
              <w:t>n</w:t>
            </w:r>
            <w:r w:rsidRPr="00E67EA2">
              <w:rPr>
                <w:lang w:eastAsia="en-GB"/>
              </w:rPr>
              <w:t>on-SIL participants</w:t>
            </w:r>
          </w:p>
        </w:tc>
        <w:tc>
          <w:tcPr>
            <w:tcW w:w="1119" w:type="dxa"/>
            <w:tcBorders>
              <w:top w:val="nil"/>
              <w:left w:val="nil"/>
              <w:bottom w:val="nil"/>
              <w:right w:val="nil"/>
            </w:tcBorders>
            <w:shd w:val="clear" w:color="auto" w:fill="C1E3FF" w:themeFill="accent1" w:themeFillTint="33"/>
            <w:noWrap/>
          </w:tcPr>
          <w:p w14:paraId="41A16B5E" w14:textId="77777777" w:rsidR="00A520C9" w:rsidRPr="00E926D9" w:rsidRDefault="00A520C9" w:rsidP="00DA0930">
            <w:pPr>
              <w:pStyle w:val="Tablenumbers"/>
              <w:jc w:val="center"/>
            </w:pPr>
            <w:r w:rsidRPr="00E926D9">
              <w:t>0.4</w:t>
            </w:r>
          </w:p>
        </w:tc>
        <w:tc>
          <w:tcPr>
            <w:tcW w:w="1338" w:type="dxa"/>
            <w:tcBorders>
              <w:top w:val="nil"/>
              <w:left w:val="nil"/>
              <w:bottom w:val="nil"/>
              <w:right w:val="nil"/>
            </w:tcBorders>
            <w:shd w:val="clear" w:color="auto" w:fill="auto"/>
            <w:noWrap/>
          </w:tcPr>
          <w:p w14:paraId="68A0DE1F" w14:textId="77777777" w:rsidR="00A520C9" w:rsidRDefault="00A520C9" w:rsidP="00DA0930">
            <w:pPr>
              <w:pStyle w:val="Tablenumbers"/>
              <w:jc w:val="center"/>
            </w:pPr>
            <w:r>
              <w:t>0.2</w:t>
            </w:r>
          </w:p>
        </w:tc>
        <w:tc>
          <w:tcPr>
            <w:tcW w:w="1352" w:type="dxa"/>
            <w:tcBorders>
              <w:top w:val="nil"/>
              <w:left w:val="nil"/>
              <w:bottom w:val="nil"/>
              <w:right w:val="nil"/>
            </w:tcBorders>
          </w:tcPr>
          <w:p w14:paraId="7E763774" w14:textId="77777777" w:rsidR="00A520C9" w:rsidRDefault="00A520C9" w:rsidP="00DA0930">
            <w:pPr>
              <w:pStyle w:val="Tablenumbers"/>
              <w:jc w:val="center"/>
            </w:pPr>
            <w:r>
              <w:t>0.1</w:t>
            </w:r>
          </w:p>
        </w:tc>
        <w:tc>
          <w:tcPr>
            <w:tcW w:w="1335" w:type="dxa"/>
            <w:tcBorders>
              <w:top w:val="nil"/>
              <w:left w:val="nil"/>
              <w:bottom w:val="nil"/>
              <w:right w:val="single" w:sz="4" w:space="0" w:color="006EC8" w:themeColor="accent1"/>
            </w:tcBorders>
          </w:tcPr>
          <w:p w14:paraId="183A686F" w14:textId="77777777" w:rsidR="00A520C9" w:rsidRDefault="00A520C9" w:rsidP="00DA0930">
            <w:pPr>
              <w:pStyle w:val="Tablenumbers"/>
              <w:jc w:val="center"/>
            </w:pPr>
            <w:r>
              <w:t>0.5</w:t>
            </w:r>
          </w:p>
        </w:tc>
        <w:tc>
          <w:tcPr>
            <w:tcW w:w="674" w:type="dxa"/>
            <w:tcBorders>
              <w:top w:val="nil"/>
              <w:left w:val="single" w:sz="4" w:space="0" w:color="006EC8" w:themeColor="accent1"/>
              <w:bottom w:val="nil"/>
              <w:right w:val="nil"/>
            </w:tcBorders>
          </w:tcPr>
          <w:p w14:paraId="13C53794" w14:textId="77777777" w:rsidR="00A520C9" w:rsidRPr="00E67EA2" w:rsidRDefault="00A520C9" w:rsidP="00DA0930">
            <w:pPr>
              <w:pStyle w:val="Tablenumbers"/>
              <w:jc w:val="center"/>
              <w:rPr>
                <w:b/>
                <w:bCs/>
              </w:rPr>
            </w:pPr>
            <w:r>
              <w:rPr>
                <w:b/>
                <w:bCs/>
              </w:rPr>
              <w:t>1.2</w:t>
            </w:r>
          </w:p>
        </w:tc>
      </w:tr>
      <w:tr w:rsidR="00A520C9" w:rsidRPr="005E067E" w14:paraId="1A4144CE" w14:textId="77777777" w:rsidTr="00793029">
        <w:trPr>
          <w:trHeight w:val="354"/>
        </w:trPr>
        <w:tc>
          <w:tcPr>
            <w:tcW w:w="3843" w:type="dxa"/>
            <w:tcBorders>
              <w:top w:val="nil"/>
              <w:left w:val="nil"/>
              <w:bottom w:val="nil"/>
              <w:right w:val="nil"/>
            </w:tcBorders>
            <w:shd w:val="clear" w:color="auto" w:fill="auto"/>
            <w:noWrap/>
            <w:vAlign w:val="bottom"/>
            <w:hideMark/>
          </w:tcPr>
          <w:p w14:paraId="4E2A9638" w14:textId="77777777" w:rsidR="00A520C9" w:rsidRPr="005E067E" w:rsidRDefault="00A520C9" w:rsidP="00DA0930">
            <w:pPr>
              <w:pStyle w:val="Tabletext"/>
              <w:rPr>
                <w:lang w:eastAsia="en-GB"/>
              </w:rPr>
            </w:pPr>
            <w:r>
              <w:rPr>
                <w:lang w:eastAsia="en-GB"/>
              </w:rPr>
              <w:t>Other supports</w:t>
            </w:r>
          </w:p>
        </w:tc>
        <w:tc>
          <w:tcPr>
            <w:tcW w:w="1119" w:type="dxa"/>
            <w:tcBorders>
              <w:top w:val="nil"/>
              <w:left w:val="nil"/>
              <w:bottom w:val="nil"/>
              <w:right w:val="nil"/>
            </w:tcBorders>
            <w:shd w:val="clear" w:color="auto" w:fill="auto"/>
            <w:noWrap/>
            <w:hideMark/>
          </w:tcPr>
          <w:p w14:paraId="52D1BE5B" w14:textId="77777777" w:rsidR="00A520C9" w:rsidRPr="005E067E" w:rsidRDefault="00A520C9" w:rsidP="00DA0930">
            <w:pPr>
              <w:pStyle w:val="Tablenumbers"/>
              <w:jc w:val="center"/>
              <w:rPr>
                <w:lang w:eastAsia="en-GB"/>
              </w:rPr>
            </w:pPr>
            <w:r>
              <w:t>-0.1</w:t>
            </w:r>
          </w:p>
        </w:tc>
        <w:tc>
          <w:tcPr>
            <w:tcW w:w="1338" w:type="dxa"/>
            <w:tcBorders>
              <w:top w:val="nil"/>
              <w:left w:val="nil"/>
              <w:bottom w:val="nil"/>
              <w:right w:val="nil"/>
            </w:tcBorders>
            <w:shd w:val="clear" w:color="auto" w:fill="auto"/>
            <w:noWrap/>
            <w:hideMark/>
          </w:tcPr>
          <w:p w14:paraId="538084FF" w14:textId="77777777" w:rsidR="00A520C9" w:rsidRPr="005E067E" w:rsidRDefault="00A520C9" w:rsidP="00DA0930">
            <w:pPr>
              <w:pStyle w:val="Tablenumbers"/>
              <w:jc w:val="center"/>
              <w:rPr>
                <w:highlight w:val="yellow"/>
                <w:lang w:eastAsia="en-GB"/>
              </w:rPr>
            </w:pPr>
            <w:r>
              <w:t>0.1</w:t>
            </w:r>
          </w:p>
        </w:tc>
        <w:tc>
          <w:tcPr>
            <w:tcW w:w="1352" w:type="dxa"/>
            <w:tcBorders>
              <w:top w:val="nil"/>
              <w:left w:val="nil"/>
              <w:bottom w:val="nil"/>
              <w:right w:val="nil"/>
            </w:tcBorders>
          </w:tcPr>
          <w:p w14:paraId="047AFF9C" w14:textId="77777777" w:rsidR="00A520C9" w:rsidRDefault="00A520C9" w:rsidP="00DA0930">
            <w:pPr>
              <w:pStyle w:val="Tablenumbers"/>
              <w:jc w:val="center"/>
            </w:pPr>
            <w:r>
              <w:t>0.2</w:t>
            </w:r>
          </w:p>
        </w:tc>
        <w:tc>
          <w:tcPr>
            <w:tcW w:w="1335" w:type="dxa"/>
            <w:tcBorders>
              <w:top w:val="nil"/>
              <w:left w:val="nil"/>
              <w:bottom w:val="nil"/>
              <w:right w:val="single" w:sz="4" w:space="0" w:color="006EC8" w:themeColor="accent1"/>
            </w:tcBorders>
          </w:tcPr>
          <w:p w14:paraId="7DACB665" w14:textId="77777777" w:rsidR="00A520C9" w:rsidRDefault="00A520C9" w:rsidP="00DA0930">
            <w:pPr>
              <w:pStyle w:val="Tablenumbers"/>
              <w:jc w:val="center"/>
            </w:pPr>
            <w:r>
              <w:t>0.1</w:t>
            </w:r>
          </w:p>
        </w:tc>
        <w:tc>
          <w:tcPr>
            <w:tcW w:w="674" w:type="dxa"/>
            <w:tcBorders>
              <w:top w:val="nil"/>
              <w:left w:val="single" w:sz="4" w:space="0" w:color="006EC8" w:themeColor="accent1"/>
              <w:bottom w:val="nil"/>
              <w:right w:val="nil"/>
            </w:tcBorders>
          </w:tcPr>
          <w:p w14:paraId="65DE3FC5" w14:textId="77777777" w:rsidR="00A520C9" w:rsidRPr="00E67EA2" w:rsidRDefault="00A520C9" w:rsidP="00DA0930">
            <w:pPr>
              <w:pStyle w:val="Tablenumbers"/>
              <w:jc w:val="center"/>
              <w:rPr>
                <w:b/>
                <w:bCs/>
              </w:rPr>
            </w:pPr>
            <w:r>
              <w:rPr>
                <w:b/>
                <w:bCs/>
              </w:rPr>
              <w:t>0.2</w:t>
            </w:r>
          </w:p>
        </w:tc>
      </w:tr>
      <w:tr w:rsidR="00A520C9" w:rsidRPr="005E067E" w14:paraId="62BE5579" w14:textId="77777777" w:rsidTr="00793029">
        <w:trPr>
          <w:trHeight w:val="354"/>
        </w:trPr>
        <w:tc>
          <w:tcPr>
            <w:tcW w:w="3843" w:type="dxa"/>
            <w:tcBorders>
              <w:top w:val="single" w:sz="4" w:space="0" w:color="006EC8"/>
              <w:left w:val="nil"/>
              <w:bottom w:val="single" w:sz="4" w:space="0" w:color="006EC8"/>
              <w:right w:val="nil"/>
            </w:tcBorders>
            <w:shd w:val="clear" w:color="auto" w:fill="auto"/>
            <w:noWrap/>
            <w:vAlign w:val="bottom"/>
            <w:hideMark/>
          </w:tcPr>
          <w:p w14:paraId="54F95D50" w14:textId="77777777" w:rsidR="00A520C9" w:rsidRPr="005E067E" w:rsidRDefault="00A520C9" w:rsidP="00DA0930">
            <w:pPr>
              <w:pStyle w:val="Tabletext"/>
              <w:rPr>
                <w:b/>
                <w:bCs/>
                <w:lang w:eastAsia="en-GB"/>
              </w:rPr>
            </w:pPr>
            <w:r>
              <w:rPr>
                <w:b/>
                <w:bCs/>
                <w:lang w:eastAsia="en-GB"/>
              </w:rPr>
              <w:t>Total</w:t>
            </w:r>
          </w:p>
        </w:tc>
        <w:tc>
          <w:tcPr>
            <w:tcW w:w="1119" w:type="dxa"/>
            <w:tcBorders>
              <w:top w:val="single" w:sz="4" w:space="0" w:color="006EC8"/>
              <w:left w:val="nil"/>
              <w:bottom w:val="single" w:sz="4" w:space="0" w:color="006EC8"/>
              <w:right w:val="nil"/>
            </w:tcBorders>
            <w:shd w:val="clear" w:color="auto" w:fill="auto"/>
            <w:noWrap/>
            <w:hideMark/>
          </w:tcPr>
          <w:p w14:paraId="7D7DB507" w14:textId="77777777" w:rsidR="00A520C9" w:rsidRPr="00FD5B65" w:rsidRDefault="00A520C9" w:rsidP="00DA0930">
            <w:pPr>
              <w:pStyle w:val="Tablenumbers"/>
              <w:jc w:val="center"/>
              <w:rPr>
                <w:b/>
                <w:bCs/>
                <w:lang w:eastAsia="en-GB"/>
              </w:rPr>
            </w:pPr>
            <w:r>
              <w:rPr>
                <w:b/>
                <w:bCs/>
              </w:rPr>
              <w:t>0.7</w:t>
            </w:r>
          </w:p>
        </w:tc>
        <w:tc>
          <w:tcPr>
            <w:tcW w:w="1338" w:type="dxa"/>
            <w:tcBorders>
              <w:top w:val="single" w:sz="4" w:space="0" w:color="006EC8"/>
              <w:left w:val="nil"/>
              <w:bottom w:val="single" w:sz="4" w:space="0" w:color="006EC8"/>
              <w:right w:val="nil"/>
            </w:tcBorders>
            <w:shd w:val="clear" w:color="auto" w:fill="auto"/>
            <w:noWrap/>
            <w:hideMark/>
          </w:tcPr>
          <w:p w14:paraId="5A96CE1E" w14:textId="77777777" w:rsidR="00A520C9" w:rsidRPr="00FD5B65" w:rsidRDefault="00A520C9" w:rsidP="00DA0930">
            <w:pPr>
              <w:pStyle w:val="Tablenumbers"/>
              <w:jc w:val="center"/>
              <w:rPr>
                <w:b/>
                <w:bCs/>
                <w:highlight w:val="yellow"/>
                <w:lang w:eastAsia="en-GB"/>
              </w:rPr>
            </w:pPr>
            <w:r>
              <w:rPr>
                <w:b/>
                <w:bCs/>
              </w:rPr>
              <w:t>1.0</w:t>
            </w:r>
          </w:p>
        </w:tc>
        <w:tc>
          <w:tcPr>
            <w:tcW w:w="1352" w:type="dxa"/>
            <w:tcBorders>
              <w:top w:val="single" w:sz="4" w:space="0" w:color="006EC8"/>
              <w:left w:val="nil"/>
              <w:bottom w:val="single" w:sz="4" w:space="0" w:color="006EC8"/>
              <w:right w:val="nil"/>
            </w:tcBorders>
          </w:tcPr>
          <w:p w14:paraId="666E4969" w14:textId="77777777" w:rsidR="00A520C9" w:rsidRDefault="00A520C9" w:rsidP="00DA0930">
            <w:pPr>
              <w:pStyle w:val="Tablenumbers"/>
              <w:jc w:val="center"/>
              <w:rPr>
                <w:b/>
                <w:bCs/>
              </w:rPr>
            </w:pPr>
            <w:r>
              <w:rPr>
                <w:b/>
                <w:bCs/>
              </w:rPr>
              <w:t>0.8</w:t>
            </w:r>
          </w:p>
        </w:tc>
        <w:tc>
          <w:tcPr>
            <w:tcW w:w="1335" w:type="dxa"/>
            <w:tcBorders>
              <w:top w:val="single" w:sz="4" w:space="0" w:color="006EC8"/>
              <w:left w:val="nil"/>
              <w:bottom w:val="single" w:sz="4" w:space="0" w:color="006EC8"/>
              <w:right w:val="single" w:sz="4" w:space="0" w:color="006EC8" w:themeColor="accent1"/>
            </w:tcBorders>
          </w:tcPr>
          <w:p w14:paraId="30032C4B" w14:textId="77777777" w:rsidR="00A520C9" w:rsidRDefault="00A520C9" w:rsidP="00DA0930">
            <w:pPr>
              <w:pStyle w:val="Tablenumbers"/>
              <w:jc w:val="center"/>
              <w:rPr>
                <w:b/>
                <w:bCs/>
              </w:rPr>
            </w:pPr>
            <w:r>
              <w:rPr>
                <w:b/>
                <w:bCs/>
              </w:rPr>
              <w:t>1.6</w:t>
            </w:r>
          </w:p>
        </w:tc>
        <w:tc>
          <w:tcPr>
            <w:tcW w:w="674" w:type="dxa"/>
            <w:tcBorders>
              <w:top w:val="single" w:sz="4" w:space="0" w:color="006EC8"/>
              <w:left w:val="single" w:sz="4" w:space="0" w:color="006EC8" w:themeColor="accent1"/>
              <w:bottom w:val="single" w:sz="4" w:space="0" w:color="006EC8"/>
              <w:right w:val="nil"/>
            </w:tcBorders>
          </w:tcPr>
          <w:p w14:paraId="04C70959" w14:textId="77777777" w:rsidR="00A520C9" w:rsidRPr="00E67EA2" w:rsidRDefault="00A520C9" w:rsidP="00DA0930">
            <w:pPr>
              <w:pStyle w:val="Tablenumbers"/>
              <w:jc w:val="center"/>
              <w:rPr>
                <w:b/>
                <w:bCs/>
              </w:rPr>
            </w:pPr>
            <w:r>
              <w:rPr>
                <w:b/>
                <w:bCs/>
              </w:rPr>
              <w:t>4.1</w:t>
            </w:r>
          </w:p>
        </w:tc>
      </w:tr>
    </w:tbl>
    <w:p w14:paraId="3AE2015D" w14:textId="42CD0762" w:rsidR="00A520C9" w:rsidRDefault="00A520C9" w:rsidP="00A520C9">
      <w:pPr>
        <w:pStyle w:val="Caption"/>
      </w:pPr>
      <w:bookmarkStart w:id="221" w:name="_Ref83647859"/>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7</w:t>
      </w:r>
      <w:r w:rsidR="007F6BE8">
        <w:fldChar w:fldCharType="end"/>
      </w:r>
      <w:bookmarkEnd w:id="221"/>
      <w:r>
        <w:t xml:space="preserve"> – Breakdown o</w:t>
      </w:r>
      <w:r w:rsidR="00E96424">
        <w:t>f</w:t>
      </w:r>
      <w:r>
        <w:t xml:space="preserve"> increase in projected payments in </w:t>
      </w:r>
      <w:r w:rsidR="00D128D7" w:rsidRPr="00E67EA2">
        <w:rPr>
          <w:b/>
          <w:bCs/>
        </w:rPr>
        <w:t>20</w:t>
      </w:r>
      <w:r w:rsidR="00D128D7">
        <w:rPr>
          <w:b/>
          <w:bCs/>
        </w:rPr>
        <w:t>30</w:t>
      </w:r>
      <w:r>
        <w:t>: Support category and disability ($B)</w:t>
      </w:r>
    </w:p>
    <w:tbl>
      <w:tblPr>
        <w:tblW w:w="9645" w:type="dxa"/>
        <w:tblLayout w:type="fixed"/>
        <w:tblLook w:val="04A0" w:firstRow="1" w:lastRow="0" w:firstColumn="1" w:lastColumn="0" w:noHBand="0" w:noVBand="1"/>
      </w:tblPr>
      <w:tblGrid>
        <w:gridCol w:w="3795"/>
        <w:gridCol w:w="1025"/>
        <w:gridCol w:w="1367"/>
        <w:gridCol w:w="1372"/>
        <w:gridCol w:w="1372"/>
        <w:gridCol w:w="714"/>
      </w:tblGrid>
      <w:tr w:rsidR="00A520C9" w:rsidRPr="005E067E" w14:paraId="66420C49" w14:textId="77777777" w:rsidTr="003F577D">
        <w:trPr>
          <w:trHeight w:val="354"/>
          <w:tblHeader/>
        </w:trPr>
        <w:tc>
          <w:tcPr>
            <w:tcW w:w="3795" w:type="dxa"/>
            <w:tcBorders>
              <w:top w:val="single" w:sz="4" w:space="0" w:color="006EC8"/>
              <w:left w:val="nil"/>
              <w:bottom w:val="single" w:sz="4" w:space="0" w:color="006EC8"/>
              <w:right w:val="nil"/>
            </w:tcBorders>
            <w:shd w:val="clear" w:color="auto" w:fill="auto"/>
            <w:noWrap/>
            <w:vAlign w:val="bottom"/>
            <w:hideMark/>
          </w:tcPr>
          <w:p w14:paraId="0B5B10AC" w14:textId="77777777" w:rsidR="00A520C9" w:rsidRPr="005E067E" w:rsidRDefault="00A520C9" w:rsidP="00DA0930">
            <w:pPr>
              <w:keepNext/>
              <w:spacing w:before="0" w:after="0"/>
              <w:rPr>
                <w:rFonts w:ascii="Blanco" w:eastAsia="Times New Roman" w:hAnsi="Blanco" w:cs="Times New Roman"/>
                <w:b/>
                <w:bCs/>
                <w:color w:val="231F20"/>
                <w:sz w:val="22"/>
                <w:lang w:eastAsia="en-GB"/>
              </w:rPr>
            </w:pPr>
            <w:r w:rsidRPr="005E067E">
              <w:rPr>
                <w:rFonts w:ascii="Cambria" w:eastAsia="Times New Roman" w:hAnsi="Cambria" w:cs="Cambria"/>
                <w:b/>
                <w:bCs/>
                <w:color w:val="231F20"/>
                <w:sz w:val="22"/>
                <w:lang w:eastAsia="en-GB"/>
              </w:rPr>
              <w:t> </w:t>
            </w:r>
          </w:p>
        </w:tc>
        <w:tc>
          <w:tcPr>
            <w:tcW w:w="1025" w:type="dxa"/>
            <w:tcBorders>
              <w:top w:val="single" w:sz="4" w:space="0" w:color="006EC8"/>
              <w:left w:val="nil"/>
              <w:bottom w:val="single" w:sz="4" w:space="0" w:color="006EC8"/>
              <w:right w:val="nil"/>
            </w:tcBorders>
            <w:shd w:val="clear" w:color="auto" w:fill="auto"/>
            <w:noWrap/>
            <w:tcMar>
              <w:left w:w="11" w:type="dxa"/>
              <w:right w:w="11" w:type="dxa"/>
            </w:tcMar>
            <w:hideMark/>
          </w:tcPr>
          <w:p w14:paraId="3F9B5FB1" w14:textId="77777777" w:rsidR="00A520C9" w:rsidRPr="00E926D9" w:rsidRDefault="00A520C9" w:rsidP="00793029">
            <w:pPr>
              <w:keepNext/>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Autism</w:t>
            </w:r>
          </w:p>
          <w:p w14:paraId="46B2CE89" w14:textId="77777777" w:rsidR="00A520C9" w:rsidRPr="00E926D9" w:rsidRDefault="00A520C9" w:rsidP="00793029">
            <w:pPr>
              <w:keepNext/>
              <w:spacing w:before="0" w:after="0"/>
              <w:jc w:val="center"/>
              <w:rPr>
                <w:rFonts w:ascii="Blanco" w:eastAsia="Times New Roman" w:hAnsi="Blanco" w:cs="Times New Roman"/>
                <w:b/>
                <w:bCs/>
                <w:color w:val="231F20"/>
                <w:sz w:val="22"/>
                <w:lang w:eastAsia="en-GB"/>
              </w:rPr>
            </w:pPr>
          </w:p>
          <w:p w14:paraId="54AA3150" w14:textId="77777777" w:rsidR="00A520C9" w:rsidRPr="00E926D9" w:rsidRDefault="00A520C9" w:rsidP="00793029">
            <w:pPr>
              <w:keepNext/>
              <w:spacing w:before="0" w:after="0"/>
              <w:jc w:val="center"/>
              <w:rPr>
                <w:rFonts w:ascii="Blanco" w:eastAsia="Times New Roman" w:hAnsi="Blanco" w:cs="Times New Roman"/>
                <w:b/>
                <w:bCs/>
                <w:color w:val="231F20"/>
                <w:sz w:val="22"/>
                <w:lang w:eastAsia="en-GB"/>
              </w:rPr>
            </w:pPr>
          </w:p>
        </w:tc>
        <w:tc>
          <w:tcPr>
            <w:tcW w:w="1367" w:type="dxa"/>
            <w:tcBorders>
              <w:top w:val="single" w:sz="4" w:space="0" w:color="006EC8"/>
              <w:left w:val="nil"/>
              <w:bottom w:val="single" w:sz="4" w:space="0" w:color="006EC8"/>
              <w:right w:val="nil"/>
            </w:tcBorders>
            <w:shd w:val="clear" w:color="auto" w:fill="auto"/>
            <w:noWrap/>
            <w:tcMar>
              <w:left w:w="11" w:type="dxa"/>
              <w:right w:w="11" w:type="dxa"/>
            </w:tcMar>
            <w:hideMark/>
          </w:tcPr>
          <w:p w14:paraId="2032B836" w14:textId="77777777" w:rsidR="00A520C9" w:rsidRPr="00E926D9" w:rsidRDefault="00A520C9" w:rsidP="00793029">
            <w:pPr>
              <w:keepNext/>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Intellectual Disability</w:t>
            </w:r>
          </w:p>
        </w:tc>
        <w:tc>
          <w:tcPr>
            <w:tcW w:w="1372" w:type="dxa"/>
            <w:tcBorders>
              <w:top w:val="single" w:sz="4" w:space="0" w:color="006EC8"/>
              <w:left w:val="nil"/>
              <w:bottom w:val="single" w:sz="4" w:space="0" w:color="006EC8"/>
              <w:right w:val="nil"/>
            </w:tcBorders>
            <w:tcMar>
              <w:left w:w="11" w:type="dxa"/>
              <w:right w:w="11" w:type="dxa"/>
            </w:tcMar>
          </w:tcPr>
          <w:p w14:paraId="54D1A38B" w14:textId="77777777" w:rsidR="00A520C9" w:rsidRPr="00E926D9" w:rsidRDefault="00A520C9" w:rsidP="00793029">
            <w:pPr>
              <w:keepNext/>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Psychosocial Disability</w:t>
            </w:r>
          </w:p>
        </w:tc>
        <w:tc>
          <w:tcPr>
            <w:tcW w:w="1372" w:type="dxa"/>
            <w:tcBorders>
              <w:top w:val="single" w:sz="4" w:space="0" w:color="006EC8"/>
              <w:left w:val="nil"/>
              <w:bottom w:val="single" w:sz="4" w:space="0" w:color="006EC8"/>
              <w:right w:val="single" w:sz="4" w:space="0" w:color="006EC8" w:themeColor="accent1"/>
            </w:tcBorders>
            <w:tcMar>
              <w:left w:w="11" w:type="dxa"/>
              <w:right w:w="11" w:type="dxa"/>
            </w:tcMar>
          </w:tcPr>
          <w:p w14:paraId="097BE09E" w14:textId="77777777" w:rsidR="00A520C9" w:rsidRPr="00E926D9" w:rsidRDefault="00A520C9" w:rsidP="00793029">
            <w:pPr>
              <w:keepNext/>
              <w:spacing w:before="0" w:after="0"/>
              <w:jc w:val="center"/>
              <w:rPr>
                <w:rFonts w:ascii="Blanco" w:eastAsia="Times New Roman" w:hAnsi="Blanco" w:cs="Times New Roman"/>
                <w:b/>
                <w:bCs/>
                <w:color w:val="231F20"/>
                <w:sz w:val="22"/>
                <w:lang w:eastAsia="en-GB"/>
              </w:rPr>
            </w:pPr>
            <w:r w:rsidRPr="00E926D9">
              <w:rPr>
                <w:rFonts w:ascii="Blanco" w:eastAsia="Times New Roman" w:hAnsi="Blanco" w:cs="Times New Roman"/>
                <w:b/>
                <w:bCs/>
                <w:color w:val="231F20"/>
                <w:sz w:val="22"/>
                <w:lang w:eastAsia="en-GB"/>
              </w:rPr>
              <w:t>Other disabilities</w:t>
            </w:r>
          </w:p>
        </w:tc>
        <w:tc>
          <w:tcPr>
            <w:tcW w:w="714" w:type="dxa"/>
            <w:tcBorders>
              <w:top w:val="single" w:sz="4" w:space="0" w:color="006EC8"/>
              <w:left w:val="single" w:sz="4" w:space="0" w:color="006EC8" w:themeColor="accent1"/>
              <w:bottom w:val="single" w:sz="4" w:space="0" w:color="006EC8"/>
              <w:right w:val="nil"/>
            </w:tcBorders>
            <w:tcMar>
              <w:left w:w="11" w:type="dxa"/>
              <w:right w:w="11" w:type="dxa"/>
            </w:tcMar>
          </w:tcPr>
          <w:p w14:paraId="7064CE0F" w14:textId="77777777" w:rsidR="00A520C9" w:rsidRPr="00E67EA2" w:rsidRDefault="00A520C9" w:rsidP="00DA0930">
            <w:pPr>
              <w:keepNext/>
              <w:spacing w:before="0" w:after="0"/>
              <w:jc w:val="center"/>
              <w:rPr>
                <w:rFonts w:ascii="Blanco" w:eastAsia="Times New Roman" w:hAnsi="Blanco" w:cs="Times New Roman"/>
                <w:b/>
                <w:bCs/>
                <w:color w:val="231F20"/>
                <w:sz w:val="22"/>
                <w:lang w:eastAsia="en-GB"/>
              </w:rPr>
            </w:pPr>
            <w:r>
              <w:rPr>
                <w:rFonts w:ascii="Blanco" w:eastAsia="Times New Roman" w:hAnsi="Blanco" w:cs="Times New Roman"/>
                <w:b/>
                <w:bCs/>
                <w:color w:val="231F20"/>
                <w:sz w:val="22"/>
                <w:lang w:eastAsia="en-GB"/>
              </w:rPr>
              <w:t>Total</w:t>
            </w:r>
          </w:p>
        </w:tc>
      </w:tr>
      <w:tr w:rsidR="00A520C9" w:rsidRPr="005E067E" w14:paraId="0758DE3C" w14:textId="77777777" w:rsidTr="00793029">
        <w:trPr>
          <w:trHeight w:val="354"/>
        </w:trPr>
        <w:tc>
          <w:tcPr>
            <w:tcW w:w="3795" w:type="dxa"/>
            <w:tcBorders>
              <w:top w:val="nil"/>
              <w:left w:val="nil"/>
              <w:bottom w:val="nil"/>
              <w:right w:val="nil"/>
            </w:tcBorders>
            <w:shd w:val="clear" w:color="auto" w:fill="auto"/>
            <w:noWrap/>
            <w:tcMar>
              <w:left w:w="0" w:type="dxa"/>
              <w:right w:w="0" w:type="dxa"/>
            </w:tcMar>
            <w:vAlign w:val="bottom"/>
            <w:hideMark/>
          </w:tcPr>
          <w:p w14:paraId="0EDE29A9" w14:textId="0C5631EF" w:rsidR="00A520C9" w:rsidRPr="005E067E" w:rsidRDefault="00A520C9" w:rsidP="00DA0930">
            <w:pPr>
              <w:pStyle w:val="Tabletext"/>
              <w:keepNext/>
              <w:rPr>
                <w:lang w:eastAsia="en-GB"/>
              </w:rPr>
            </w:pPr>
            <w:r w:rsidRPr="00E67EA2">
              <w:rPr>
                <w:lang w:eastAsia="en-GB"/>
              </w:rPr>
              <w:t>Daily Activities</w:t>
            </w:r>
            <w:r>
              <w:rPr>
                <w:lang w:eastAsia="en-GB"/>
              </w:rPr>
              <w:t xml:space="preserve"> </w:t>
            </w:r>
            <w:r w:rsidR="002537FC">
              <w:rPr>
                <w:lang w:eastAsia="en-GB"/>
              </w:rPr>
              <w:t>–</w:t>
            </w:r>
            <w:r w:rsidRPr="00E67EA2">
              <w:rPr>
                <w:lang w:eastAsia="en-GB"/>
              </w:rPr>
              <w:t xml:space="preserve"> </w:t>
            </w:r>
            <w:r>
              <w:rPr>
                <w:lang w:eastAsia="en-GB"/>
              </w:rPr>
              <w:t>n</w:t>
            </w:r>
            <w:r w:rsidRPr="00E67EA2">
              <w:rPr>
                <w:lang w:eastAsia="en-GB"/>
              </w:rPr>
              <w:t>on-SIL participants</w:t>
            </w:r>
          </w:p>
        </w:tc>
        <w:tc>
          <w:tcPr>
            <w:tcW w:w="1025" w:type="dxa"/>
            <w:tcBorders>
              <w:top w:val="nil"/>
              <w:left w:val="nil"/>
              <w:bottom w:val="nil"/>
              <w:right w:val="nil"/>
            </w:tcBorders>
            <w:shd w:val="clear" w:color="auto" w:fill="auto"/>
            <w:noWrap/>
            <w:hideMark/>
          </w:tcPr>
          <w:p w14:paraId="7BF0E366" w14:textId="2C1657A2" w:rsidR="00A520C9" w:rsidRPr="00D128D7" w:rsidRDefault="00A520C9" w:rsidP="00DA0930">
            <w:pPr>
              <w:pStyle w:val="Tablenumbers"/>
              <w:keepNext/>
              <w:jc w:val="center"/>
              <w:rPr>
                <w:lang w:eastAsia="en-GB"/>
              </w:rPr>
            </w:pPr>
            <w:r w:rsidRPr="00D128D7">
              <w:t>0.</w:t>
            </w:r>
            <w:r w:rsidR="00D128D7" w:rsidRPr="002A687C">
              <w:t>3</w:t>
            </w:r>
          </w:p>
        </w:tc>
        <w:tc>
          <w:tcPr>
            <w:tcW w:w="1367" w:type="dxa"/>
            <w:tcBorders>
              <w:top w:val="nil"/>
              <w:left w:val="nil"/>
              <w:bottom w:val="nil"/>
              <w:right w:val="nil"/>
            </w:tcBorders>
            <w:shd w:val="clear" w:color="auto" w:fill="C1E3FF" w:themeFill="accent1" w:themeFillTint="33"/>
            <w:noWrap/>
          </w:tcPr>
          <w:p w14:paraId="6350CA4C" w14:textId="702CAD9A" w:rsidR="00A520C9" w:rsidRPr="00D128D7" w:rsidRDefault="00A520C9" w:rsidP="00DA0930">
            <w:pPr>
              <w:pStyle w:val="Tablenumbers"/>
              <w:keepNext/>
              <w:jc w:val="center"/>
              <w:rPr>
                <w:lang w:eastAsia="en-GB"/>
              </w:rPr>
            </w:pPr>
            <w:r w:rsidRPr="00D128D7">
              <w:rPr>
                <w:lang w:eastAsia="en-GB"/>
              </w:rPr>
              <w:t>0.</w:t>
            </w:r>
            <w:r w:rsidR="00D128D7" w:rsidRPr="002A687C">
              <w:rPr>
                <w:lang w:eastAsia="en-GB"/>
              </w:rPr>
              <w:t>5</w:t>
            </w:r>
          </w:p>
        </w:tc>
        <w:tc>
          <w:tcPr>
            <w:tcW w:w="1372" w:type="dxa"/>
            <w:tcBorders>
              <w:top w:val="nil"/>
              <w:left w:val="nil"/>
              <w:bottom w:val="nil"/>
              <w:right w:val="nil"/>
            </w:tcBorders>
            <w:shd w:val="clear" w:color="auto" w:fill="C1E3FF" w:themeFill="accent1" w:themeFillTint="33"/>
          </w:tcPr>
          <w:p w14:paraId="2D6DA465" w14:textId="7D0CDF48" w:rsidR="00A520C9" w:rsidRPr="00D128D7" w:rsidRDefault="00A520C9" w:rsidP="00DA0930">
            <w:pPr>
              <w:pStyle w:val="Tablenumbers"/>
              <w:keepNext/>
              <w:jc w:val="center"/>
            </w:pPr>
            <w:r w:rsidRPr="00D128D7">
              <w:t>0.</w:t>
            </w:r>
            <w:r w:rsidR="00D128D7" w:rsidRPr="002A687C">
              <w:t>6</w:t>
            </w:r>
          </w:p>
        </w:tc>
        <w:tc>
          <w:tcPr>
            <w:tcW w:w="1372" w:type="dxa"/>
            <w:tcBorders>
              <w:top w:val="nil"/>
              <w:left w:val="nil"/>
              <w:bottom w:val="nil"/>
              <w:right w:val="single" w:sz="4" w:space="0" w:color="006EC8" w:themeColor="accent1"/>
            </w:tcBorders>
            <w:shd w:val="clear" w:color="auto" w:fill="C1E3FF" w:themeFill="accent1" w:themeFillTint="33"/>
          </w:tcPr>
          <w:p w14:paraId="624887E9" w14:textId="71DED48D" w:rsidR="00A520C9" w:rsidRPr="00D128D7" w:rsidRDefault="00A520C9" w:rsidP="00DA0930">
            <w:pPr>
              <w:pStyle w:val="Tablenumbers"/>
              <w:keepNext/>
              <w:jc w:val="center"/>
            </w:pPr>
            <w:r w:rsidRPr="00D128D7">
              <w:t>0.</w:t>
            </w:r>
            <w:r w:rsidR="00D128D7" w:rsidRPr="002A687C">
              <w:t>8</w:t>
            </w:r>
          </w:p>
        </w:tc>
        <w:tc>
          <w:tcPr>
            <w:tcW w:w="714" w:type="dxa"/>
            <w:tcBorders>
              <w:top w:val="nil"/>
              <w:left w:val="single" w:sz="4" w:space="0" w:color="006EC8" w:themeColor="accent1"/>
              <w:bottom w:val="nil"/>
              <w:right w:val="nil"/>
            </w:tcBorders>
          </w:tcPr>
          <w:p w14:paraId="1392F1F4" w14:textId="0C8D07C2" w:rsidR="00A520C9" w:rsidRPr="00D128D7" w:rsidRDefault="00A520C9" w:rsidP="00DA0930">
            <w:pPr>
              <w:pStyle w:val="Tablenumbers"/>
              <w:keepNext/>
              <w:jc w:val="center"/>
              <w:rPr>
                <w:b/>
                <w:bCs/>
              </w:rPr>
            </w:pPr>
            <w:r w:rsidRPr="00D128D7">
              <w:rPr>
                <w:b/>
                <w:bCs/>
              </w:rPr>
              <w:t>2.</w:t>
            </w:r>
            <w:r w:rsidR="00D128D7" w:rsidRPr="002A687C">
              <w:rPr>
                <w:b/>
                <w:bCs/>
              </w:rPr>
              <w:t>2</w:t>
            </w:r>
          </w:p>
        </w:tc>
      </w:tr>
      <w:tr w:rsidR="00A520C9" w:rsidRPr="005E067E" w14:paraId="0978CC6A" w14:textId="77777777" w:rsidTr="00793029">
        <w:trPr>
          <w:trHeight w:val="354"/>
        </w:trPr>
        <w:tc>
          <w:tcPr>
            <w:tcW w:w="3795" w:type="dxa"/>
            <w:tcBorders>
              <w:top w:val="nil"/>
              <w:left w:val="nil"/>
              <w:bottom w:val="nil"/>
              <w:right w:val="nil"/>
            </w:tcBorders>
            <w:shd w:val="clear" w:color="auto" w:fill="auto"/>
            <w:noWrap/>
            <w:tcMar>
              <w:left w:w="0" w:type="dxa"/>
              <w:right w:w="0" w:type="dxa"/>
            </w:tcMar>
            <w:vAlign w:val="bottom"/>
            <w:hideMark/>
          </w:tcPr>
          <w:p w14:paraId="775246EF" w14:textId="190ACB8B" w:rsidR="00A520C9" w:rsidRPr="005E067E" w:rsidRDefault="00A520C9" w:rsidP="00DA0930">
            <w:pPr>
              <w:pStyle w:val="Tabletext"/>
              <w:keepNext/>
              <w:rPr>
                <w:lang w:eastAsia="en-GB"/>
              </w:rPr>
            </w:pPr>
            <w:r w:rsidRPr="00E67EA2">
              <w:rPr>
                <w:lang w:eastAsia="en-GB"/>
              </w:rPr>
              <w:t xml:space="preserve">Daily Activities </w:t>
            </w:r>
            <w:r w:rsidR="002537FC">
              <w:rPr>
                <w:lang w:eastAsia="en-GB"/>
              </w:rPr>
              <w:t>–</w:t>
            </w:r>
            <w:r w:rsidRPr="00E67EA2">
              <w:rPr>
                <w:lang w:eastAsia="en-GB"/>
              </w:rPr>
              <w:t xml:space="preserve"> SIL participants</w:t>
            </w:r>
          </w:p>
        </w:tc>
        <w:tc>
          <w:tcPr>
            <w:tcW w:w="1025" w:type="dxa"/>
            <w:tcBorders>
              <w:top w:val="nil"/>
              <w:left w:val="nil"/>
              <w:bottom w:val="nil"/>
              <w:right w:val="nil"/>
            </w:tcBorders>
            <w:shd w:val="clear" w:color="auto" w:fill="C1E3FF" w:themeFill="accent1" w:themeFillTint="33"/>
            <w:noWrap/>
            <w:hideMark/>
          </w:tcPr>
          <w:p w14:paraId="2A78464C" w14:textId="196F4B8F" w:rsidR="00A520C9" w:rsidRPr="00D128D7" w:rsidRDefault="00A520C9" w:rsidP="00DA0930">
            <w:pPr>
              <w:pStyle w:val="Tablenumbers"/>
              <w:keepNext/>
              <w:jc w:val="center"/>
              <w:rPr>
                <w:lang w:eastAsia="en-GB"/>
              </w:rPr>
            </w:pPr>
            <w:r w:rsidRPr="00D128D7">
              <w:t>0.</w:t>
            </w:r>
            <w:r w:rsidR="00D128D7" w:rsidRPr="002A687C">
              <w:t>7</w:t>
            </w:r>
          </w:p>
        </w:tc>
        <w:tc>
          <w:tcPr>
            <w:tcW w:w="1367" w:type="dxa"/>
            <w:tcBorders>
              <w:top w:val="nil"/>
              <w:left w:val="nil"/>
              <w:bottom w:val="nil"/>
              <w:right w:val="nil"/>
            </w:tcBorders>
            <w:shd w:val="clear" w:color="auto" w:fill="C1E3FF" w:themeFill="accent1" w:themeFillTint="33"/>
            <w:noWrap/>
          </w:tcPr>
          <w:p w14:paraId="632D94AB" w14:textId="77777777" w:rsidR="00A520C9" w:rsidRPr="00D128D7" w:rsidRDefault="00A520C9" w:rsidP="00DA0930">
            <w:pPr>
              <w:pStyle w:val="Tablenumbers"/>
              <w:keepNext/>
              <w:jc w:val="center"/>
              <w:rPr>
                <w:lang w:eastAsia="en-GB"/>
              </w:rPr>
            </w:pPr>
            <w:r w:rsidRPr="00D128D7">
              <w:rPr>
                <w:lang w:eastAsia="en-GB"/>
              </w:rPr>
              <w:t>0.5</w:t>
            </w:r>
          </w:p>
        </w:tc>
        <w:tc>
          <w:tcPr>
            <w:tcW w:w="1372" w:type="dxa"/>
            <w:tcBorders>
              <w:top w:val="nil"/>
              <w:left w:val="nil"/>
              <w:bottom w:val="nil"/>
              <w:right w:val="nil"/>
            </w:tcBorders>
          </w:tcPr>
          <w:p w14:paraId="66AD53C3" w14:textId="77777777" w:rsidR="00A520C9" w:rsidRPr="00D128D7" w:rsidRDefault="00A520C9" w:rsidP="00DA0930">
            <w:pPr>
              <w:pStyle w:val="Tablenumbers"/>
              <w:keepNext/>
              <w:jc w:val="center"/>
            </w:pPr>
            <w:r w:rsidRPr="00D128D7">
              <w:t>0.2</w:t>
            </w:r>
          </w:p>
        </w:tc>
        <w:tc>
          <w:tcPr>
            <w:tcW w:w="1372" w:type="dxa"/>
            <w:tcBorders>
              <w:top w:val="nil"/>
              <w:left w:val="nil"/>
              <w:bottom w:val="nil"/>
              <w:right w:val="single" w:sz="4" w:space="0" w:color="006EC8" w:themeColor="accent1"/>
            </w:tcBorders>
            <w:shd w:val="clear" w:color="auto" w:fill="C1E3FF" w:themeFill="accent1" w:themeFillTint="33"/>
          </w:tcPr>
          <w:p w14:paraId="22735268" w14:textId="5DB27B9F" w:rsidR="00A520C9" w:rsidRPr="00D128D7" w:rsidRDefault="00A520C9" w:rsidP="00DA0930">
            <w:pPr>
              <w:pStyle w:val="Tablenumbers"/>
              <w:keepNext/>
              <w:jc w:val="center"/>
            </w:pPr>
            <w:r w:rsidRPr="00D128D7">
              <w:t>0.</w:t>
            </w:r>
            <w:r w:rsidR="00D128D7" w:rsidRPr="002A687C">
              <w:t>5</w:t>
            </w:r>
          </w:p>
        </w:tc>
        <w:tc>
          <w:tcPr>
            <w:tcW w:w="714" w:type="dxa"/>
            <w:tcBorders>
              <w:top w:val="nil"/>
              <w:left w:val="single" w:sz="4" w:space="0" w:color="006EC8" w:themeColor="accent1"/>
              <w:bottom w:val="nil"/>
              <w:right w:val="nil"/>
            </w:tcBorders>
          </w:tcPr>
          <w:p w14:paraId="3D2D2F35" w14:textId="233D7854" w:rsidR="00A520C9" w:rsidRPr="00D128D7" w:rsidRDefault="00D128D7" w:rsidP="00DA0930">
            <w:pPr>
              <w:pStyle w:val="Tablenumbers"/>
              <w:keepNext/>
              <w:jc w:val="center"/>
              <w:rPr>
                <w:b/>
                <w:bCs/>
              </w:rPr>
            </w:pPr>
            <w:r w:rsidRPr="002A687C">
              <w:rPr>
                <w:b/>
                <w:bCs/>
              </w:rPr>
              <w:t>1.8</w:t>
            </w:r>
          </w:p>
        </w:tc>
      </w:tr>
      <w:tr w:rsidR="00A520C9" w:rsidRPr="005E067E" w14:paraId="25941AC4" w14:textId="77777777" w:rsidTr="00793029">
        <w:trPr>
          <w:trHeight w:val="354"/>
        </w:trPr>
        <w:tc>
          <w:tcPr>
            <w:tcW w:w="3795" w:type="dxa"/>
            <w:tcBorders>
              <w:top w:val="nil"/>
              <w:left w:val="nil"/>
              <w:bottom w:val="nil"/>
              <w:right w:val="nil"/>
            </w:tcBorders>
            <w:shd w:val="clear" w:color="auto" w:fill="auto"/>
            <w:noWrap/>
            <w:tcMar>
              <w:left w:w="0" w:type="dxa"/>
              <w:right w:w="0" w:type="dxa"/>
            </w:tcMar>
            <w:vAlign w:val="bottom"/>
          </w:tcPr>
          <w:p w14:paraId="7A46AEE9" w14:textId="138EAB24" w:rsidR="00A520C9" w:rsidRPr="00E14592" w:rsidRDefault="00A520C9" w:rsidP="00DA0930">
            <w:pPr>
              <w:pStyle w:val="Tabletext"/>
              <w:keepNext/>
              <w:rPr>
                <w:lang w:eastAsia="en-GB"/>
              </w:rPr>
            </w:pPr>
            <w:r>
              <w:rPr>
                <w:lang w:eastAsia="en-GB"/>
              </w:rPr>
              <w:t>CB</w:t>
            </w:r>
            <w:r w:rsidRPr="00E67EA2">
              <w:rPr>
                <w:lang w:eastAsia="en-GB"/>
              </w:rPr>
              <w:t xml:space="preserve"> Daily Activities </w:t>
            </w:r>
            <w:r w:rsidR="002537FC">
              <w:rPr>
                <w:lang w:eastAsia="en-GB"/>
              </w:rPr>
              <w:t>–</w:t>
            </w:r>
            <w:r w:rsidRPr="00E67EA2">
              <w:rPr>
                <w:lang w:eastAsia="en-GB"/>
              </w:rPr>
              <w:t xml:space="preserve"> </w:t>
            </w:r>
            <w:r>
              <w:rPr>
                <w:lang w:eastAsia="en-GB"/>
              </w:rPr>
              <w:t>n</w:t>
            </w:r>
            <w:r w:rsidRPr="00E67EA2">
              <w:rPr>
                <w:lang w:eastAsia="en-GB"/>
              </w:rPr>
              <w:t>on-SIL</w:t>
            </w:r>
            <w:r>
              <w:rPr>
                <w:lang w:eastAsia="en-GB"/>
              </w:rPr>
              <w:t xml:space="preserve"> </w:t>
            </w:r>
            <w:r w:rsidRPr="00E67EA2">
              <w:rPr>
                <w:lang w:eastAsia="en-GB"/>
              </w:rPr>
              <w:t>participants</w:t>
            </w:r>
          </w:p>
        </w:tc>
        <w:tc>
          <w:tcPr>
            <w:tcW w:w="1025" w:type="dxa"/>
            <w:tcBorders>
              <w:top w:val="nil"/>
              <w:left w:val="nil"/>
              <w:bottom w:val="nil"/>
              <w:right w:val="nil"/>
            </w:tcBorders>
            <w:shd w:val="clear" w:color="auto" w:fill="C1E3FF" w:themeFill="accent1" w:themeFillTint="33"/>
            <w:noWrap/>
          </w:tcPr>
          <w:p w14:paraId="04B10786" w14:textId="083DE1C5" w:rsidR="00A520C9" w:rsidRPr="00D128D7" w:rsidRDefault="00A520C9" w:rsidP="00DA0930">
            <w:pPr>
              <w:pStyle w:val="Tablenumbers"/>
              <w:keepNext/>
              <w:jc w:val="center"/>
            </w:pPr>
            <w:r w:rsidRPr="00D128D7">
              <w:t>0.</w:t>
            </w:r>
            <w:r w:rsidR="00D128D7" w:rsidRPr="002A687C">
              <w:t>8</w:t>
            </w:r>
          </w:p>
        </w:tc>
        <w:tc>
          <w:tcPr>
            <w:tcW w:w="1367" w:type="dxa"/>
            <w:tcBorders>
              <w:top w:val="nil"/>
              <w:left w:val="nil"/>
              <w:bottom w:val="nil"/>
              <w:right w:val="nil"/>
            </w:tcBorders>
            <w:shd w:val="clear" w:color="auto" w:fill="auto"/>
            <w:noWrap/>
          </w:tcPr>
          <w:p w14:paraId="167A624B" w14:textId="77777777" w:rsidR="00A520C9" w:rsidRPr="00D128D7" w:rsidRDefault="00A520C9" w:rsidP="00DA0930">
            <w:pPr>
              <w:pStyle w:val="Tablenumbers"/>
              <w:keepNext/>
              <w:jc w:val="center"/>
            </w:pPr>
            <w:r w:rsidRPr="00D128D7">
              <w:t>0.3</w:t>
            </w:r>
          </w:p>
        </w:tc>
        <w:tc>
          <w:tcPr>
            <w:tcW w:w="1372" w:type="dxa"/>
            <w:tcBorders>
              <w:top w:val="nil"/>
              <w:left w:val="nil"/>
              <w:bottom w:val="nil"/>
              <w:right w:val="nil"/>
            </w:tcBorders>
          </w:tcPr>
          <w:p w14:paraId="70199D14" w14:textId="77777777" w:rsidR="00A520C9" w:rsidRPr="00D128D7" w:rsidRDefault="00A520C9" w:rsidP="00DA0930">
            <w:pPr>
              <w:pStyle w:val="Tablenumbers"/>
              <w:keepNext/>
              <w:jc w:val="center"/>
            </w:pPr>
            <w:r w:rsidRPr="00D128D7">
              <w:t>0.2</w:t>
            </w:r>
          </w:p>
        </w:tc>
        <w:tc>
          <w:tcPr>
            <w:tcW w:w="1372" w:type="dxa"/>
            <w:tcBorders>
              <w:top w:val="nil"/>
              <w:left w:val="nil"/>
              <w:bottom w:val="nil"/>
              <w:right w:val="single" w:sz="4" w:space="0" w:color="006EC8" w:themeColor="accent1"/>
            </w:tcBorders>
            <w:shd w:val="clear" w:color="auto" w:fill="C1E3FF" w:themeFill="accent1" w:themeFillTint="33"/>
          </w:tcPr>
          <w:p w14:paraId="21ABED32" w14:textId="490AFF55" w:rsidR="00A520C9" w:rsidRPr="00D128D7" w:rsidRDefault="00A520C9" w:rsidP="00DA0930">
            <w:pPr>
              <w:pStyle w:val="Tablenumbers"/>
              <w:keepNext/>
              <w:jc w:val="center"/>
            </w:pPr>
            <w:r w:rsidRPr="00D128D7">
              <w:t>0.</w:t>
            </w:r>
            <w:r w:rsidR="00D128D7" w:rsidRPr="002A687C">
              <w:t>6</w:t>
            </w:r>
          </w:p>
        </w:tc>
        <w:tc>
          <w:tcPr>
            <w:tcW w:w="714" w:type="dxa"/>
            <w:tcBorders>
              <w:top w:val="nil"/>
              <w:left w:val="single" w:sz="4" w:space="0" w:color="006EC8" w:themeColor="accent1"/>
              <w:bottom w:val="nil"/>
              <w:right w:val="nil"/>
            </w:tcBorders>
          </w:tcPr>
          <w:p w14:paraId="5BB7646A" w14:textId="45F245A2" w:rsidR="00A520C9" w:rsidRPr="00D128D7" w:rsidRDefault="00D128D7" w:rsidP="00DA0930">
            <w:pPr>
              <w:pStyle w:val="Tablenumbers"/>
              <w:keepNext/>
              <w:jc w:val="center"/>
              <w:rPr>
                <w:b/>
                <w:bCs/>
              </w:rPr>
            </w:pPr>
            <w:r w:rsidRPr="002A687C">
              <w:rPr>
                <w:b/>
                <w:bCs/>
              </w:rPr>
              <w:t>1.9</w:t>
            </w:r>
          </w:p>
        </w:tc>
      </w:tr>
      <w:tr w:rsidR="00A520C9" w:rsidRPr="005E067E" w14:paraId="52703038" w14:textId="77777777" w:rsidTr="00793029">
        <w:trPr>
          <w:trHeight w:val="354"/>
        </w:trPr>
        <w:tc>
          <w:tcPr>
            <w:tcW w:w="3795" w:type="dxa"/>
            <w:tcBorders>
              <w:top w:val="nil"/>
              <w:left w:val="nil"/>
              <w:bottom w:val="nil"/>
              <w:right w:val="nil"/>
            </w:tcBorders>
            <w:shd w:val="clear" w:color="auto" w:fill="auto"/>
            <w:noWrap/>
            <w:tcMar>
              <w:left w:w="0" w:type="dxa"/>
              <w:right w:w="0" w:type="dxa"/>
            </w:tcMar>
            <w:vAlign w:val="bottom"/>
            <w:hideMark/>
          </w:tcPr>
          <w:p w14:paraId="3DD38607" w14:textId="77777777" w:rsidR="00A520C9" w:rsidRPr="005E067E" w:rsidRDefault="00A520C9" w:rsidP="00DA0930">
            <w:pPr>
              <w:pStyle w:val="Tabletext"/>
              <w:keepNext/>
              <w:rPr>
                <w:lang w:eastAsia="en-GB"/>
              </w:rPr>
            </w:pPr>
            <w:r>
              <w:rPr>
                <w:lang w:eastAsia="en-GB"/>
              </w:rPr>
              <w:t>Other supports</w:t>
            </w:r>
          </w:p>
        </w:tc>
        <w:tc>
          <w:tcPr>
            <w:tcW w:w="1025" w:type="dxa"/>
            <w:tcBorders>
              <w:top w:val="nil"/>
              <w:left w:val="nil"/>
              <w:bottom w:val="nil"/>
              <w:right w:val="nil"/>
            </w:tcBorders>
            <w:shd w:val="clear" w:color="auto" w:fill="auto"/>
            <w:noWrap/>
            <w:hideMark/>
          </w:tcPr>
          <w:p w14:paraId="76C9968D" w14:textId="77777777" w:rsidR="00A520C9" w:rsidRPr="00D128D7" w:rsidRDefault="00A520C9" w:rsidP="00DA0930">
            <w:pPr>
              <w:pStyle w:val="Tablenumbers"/>
              <w:keepNext/>
              <w:jc w:val="center"/>
              <w:rPr>
                <w:lang w:eastAsia="en-GB"/>
              </w:rPr>
            </w:pPr>
            <w:r w:rsidRPr="00D128D7">
              <w:t>-0.2</w:t>
            </w:r>
          </w:p>
        </w:tc>
        <w:tc>
          <w:tcPr>
            <w:tcW w:w="1367" w:type="dxa"/>
            <w:tcBorders>
              <w:top w:val="nil"/>
              <w:left w:val="nil"/>
              <w:bottom w:val="nil"/>
              <w:right w:val="nil"/>
            </w:tcBorders>
            <w:shd w:val="clear" w:color="auto" w:fill="auto"/>
            <w:noWrap/>
          </w:tcPr>
          <w:p w14:paraId="2EA1A186" w14:textId="77777777" w:rsidR="00A520C9" w:rsidRPr="00D128D7" w:rsidRDefault="00A520C9" w:rsidP="00DA0930">
            <w:pPr>
              <w:pStyle w:val="Tablenumbers"/>
              <w:keepNext/>
              <w:jc w:val="center"/>
              <w:rPr>
                <w:lang w:eastAsia="en-GB"/>
              </w:rPr>
            </w:pPr>
            <w:r w:rsidRPr="00D128D7">
              <w:rPr>
                <w:lang w:eastAsia="en-GB"/>
              </w:rPr>
              <w:t>0.1</w:t>
            </w:r>
          </w:p>
        </w:tc>
        <w:tc>
          <w:tcPr>
            <w:tcW w:w="1372" w:type="dxa"/>
            <w:tcBorders>
              <w:top w:val="nil"/>
              <w:left w:val="nil"/>
              <w:bottom w:val="nil"/>
              <w:right w:val="nil"/>
            </w:tcBorders>
          </w:tcPr>
          <w:p w14:paraId="09BE66BA" w14:textId="7A6624F3" w:rsidR="00A520C9" w:rsidRPr="00D128D7" w:rsidRDefault="00A520C9" w:rsidP="00DA0930">
            <w:pPr>
              <w:pStyle w:val="Tablenumbers"/>
              <w:keepNext/>
              <w:jc w:val="center"/>
            </w:pPr>
            <w:r w:rsidRPr="00D128D7">
              <w:t>0.</w:t>
            </w:r>
            <w:r w:rsidR="00D128D7" w:rsidRPr="002A687C">
              <w:t>3</w:t>
            </w:r>
          </w:p>
        </w:tc>
        <w:tc>
          <w:tcPr>
            <w:tcW w:w="1372" w:type="dxa"/>
            <w:tcBorders>
              <w:top w:val="nil"/>
              <w:left w:val="nil"/>
              <w:bottom w:val="nil"/>
              <w:right w:val="single" w:sz="4" w:space="0" w:color="006EC8" w:themeColor="accent1"/>
            </w:tcBorders>
          </w:tcPr>
          <w:p w14:paraId="6877A743" w14:textId="3BA47AF5" w:rsidR="00A520C9" w:rsidRPr="00D128D7" w:rsidRDefault="00A520C9" w:rsidP="00DA0930">
            <w:pPr>
              <w:pStyle w:val="Tablenumbers"/>
              <w:keepNext/>
              <w:jc w:val="center"/>
            </w:pPr>
            <w:r w:rsidRPr="00D128D7">
              <w:t>0.</w:t>
            </w:r>
            <w:r w:rsidR="00D128D7" w:rsidRPr="002A687C">
              <w:t>1</w:t>
            </w:r>
          </w:p>
        </w:tc>
        <w:tc>
          <w:tcPr>
            <w:tcW w:w="714" w:type="dxa"/>
            <w:tcBorders>
              <w:top w:val="nil"/>
              <w:left w:val="single" w:sz="4" w:space="0" w:color="006EC8" w:themeColor="accent1"/>
              <w:bottom w:val="nil"/>
              <w:right w:val="nil"/>
            </w:tcBorders>
          </w:tcPr>
          <w:p w14:paraId="5158B04C" w14:textId="300DEC6F" w:rsidR="00A520C9" w:rsidRPr="00D128D7" w:rsidRDefault="00A520C9" w:rsidP="00DA0930">
            <w:pPr>
              <w:pStyle w:val="Tablenumbers"/>
              <w:keepNext/>
              <w:jc w:val="center"/>
              <w:rPr>
                <w:b/>
                <w:bCs/>
              </w:rPr>
            </w:pPr>
            <w:r w:rsidRPr="00D128D7">
              <w:rPr>
                <w:b/>
                <w:bCs/>
              </w:rPr>
              <w:t>0.</w:t>
            </w:r>
            <w:r w:rsidR="00D128D7" w:rsidRPr="002A687C">
              <w:rPr>
                <w:b/>
                <w:bCs/>
              </w:rPr>
              <w:t>3</w:t>
            </w:r>
          </w:p>
        </w:tc>
      </w:tr>
      <w:tr w:rsidR="00A520C9" w:rsidRPr="005E067E" w14:paraId="3C3AB333" w14:textId="77777777" w:rsidTr="00793029">
        <w:trPr>
          <w:trHeight w:val="354"/>
        </w:trPr>
        <w:tc>
          <w:tcPr>
            <w:tcW w:w="3795" w:type="dxa"/>
            <w:tcBorders>
              <w:top w:val="single" w:sz="4" w:space="0" w:color="006EC8"/>
              <w:left w:val="nil"/>
              <w:bottom w:val="single" w:sz="4" w:space="0" w:color="006EC8"/>
              <w:right w:val="nil"/>
            </w:tcBorders>
            <w:shd w:val="clear" w:color="auto" w:fill="auto"/>
            <w:noWrap/>
            <w:tcMar>
              <w:left w:w="0" w:type="dxa"/>
              <w:right w:w="0" w:type="dxa"/>
            </w:tcMar>
            <w:vAlign w:val="bottom"/>
            <w:hideMark/>
          </w:tcPr>
          <w:p w14:paraId="34F6C1AA" w14:textId="77777777" w:rsidR="00A520C9" w:rsidRPr="005E067E" w:rsidRDefault="00A520C9" w:rsidP="00DA0930">
            <w:pPr>
              <w:pStyle w:val="Tabletext"/>
              <w:rPr>
                <w:b/>
                <w:bCs/>
                <w:lang w:eastAsia="en-GB"/>
              </w:rPr>
            </w:pPr>
            <w:r>
              <w:rPr>
                <w:b/>
                <w:bCs/>
                <w:lang w:eastAsia="en-GB"/>
              </w:rPr>
              <w:t>Total</w:t>
            </w:r>
          </w:p>
        </w:tc>
        <w:tc>
          <w:tcPr>
            <w:tcW w:w="1025" w:type="dxa"/>
            <w:tcBorders>
              <w:top w:val="single" w:sz="4" w:space="0" w:color="006EC8"/>
              <w:left w:val="nil"/>
              <w:bottom w:val="single" w:sz="4" w:space="0" w:color="006EC8"/>
              <w:right w:val="nil"/>
            </w:tcBorders>
            <w:shd w:val="clear" w:color="auto" w:fill="auto"/>
            <w:noWrap/>
            <w:hideMark/>
          </w:tcPr>
          <w:p w14:paraId="7970711E" w14:textId="21343997" w:rsidR="00A520C9" w:rsidRPr="00D128D7" w:rsidRDefault="00A520C9" w:rsidP="00DA0930">
            <w:pPr>
              <w:pStyle w:val="Tablenumbers"/>
              <w:jc w:val="center"/>
              <w:rPr>
                <w:b/>
                <w:bCs/>
                <w:lang w:eastAsia="en-GB"/>
              </w:rPr>
            </w:pPr>
            <w:r w:rsidRPr="00D128D7">
              <w:rPr>
                <w:b/>
                <w:bCs/>
              </w:rPr>
              <w:t>1.</w:t>
            </w:r>
            <w:r w:rsidR="00D128D7" w:rsidRPr="002A687C">
              <w:rPr>
                <w:b/>
                <w:bCs/>
              </w:rPr>
              <w:t>5</w:t>
            </w:r>
          </w:p>
        </w:tc>
        <w:tc>
          <w:tcPr>
            <w:tcW w:w="1367" w:type="dxa"/>
            <w:tcBorders>
              <w:top w:val="single" w:sz="4" w:space="0" w:color="006EC8"/>
              <w:left w:val="nil"/>
              <w:bottom w:val="single" w:sz="4" w:space="0" w:color="006EC8"/>
              <w:right w:val="nil"/>
            </w:tcBorders>
            <w:shd w:val="clear" w:color="auto" w:fill="auto"/>
            <w:noWrap/>
          </w:tcPr>
          <w:p w14:paraId="69B08E59" w14:textId="6B921278" w:rsidR="00A520C9" w:rsidRPr="00D128D7" w:rsidRDefault="00A520C9" w:rsidP="00DA0930">
            <w:pPr>
              <w:pStyle w:val="Tablenumbers"/>
              <w:jc w:val="center"/>
              <w:rPr>
                <w:b/>
                <w:bCs/>
                <w:lang w:eastAsia="en-GB"/>
              </w:rPr>
            </w:pPr>
            <w:r w:rsidRPr="00D128D7">
              <w:rPr>
                <w:b/>
                <w:bCs/>
                <w:lang w:eastAsia="en-GB"/>
              </w:rPr>
              <w:t>1.</w:t>
            </w:r>
            <w:r w:rsidR="00D128D7" w:rsidRPr="002A687C">
              <w:rPr>
                <w:b/>
                <w:bCs/>
                <w:lang w:eastAsia="en-GB"/>
              </w:rPr>
              <w:t>3</w:t>
            </w:r>
          </w:p>
        </w:tc>
        <w:tc>
          <w:tcPr>
            <w:tcW w:w="1372" w:type="dxa"/>
            <w:tcBorders>
              <w:top w:val="single" w:sz="4" w:space="0" w:color="006EC8"/>
              <w:left w:val="nil"/>
              <w:bottom w:val="single" w:sz="4" w:space="0" w:color="006EC8"/>
              <w:right w:val="nil"/>
            </w:tcBorders>
          </w:tcPr>
          <w:p w14:paraId="3551CF50" w14:textId="5DDB83C6" w:rsidR="00A520C9" w:rsidRPr="00D128D7" w:rsidRDefault="00A520C9" w:rsidP="00DA0930">
            <w:pPr>
              <w:pStyle w:val="Tablenumbers"/>
              <w:jc w:val="center"/>
              <w:rPr>
                <w:b/>
                <w:bCs/>
              </w:rPr>
            </w:pPr>
            <w:r w:rsidRPr="00D128D7">
              <w:rPr>
                <w:b/>
                <w:bCs/>
              </w:rPr>
              <w:t>1.</w:t>
            </w:r>
            <w:r w:rsidR="00D128D7" w:rsidRPr="002A687C">
              <w:rPr>
                <w:b/>
                <w:bCs/>
              </w:rPr>
              <w:t>3</w:t>
            </w:r>
          </w:p>
        </w:tc>
        <w:tc>
          <w:tcPr>
            <w:tcW w:w="1372" w:type="dxa"/>
            <w:tcBorders>
              <w:top w:val="single" w:sz="4" w:space="0" w:color="006EC8"/>
              <w:left w:val="nil"/>
              <w:bottom w:val="single" w:sz="4" w:space="0" w:color="006EC8"/>
              <w:right w:val="single" w:sz="4" w:space="0" w:color="006EC8" w:themeColor="accent1"/>
            </w:tcBorders>
          </w:tcPr>
          <w:p w14:paraId="1E8B07E1" w14:textId="495B1846" w:rsidR="00A520C9" w:rsidRPr="00D128D7" w:rsidRDefault="00A520C9" w:rsidP="00DA0930">
            <w:pPr>
              <w:pStyle w:val="Tablenumbers"/>
              <w:jc w:val="center"/>
              <w:rPr>
                <w:b/>
                <w:bCs/>
              </w:rPr>
            </w:pPr>
            <w:r w:rsidRPr="00D128D7">
              <w:rPr>
                <w:b/>
                <w:bCs/>
              </w:rPr>
              <w:t>2.</w:t>
            </w:r>
            <w:r w:rsidR="00D128D7" w:rsidRPr="002A687C">
              <w:rPr>
                <w:b/>
                <w:bCs/>
              </w:rPr>
              <w:t>2</w:t>
            </w:r>
          </w:p>
        </w:tc>
        <w:tc>
          <w:tcPr>
            <w:tcW w:w="714" w:type="dxa"/>
            <w:tcBorders>
              <w:top w:val="single" w:sz="4" w:space="0" w:color="006EC8"/>
              <w:left w:val="single" w:sz="4" w:space="0" w:color="006EC8" w:themeColor="accent1"/>
              <w:bottom w:val="single" w:sz="4" w:space="0" w:color="006EC8"/>
              <w:right w:val="nil"/>
            </w:tcBorders>
          </w:tcPr>
          <w:p w14:paraId="56BA1815" w14:textId="46BF0AFF" w:rsidR="00A520C9" w:rsidRPr="00D128D7" w:rsidRDefault="00D128D7" w:rsidP="00DA0930">
            <w:pPr>
              <w:pStyle w:val="Tablenumbers"/>
              <w:jc w:val="center"/>
              <w:rPr>
                <w:b/>
                <w:bCs/>
              </w:rPr>
            </w:pPr>
            <w:r w:rsidRPr="002A687C">
              <w:rPr>
                <w:b/>
                <w:bCs/>
              </w:rPr>
              <w:t>6.3</w:t>
            </w:r>
          </w:p>
        </w:tc>
      </w:tr>
    </w:tbl>
    <w:p w14:paraId="37487398" w14:textId="1C6C515D" w:rsidR="002B4625" w:rsidRPr="00963BE7" w:rsidRDefault="002B4625" w:rsidP="00CE626D">
      <w:pPr>
        <w:pStyle w:val="Tablenotesorsource"/>
        <w:spacing w:before="0"/>
      </w:pPr>
      <w:r w:rsidRPr="00963BE7">
        <w:t>Note: Components may not sum to total due to rounding</w:t>
      </w:r>
    </w:p>
    <w:p w14:paraId="263C9E54" w14:textId="1D7F4A0C" w:rsidR="00A520C9" w:rsidRPr="00C1567F" w:rsidRDefault="00A520C9" w:rsidP="00A520C9">
      <w:pPr>
        <w:pStyle w:val="NNheading4"/>
      </w:pPr>
      <w:r>
        <w:t xml:space="preserve">Functional level and age </w:t>
      </w:r>
    </w:p>
    <w:p w14:paraId="7E92B562" w14:textId="77777777" w:rsidR="00A520C9" w:rsidRPr="00E926D9" w:rsidRDefault="00A520C9" w:rsidP="00A520C9">
      <w:r w:rsidRPr="00E926D9">
        <w:t xml:space="preserve">Within each type of disability, the Scheme Actuary makes assumptions about </w:t>
      </w:r>
      <w:r>
        <w:t xml:space="preserve">the </w:t>
      </w:r>
      <w:r w:rsidRPr="00E926D9">
        <w:t xml:space="preserve">average payment size for each functional and age group, reflecting different level of support needs for each subgroup. </w:t>
      </w:r>
    </w:p>
    <w:p w14:paraId="5D456BA2" w14:textId="32A4E48B" w:rsidR="00A520C9" w:rsidRPr="00E926D9" w:rsidRDefault="00A520C9" w:rsidP="00A520C9">
      <w:r>
        <w:t xml:space="preserve">As discussed in section </w:t>
      </w:r>
      <w:r w:rsidR="00F36406">
        <w:fldChar w:fldCharType="begin"/>
      </w:r>
      <w:r w:rsidR="00F36406">
        <w:instrText xml:space="preserve"> REF _Ref87628444 \r \h </w:instrText>
      </w:r>
      <w:r w:rsidR="00F36406">
        <w:fldChar w:fldCharType="separate"/>
      </w:r>
      <w:r w:rsidR="00E6217F">
        <w:t>3.1</w:t>
      </w:r>
      <w:r w:rsidR="00F36406">
        <w:fldChar w:fldCharType="end"/>
      </w:r>
      <w:r>
        <w:t xml:space="preserve"> there are 2,052 cohorts for which average size assumptions are set. For example, as shown in </w:t>
      </w:r>
      <w:r w:rsidRPr="00E926D9">
        <w:fldChar w:fldCharType="begin"/>
      </w:r>
      <w:r w:rsidRPr="00E926D9">
        <w:instrText xml:space="preserve"> REF _Ref83647842 \h </w:instrText>
      </w:r>
      <w:r>
        <w:instrText xml:space="preserve"> \* MERGEFORMAT </w:instrText>
      </w:r>
      <w:r w:rsidRPr="00E926D9">
        <w:fldChar w:fldCharType="separate"/>
      </w:r>
      <w:r w:rsidR="00E6217F">
        <w:t xml:space="preserve">Table </w:t>
      </w:r>
      <w:r w:rsidR="00E6217F">
        <w:rPr>
          <w:noProof/>
        </w:rPr>
        <w:t>5.6</w:t>
      </w:r>
      <w:r w:rsidRPr="00E926D9">
        <w:fldChar w:fldCharType="end"/>
      </w:r>
      <w:r>
        <w:t xml:space="preserve"> payments in 2025 for </w:t>
      </w:r>
      <w:r w:rsidRPr="00E926D9">
        <w:t xml:space="preserve">non-SIL participants with </w:t>
      </w:r>
      <w:r>
        <w:t>intellectual disabilities</w:t>
      </w:r>
      <w:r w:rsidRPr="00E926D9">
        <w:t xml:space="preserve"> are projected to </w:t>
      </w:r>
      <w:r>
        <w:t xml:space="preserve">be </w:t>
      </w:r>
      <w:r w:rsidRPr="00E926D9">
        <w:t>$0.</w:t>
      </w:r>
      <w:r>
        <w:t>4</w:t>
      </w:r>
      <w:r w:rsidRPr="00E926D9">
        <w:t xml:space="preserve">B </w:t>
      </w:r>
      <w:r>
        <w:t xml:space="preserve">higher than the </w:t>
      </w:r>
      <w:r w:rsidR="00D320CF">
        <w:t>2018-19 AFSR</w:t>
      </w:r>
      <w:r>
        <w:t xml:space="preserve"> estimate</w:t>
      </w:r>
      <w:r w:rsidRPr="00E926D9">
        <w:t xml:space="preserve">. </w:t>
      </w:r>
      <w:r w:rsidRPr="00E926D9">
        <w:fldChar w:fldCharType="begin"/>
      </w:r>
      <w:r w:rsidRPr="00E926D9">
        <w:instrText xml:space="preserve"> REF _Ref83653792 \h </w:instrText>
      </w:r>
      <w:r>
        <w:instrText xml:space="preserve"> \* MERGEFORMAT </w:instrText>
      </w:r>
      <w:r w:rsidRPr="00E926D9">
        <w:fldChar w:fldCharType="separate"/>
      </w:r>
      <w:r w:rsidR="00E6217F" w:rsidRPr="00E926D9">
        <w:t xml:space="preserve">Figure </w:t>
      </w:r>
      <w:r w:rsidR="00E6217F">
        <w:rPr>
          <w:noProof/>
        </w:rPr>
        <w:t>5.8</w:t>
      </w:r>
      <w:r w:rsidRPr="00E926D9">
        <w:fldChar w:fldCharType="end"/>
      </w:r>
      <w:r w:rsidRPr="00E926D9">
        <w:t xml:space="preserve"> summarises</w:t>
      </w:r>
      <w:r>
        <w:t xml:space="preserve"> the</w:t>
      </w:r>
      <w:r w:rsidRPr="00E926D9">
        <w:t xml:space="preserve"> impact of changes in average </w:t>
      </w:r>
      <w:r>
        <w:t xml:space="preserve">size </w:t>
      </w:r>
      <w:r w:rsidRPr="00E926D9">
        <w:t xml:space="preserve">assumptions for different functional and age groups on </w:t>
      </w:r>
      <w:r>
        <w:t xml:space="preserve">the </w:t>
      </w:r>
      <w:r w:rsidRPr="00E926D9">
        <w:t xml:space="preserve">overall projected payments in 2025. </w:t>
      </w:r>
    </w:p>
    <w:p w14:paraId="4C5F69E7" w14:textId="23120643" w:rsidR="00A520C9" w:rsidRDefault="00A520C9" w:rsidP="00644C1E">
      <w:pPr>
        <w:pStyle w:val="Caption"/>
      </w:pPr>
      <w:bookmarkStart w:id="222" w:name="_Ref83653792"/>
      <w:r w:rsidRPr="00E926D9">
        <w:t xml:space="preserve">Figure </w:t>
      </w:r>
      <w:r w:rsidR="009366CE">
        <w:fldChar w:fldCharType="begin"/>
      </w:r>
      <w:r w:rsidR="009366CE">
        <w:instrText xml:space="preserve"> STYLEREF 1 \s </w:instrText>
      </w:r>
      <w:r w:rsidR="009366CE">
        <w:fldChar w:fldCharType="separate"/>
      </w:r>
      <w:r w:rsidR="00E6217F">
        <w:rPr>
          <w:noProof/>
        </w:rPr>
        <w:t>5</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8</w:t>
      </w:r>
      <w:r w:rsidR="009366CE">
        <w:fldChar w:fldCharType="end"/>
      </w:r>
      <w:bookmarkEnd w:id="222"/>
      <w:r w:rsidRPr="00E926D9">
        <w:t xml:space="preserve"> – Average payment assumptions and projected payments in 2025 for Daily Activities support:</w:t>
      </w:r>
      <w:r>
        <w:t xml:space="preserve"> non-SIL participants with Intellectual Disabilities </w:t>
      </w:r>
    </w:p>
    <w:p w14:paraId="04F1D642" w14:textId="6F586325" w:rsidR="00644C1E" w:rsidRPr="00BE6350" w:rsidRDefault="003C53C3" w:rsidP="00A520C9">
      <w:r w:rsidRPr="003C53C3">
        <w:rPr>
          <w:noProof/>
        </w:rPr>
        <w:drawing>
          <wp:inline distT="0" distB="0" distL="0" distR="0" wp14:anchorId="12E81A0B" wp14:editId="7D198AB4">
            <wp:extent cx="5976620" cy="1878330"/>
            <wp:effectExtent l="0" t="0" r="5080" b="7620"/>
            <wp:docPr id="15" name="Picture 15" descr="Average support assumptions&#10;&#10;0 to 6.&#10;Severity 1. 3,362.&#10;Severity 2. 4,138.&#10;Severity 3. 5,431.&#10;Severity 4. 32,845.&#10;Severity 1. 3,308.&#10;Severity 2. 7,395.&#10;Severity 3. 17,902.&#10;Severity 4. 34,735.&#10;&#10;7 to 14.&#10;Severity 1. 3,362.&#10;Severity 2. 6,853.&#10;Severity 3. 15,388.&#10;Severity 4. 32,845.&#10;Severity 1. 3,308.&#10;Severity 2. 7,395.&#10;Severity 3. 17,902.&#10;Severity 4. 34,735.&#10; &#10;15 to 18.&#10;Severity 1. 3,362.&#10;Severity 2. 6,853.&#10;Severity 3. 18,104.&#10;Severity 4. 42,155.&#10;Severity 1. 5,546.&#10;Severity 2. 10,800.&#10;Severity 3. 25,005.&#10;Severity 4. 52,832.&#10; &#10;19 to 24.&#10;Severity 1. 3,362.&#10;Severity 2. 6,853.&#10;Severity 3. 18,104.&#10;Severity 4. 42,155.&#10;Severity 1. 5,546.&#10;Severity 2. 10,800.&#10;Severity 3. 25,005.&#10;Severity 4. 52,832.&#10; &#10;25 to 34.&#10;Severity 1. 3,362.&#10;Severity 2. 6,853.&#10;Severity 3. 22,112.&#10;Severity 4. 42,414.&#10;Severity 1. 5,546.&#10;Severity 2. 10,800.&#10;Severity 3. 25,005.&#10;Severity 4. 52,832.&#10; &#10;35 to 44.&#10;Severity 1. 3,362.&#10;Severity 2. 6,853.&#10;Severity 3. 22,112.&#10;Severity 4. 42,414.&#10;Severity 1. 5,546.&#10;Severity 2. 10,800.&#10;Severity 3. 25,005.&#10;Severity 4. 52,832.&#10; &#10;45 to 54.&#10;Severity 1. 3,362.&#10;Severity 2. 6,853.&#10;Severity 3. 22,112.&#10;Severity 4. 42,414.&#10;Severity 1. 5,546.&#10;Severity 2. 10,800.&#10;Severity 3. 25,005.&#10;Severity 4. 52,832.&#10; &#10;55 to 64.&#10;Severity 1. 3,362.&#10;Severity 2. 6,853.&#10;Severity 3. 22,112.&#10;Severity 4. 42,414.&#10;Severity 1. 5,546.&#10;Severity 2. 10,800.&#10;Severity 3. 25,005.&#10;Severity 4. 52,832.&#10; &#10;65+.&#10;Severity 1. 3,530.&#10;Severity 2. 7,196.&#10;Severity 3. 30,007.&#10;Severity 4. 44,535.&#10;Severity 1. 5,546.&#10;Severity 2. 10,800.&#10;Severity 3. 25,005.&#10;Severity 4. 52,832.&#10;&#10;Projected payments in 2025&#10;&#10;0 to 6.&#10;Severity 1. 9,272,524.&#10;Severity 2. 4,281,977.&#10;Severity 3. 2,285,965.&#10;Severity 4. 3,365,023.&#10;Severity 1. 9,025,860.&#10;Severity 2. 7,569,951.&#10;Severity 3. 7,454,581.&#10;Severity 4. 3,520,526.&#10;&#10;7 to 14.&#10;Severity 1. 46,554,316.&#10;Severity 2. 50,908,886.&#10;Severity 3. 51,568,705.&#10;Severity 4. 47,895,309.&#10;Severity 1. 45,315,897.&#10;Severity 2. 54,339,593.&#10;Severity 3. 59,352,929.&#10;Severity 4. 50,108,632.&#10; &#10;15 to 18.&#10;Severity 1. 11,901,661.&#10;Severity 2. 27,092,347.&#10;Severity 3. 49,386,720.&#10;Severity 4. 63,808,048.&#10;Severity 1. 19,422,009.&#10;Severity 2. 42,235,613.&#10;Severity 3. 67,483,926.&#10;Severity 4. 79,112,071.&#10; &#10;19 to 24.&#10;Severity 1. 10,686,723.&#10;Severity 2. 41,041,021.&#10;Severity 3. 77,442,227.&#10;Severity 4. 111,206,602.&#10;Severity 1. 17,439,383.&#10;Severity 2. 63,980,898.&#10;Severity 3. 105,820,056.&#10;Severity 4. 137,878,917.&#10; &#10;25 to 34.&#10;Severity 1. 8,270,958.&#10;Severity 2. 52,721,720.&#10;Severity 3. 100,402,819.&#10;Severity 4. 169,574,120.&#10;Severity 1. 13,497,160.&#10;Severity 2. 82,190,523.&#10;Severity 3. 112,322,816.&#10;Severity 4. 208,963,591.&#10; &#10;35 to 44.&#10;Severity 1. 4,231,916.&#10;Severity 2. 32,199,866.&#10;Severity 3. 63,402,226.&#10;Severity 4. 113,211,852.&#10;Severity 1. 6,905,953.&#10;Severity 2. 50,197,980.&#10;Severity 3. 70,929,449.&#10;Severity 4. 139,509,231.&#10; &#10;45 to 54.&#10;Severity 1. 3,032,008.&#10;Severity 2. 21,607,371.&#10;Severity 3. 48,103,727.&#10;Severity 4. 71,970,190.&#10;Severity 1. 4,947,854.&#10;Severity 2. 33,684,810.&#10;Severity 3. 53,814,685.&#10;Severity 4. 88,687,763.&#10; &#10;55 to 64.&#10;Severity 1. 2,559,621.&#10;Severity 2. 16,961,359.&#10;Severity 3. 38,585,799.&#10;Severity 4. 77,917,894.&#10;Severity 1. 4,176,978.&#10;Severity 2. 26,441,911.&#10;Severity 3. 43,166,772.&#10;Severity 4. 96,017,028.&#10; &#10;65+.&#10;Severity 1. 759,722.&#10;Severity 2. 6,015,877.&#10;Severity 3. 20,674,031.&#10;Severity 4. 43,834,451.&#10;Severity 1. 1,216,156.&#10;Severity 2. 9,199,814.&#10;Severity 3. 17,554,926.&#10;Severity 4. 52,98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verage support assumptions&#10;&#10;0 to 6.&#10;Severity 1. 3,362.&#10;Severity 2. 4,138.&#10;Severity 3. 5,431.&#10;Severity 4. 32,845.&#10;Severity 1. 3,308.&#10;Severity 2. 7,395.&#10;Severity 3. 17,902.&#10;Severity 4. 34,735.&#10;&#10;7 to 14.&#10;Severity 1. 3,362.&#10;Severity 2. 6,853.&#10;Severity 3. 15,388.&#10;Severity 4. 32,845.&#10;Severity 1. 3,308.&#10;Severity 2. 7,395.&#10;Severity 3. 17,902.&#10;Severity 4. 34,735.&#10; &#10;15 to 18.&#10;Severity 1. 3,362.&#10;Severity 2. 6,853.&#10;Severity 3. 18,104.&#10;Severity 4. 42,155.&#10;Severity 1. 5,546.&#10;Severity 2. 10,800.&#10;Severity 3. 25,005.&#10;Severity 4. 52,832.&#10; &#10;19 to 24.&#10;Severity 1. 3,362.&#10;Severity 2. 6,853.&#10;Severity 3. 18,104.&#10;Severity 4. 42,155.&#10;Severity 1. 5,546.&#10;Severity 2. 10,800.&#10;Severity 3. 25,005.&#10;Severity 4. 52,832.&#10; &#10;25 to 34.&#10;Severity 1. 3,362.&#10;Severity 2. 6,853.&#10;Severity 3. 22,112.&#10;Severity 4. 42,414.&#10;Severity 1. 5,546.&#10;Severity 2. 10,800.&#10;Severity 3. 25,005.&#10;Severity 4. 52,832.&#10; &#10;35 to 44.&#10;Severity 1. 3,362.&#10;Severity 2. 6,853.&#10;Severity 3. 22,112.&#10;Severity 4. 42,414.&#10;Severity 1. 5,546.&#10;Severity 2. 10,800.&#10;Severity 3. 25,005.&#10;Severity 4. 52,832.&#10; &#10;45 to 54.&#10;Severity 1. 3,362.&#10;Severity 2. 6,853.&#10;Severity 3. 22,112.&#10;Severity 4. 42,414.&#10;Severity 1. 5,546.&#10;Severity 2. 10,800.&#10;Severity 3. 25,005.&#10;Severity 4. 52,832.&#10; &#10;55 to 64.&#10;Severity 1. 3,362.&#10;Severity 2. 6,853.&#10;Severity 3. 22,112.&#10;Severity 4. 42,414.&#10;Severity 1. 5,546.&#10;Severity 2. 10,800.&#10;Severity 3. 25,005.&#10;Severity 4. 52,832.&#10; &#10;65+.&#10;Severity 1. 3,530.&#10;Severity 2. 7,196.&#10;Severity 3. 30,007.&#10;Severity 4. 44,535.&#10;Severity 1. 5,546.&#10;Severity 2. 10,800.&#10;Severity 3. 25,005.&#10;Severity 4. 52,832.&#10;&#10;Projected payments in 2025&#10;&#10;0 to 6.&#10;Severity 1. 9,272,524.&#10;Severity 2. 4,281,977.&#10;Severity 3. 2,285,965.&#10;Severity 4. 3,365,023.&#10;Severity 1. 9,025,860.&#10;Severity 2. 7,569,951.&#10;Severity 3. 7,454,581.&#10;Severity 4. 3,520,526.&#10;&#10;7 to 14.&#10;Severity 1. 46,554,316.&#10;Severity 2. 50,908,886.&#10;Severity 3. 51,568,705.&#10;Severity 4. 47,895,309.&#10;Severity 1. 45,315,897.&#10;Severity 2. 54,339,593.&#10;Severity 3. 59,352,929.&#10;Severity 4. 50,108,632.&#10; &#10;15 to 18.&#10;Severity 1. 11,901,661.&#10;Severity 2. 27,092,347.&#10;Severity 3. 49,386,720.&#10;Severity 4. 63,808,048.&#10;Severity 1. 19,422,009.&#10;Severity 2. 42,235,613.&#10;Severity 3. 67,483,926.&#10;Severity 4. 79,112,071.&#10; &#10;19 to 24.&#10;Severity 1. 10,686,723.&#10;Severity 2. 41,041,021.&#10;Severity 3. 77,442,227.&#10;Severity 4. 111,206,602.&#10;Severity 1. 17,439,383.&#10;Severity 2. 63,980,898.&#10;Severity 3. 105,820,056.&#10;Severity 4. 137,878,917.&#10; &#10;25 to 34.&#10;Severity 1. 8,270,958.&#10;Severity 2. 52,721,720.&#10;Severity 3. 100,402,819.&#10;Severity 4. 169,574,120.&#10;Severity 1. 13,497,160.&#10;Severity 2. 82,190,523.&#10;Severity 3. 112,322,816.&#10;Severity 4. 208,963,591.&#10; &#10;35 to 44.&#10;Severity 1. 4,231,916.&#10;Severity 2. 32,199,866.&#10;Severity 3. 63,402,226.&#10;Severity 4. 113,211,852.&#10;Severity 1. 6,905,953.&#10;Severity 2. 50,197,980.&#10;Severity 3. 70,929,449.&#10;Severity 4. 139,509,231.&#10; &#10;45 to 54.&#10;Severity 1. 3,032,008.&#10;Severity 2. 21,607,371.&#10;Severity 3. 48,103,727.&#10;Severity 4. 71,970,190.&#10;Severity 1. 4,947,854.&#10;Severity 2. 33,684,810.&#10;Severity 3. 53,814,685.&#10;Severity 4. 88,687,763.&#10; &#10;55 to 64.&#10;Severity 1. 2,559,621.&#10;Severity 2. 16,961,359.&#10;Severity 3. 38,585,799.&#10;Severity 4. 77,917,894.&#10;Severity 1. 4,176,978.&#10;Severity 2. 26,441,911.&#10;Severity 3. 43,166,772.&#10;Severity 4. 96,017,028.&#10; &#10;65+.&#10;Severity 1. 759,722.&#10;Severity 2. 6,015,877.&#10;Severity 3. 20,674,031.&#10;Severity 4. 43,834,451.&#10;Severity 1. 1,216,156.&#10;Severity 2. 9,199,814.&#10;Severity 3. 17,554,926.&#10;Severity 4. 52,987,637."/>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5976620" cy="1878330"/>
                    </a:xfrm>
                    <a:prstGeom prst="rect">
                      <a:avLst/>
                    </a:prstGeom>
                    <a:noFill/>
                    <a:ln>
                      <a:noFill/>
                    </a:ln>
                  </pic:spPr>
                </pic:pic>
              </a:graphicData>
            </a:graphic>
          </wp:inline>
        </w:drawing>
      </w:r>
    </w:p>
    <w:p w14:paraId="036E956B" w14:textId="59F7F389" w:rsidR="00A520C9" w:rsidRDefault="00A520C9" w:rsidP="00A520C9">
      <w:r w:rsidRPr="00466A65">
        <w:t xml:space="preserve">The Scheme Actuary has increased the average support assumptions for participants across all age groups and severity levels compared to the </w:t>
      </w:r>
      <w:r w:rsidR="00D320CF">
        <w:t>2018-19 AFSR</w:t>
      </w:r>
      <w:r w:rsidRPr="00466A65">
        <w:t>, except for Severity 3 participants aged 65+. For people with the same severity level, the Scheme Actuary has also maintained the assumption that costs for people aged 18+ will stay constant as they age. Combining the assumption changes with</w:t>
      </w:r>
      <w:r w:rsidR="006A743C">
        <w:t xml:space="preserve"> the</w:t>
      </w:r>
      <w:r w:rsidRPr="00466A65">
        <w:t xml:space="preserve"> number of participants in each subgroup, </w:t>
      </w:r>
      <w:r w:rsidR="00963BE7">
        <w:t>for people with intellectual disabilities,</w:t>
      </w:r>
      <w:r w:rsidR="00963BE7" w:rsidRPr="00466A65">
        <w:t xml:space="preserve"> </w:t>
      </w:r>
      <w:r w:rsidRPr="00466A65">
        <w:t>participants aged 19 to 34 have the largest influence on projected payments.</w:t>
      </w:r>
    </w:p>
    <w:p w14:paraId="0CD52841" w14:textId="77777777" w:rsidR="00821223" w:rsidRPr="00466A65" w:rsidRDefault="00821223" w:rsidP="00A520C9"/>
    <w:p w14:paraId="4466DCD3" w14:textId="77777777" w:rsidR="00A520C9" w:rsidRDefault="00A520C9" w:rsidP="00A520C9">
      <w:pPr>
        <w:pStyle w:val="Heading3"/>
      </w:pPr>
      <w:r>
        <w:rPr>
          <w:lang w:eastAsia="en-GB"/>
        </w:rPr>
        <w:t>Cost for new entrants</w:t>
      </w:r>
    </w:p>
    <w:p w14:paraId="5A7D2784" w14:textId="27CBD03F" w:rsidR="00A520C9" w:rsidRDefault="00A520C9" w:rsidP="00A520C9">
      <w:pPr>
        <w:spacing w:before="0" w:after="160" w:line="259" w:lineRule="auto"/>
        <w:rPr>
          <w:rFonts w:asciiTheme="majorHAnsi" w:eastAsiaTheme="majorEastAsia" w:hAnsiTheme="majorHAnsi" w:cstheme="majorBidi"/>
          <w:color w:val="006EC8" w:themeColor="accent1"/>
          <w:sz w:val="28"/>
          <w:szCs w:val="28"/>
        </w:rPr>
      </w:pPr>
      <w:r>
        <w:t xml:space="preserve">The Scheme Actuary has analysed the amount of support that new entrants have been receiving relative to existing participants at the same time after they joined. They have concluded that even after adjusting for functional and age effects, new entrants are requiring less support and hence </w:t>
      </w:r>
      <w:r w:rsidR="006A743C">
        <w:t xml:space="preserve">they </w:t>
      </w:r>
      <w:r>
        <w:t xml:space="preserve">have reduced projected payments for new entrants by 8.4% relative to existing participants. </w:t>
      </w:r>
      <w:r>
        <w:br w:type="page"/>
      </w:r>
    </w:p>
    <w:p w14:paraId="0E61E4EC" w14:textId="77777777" w:rsidR="00A520C9" w:rsidRDefault="00A520C9" w:rsidP="00A520C9">
      <w:pPr>
        <w:pStyle w:val="Heading2"/>
      </w:pPr>
      <w:bookmarkStart w:id="223" w:name="_Toc83828731"/>
      <w:bookmarkStart w:id="224" w:name="_Toc83828759"/>
      <w:bookmarkStart w:id="225" w:name="_Toc83997777"/>
      <w:bookmarkStart w:id="226" w:name="_Toc87700483"/>
      <w:bookmarkStart w:id="227" w:name="_Toc88686135"/>
      <w:r>
        <w:t>Cost Escalation</w:t>
      </w:r>
      <w:bookmarkEnd w:id="223"/>
      <w:bookmarkEnd w:id="224"/>
      <w:bookmarkEnd w:id="225"/>
      <w:r>
        <w:t xml:space="preserve"> (beyond June 2021)</w:t>
      </w:r>
      <w:bookmarkEnd w:id="226"/>
      <w:bookmarkEnd w:id="227"/>
    </w:p>
    <w:tbl>
      <w:tblPr>
        <w:tblStyle w:val="ListTable1Light-Accent1"/>
        <w:tblW w:w="0" w:type="auto"/>
        <w:tblLook w:val="0620" w:firstRow="1" w:lastRow="0" w:firstColumn="0" w:lastColumn="0" w:noHBand="1" w:noVBand="1"/>
      </w:tblPr>
      <w:tblGrid>
        <w:gridCol w:w="3402"/>
        <w:gridCol w:w="1701"/>
        <w:gridCol w:w="1701"/>
      </w:tblGrid>
      <w:tr w:rsidR="00A520C9" w:rsidRPr="00965FA7" w14:paraId="14C1123F" w14:textId="77777777" w:rsidTr="003F577D">
        <w:trPr>
          <w:cnfStyle w:val="100000000000" w:firstRow="1" w:lastRow="0" w:firstColumn="0" w:lastColumn="0" w:oddVBand="0" w:evenVBand="0" w:oddHBand="0" w:evenHBand="0" w:firstRowFirstColumn="0" w:firstRowLastColumn="0" w:lastRowFirstColumn="0" w:lastRowLastColumn="0"/>
          <w:tblHeader/>
        </w:trPr>
        <w:tc>
          <w:tcPr>
            <w:tcW w:w="3402" w:type="dxa"/>
            <w:tcBorders>
              <w:bottom w:val="none" w:sz="0" w:space="0" w:color="auto"/>
            </w:tcBorders>
            <w:shd w:val="clear" w:color="auto" w:fill="C1E3FF" w:themeFill="accent1" w:themeFillTint="33"/>
          </w:tcPr>
          <w:p w14:paraId="5C97EFC6" w14:textId="77777777" w:rsidR="00A520C9" w:rsidRDefault="00A520C9" w:rsidP="00DA0930">
            <w:pPr>
              <w:keepNext/>
            </w:pPr>
          </w:p>
        </w:tc>
        <w:tc>
          <w:tcPr>
            <w:tcW w:w="1701" w:type="dxa"/>
            <w:tcBorders>
              <w:bottom w:val="none" w:sz="0" w:space="0" w:color="auto"/>
            </w:tcBorders>
            <w:shd w:val="clear" w:color="auto" w:fill="C1E3FF" w:themeFill="accent1" w:themeFillTint="33"/>
          </w:tcPr>
          <w:p w14:paraId="4BD6680E" w14:textId="77777777" w:rsidR="00A520C9" w:rsidRPr="00965FA7" w:rsidRDefault="00A520C9" w:rsidP="00DA0930">
            <w:pPr>
              <w:keepNext/>
              <w:jc w:val="right"/>
              <w:rPr>
                <w:b w:val="0"/>
                <w:bCs w:val="0"/>
              </w:rPr>
            </w:pPr>
            <w:r w:rsidRPr="00965FA7">
              <w:t>2024-25</w:t>
            </w:r>
          </w:p>
        </w:tc>
        <w:tc>
          <w:tcPr>
            <w:tcW w:w="1701" w:type="dxa"/>
            <w:tcBorders>
              <w:bottom w:val="none" w:sz="0" w:space="0" w:color="auto"/>
            </w:tcBorders>
            <w:shd w:val="clear" w:color="auto" w:fill="C1E3FF" w:themeFill="accent1" w:themeFillTint="33"/>
          </w:tcPr>
          <w:p w14:paraId="7B62B4DA" w14:textId="148206DF" w:rsidR="00A520C9" w:rsidRPr="002F1030" w:rsidRDefault="002F1030" w:rsidP="00DA0930">
            <w:pPr>
              <w:keepNext/>
              <w:jc w:val="right"/>
              <w:rPr>
                <w:b w:val="0"/>
                <w:bCs w:val="0"/>
              </w:rPr>
            </w:pPr>
            <w:r w:rsidRPr="002F1030">
              <w:t>20</w:t>
            </w:r>
            <w:r w:rsidRPr="002A687C">
              <w:t>29</w:t>
            </w:r>
            <w:r w:rsidR="00A520C9" w:rsidRPr="002F1030">
              <w:t>-</w:t>
            </w:r>
            <w:r w:rsidRPr="002F1030">
              <w:t>3</w:t>
            </w:r>
            <w:r w:rsidRPr="002A687C">
              <w:t>0</w:t>
            </w:r>
          </w:p>
        </w:tc>
      </w:tr>
      <w:tr w:rsidR="00A520C9" w14:paraId="6E103332" w14:textId="77777777" w:rsidTr="00137FBA">
        <w:tc>
          <w:tcPr>
            <w:tcW w:w="3402" w:type="dxa"/>
            <w:shd w:val="clear" w:color="auto" w:fill="C1E3FF" w:themeFill="accent1" w:themeFillTint="33"/>
          </w:tcPr>
          <w:p w14:paraId="4DE5C8E3" w14:textId="77777777" w:rsidR="00A520C9" w:rsidRDefault="00A520C9" w:rsidP="00DA0930">
            <w:r>
              <w:t>Change due to assumptions around cost escalation</w:t>
            </w:r>
          </w:p>
        </w:tc>
        <w:tc>
          <w:tcPr>
            <w:tcW w:w="1701" w:type="dxa"/>
            <w:shd w:val="clear" w:color="auto" w:fill="C1E3FF" w:themeFill="accent1" w:themeFillTint="33"/>
          </w:tcPr>
          <w:p w14:paraId="035889AE" w14:textId="77777777" w:rsidR="00A520C9" w:rsidRDefault="00A520C9" w:rsidP="00DA0930">
            <w:pPr>
              <w:jc w:val="right"/>
            </w:pPr>
            <w:r>
              <w:t>+$5.5B</w:t>
            </w:r>
          </w:p>
        </w:tc>
        <w:tc>
          <w:tcPr>
            <w:tcW w:w="1701" w:type="dxa"/>
            <w:shd w:val="clear" w:color="auto" w:fill="C1E3FF" w:themeFill="accent1" w:themeFillTint="33"/>
          </w:tcPr>
          <w:p w14:paraId="76A68A2F" w14:textId="5B4E5A0C" w:rsidR="00A520C9" w:rsidRPr="002F1030" w:rsidRDefault="00A520C9" w:rsidP="00DA0930">
            <w:pPr>
              <w:jc w:val="right"/>
            </w:pPr>
            <w:r w:rsidRPr="002F1030">
              <w:t>+$6.</w:t>
            </w:r>
            <w:r w:rsidR="002F1030" w:rsidRPr="002A687C">
              <w:t>1</w:t>
            </w:r>
            <w:r w:rsidR="002F1030" w:rsidRPr="002F1030">
              <w:t>B</w:t>
            </w:r>
          </w:p>
        </w:tc>
      </w:tr>
    </w:tbl>
    <w:p w14:paraId="7E88E465" w14:textId="33A79B38" w:rsidR="00A520C9" w:rsidRDefault="00A520C9" w:rsidP="00A520C9">
      <w:r>
        <w:t xml:space="preserve">Changes in cost escalation assumptions (incorporated in the model as inflation, superimposed inflation and other adjustments) are a significant contributor to the higher projected payments leading to a $5.5B increase in 2024-25 and </w:t>
      </w:r>
      <w:r w:rsidRPr="002F1030">
        <w:t>$6.</w:t>
      </w:r>
      <w:r w:rsidR="002F1030" w:rsidRPr="002A687C">
        <w:t>1</w:t>
      </w:r>
      <w:r w:rsidR="002F1030" w:rsidRPr="002F1030">
        <w:t xml:space="preserve">B </w:t>
      </w:r>
      <w:r w:rsidRPr="002F1030">
        <w:t>in 20</w:t>
      </w:r>
      <w:r w:rsidR="002F1030" w:rsidRPr="002F1030">
        <w:t>29-30</w:t>
      </w:r>
      <w:r>
        <w:t xml:space="preserve">. </w:t>
      </w:r>
      <w:r>
        <w:fldChar w:fldCharType="begin"/>
      </w:r>
      <w:r>
        <w:instrText xml:space="preserve"> REF _Ref83656238 \h </w:instrText>
      </w:r>
      <w:r>
        <w:fldChar w:fldCharType="separate"/>
      </w:r>
      <w:r w:rsidR="00E6217F">
        <w:t xml:space="preserve">Table </w:t>
      </w:r>
      <w:r w:rsidR="00E6217F">
        <w:rPr>
          <w:noProof/>
        </w:rPr>
        <w:t>5</w:t>
      </w:r>
      <w:r w:rsidR="00E6217F">
        <w:t>.</w:t>
      </w:r>
      <w:r w:rsidR="00E6217F">
        <w:rPr>
          <w:noProof/>
        </w:rPr>
        <w:t>8</w:t>
      </w:r>
      <w:r>
        <w:fldChar w:fldCharType="end"/>
      </w:r>
      <w:r>
        <w:t xml:space="preserve"> shows that most of this relates to Daily Activities and Social, Community and Civic supports.</w:t>
      </w:r>
    </w:p>
    <w:p w14:paraId="64AEF1CC" w14:textId="59E7AD24" w:rsidR="00A520C9" w:rsidRDefault="00A520C9" w:rsidP="00A520C9">
      <w:pPr>
        <w:pStyle w:val="Caption"/>
      </w:pPr>
      <w:bookmarkStart w:id="228" w:name="_Ref83656238"/>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8</w:t>
      </w:r>
      <w:r w:rsidR="007F6BE8">
        <w:fldChar w:fldCharType="end"/>
      </w:r>
      <w:bookmarkEnd w:id="228"/>
      <w:r>
        <w:t xml:space="preserve"> – Breakdown o</w:t>
      </w:r>
      <w:r w:rsidR="00E96424">
        <w:t>f</w:t>
      </w:r>
      <w:r>
        <w:t xml:space="preserve"> increase in projected payments: Cost inflation ($B)</w:t>
      </w:r>
    </w:p>
    <w:tbl>
      <w:tblPr>
        <w:tblStyle w:val="TFBlue"/>
        <w:tblW w:w="6420" w:type="dxa"/>
        <w:tblLook w:val="04E0" w:firstRow="1" w:lastRow="1" w:firstColumn="1" w:lastColumn="0" w:noHBand="0" w:noVBand="1"/>
      </w:tblPr>
      <w:tblGrid>
        <w:gridCol w:w="2936"/>
        <w:gridCol w:w="1811"/>
        <w:gridCol w:w="1673"/>
      </w:tblGrid>
      <w:tr w:rsidR="00A520C9" w:rsidRPr="00DD143E" w14:paraId="40351DD7" w14:textId="77777777" w:rsidTr="00DA0930">
        <w:trPr>
          <w:cnfStyle w:val="100000000000" w:firstRow="1" w:lastRow="0" w:firstColumn="0" w:lastColumn="0" w:oddVBand="0" w:evenVBand="0" w:oddHBand="0" w:evenHBand="0" w:firstRowFirstColumn="0" w:firstRowLastColumn="0" w:lastRowFirstColumn="0" w:lastRowLastColumn="0"/>
          <w:trHeight w:val="367"/>
        </w:trPr>
        <w:tc>
          <w:tcPr>
            <w:tcW w:w="2936" w:type="dxa"/>
            <w:noWrap/>
            <w:hideMark/>
          </w:tcPr>
          <w:p w14:paraId="267F09BC" w14:textId="77777777" w:rsidR="00A520C9" w:rsidRPr="00DD143E" w:rsidRDefault="00A520C9" w:rsidP="00DA0930">
            <w:pPr>
              <w:spacing w:before="0" w:after="0"/>
              <w:rPr>
                <w:rFonts w:ascii="Blanco" w:eastAsia="Times New Roman" w:hAnsi="Blanco" w:cs="Times New Roman"/>
                <w:bCs/>
                <w:color w:val="231F20"/>
                <w:szCs w:val="21"/>
                <w:lang w:eastAsia="en-GB"/>
              </w:rPr>
            </w:pPr>
            <w:r w:rsidRPr="00DD143E">
              <w:rPr>
                <w:rFonts w:ascii="Blanco" w:eastAsia="Times New Roman" w:hAnsi="Blanco" w:cs="Times New Roman"/>
                <w:bCs/>
                <w:color w:val="231F20"/>
                <w:szCs w:val="21"/>
                <w:lang w:eastAsia="en-GB"/>
              </w:rPr>
              <w:t>Support Category</w:t>
            </w:r>
          </w:p>
        </w:tc>
        <w:tc>
          <w:tcPr>
            <w:tcW w:w="1811" w:type="dxa"/>
            <w:hideMark/>
          </w:tcPr>
          <w:p w14:paraId="72A536FA" w14:textId="77777777" w:rsidR="00A520C9" w:rsidRPr="00DD143E" w:rsidRDefault="00A520C9" w:rsidP="00DA0930">
            <w:pPr>
              <w:spacing w:before="0" w:after="0"/>
              <w:jc w:val="center"/>
              <w:rPr>
                <w:rFonts w:ascii="Blanco" w:eastAsia="Times New Roman" w:hAnsi="Blanco" w:cs="Times New Roman"/>
                <w:bCs/>
                <w:color w:val="231F20"/>
                <w:szCs w:val="21"/>
                <w:lang w:eastAsia="en-GB"/>
              </w:rPr>
            </w:pPr>
            <w:r w:rsidRPr="00DD143E">
              <w:rPr>
                <w:rFonts w:ascii="Blanco" w:eastAsia="Times New Roman" w:hAnsi="Blanco" w:cs="Times New Roman"/>
                <w:bCs/>
                <w:color w:val="231F20"/>
                <w:szCs w:val="21"/>
                <w:lang w:eastAsia="en-GB"/>
              </w:rPr>
              <w:t>Payments in 2024</w:t>
            </w:r>
            <w:r>
              <w:rPr>
                <w:rFonts w:ascii="Blanco" w:eastAsia="Times New Roman" w:hAnsi="Blanco" w:cs="Times New Roman"/>
                <w:bCs/>
                <w:color w:val="231F20"/>
                <w:szCs w:val="21"/>
                <w:lang w:eastAsia="en-GB"/>
              </w:rPr>
              <w:t>-</w:t>
            </w:r>
            <w:r w:rsidRPr="00DD143E">
              <w:rPr>
                <w:rFonts w:ascii="Blanco" w:eastAsia="Times New Roman" w:hAnsi="Blanco" w:cs="Times New Roman"/>
                <w:bCs/>
                <w:color w:val="231F20"/>
                <w:szCs w:val="21"/>
                <w:lang w:eastAsia="en-GB"/>
              </w:rPr>
              <w:t>25</w:t>
            </w:r>
          </w:p>
        </w:tc>
        <w:tc>
          <w:tcPr>
            <w:tcW w:w="1673" w:type="dxa"/>
            <w:hideMark/>
          </w:tcPr>
          <w:p w14:paraId="473B122D" w14:textId="424316D8" w:rsidR="00A520C9" w:rsidRPr="002F1030" w:rsidRDefault="00A520C9" w:rsidP="00DA0930">
            <w:pPr>
              <w:spacing w:before="0" w:after="0"/>
              <w:jc w:val="center"/>
              <w:rPr>
                <w:rFonts w:ascii="Blanco" w:eastAsia="Times New Roman" w:hAnsi="Blanco" w:cs="Times New Roman"/>
                <w:bCs/>
                <w:color w:val="231F20"/>
                <w:szCs w:val="21"/>
                <w:lang w:eastAsia="en-GB"/>
              </w:rPr>
            </w:pPr>
            <w:r w:rsidRPr="002F1030">
              <w:rPr>
                <w:rFonts w:ascii="Blanco" w:eastAsia="Times New Roman" w:hAnsi="Blanco" w:cs="Times New Roman"/>
                <w:bCs/>
                <w:color w:val="231F20"/>
                <w:szCs w:val="21"/>
                <w:lang w:eastAsia="en-GB"/>
              </w:rPr>
              <w:t xml:space="preserve">Payments in </w:t>
            </w:r>
            <w:r w:rsidR="002F1030" w:rsidRPr="002F1030">
              <w:rPr>
                <w:rFonts w:ascii="Blanco" w:eastAsia="Times New Roman" w:hAnsi="Blanco" w:cs="Times New Roman"/>
                <w:bCs/>
                <w:color w:val="231F20"/>
                <w:szCs w:val="21"/>
                <w:lang w:eastAsia="en-GB"/>
              </w:rPr>
              <w:t>20</w:t>
            </w:r>
            <w:r w:rsidR="002F1030" w:rsidRPr="002A687C">
              <w:rPr>
                <w:rFonts w:ascii="Blanco" w:eastAsia="Times New Roman" w:hAnsi="Blanco" w:cs="Times New Roman"/>
                <w:bCs/>
                <w:color w:val="231F20"/>
                <w:szCs w:val="21"/>
                <w:lang w:eastAsia="en-GB"/>
              </w:rPr>
              <w:t>29</w:t>
            </w:r>
            <w:r w:rsidRPr="002F1030">
              <w:rPr>
                <w:rFonts w:ascii="Blanco" w:eastAsia="Times New Roman" w:hAnsi="Blanco" w:cs="Times New Roman"/>
                <w:bCs/>
                <w:color w:val="231F20"/>
                <w:szCs w:val="21"/>
                <w:lang w:eastAsia="en-GB"/>
              </w:rPr>
              <w:t>-</w:t>
            </w:r>
            <w:r w:rsidR="002F1030" w:rsidRPr="002F1030">
              <w:rPr>
                <w:rFonts w:ascii="Blanco" w:eastAsia="Times New Roman" w:hAnsi="Blanco" w:cs="Times New Roman"/>
                <w:bCs/>
                <w:color w:val="231F20"/>
                <w:szCs w:val="21"/>
                <w:lang w:eastAsia="en-GB"/>
              </w:rPr>
              <w:t>3</w:t>
            </w:r>
            <w:r w:rsidR="002F1030" w:rsidRPr="002A687C">
              <w:rPr>
                <w:rFonts w:ascii="Blanco" w:eastAsia="Times New Roman" w:hAnsi="Blanco" w:cs="Times New Roman"/>
                <w:bCs/>
                <w:color w:val="231F20"/>
                <w:szCs w:val="21"/>
                <w:lang w:eastAsia="en-GB"/>
              </w:rPr>
              <w:t>0</w:t>
            </w:r>
          </w:p>
        </w:tc>
      </w:tr>
      <w:tr w:rsidR="00A520C9" w:rsidRPr="00DD143E" w14:paraId="4A05BCA2"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2936" w:type="dxa"/>
            <w:noWrap/>
            <w:hideMark/>
          </w:tcPr>
          <w:p w14:paraId="50C6A49C" w14:textId="77777777" w:rsidR="00A520C9" w:rsidRPr="00DD143E" w:rsidRDefault="00A520C9" w:rsidP="00DA0930">
            <w:pPr>
              <w:pStyle w:val="Tabletext"/>
              <w:rPr>
                <w:lang w:eastAsia="en-GB"/>
              </w:rPr>
            </w:pPr>
            <w:r w:rsidRPr="00DD143E">
              <w:rPr>
                <w:lang w:eastAsia="en-GB"/>
              </w:rPr>
              <w:t>Daily Activities</w:t>
            </w:r>
          </w:p>
        </w:tc>
        <w:tc>
          <w:tcPr>
            <w:tcW w:w="1811" w:type="dxa"/>
            <w:noWrap/>
            <w:hideMark/>
          </w:tcPr>
          <w:p w14:paraId="6FA5D6E6" w14:textId="77777777" w:rsidR="00A520C9" w:rsidRPr="00DD143E" w:rsidRDefault="00A520C9" w:rsidP="00DA0930">
            <w:pPr>
              <w:pStyle w:val="Tablenumbers"/>
              <w:jc w:val="center"/>
              <w:rPr>
                <w:lang w:eastAsia="en-GB"/>
              </w:rPr>
            </w:pPr>
            <w:r w:rsidRPr="00DD143E">
              <w:rPr>
                <w:lang w:eastAsia="en-GB"/>
              </w:rPr>
              <w:t>2.7</w:t>
            </w:r>
          </w:p>
        </w:tc>
        <w:tc>
          <w:tcPr>
            <w:tcW w:w="1673" w:type="dxa"/>
            <w:noWrap/>
            <w:hideMark/>
          </w:tcPr>
          <w:p w14:paraId="48323AC7" w14:textId="22D02B98" w:rsidR="00A520C9" w:rsidRPr="002F1030" w:rsidRDefault="00A520C9" w:rsidP="00DA0930">
            <w:pPr>
              <w:pStyle w:val="Tablenumbers"/>
              <w:jc w:val="center"/>
              <w:rPr>
                <w:lang w:eastAsia="en-GB"/>
              </w:rPr>
            </w:pPr>
            <w:r w:rsidRPr="002F1030">
              <w:rPr>
                <w:lang w:eastAsia="en-GB"/>
              </w:rPr>
              <w:t>3.</w:t>
            </w:r>
            <w:r w:rsidR="002F1030" w:rsidRPr="002A687C">
              <w:rPr>
                <w:lang w:eastAsia="en-GB"/>
              </w:rPr>
              <w:t>1</w:t>
            </w:r>
          </w:p>
        </w:tc>
      </w:tr>
      <w:tr w:rsidR="00A520C9" w:rsidRPr="00DD143E" w14:paraId="5F336313" w14:textId="77777777" w:rsidTr="00DA0930">
        <w:trPr>
          <w:trHeight w:val="360"/>
        </w:trPr>
        <w:tc>
          <w:tcPr>
            <w:tcW w:w="2936" w:type="dxa"/>
            <w:noWrap/>
            <w:hideMark/>
          </w:tcPr>
          <w:p w14:paraId="5922729C" w14:textId="77777777" w:rsidR="00A520C9" w:rsidRPr="00DD143E" w:rsidRDefault="00A520C9" w:rsidP="00DA0930">
            <w:pPr>
              <w:pStyle w:val="Tabletext"/>
              <w:rPr>
                <w:lang w:eastAsia="en-GB"/>
              </w:rPr>
            </w:pPr>
            <w:r w:rsidRPr="00DD143E">
              <w:rPr>
                <w:lang w:eastAsia="en-GB"/>
              </w:rPr>
              <w:t>Social</w:t>
            </w:r>
            <w:r>
              <w:rPr>
                <w:lang w:eastAsia="en-GB"/>
              </w:rPr>
              <w:t>,</w:t>
            </w:r>
            <w:r w:rsidRPr="00DD143E">
              <w:rPr>
                <w:lang w:eastAsia="en-GB"/>
              </w:rPr>
              <w:t xml:space="preserve"> Community </w:t>
            </w:r>
            <w:r>
              <w:rPr>
                <w:lang w:eastAsia="en-GB"/>
              </w:rPr>
              <w:t xml:space="preserve">and </w:t>
            </w:r>
            <w:r w:rsidRPr="00DD143E">
              <w:rPr>
                <w:lang w:eastAsia="en-GB"/>
              </w:rPr>
              <w:t>Civic</w:t>
            </w:r>
          </w:p>
        </w:tc>
        <w:tc>
          <w:tcPr>
            <w:tcW w:w="1811" w:type="dxa"/>
            <w:noWrap/>
            <w:hideMark/>
          </w:tcPr>
          <w:p w14:paraId="1993A9C2" w14:textId="77777777" w:rsidR="00A520C9" w:rsidRPr="00DD143E" w:rsidRDefault="00A520C9" w:rsidP="00DA0930">
            <w:pPr>
              <w:pStyle w:val="Tablenumbers"/>
              <w:jc w:val="center"/>
              <w:rPr>
                <w:lang w:eastAsia="en-GB"/>
              </w:rPr>
            </w:pPr>
            <w:r w:rsidRPr="00DD143E">
              <w:rPr>
                <w:lang w:eastAsia="en-GB"/>
              </w:rPr>
              <w:t>1.3</w:t>
            </w:r>
          </w:p>
        </w:tc>
        <w:tc>
          <w:tcPr>
            <w:tcW w:w="1673" w:type="dxa"/>
            <w:noWrap/>
            <w:hideMark/>
          </w:tcPr>
          <w:p w14:paraId="50E43E35" w14:textId="272538DE" w:rsidR="00A520C9" w:rsidRPr="002F1030" w:rsidRDefault="002F1030" w:rsidP="00DA0930">
            <w:pPr>
              <w:pStyle w:val="Tablenumbers"/>
              <w:jc w:val="center"/>
              <w:rPr>
                <w:lang w:eastAsia="en-GB"/>
              </w:rPr>
            </w:pPr>
            <w:r w:rsidRPr="002A687C">
              <w:rPr>
                <w:lang w:eastAsia="en-GB"/>
              </w:rPr>
              <w:t>1.8</w:t>
            </w:r>
          </w:p>
        </w:tc>
      </w:tr>
      <w:tr w:rsidR="00A520C9" w:rsidRPr="00DD143E" w14:paraId="24A413DA"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2936" w:type="dxa"/>
            <w:noWrap/>
            <w:hideMark/>
          </w:tcPr>
          <w:p w14:paraId="516CB85A" w14:textId="77777777" w:rsidR="00A520C9" w:rsidRPr="00DD143E" w:rsidRDefault="00A520C9" w:rsidP="00DA0930">
            <w:pPr>
              <w:pStyle w:val="Tabletext"/>
              <w:rPr>
                <w:lang w:eastAsia="en-GB"/>
              </w:rPr>
            </w:pPr>
            <w:r w:rsidRPr="00DD143E">
              <w:rPr>
                <w:lang w:eastAsia="en-GB"/>
              </w:rPr>
              <w:t>CB Daily Activities</w:t>
            </w:r>
          </w:p>
        </w:tc>
        <w:tc>
          <w:tcPr>
            <w:tcW w:w="1811" w:type="dxa"/>
            <w:noWrap/>
            <w:hideMark/>
          </w:tcPr>
          <w:p w14:paraId="52E9367A" w14:textId="77777777" w:rsidR="00A520C9" w:rsidRPr="00DD143E" w:rsidRDefault="00A520C9" w:rsidP="00DA0930">
            <w:pPr>
              <w:pStyle w:val="Tablenumbers"/>
              <w:jc w:val="center"/>
              <w:rPr>
                <w:lang w:eastAsia="en-GB"/>
              </w:rPr>
            </w:pPr>
            <w:r w:rsidRPr="00DD143E">
              <w:rPr>
                <w:lang w:eastAsia="en-GB"/>
              </w:rPr>
              <w:t>0.5</w:t>
            </w:r>
          </w:p>
        </w:tc>
        <w:tc>
          <w:tcPr>
            <w:tcW w:w="1673" w:type="dxa"/>
            <w:noWrap/>
            <w:hideMark/>
          </w:tcPr>
          <w:p w14:paraId="57DBC1BB" w14:textId="5A035D89" w:rsidR="00A520C9" w:rsidRPr="002F1030" w:rsidRDefault="00A520C9" w:rsidP="00DA0930">
            <w:pPr>
              <w:pStyle w:val="Tablenumbers"/>
              <w:jc w:val="center"/>
              <w:rPr>
                <w:lang w:eastAsia="en-GB"/>
              </w:rPr>
            </w:pPr>
            <w:r w:rsidRPr="002F1030">
              <w:rPr>
                <w:lang w:eastAsia="en-GB"/>
              </w:rPr>
              <w:t>0.</w:t>
            </w:r>
            <w:r w:rsidR="002F1030" w:rsidRPr="002A687C">
              <w:rPr>
                <w:lang w:eastAsia="en-GB"/>
              </w:rPr>
              <w:t>2</w:t>
            </w:r>
          </w:p>
        </w:tc>
      </w:tr>
      <w:tr w:rsidR="00A520C9" w:rsidRPr="00DD143E" w14:paraId="0A2C7400" w14:textId="77777777" w:rsidTr="00DA0930">
        <w:trPr>
          <w:trHeight w:val="360"/>
        </w:trPr>
        <w:tc>
          <w:tcPr>
            <w:tcW w:w="2936" w:type="dxa"/>
            <w:noWrap/>
            <w:hideMark/>
          </w:tcPr>
          <w:p w14:paraId="459A61C5" w14:textId="77777777" w:rsidR="00A520C9" w:rsidRPr="00DD143E" w:rsidRDefault="00A520C9" w:rsidP="00DA0930">
            <w:pPr>
              <w:pStyle w:val="Tabletext"/>
              <w:rPr>
                <w:lang w:eastAsia="en-GB"/>
              </w:rPr>
            </w:pPr>
            <w:r w:rsidRPr="00DD143E">
              <w:rPr>
                <w:lang w:eastAsia="en-GB"/>
              </w:rPr>
              <w:t>CB Employment</w:t>
            </w:r>
          </w:p>
        </w:tc>
        <w:tc>
          <w:tcPr>
            <w:tcW w:w="1811" w:type="dxa"/>
            <w:noWrap/>
            <w:hideMark/>
          </w:tcPr>
          <w:p w14:paraId="4EA598A9" w14:textId="77777777" w:rsidR="00A520C9" w:rsidRPr="00DD143E" w:rsidRDefault="00A520C9" w:rsidP="00DA0930">
            <w:pPr>
              <w:pStyle w:val="Tablenumbers"/>
              <w:jc w:val="center"/>
              <w:rPr>
                <w:lang w:eastAsia="en-GB"/>
              </w:rPr>
            </w:pPr>
            <w:r w:rsidRPr="00DD143E">
              <w:rPr>
                <w:lang w:eastAsia="en-GB"/>
              </w:rPr>
              <w:t>0.3</w:t>
            </w:r>
          </w:p>
        </w:tc>
        <w:tc>
          <w:tcPr>
            <w:tcW w:w="1673" w:type="dxa"/>
            <w:noWrap/>
            <w:hideMark/>
          </w:tcPr>
          <w:p w14:paraId="41DE59EB" w14:textId="4E283626" w:rsidR="00A520C9" w:rsidRPr="002F1030" w:rsidRDefault="00A520C9" w:rsidP="00DA0930">
            <w:pPr>
              <w:pStyle w:val="Tablenumbers"/>
              <w:jc w:val="center"/>
              <w:rPr>
                <w:lang w:eastAsia="en-GB"/>
              </w:rPr>
            </w:pPr>
            <w:r w:rsidRPr="002F1030">
              <w:rPr>
                <w:lang w:eastAsia="en-GB"/>
              </w:rPr>
              <w:t>0.</w:t>
            </w:r>
            <w:r w:rsidR="002F1030" w:rsidRPr="002A687C">
              <w:rPr>
                <w:lang w:eastAsia="en-GB"/>
              </w:rPr>
              <w:t>4</w:t>
            </w:r>
          </w:p>
        </w:tc>
      </w:tr>
      <w:tr w:rsidR="00A520C9" w:rsidRPr="00DD143E" w14:paraId="010E46AF" w14:textId="77777777" w:rsidTr="00DA0930">
        <w:trPr>
          <w:cnfStyle w:val="000000100000" w:firstRow="0" w:lastRow="0" w:firstColumn="0" w:lastColumn="0" w:oddVBand="0" w:evenVBand="0" w:oddHBand="1" w:evenHBand="0" w:firstRowFirstColumn="0" w:firstRowLastColumn="0" w:lastRowFirstColumn="0" w:lastRowLastColumn="0"/>
          <w:trHeight w:val="360"/>
        </w:trPr>
        <w:tc>
          <w:tcPr>
            <w:tcW w:w="2936" w:type="dxa"/>
            <w:noWrap/>
            <w:hideMark/>
          </w:tcPr>
          <w:p w14:paraId="666ADF7E" w14:textId="77777777" w:rsidR="00A520C9" w:rsidRPr="00DD143E" w:rsidRDefault="00A520C9" w:rsidP="00DA0930">
            <w:pPr>
              <w:pStyle w:val="Tabletext"/>
              <w:rPr>
                <w:lang w:eastAsia="en-GB"/>
              </w:rPr>
            </w:pPr>
            <w:r w:rsidRPr="00DD143E">
              <w:rPr>
                <w:lang w:eastAsia="en-GB"/>
              </w:rPr>
              <w:t>Support Coordination</w:t>
            </w:r>
          </w:p>
        </w:tc>
        <w:tc>
          <w:tcPr>
            <w:tcW w:w="1811" w:type="dxa"/>
            <w:noWrap/>
            <w:hideMark/>
          </w:tcPr>
          <w:p w14:paraId="2D0CC728" w14:textId="77777777" w:rsidR="00A520C9" w:rsidRPr="00DD143E" w:rsidRDefault="00A520C9" w:rsidP="00DA0930">
            <w:pPr>
              <w:pStyle w:val="Tablenumbers"/>
              <w:jc w:val="center"/>
              <w:rPr>
                <w:lang w:eastAsia="en-GB"/>
              </w:rPr>
            </w:pPr>
            <w:r w:rsidRPr="00DD143E">
              <w:rPr>
                <w:lang w:eastAsia="en-GB"/>
              </w:rPr>
              <w:t>0.2</w:t>
            </w:r>
          </w:p>
        </w:tc>
        <w:tc>
          <w:tcPr>
            <w:tcW w:w="1673" w:type="dxa"/>
            <w:noWrap/>
            <w:hideMark/>
          </w:tcPr>
          <w:p w14:paraId="5E410FF6" w14:textId="77B2206D" w:rsidR="00A520C9" w:rsidRPr="002F1030" w:rsidRDefault="00A520C9" w:rsidP="00DA0930">
            <w:pPr>
              <w:pStyle w:val="Tablenumbers"/>
              <w:jc w:val="center"/>
              <w:rPr>
                <w:lang w:eastAsia="en-GB"/>
              </w:rPr>
            </w:pPr>
            <w:r w:rsidRPr="002F1030">
              <w:rPr>
                <w:lang w:eastAsia="en-GB"/>
              </w:rPr>
              <w:t>0.</w:t>
            </w:r>
            <w:r w:rsidR="002F1030" w:rsidRPr="002A687C">
              <w:rPr>
                <w:lang w:eastAsia="en-GB"/>
              </w:rPr>
              <w:t>3</w:t>
            </w:r>
          </w:p>
        </w:tc>
      </w:tr>
      <w:tr w:rsidR="00A520C9" w:rsidRPr="00DD143E" w14:paraId="6179034C" w14:textId="77777777" w:rsidTr="00DA0930">
        <w:trPr>
          <w:trHeight w:val="360"/>
        </w:trPr>
        <w:tc>
          <w:tcPr>
            <w:tcW w:w="2936" w:type="dxa"/>
            <w:noWrap/>
            <w:hideMark/>
          </w:tcPr>
          <w:p w14:paraId="1BBA53C9" w14:textId="77777777" w:rsidR="00A520C9" w:rsidRPr="00DD143E" w:rsidRDefault="00A520C9" w:rsidP="00DA0930">
            <w:pPr>
              <w:pStyle w:val="Tabletext"/>
              <w:rPr>
                <w:lang w:eastAsia="en-GB"/>
              </w:rPr>
            </w:pPr>
            <w:r w:rsidRPr="00DD143E">
              <w:rPr>
                <w:lang w:eastAsia="en-GB"/>
              </w:rPr>
              <w:t>Other supports</w:t>
            </w:r>
          </w:p>
        </w:tc>
        <w:tc>
          <w:tcPr>
            <w:tcW w:w="1811" w:type="dxa"/>
            <w:noWrap/>
            <w:hideMark/>
          </w:tcPr>
          <w:p w14:paraId="562CFFF0" w14:textId="77777777" w:rsidR="00A520C9" w:rsidRPr="00DD143E" w:rsidRDefault="00A520C9" w:rsidP="00DA0930">
            <w:pPr>
              <w:pStyle w:val="Tablenumbers"/>
              <w:jc w:val="center"/>
              <w:rPr>
                <w:lang w:eastAsia="en-GB"/>
              </w:rPr>
            </w:pPr>
            <w:r w:rsidRPr="00DD143E">
              <w:rPr>
                <w:lang w:eastAsia="en-GB"/>
              </w:rPr>
              <w:t>0.5</w:t>
            </w:r>
          </w:p>
        </w:tc>
        <w:tc>
          <w:tcPr>
            <w:tcW w:w="1673" w:type="dxa"/>
            <w:noWrap/>
            <w:hideMark/>
          </w:tcPr>
          <w:p w14:paraId="17638F31" w14:textId="0792E086" w:rsidR="00A520C9" w:rsidRPr="002F1030" w:rsidRDefault="00A520C9" w:rsidP="00DA0930">
            <w:pPr>
              <w:pStyle w:val="Tablenumbers"/>
              <w:jc w:val="center"/>
              <w:rPr>
                <w:lang w:eastAsia="en-GB"/>
              </w:rPr>
            </w:pPr>
            <w:r w:rsidRPr="002F1030">
              <w:rPr>
                <w:lang w:eastAsia="en-GB"/>
              </w:rPr>
              <w:t>0.</w:t>
            </w:r>
            <w:r w:rsidR="002F1030" w:rsidRPr="002A687C">
              <w:rPr>
                <w:lang w:eastAsia="en-GB"/>
              </w:rPr>
              <w:t>3</w:t>
            </w:r>
          </w:p>
        </w:tc>
      </w:tr>
      <w:tr w:rsidR="00A520C9" w:rsidRPr="00DD143E" w14:paraId="32E2D563" w14:textId="77777777" w:rsidTr="00DA0930">
        <w:trPr>
          <w:cnfStyle w:val="010000000000" w:firstRow="0" w:lastRow="1" w:firstColumn="0" w:lastColumn="0" w:oddVBand="0" w:evenVBand="0" w:oddHBand="0" w:evenHBand="0" w:firstRowFirstColumn="0" w:firstRowLastColumn="0" w:lastRowFirstColumn="0" w:lastRowLastColumn="0"/>
          <w:trHeight w:val="277"/>
        </w:trPr>
        <w:tc>
          <w:tcPr>
            <w:tcW w:w="2936" w:type="dxa"/>
            <w:noWrap/>
            <w:hideMark/>
          </w:tcPr>
          <w:p w14:paraId="7A8052CC" w14:textId="77777777" w:rsidR="00A520C9" w:rsidRPr="00DD143E" w:rsidRDefault="00A520C9" w:rsidP="00DA0930">
            <w:pPr>
              <w:spacing w:before="40" w:after="40"/>
              <w:rPr>
                <w:lang w:eastAsia="en-GB"/>
              </w:rPr>
            </w:pPr>
            <w:r w:rsidRPr="00DD143E">
              <w:rPr>
                <w:lang w:eastAsia="en-GB"/>
              </w:rPr>
              <w:t>Total</w:t>
            </w:r>
          </w:p>
        </w:tc>
        <w:tc>
          <w:tcPr>
            <w:tcW w:w="1811" w:type="dxa"/>
            <w:noWrap/>
            <w:hideMark/>
          </w:tcPr>
          <w:p w14:paraId="27F5544C" w14:textId="77777777" w:rsidR="00A520C9" w:rsidRPr="00DD143E" w:rsidRDefault="00A520C9" w:rsidP="00DA0930">
            <w:pPr>
              <w:pStyle w:val="Tablenumbers"/>
              <w:spacing w:before="40" w:after="40"/>
              <w:jc w:val="center"/>
              <w:rPr>
                <w:bCs/>
                <w:lang w:eastAsia="en-GB"/>
              </w:rPr>
            </w:pPr>
            <w:r w:rsidRPr="00DD143E">
              <w:rPr>
                <w:bCs/>
                <w:lang w:eastAsia="en-GB"/>
              </w:rPr>
              <w:t>5.5</w:t>
            </w:r>
          </w:p>
        </w:tc>
        <w:tc>
          <w:tcPr>
            <w:tcW w:w="1673" w:type="dxa"/>
            <w:noWrap/>
            <w:hideMark/>
          </w:tcPr>
          <w:p w14:paraId="09AFA893" w14:textId="28BC2FF3" w:rsidR="00A520C9" w:rsidRPr="002F1030" w:rsidRDefault="00A520C9" w:rsidP="00DA0930">
            <w:pPr>
              <w:pStyle w:val="Tablenumbers"/>
              <w:spacing w:before="40" w:after="40"/>
              <w:jc w:val="center"/>
              <w:rPr>
                <w:bCs/>
                <w:lang w:eastAsia="en-GB"/>
              </w:rPr>
            </w:pPr>
            <w:r w:rsidRPr="002F1030">
              <w:rPr>
                <w:bCs/>
                <w:lang w:eastAsia="en-GB"/>
              </w:rPr>
              <w:t>6.</w:t>
            </w:r>
            <w:r w:rsidR="002F1030" w:rsidRPr="002A687C">
              <w:rPr>
                <w:bCs/>
                <w:lang w:eastAsia="en-GB"/>
              </w:rPr>
              <w:t>1</w:t>
            </w:r>
          </w:p>
        </w:tc>
      </w:tr>
    </w:tbl>
    <w:p w14:paraId="43210377" w14:textId="0B182977" w:rsidR="00A520C9" w:rsidRDefault="00A520C9" w:rsidP="00A520C9">
      <w:r>
        <w:t xml:space="preserve">As discussed in section </w:t>
      </w:r>
      <w:r>
        <w:fldChar w:fldCharType="begin"/>
      </w:r>
      <w:r>
        <w:instrText xml:space="preserve"> REF _Ref83714389 \r \h </w:instrText>
      </w:r>
      <w:r>
        <w:fldChar w:fldCharType="separate"/>
      </w:r>
      <w:r w:rsidR="00E6217F">
        <w:t>4.6</w:t>
      </w:r>
      <w:r>
        <w:fldChar w:fldCharType="end"/>
      </w:r>
      <w:r>
        <w:t xml:space="preserve"> only part of the assumed cost escalation assumptions relates to price inflation, but for the purposes of measuring the impact of changes in escalation we have assumed that over the past two years price inflation is the only source of cost escalation. As the superimposed inflation allowance in the </w:t>
      </w:r>
      <w:r w:rsidR="00D320CF">
        <w:t>2018-19 AFSR</w:t>
      </w:r>
      <w:r>
        <w:t xml:space="preserve"> included both above inflationary price increases and non-price related increases</w:t>
      </w:r>
      <w:r w:rsidR="006A743C">
        <w:t>,</w:t>
      </w:r>
      <w:r>
        <w:t xml:space="preserve"> in order to compare the projections we have had to combine both base and superimposed inflation allowances.</w:t>
      </w:r>
    </w:p>
    <w:p w14:paraId="56DDDB37" w14:textId="68AF24F6" w:rsidR="00107B1F" w:rsidRDefault="00A520C9" w:rsidP="00DD21FB">
      <w:pPr>
        <w:rPr>
          <w:rFonts w:asciiTheme="majorHAnsi" w:eastAsiaTheme="majorEastAsia" w:hAnsiTheme="majorHAnsi" w:cstheme="majorBidi"/>
          <w:color w:val="006EC8" w:themeColor="accent1"/>
          <w:sz w:val="28"/>
          <w:szCs w:val="28"/>
        </w:rPr>
      </w:pPr>
      <w:r>
        <w:t>Price inflation over the past two years is based on the change in prices as per the NDIS price guide, which are then weighted by the mix of services to derive an overall level of inflation. We have compared the overall projected inflation (base and superimposed) for Daily Activities and Social, Community and Civic supports in the charts below.</w:t>
      </w:r>
    </w:p>
    <w:p w14:paraId="7D8CA8CD" w14:textId="77777777" w:rsidR="00107B1F" w:rsidRDefault="00107B1F" w:rsidP="00A520C9"/>
    <w:p w14:paraId="31ADBB88" w14:textId="64606EF4" w:rsidR="00A520C9" w:rsidRDefault="00A520C9" w:rsidP="00A520C9">
      <w:pPr>
        <w:pStyle w:val="Caption"/>
      </w:pPr>
      <w:r>
        <w:t xml:space="preserve">Figure </w:t>
      </w:r>
      <w:r w:rsidR="009366CE">
        <w:fldChar w:fldCharType="begin"/>
      </w:r>
      <w:r w:rsidR="009366CE">
        <w:instrText xml:space="preserve"> STYLEREF 1 \s </w:instrText>
      </w:r>
      <w:r w:rsidR="009366CE">
        <w:fldChar w:fldCharType="separate"/>
      </w:r>
      <w:r w:rsidR="00E6217F">
        <w:rPr>
          <w:noProof/>
        </w:rPr>
        <w:t>5</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9</w:t>
      </w:r>
      <w:r w:rsidR="009366CE">
        <w:fldChar w:fldCharType="end"/>
      </w:r>
      <w:r>
        <w:t xml:space="preserve"> – Cost inflation assumption comparison: Daily Activities</w:t>
      </w:r>
    </w:p>
    <w:p w14:paraId="14DB0305" w14:textId="1DC5B062" w:rsidR="002F1030" w:rsidRDefault="002F1030" w:rsidP="00A520C9">
      <w:pPr>
        <w:spacing w:before="0" w:after="160" w:line="259" w:lineRule="auto"/>
      </w:pPr>
      <w:r w:rsidRPr="002F1030">
        <w:rPr>
          <w:noProof/>
        </w:rPr>
        <w:drawing>
          <wp:inline distT="0" distB="0" distL="0" distR="0" wp14:anchorId="7BC0BD44" wp14:editId="20F290A9">
            <wp:extent cx="5216525" cy="3044190"/>
            <wp:effectExtent l="0" t="0" r="3175" b="3810"/>
            <wp:docPr id="63" name="Picture 63" descr="2020.&#10;Non-SIL: 2019 AFSR. Cost inflation.  127%.&#10;Non-SIL: 2021 AFSR. -.&#10;SIL: 2019 AFSR. 100%.&#10;SIL: 2021 AFSR. - .&#10;Actual. 113%.&#10;&#10;&#10;2021.&#10;Non-SIL: 2019 AFSR. 127%.&#10;Non-SIL: 2021 AFSR. -.&#10;SIL: 2019 AFSR. 106%.&#10;SIL: 2021 AFSR. - .&#10;Actual. 116%.&#10;&#10;&#10;2022.&#10;Non-SIL: 2019 AFSR. 131%.&#10;Non-SIL: 2021 AFSR. 127%.&#10;SIL: 2019 AFSR. 112%.&#10;SIL: 2021 AFSR. 127%.&#10;Actual. -.&#10;&#10;&#10;2023.&#10;Non-SIL: 2019 AFSR. 134%.&#10;Non-SIL: 2021 AFSR. 139%.&#10;SIL: 2019 AFSR. 117%.&#10;SIL: 2021 AFSR. 131%.&#10;Actual. -.&#10;&#10;&#10;2024.&#10;Non-SIL: 2019 AFSR. 138%.&#10;Non-SIL: 2021 AFSR. 149%.&#10;SIL: 2019 AFSR. 123%.&#10;SIL: 2021 AFSR. 135%.&#10;Actual. -.&#10;&#10;&#10;2025.&#10;Non-SIL: 2019 AFSR. 141%.&#10;Non-SIL: 2021 AFSR. 156%.&#10;SIL: 2019 AFSR. 129%.&#10;SIL: 2021 AFSR. 138%.&#10;Actual. -.&#10;&#10;&#10;2026.&#10;Non-SIL: 2019 AFSR. 146%.&#10;Non-SIL: 2021 AFSR. 162%.&#10;SIL: 2019 AFSR. 134%.&#10;SIL: 2021 AFSR. 142%.&#10;Actual. -.&#10;&#10;&#10;2027.&#10;Non-SIL: 2019 AFSR. 152%.&#10;Non-SIL: 2021 AFSR. 168%.&#10;SIL: 2019 AFSR. 140%.&#10;SIL: 2021 AFSR. 147%.&#10;Actual. -.&#10;&#10;&#10;2028.&#10;Non-SIL: 2019 AFSR. 158%.&#10;Non-SIL: 2021 AFSR. 174%.&#10;SIL: 2019 AFSR. 145%.&#10;SIL: 2021 AFSR. 152%.&#10;Actual. -.&#10;&#10;&#10;2029.&#10;Non-SIL: 2019 AFSR. 165%.&#10;Non-SIL: 2021 AFSR. 180%.&#10;SIL: 2019 AFSR. 151%.&#10;SIL: 2021 AFSR. 158%.&#10;Actual. -.&#10;&#10;&#10;2030.&#10;Non-SIL: 2019 AFSR. 171%.&#10;Non-SIL: 2021 AFSR. 186%.&#10;SIL: 2019 AFSR. 157%.&#10;SIL: 2021 AFSR. 163%.&#10;Act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2020.&#10;Non-SIL: 2019 AFSR. Cost inflation.  127%.&#10;Non-SIL: 2021 AFSR. -.&#10;SIL: 2019 AFSR. 100%.&#10;SIL: 2021 AFSR. - .&#10;Actual. 113%.&#10;&#10;&#10;2021.&#10;Non-SIL: 2019 AFSR. 127%.&#10;Non-SIL: 2021 AFSR. -.&#10;SIL: 2019 AFSR. 106%.&#10;SIL: 2021 AFSR. - .&#10;Actual. 116%.&#10;&#10;&#10;2022.&#10;Non-SIL: 2019 AFSR. 131%.&#10;Non-SIL: 2021 AFSR. 127%.&#10;SIL: 2019 AFSR. 112%.&#10;SIL: 2021 AFSR. 127%.&#10;Actual. -.&#10;&#10;&#10;2023.&#10;Non-SIL: 2019 AFSR. 134%.&#10;Non-SIL: 2021 AFSR. 139%.&#10;SIL: 2019 AFSR. 117%.&#10;SIL: 2021 AFSR. 131%.&#10;Actual. -.&#10;&#10;&#10;2024.&#10;Non-SIL: 2019 AFSR. 138%.&#10;Non-SIL: 2021 AFSR. 149%.&#10;SIL: 2019 AFSR. 123%.&#10;SIL: 2021 AFSR. 135%.&#10;Actual. -.&#10;&#10;&#10;2025.&#10;Non-SIL: 2019 AFSR. 141%.&#10;Non-SIL: 2021 AFSR. 156%.&#10;SIL: 2019 AFSR. 129%.&#10;SIL: 2021 AFSR. 138%.&#10;Actual. -.&#10;&#10;&#10;2026.&#10;Non-SIL: 2019 AFSR. 146%.&#10;Non-SIL: 2021 AFSR. 162%.&#10;SIL: 2019 AFSR. 134%.&#10;SIL: 2021 AFSR. 142%.&#10;Actual. -.&#10;&#10;&#10;2027.&#10;Non-SIL: 2019 AFSR. 152%.&#10;Non-SIL: 2021 AFSR. 168%.&#10;SIL: 2019 AFSR. 140%.&#10;SIL: 2021 AFSR. 147%.&#10;Actual. -.&#10;&#10;&#10;2028.&#10;Non-SIL: 2019 AFSR. 158%.&#10;Non-SIL: 2021 AFSR. 174%.&#10;SIL: 2019 AFSR. 145%.&#10;SIL: 2021 AFSR. 152%.&#10;Actual. -.&#10;&#10;&#10;2029.&#10;Non-SIL: 2019 AFSR. 165%.&#10;Non-SIL: 2021 AFSR. 180%.&#10;SIL: 2019 AFSR. 151%.&#10;SIL: 2021 AFSR. 158%.&#10;Actual. -.&#10;&#10;&#10;2030.&#10;Non-SIL: 2019 AFSR. 171%.&#10;Non-SIL: 2021 AFSR. 186%.&#10;SIL: 2019 AFSR. 157%.&#10;SIL: 2021 AFSR. 163%.&#10;Actual. -."/>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5216525" cy="3044190"/>
                    </a:xfrm>
                    <a:prstGeom prst="rect">
                      <a:avLst/>
                    </a:prstGeom>
                    <a:noFill/>
                    <a:ln>
                      <a:noFill/>
                    </a:ln>
                  </pic:spPr>
                </pic:pic>
              </a:graphicData>
            </a:graphic>
          </wp:inline>
        </w:drawing>
      </w:r>
    </w:p>
    <w:p w14:paraId="2E39465F" w14:textId="062547B5" w:rsidR="00A520C9" w:rsidRDefault="00A520C9" w:rsidP="00A520C9">
      <w:r>
        <w:t>Over the past two years non-SIL inflation has been lower than was projected but this may be partly attributable to the 2019 assumptions including non-price related increases. Although total non-SIL inflation for Daily Activities is expected to be similar during 2022</w:t>
      </w:r>
      <w:r w:rsidR="006A743C">
        <w:t>,</w:t>
      </w:r>
      <w:r>
        <w:t xml:space="preserve"> there has been a significant strengthening in assumptions for later years compared to the </w:t>
      </w:r>
      <w:r w:rsidR="00D320CF">
        <w:t>2018-19 AFSR</w:t>
      </w:r>
      <w:r>
        <w:t xml:space="preserve"> assumptions.</w:t>
      </w:r>
    </w:p>
    <w:p w14:paraId="664D70DE" w14:textId="77777777" w:rsidR="00A520C9" w:rsidRDefault="00A520C9" w:rsidP="00A520C9">
      <w:r>
        <w:t>We understand that over the past two years increases in SIL have been similar to non-SIL costs. In contrast to non-SIL inflation, the gap relative to the 2019 assumptions is expected to narrow and be only 5% higher.</w:t>
      </w:r>
    </w:p>
    <w:p w14:paraId="43EFE3FE" w14:textId="18490E34" w:rsidR="00A520C9" w:rsidRDefault="00A520C9" w:rsidP="00A520C9">
      <w:pPr>
        <w:pStyle w:val="Caption"/>
      </w:pPr>
      <w:r>
        <w:t xml:space="preserve">Figure </w:t>
      </w:r>
      <w:r w:rsidR="009366CE">
        <w:fldChar w:fldCharType="begin"/>
      </w:r>
      <w:r w:rsidR="009366CE">
        <w:instrText xml:space="preserve"> STYLEREF 1 \s </w:instrText>
      </w:r>
      <w:r w:rsidR="009366CE">
        <w:fldChar w:fldCharType="separate"/>
      </w:r>
      <w:r w:rsidR="00E6217F">
        <w:rPr>
          <w:noProof/>
        </w:rPr>
        <w:t>5</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10</w:t>
      </w:r>
      <w:r w:rsidR="009366CE">
        <w:fldChar w:fldCharType="end"/>
      </w:r>
      <w:r>
        <w:t xml:space="preserve"> – Cost inflation assumption comparison: </w:t>
      </w:r>
      <w:r w:rsidRPr="00726D6A">
        <w:t>Social, Community and Civic</w:t>
      </w:r>
    </w:p>
    <w:p w14:paraId="650A5DF7" w14:textId="21799905" w:rsidR="00A520C9" w:rsidRDefault="002F1030" w:rsidP="00A520C9">
      <w:pPr>
        <w:spacing w:before="0" w:after="160" w:line="259" w:lineRule="auto"/>
      </w:pPr>
      <w:r w:rsidRPr="002F1030">
        <w:rPr>
          <w:noProof/>
        </w:rPr>
        <w:drawing>
          <wp:inline distT="0" distB="0" distL="0" distR="0" wp14:anchorId="73F185FD" wp14:editId="783AEC11">
            <wp:extent cx="5216525" cy="2997200"/>
            <wp:effectExtent l="0" t="0" r="3175" b="0"/>
            <wp:docPr id="64" name="Picture 64" descr="2020.&#10;Non-SIL: 2019 AFSR. Cost inflation. 117%.&#10;Non-SIL: 2021 AFSR. -.&#10;SIL: 2019 AFSR. 115%.&#10;SIL: 2021 AFSR. -.&#10;Actual. 110%.&#10;&#10;&#10;2021.&#10;Non-SIL: 2019 AFSR. 121%.&#10;Non-SIL: 2021 AFSR. -.&#10;SIL: 2019 AFSR. 117%.&#10;SIL: 2021 AFSR. -.&#10;Actual. 113%.&#10;&#10;&#10;2022.&#10;Non-SIL: 2019 AFSR. 124%.&#10;Non-SIL: 2021 AFSR. 124%.&#10;SIL: 2019 AFSR. 120%.&#10;SIL: 2021 AFSR. 117%.&#10;Actual. -.&#10;&#10;&#10;2023.&#10;Non-SIL: 2019 AFSR. 128%.&#10;Non-SIL: 2021 AFSR. 135%.&#10;SIL: 2019 AFSR. 122%.&#10;SIL: 2021 AFSR. 121%.&#10;Actual. -.&#10;&#10;&#10;2024.&#10;Non-SIL: 2019 AFSR. 131%.&#10;Non-SIL: 2021 AFSR. 144%.&#10;SIL: 2019 AFSR. 125%.&#10;SIL: 2021 AFSR. 126%.&#10;Actual. -.&#10;&#10;&#10;2025.&#10;Non-SIL: 2019 AFSR. 133%.&#10;Non-SIL: 2021 AFSR. 151%.&#10;SIL: 2019 AFSR. 127%.&#10;SIL: 2021 AFSR. 130%.&#10;Actual. -.&#10;&#10;&#10;2026.&#10;Non-SIL: 2019 AFSR. 139%.&#10;Non-SIL: 2021 AFSR. 156%.&#10;SIL: 2019 AFSR. 132%.&#10;SIL: 2021 AFSR. 134%.&#10;Actual. -.&#10;&#10;&#10;2027.&#10;Non-SIL: 2019 AFSR. 144%.&#10;Non-SIL: 2021 AFSR. 162%.&#10;SIL: 2019 AFSR. 138%.&#10;SIL: 2021 AFSR. 139%.&#10;Actual. -.&#10;&#10;&#10;2028.&#10;Non-SIL: 2019 AFSR. 150%.&#10;Non-SIL: 2021 AFSR. 168%.&#10;SIL: 2019 AFSR. 143%.&#10;SIL: 2021 AFSR. 144%.&#10;Actual. -.&#10;&#10;&#10;2029.&#10;Non-SIL: 2019 AFSR. 156%.&#10;Non-SIL: 2021 AFSR. 173%.&#10;SIL: 2019 AFSR. 149%.&#10;SIL: 2021 AFSR. 149%.&#10;Actual. -.&#10;&#10;&#10;2030.&#10;Non-SIL: 2019 AFSR. 162%.&#10;Non-SIL: 2021 AFSR. 180%.&#10;SIL: 2019 AFSR. 155%.&#10;SIL: 2021 AFSR. 154%.&#10;Act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2020.&#10;Non-SIL: 2019 AFSR. Cost inflation. 117%.&#10;Non-SIL: 2021 AFSR. -.&#10;SIL: 2019 AFSR. 115%.&#10;SIL: 2021 AFSR. -.&#10;Actual. 110%.&#10;&#10;&#10;2021.&#10;Non-SIL: 2019 AFSR. 121%.&#10;Non-SIL: 2021 AFSR. -.&#10;SIL: 2019 AFSR. 117%.&#10;SIL: 2021 AFSR. -.&#10;Actual. 113%.&#10;&#10;&#10;2022.&#10;Non-SIL: 2019 AFSR. 124%.&#10;Non-SIL: 2021 AFSR. 124%.&#10;SIL: 2019 AFSR. 120%.&#10;SIL: 2021 AFSR. 117%.&#10;Actual. -.&#10;&#10;&#10;2023.&#10;Non-SIL: 2019 AFSR. 128%.&#10;Non-SIL: 2021 AFSR. 135%.&#10;SIL: 2019 AFSR. 122%.&#10;SIL: 2021 AFSR. 121%.&#10;Actual. -.&#10;&#10;&#10;2024.&#10;Non-SIL: 2019 AFSR. 131%.&#10;Non-SIL: 2021 AFSR. 144%.&#10;SIL: 2019 AFSR. 125%.&#10;SIL: 2021 AFSR. 126%.&#10;Actual. -.&#10;&#10;&#10;2025.&#10;Non-SIL: 2019 AFSR. 133%.&#10;Non-SIL: 2021 AFSR. 151%.&#10;SIL: 2019 AFSR. 127%.&#10;SIL: 2021 AFSR. 130%.&#10;Actual. -.&#10;&#10;&#10;2026.&#10;Non-SIL: 2019 AFSR. 139%.&#10;Non-SIL: 2021 AFSR. 156%.&#10;SIL: 2019 AFSR. 132%.&#10;SIL: 2021 AFSR. 134%.&#10;Actual. -.&#10;&#10;&#10;2027.&#10;Non-SIL: 2019 AFSR. 144%.&#10;Non-SIL: 2021 AFSR. 162%.&#10;SIL: 2019 AFSR. 138%.&#10;SIL: 2021 AFSR. 139%.&#10;Actual. -.&#10;&#10;&#10;2028.&#10;Non-SIL: 2019 AFSR. 150%.&#10;Non-SIL: 2021 AFSR. 168%.&#10;SIL: 2019 AFSR. 143%.&#10;SIL: 2021 AFSR. 144%.&#10;Actual. -.&#10;&#10;&#10;2029.&#10;Non-SIL: 2019 AFSR. 156%.&#10;Non-SIL: 2021 AFSR. 173%.&#10;SIL: 2019 AFSR. 149%.&#10;SIL: 2021 AFSR. 149%.&#10;Actual. -.&#10;&#10;&#10;2030.&#10;Non-SIL: 2019 AFSR. 162%.&#10;Non-SIL: 2021 AFSR. 180%.&#10;SIL: 2019 AFSR. 155%.&#10;SIL: 2021 AFSR. 154%.&#10;Actual. -."/>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5216525" cy="2997200"/>
                    </a:xfrm>
                    <a:prstGeom prst="rect">
                      <a:avLst/>
                    </a:prstGeom>
                    <a:noFill/>
                    <a:ln>
                      <a:noFill/>
                    </a:ln>
                  </pic:spPr>
                </pic:pic>
              </a:graphicData>
            </a:graphic>
          </wp:inline>
        </w:drawing>
      </w:r>
    </w:p>
    <w:p w14:paraId="54AE09B1" w14:textId="77777777" w:rsidR="00403105" w:rsidRDefault="00A520C9" w:rsidP="00A520C9">
      <w:pPr>
        <w:spacing w:before="0" w:after="160" w:line="259" w:lineRule="auto"/>
      </w:pPr>
      <w:r>
        <w:t>Inflation for Social, Community and Civic supports over the past two years has been slightly higher than was projected, but the allowance for future escalation for non-SIL costs from 2024 onwards is much higher than the 2019 assumptions.</w:t>
      </w:r>
    </w:p>
    <w:p w14:paraId="620A2E8F" w14:textId="77777777" w:rsidR="00403105" w:rsidRDefault="00403105" w:rsidP="00403105">
      <w:pPr>
        <w:pStyle w:val="Heading2"/>
      </w:pPr>
      <w:bookmarkStart w:id="229" w:name="_Toc87700484"/>
      <w:bookmarkStart w:id="230" w:name="_Toc88686136"/>
      <w:r>
        <w:t>Growth in projected payments</w:t>
      </w:r>
      <w:bookmarkEnd w:id="229"/>
      <w:bookmarkEnd w:id="230"/>
    </w:p>
    <w:p w14:paraId="3BA90894" w14:textId="77777777" w:rsidR="00403105" w:rsidRDefault="00403105" w:rsidP="00403105">
      <w:pPr>
        <w:spacing w:before="0" w:after="160" w:line="259" w:lineRule="auto"/>
      </w:pPr>
      <w:r>
        <w:t>The changes in projected payments described above reflect the changes compared to previous projection bases. An alternative approach is to show the increase relative to the amount paid in a given year.</w:t>
      </w:r>
    </w:p>
    <w:p w14:paraId="5EBAF8E5" w14:textId="2FEAAA34" w:rsidR="00403105" w:rsidRDefault="00403105" w:rsidP="00CE626D">
      <w:pPr>
        <w:pStyle w:val="Caption"/>
        <w:spacing w:before="160" w:after="60"/>
      </w:pPr>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9</w:t>
      </w:r>
      <w:r w:rsidR="007F6BE8">
        <w:fldChar w:fldCharType="end"/>
      </w:r>
      <w:r>
        <w:t xml:space="preserve"> – Breakdown of growth in projected payments</w:t>
      </w:r>
    </w:p>
    <w:tbl>
      <w:tblPr>
        <w:tblW w:w="9235" w:type="dxa"/>
        <w:tblInd w:w="108" w:type="dxa"/>
        <w:tblLook w:val="04A0" w:firstRow="1" w:lastRow="0" w:firstColumn="1" w:lastColumn="0" w:noHBand="0" w:noVBand="1"/>
      </w:tblPr>
      <w:tblGrid>
        <w:gridCol w:w="2552"/>
        <w:gridCol w:w="1002"/>
        <w:gridCol w:w="1016"/>
        <w:gridCol w:w="1356"/>
        <w:gridCol w:w="1002"/>
        <w:gridCol w:w="982"/>
        <w:gridCol w:w="1325"/>
      </w:tblGrid>
      <w:tr w:rsidR="00403105" w:rsidRPr="0049175C" w14:paraId="2C219AFF" w14:textId="77777777" w:rsidTr="003F577D">
        <w:trPr>
          <w:trHeight w:val="227"/>
          <w:tblHeader/>
        </w:trPr>
        <w:tc>
          <w:tcPr>
            <w:tcW w:w="2552" w:type="dxa"/>
            <w:tcBorders>
              <w:top w:val="single" w:sz="4" w:space="0" w:color="006EC8"/>
              <w:left w:val="nil"/>
              <w:bottom w:val="nil"/>
              <w:right w:val="single" w:sz="4" w:space="0" w:color="006EC8"/>
            </w:tcBorders>
            <w:shd w:val="clear" w:color="auto" w:fill="auto"/>
            <w:noWrap/>
            <w:vAlign w:val="bottom"/>
            <w:hideMark/>
          </w:tcPr>
          <w:p w14:paraId="45EB4EF2" w14:textId="77777777" w:rsidR="00403105" w:rsidRPr="0049175C" w:rsidRDefault="00403105" w:rsidP="00804216">
            <w:pPr>
              <w:spacing w:before="0" w:after="0"/>
              <w:rPr>
                <w:rFonts w:ascii="Blanco" w:eastAsia="Times New Roman" w:hAnsi="Blanco" w:cs="Times New Roman"/>
                <w:color w:val="231F20"/>
                <w:szCs w:val="21"/>
                <w:lang w:eastAsia="en-GB"/>
              </w:rPr>
            </w:pPr>
            <w:r w:rsidRPr="0049175C">
              <w:rPr>
                <w:rFonts w:ascii="Cambria" w:eastAsia="Times New Roman" w:hAnsi="Cambria" w:cs="Cambria"/>
                <w:color w:val="231F20"/>
                <w:szCs w:val="21"/>
                <w:lang w:eastAsia="en-GB"/>
              </w:rPr>
              <w:t> </w:t>
            </w:r>
          </w:p>
        </w:tc>
        <w:tc>
          <w:tcPr>
            <w:tcW w:w="3374" w:type="dxa"/>
            <w:gridSpan w:val="3"/>
            <w:tcBorders>
              <w:top w:val="single" w:sz="4" w:space="0" w:color="006EC8"/>
              <w:left w:val="nil"/>
              <w:bottom w:val="nil"/>
              <w:right w:val="single" w:sz="4" w:space="0" w:color="006EC8"/>
            </w:tcBorders>
            <w:shd w:val="clear" w:color="auto" w:fill="auto"/>
            <w:noWrap/>
            <w:vAlign w:val="bottom"/>
            <w:hideMark/>
          </w:tcPr>
          <w:p w14:paraId="6F406703" w14:textId="77777777" w:rsidR="00403105" w:rsidRPr="0049175C" w:rsidRDefault="00403105" w:rsidP="00804216">
            <w:pPr>
              <w:spacing w:before="0" w:after="0"/>
              <w:jc w:val="center"/>
              <w:rPr>
                <w:rFonts w:ascii="Blanco" w:eastAsia="Times New Roman" w:hAnsi="Blanco" w:cs="Times New Roman"/>
                <w:b/>
                <w:bCs/>
                <w:color w:val="231F20"/>
                <w:szCs w:val="21"/>
                <w:u w:val="single"/>
                <w:lang w:eastAsia="en-GB"/>
              </w:rPr>
            </w:pPr>
            <w:r w:rsidRPr="0049175C">
              <w:rPr>
                <w:rFonts w:ascii="Blanco" w:eastAsia="Times New Roman" w:hAnsi="Blanco" w:cs="Times New Roman"/>
                <w:b/>
                <w:bCs/>
                <w:color w:val="231F20"/>
                <w:szCs w:val="21"/>
                <w:u w:val="single"/>
                <w:lang w:eastAsia="en-GB"/>
              </w:rPr>
              <w:t>2020-21 to 2024-25</w:t>
            </w:r>
          </w:p>
        </w:tc>
        <w:tc>
          <w:tcPr>
            <w:tcW w:w="3309" w:type="dxa"/>
            <w:gridSpan w:val="3"/>
            <w:tcBorders>
              <w:top w:val="single" w:sz="4" w:space="0" w:color="006EC8"/>
              <w:left w:val="nil"/>
              <w:bottom w:val="nil"/>
              <w:right w:val="nil"/>
            </w:tcBorders>
            <w:shd w:val="clear" w:color="auto" w:fill="auto"/>
            <w:noWrap/>
            <w:vAlign w:val="bottom"/>
            <w:hideMark/>
          </w:tcPr>
          <w:p w14:paraId="14BCDAC6" w14:textId="77777777" w:rsidR="00403105" w:rsidRPr="0049175C" w:rsidRDefault="00403105" w:rsidP="00804216">
            <w:pPr>
              <w:spacing w:before="0" w:after="0"/>
              <w:jc w:val="center"/>
              <w:rPr>
                <w:rFonts w:ascii="Blanco" w:eastAsia="Times New Roman" w:hAnsi="Blanco" w:cs="Times New Roman"/>
                <w:b/>
                <w:bCs/>
                <w:color w:val="231F20"/>
                <w:szCs w:val="21"/>
                <w:u w:val="single"/>
                <w:lang w:eastAsia="en-GB"/>
              </w:rPr>
            </w:pPr>
            <w:r w:rsidRPr="0049175C">
              <w:rPr>
                <w:rFonts w:ascii="Blanco" w:eastAsia="Times New Roman" w:hAnsi="Blanco" w:cs="Times New Roman"/>
                <w:b/>
                <w:bCs/>
                <w:color w:val="231F20"/>
                <w:szCs w:val="21"/>
                <w:u w:val="single"/>
                <w:lang w:eastAsia="en-GB"/>
              </w:rPr>
              <w:t>2024-25 to 2029-30</w:t>
            </w:r>
          </w:p>
        </w:tc>
      </w:tr>
      <w:tr w:rsidR="00403105" w:rsidRPr="0049175C" w14:paraId="5571DCF4" w14:textId="77777777" w:rsidTr="003F577D">
        <w:trPr>
          <w:trHeight w:val="375"/>
          <w:tblHeader/>
        </w:trPr>
        <w:tc>
          <w:tcPr>
            <w:tcW w:w="2552" w:type="dxa"/>
            <w:tcBorders>
              <w:top w:val="nil"/>
              <w:left w:val="nil"/>
              <w:bottom w:val="single" w:sz="4" w:space="0" w:color="006EC8"/>
              <w:right w:val="single" w:sz="4" w:space="0" w:color="006EC8"/>
            </w:tcBorders>
            <w:shd w:val="clear" w:color="auto" w:fill="auto"/>
            <w:noWrap/>
            <w:vAlign w:val="bottom"/>
            <w:hideMark/>
          </w:tcPr>
          <w:p w14:paraId="204403E7" w14:textId="77777777" w:rsidR="00403105" w:rsidRPr="0049175C" w:rsidRDefault="00403105" w:rsidP="00804216">
            <w:pPr>
              <w:spacing w:before="0" w:after="0"/>
              <w:rPr>
                <w:rFonts w:ascii="Blanco" w:eastAsia="Times New Roman" w:hAnsi="Blanco" w:cs="Times New Roman"/>
                <w:color w:val="231F20"/>
                <w:szCs w:val="21"/>
                <w:lang w:eastAsia="en-GB"/>
              </w:rPr>
            </w:pPr>
            <w:r w:rsidRPr="0049175C">
              <w:rPr>
                <w:rFonts w:ascii="Cambria" w:eastAsia="Times New Roman" w:hAnsi="Cambria" w:cs="Cambria"/>
                <w:color w:val="231F20"/>
                <w:szCs w:val="21"/>
                <w:lang w:eastAsia="en-GB"/>
              </w:rPr>
              <w:t> </w:t>
            </w:r>
          </w:p>
        </w:tc>
        <w:tc>
          <w:tcPr>
            <w:tcW w:w="1002" w:type="dxa"/>
            <w:tcBorders>
              <w:top w:val="nil"/>
              <w:left w:val="nil"/>
              <w:bottom w:val="single" w:sz="4" w:space="0" w:color="006EC8"/>
              <w:right w:val="nil"/>
            </w:tcBorders>
            <w:shd w:val="clear" w:color="auto" w:fill="auto"/>
            <w:noWrap/>
            <w:vAlign w:val="bottom"/>
            <w:hideMark/>
          </w:tcPr>
          <w:p w14:paraId="6C567188" w14:textId="77777777" w:rsidR="00403105" w:rsidRPr="0049175C" w:rsidRDefault="00403105" w:rsidP="00804216">
            <w:pPr>
              <w:spacing w:before="0" w:after="0"/>
              <w:jc w:val="right"/>
              <w:rPr>
                <w:rFonts w:ascii="Blanco" w:eastAsia="Times New Roman" w:hAnsi="Blanco" w:cs="Times New Roman"/>
                <w:b/>
                <w:bCs/>
                <w:color w:val="231F20"/>
                <w:szCs w:val="21"/>
                <w:lang w:eastAsia="en-GB"/>
              </w:rPr>
            </w:pPr>
            <w:r w:rsidRPr="0049175C">
              <w:rPr>
                <w:rFonts w:ascii="Blanco" w:eastAsia="Times New Roman" w:hAnsi="Blanco" w:cs="Times New Roman"/>
                <w:b/>
                <w:bCs/>
                <w:color w:val="231F20"/>
                <w:szCs w:val="21"/>
                <w:lang w:eastAsia="en-GB"/>
              </w:rPr>
              <w:t>Amount ($B)</w:t>
            </w:r>
          </w:p>
        </w:tc>
        <w:tc>
          <w:tcPr>
            <w:tcW w:w="1016" w:type="dxa"/>
            <w:tcBorders>
              <w:top w:val="nil"/>
              <w:left w:val="nil"/>
              <w:bottom w:val="single" w:sz="4" w:space="0" w:color="006EC8"/>
              <w:right w:val="nil"/>
            </w:tcBorders>
            <w:shd w:val="clear" w:color="auto" w:fill="auto"/>
            <w:noWrap/>
            <w:vAlign w:val="bottom"/>
            <w:hideMark/>
          </w:tcPr>
          <w:p w14:paraId="4B4E6C96" w14:textId="77777777" w:rsidR="00403105" w:rsidRPr="0049175C" w:rsidRDefault="00403105" w:rsidP="00804216">
            <w:pPr>
              <w:spacing w:before="0" w:after="0"/>
              <w:jc w:val="right"/>
              <w:rPr>
                <w:rFonts w:ascii="Blanco" w:eastAsia="Times New Roman" w:hAnsi="Blanco" w:cs="Times New Roman"/>
                <w:b/>
                <w:bCs/>
                <w:color w:val="231F20"/>
                <w:szCs w:val="21"/>
                <w:lang w:eastAsia="en-GB"/>
              </w:rPr>
            </w:pPr>
            <w:r w:rsidRPr="0049175C">
              <w:rPr>
                <w:rFonts w:ascii="Blanco" w:eastAsia="Times New Roman" w:hAnsi="Blanco" w:cs="Times New Roman"/>
                <w:b/>
                <w:bCs/>
                <w:color w:val="231F20"/>
                <w:szCs w:val="21"/>
                <w:lang w:eastAsia="en-GB"/>
              </w:rPr>
              <w:t>Total % change</w:t>
            </w:r>
          </w:p>
        </w:tc>
        <w:tc>
          <w:tcPr>
            <w:tcW w:w="1352" w:type="dxa"/>
            <w:tcBorders>
              <w:top w:val="nil"/>
              <w:left w:val="nil"/>
              <w:bottom w:val="single" w:sz="4" w:space="0" w:color="006EC8"/>
              <w:right w:val="single" w:sz="4" w:space="0" w:color="006EC8"/>
            </w:tcBorders>
            <w:shd w:val="clear" w:color="auto" w:fill="auto"/>
            <w:noWrap/>
            <w:vAlign w:val="bottom"/>
            <w:hideMark/>
          </w:tcPr>
          <w:p w14:paraId="1AA88BD7" w14:textId="77777777" w:rsidR="00403105" w:rsidRPr="0049175C" w:rsidRDefault="00403105" w:rsidP="00804216">
            <w:pPr>
              <w:spacing w:before="0" w:after="0"/>
              <w:jc w:val="right"/>
              <w:rPr>
                <w:rFonts w:ascii="Blanco" w:eastAsia="Times New Roman" w:hAnsi="Blanco" w:cs="Times New Roman"/>
                <w:b/>
                <w:bCs/>
                <w:color w:val="231F20"/>
                <w:szCs w:val="21"/>
                <w:lang w:eastAsia="en-GB"/>
              </w:rPr>
            </w:pPr>
            <w:r w:rsidRPr="0049175C">
              <w:rPr>
                <w:rFonts w:ascii="Blanco" w:eastAsia="Times New Roman" w:hAnsi="Blanco" w:cs="Times New Roman"/>
                <w:b/>
                <w:bCs/>
                <w:color w:val="231F20"/>
                <w:szCs w:val="21"/>
                <w:lang w:eastAsia="en-GB"/>
              </w:rPr>
              <w:t xml:space="preserve">Annualised </w:t>
            </w:r>
            <w:r>
              <w:rPr>
                <w:rFonts w:ascii="Blanco" w:eastAsia="Times New Roman" w:hAnsi="Blanco" w:cs="Times New Roman"/>
                <w:b/>
                <w:bCs/>
                <w:color w:val="231F20"/>
                <w:szCs w:val="21"/>
                <w:lang w:eastAsia="en-GB"/>
              </w:rPr>
              <w:t xml:space="preserve">% </w:t>
            </w:r>
            <w:r w:rsidRPr="0049175C">
              <w:rPr>
                <w:rFonts w:ascii="Blanco" w:eastAsia="Times New Roman" w:hAnsi="Blanco" w:cs="Times New Roman"/>
                <w:b/>
                <w:bCs/>
                <w:color w:val="231F20"/>
                <w:szCs w:val="21"/>
                <w:lang w:eastAsia="en-GB"/>
              </w:rPr>
              <w:t>change p.a.</w:t>
            </w:r>
          </w:p>
        </w:tc>
        <w:tc>
          <w:tcPr>
            <w:tcW w:w="1002" w:type="dxa"/>
            <w:tcBorders>
              <w:top w:val="nil"/>
              <w:left w:val="nil"/>
              <w:bottom w:val="single" w:sz="4" w:space="0" w:color="006EC8"/>
              <w:right w:val="nil"/>
            </w:tcBorders>
            <w:shd w:val="clear" w:color="auto" w:fill="auto"/>
            <w:noWrap/>
            <w:vAlign w:val="bottom"/>
            <w:hideMark/>
          </w:tcPr>
          <w:p w14:paraId="4F09664F" w14:textId="77777777" w:rsidR="00403105" w:rsidRPr="0049175C" w:rsidRDefault="00403105" w:rsidP="00804216">
            <w:pPr>
              <w:spacing w:before="0" w:after="0"/>
              <w:jc w:val="right"/>
              <w:rPr>
                <w:rFonts w:ascii="Blanco" w:eastAsia="Times New Roman" w:hAnsi="Blanco" w:cs="Times New Roman"/>
                <w:b/>
                <w:bCs/>
                <w:color w:val="231F20"/>
                <w:szCs w:val="21"/>
                <w:lang w:eastAsia="en-GB"/>
              </w:rPr>
            </w:pPr>
            <w:r w:rsidRPr="0049175C">
              <w:rPr>
                <w:rFonts w:ascii="Blanco" w:eastAsia="Times New Roman" w:hAnsi="Blanco" w:cs="Times New Roman"/>
                <w:b/>
                <w:bCs/>
                <w:color w:val="231F20"/>
                <w:szCs w:val="21"/>
                <w:lang w:eastAsia="en-GB"/>
              </w:rPr>
              <w:t>Amount ($B)</w:t>
            </w:r>
          </w:p>
        </w:tc>
        <w:tc>
          <w:tcPr>
            <w:tcW w:w="982" w:type="dxa"/>
            <w:tcBorders>
              <w:top w:val="nil"/>
              <w:left w:val="nil"/>
              <w:bottom w:val="single" w:sz="4" w:space="0" w:color="006EC8"/>
              <w:right w:val="nil"/>
            </w:tcBorders>
            <w:shd w:val="clear" w:color="auto" w:fill="auto"/>
            <w:noWrap/>
            <w:vAlign w:val="bottom"/>
            <w:hideMark/>
          </w:tcPr>
          <w:p w14:paraId="36A6CF2C" w14:textId="77777777" w:rsidR="00403105" w:rsidRPr="0049175C" w:rsidRDefault="00403105" w:rsidP="00804216">
            <w:pPr>
              <w:spacing w:before="0" w:after="0"/>
              <w:jc w:val="right"/>
              <w:rPr>
                <w:rFonts w:ascii="Blanco" w:eastAsia="Times New Roman" w:hAnsi="Blanco" w:cs="Times New Roman"/>
                <w:b/>
                <w:bCs/>
                <w:color w:val="231F20"/>
                <w:szCs w:val="21"/>
                <w:lang w:eastAsia="en-GB"/>
              </w:rPr>
            </w:pPr>
            <w:r w:rsidRPr="0049175C">
              <w:rPr>
                <w:rFonts w:ascii="Blanco" w:eastAsia="Times New Roman" w:hAnsi="Blanco" w:cs="Times New Roman"/>
                <w:b/>
                <w:bCs/>
                <w:color w:val="231F20"/>
                <w:szCs w:val="21"/>
                <w:lang w:eastAsia="en-GB"/>
              </w:rPr>
              <w:t>Total % change</w:t>
            </w:r>
          </w:p>
        </w:tc>
        <w:tc>
          <w:tcPr>
            <w:tcW w:w="1325" w:type="dxa"/>
            <w:tcBorders>
              <w:top w:val="nil"/>
              <w:left w:val="nil"/>
              <w:bottom w:val="single" w:sz="4" w:space="0" w:color="006EC8"/>
              <w:right w:val="nil"/>
            </w:tcBorders>
            <w:shd w:val="clear" w:color="auto" w:fill="auto"/>
            <w:noWrap/>
            <w:vAlign w:val="bottom"/>
            <w:hideMark/>
          </w:tcPr>
          <w:p w14:paraId="3866A918" w14:textId="77777777" w:rsidR="00403105" w:rsidRPr="0049175C" w:rsidRDefault="00403105" w:rsidP="00804216">
            <w:pPr>
              <w:spacing w:before="0" w:after="0"/>
              <w:jc w:val="right"/>
              <w:rPr>
                <w:rFonts w:ascii="Blanco" w:eastAsia="Times New Roman" w:hAnsi="Blanco" w:cs="Times New Roman"/>
                <w:b/>
                <w:bCs/>
                <w:color w:val="231F20"/>
                <w:szCs w:val="21"/>
                <w:lang w:eastAsia="en-GB"/>
              </w:rPr>
            </w:pPr>
            <w:r w:rsidRPr="0049175C">
              <w:rPr>
                <w:rFonts w:ascii="Blanco" w:eastAsia="Times New Roman" w:hAnsi="Blanco" w:cs="Times New Roman"/>
                <w:b/>
                <w:bCs/>
                <w:color w:val="231F20"/>
                <w:szCs w:val="21"/>
                <w:lang w:eastAsia="en-GB"/>
              </w:rPr>
              <w:t>Annualised</w:t>
            </w:r>
            <w:r>
              <w:rPr>
                <w:rFonts w:ascii="Blanco" w:eastAsia="Times New Roman" w:hAnsi="Blanco" w:cs="Times New Roman"/>
                <w:b/>
                <w:bCs/>
                <w:color w:val="231F20"/>
                <w:szCs w:val="21"/>
                <w:lang w:eastAsia="en-GB"/>
              </w:rPr>
              <w:t xml:space="preserve"> %</w:t>
            </w:r>
            <w:r w:rsidRPr="0049175C">
              <w:rPr>
                <w:rFonts w:ascii="Blanco" w:eastAsia="Times New Roman" w:hAnsi="Blanco" w:cs="Times New Roman"/>
                <w:b/>
                <w:bCs/>
                <w:color w:val="231F20"/>
                <w:szCs w:val="21"/>
                <w:lang w:eastAsia="en-GB"/>
              </w:rPr>
              <w:t xml:space="preserve"> change p.a.</w:t>
            </w:r>
          </w:p>
        </w:tc>
      </w:tr>
      <w:tr w:rsidR="00596711" w:rsidRPr="0049175C" w14:paraId="545B9ECD" w14:textId="77777777" w:rsidTr="00793029">
        <w:trPr>
          <w:trHeight w:val="375"/>
        </w:trPr>
        <w:tc>
          <w:tcPr>
            <w:tcW w:w="2552" w:type="dxa"/>
            <w:tcBorders>
              <w:top w:val="nil"/>
              <w:left w:val="nil"/>
              <w:bottom w:val="nil"/>
              <w:right w:val="single" w:sz="4" w:space="0" w:color="006EC8"/>
            </w:tcBorders>
            <w:shd w:val="clear" w:color="auto" w:fill="auto"/>
            <w:noWrap/>
            <w:vAlign w:val="bottom"/>
            <w:hideMark/>
          </w:tcPr>
          <w:p w14:paraId="0C365150" w14:textId="77777777" w:rsidR="00596711" w:rsidRPr="00E57B02" w:rsidRDefault="00596711" w:rsidP="00793029">
            <w:pPr>
              <w:pStyle w:val="Tabletext"/>
              <w:spacing w:before="20" w:after="20"/>
              <w:rPr>
                <w:b/>
                <w:bCs/>
                <w:lang w:eastAsia="en-GB"/>
              </w:rPr>
            </w:pPr>
            <w:r w:rsidRPr="00E57B02">
              <w:rPr>
                <w:b/>
                <w:bCs/>
                <w:lang w:eastAsia="en-GB"/>
              </w:rPr>
              <w:t>Payments in start year</w:t>
            </w:r>
          </w:p>
        </w:tc>
        <w:tc>
          <w:tcPr>
            <w:tcW w:w="1002" w:type="dxa"/>
            <w:tcBorders>
              <w:top w:val="nil"/>
              <w:left w:val="nil"/>
              <w:bottom w:val="nil"/>
              <w:right w:val="nil"/>
            </w:tcBorders>
            <w:shd w:val="clear" w:color="auto" w:fill="auto"/>
            <w:noWrap/>
            <w:hideMark/>
          </w:tcPr>
          <w:p w14:paraId="1ADA2748" w14:textId="7618A133" w:rsidR="00596711" w:rsidRPr="00596711" w:rsidRDefault="00596711" w:rsidP="00793029">
            <w:pPr>
              <w:pStyle w:val="Tablenumbers"/>
              <w:spacing w:before="20" w:after="20"/>
              <w:rPr>
                <w:b/>
                <w:bCs/>
                <w:lang w:eastAsia="en-GB"/>
              </w:rPr>
            </w:pPr>
            <w:r w:rsidRPr="00596711">
              <w:rPr>
                <w:b/>
                <w:bCs/>
              </w:rPr>
              <w:t>23.3</w:t>
            </w:r>
          </w:p>
        </w:tc>
        <w:tc>
          <w:tcPr>
            <w:tcW w:w="1016" w:type="dxa"/>
            <w:tcBorders>
              <w:top w:val="nil"/>
              <w:left w:val="nil"/>
              <w:bottom w:val="nil"/>
              <w:right w:val="nil"/>
            </w:tcBorders>
            <w:shd w:val="clear" w:color="auto" w:fill="auto"/>
            <w:noWrap/>
            <w:hideMark/>
          </w:tcPr>
          <w:p w14:paraId="3E21B7FE" w14:textId="77777777" w:rsidR="00596711" w:rsidRPr="00596711" w:rsidRDefault="00596711" w:rsidP="00793029">
            <w:pPr>
              <w:pStyle w:val="Tablenumbers"/>
              <w:spacing w:before="20" w:after="20"/>
              <w:rPr>
                <w:b/>
                <w:bCs/>
                <w:lang w:eastAsia="en-GB"/>
              </w:rPr>
            </w:pPr>
          </w:p>
        </w:tc>
        <w:tc>
          <w:tcPr>
            <w:tcW w:w="1352" w:type="dxa"/>
            <w:tcBorders>
              <w:top w:val="nil"/>
              <w:left w:val="nil"/>
              <w:bottom w:val="nil"/>
              <w:right w:val="single" w:sz="4" w:space="0" w:color="006EC8"/>
            </w:tcBorders>
            <w:shd w:val="clear" w:color="auto" w:fill="auto"/>
            <w:noWrap/>
            <w:hideMark/>
          </w:tcPr>
          <w:p w14:paraId="2E9C6603" w14:textId="77777777" w:rsidR="00596711" w:rsidRPr="00596711" w:rsidRDefault="00596711" w:rsidP="00793029">
            <w:pPr>
              <w:pStyle w:val="Tablenumbers"/>
              <w:spacing w:before="20" w:after="20"/>
              <w:ind w:right="233"/>
              <w:rPr>
                <w:b/>
                <w:bCs/>
                <w:lang w:eastAsia="en-GB"/>
              </w:rPr>
            </w:pPr>
          </w:p>
        </w:tc>
        <w:tc>
          <w:tcPr>
            <w:tcW w:w="1002" w:type="dxa"/>
            <w:tcBorders>
              <w:top w:val="nil"/>
              <w:left w:val="nil"/>
              <w:bottom w:val="nil"/>
              <w:right w:val="nil"/>
            </w:tcBorders>
            <w:shd w:val="clear" w:color="auto" w:fill="auto"/>
            <w:noWrap/>
            <w:hideMark/>
          </w:tcPr>
          <w:p w14:paraId="410259A8" w14:textId="07428B22" w:rsidR="00596711" w:rsidRPr="00596711" w:rsidRDefault="00596711" w:rsidP="00793029">
            <w:pPr>
              <w:pStyle w:val="Tablenumbers"/>
              <w:spacing w:before="20" w:after="20"/>
              <w:rPr>
                <w:b/>
                <w:bCs/>
                <w:lang w:eastAsia="en-GB"/>
              </w:rPr>
            </w:pPr>
            <w:r w:rsidRPr="00596711">
              <w:rPr>
                <w:b/>
                <w:bCs/>
              </w:rPr>
              <w:t>40.8</w:t>
            </w:r>
          </w:p>
        </w:tc>
        <w:tc>
          <w:tcPr>
            <w:tcW w:w="982" w:type="dxa"/>
            <w:tcBorders>
              <w:top w:val="nil"/>
              <w:left w:val="nil"/>
              <w:bottom w:val="nil"/>
              <w:right w:val="nil"/>
            </w:tcBorders>
            <w:shd w:val="clear" w:color="auto" w:fill="auto"/>
            <w:noWrap/>
            <w:hideMark/>
          </w:tcPr>
          <w:p w14:paraId="12365056" w14:textId="77777777" w:rsidR="00596711" w:rsidRPr="00E57B02" w:rsidRDefault="00596711" w:rsidP="00793029">
            <w:pPr>
              <w:pStyle w:val="Tablenumbers"/>
              <w:spacing w:before="20" w:after="20"/>
              <w:rPr>
                <w:b/>
                <w:bCs/>
                <w:lang w:eastAsia="en-GB"/>
              </w:rPr>
            </w:pPr>
          </w:p>
        </w:tc>
        <w:tc>
          <w:tcPr>
            <w:tcW w:w="1325" w:type="dxa"/>
            <w:tcBorders>
              <w:top w:val="nil"/>
              <w:left w:val="nil"/>
              <w:bottom w:val="nil"/>
              <w:right w:val="nil"/>
            </w:tcBorders>
            <w:shd w:val="clear" w:color="auto" w:fill="auto"/>
            <w:noWrap/>
            <w:hideMark/>
          </w:tcPr>
          <w:p w14:paraId="48B49F99" w14:textId="77777777" w:rsidR="00596711" w:rsidRPr="0049175C" w:rsidRDefault="00596711" w:rsidP="00793029">
            <w:pPr>
              <w:pStyle w:val="Tablenumbers"/>
              <w:spacing w:before="20" w:after="20"/>
              <w:ind w:right="225"/>
              <w:rPr>
                <w:rFonts w:ascii="Times New Roman" w:hAnsi="Times New Roman"/>
                <w:sz w:val="20"/>
                <w:szCs w:val="20"/>
                <w:lang w:eastAsia="en-GB"/>
              </w:rPr>
            </w:pPr>
          </w:p>
        </w:tc>
      </w:tr>
      <w:tr w:rsidR="00596711" w:rsidRPr="0049175C" w14:paraId="521A93A7" w14:textId="77777777" w:rsidTr="00793029">
        <w:trPr>
          <w:trHeight w:val="360"/>
        </w:trPr>
        <w:tc>
          <w:tcPr>
            <w:tcW w:w="2552" w:type="dxa"/>
            <w:tcBorders>
              <w:top w:val="nil"/>
              <w:left w:val="nil"/>
              <w:bottom w:val="nil"/>
              <w:right w:val="single" w:sz="4" w:space="0" w:color="006EC8"/>
            </w:tcBorders>
            <w:shd w:val="clear" w:color="auto" w:fill="auto"/>
            <w:noWrap/>
            <w:vAlign w:val="bottom"/>
            <w:hideMark/>
          </w:tcPr>
          <w:p w14:paraId="59E7FFBA" w14:textId="2F0802E8" w:rsidR="00596711" w:rsidRPr="0049175C" w:rsidRDefault="00596711" w:rsidP="00793029">
            <w:pPr>
              <w:pStyle w:val="Tabletext"/>
              <w:spacing w:before="20" w:after="20"/>
              <w:rPr>
                <w:lang w:eastAsia="en-GB"/>
              </w:rPr>
            </w:pPr>
            <w:r w:rsidRPr="0049175C">
              <w:rPr>
                <w:lang w:eastAsia="en-GB"/>
              </w:rPr>
              <w:t xml:space="preserve">Average size </w:t>
            </w:r>
            <w:r>
              <w:rPr>
                <w:lang w:eastAsia="en-GB"/>
              </w:rPr>
              <w:t>(Aging etc)</w:t>
            </w:r>
          </w:p>
        </w:tc>
        <w:tc>
          <w:tcPr>
            <w:tcW w:w="1002" w:type="dxa"/>
            <w:tcBorders>
              <w:top w:val="nil"/>
              <w:left w:val="nil"/>
              <w:bottom w:val="nil"/>
              <w:right w:val="nil"/>
            </w:tcBorders>
            <w:shd w:val="clear" w:color="auto" w:fill="auto"/>
            <w:noWrap/>
            <w:hideMark/>
          </w:tcPr>
          <w:p w14:paraId="344A79EF" w14:textId="1D449CF5" w:rsidR="00596711" w:rsidRPr="0049175C" w:rsidRDefault="00596711" w:rsidP="00793029">
            <w:pPr>
              <w:pStyle w:val="Tablenumbers"/>
              <w:spacing w:before="20" w:after="20"/>
              <w:rPr>
                <w:lang w:eastAsia="en-GB"/>
              </w:rPr>
            </w:pPr>
            <w:r w:rsidRPr="00251FD9">
              <w:t>0.1</w:t>
            </w:r>
          </w:p>
        </w:tc>
        <w:tc>
          <w:tcPr>
            <w:tcW w:w="1016" w:type="dxa"/>
            <w:tcBorders>
              <w:top w:val="nil"/>
              <w:left w:val="nil"/>
              <w:bottom w:val="nil"/>
              <w:right w:val="nil"/>
            </w:tcBorders>
            <w:shd w:val="clear" w:color="auto" w:fill="auto"/>
            <w:noWrap/>
            <w:hideMark/>
          </w:tcPr>
          <w:p w14:paraId="283486DD" w14:textId="5AE9FB0C" w:rsidR="00596711" w:rsidRPr="0049175C" w:rsidRDefault="00596711" w:rsidP="00793029">
            <w:pPr>
              <w:pStyle w:val="Tablenumbers"/>
              <w:spacing w:before="20" w:after="20"/>
              <w:rPr>
                <w:lang w:eastAsia="en-GB"/>
              </w:rPr>
            </w:pPr>
            <w:r w:rsidRPr="00251FD9">
              <w:t>0.6%</w:t>
            </w:r>
          </w:p>
        </w:tc>
        <w:tc>
          <w:tcPr>
            <w:tcW w:w="1352" w:type="dxa"/>
            <w:tcBorders>
              <w:top w:val="nil"/>
              <w:left w:val="nil"/>
              <w:bottom w:val="nil"/>
              <w:right w:val="single" w:sz="4" w:space="0" w:color="006EC8"/>
            </w:tcBorders>
            <w:shd w:val="clear" w:color="auto" w:fill="auto"/>
            <w:noWrap/>
            <w:hideMark/>
          </w:tcPr>
          <w:p w14:paraId="0226993E" w14:textId="04E12B3B" w:rsidR="00596711" w:rsidRPr="0049175C" w:rsidRDefault="00596711" w:rsidP="00793029">
            <w:pPr>
              <w:pStyle w:val="Tablenumbers"/>
              <w:spacing w:before="20" w:after="20"/>
              <w:ind w:right="233"/>
              <w:rPr>
                <w:lang w:eastAsia="en-GB"/>
              </w:rPr>
            </w:pPr>
            <w:r w:rsidRPr="00251FD9">
              <w:t>0.2%</w:t>
            </w:r>
          </w:p>
        </w:tc>
        <w:tc>
          <w:tcPr>
            <w:tcW w:w="1002" w:type="dxa"/>
            <w:tcBorders>
              <w:top w:val="nil"/>
              <w:left w:val="nil"/>
              <w:bottom w:val="nil"/>
              <w:right w:val="nil"/>
            </w:tcBorders>
            <w:shd w:val="clear" w:color="auto" w:fill="auto"/>
            <w:noWrap/>
            <w:hideMark/>
          </w:tcPr>
          <w:p w14:paraId="1DD1818B" w14:textId="4DB4C289" w:rsidR="00596711" w:rsidRPr="0049175C" w:rsidRDefault="00596711" w:rsidP="00793029">
            <w:pPr>
              <w:pStyle w:val="Tablenumbers"/>
              <w:spacing w:before="20" w:after="20"/>
              <w:rPr>
                <w:lang w:eastAsia="en-GB"/>
              </w:rPr>
            </w:pPr>
            <w:r w:rsidRPr="00251FD9">
              <w:t>-1.5</w:t>
            </w:r>
          </w:p>
        </w:tc>
        <w:tc>
          <w:tcPr>
            <w:tcW w:w="982" w:type="dxa"/>
            <w:tcBorders>
              <w:top w:val="nil"/>
              <w:left w:val="nil"/>
              <w:bottom w:val="nil"/>
              <w:right w:val="nil"/>
            </w:tcBorders>
            <w:shd w:val="clear" w:color="auto" w:fill="auto"/>
            <w:noWrap/>
            <w:hideMark/>
          </w:tcPr>
          <w:p w14:paraId="096376D0" w14:textId="213DA569" w:rsidR="00596711" w:rsidRPr="0049175C" w:rsidRDefault="00596711" w:rsidP="00793029">
            <w:pPr>
              <w:pStyle w:val="Tablenumbers"/>
              <w:spacing w:before="20" w:after="20"/>
              <w:rPr>
                <w:lang w:eastAsia="en-GB"/>
              </w:rPr>
            </w:pPr>
            <w:r w:rsidRPr="00251FD9">
              <w:t>-3.7%</w:t>
            </w:r>
          </w:p>
        </w:tc>
        <w:tc>
          <w:tcPr>
            <w:tcW w:w="1325" w:type="dxa"/>
            <w:tcBorders>
              <w:top w:val="nil"/>
              <w:left w:val="nil"/>
              <w:bottom w:val="nil"/>
              <w:right w:val="nil"/>
            </w:tcBorders>
            <w:shd w:val="clear" w:color="auto" w:fill="auto"/>
            <w:noWrap/>
            <w:hideMark/>
          </w:tcPr>
          <w:p w14:paraId="47D1AE5A" w14:textId="68AE1171" w:rsidR="00596711" w:rsidRPr="0049175C" w:rsidRDefault="00596711" w:rsidP="00793029">
            <w:pPr>
              <w:pStyle w:val="Tablenumbers"/>
              <w:spacing w:before="20" w:after="20"/>
              <w:ind w:right="225"/>
              <w:rPr>
                <w:lang w:eastAsia="en-GB"/>
              </w:rPr>
            </w:pPr>
            <w:r w:rsidRPr="00251FD9">
              <w:t>-0.8%</w:t>
            </w:r>
          </w:p>
        </w:tc>
      </w:tr>
      <w:tr w:rsidR="00596711" w:rsidRPr="0049175C" w14:paraId="62B16F44" w14:textId="77777777" w:rsidTr="00793029">
        <w:trPr>
          <w:trHeight w:val="360"/>
        </w:trPr>
        <w:tc>
          <w:tcPr>
            <w:tcW w:w="2552" w:type="dxa"/>
            <w:tcBorders>
              <w:top w:val="nil"/>
              <w:left w:val="nil"/>
              <w:bottom w:val="nil"/>
              <w:right w:val="single" w:sz="4" w:space="0" w:color="006EC8"/>
            </w:tcBorders>
            <w:shd w:val="clear" w:color="auto" w:fill="auto"/>
            <w:noWrap/>
            <w:vAlign w:val="bottom"/>
            <w:hideMark/>
          </w:tcPr>
          <w:p w14:paraId="609F4927" w14:textId="77777777" w:rsidR="00596711" w:rsidRPr="0049175C" w:rsidRDefault="00596711" w:rsidP="00793029">
            <w:pPr>
              <w:pStyle w:val="Tabletext"/>
              <w:spacing w:before="20" w:after="20"/>
              <w:rPr>
                <w:lang w:eastAsia="en-GB"/>
              </w:rPr>
            </w:pPr>
            <w:r w:rsidRPr="0049175C">
              <w:rPr>
                <w:lang w:eastAsia="en-GB"/>
              </w:rPr>
              <w:t>Number of participants</w:t>
            </w:r>
          </w:p>
        </w:tc>
        <w:tc>
          <w:tcPr>
            <w:tcW w:w="1002" w:type="dxa"/>
            <w:tcBorders>
              <w:top w:val="nil"/>
              <w:left w:val="nil"/>
              <w:bottom w:val="nil"/>
              <w:right w:val="nil"/>
            </w:tcBorders>
            <w:shd w:val="clear" w:color="auto" w:fill="auto"/>
            <w:noWrap/>
            <w:hideMark/>
          </w:tcPr>
          <w:p w14:paraId="59C6550D" w14:textId="47894838" w:rsidR="00596711" w:rsidRPr="0049175C" w:rsidRDefault="00596711" w:rsidP="00793029">
            <w:pPr>
              <w:pStyle w:val="Tablenumbers"/>
              <w:spacing w:before="20" w:after="20"/>
              <w:rPr>
                <w:lang w:eastAsia="en-GB"/>
              </w:rPr>
            </w:pPr>
            <w:r w:rsidRPr="00251FD9">
              <w:t>8.2</w:t>
            </w:r>
          </w:p>
        </w:tc>
        <w:tc>
          <w:tcPr>
            <w:tcW w:w="1016" w:type="dxa"/>
            <w:tcBorders>
              <w:top w:val="nil"/>
              <w:left w:val="nil"/>
              <w:bottom w:val="nil"/>
              <w:right w:val="nil"/>
            </w:tcBorders>
            <w:shd w:val="clear" w:color="auto" w:fill="auto"/>
            <w:noWrap/>
            <w:hideMark/>
          </w:tcPr>
          <w:p w14:paraId="28B9C58A" w14:textId="5469FC55" w:rsidR="00596711" w:rsidRPr="0049175C" w:rsidRDefault="00596711" w:rsidP="00793029">
            <w:pPr>
              <w:pStyle w:val="Tablenumbers"/>
              <w:spacing w:before="20" w:after="20"/>
              <w:rPr>
                <w:lang w:eastAsia="en-GB"/>
              </w:rPr>
            </w:pPr>
            <w:r w:rsidRPr="00251FD9">
              <w:t>35.2%</w:t>
            </w:r>
          </w:p>
        </w:tc>
        <w:tc>
          <w:tcPr>
            <w:tcW w:w="1352" w:type="dxa"/>
            <w:tcBorders>
              <w:top w:val="nil"/>
              <w:left w:val="nil"/>
              <w:bottom w:val="nil"/>
              <w:right w:val="single" w:sz="4" w:space="0" w:color="006EC8"/>
            </w:tcBorders>
            <w:shd w:val="clear" w:color="auto" w:fill="auto"/>
            <w:noWrap/>
            <w:hideMark/>
          </w:tcPr>
          <w:p w14:paraId="79DC1599" w14:textId="4D7016AF" w:rsidR="00596711" w:rsidRPr="0049175C" w:rsidRDefault="00596711" w:rsidP="00793029">
            <w:pPr>
              <w:pStyle w:val="Tablenumbers"/>
              <w:spacing w:before="20" w:after="20"/>
              <w:ind w:right="233"/>
              <w:rPr>
                <w:lang w:eastAsia="en-GB"/>
              </w:rPr>
            </w:pPr>
            <w:r w:rsidRPr="00251FD9">
              <w:t>7.8%</w:t>
            </w:r>
          </w:p>
        </w:tc>
        <w:tc>
          <w:tcPr>
            <w:tcW w:w="1002" w:type="dxa"/>
            <w:tcBorders>
              <w:top w:val="nil"/>
              <w:left w:val="nil"/>
              <w:bottom w:val="nil"/>
              <w:right w:val="nil"/>
            </w:tcBorders>
            <w:shd w:val="clear" w:color="auto" w:fill="auto"/>
            <w:noWrap/>
            <w:hideMark/>
          </w:tcPr>
          <w:p w14:paraId="0B357FF4" w14:textId="3BD0331C" w:rsidR="00596711" w:rsidRPr="0049175C" w:rsidRDefault="00596711" w:rsidP="00793029">
            <w:pPr>
              <w:pStyle w:val="Tablenumbers"/>
              <w:spacing w:before="20" w:after="20"/>
              <w:rPr>
                <w:lang w:eastAsia="en-GB"/>
              </w:rPr>
            </w:pPr>
            <w:r w:rsidRPr="00251FD9">
              <w:t>10.5</w:t>
            </w:r>
          </w:p>
        </w:tc>
        <w:tc>
          <w:tcPr>
            <w:tcW w:w="982" w:type="dxa"/>
            <w:tcBorders>
              <w:top w:val="nil"/>
              <w:left w:val="nil"/>
              <w:bottom w:val="nil"/>
              <w:right w:val="nil"/>
            </w:tcBorders>
            <w:shd w:val="clear" w:color="auto" w:fill="auto"/>
            <w:noWrap/>
            <w:hideMark/>
          </w:tcPr>
          <w:p w14:paraId="1E7A6060" w14:textId="320301CE" w:rsidR="00596711" w:rsidRPr="0049175C" w:rsidRDefault="00596711" w:rsidP="00793029">
            <w:pPr>
              <w:pStyle w:val="Tablenumbers"/>
              <w:spacing w:before="20" w:after="20"/>
              <w:rPr>
                <w:lang w:eastAsia="en-GB"/>
              </w:rPr>
            </w:pPr>
            <w:r w:rsidRPr="00251FD9">
              <w:t>26.7%</w:t>
            </w:r>
          </w:p>
        </w:tc>
        <w:tc>
          <w:tcPr>
            <w:tcW w:w="1325" w:type="dxa"/>
            <w:tcBorders>
              <w:top w:val="nil"/>
              <w:left w:val="nil"/>
              <w:bottom w:val="nil"/>
              <w:right w:val="nil"/>
            </w:tcBorders>
            <w:shd w:val="clear" w:color="auto" w:fill="auto"/>
            <w:noWrap/>
            <w:hideMark/>
          </w:tcPr>
          <w:p w14:paraId="57D00735" w14:textId="30D09246" w:rsidR="00596711" w:rsidRPr="0049175C" w:rsidRDefault="00596711" w:rsidP="00793029">
            <w:pPr>
              <w:pStyle w:val="Tablenumbers"/>
              <w:spacing w:before="20" w:after="20"/>
              <w:ind w:right="225"/>
              <w:rPr>
                <w:lang w:eastAsia="en-GB"/>
              </w:rPr>
            </w:pPr>
            <w:r w:rsidRPr="00251FD9">
              <w:t>4.8%</w:t>
            </w:r>
          </w:p>
        </w:tc>
      </w:tr>
      <w:tr w:rsidR="00596711" w:rsidRPr="0049175C" w14:paraId="707BC596" w14:textId="77777777" w:rsidTr="00793029">
        <w:trPr>
          <w:trHeight w:val="360"/>
        </w:trPr>
        <w:tc>
          <w:tcPr>
            <w:tcW w:w="2552" w:type="dxa"/>
            <w:tcBorders>
              <w:top w:val="nil"/>
              <w:left w:val="nil"/>
              <w:bottom w:val="nil"/>
              <w:right w:val="single" w:sz="4" w:space="0" w:color="006EC8"/>
            </w:tcBorders>
            <w:shd w:val="clear" w:color="auto" w:fill="auto"/>
            <w:noWrap/>
            <w:vAlign w:val="bottom"/>
            <w:hideMark/>
          </w:tcPr>
          <w:p w14:paraId="4C067CF0" w14:textId="77777777" w:rsidR="00596711" w:rsidRPr="0049175C" w:rsidRDefault="00596711" w:rsidP="00793029">
            <w:pPr>
              <w:pStyle w:val="Tabletext"/>
              <w:spacing w:before="20" w:after="20"/>
              <w:rPr>
                <w:lang w:eastAsia="en-GB"/>
              </w:rPr>
            </w:pPr>
            <w:r w:rsidRPr="0049175C">
              <w:rPr>
                <w:lang w:eastAsia="en-GB"/>
              </w:rPr>
              <w:t>Inflation</w:t>
            </w:r>
          </w:p>
        </w:tc>
        <w:tc>
          <w:tcPr>
            <w:tcW w:w="1002" w:type="dxa"/>
            <w:tcBorders>
              <w:top w:val="nil"/>
              <w:left w:val="nil"/>
              <w:bottom w:val="nil"/>
              <w:right w:val="nil"/>
            </w:tcBorders>
            <w:shd w:val="clear" w:color="auto" w:fill="auto"/>
            <w:noWrap/>
            <w:hideMark/>
          </w:tcPr>
          <w:p w14:paraId="2FF3D8FB" w14:textId="24876294" w:rsidR="00596711" w:rsidRPr="0049175C" w:rsidRDefault="00596711" w:rsidP="00793029">
            <w:pPr>
              <w:pStyle w:val="Tablenumbers"/>
              <w:spacing w:before="20" w:after="20"/>
              <w:rPr>
                <w:lang w:eastAsia="en-GB"/>
              </w:rPr>
            </w:pPr>
            <w:r w:rsidRPr="00251FD9">
              <w:t>4.2</w:t>
            </w:r>
          </w:p>
        </w:tc>
        <w:tc>
          <w:tcPr>
            <w:tcW w:w="1016" w:type="dxa"/>
            <w:tcBorders>
              <w:top w:val="nil"/>
              <w:left w:val="nil"/>
              <w:bottom w:val="nil"/>
              <w:right w:val="nil"/>
            </w:tcBorders>
            <w:shd w:val="clear" w:color="auto" w:fill="auto"/>
            <w:noWrap/>
            <w:hideMark/>
          </w:tcPr>
          <w:p w14:paraId="38D7EE33" w14:textId="693A2CBB" w:rsidR="00596711" w:rsidRPr="0049175C" w:rsidRDefault="00596711" w:rsidP="00793029">
            <w:pPr>
              <w:pStyle w:val="Tablenumbers"/>
              <w:spacing w:before="20" w:after="20"/>
              <w:rPr>
                <w:lang w:eastAsia="en-GB"/>
              </w:rPr>
            </w:pPr>
            <w:r w:rsidRPr="00251FD9">
              <w:t>13.2%</w:t>
            </w:r>
          </w:p>
        </w:tc>
        <w:tc>
          <w:tcPr>
            <w:tcW w:w="1352" w:type="dxa"/>
            <w:tcBorders>
              <w:top w:val="nil"/>
              <w:left w:val="nil"/>
              <w:bottom w:val="nil"/>
              <w:right w:val="single" w:sz="4" w:space="0" w:color="006EC8"/>
            </w:tcBorders>
            <w:shd w:val="clear" w:color="auto" w:fill="auto"/>
            <w:noWrap/>
            <w:hideMark/>
          </w:tcPr>
          <w:p w14:paraId="4ED9EC46" w14:textId="6FE1459E" w:rsidR="00596711" w:rsidRPr="0049175C" w:rsidRDefault="00596711" w:rsidP="00793029">
            <w:pPr>
              <w:pStyle w:val="Tablenumbers"/>
              <w:spacing w:before="20" w:after="20"/>
              <w:ind w:right="233"/>
              <w:rPr>
                <w:lang w:eastAsia="en-GB"/>
              </w:rPr>
            </w:pPr>
            <w:r w:rsidRPr="00251FD9">
              <w:t>3.1%</w:t>
            </w:r>
          </w:p>
        </w:tc>
        <w:tc>
          <w:tcPr>
            <w:tcW w:w="1002" w:type="dxa"/>
            <w:tcBorders>
              <w:top w:val="nil"/>
              <w:left w:val="nil"/>
              <w:bottom w:val="nil"/>
              <w:right w:val="nil"/>
            </w:tcBorders>
            <w:shd w:val="clear" w:color="auto" w:fill="auto"/>
            <w:noWrap/>
            <w:hideMark/>
          </w:tcPr>
          <w:p w14:paraId="194A19CA" w14:textId="0749217F" w:rsidR="00596711" w:rsidRPr="0049175C" w:rsidRDefault="00596711" w:rsidP="00793029">
            <w:pPr>
              <w:pStyle w:val="Tablenumbers"/>
              <w:spacing w:before="20" w:after="20"/>
              <w:rPr>
                <w:lang w:eastAsia="en-GB"/>
              </w:rPr>
            </w:pPr>
            <w:r w:rsidRPr="00251FD9">
              <w:t>8.5</w:t>
            </w:r>
          </w:p>
        </w:tc>
        <w:tc>
          <w:tcPr>
            <w:tcW w:w="982" w:type="dxa"/>
            <w:tcBorders>
              <w:top w:val="nil"/>
              <w:left w:val="nil"/>
              <w:bottom w:val="nil"/>
              <w:right w:val="nil"/>
            </w:tcBorders>
            <w:shd w:val="clear" w:color="auto" w:fill="auto"/>
            <w:noWrap/>
            <w:hideMark/>
          </w:tcPr>
          <w:p w14:paraId="4ACC247D" w14:textId="7F635A25" w:rsidR="00596711" w:rsidRPr="0049175C" w:rsidRDefault="00596711" w:rsidP="00793029">
            <w:pPr>
              <w:pStyle w:val="Tablenumbers"/>
              <w:spacing w:before="20" w:after="20"/>
              <w:rPr>
                <w:lang w:eastAsia="en-GB"/>
              </w:rPr>
            </w:pPr>
            <w:r w:rsidRPr="00251FD9">
              <w:t>17.1%</w:t>
            </w:r>
          </w:p>
        </w:tc>
        <w:tc>
          <w:tcPr>
            <w:tcW w:w="1325" w:type="dxa"/>
            <w:tcBorders>
              <w:top w:val="nil"/>
              <w:left w:val="nil"/>
              <w:bottom w:val="nil"/>
              <w:right w:val="nil"/>
            </w:tcBorders>
            <w:shd w:val="clear" w:color="auto" w:fill="auto"/>
            <w:noWrap/>
            <w:hideMark/>
          </w:tcPr>
          <w:p w14:paraId="14A09B8A" w14:textId="34FD9FDE" w:rsidR="00596711" w:rsidRPr="0049175C" w:rsidRDefault="00596711" w:rsidP="00793029">
            <w:pPr>
              <w:pStyle w:val="Tablenumbers"/>
              <w:spacing w:before="20" w:after="20"/>
              <w:ind w:right="225"/>
              <w:rPr>
                <w:lang w:eastAsia="en-GB"/>
              </w:rPr>
            </w:pPr>
            <w:r w:rsidRPr="00251FD9">
              <w:t>3.2%</w:t>
            </w:r>
          </w:p>
        </w:tc>
      </w:tr>
      <w:tr w:rsidR="00596711" w:rsidRPr="0049175C" w14:paraId="6ED94E3B" w14:textId="77777777" w:rsidTr="00793029">
        <w:trPr>
          <w:trHeight w:val="360"/>
        </w:trPr>
        <w:tc>
          <w:tcPr>
            <w:tcW w:w="2552" w:type="dxa"/>
            <w:tcBorders>
              <w:top w:val="nil"/>
              <w:left w:val="nil"/>
              <w:bottom w:val="nil"/>
              <w:right w:val="single" w:sz="4" w:space="0" w:color="006EC8"/>
            </w:tcBorders>
            <w:shd w:val="clear" w:color="auto" w:fill="auto"/>
            <w:noWrap/>
            <w:vAlign w:val="bottom"/>
            <w:hideMark/>
          </w:tcPr>
          <w:p w14:paraId="5757FE22" w14:textId="77777777" w:rsidR="00596711" w:rsidRPr="0049175C" w:rsidRDefault="00596711" w:rsidP="00793029">
            <w:pPr>
              <w:pStyle w:val="Tabletext"/>
              <w:spacing w:before="20" w:after="20"/>
              <w:rPr>
                <w:lang w:eastAsia="en-GB"/>
              </w:rPr>
            </w:pPr>
            <w:r w:rsidRPr="0049175C">
              <w:rPr>
                <w:lang w:eastAsia="en-GB"/>
              </w:rPr>
              <w:t>Superimposed inflation</w:t>
            </w:r>
          </w:p>
        </w:tc>
        <w:tc>
          <w:tcPr>
            <w:tcW w:w="1002" w:type="dxa"/>
            <w:tcBorders>
              <w:top w:val="nil"/>
              <w:left w:val="nil"/>
              <w:bottom w:val="nil"/>
              <w:right w:val="nil"/>
            </w:tcBorders>
            <w:shd w:val="clear" w:color="auto" w:fill="auto"/>
            <w:noWrap/>
            <w:hideMark/>
          </w:tcPr>
          <w:p w14:paraId="65BD34E4" w14:textId="4A05162F" w:rsidR="00596711" w:rsidRPr="0049175C" w:rsidRDefault="00596711" w:rsidP="00793029">
            <w:pPr>
              <w:pStyle w:val="Tablenumbers"/>
              <w:spacing w:before="20" w:after="20"/>
              <w:rPr>
                <w:lang w:eastAsia="en-GB"/>
              </w:rPr>
            </w:pPr>
            <w:r w:rsidRPr="00251FD9">
              <w:t>4.9</w:t>
            </w:r>
          </w:p>
        </w:tc>
        <w:tc>
          <w:tcPr>
            <w:tcW w:w="1016" w:type="dxa"/>
            <w:tcBorders>
              <w:top w:val="nil"/>
              <w:left w:val="nil"/>
              <w:bottom w:val="nil"/>
              <w:right w:val="nil"/>
            </w:tcBorders>
            <w:shd w:val="clear" w:color="auto" w:fill="auto"/>
            <w:noWrap/>
            <w:hideMark/>
          </w:tcPr>
          <w:p w14:paraId="26A3072A" w14:textId="2C4D815D" w:rsidR="00596711" w:rsidRPr="0049175C" w:rsidRDefault="00596711" w:rsidP="00793029">
            <w:pPr>
              <w:pStyle w:val="Tablenumbers"/>
              <w:spacing w:before="20" w:after="20"/>
              <w:rPr>
                <w:lang w:eastAsia="en-GB"/>
              </w:rPr>
            </w:pPr>
            <w:r w:rsidRPr="00251FD9">
              <w:t>13.7%</w:t>
            </w:r>
          </w:p>
        </w:tc>
        <w:tc>
          <w:tcPr>
            <w:tcW w:w="1352" w:type="dxa"/>
            <w:tcBorders>
              <w:top w:val="nil"/>
              <w:left w:val="nil"/>
              <w:bottom w:val="nil"/>
              <w:right w:val="single" w:sz="4" w:space="0" w:color="006EC8"/>
            </w:tcBorders>
            <w:shd w:val="clear" w:color="auto" w:fill="auto"/>
            <w:noWrap/>
            <w:hideMark/>
          </w:tcPr>
          <w:p w14:paraId="5756A528" w14:textId="2C3AABE7" w:rsidR="00596711" w:rsidRPr="0049175C" w:rsidRDefault="00596711" w:rsidP="00793029">
            <w:pPr>
              <w:pStyle w:val="Tablenumbers"/>
              <w:spacing w:before="20" w:after="20"/>
              <w:ind w:right="233"/>
              <w:rPr>
                <w:lang w:eastAsia="en-GB"/>
              </w:rPr>
            </w:pPr>
            <w:r w:rsidRPr="00251FD9">
              <w:t>3.3%</w:t>
            </w:r>
          </w:p>
        </w:tc>
        <w:tc>
          <w:tcPr>
            <w:tcW w:w="1002" w:type="dxa"/>
            <w:tcBorders>
              <w:top w:val="nil"/>
              <w:left w:val="nil"/>
              <w:bottom w:val="nil"/>
              <w:right w:val="nil"/>
            </w:tcBorders>
            <w:shd w:val="clear" w:color="auto" w:fill="auto"/>
            <w:noWrap/>
            <w:hideMark/>
          </w:tcPr>
          <w:p w14:paraId="320AD3A3" w14:textId="2689A057" w:rsidR="00596711" w:rsidRPr="0049175C" w:rsidRDefault="00596711" w:rsidP="00793029">
            <w:pPr>
              <w:pStyle w:val="Tablenumbers"/>
              <w:spacing w:before="20" w:after="20"/>
              <w:rPr>
                <w:lang w:eastAsia="en-GB"/>
              </w:rPr>
            </w:pPr>
            <w:r w:rsidRPr="00251FD9">
              <w:t>0.3</w:t>
            </w:r>
          </w:p>
        </w:tc>
        <w:tc>
          <w:tcPr>
            <w:tcW w:w="982" w:type="dxa"/>
            <w:tcBorders>
              <w:top w:val="nil"/>
              <w:left w:val="nil"/>
              <w:bottom w:val="nil"/>
              <w:right w:val="nil"/>
            </w:tcBorders>
            <w:shd w:val="clear" w:color="auto" w:fill="auto"/>
            <w:noWrap/>
            <w:hideMark/>
          </w:tcPr>
          <w:p w14:paraId="6465E177" w14:textId="056F203B" w:rsidR="00596711" w:rsidRPr="0049175C" w:rsidRDefault="00596711" w:rsidP="00793029">
            <w:pPr>
              <w:pStyle w:val="Tablenumbers"/>
              <w:spacing w:before="20" w:after="20"/>
              <w:rPr>
                <w:lang w:eastAsia="en-GB"/>
              </w:rPr>
            </w:pPr>
            <w:r w:rsidRPr="00251FD9">
              <w:t>0.5%</w:t>
            </w:r>
          </w:p>
        </w:tc>
        <w:tc>
          <w:tcPr>
            <w:tcW w:w="1325" w:type="dxa"/>
            <w:tcBorders>
              <w:top w:val="nil"/>
              <w:left w:val="nil"/>
              <w:bottom w:val="nil"/>
              <w:right w:val="nil"/>
            </w:tcBorders>
            <w:shd w:val="clear" w:color="auto" w:fill="auto"/>
            <w:noWrap/>
            <w:hideMark/>
          </w:tcPr>
          <w:p w14:paraId="3387767C" w14:textId="555EA74C" w:rsidR="00596711" w:rsidRPr="0049175C" w:rsidRDefault="00596711" w:rsidP="00793029">
            <w:pPr>
              <w:pStyle w:val="Tablenumbers"/>
              <w:spacing w:before="20" w:after="20"/>
              <w:ind w:right="225"/>
              <w:rPr>
                <w:lang w:eastAsia="en-GB"/>
              </w:rPr>
            </w:pPr>
            <w:r w:rsidRPr="00251FD9">
              <w:t>0.1%</w:t>
            </w:r>
          </w:p>
        </w:tc>
      </w:tr>
      <w:tr w:rsidR="00596711" w:rsidRPr="00596711" w14:paraId="2A77CBFB" w14:textId="77777777" w:rsidTr="00793029">
        <w:trPr>
          <w:trHeight w:val="70"/>
        </w:trPr>
        <w:tc>
          <w:tcPr>
            <w:tcW w:w="2552" w:type="dxa"/>
            <w:tcBorders>
              <w:top w:val="single" w:sz="4" w:space="0" w:color="006EC8"/>
              <w:left w:val="nil"/>
              <w:bottom w:val="single" w:sz="4" w:space="0" w:color="006EC8"/>
              <w:right w:val="single" w:sz="4" w:space="0" w:color="006EC8"/>
            </w:tcBorders>
            <w:shd w:val="clear" w:color="auto" w:fill="auto"/>
            <w:noWrap/>
            <w:vAlign w:val="bottom"/>
            <w:hideMark/>
          </w:tcPr>
          <w:p w14:paraId="219B2FD0" w14:textId="77777777" w:rsidR="00596711" w:rsidRPr="00E57B02" w:rsidRDefault="00596711" w:rsidP="00793029">
            <w:pPr>
              <w:pStyle w:val="Tabletext"/>
              <w:spacing w:before="20" w:after="20"/>
              <w:rPr>
                <w:b/>
                <w:bCs/>
                <w:lang w:eastAsia="en-GB"/>
              </w:rPr>
            </w:pPr>
            <w:r w:rsidRPr="00E57B02">
              <w:rPr>
                <w:b/>
                <w:bCs/>
                <w:lang w:eastAsia="en-GB"/>
              </w:rPr>
              <w:t>Payments in final year</w:t>
            </w:r>
          </w:p>
        </w:tc>
        <w:tc>
          <w:tcPr>
            <w:tcW w:w="1002" w:type="dxa"/>
            <w:tcBorders>
              <w:top w:val="single" w:sz="4" w:space="0" w:color="006EC8"/>
              <w:left w:val="nil"/>
              <w:bottom w:val="single" w:sz="4" w:space="0" w:color="006EC8"/>
              <w:right w:val="nil"/>
            </w:tcBorders>
            <w:shd w:val="clear" w:color="auto" w:fill="auto"/>
            <w:noWrap/>
            <w:hideMark/>
          </w:tcPr>
          <w:p w14:paraId="5985F423" w14:textId="0CD2DE3F" w:rsidR="00596711" w:rsidRPr="00596711" w:rsidRDefault="00596711" w:rsidP="00793029">
            <w:pPr>
              <w:pStyle w:val="Tablenumbers"/>
              <w:spacing w:before="20" w:after="20"/>
              <w:rPr>
                <w:b/>
                <w:bCs/>
                <w:lang w:eastAsia="en-GB"/>
              </w:rPr>
            </w:pPr>
            <w:r w:rsidRPr="00596711">
              <w:rPr>
                <w:b/>
                <w:bCs/>
              </w:rPr>
              <w:t>40.8</w:t>
            </w:r>
          </w:p>
        </w:tc>
        <w:tc>
          <w:tcPr>
            <w:tcW w:w="1016" w:type="dxa"/>
            <w:tcBorders>
              <w:top w:val="single" w:sz="4" w:space="0" w:color="006EC8"/>
              <w:left w:val="nil"/>
              <w:bottom w:val="single" w:sz="4" w:space="0" w:color="006EC8"/>
              <w:right w:val="nil"/>
            </w:tcBorders>
            <w:shd w:val="clear" w:color="auto" w:fill="auto"/>
            <w:noWrap/>
            <w:hideMark/>
          </w:tcPr>
          <w:p w14:paraId="02F3B7B0" w14:textId="1EA3500F" w:rsidR="00596711" w:rsidRPr="00596711" w:rsidRDefault="00596711" w:rsidP="00793029">
            <w:pPr>
              <w:pStyle w:val="Tablenumbers"/>
              <w:spacing w:before="20" w:after="20"/>
              <w:rPr>
                <w:b/>
                <w:bCs/>
                <w:lang w:eastAsia="en-GB"/>
              </w:rPr>
            </w:pPr>
            <w:r w:rsidRPr="00596711">
              <w:rPr>
                <w:b/>
                <w:bCs/>
              </w:rPr>
              <w:t>75.0%</w:t>
            </w:r>
          </w:p>
        </w:tc>
        <w:tc>
          <w:tcPr>
            <w:tcW w:w="1352" w:type="dxa"/>
            <w:tcBorders>
              <w:top w:val="single" w:sz="4" w:space="0" w:color="006EC8"/>
              <w:left w:val="nil"/>
              <w:bottom w:val="single" w:sz="4" w:space="0" w:color="006EC8"/>
              <w:right w:val="single" w:sz="4" w:space="0" w:color="006EC8"/>
            </w:tcBorders>
            <w:shd w:val="clear" w:color="auto" w:fill="auto"/>
            <w:noWrap/>
            <w:hideMark/>
          </w:tcPr>
          <w:p w14:paraId="5ADA8DAA" w14:textId="7CDBD5D4" w:rsidR="00596711" w:rsidRPr="00596711" w:rsidRDefault="00596711" w:rsidP="00793029">
            <w:pPr>
              <w:pStyle w:val="Tablenumbers"/>
              <w:spacing w:before="20" w:after="20"/>
              <w:ind w:right="233"/>
              <w:rPr>
                <w:b/>
                <w:bCs/>
                <w:lang w:eastAsia="en-GB"/>
              </w:rPr>
            </w:pPr>
            <w:r w:rsidRPr="00596711">
              <w:rPr>
                <w:b/>
                <w:bCs/>
              </w:rPr>
              <w:t>15.0%</w:t>
            </w:r>
          </w:p>
        </w:tc>
        <w:tc>
          <w:tcPr>
            <w:tcW w:w="1002" w:type="dxa"/>
            <w:tcBorders>
              <w:top w:val="single" w:sz="4" w:space="0" w:color="006EC8"/>
              <w:left w:val="nil"/>
              <w:bottom w:val="single" w:sz="4" w:space="0" w:color="006EC8"/>
              <w:right w:val="nil"/>
            </w:tcBorders>
            <w:shd w:val="clear" w:color="auto" w:fill="auto"/>
            <w:noWrap/>
            <w:hideMark/>
          </w:tcPr>
          <w:p w14:paraId="0D798B7B" w14:textId="5EAE8CE2" w:rsidR="00596711" w:rsidRPr="00596711" w:rsidRDefault="00596711" w:rsidP="00793029">
            <w:pPr>
              <w:pStyle w:val="Tablenumbers"/>
              <w:spacing w:before="20" w:after="20"/>
              <w:rPr>
                <w:b/>
                <w:bCs/>
                <w:lang w:eastAsia="en-GB"/>
              </w:rPr>
            </w:pPr>
            <w:r w:rsidRPr="00596711">
              <w:rPr>
                <w:b/>
                <w:bCs/>
              </w:rPr>
              <w:t>58.5</w:t>
            </w:r>
          </w:p>
        </w:tc>
        <w:tc>
          <w:tcPr>
            <w:tcW w:w="982" w:type="dxa"/>
            <w:tcBorders>
              <w:top w:val="single" w:sz="4" w:space="0" w:color="006EC8"/>
              <w:left w:val="nil"/>
              <w:bottom w:val="single" w:sz="4" w:space="0" w:color="006EC8"/>
              <w:right w:val="nil"/>
            </w:tcBorders>
            <w:shd w:val="clear" w:color="auto" w:fill="auto"/>
            <w:noWrap/>
            <w:hideMark/>
          </w:tcPr>
          <w:p w14:paraId="0AE89433" w14:textId="1575D6CD" w:rsidR="00596711" w:rsidRPr="00596711" w:rsidRDefault="00596711" w:rsidP="00793029">
            <w:pPr>
              <w:pStyle w:val="Tablenumbers"/>
              <w:spacing w:before="20" w:after="20"/>
              <w:rPr>
                <w:b/>
                <w:bCs/>
                <w:lang w:eastAsia="en-GB"/>
              </w:rPr>
            </w:pPr>
            <w:r w:rsidRPr="00596711">
              <w:rPr>
                <w:b/>
                <w:bCs/>
              </w:rPr>
              <w:t>43.3%</w:t>
            </w:r>
          </w:p>
        </w:tc>
        <w:tc>
          <w:tcPr>
            <w:tcW w:w="1325" w:type="dxa"/>
            <w:tcBorders>
              <w:top w:val="single" w:sz="4" w:space="0" w:color="006EC8"/>
              <w:left w:val="nil"/>
              <w:bottom w:val="single" w:sz="4" w:space="0" w:color="006EC8"/>
              <w:right w:val="nil"/>
            </w:tcBorders>
            <w:shd w:val="clear" w:color="auto" w:fill="auto"/>
            <w:noWrap/>
            <w:hideMark/>
          </w:tcPr>
          <w:p w14:paraId="178A29F1" w14:textId="6DB28894" w:rsidR="00596711" w:rsidRPr="00596711" w:rsidRDefault="00596711" w:rsidP="00793029">
            <w:pPr>
              <w:pStyle w:val="Tablenumbers"/>
              <w:spacing w:before="20" w:after="20"/>
              <w:ind w:right="225"/>
              <w:rPr>
                <w:b/>
                <w:bCs/>
                <w:lang w:eastAsia="en-GB"/>
              </w:rPr>
            </w:pPr>
            <w:r w:rsidRPr="00596711">
              <w:rPr>
                <w:b/>
                <w:bCs/>
              </w:rPr>
              <w:t>7.5%</w:t>
            </w:r>
          </w:p>
        </w:tc>
      </w:tr>
    </w:tbl>
    <w:p w14:paraId="50D93652" w14:textId="2C848E37" w:rsidR="00403105" w:rsidRDefault="00403105" w:rsidP="00CE626D">
      <w:pPr>
        <w:spacing w:before="0"/>
        <w:rPr>
          <w:sz w:val="16"/>
          <w:szCs w:val="16"/>
        </w:rPr>
      </w:pPr>
      <w:r w:rsidRPr="0049175C">
        <w:rPr>
          <w:sz w:val="16"/>
          <w:szCs w:val="16"/>
        </w:rPr>
        <w:t>Note: the total percentage changes are greater than the sum of the individual changes due to the effect of compounding</w:t>
      </w:r>
      <w:r>
        <w:rPr>
          <w:sz w:val="16"/>
          <w:szCs w:val="16"/>
        </w:rPr>
        <w:t xml:space="preserve">. For example: </w:t>
      </w:r>
      <w:r w:rsidR="00CF34E2">
        <w:rPr>
          <w:sz w:val="16"/>
          <w:szCs w:val="16"/>
        </w:rPr>
        <w:br/>
      </w:r>
      <w:r w:rsidRPr="0049175C">
        <w:rPr>
          <w:sz w:val="16"/>
          <w:szCs w:val="16"/>
        </w:rPr>
        <w:t>(1+</w:t>
      </w:r>
      <w:r w:rsidR="00596711">
        <w:rPr>
          <w:sz w:val="16"/>
          <w:szCs w:val="16"/>
        </w:rPr>
        <w:t>0.6</w:t>
      </w:r>
      <w:r w:rsidRPr="0049175C">
        <w:rPr>
          <w:sz w:val="16"/>
          <w:szCs w:val="16"/>
        </w:rPr>
        <w:t>%) x ( 1+35.</w:t>
      </w:r>
      <w:r>
        <w:rPr>
          <w:sz w:val="16"/>
          <w:szCs w:val="16"/>
        </w:rPr>
        <w:t>2</w:t>
      </w:r>
      <w:r w:rsidRPr="0049175C">
        <w:rPr>
          <w:sz w:val="16"/>
          <w:szCs w:val="16"/>
        </w:rPr>
        <w:t>%) x ( 1+13.2%) x (1+1</w:t>
      </w:r>
      <w:r>
        <w:rPr>
          <w:sz w:val="16"/>
          <w:szCs w:val="16"/>
        </w:rPr>
        <w:t>3</w:t>
      </w:r>
      <w:r w:rsidRPr="0049175C">
        <w:rPr>
          <w:sz w:val="16"/>
          <w:szCs w:val="16"/>
        </w:rPr>
        <w:t>.</w:t>
      </w:r>
      <w:r>
        <w:rPr>
          <w:sz w:val="16"/>
          <w:szCs w:val="16"/>
        </w:rPr>
        <w:t>7</w:t>
      </w:r>
      <w:r w:rsidRPr="0049175C">
        <w:rPr>
          <w:sz w:val="16"/>
          <w:szCs w:val="16"/>
        </w:rPr>
        <w:t>%)-1 = 7</w:t>
      </w:r>
      <w:r w:rsidR="00596711">
        <w:rPr>
          <w:sz w:val="16"/>
          <w:szCs w:val="16"/>
        </w:rPr>
        <w:t>5.0</w:t>
      </w:r>
      <w:r w:rsidRPr="0049175C">
        <w:rPr>
          <w:sz w:val="16"/>
          <w:szCs w:val="16"/>
        </w:rPr>
        <w:t>%</w:t>
      </w:r>
    </w:p>
    <w:p w14:paraId="3805D556" w14:textId="10C2AFFF" w:rsidR="00403105" w:rsidRDefault="00403105" w:rsidP="00403105">
      <w:pPr>
        <w:spacing w:before="0" w:after="160" w:line="259" w:lineRule="auto"/>
        <w:rPr>
          <w:szCs w:val="21"/>
        </w:rPr>
      </w:pPr>
      <w:r>
        <w:rPr>
          <w:szCs w:val="21"/>
        </w:rPr>
        <w:t xml:space="preserve">Inflation is expected to be </w:t>
      </w:r>
      <w:r w:rsidR="00DD21FB">
        <w:rPr>
          <w:szCs w:val="21"/>
        </w:rPr>
        <w:t>stable</w:t>
      </w:r>
      <w:r>
        <w:rPr>
          <w:szCs w:val="21"/>
        </w:rPr>
        <w:t xml:space="preserve"> at </w:t>
      </w:r>
      <w:r w:rsidR="007C00FB">
        <w:rPr>
          <w:szCs w:val="21"/>
        </w:rPr>
        <w:t xml:space="preserve">about </w:t>
      </w:r>
      <w:r>
        <w:rPr>
          <w:szCs w:val="21"/>
        </w:rPr>
        <w:t xml:space="preserve">3.2% p.a. </w:t>
      </w:r>
      <w:r w:rsidR="007C00FB">
        <w:rPr>
          <w:szCs w:val="21"/>
        </w:rPr>
        <w:t xml:space="preserve">until 2029-30, </w:t>
      </w:r>
      <w:r>
        <w:rPr>
          <w:szCs w:val="21"/>
        </w:rPr>
        <w:t xml:space="preserve">whereas superimposed inflation is assumed to </w:t>
      </w:r>
      <w:r w:rsidR="007C00FB">
        <w:rPr>
          <w:szCs w:val="21"/>
        </w:rPr>
        <w:t xml:space="preserve">be </w:t>
      </w:r>
      <w:r>
        <w:rPr>
          <w:szCs w:val="21"/>
        </w:rPr>
        <w:t>13.7% over the next four years (3.3% p.a.) but only be 0.5% during the five years to 2029-30.</w:t>
      </w:r>
      <w:r w:rsidR="00ED2FC8">
        <w:rPr>
          <w:szCs w:val="21"/>
        </w:rPr>
        <w:t xml:space="preserve"> </w:t>
      </w:r>
      <w:r w:rsidR="00DD21FB">
        <w:rPr>
          <w:szCs w:val="21"/>
        </w:rPr>
        <w:t xml:space="preserve">Although total payments </w:t>
      </w:r>
      <w:r w:rsidR="006C4709">
        <w:rPr>
          <w:szCs w:val="21"/>
        </w:rPr>
        <w:t xml:space="preserve">in 2020-21 </w:t>
      </w:r>
      <w:r w:rsidR="00DD21FB">
        <w:rPr>
          <w:szCs w:val="21"/>
        </w:rPr>
        <w:t xml:space="preserve">were $23.3B, we note that </w:t>
      </w:r>
      <w:r w:rsidR="006C4709">
        <w:rPr>
          <w:szCs w:val="21"/>
        </w:rPr>
        <w:t xml:space="preserve">annualised </w:t>
      </w:r>
      <w:r w:rsidR="00DD21FB">
        <w:rPr>
          <w:szCs w:val="21"/>
        </w:rPr>
        <w:t xml:space="preserve">payments in the June 2021 quarter </w:t>
      </w:r>
      <w:r w:rsidR="006C4709">
        <w:rPr>
          <w:szCs w:val="21"/>
        </w:rPr>
        <w:t>(</w:t>
      </w:r>
      <w:r w:rsidR="006C4709">
        <w:t>after spreading residential aged care costs across the whole year</w:t>
      </w:r>
      <w:r w:rsidR="006C4709">
        <w:rPr>
          <w:szCs w:val="21"/>
        </w:rPr>
        <w:t xml:space="preserve">) </w:t>
      </w:r>
      <w:r w:rsidR="00DD21FB">
        <w:rPr>
          <w:szCs w:val="21"/>
        </w:rPr>
        <w:t>was $25.4B.</w:t>
      </w:r>
    </w:p>
    <w:p w14:paraId="52D60D26" w14:textId="3349AD91" w:rsidR="00403105" w:rsidRDefault="00403105" w:rsidP="00403105">
      <w:pPr>
        <w:spacing w:before="0" w:after="160" w:line="259" w:lineRule="auto"/>
        <w:rPr>
          <w:szCs w:val="21"/>
        </w:rPr>
      </w:pPr>
      <w:r>
        <w:rPr>
          <w:szCs w:val="21"/>
        </w:rPr>
        <w:t>The main source of growth is from p</w:t>
      </w:r>
      <w:r w:rsidRPr="006610A1">
        <w:rPr>
          <w:szCs w:val="21"/>
        </w:rPr>
        <w:t>art</w:t>
      </w:r>
      <w:r>
        <w:rPr>
          <w:szCs w:val="21"/>
        </w:rPr>
        <w:t>icipant numbers which are projected to increase by 44% from 2021 to 2025, followed by a further 28% increase to 2030. These additional participants are weighted towards lower support disabilities, especially over the next four years, and hence costs are projected to increase by 35.2% and 2</w:t>
      </w:r>
      <w:r w:rsidR="00596711">
        <w:rPr>
          <w:szCs w:val="21"/>
        </w:rPr>
        <w:t>6</w:t>
      </w:r>
      <w:r>
        <w:rPr>
          <w:szCs w:val="21"/>
        </w:rPr>
        <w:t>.</w:t>
      </w:r>
      <w:r w:rsidR="00596711">
        <w:rPr>
          <w:szCs w:val="21"/>
        </w:rPr>
        <w:t>7</w:t>
      </w:r>
      <w:r>
        <w:rPr>
          <w:szCs w:val="21"/>
        </w:rPr>
        <w:t xml:space="preserve">% respectively as a result. This is the largest contributor to the increase in payments during these two periods. In section </w:t>
      </w:r>
      <w:r>
        <w:rPr>
          <w:szCs w:val="21"/>
          <w:highlight w:val="yellow"/>
        </w:rPr>
        <w:fldChar w:fldCharType="begin"/>
      </w:r>
      <w:r>
        <w:rPr>
          <w:szCs w:val="21"/>
        </w:rPr>
        <w:instrText xml:space="preserve"> REF _Ref87100601 \r \h </w:instrText>
      </w:r>
      <w:r>
        <w:rPr>
          <w:szCs w:val="21"/>
          <w:highlight w:val="yellow"/>
        </w:rPr>
      </w:r>
      <w:r>
        <w:rPr>
          <w:szCs w:val="21"/>
          <w:highlight w:val="yellow"/>
        </w:rPr>
        <w:fldChar w:fldCharType="separate"/>
      </w:r>
      <w:r w:rsidR="00E6217F">
        <w:rPr>
          <w:szCs w:val="21"/>
        </w:rPr>
        <w:t>5.1</w:t>
      </w:r>
      <w:r>
        <w:rPr>
          <w:szCs w:val="21"/>
          <w:highlight w:val="yellow"/>
        </w:rPr>
        <w:fldChar w:fldCharType="end"/>
      </w:r>
      <w:r>
        <w:rPr>
          <w:szCs w:val="21"/>
        </w:rPr>
        <w:t>, the impact of participant numbers was smaller, in particular during the four years to 2024-25, which arises because the baseline estimate</w:t>
      </w:r>
      <w:r w:rsidR="007C00FB">
        <w:rPr>
          <w:szCs w:val="21"/>
        </w:rPr>
        <w:t>s</w:t>
      </w:r>
      <w:r>
        <w:rPr>
          <w:szCs w:val="21"/>
        </w:rPr>
        <w:t xml:space="preserve"> in those calculations was the </w:t>
      </w:r>
      <w:r w:rsidR="00D320CF">
        <w:rPr>
          <w:szCs w:val="21"/>
        </w:rPr>
        <w:t>2018-19 AFSR</w:t>
      </w:r>
      <w:r>
        <w:rPr>
          <w:szCs w:val="21"/>
        </w:rPr>
        <w:t xml:space="preserve"> which had some growth in participant numbers incorporated into the forecasts.</w:t>
      </w:r>
    </w:p>
    <w:p w14:paraId="78C33A86" w14:textId="705DBF10" w:rsidR="00403105" w:rsidRDefault="00403105" w:rsidP="00403105">
      <w:pPr>
        <w:spacing w:before="0" w:after="160" w:line="259" w:lineRule="auto"/>
        <w:rPr>
          <w:szCs w:val="21"/>
        </w:rPr>
      </w:pPr>
      <w:r>
        <w:rPr>
          <w:szCs w:val="21"/>
        </w:rPr>
        <w:t xml:space="preserve">More than half of the increase in costs from participant numbers comes from autism and intellectual disabilities with psychosocial disabilities the third largest source. </w:t>
      </w:r>
      <w:r w:rsidR="009724F2">
        <w:rPr>
          <w:szCs w:val="21"/>
        </w:rPr>
        <w:t>D</w:t>
      </w:r>
      <w:r>
        <w:rPr>
          <w:szCs w:val="21"/>
        </w:rPr>
        <w:t xml:space="preserve">evelopmental delay is expected to add more than 40,000 participants by 2029-30 </w:t>
      </w:r>
      <w:r w:rsidR="009724F2">
        <w:rPr>
          <w:szCs w:val="21"/>
        </w:rPr>
        <w:t xml:space="preserve">but </w:t>
      </w:r>
      <w:r>
        <w:rPr>
          <w:szCs w:val="21"/>
        </w:rPr>
        <w:t>it has a relatively small impact on projected payments.</w:t>
      </w:r>
    </w:p>
    <w:p w14:paraId="74A93112" w14:textId="64109681" w:rsidR="00403105" w:rsidRDefault="00403105" w:rsidP="00CE626D">
      <w:pPr>
        <w:pStyle w:val="Caption"/>
        <w:spacing w:before="160" w:after="60"/>
      </w:pPr>
      <w:r>
        <w:t xml:space="preserve">Table </w:t>
      </w:r>
      <w:r w:rsidR="007F6BE8">
        <w:fldChar w:fldCharType="begin"/>
      </w:r>
      <w:r w:rsidR="007F6BE8">
        <w:instrText xml:space="preserve"> STYLEREF 1 \s </w:instrText>
      </w:r>
      <w:r w:rsidR="007F6BE8">
        <w:fldChar w:fldCharType="separate"/>
      </w:r>
      <w:r w:rsidR="00E6217F">
        <w:rPr>
          <w:noProof/>
        </w:rPr>
        <w:t>5</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10</w:t>
      </w:r>
      <w:r w:rsidR="007F6BE8">
        <w:fldChar w:fldCharType="end"/>
      </w:r>
      <w:r>
        <w:t xml:space="preserve"> – Growth in payments due to participant numbers ($B)</w:t>
      </w:r>
    </w:p>
    <w:tbl>
      <w:tblPr>
        <w:tblStyle w:val="TFBlue"/>
        <w:tblW w:w="5350" w:type="dxa"/>
        <w:tblLayout w:type="fixed"/>
        <w:tblLook w:val="04E0" w:firstRow="1" w:lastRow="1" w:firstColumn="1" w:lastColumn="0" w:noHBand="0" w:noVBand="1"/>
      </w:tblPr>
      <w:tblGrid>
        <w:gridCol w:w="2660"/>
        <w:gridCol w:w="1345"/>
        <w:gridCol w:w="1345"/>
      </w:tblGrid>
      <w:tr w:rsidR="00666A0F" w:rsidRPr="00BB4FBC" w14:paraId="665F9F14" w14:textId="77777777" w:rsidTr="00666A0F">
        <w:trPr>
          <w:cnfStyle w:val="100000000000" w:firstRow="1" w:lastRow="0" w:firstColumn="0" w:lastColumn="0" w:oddVBand="0" w:evenVBand="0" w:oddHBand="0" w:evenHBand="0" w:firstRowFirstColumn="0" w:firstRowLastColumn="0" w:lastRowFirstColumn="0" w:lastRowLastColumn="0"/>
          <w:trHeight w:val="360"/>
        </w:trPr>
        <w:tc>
          <w:tcPr>
            <w:tcW w:w="2660" w:type="dxa"/>
            <w:noWrap/>
            <w:hideMark/>
          </w:tcPr>
          <w:p w14:paraId="19CC6C43" w14:textId="77777777" w:rsidR="00666A0F" w:rsidRPr="00BB4FBC" w:rsidRDefault="00666A0F" w:rsidP="00DD21FB">
            <w:pPr>
              <w:keepNext/>
              <w:spacing w:before="0" w:after="0"/>
              <w:rPr>
                <w:rFonts w:ascii="Blanco" w:eastAsia="Times New Roman" w:hAnsi="Blanco" w:cs="Times New Roman"/>
                <w:color w:val="231F20"/>
                <w:szCs w:val="21"/>
                <w:lang w:eastAsia="en-GB"/>
              </w:rPr>
            </w:pPr>
            <w:r w:rsidRPr="00BB4FBC">
              <w:rPr>
                <w:rFonts w:ascii="Cambria" w:eastAsia="Times New Roman" w:hAnsi="Cambria" w:cs="Cambria"/>
                <w:color w:val="231F20"/>
                <w:szCs w:val="21"/>
                <w:lang w:eastAsia="en-GB"/>
              </w:rPr>
              <w:t> </w:t>
            </w:r>
          </w:p>
        </w:tc>
        <w:tc>
          <w:tcPr>
            <w:tcW w:w="1345" w:type="dxa"/>
            <w:noWrap/>
            <w:hideMark/>
          </w:tcPr>
          <w:p w14:paraId="52620F65" w14:textId="10C9163E" w:rsidR="00666A0F" w:rsidRPr="00BB4FBC" w:rsidRDefault="00666A0F" w:rsidP="00DD21FB">
            <w:pPr>
              <w:keepNext/>
              <w:spacing w:before="0" w:after="0"/>
              <w:jc w:val="right"/>
              <w:rPr>
                <w:rFonts w:ascii="Blanco" w:eastAsia="Times New Roman" w:hAnsi="Blanco" w:cs="Times New Roman"/>
                <w:color w:val="231F20"/>
                <w:szCs w:val="21"/>
                <w:lang w:eastAsia="en-GB"/>
              </w:rPr>
            </w:pPr>
            <w:r w:rsidRPr="00BB4FBC">
              <w:rPr>
                <w:rFonts w:ascii="Blanco" w:eastAsia="Times New Roman" w:hAnsi="Blanco" w:cs="Times New Roman"/>
                <w:color w:val="231F20"/>
                <w:szCs w:val="21"/>
                <w:lang w:eastAsia="en-GB"/>
              </w:rPr>
              <w:t xml:space="preserve">2020-21 </w:t>
            </w:r>
            <w:r>
              <w:rPr>
                <w:rFonts w:ascii="Blanco" w:eastAsia="Times New Roman" w:hAnsi="Blanco" w:cs="Times New Roman"/>
                <w:color w:val="231F20"/>
                <w:szCs w:val="21"/>
                <w:lang w:eastAsia="en-GB"/>
              </w:rPr>
              <w:t>to</w:t>
            </w:r>
            <w:r w:rsidRPr="00BB4FBC">
              <w:rPr>
                <w:rFonts w:ascii="Blanco" w:eastAsia="Times New Roman" w:hAnsi="Blanco" w:cs="Times New Roman"/>
                <w:color w:val="231F20"/>
                <w:szCs w:val="21"/>
                <w:lang w:eastAsia="en-GB"/>
              </w:rPr>
              <w:t xml:space="preserve"> 2024-25</w:t>
            </w:r>
          </w:p>
        </w:tc>
        <w:tc>
          <w:tcPr>
            <w:tcW w:w="1345" w:type="dxa"/>
            <w:noWrap/>
            <w:hideMark/>
          </w:tcPr>
          <w:p w14:paraId="16F5735B" w14:textId="77777777" w:rsidR="00666A0F" w:rsidRPr="00BB4FBC" w:rsidRDefault="00666A0F" w:rsidP="00DD21FB">
            <w:pPr>
              <w:keepNext/>
              <w:spacing w:before="0" w:after="0"/>
              <w:jc w:val="right"/>
              <w:rPr>
                <w:rFonts w:ascii="Blanco" w:eastAsia="Times New Roman" w:hAnsi="Blanco" w:cs="Times New Roman"/>
                <w:color w:val="231F20"/>
                <w:szCs w:val="21"/>
                <w:lang w:eastAsia="en-GB"/>
              </w:rPr>
            </w:pPr>
            <w:r w:rsidRPr="00BB4FBC">
              <w:rPr>
                <w:rFonts w:ascii="Blanco" w:eastAsia="Times New Roman" w:hAnsi="Blanco" w:cs="Times New Roman"/>
                <w:color w:val="231F20"/>
                <w:szCs w:val="21"/>
                <w:lang w:eastAsia="en-GB"/>
              </w:rPr>
              <w:t>2024-25 to 2029-30</w:t>
            </w:r>
          </w:p>
        </w:tc>
      </w:tr>
      <w:tr w:rsidR="00666A0F" w:rsidRPr="00BB4FBC" w14:paraId="5629926C" w14:textId="77777777" w:rsidTr="00666A0F">
        <w:trPr>
          <w:cnfStyle w:val="000000100000" w:firstRow="0" w:lastRow="0" w:firstColumn="0" w:lastColumn="0" w:oddVBand="0" w:evenVBand="0" w:oddHBand="1" w:evenHBand="0" w:firstRowFirstColumn="0" w:firstRowLastColumn="0" w:lastRowFirstColumn="0" w:lastRowLastColumn="0"/>
          <w:trHeight w:val="360"/>
        </w:trPr>
        <w:tc>
          <w:tcPr>
            <w:tcW w:w="2660" w:type="dxa"/>
            <w:noWrap/>
            <w:hideMark/>
          </w:tcPr>
          <w:p w14:paraId="7D66A398" w14:textId="77777777" w:rsidR="00666A0F" w:rsidRPr="00BB4FBC" w:rsidRDefault="00666A0F" w:rsidP="00CE626D">
            <w:pPr>
              <w:pStyle w:val="Tabletext"/>
              <w:keepNext/>
              <w:spacing w:before="40"/>
              <w:rPr>
                <w:lang w:eastAsia="en-GB"/>
              </w:rPr>
            </w:pPr>
            <w:r w:rsidRPr="0086340F">
              <w:t>Autism</w:t>
            </w:r>
          </w:p>
        </w:tc>
        <w:tc>
          <w:tcPr>
            <w:tcW w:w="1345" w:type="dxa"/>
            <w:noWrap/>
            <w:hideMark/>
          </w:tcPr>
          <w:p w14:paraId="659EFC8C" w14:textId="0638F913" w:rsidR="00666A0F" w:rsidRPr="00BB4FBC" w:rsidRDefault="00666A0F" w:rsidP="00CE626D">
            <w:pPr>
              <w:pStyle w:val="Tablenumbers"/>
              <w:keepNext/>
              <w:spacing w:before="40"/>
              <w:rPr>
                <w:lang w:eastAsia="en-GB"/>
              </w:rPr>
            </w:pPr>
            <w:r w:rsidRPr="000A5BA2">
              <w:t>2.7</w:t>
            </w:r>
          </w:p>
        </w:tc>
        <w:tc>
          <w:tcPr>
            <w:tcW w:w="1345" w:type="dxa"/>
            <w:noWrap/>
            <w:hideMark/>
          </w:tcPr>
          <w:p w14:paraId="1F4B6A4B" w14:textId="78DA4F3E" w:rsidR="00666A0F" w:rsidRPr="00BB4FBC" w:rsidRDefault="00666A0F" w:rsidP="00CE626D">
            <w:pPr>
              <w:pStyle w:val="Tablenumbers"/>
              <w:keepNext/>
              <w:spacing w:before="40"/>
              <w:rPr>
                <w:lang w:eastAsia="en-GB"/>
              </w:rPr>
            </w:pPr>
            <w:r w:rsidRPr="000A5BA2">
              <w:t>4.5</w:t>
            </w:r>
          </w:p>
        </w:tc>
      </w:tr>
      <w:tr w:rsidR="00666A0F" w:rsidRPr="00BB4FBC" w14:paraId="3A4CCF3F" w14:textId="77777777" w:rsidTr="00666A0F">
        <w:trPr>
          <w:trHeight w:val="360"/>
        </w:trPr>
        <w:tc>
          <w:tcPr>
            <w:tcW w:w="2660" w:type="dxa"/>
            <w:noWrap/>
            <w:hideMark/>
          </w:tcPr>
          <w:p w14:paraId="13E3110E" w14:textId="77777777" w:rsidR="00666A0F" w:rsidRPr="00BB4FBC" w:rsidRDefault="00666A0F" w:rsidP="00CE626D">
            <w:pPr>
              <w:pStyle w:val="Tabletext"/>
              <w:keepNext/>
              <w:spacing w:before="40"/>
              <w:rPr>
                <w:lang w:eastAsia="en-GB"/>
              </w:rPr>
            </w:pPr>
            <w:r w:rsidRPr="0086340F">
              <w:t>Intellectual Disability</w:t>
            </w:r>
          </w:p>
        </w:tc>
        <w:tc>
          <w:tcPr>
            <w:tcW w:w="1345" w:type="dxa"/>
            <w:noWrap/>
            <w:hideMark/>
          </w:tcPr>
          <w:p w14:paraId="0911F512" w14:textId="1669FA8A" w:rsidR="00666A0F" w:rsidRPr="00BB4FBC" w:rsidRDefault="00666A0F" w:rsidP="00CE626D">
            <w:pPr>
              <w:pStyle w:val="Tablenumbers"/>
              <w:keepNext/>
              <w:spacing w:before="40"/>
              <w:rPr>
                <w:lang w:eastAsia="en-GB"/>
              </w:rPr>
            </w:pPr>
            <w:r w:rsidRPr="000A5BA2">
              <w:t>1.9</w:t>
            </w:r>
          </w:p>
        </w:tc>
        <w:tc>
          <w:tcPr>
            <w:tcW w:w="1345" w:type="dxa"/>
            <w:noWrap/>
            <w:hideMark/>
          </w:tcPr>
          <w:p w14:paraId="10F362BF" w14:textId="4A0F7B36" w:rsidR="00666A0F" w:rsidRPr="00BB4FBC" w:rsidRDefault="00666A0F" w:rsidP="00CE626D">
            <w:pPr>
              <w:pStyle w:val="Tablenumbers"/>
              <w:keepNext/>
              <w:spacing w:before="40"/>
              <w:rPr>
                <w:lang w:eastAsia="en-GB"/>
              </w:rPr>
            </w:pPr>
            <w:r w:rsidRPr="000A5BA2">
              <w:t>2.5</w:t>
            </w:r>
          </w:p>
        </w:tc>
      </w:tr>
      <w:tr w:rsidR="00666A0F" w:rsidRPr="00BB4FBC" w14:paraId="4A345C1E" w14:textId="77777777" w:rsidTr="00666A0F">
        <w:trPr>
          <w:cnfStyle w:val="000000100000" w:firstRow="0" w:lastRow="0" w:firstColumn="0" w:lastColumn="0" w:oddVBand="0" w:evenVBand="0" w:oddHBand="1" w:evenHBand="0" w:firstRowFirstColumn="0" w:firstRowLastColumn="0" w:lastRowFirstColumn="0" w:lastRowLastColumn="0"/>
          <w:trHeight w:val="360"/>
        </w:trPr>
        <w:tc>
          <w:tcPr>
            <w:tcW w:w="2660" w:type="dxa"/>
            <w:noWrap/>
            <w:hideMark/>
          </w:tcPr>
          <w:p w14:paraId="2FB7831F" w14:textId="77777777" w:rsidR="00666A0F" w:rsidRPr="00BB4FBC" w:rsidRDefault="00666A0F" w:rsidP="00CE626D">
            <w:pPr>
              <w:pStyle w:val="Tabletext"/>
              <w:keepNext/>
              <w:spacing w:before="40"/>
              <w:rPr>
                <w:lang w:eastAsia="en-GB"/>
              </w:rPr>
            </w:pPr>
            <w:r w:rsidRPr="0086340F">
              <w:t>Psychosocial disability</w:t>
            </w:r>
          </w:p>
        </w:tc>
        <w:tc>
          <w:tcPr>
            <w:tcW w:w="1345" w:type="dxa"/>
            <w:noWrap/>
            <w:hideMark/>
          </w:tcPr>
          <w:p w14:paraId="2E2E10EF" w14:textId="08D281D5" w:rsidR="00666A0F" w:rsidRPr="00BB4FBC" w:rsidRDefault="00666A0F" w:rsidP="00CE626D">
            <w:pPr>
              <w:pStyle w:val="Tablenumbers"/>
              <w:keepNext/>
              <w:spacing w:before="40"/>
              <w:rPr>
                <w:lang w:eastAsia="en-GB"/>
              </w:rPr>
            </w:pPr>
            <w:r w:rsidRPr="000A5BA2">
              <w:t>1.1</w:t>
            </w:r>
          </w:p>
        </w:tc>
        <w:tc>
          <w:tcPr>
            <w:tcW w:w="1345" w:type="dxa"/>
            <w:noWrap/>
            <w:hideMark/>
          </w:tcPr>
          <w:p w14:paraId="384C5E0B" w14:textId="320D3332" w:rsidR="00666A0F" w:rsidRPr="00BB4FBC" w:rsidRDefault="00666A0F" w:rsidP="00CE626D">
            <w:pPr>
              <w:pStyle w:val="Tablenumbers"/>
              <w:keepNext/>
              <w:spacing w:before="40"/>
              <w:rPr>
                <w:lang w:eastAsia="en-GB"/>
              </w:rPr>
            </w:pPr>
            <w:r w:rsidRPr="000A5BA2">
              <w:t>1.2</w:t>
            </w:r>
          </w:p>
        </w:tc>
      </w:tr>
      <w:tr w:rsidR="00666A0F" w:rsidRPr="00BB4FBC" w14:paraId="1FACAABA" w14:textId="77777777" w:rsidTr="00666A0F">
        <w:trPr>
          <w:trHeight w:val="360"/>
        </w:trPr>
        <w:tc>
          <w:tcPr>
            <w:tcW w:w="2660" w:type="dxa"/>
            <w:noWrap/>
            <w:hideMark/>
          </w:tcPr>
          <w:p w14:paraId="55BEC376" w14:textId="77777777" w:rsidR="00666A0F" w:rsidRPr="00BB4FBC" w:rsidRDefault="00666A0F" w:rsidP="00CE626D">
            <w:pPr>
              <w:pStyle w:val="Tabletext"/>
              <w:keepNext/>
              <w:spacing w:before="40"/>
              <w:rPr>
                <w:lang w:eastAsia="en-GB"/>
              </w:rPr>
            </w:pPr>
            <w:r w:rsidRPr="0086340F">
              <w:t>Developmental delay</w:t>
            </w:r>
          </w:p>
        </w:tc>
        <w:tc>
          <w:tcPr>
            <w:tcW w:w="1345" w:type="dxa"/>
            <w:noWrap/>
            <w:hideMark/>
          </w:tcPr>
          <w:p w14:paraId="125D7A89" w14:textId="286B2C4C" w:rsidR="00666A0F" w:rsidRPr="00BB4FBC" w:rsidRDefault="00666A0F" w:rsidP="00CE626D">
            <w:pPr>
              <w:pStyle w:val="Tablenumbers"/>
              <w:keepNext/>
              <w:spacing w:before="40"/>
              <w:rPr>
                <w:lang w:eastAsia="en-GB"/>
              </w:rPr>
            </w:pPr>
            <w:r w:rsidRPr="000A5BA2">
              <w:t>0.4</w:t>
            </w:r>
          </w:p>
        </w:tc>
        <w:tc>
          <w:tcPr>
            <w:tcW w:w="1345" w:type="dxa"/>
            <w:noWrap/>
            <w:hideMark/>
          </w:tcPr>
          <w:p w14:paraId="27328621" w14:textId="3B0C08EB" w:rsidR="00666A0F" w:rsidRPr="00BB4FBC" w:rsidRDefault="00666A0F" w:rsidP="00CE626D">
            <w:pPr>
              <w:pStyle w:val="Tablenumbers"/>
              <w:keepNext/>
              <w:spacing w:before="40"/>
              <w:rPr>
                <w:lang w:eastAsia="en-GB"/>
              </w:rPr>
            </w:pPr>
            <w:r w:rsidRPr="000A5BA2">
              <w:t>0.1</w:t>
            </w:r>
          </w:p>
        </w:tc>
      </w:tr>
      <w:tr w:rsidR="00666A0F" w:rsidRPr="00BB4FBC" w14:paraId="065B08E2" w14:textId="77777777" w:rsidTr="00666A0F">
        <w:trPr>
          <w:cnfStyle w:val="000000100000" w:firstRow="0" w:lastRow="0" w:firstColumn="0" w:lastColumn="0" w:oddVBand="0" w:evenVBand="0" w:oddHBand="1" w:evenHBand="0" w:firstRowFirstColumn="0" w:firstRowLastColumn="0" w:lastRowFirstColumn="0" w:lastRowLastColumn="0"/>
          <w:trHeight w:val="360"/>
        </w:trPr>
        <w:tc>
          <w:tcPr>
            <w:tcW w:w="2660" w:type="dxa"/>
            <w:noWrap/>
            <w:hideMark/>
          </w:tcPr>
          <w:p w14:paraId="3E1E7291" w14:textId="77777777" w:rsidR="00666A0F" w:rsidRPr="00BB4FBC" w:rsidRDefault="00666A0F" w:rsidP="00CE626D">
            <w:pPr>
              <w:pStyle w:val="Tabletext"/>
              <w:keepNext/>
              <w:spacing w:before="40"/>
              <w:rPr>
                <w:lang w:eastAsia="en-GB"/>
              </w:rPr>
            </w:pPr>
            <w:r w:rsidRPr="0086340F">
              <w:t>Other Neurological</w:t>
            </w:r>
          </w:p>
        </w:tc>
        <w:tc>
          <w:tcPr>
            <w:tcW w:w="1345" w:type="dxa"/>
            <w:noWrap/>
            <w:hideMark/>
          </w:tcPr>
          <w:p w14:paraId="311E0C14" w14:textId="75558725" w:rsidR="00666A0F" w:rsidRPr="00BB4FBC" w:rsidRDefault="00666A0F" w:rsidP="00CE626D">
            <w:pPr>
              <w:pStyle w:val="Tablenumbers"/>
              <w:keepNext/>
              <w:spacing w:before="40"/>
              <w:rPr>
                <w:lang w:eastAsia="en-GB"/>
              </w:rPr>
            </w:pPr>
            <w:r w:rsidRPr="000A5BA2">
              <w:t>0.5</w:t>
            </w:r>
          </w:p>
        </w:tc>
        <w:tc>
          <w:tcPr>
            <w:tcW w:w="1345" w:type="dxa"/>
            <w:noWrap/>
            <w:hideMark/>
          </w:tcPr>
          <w:p w14:paraId="68C22837" w14:textId="2DDA9AC3" w:rsidR="00666A0F" w:rsidRPr="00BB4FBC" w:rsidRDefault="00666A0F" w:rsidP="00CE626D">
            <w:pPr>
              <w:pStyle w:val="Tablenumbers"/>
              <w:keepNext/>
              <w:spacing w:before="40"/>
              <w:rPr>
                <w:lang w:eastAsia="en-GB"/>
              </w:rPr>
            </w:pPr>
            <w:r w:rsidRPr="000A5BA2">
              <w:t>0.5</w:t>
            </w:r>
          </w:p>
        </w:tc>
      </w:tr>
      <w:tr w:rsidR="00666A0F" w:rsidRPr="00BB4FBC" w14:paraId="58DA8637" w14:textId="77777777" w:rsidTr="00666A0F">
        <w:trPr>
          <w:trHeight w:val="360"/>
        </w:trPr>
        <w:tc>
          <w:tcPr>
            <w:tcW w:w="2660" w:type="dxa"/>
            <w:tcBorders>
              <w:bottom w:val="nil"/>
            </w:tcBorders>
            <w:noWrap/>
            <w:hideMark/>
          </w:tcPr>
          <w:p w14:paraId="6D707A53" w14:textId="77777777" w:rsidR="00666A0F" w:rsidRPr="00BB4FBC" w:rsidRDefault="00666A0F" w:rsidP="00CE626D">
            <w:pPr>
              <w:pStyle w:val="Tabletext"/>
              <w:keepNext/>
              <w:spacing w:before="40"/>
              <w:rPr>
                <w:lang w:eastAsia="en-GB"/>
              </w:rPr>
            </w:pPr>
            <w:r w:rsidRPr="0086340F">
              <w:t>Cerebral Palsy</w:t>
            </w:r>
          </w:p>
        </w:tc>
        <w:tc>
          <w:tcPr>
            <w:tcW w:w="1345" w:type="dxa"/>
            <w:tcBorders>
              <w:bottom w:val="nil"/>
            </w:tcBorders>
            <w:noWrap/>
            <w:hideMark/>
          </w:tcPr>
          <w:p w14:paraId="0F11B326" w14:textId="26773FC2" w:rsidR="00666A0F" w:rsidRPr="00BB4FBC" w:rsidRDefault="00666A0F" w:rsidP="00CE626D">
            <w:pPr>
              <w:pStyle w:val="Tablenumbers"/>
              <w:keepNext/>
              <w:spacing w:before="40"/>
              <w:rPr>
                <w:lang w:eastAsia="en-GB"/>
              </w:rPr>
            </w:pPr>
            <w:r w:rsidRPr="000A5BA2">
              <w:t>0.3</w:t>
            </w:r>
          </w:p>
        </w:tc>
        <w:tc>
          <w:tcPr>
            <w:tcW w:w="1345" w:type="dxa"/>
            <w:tcBorders>
              <w:bottom w:val="nil"/>
            </w:tcBorders>
            <w:noWrap/>
            <w:hideMark/>
          </w:tcPr>
          <w:p w14:paraId="351268FC" w14:textId="6C6BB70A" w:rsidR="00666A0F" w:rsidRPr="00BB4FBC" w:rsidRDefault="00666A0F" w:rsidP="00CE626D">
            <w:pPr>
              <w:pStyle w:val="Tablenumbers"/>
              <w:keepNext/>
              <w:spacing w:before="40"/>
              <w:rPr>
                <w:lang w:eastAsia="en-GB"/>
              </w:rPr>
            </w:pPr>
            <w:r w:rsidRPr="000A5BA2">
              <w:t>0.3</w:t>
            </w:r>
          </w:p>
        </w:tc>
      </w:tr>
      <w:tr w:rsidR="00666A0F" w:rsidRPr="00BB4FBC" w14:paraId="292B8EC6" w14:textId="77777777" w:rsidTr="00666A0F">
        <w:trPr>
          <w:cnfStyle w:val="000000100000" w:firstRow="0" w:lastRow="0" w:firstColumn="0" w:lastColumn="0" w:oddVBand="0" w:evenVBand="0" w:oddHBand="1" w:evenHBand="0" w:firstRowFirstColumn="0" w:firstRowLastColumn="0" w:lastRowFirstColumn="0" w:lastRowLastColumn="0"/>
          <w:trHeight w:val="360"/>
        </w:trPr>
        <w:tc>
          <w:tcPr>
            <w:tcW w:w="2660" w:type="dxa"/>
            <w:tcBorders>
              <w:top w:val="nil"/>
              <w:bottom w:val="dotted" w:sz="4" w:space="0" w:color="006EC8" w:themeColor="accent1"/>
            </w:tcBorders>
            <w:noWrap/>
            <w:hideMark/>
          </w:tcPr>
          <w:p w14:paraId="525BD015" w14:textId="77777777" w:rsidR="00666A0F" w:rsidRPr="00BB4FBC" w:rsidRDefault="00666A0F" w:rsidP="00CE626D">
            <w:pPr>
              <w:pStyle w:val="Tabletext"/>
              <w:keepNext/>
              <w:spacing w:before="40"/>
              <w:rPr>
                <w:lang w:eastAsia="en-GB"/>
              </w:rPr>
            </w:pPr>
            <w:r w:rsidRPr="00BB4FBC">
              <w:rPr>
                <w:lang w:eastAsia="en-GB"/>
              </w:rPr>
              <w:t>Stroke</w:t>
            </w:r>
          </w:p>
        </w:tc>
        <w:tc>
          <w:tcPr>
            <w:tcW w:w="1345" w:type="dxa"/>
            <w:tcBorders>
              <w:top w:val="nil"/>
              <w:bottom w:val="dotted" w:sz="4" w:space="0" w:color="006EC8" w:themeColor="accent1"/>
            </w:tcBorders>
            <w:noWrap/>
            <w:hideMark/>
          </w:tcPr>
          <w:p w14:paraId="274AA93F" w14:textId="1029339C" w:rsidR="00666A0F" w:rsidRPr="00BB4FBC" w:rsidRDefault="00666A0F" w:rsidP="00CE626D">
            <w:pPr>
              <w:pStyle w:val="Tablenumbers"/>
              <w:keepNext/>
              <w:spacing w:before="40"/>
              <w:rPr>
                <w:lang w:eastAsia="en-GB"/>
              </w:rPr>
            </w:pPr>
            <w:r w:rsidRPr="000A5BA2">
              <w:t>0.3</w:t>
            </w:r>
          </w:p>
        </w:tc>
        <w:tc>
          <w:tcPr>
            <w:tcW w:w="1345" w:type="dxa"/>
            <w:tcBorders>
              <w:top w:val="nil"/>
              <w:bottom w:val="dotted" w:sz="4" w:space="0" w:color="006EC8" w:themeColor="accent1"/>
            </w:tcBorders>
            <w:noWrap/>
            <w:hideMark/>
          </w:tcPr>
          <w:p w14:paraId="764B93C6" w14:textId="7C47F9E7" w:rsidR="00666A0F" w:rsidRPr="00BB4FBC" w:rsidRDefault="00666A0F" w:rsidP="00CE626D">
            <w:pPr>
              <w:pStyle w:val="Tablenumbers"/>
              <w:keepNext/>
              <w:spacing w:before="40"/>
              <w:rPr>
                <w:lang w:eastAsia="en-GB"/>
              </w:rPr>
            </w:pPr>
            <w:r w:rsidRPr="000A5BA2">
              <w:t>0.3</w:t>
            </w:r>
          </w:p>
        </w:tc>
      </w:tr>
      <w:tr w:rsidR="00666A0F" w:rsidRPr="00BB4FBC" w14:paraId="7AEF4C40" w14:textId="77777777" w:rsidTr="00666A0F">
        <w:trPr>
          <w:trHeight w:val="360"/>
        </w:trPr>
        <w:tc>
          <w:tcPr>
            <w:tcW w:w="2660" w:type="dxa"/>
            <w:tcBorders>
              <w:top w:val="dotted" w:sz="4" w:space="0" w:color="006EC8" w:themeColor="accent1"/>
            </w:tcBorders>
            <w:noWrap/>
            <w:hideMark/>
          </w:tcPr>
          <w:p w14:paraId="0710FE7A" w14:textId="77777777" w:rsidR="00666A0F" w:rsidRPr="00BB4FBC" w:rsidRDefault="00666A0F" w:rsidP="00CE626D">
            <w:pPr>
              <w:pStyle w:val="Tabletext"/>
              <w:keepNext/>
              <w:spacing w:before="40"/>
              <w:rPr>
                <w:lang w:eastAsia="en-GB"/>
              </w:rPr>
            </w:pPr>
            <w:r w:rsidRPr="00BB4FBC">
              <w:rPr>
                <w:lang w:eastAsia="en-GB"/>
              </w:rPr>
              <w:t>All other disabilities</w:t>
            </w:r>
          </w:p>
        </w:tc>
        <w:tc>
          <w:tcPr>
            <w:tcW w:w="1345" w:type="dxa"/>
            <w:tcBorders>
              <w:top w:val="dotted" w:sz="4" w:space="0" w:color="006EC8" w:themeColor="accent1"/>
            </w:tcBorders>
            <w:noWrap/>
            <w:hideMark/>
          </w:tcPr>
          <w:p w14:paraId="31FF38CE" w14:textId="0B07712C" w:rsidR="00666A0F" w:rsidRPr="00BB4FBC" w:rsidRDefault="00666A0F" w:rsidP="00CE626D">
            <w:pPr>
              <w:pStyle w:val="Tablenumbers"/>
              <w:keepNext/>
              <w:spacing w:before="40"/>
              <w:rPr>
                <w:lang w:eastAsia="en-GB"/>
              </w:rPr>
            </w:pPr>
            <w:r w:rsidRPr="000A5BA2">
              <w:t>1.2</w:t>
            </w:r>
          </w:p>
        </w:tc>
        <w:tc>
          <w:tcPr>
            <w:tcW w:w="1345" w:type="dxa"/>
            <w:tcBorders>
              <w:top w:val="dotted" w:sz="4" w:space="0" w:color="006EC8" w:themeColor="accent1"/>
            </w:tcBorders>
            <w:noWrap/>
            <w:hideMark/>
          </w:tcPr>
          <w:p w14:paraId="2733104D" w14:textId="469E207C" w:rsidR="00666A0F" w:rsidRPr="00BB4FBC" w:rsidRDefault="00666A0F" w:rsidP="00CE626D">
            <w:pPr>
              <w:pStyle w:val="Tablenumbers"/>
              <w:keepNext/>
              <w:spacing w:before="40"/>
              <w:rPr>
                <w:lang w:eastAsia="en-GB"/>
              </w:rPr>
            </w:pPr>
            <w:r w:rsidRPr="000A5BA2">
              <w:t>1.0</w:t>
            </w:r>
          </w:p>
        </w:tc>
      </w:tr>
      <w:tr w:rsidR="00666A0F" w:rsidRPr="00BB4FBC" w14:paraId="6AC3DE2F" w14:textId="77777777" w:rsidTr="00666A0F">
        <w:trPr>
          <w:cnfStyle w:val="010000000000" w:firstRow="0" w:lastRow="1" w:firstColumn="0" w:lastColumn="0" w:oddVBand="0" w:evenVBand="0" w:oddHBand="0" w:evenHBand="0" w:firstRowFirstColumn="0" w:firstRowLastColumn="0" w:lastRowFirstColumn="0" w:lastRowLastColumn="0"/>
          <w:trHeight w:val="360"/>
        </w:trPr>
        <w:tc>
          <w:tcPr>
            <w:tcW w:w="2660" w:type="dxa"/>
            <w:noWrap/>
            <w:hideMark/>
          </w:tcPr>
          <w:p w14:paraId="494D25F7" w14:textId="77777777" w:rsidR="00666A0F" w:rsidRPr="00BB4FBC" w:rsidRDefault="00666A0F" w:rsidP="00CE626D">
            <w:pPr>
              <w:pStyle w:val="Tabletext"/>
              <w:spacing w:before="40"/>
              <w:rPr>
                <w:lang w:eastAsia="en-GB"/>
              </w:rPr>
            </w:pPr>
            <w:r w:rsidRPr="00BB4FBC">
              <w:rPr>
                <w:lang w:eastAsia="en-GB"/>
              </w:rPr>
              <w:t>Total</w:t>
            </w:r>
          </w:p>
        </w:tc>
        <w:tc>
          <w:tcPr>
            <w:tcW w:w="1345" w:type="dxa"/>
            <w:noWrap/>
            <w:hideMark/>
          </w:tcPr>
          <w:p w14:paraId="2FB6522B" w14:textId="48AE1ED8" w:rsidR="00666A0F" w:rsidRPr="00BB4FBC" w:rsidRDefault="00666A0F" w:rsidP="00CE626D">
            <w:pPr>
              <w:pStyle w:val="Tablenumbers"/>
              <w:spacing w:before="40"/>
              <w:rPr>
                <w:lang w:eastAsia="en-GB"/>
              </w:rPr>
            </w:pPr>
            <w:r w:rsidRPr="000A5BA2">
              <w:t>8.2</w:t>
            </w:r>
          </w:p>
        </w:tc>
        <w:tc>
          <w:tcPr>
            <w:tcW w:w="1345" w:type="dxa"/>
            <w:noWrap/>
            <w:hideMark/>
          </w:tcPr>
          <w:p w14:paraId="007B0282" w14:textId="31387CC9" w:rsidR="00666A0F" w:rsidRPr="00BB4FBC" w:rsidRDefault="00666A0F" w:rsidP="00CE626D">
            <w:pPr>
              <w:pStyle w:val="Tablenumbers"/>
              <w:spacing w:before="40"/>
              <w:rPr>
                <w:lang w:eastAsia="en-GB"/>
              </w:rPr>
            </w:pPr>
            <w:r w:rsidRPr="000A5BA2">
              <w:t>10.5</w:t>
            </w:r>
          </w:p>
        </w:tc>
      </w:tr>
    </w:tbl>
    <w:p w14:paraId="69AFA50D" w14:textId="125BDD09" w:rsidR="002B4625" w:rsidRDefault="002B4625" w:rsidP="00CE626D">
      <w:pPr>
        <w:pStyle w:val="Tablenotesorsource"/>
        <w:spacing w:before="0"/>
      </w:pPr>
      <w:bookmarkStart w:id="231" w:name="_Toc83828732"/>
      <w:bookmarkStart w:id="232" w:name="_Toc83828760"/>
      <w:bookmarkStart w:id="233" w:name="_Toc83997778"/>
      <w:bookmarkStart w:id="234" w:name="_Ref84508952"/>
      <w:bookmarkStart w:id="235" w:name="_Toc87700485"/>
      <w:r>
        <w:t>Note: Components may not sum to total due to rounding</w:t>
      </w:r>
    </w:p>
    <w:p w14:paraId="42C2D63C" w14:textId="6E310592" w:rsidR="00A520C9" w:rsidRPr="00DD21FB" w:rsidRDefault="00A520C9" w:rsidP="00A520C9">
      <w:pPr>
        <w:pStyle w:val="Heading1"/>
      </w:pPr>
      <w:bookmarkStart w:id="236" w:name="_Ref88220343"/>
      <w:bookmarkStart w:id="237" w:name="_Ref88220387"/>
      <w:bookmarkStart w:id="238" w:name="_Toc88686137"/>
      <w:r w:rsidRPr="00DD21FB">
        <w:t>Sensitivities</w:t>
      </w:r>
      <w:bookmarkEnd w:id="231"/>
      <w:bookmarkEnd w:id="232"/>
      <w:bookmarkEnd w:id="233"/>
      <w:r w:rsidRPr="00DD21FB">
        <w:t xml:space="preserve"> and uncertainty</w:t>
      </w:r>
      <w:bookmarkEnd w:id="234"/>
      <w:bookmarkEnd w:id="235"/>
      <w:bookmarkEnd w:id="236"/>
      <w:bookmarkEnd w:id="237"/>
      <w:bookmarkEnd w:id="238"/>
    </w:p>
    <w:p w14:paraId="045FDDF0" w14:textId="0D9059CC" w:rsidR="00F56FCF" w:rsidRPr="00DD21FB" w:rsidRDefault="00F56FCF" w:rsidP="00A520C9">
      <w:pPr>
        <w:pStyle w:val="Heading2"/>
      </w:pPr>
      <w:bookmarkStart w:id="239" w:name="_Toc87700486"/>
      <w:bookmarkStart w:id="240" w:name="_Toc88686138"/>
      <w:r w:rsidRPr="00DD21FB">
        <w:t>AFSR 2020-21 sensitivity and scenarios</w:t>
      </w:r>
      <w:bookmarkEnd w:id="239"/>
      <w:bookmarkEnd w:id="240"/>
    </w:p>
    <w:bookmarkStart w:id="241" w:name="_Ref83919655"/>
    <w:bookmarkStart w:id="242" w:name="_Toc83997779"/>
    <w:bookmarkStart w:id="243" w:name="_Toc83828734"/>
    <w:bookmarkStart w:id="244" w:name="_Toc83828762"/>
    <w:p w14:paraId="0696CE49" w14:textId="577A4B26" w:rsidR="00896394" w:rsidRDefault="00896394" w:rsidP="00896394">
      <w:r w:rsidRPr="00DD21FB">
        <w:fldChar w:fldCharType="begin"/>
      </w:r>
      <w:r w:rsidRPr="00DD21FB">
        <w:instrText xml:space="preserve"> REF _Ref87543965 \h </w:instrText>
      </w:r>
      <w:r w:rsidR="00DD21FB">
        <w:instrText xml:space="preserve"> \* MERGEFORMAT </w:instrText>
      </w:r>
      <w:r w:rsidRPr="00DD21FB">
        <w:fldChar w:fldCharType="separate"/>
      </w:r>
      <w:r w:rsidR="00E6217F">
        <w:t xml:space="preserve">Table </w:t>
      </w:r>
      <w:r w:rsidR="00E6217F">
        <w:rPr>
          <w:noProof/>
        </w:rPr>
        <w:t>6.1</w:t>
      </w:r>
      <w:r w:rsidRPr="00DD21FB">
        <w:fldChar w:fldCharType="end"/>
      </w:r>
      <w:r w:rsidRPr="00DD21FB">
        <w:t xml:space="preserve"> reproduces the combined effect</w:t>
      </w:r>
      <w:r w:rsidRPr="00932B98">
        <w:t xml:space="preserve"> of scenarios included in AFSR 2020-21</w:t>
      </w:r>
      <w:r>
        <w:t>.</w:t>
      </w:r>
    </w:p>
    <w:p w14:paraId="62747B6B" w14:textId="77777777" w:rsidR="00896394" w:rsidRDefault="00896394" w:rsidP="00896394">
      <w:r w:rsidRPr="0099769D">
        <w:t>The AFSR contains a range of scenarios. Based on our assessment and discussions with the Scheme Actuary the scenarios indicate more potential for higher costs than lower relative to the base case</w:t>
      </w:r>
      <w:r>
        <w:t xml:space="preserve"> (that is, there is more upside risk to the baseline estimates)</w:t>
      </w:r>
      <w:r w:rsidRPr="0099769D">
        <w:t>.</w:t>
      </w:r>
    </w:p>
    <w:p w14:paraId="29AF9ADA" w14:textId="77777777" w:rsidR="00896394" w:rsidRDefault="00896394" w:rsidP="00896394">
      <w:r>
        <w:t>The largest impacts are attributed to the high or low inflation scenarios. High rates of new incidence also have large impacts on the longer-term 2029-30 estimate.</w:t>
      </w:r>
    </w:p>
    <w:p w14:paraId="50D47503" w14:textId="65C24B23" w:rsidR="00896394" w:rsidRDefault="00896394" w:rsidP="00896394">
      <w:pPr>
        <w:pStyle w:val="Caption"/>
      </w:pPr>
      <w:bookmarkStart w:id="245" w:name="_Ref87543965"/>
      <w:r>
        <w:t xml:space="preserve">Table </w:t>
      </w:r>
      <w:r>
        <w:fldChar w:fldCharType="begin"/>
      </w:r>
      <w:r>
        <w:instrText xml:space="preserve"> STYLEREF 1 \s </w:instrText>
      </w:r>
      <w:r>
        <w:fldChar w:fldCharType="separate"/>
      </w:r>
      <w:r w:rsidR="00E6217F">
        <w:rPr>
          <w:noProof/>
        </w:rPr>
        <w:t>6</w:t>
      </w:r>
      <w:r>
        <w:fldChar w:fldCharType="end"/>
      </w:r>
      <w:r>
        <w:t>.</w:t>
      </w:r>
      <w:r>
        <w:fldChar w:fldCharType="begin"/>
      </w:r>
      <w:r>
        <w:instrText xml:space="preserve"> SEQ Table \* ARABIC \s 1 </w:instrText>
      </w:r>
      <w:r>
        <w:fldChar w:fldCharType="separate"/>
      </w:r>
      <w:r w:rsidR="00E6217F">
        <w:rPr>
          <w:noProof/>
        </w:rPr>
        <w:t>1</w:t>
      </w:r>
      <w:r>
        <w:fldChar w:fldCharType="end"/>
      </w:r>
      <w:bookmarkEnd w:id="245"/>
      <w:r>
        <w:t xml:space="preserve"> – Projected payments (accrual basis): AFSR 2020-21 scenarios ($B)</w:t>
      </w:r>
    </w:p>
    <w:tbl>
      <w:tblPr>
        <w:tblStyle w:val="TFBlue"/>
        <w:tblW w:w="9073" w:type="dxa"/>
        <w:tblLook w:val="04A0" w:firstRow="1" w:lastRow="0" w:firstColumn="1" w:lastColumn="0" w:noHBand="0" w:noVBand="1"/>
      </w:tblPr>
      <w:tblGrid>
        <w:gridCol w:w="5529"/>
        <w:gridCol w:w="1559"/>
        <w:gridCol w:w="1985"/>
      </w:tblGrid>
      <w:tr w:rsidR="00896394" w:rsidRPr="002A687C" w14:paraId="24577095" w14:textId="77777777" w:rsidTr="003F2C74">
        <w:trPr>
          <w:cnfStyle w:val="100000000000" w:firstRow="1" w:lastRow="0" w:firstColumn="0" w:lastColumn="0" w:oddVBand="0" w:evenVBand="0" w:oddHBand="0" w:evenHBand="0" w:firstRowFirstColumn="0" w:firstRowLastColumn="0" w:lastRowFirstColumn="0" w:lastRowLastColumn="0"/>
          <w:trHeight w:val="308"/>
        </w:trPr>
        <w:tc>
          <w:tcPr>
            <w:tcW w:w="5529" w:type="dxa"/>
            <w:noWrap/>
            <w:hideMark/>
          </w:tcPr>
          <w:p w14:paraId="0199C970" w14:textId="77777777" w:rsidR="00896394" w:rsidRPr="00DD143E" w:rsidRDefault="00896394" w:rsidP="003F2C74">
            <w:pPr>
              <w:spacing w:before="0" w:after="0"/>
              <w:rPr>
                <w:rFonts w:ascii="Blanco" w:eastAsia="Times New Roman" w:hAnsi="Blanco" w:cs="Times New Roman"/>
                <w:bCs/>
                <w:color w:val="231F20"/>
                <w:szCs w:val="21"/>
                <w:lang w:eastAsia="en-GB"/>
              </w:rPr>
            </w:pPr>
            <w:r>
              <w:rPr>
                <w:rFonts w:ascii="Blanco" w:eastAsia="Times New Roman" w:hAnsi="Blanco" w:cs="Times New Roman"/>
                <w:bCs/>
                <w:color w:val="231F20"/>
                <w:szCs w:val="21"/>
                <w:lang w:eastAsia="en-GB"/>
              </w:rPr>
              <w:t>Scenario – all participants</w:t>
            </w:r>
          </w:p>
        </w:tc>
        <w:tc>
          <w:tcPr>
            <w:tcW w:w="1559" w:type="dxa"/>
            <w:hideMark/>
          </w:tcPr>
          <w:p w14:paraId="03D17CE5" w14:textId="77777777" w:rsidR="00896394" w:rsidRPr="00DD143E" w:rsidRDefault="00896394" w:rsidP="003F2C74">
            <w:pPr>
              <w:spacing w:before="0" w:after="0"/>
              <w:jc w:val="center"/>
              <w:rPr>
                <w:rFonts w:ascii="Blanco" w:eastAsia="Times New Roman" w:hAnsi="Blanco" w:cs="Times New Roman"/>
                <w:bCs/>
                <w:color w:val="231F20"/>
                <w:szCs w:val="21"/>
                <w:lang w:eastAsia="en-GB"/>
              </w:rPr>
            </w:pPr>
            <w:r>
              <w:rPr>
                <w:rFonts w:ascii="Blanco" w:eastAsia="Times New Roman" w:hAnsi="Blanco" w:cs="Times New Roman"/>
                <w:bCs/>
                <w:color w:val="231F20"/>
                <w:szCs w:val="21"/>
                <w:lang w:eastAsia="en-GB"/>
              </w:rPr>
              <w:t>2024-25</w:t>
            </w:r>
          </w:p>
        </w:tc>
        <w:tc>
          <w:tcPr>
            <w:tcW w:w="1985" w:type="dxa"/>
            <w:hideMark/>
          </w:tcPr>
          <w:p w14:paraId="16B1214E" w14:textId="77777777" w:rsidR="00896394" w:rsidRPr="002A687C" w:rsidRDefault="00896394" w:rsidP="003F2C74">
            <w:pPr>
              <w:spacing w:before="0" w:after="0"/>
              <w:jc w:val="center"/>
              <w:rPr>
                <w:rFonts w:ascii="Blanco" w:eastAsia="Times New Roman" w:hAnsi="Blanco" w:cs="Times New Roman"/>
                <w:bCs/>
                <w:color w:val="231F20"/>
                <w:szCs w:val="21"/>
                <w:highlight w:val="yellow"/>
                <w:lang w:eastAsia="en-GB"/>
              </w:rPr>
            </w:pPr>
            <w:r w:rsidRPr="00224319">
              <w:rPr>
                <w:rFonts w:ascii="Blanco" w:eastAsia="Times New Roman" w:hAnsi="Blanco" w:cs="Times New Roman"/>
                <w:bCs/>
                <w:color w:val="231F20"/>
                <w:szCs w:val="21"/>
                <w:lang w:eastAsia="en-GB"/>
              </w:rPr>
              <w:t>20</w:t>
            </w:r>
            <w:r w:rsidRPr="002A687C">
              <w:rPr>
                <w:rFonts w:ascii="Blanco" w:eastAsia="Times New Roman" w:hAnsi="Blanco" w:cs="Times New Roman"/>
                <w:bCs/>
                <w:color w:val="231F20"/>
                <w:szCs w:val="21"/>
                <w:lang w:eastAsia="en-GB"/>
              </w:rPr>
              <w:t>29</w:t>
            </w:r>
            <w:r w:rsidRPr="00224319">
              <w:rPr>
                <w:rFonts w:ascii="Blanco" w:eastAsia="Times New Roman" w:hAnsi="Blanco" w:cs="Times New Roman"/>
                <w:bCs/>
                <w:color w:val="231F20"/>
                <w:szCs w:val="21"/>
                <w:lang w:eastAsia="en-GB"/>
              </w:rPr>
              <w:t>-3</w:t>
            </w:r>
            <w:r w:rsidRPr="002A687C">
              <w:rPr>
                <w:rFonts w:ascii="Blanco" w:eastAsia="Times New Roman" w:hAnsi="Blanco" w:cs="Times New Roman"/>
                <w:bCs/>
                <w:color w:val="231F20"/>
                <w:szCs w:val="21"/>
                <w:lang w:eastAsia="en-GB"/>
              </w:rPr>
              <w:t>0</w:t>
            </w:r>
          </w:p>
        </w:tc>
      </w:tr>
      <w:tr w:rsidR="00896394" w:rsidRPr="002A687C" w14:paraId="3C3B71B6"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4986C406" w14:textId="77777777" w:rsidR="00896394" w:rsidRPr="000E5F7C" w:rsidRDefault="00896394" w:rsidP="003F2C74">
            <w:pPr>
              <w:pStyle w:val="Tabletext"/>
              <w:rPr>
                <w:b/>
                <w:bCs/>
              </w:rPr>
            </w:pPr>
            <w:r w:rsidRPr="000E5F7C">
              <w:rPr>
                <w:b/>
                <w:bCs/>
              </w:rPr>
              <w:t>Baseline projection</w:t>
            </w:r>
          </w:p>
        </w:tc>
        <w:tc>
          <w:tcPr>
            <w:tcW w:w="1559" w:type="dxa"/>
            <w:shd w:val="clear" w:color="auto" w:fill="auto"/>
            <w:noWrap/>
          </w:tcPr>
          <w:p w14:paraId="521AF990" w14:textId="77777777" w:rsidR="00896394" w:rsidRPr="000E5F7C" w:rsidRDefault="00896394" w:rsidP="003F2C74">
            <w:pPr>
              <w:pStyle w:val="Tablenumbers"/>
              <w:ind w:right="318"/>
              <w:rPr>
                <w:b/>
                <w:bCs/>
                <w:lang w:eastAsia="en-GB"/>
              </w:rPr>
            </w:pPr>
            <w:r w:rsidRPr="000E5F7C">
              <w:rPr>
                <w:b/>
                <w:bCs/>
                <w:lang w:eastAsia="en-GB"/>
              </w:rPr>
              <w:t>41.4</w:t>
            </w:r>
          </w:p>
        </w:tc>
        <w:tc>
          <w:tcPr>
            <w:tcW w:w="1985" w:type="dxa"/>
            <w:shd w:val="clear" w:color="auto" w:fill="auto"/>
            <w:noWrap/>
          </w:tcPr>
          <w:p w14:paraId="6FE4EBEA" w14:textId="77777777" w:rsidR="00896394" w:rsidRPr="000E5F7C" w:rsidRDefault="00896394" w:rsidP="00C21B79">
            <w:pPr>
              <w:pStyle w:val="Tablenumbers"/>
              <w:ind w:right="515"/>
              <w:rPr>
                <w:b/>
                <w:bCs/>
                <w:lang w:eastAsia="en-GB"/>
              </w:rPr>
            </w:pPr>
            <w:r w:rsidRPr="000E5F7C">
              <w:rPr>
                <w:b/>
                <w:bCs/>
                <w:lang w:eastAsia="en-GB"/>
              </w:rPr>
              <w:t>59.3</w:t>
            </w:r>
          </w:p>
        </w:tc>
      </w:tr>
      <w:tr w:rsidR="000E5F7C" w:rsidRPr="002A687C" w14:paraId="7EB58B8A" w14:textId="77777777" w:rsidTr="000E5F7C">
        <w:trPr>
          <w:trHeight w:val="302"/>
        </w:trPr>
        <w:tc>
          <w:tcPr>
            <w:tcW w:w="5529" w:type="dxa"/>
            <w:tcBorders>
              <w:bottom w:val="single" w:sz="4" w:space="0" w:color="006EC8" w:themeColor="accent1"/>
            </w:tcBorders>
            <w:shd w:val="clear" w:color="auto" w:fill="auto"/>
            <w:noWrap/>
          </w:tcPr>
          <w:p w14:paraId="7E8D21AA" w14:textId="77777777" w:rsidR="000E5F7C" w:rsidRPr="000E5F7C" w:rsidRDefault="000E5F7C" w:rsidP="003F2C74">
            <w:pPr>
              <w:pStyle w:val="Tabletext"/>
              <w:rPr>
                <w:b/>
                <w:bCs/>
              </w:rPr>
            </w:pPr>
          </w:p>
        </w:tc>
        <w:tc>
          <w:tcPr>
            <w:tcW w:w="1559" w:type="dxa"/>
            <w:tcBorders>
              <w:bottom w:val="single" w:sz="4" w:space="0" w:color="006EC8" w:themeColor="accent1"/>
            </w:tcBorders>
            <w:shd w:val="clear" w:color="auto" w:fill="auto"/>
            <w:noWrap/>
          </w:tcPr>
          <w:p w14:paraId="07516821" w14:textId="77777777" w:rsidR="000E5F7C" w:rsidRPr="000E5F7C" w:rsidRDefault="000E5F7C" w:rsidP="003F2C74">
            <w:pPr>
              <w:pStyle w:val="Tablenumbers"/>
              <w:ind w:right="318"/>
              <w:rPr>
                <w:b/>
                <w:bCs/>
                <w:lang w:eastAsia="en-GB"/>
              </w:rPr>
            </w:pPr>
          </w:p>
        </w:tc>
        <w:tc>
          <w:tcPr>
            <w:tcW w:w="1985" w:type="dxa"/>
            <w:tcBorders>
              <w:bottom w:val="single" w:sz="4" w:space="0" w:color="006EC8" w:themeColor="accent1"/>
            </w:tcBorders>
            <w:shd w:val="clear" w:color="auto" w:fill="auto"/>
            <w:noWrap/>
          </w:tcPr>
          <w:p w14:paraId="591466B8" w14:textId="77777777" w:rsidR="000E5F7C" w:rsidRPr="000E5F7C" w:rsidRDefault="000E5F7C" w:rsidP="00C21B79">
            <w:pPr>
              <w:pStyle w:val="Tablenumbers"/>
              <w:ind w:right="515"/>
              <w:rPr>
                <w:b/>
                <w:bCs/>
                <w:lang w:eastAsia="en-GB"/>
              </w:rPr>
            </w:pPr>
          </w:p>
        </w:tc>
      </w:tr>
      <w:tr w:rsidR="00896394" w:rsidRPr="00C555F7" w14:paraId="709DC85D" w14:textId="77777777" w:rsidTr="000E5F7C">
        <w:trPr>
          <w:cnfStyle w:val="000000100000" w:firstRow="0" w:lastRow="0" w:firstColumn="0" w:lastColumn="0" w:oddVBand="0" w:evenVBand="0" w:oddHBand="1" w:evenHBand="0" w:firstRowFirstColumn="0" w:firstRowLastColumn="0" w:lastRowFirstColumn="0" w:lastRowLastColumn="0"/>
          <w:trHeight w:val="302"/>
        </w:trPr>
        <w:tc>
          <w:tcPr>
            <w:tcW w:w="5529" w:type="dxa"/>
            <w:tcBorders>
              <w:top w:val="single" w:sz="4" w:space="0" w:color="006EC8" w:themeColor="accent1"/>
              <w:bottom w:val="nil"/>
            </w:tcBorders>
            <w:noWrap/>
          </w:tcPr>
          <w:p w14:paraId="4F8616C7" w14:textId="77777777" w:rsidR="00896394" w:rsidRPr="000E5F7C" w:rsidRDefault="00896394" w:rsidP="003F2C74">
            <w:pPr>
              <w:pStyle w:val="Tabletext"/>
              <w:rPr>
                <w:b/>
                <w:bCs/>
                <w:lang w:eastAsia="en-GB"/>
              </w:rPr>
            </w:pPr>
            <w:r w:rsidRPr="000E5F7C">
              <w:rPr>
                <w:b/>
                <w:bCs/>
                <w:lang w:eastAsia="en-GB"/>
              </w:rPr>
              <w:t xml:space="preserve">Cost increase scenarios </w:t>
            </w:r>
          </w:p>
        </w:tc>
        <w:tc>
          <w:tcPr>
            <w:tcW w:w="1559" w:type="dxa"/>
            <w:tcBorders>
              <w:top w:val="single" w:sz="4" w:space="0" w:color="006EC8" w:themeColor="accent1"/>
              <w:bottom w:val="nil"/>
            </w:tcBorders>
            <w:noWrap/>
          </w:tcPr>
          <w:p w14:paraId="6624AAF4" w14:textId="77777777" w:rsidR="00896394" w:rsidRPr="00A35FD8" w:rsidRDefault="00896394" w:rsidP="003F2C74">
            <w:pPr>
              <w:pStyle w:val="Tablenumbers"/>
              <w:ind w:right="318"/>
              <w:rPr>
                <w:b/>
                <w:bCs/>
                <w:lang w:eastAsia="en-GB"/>
              </w:rPr>
            </w:pPr>
          </w:p>
        </w:tc>
        <w:tc>
          <w:tcPr>
            <w:tcW w:w="1985" w:type="dxa"/>
            <w:tcBorders>
              <w:top w:val="single" w:sz="4" w:space="0" w:color="006EC8" w:themeColor="accent1"/>
              <w:bottom w:val="nil"/>
            </w:tcBorders>
            <w:noWrap/>
          </w:tcPr>
          <w:p w14:paraId="27BF4A9A" w14:textId="77777777" w:rsidR="00896394" w:rsidRPr="00A35FD8" w:rsidRDefault="00896394" w:rsidP="00C21B79">
            <w:pPr>
              <w:pStyle w:val="Tablenumbers"/>
              <w:ind w:right="515"/>
              <w:rPr>
                <w:b/>
                <w:bCs/>
                <w:lang w:eastAsia="en-GB"/>
              </w:rPr>
            </w:pPr>
          </w:p>
        </w:tc>
      </w:tr>
      <w:tr w:rsidR="00896394" w:rsidRPr="00C555F7" w14:paraId="237AD107" w14:textId="77777777" w:rsidTr="000E5F7C">
        <w:trPr>
          <w:trHeight w:val="302"/>
        </w:trPr>
        <w:tc>
          <w:tcPr>
            <w:tcW w:w="5529" w:type="dxa"/>
            <w:tcBorders>
              <w:top w:val="nil"/>
            </w:tcBorders>
            <w:shd w:val="clear" w:color="auto" w:fill="auto"/>
            <w:noWrap/>
          </w:tcPr>
          <w:p w14:paraId="701C907E" w14:textId="77777777" w:rsidR="00896394" w:rsidRPr="0031725D" w:rsidRDefault="00896394" w:rsidP="003F2C74">
            <w:pPr>
              <w:pStyle w:val="Tabletext"/>
              <w:rPr>
                <w:lang w:eastAsia="en-GB"/>
              </w:rPr>
            </w:pPr>
            <w:r w:rsidRPr="0031725D">
              <w:rPr>
                <w:lang w:eastAsia="en-GB"/>
              </w:rPr>
              <w:t xml:space="preserve">Two additional years of high inflation </w:t>
            </w:r>
          </w:p>
        </w:tc>
        <w:tc>
          <w:tcPr>
            <w:tcW w:w="1559" w:type="dxa"/>
            <w:tcBorders>
              <w:top w:val="nil"/>
            </w:tcBorders>
            <w:shd w:val="clear" w:color="auto" w:fill="auto"/>
            <w:noWrap/>
          </w:tcPr>
          <w:p w14:paraId="12E02398" w14:textId="77777777" w:rsidR="00896394" w:rsidRPr="0031725D" w:rsidRDefault="00896394" w:rsidP="003F2C74">
            <w:pPr>
              <w:pStyle w:val="Tablenumbers"/>
              <w:ind w:right="318"/>
              <w:rPr>
                <w:lang w:eastAsia="en-GB"/>
              </w:rPr>
            </w:pPr>
            <w:r>
              <w:rPr>
                <w:lang w:eastAsia="en-GB"/>
              </w:rPr>
              <w:t>5.2</w:t>
            </w:r>
          </w:p>
        </w:tc>
        <w:tc>
          <w:tcPr>
            <w:tcW w:w="1985" w:type="dxa"/>
            <w:tcBorders>
              <w:top w:val="nil"/>
            </w:tcBorders>
            <w:shd w:val="clear" w:color="auto" w:fill="auto"/>
            <w:noWrap/>
          </w:tcPr>
          <w:p w14:paraId="3BC22E66" w14:textId="77777777" w:rsidR="00896394" w:rsidRPr="0031725D" w:rsidRDefault="00896394" w:rsidP="00C21B79">
            <w:pPr>
              <w:pStyle w:val="Tablenumbers"/>
              <w:ind w:right="515"/>
              <w:rPr>
                <w:lang w:eastAsia="en-GB"/>
              </w:rPr>
            </w:pPr>
            <w:r>
              <w:rPr>
                <w:lang w:eastAsia="en-GB"/>
              </w:rPr>
              <w:t>10.2</w:t>
            </w:r>
          </w:p>
        </w:tc>
      </w:tr>
      <w:tr w:rsidR="00896394" w:rsidRPr="00C555F7" w14:paraId="540B2EFC"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39B1C871" w14:textId="77777777" w:rsidR="00896394" w:rsidRPr="0031725D" w:rsidRDefault="00896394" w:rsidP="003F2C74">
            <w:pPr>
              <w:pStyle w:val="Tabletext"/>
              <w:rPr>
                <w:lang w:eastAsia="en-GB"/>
              </w:rPr>
            </w:pPr>
            <w:r w:rsidRPr="0031725D">
              <w:rPr>
                <w:lang w:eastAsia="en-GB"/>
              </w:rPr>
              <w:t>Higher long term new incidence assumptions</w:t>
            </w:r>
          </w:p>
        </w:tc>
        <w:tc>
          <w:tcPr>
            <w:tcW w:w="1559" w:type="dxa"/>
            <w:shd w:val="clear" w:color="auto" w:fill="auto"/>
            <w:noWrap/>
          </w:tcPr>
          <w:p w14:paraId="74637B27" w14:textId="77777777" w:rsidR="00896394" w:rsidRPr="0031725D" w:rsidRDefault="00896394" w:rsidP="003F2C74">
            <w:pPr>
              <w:pStyle w:val="Tablenumbers"/>
              <w:ind w:right="318"/>
              <w:rPr>
                <w:lang w:eastAsia="en-GB"/>
              </w:rPr>
            </w:pPr>
            <w:r>
              <w:rPr>
                <w:lang w:eastAsia="en-GB"/>
              </w:rPr>
              <w:t>1.3</w:t>
            </w:r>
          </w:p>
        </w:tc>
        <w:tc>
          <w:tcPr>
            <w:tcW w:w="1985" w:type="dxa"/>
            <w:shd w:val="clear" w:color="auto" w:fill="auto"/>
            <w:noWrap/>
          </w:tcPr>
          <w:p w14:paraId="27787AC9" w14:textId="77777777" w:rsidR="00896394" w:rsidRPr="0031725D" w:rsidRDefault="00896394" w:rsidP="00C21B79">
            <w:pPr>
              <w:pStyle w:val="Tablenumbers"/>
              <w:ind w:right="515"/>
              <w:rPr>
                <w:lang w:eastAsia="en-GB"/>
              </w:rPr>
            </w:pPr>
            <w:r>
              <w:rPr>
                <w:lang w:eastAsia="en-GB"/>
              </w:rPr>
              <w:t>6.3</w:t>
            </w:r>
          </w:p>
        </w:tc>
      </w:tr>
      <w:tr w:rsidR="00896394" w:rsidRPr="00C555F7" w14:paraId="1071FB0B" w14:textId="77777777" w:rsidTr="003F2C74">
        <w:trPr>
          <w:trHeight w:val="302"/>
        </w:trPr>
        <w:tc>
          <w:tcPr>
            <w:tcW w:w="5529" w:type="dxa"/>
            <w:shd w:val="clear" w:color="auto" w:fill="auto"/>
            <w:noWrap/>
          </w:tcPr>
          <w:p w14:paraId="4C165BB4" w14:textId="77777777" w:rsidR="00896394" w:rsidRPr="0031725D" w:rsidRDefault="00896394" w:rsidP="003F2C74">
            <w:pPr>
              <w:pStyle w:val="Tabletext"/>
              <w:rPr>
                <w:lang w:eastAsia="en-GB"/>
              </w:rPr>
            </w:pPr>
            <w:r w:rsidRPr="0031725D">
              <w:rPr>
                <w:lang w:eastAsia="en-GB"/>
              </w:rPr>
              <w:t>Lower non-mortality exit rates</w:t>
            </w:r>
          </w:p>
        </w:tc>
        <w:tc>
          <w:tcPr>
            <w:tcW w:w="1559" w:type="dxa"/>
            <w:shd w:val="clear" w:color="auto" w:fill="auto"/>
            <w:noWrap/>
          </w:tcPr>
          <w:p w14:paraId="10C8E049" w14:textId="77777777" w:rsidR="00896394" w:rsidRPr="0031725D" w:rsidRDefault="00896394" w:rsidP="003F2C74">
            <w:pPr>
              <w:pStyle w:val="Tablenumbers"/>
              <w:ind w:right="318"/>
              <w:rPr>
                <w:lang w:eastAsia="en-GB"/>
              </w:rPr>
            </w:pPr>
            <w:r>
              <w:rPr>
                <w:lang w:eastAsia="en-GB"/>
              </w:rPr>
              <w:t>0.5</w:t>
            </w:r>
          </w:p>
        </w:tc>
        <w:tc>
          <w:tcPr>
            <w:tcW w:w="1985" w:type="dxa"/>
            <w:shd w:val="clear" w:color="auto" w:fill="auto"/>
            <w:noWrap/>
          </w:tcPr>
          <w:p w14:paraId="05510679" w14:textId="77777777" w:rsidR="00896394" w:rsidRPr="0031725D" w:rsidRDefault="00896394" w:rsidP="00C21B79">
            <w:pPr>
              <w:pStyle w:val="Tablenumbers"/>
              <w:ind w:right="515"/>
              <w:rPr>
                <w:lang w:eastAsia="en-GB"/>
              </w:rPr>
            </w:pPr>
            <w:r>
              <w:rPr>
                <w:lang w:eastAsia="en-GB"/>
              </w:rPr>
              <w:t>2.7</w:t>
            </w:r>
          </w:p>
        </w:tc>
      </w:tr>
      <w:tr w:rsidR="00896394" w:rsidRPr="00224319" w14:paraId="13CF6BDD" w14:textId="77777777" w:rsidTr="000E5F7C">
        <w:trPr>
          <w:cnfStyle w:val="000000100000" w:firstRow="0" w:lastRow="0" w:firstColumn="0" w:lastColumn="0" w:oddVBand="0" w:evenVBand="0" w:oddHBand="1" w:evenHBand="0" w:firstRowFirstColumn="0" w:firstRowLastColumn="0" w:lastRowFirstColumn="0" w:lastRowLastColumn="0"/>
          <w:trHeight w:val="302"/>
        </w:trPr>
        <w:tc>
          <w:tcPr>
            <w:tcW w:w="5529" w:type="dxa"/>
            <w:tcBorders>
              <w:bottom w:val="nil"/>
            </w:tcBorders>
            <w:shd w:val="clear" w:color="auto" w:fill="auto"/>
            <w:noWrap/>
          </w:tcPr>
          <w:p w14:paraId="7FB8997A" w14:textId="77777777" w:rsidR="00896394" w:rsidRPr="0031725D" w:rsidRDefault="00896394" w:rsidP="003F2C74">
            <w:pPr>
              <w:pStyle w:val="Tabletext"/>
              <w:rPr>
                <w:lang w:eastAsia="en-GB"/>
              </w:rPr>
            </w:pPr>
            <w:r w:rsidRPr="0031725D">
              <w:rPr>
                <w:lang w:eastAsia="en-GB"/>
              </w:rPr>
              <w:t>Higher cost of new entrants</w:t>
            </w:r>
          </w:p>
        </w:tc>
        <w:tc>
          <w:tcPr>
            <w:tcW w:w="1559" w:type="dxa"/>
            <w:tcBorders>
              <w:bottom w:val="nil"/>
            </w:tcBorders>
            <w:shd w:val="clear" w:color="auto" w:fill="auto"/>
            <w:noWrap/>
          </w:tcPr>
          <w:p w14:paraId="67E4DE45" w14:textId="77777777" w:rsidR="00896394" w:rsidRPr="0031725D" w:rsidRDefault="00896394" w:rsidP="003F2C74">
            <w:pPr>
              <w:pStyle w:val="Tablenumbers"/>
              <w:ind w:right="318"/>
              <w:rPr>
                <w:lang w:eastAsia="en-GB"/>
              </w:rPr>
            </w:pPr>
            <w:r>
              <w:rPr>
                <w:lang w:eastAsia="en-GB"/>
              </w:rPr>
              <w:t>0.8</w:t>
            </w:r>
          </w:p>
        </w:tc>
        <w:tc>
          <w:tcPr>
            <w:tcW w:w="1985" w:type="dxa"/>
            <w:tcBorders>
              <w:bottom w:val="nil"/>
            </w:tcBorders>
            <w:shd w:val="clear" w:color="auto" w:fill="auto"/>
            <w:noWrap/>
          </w:tcPr>
          <w:p w14:paraId="522FEE22" w14:textId="77777777" w:rsidR="00896394" w:rsidRPr="0031725D" w:rsidRDefault="00896394" w:rsidP="00C21B79">
            <w:pPr>
              <w:pStyle w:val="Tablenumbers"/>
              <w:ind w:right="515"/>
              <w:rPr>
                <w:lang w:eastAsia="en-GB"/>
              </w:rPr>
            </w:pPr>
            <w:r>
              <w:rPr>
                <w:lang w:eastAsia="en-GB"/>
              </w:rPr>
              <w:t>1.9</w:t>
            </w:r>
          </w:p>
        </w:tc>
      </w:tr>
      <w:tr w:rsidR="00896394" w:rsidRPr="00224319" w14:paraId="3AFD4EC8" w14:textId="77777777" w:rsidTr="000E5F7C">
        <w:trPr>
          <w:trHeight w:val="302"/>
        </w:trPr>
        <w:tc>
          <w:tcPr>
            <w:tcW w:w="5529" w:type="dxa"/>
            <w:tcBorders>
              <w:top w:val="nil"/>
              <w:bottom w:val="single" w:sz="4" w:space="0" w:color="006EC8" w:themeColor="accent1"/>
            </w:tcBorders>
            <w:shd w:val="clear" w:color="auto" w:fill="auto"/>
            <w:noWrap/>
          </w:tcPr>
          <w:p w14:paraId="1769CB23" w14:textId="77777777" w:rsidR="00896394" w:rsidRPr="00DD143E" w:rsidRDefault="00896394" w:rsidP="003F2C74">
            <w:pPr>
              <w:pStyle w:val="Tabletext"/>
              <w:rPr>
                <w:lang w:eastAsia="en-GB"/>
              </w:rPr>
            </w:pPr>
            <w:r>
              <w:rPr>
                <w:lang w:eastAsia="en-GB"/>
              </w:rPr>
              <w:t>Other</w:t>
            </w:r>
          </w:p>
        </w:tc>
        <w:tc>
          <w:tcPr>
            <w:tcW w:w="1559" w:type="dxa"/>
            <w:tcBorders>
              <w:top w:val="nil"/>
              <w:bottom w:val="single" w:sz="4" w:space="0" w:color="006EC8" w:themeColor="accent1"/>
            </w:tcBorders>
            <w:shd w:val="clear" w:color="auto" w:fill="auto"/>
            <w:noWrap/>
          </w:tcPr>
          <w:p w14:paraId="50A2CCFD" w14:textId="77777777" w:rsidR="00896394" w:rsidRPr="00DD143E" w:rsidRDefault="00896394" w:rsidP="003F2C74">
            <w:pPr>
              <w:pStyle w:val="Tablenumbers"/>
              <w:ind w:right="318"/>
              <w:rPr>
                <w:lang w:eastAsia="en-GB"/>
              </w:rPr>
            </w:pPr>
            <w:r>
              <w:rPr>
                <w:lang w:eastAsia="en-GB"/>
              </w:rPr>
              <w:t>1.3</w:t>
            </w:r>
          </w:p>
        </w:tc>
        <w:tc>
          <w:tcPr>
            <w:tcW w:w="1985" w:type="dxa"/>
            <w:tcBorders>
              <w:top w:val="nil"/>
              <w:bottom w:val="single" w:sz="4" w:space="0" w:color="006EC8" w:themeColor="accent1"/>
            </w:tcBorders>
            <w:shd w:val="clear" w:color="auto" w:fill="auto"/>
            <w:noWrap/>
          </w:tcPr>
          <w:p w14:paraId="109EE67F" w14:textId="77777777" w:rsidR="00896394" w:rsidRPr="00224319" w:rsidRDefault="00896394" w:rsidP="00C21B79">
            <w:pPr>
              <w:pStyle w:val="Tablenumbers"/>
              <w:ind w:right="515"/>
              <w:rPr>
                <w:lang w:eastAsia="en-GB"/>
              </w:rPr>
            </w:pPr>
            <w:r>
              <w:rPr>
                <w:lang w:eastAsia="en-GB"/>
              </w:rPr>
              <w:t>3.3</w:t>
            </w:r>
          </w:p>
        </w:tc>
      </w:tr>
      <w:tr w:rsidR="00896394" w:rsidRPr="00224319" w14:paraId="35359F56" w14:textId="77777777" w:rsidTr="000E5F7C">
        <w:trPr>
          <w:cnfStyle w:val="000000100000" w:firstRow="0" w:lastRow="0" w:firstColumn="0" w:lastColumn="0" w:oddVBand="0" w:evenVBand="0" w:oddHBand="1" w:evenHBand="0" w:firstRowFirstColumn="0" w:firstRowLastColumn="0" w:lastRowFirstColumn="0" w:lastRowLastColumn="0"/>
          <w:trHeight w:val="302"/>
        </w:trPr>
        <w:tc>
          <w:tcPr>
            <w:tcW w:w="5529" w:type="dxa"/>
            <w:tcBorders>
              <w:top w:val="single" w:sz="4" w:space="0" w:color="006EC8" w:themeColor="accent1"/>
              <w:bottom w:val="nil"/>
            </w:tcBorders>
            <w:shd w:val="clear" w:color="auto" w:fill="auto"/>
            <w:noWrap/>
          </w:tcPr>
          <w:p w14:paraId="22C434C9" w14:textId="77777777" w:rsidR="00896394" w:rsidRPr="000E5F7C" w:rsidRDefault="00896394" w:rsidP="003F2C74">
            <w:pPr>
              <w:pStyle w:val="Tabletext"/>
              <w:rPr>
                <w:b/>
                <w:bCs/>
                <w:lang w:eastAsia="en-GB"/>
              </w:rPr>
            </w:pPr>
            <w:r w:rsidRPr="000E5F7C">
              <w:rPr>
                <w:b/>
                <w:bCs/>
                <w:lang w:eastAsia="en-GB"/>
              </w:rPr>
              <w:t>Total of cost increase scenarios</w:t>
            </w:r>
          </w:p>
        </w:tc>
        <w:tc>
          <w:tcPr>
            <w:tcW w:w="1559" w:type="dxa"/>
            <w:tcBorders>
              <w:top w:val="single" w:sz="4" w:space="0" w:color="006EC8" w:themeColor="accent1"/>
              <w:bottom w:val="nil"/>
            </w:tcBorders>
            <w:shd w:val="clear" w:color="auto" w:fill="auto"/>
            <w:noWrap/>
          </w:tcPr>
          <w:p w14:paraId="5C29CC99" w14:textId="77777777" w:rsidR="00896394" w:rsidRPr="00A35FD8" w:rsidRDefault="00896394" w:rsidP="003F2C74">
            <w:pPr>
              <w:pStyle w:val="Tablenumbers"/>
              <w:ind w:right="318"/>
              <w:rPr>
                <w:b/>
                <w:bCs/>
                <w:lang w:eastAsia="en-GB"/>
              </w:rPr>
            </w:pPr>
            <w:r w:rsidRPr="00A35FD8">
              <w:rPr>
                <w:b/>
                <w:bCs/>
                <w:lang w:eastAsia="en-GB"/>
              </w:rPr>
              <w:t>9.1</w:t>
            </w:r>
          </w:p>
        </w:tc>
        <w:tc>
          <w:tcPr>
            <w:tcW w:w="1985" w:type="dxa"/>
            <w:tcBorders>
              <w:top w:val="single" w:sz="4" w:space="0" w:color="006EC8" w:themeColor="accent1"/>
              <w:bottom w:val="nil"/>
            </w:tcBorders>
            <w:shd w:val="clear" w:color="auto" w:fill="auto"/>
            <w:noWrap/>
          </w:tcPr>
          <w:p w14:paraId="4A9AF1A8" w14:textId="77777777" w:rsidR="00896394" w:rsidRPr="00A35FD8" w:rsidRDefault="00896394" w:rsidP="00C21B79">
            <w:pPr>
              <w:pStyle w:val="Tablenumbers"/>
              <w:ind w:right="515"/>
              <w:rPr>
                <w:b/>
                <w:bCs/>
                <w:lang w:eastAsia="en-GB"/>
              </w:rPr>
            </w:pPr>
            <w:r w:rsidRPr="00A35FD8">
              <w:rPr>
                <w:b/>
                <w:bCs/>
                <w:lang w:eastAsia="en-GB"/>
              </w:rPr>
              <w:t>24.3</w:t>
            </w:r>
          </w:p>
        </w:tc>
      </w:tr>
      <w:tr w:rsidR="00896394" w:rsidRPr="00224319" w14:paraId="69117836" w14:textId="77777777" w:rsidTr="000E5F7C">
        <w:trPr>
          <w:trHeight w:val="302"/>
        </w:trPr>
        <w:tc>
          <w:tcPr>
            <w:tcW w:w="5529" w:type="dxa"/>
            <w:tcBorders>
              <w:top w:val="nil"/>
              <w:bottom w:val="nil"/>
            </w:tcBorders>
            <w:shd w:val="clear" w:color="auto" w:fill="auto"/>
            <w:noWrap/>
          </w:tcPr>
          <w:p w14:paraId="652E6FE5" w14:textId="77777777" w:rsidR="00896394" w:rsidRPr="000E5F7C" w:rsidRDefault="00896394" w:rsidP="003F2C74">
            <w:pPr>
              <w:pStyle w:val="Tabletext"/>
              <w:rPr>
                <w:b/>
                <w:bCs/>
                <w:lang w:eastAsia="en-GB"/>
              </w:rPr>
            </w:pPr>
            <w:r w:rsidRPr="000E5F7C">
              <w:rPr>
                <w:b/>
                <w:bCs/>
                <w:lang w:eastAsia="en-GB"/>
              </w:rPr>
              <w:t>Plausible high case (variance)</w:t>
            </w:r>
          </w:p>
        </w:tc>
        <w:tc>
          <w:tcPr>
            <w:tcW w:w="1559" w:type="dxa"/>
            <w:tcBorders>
              <w:top w:val="nil"/>
              <w:bottom w:val="nil"/>
            </w:tcBorders>
            <w:shd w:val="clear" w:color="auto" w:fill="auto"/>
            <w:noWrap/>
          </w:tcPr>
          <w:p w14:paraId="4187933C" w14:textId="77777777" w:rsidR="00896394" w:rsidRPr="00A35FD8" w:rsidRDefault="00896394" w:rsidP="003F2C74">
            <w:pPr>
              <w:pStyle w:val="Tablenumbers"/>
              <w:ind w:right="318"/>
              <w:rPr>
                <w:b/>
                <w:bCs/>
                <w:lang w:eastAsia="en-GB"/>
              </w:rPr>
            </w:pPr>
            <w:r w:rsidRPr="00A35FD8">
              <w:rPr>
                <w:b/>
                <w:bCs/>
                <w:lang w:eastAsia="en-GB"/>
              </w:rPr>
              <w:t>6.5</w:t>
            </w:r>
          </w:p>
        </w:tc>
        <w:tc>
          <w:tcPr>
            <w:tcW w:w="1985" w:type="dxa"/>
            <w:tcBorders>
              <w:top w:val="nil"/>
              <w:bottom w:val="nil"/>
            </w:tcBorders>
            <w:shd w:val="clear" w:color="auto" w:fill="auto"/>
            <w:noWrap/>
          </w:tcPr>
          <w:p w14:paraId="092845FC" w14:textId="77777777" w:rsidR="00896394" w:rsidRPr="00A35FD8" w:rsidRDefault="00896394" w:rsidP="00C21B79">
            <w:pPr>
              <w:pStyle w:val="Tablenumbers"/>
              <w:ind w:right="515"/>
              <w:rPr>
                <w:b/>
                <w:bCs/>
                <w:lang w:eastAsia="en-GB"/>
              </w:rPr>
            </w:pPr>
            <w:r w:rsidRPr="00A35FD8">
              <w:rPr>
                <w:b/>
                <w:bCs/>
                <w:lang w:eastAsia="en-GB"/>
              </w:rPr>
              <w:t>14.9</w:t>
            </w:r>
          </w:p>
        </w:tc>
      </w:tr>
      <w:tr w:rsidR="000E5F7C" w:rsidRPr="00002172" w14:paraId="7CB094DF" w14:textId="77777777" w:rsidTr="000E5F7C">
        <w:trPr>
          <w:cnfStyle w:val="000000100000" w:firstRow="0" w:lastRow="0" w:firstColumn="0" w:lastColumn="0" w:oddVBand="0" w:evenVBand="0" w:oddHBand="1" w:evenHBand="0" w:firstRowFirstColumn="0" w:firstRowLastColumn="0" w:lastRowFirstColumn="0" w:lastRowLastColumn="0"/>
          <w:trHeight w:val="302"/>
        </w:trPr>
        <w:tc>
          <w:tcPr>
            <w:tcW w:w="5529" w:type="dxa"/>
            <w:tcBorders>
              <w:top w:val="nil"/>
              <w:bottom w:val="single" w:sz="4" w:space="0" w:color="006EC8" w:themeColor="accent1"/>
            </w:tcBorders>
            <w:shd w:val="clear" w:color="auto" w:fill="auto"/>
            <w:noWrap/>
          </w:tcPr>
          <w:p w14:paraId="2C92B5B0" w14:textId="7B61B49A" w:rsidR="000E5F7C" w:rsidRPr="00002172" w:rsidRDefault="000E5F7C" w:rsidP="007F7FC9">
            <w:pPr>
              <w:pStyle w:val="Tabletext"/>
              <w:rPr>
                <w:b/>
                <w:bCs/>
                <w:lang w:eastAsia="en-GB"/>
              </w:rPr>
            </w:pPr>
            <w:r w:rsidRPr="00002172">
              <w:rPr>
                <w:b/>
                <w:bCs/>
                <w:lang w:eastAsia="en-GB"/>
              </w:rPr>
              <w:t>Plausible high case total</w:t>
            </w:r>
            <w:r>
              <w:rPr>
                <w:b/>
                <w:bCs/>
                <w:lang w:eastAsia="en-GB"/>
              </w:rPr>
              <w:t xml:space="preserve"> (Baseline + High case variance</w:t>
            </w:r>
            <w:r w:rsidRPr="00002172">
              <w:rPr>
                <w:b/>
                <w:bCs/>
                <w:lang w:eastAsia="en-GB"/>
              </w:rPr>
              <w:t>)</w:t>
            </w:r>
          </w:p>
        </w:tc>
        <w:tc>
          <w:tcPr>
            <w:tcW w:w="1559" w:type="dxa"/>
            <w:tcBorders>
              <w:top w:val="nil"/>
              <w:bottom w:val="single" w:sz="4" w:space="0" w:color="006EC8" w:themeColor="accent1"/>
            </w:tcBorders>
            <w:shd w:val="clear" w:color="auto" w:fill="auto"/>
            <w:noWrap/>
          </w:tcPr>
          <w:p w14:paraId="1350E713" w14:textId="77777777" w:rsidR="000E5F7C" w:rsidRPr="00002172" w:rsidRDefault="000E5F7C" w:rsidP="007F7FC9">
            <w:pPr>
              <w:pStyle w:val="Tablenumbers"/>
              <w:ind w:right="318"/>
              <w:rPr>
                <w:b/>
                <w:bCs/>
                <w:lang w:eastAsia="en-GB"/>
              </w:rPr>
            </w:pPr>
            <w:r w:rsidRPr="00002172">
              <w:rPr>
                <w:b/>
                <w:bCs/>
                <w:lang w:eastAsia="en-GB"/>
              </w:rPr>
              <w:t>47.8</w:t>
            </w:r>
          </w:p>
        </w:tc>
        <w:tc>
          <w:tcPr>
            <w:tcW w:w="1985" w:type="dxa"/>
            <w:tcBorders>
              <w:top w:val="nil"/>
              <w:bottom w:val="single" w:sz="4" w:space="0" w:color="006EC8" w:themeColor="accent1"/>
            </w:tcBorders>
            <w:shd w:val="clear" w:color="auto" w:fill="auto"/>
            <w:noWrap/>
          </w:tcPr>
          <w:p w14:paraId="21BD77FB" w14:textId="77777777" w:rsidR="000E5F7C" w:rsidRPr="00002172" w:rsidRDefault="000E5F7C" w:rsidP="007F7FC9">
            <w:pPr>
              <w:pStyle w:val="Tablenumbers"/>
              <w:ind w:right="515"/>
              <w:rPr>
                <w:b/>
                <w:bCs/>
                <w:lang w:eastAsia="en-GB"/>
              </w:rPr>
            </w:pPr>
            <w:r w:rsidRPr="00002172">
              <w:rPr>
                <w:b/>
                <w:bCs/>
                <w:lang w:eastAsia="en-GB"/>
              </w:rPr>
              <w:t>74.2</w:t>
            </w:r>
          </w:p>
        </w:tc>
      </w:tr>
      <w:tr w:rsidR="000E5F7C" w:rsidRPr="00224319" w14:paraId="06501FC4" w14:textId="77777777" w:rsidTr="000E5F7C">
        <w:trPr>
          <w:trHeight w:val="302"/>
        </w:trPr>
        <w:tc>
          <w:tcPr>
            <w:tcW w:w="5529" w:type="dxa"/>
            <w:tcBorders>
              <w:top w:val="single" w:sz="4" w:space="0" w:color="006EC8" w:themeColor="accent1"/>
              <w:bottom w:val="single" w:sz="4" w:space="0" w:color="006EC8" w:themeColor="accent1"/>
            </w:tcBorders>
            <w:shd w:val="clear" w:color="auto" w:fill="auto"/>
            <w:noWrap/>
          </w:tcPr>
          <w:p w14:paraId="5D3BDA59" w14:textId="77777777" w:rsidR="000E5F7C" w:rsidRPr="00A35FD8" w:rsidRDefault="000E5F7C" w:rsidP="003F2C74">
            <w:pPr>
              <w:pStyle w:val="Tabletext"/>
              <w:rPr>
                <w:lang w:eastAsia="en-GB"/>
              </w:rPr>
            </w:pPr>
          </w:p>
        </w:tc>
        <w:tc>
          <w:tcPr>
            <w:tcW w:w="1559" w:type="dxa"/>
            <w:tcBorders>
              <w:top w:val="single" w:sz="4" w:space="0" w:color="006EC8" w:themeColor="accent1"/>
              <w:bottom w:val="single" w:sz="4" w:space="0" w:color="006EC8" w:themeColor="accent1"/>
            </w:tcBorders>
            <w:shd w:val="clear" w:color="auto" w:fill="auto"/>
            <w:noWrap/>
          </w:tcPr>
          <w:p w14:paraId="5C345DD3" w14:textId="77777777" w:rsidR="000E5F7C" w:rsidRPr="00A35FD8" w:rsidRDefault="000E5F7C" w:rsidP="003F2C74">
            <w:pPr>
              <w:pStyle w:val="Tablenumbers"/>
              <w:ind w:right="318"/>
              <w:rPr>
                <w:b/>
                <w:bCs/>
                <w:lang w:eastAsia="en-GB"/>
              </w:rPr>
            </w:pPr>
          </w:p>
        </w:tc>
        <w:tc>
          <w:tcPr>
            <w:tcW w:w="1985" w:type="dxa"/>
            <w:tcBorders>
              <w:top w:val="single" w:sz="4" w:space="0" w:color="006EC8" w:themeColor="accent1"/>
              <w:bottom w:val="single" w:sz="4" w:space="0" w:color="006EC8" w:themeColor="accent1"/>
            </w:tcBorders>
            <w:shd w:val="clear" w:color="auto" w:fill="auto"/>
            <w:noWrap/>
          </w:tcPr>
          <w:p w14:paraId="60004B28" w14:textId="77777777" w:rsidR="000E5F7C" w:rsidRPr="00A35FD8" w:rsidRDefault="000E5F7C" w:rsidP="00C21B79">
            <w:pPr>
              <w:pStyle w:val="Tablenumbers"/>
              <w:ind w:right="515"/>
              <w:rPr>
                <w:b/>
                <w:bCs/>
                <w:lang w:eastAsia="en-GB"/>
              </w:rPr>
            </w:pPr>
          </w:p>
        </w:tc>
      </w:tr>
      <w:tr w:rsidR="00896394" w:rsidRPr="000E5F7C" w14:paraId="128D42D1" w14:textId="77777777" w:rsidTr="000E5F7C">
        <w:trPr>
          <w:cnfStyle w:val="000000100000" w:firstRow="0" w:lastRow="0" w:firstColumn="0" w:lastColumn="0" w:oddVBand="0" w:evenVBand="0" w:oddHBand="1" w:evenHBand="0" w:firstRowFirstColumn="0" w:firstRowLastColumn="0" w:lastRowFirstColumn="0" w:lastRowLastColumn="0"/>
          <w:trHeight w:val="302"/>
        </w:trPr>
        <w:tc>
          <w:tcPr>
            <w:tcW w:w="5529" w:type="dxa"/>
            <w:tcBorders>
              <w:top w:val="single" w:sz="4" w:space="0" w:color="006EC8" w:themeColor="accent1"/>
              <w:bottom w:val="nil"/>
            </w:tcBorders>
            <w:noWrap/>
          </w:tcPr>
          <w:p w14:paraId="5E3D9B23" w14:textId="77777777" w:rsidR="00896394" w:rsidRPr="000E5F7C" w:rsidRDefault="00896394" w:rsidP="003F2C74">
            <w:pPr>
              <w:pStyle w:val="Tabletext"/>
              <w:rPr>
                <w:b/>
                <w:bCs/>
                <w:lang w:eastAsia="en-GB"/>
              </w:rPr>
            </w:pPr>
            <w:r w:rsidRPr="000E5F7C">
              <w:rPr>
                <w:b/>
                <w:bCs/>
                <w:lang w:eastAsia="en-GB"/>
              </w:rPr>
              <w:t xml:space="preserve">Cost reduction scenarios </w:t>
            </w:r>
          </w:p>
        </w:tc>
        <w:tc>
          <w:tcPr>
            <w:tcW w:w="1559" w:type="dxa"/>
            <w:tcBorders>
              <w:top w:val="single" w:sz="4" w:space="0" w:color="006EC8" w:themeColor="accent1"/>
              <w:bottom w:val="nil"/>
            </w:tcBorders>
            <w:noWrap/>
          </w:tcPr>
          <w:p w14:paraId="7C7580A7" w14:textId="77777777" w:rsidR="00896394" w:rsidRPr="000E5F7C" w:rsidRDefault="00896394" w:rsidP="003F2C74">
            <w:pPr>
              <w:pStyle w:val="Tablenumbers"/>
              <w:ind w:right="318"/>
              <w:rPr>
                <w:b/>
                <w:bCs/>
                <w:lang w:eastAsia="en-GB"/>
              </w:rPr>
            </w:pPr>
          </w:p>
        </w:tc>
        <w:tc>
          <w:tcPr>
            <w:tcW w:w="1985" w:type="dxa"/>
            <w:tcBorders>
              <w:top w:val="single" w:sz="4" w:space="0" w:color="006EC8" w:themeColor="accent1"/>
              <w:bottom w:val="nil"/>
            </w:tcBorders>
            <w:noWrap/>
          </w:tcPr>
          <w:p w14:paraId="42D578EF" w14:textId="77777777" w:rsidR="00896394" w:rsidRPr="000E5F7C" w:rsidRDefault="00896394" w:rsidP="00C21B79">
            <w:pPr>
              <w:pStyle w:val="Tablenumbers"/>
              <w:ind w:right="515"/>
              <w:rPr>
                <w:b/>
                <w:bCs/>
                <w:lang w:eastAsia="en-GB"/>
              </w:rPr>
            </w:pPr>
          </w:p>
        </w:tc>
      </w:tr>
      <w:tr w:rsidR="00896394" w:rsidRPr="00224319" w14:paraId="42FBD03A" w14:textId="77777777" w:rsidTr="000E5F7C">
        <w:trPr>
          <w:trHeight w:val="302"/>
        </w:trPr>
        <w:tc>
          <w:tcPr>
            <w:tcW w:w="5529" w:type="dxa"/>
            <w:tcBorders>
              <w:top w:val="nil"/>
            </w:tcBorders>
            <w:shd w:val="clear" w:color="auto" w:fill="auto"/>
            <w:noWrap/>
          </w:tcPr>
          <w:p w14:paraId="5049052C" w14:textId="77777777" w:rsidR="00896394" w:rsidRDefault="00896394" w:rsidP="003F2C74">
            <w:pPr>
              <w:pStyle w:val="Tabletext"/>
              <w:rPr>
                <w:lang w:eastAsia="en-GB"/>
              </w:rPr>
            </w:pPr>
            <w:r>
              <w:rPr>
                <w:lang w:eastAsia="en-GB"/>
              </w:rPr>
              <w:t>One year less of high inflation</w:t>
            </w:r>
          </w:p>
        </w:tc>
        <w:tc>
          <w:tcPr>
            <w:tcW w:w="1559" w:type="dxa"/>
            <w:tcBorders>
              <w:top w:val="nil"/>
            </w:tcBorders>
            <w:shd w:val="clear" w:color="auto" w:fill="auto"/>
            <w:noWrap/>
          </w:tcPr>
          <w:p w14:paraId="1C583A22" w14:textId="77777777" w:rsidR="00896394" w:rsidRPr="00DD143E" w:rsidRDefault="00896394" w:rsidP="003F2C74">
            <w:pPr>
              <w:pStyle w:val="Tablenumbers"/>
              <w:ind w:right="318"/>
              <w:rPr>
                <w:lang w:eastAsia="en-GB"/>
              </w:rPr>
            </w:pPr>
            <w:r>
              <w:rPr>
                <w:lang w:eastAsia="en-GB"/>
              </w:rPr>
              <w:t>-2.0</w:t>
            </w:r>
          </w:p>
        </w:tc>
        <w:tc>
          <w:tcPr>
            <w:tcW w:w="1985" w:type="dxa"/>
            <w:tcBorders>
              <w:top w:val="nil"/>
            </w:tcBorders>
            <w:shd w:val="clear" w:color="auto" w:fill="auto"/>
            <w:noWrap/>
          </w:tcPr>
          <w:p w14:paraId="7FBAF953" w14:textId="77777777" w:rsidR="00896394" w:rsidRPr="00224319" w:rsidRDefault="00896394" w:rsidP="00C21B79">
            <w:pPr>
              <w:pStyle w:val="Tablenumbers"/>
              <w:ind w:right="515"/>
              <w:rPr>
                <w:lang w:eastAsia="en-GB"/>
              </w:rPr>
            </w:pPr>
            <w:r>
              <w:rPr>
                <w:lang w:eastAsia="en-GB"/>
              </w:rPr>
              <w:t>-3.7</w:t>
            </w:r>
          </w:p>
        </w:tc>
      </w:tr>
      <w:tr w:rsidR="00896394" w:rsidRPr="00224319" w14:paraId="40413D23"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51700A46" w14:textId="77777777" w:rsidR="00896394" w:rsidRDefault="00896394" w:rsidP="003F2C74">
            <w:pPr>
              <w:pStyle w:val="Tabletext"/>
              <w:rPr>
                <w:lang w:eastAsia="en-GB"/>
              </w:rPr>
            </w:pPr>
            <w:r>
              <w:rPr>
                <w:lang w:eastAsia="en-GB"/>
              </w:rPr>
              <w:t>Lower long term new incidence assumptions</w:t>
            </w:r>
          </w:p>
        </w:tc>
        <w:tc>
          <w:tcPr>
            <w:tcW w:w="1559" w:type="dxa"/>
            <w:shd w:val="clear" w:color="auto" w:fill="auto"/>
            <w:noWrap/>
          </w:tcPr>
          <w:p w14:paraId="52470B07" w14:textId="77777777" w:rsidR="00896394" w:rsidRPr="00DD143E" w:rsidRDefault="00896394" w:rsidP="003F2C74">
            <w:pPr>
              <w:pStyle w:val="Tablenumbers"/>
              <w:ind w:right="318"/>
              <w:rPr>
                <w:lang w:eastAsia="en-GB"/>
              </w:rPr>
            </w:pPr>
            <w:r>
              <w:rPr>
                <w:lang w:eastAsia="en-GB"/>
              </w:rPr>
              <w:t>0</w:t>
            </w:r>
          </w:p>
        </w:tc>
        <w:tc>
          <w:tcPr>
            <w:tcW w:w="1985" w:type="dxa"/>
            <w:shd w:val="clear" w:color="auto" w:fill="auto"/>
            <w:noWrap/>
          </w:tcPr>
          <w:p w14:paraId="0A7EDF17" w14:textId="77777777" w:rsidR="00896394" w:rsidRPr="00224319" w:rsidRDefault="00896394" w:rsidP="00C21B79">
            <w:pPr>
              <w:pStyle w:val="Tablenumbers"/>
              <w:ind w:right="515"/>
              <w:rPr>
                <w:lang w:eastAsia="en-GB"/>
              </w:rPr>
            </w:pPr>
            <w:r>
              <w:rPr>
                <w:lang w:eastAsia="en-GB"/>
              </w:rPr>
              <w:t>-1.8</w:t>
            </w:r>
          </w:p>
        </w:tc>
      </w:tr>
      <w:tr w:rsidR="00896394" w:rsidRPr="00224319" w14:paraId="4E585497" w14:textId="77777777" w:rsidTr="003F2C74">
        <w:trPr>
          <w:trHeight w:val="302"/>
        </w:trPr>
        <w:tc>
          <w:tcPr>
            <w:tcW w:w="5529" w:type="dxa"/>
            <w:tcBorders>
              <w:bottom w:val="nil"/>
            </w:tcBorders>
            <w:shd w:val="clear" w:color="auto" w:fill="auto"/>
            <w:noWrap/>
          </w:tcPr>
          <w:p w14:paraId="21D34201" w14:textId="77777777" w:rsidR="00896394" w:rsidRDefault="00896394" w:rsidP="003F2C74">
            <w:pPr>
              <w:pStyle w:val="Tabletext"/>
              <w:rPr>
                <w:lang w:eastAsia="en-GB"/>
              </w:rPr>
            </w:pPr>
            <w:r>
              <w:rPr>
                <w:lang w:eastAsia="en-GB"/>
              </w:rPr>
              <w:t>Lower cost of new entrants</w:t>
            </w:r>
          </w:p>
        </w:tc>
        <w:tc>
          <w:tcPr>
            <w:tcW w:w="1559" w:type="dxa"/>
            <w:tcBorders>
              <w:bottom w:val="nil"/>
            </w:tcBorders>
            <w:shd w:val="clear" w:color="auto" w:fill="auto"/>
            <w:noWrap/>
          </w:tcPr>
          <w:p w14:paraId="4097F57B" w14:textId="77777777" w:rsidR="00896394" w:rsidRPr="00DD143E" w:rsidRDefault="00896394" w:rsidP="003F2C74">
            <w:pPr>
              <w:pStyle w:val="Tablenumbers"/>
              <w:ind w:right="318"/>
              <w:rPr>
                <w:lang w:eastAsia="en-GB"/>
              </w:rPr>
            </w:pPr>
            <w:r>
              <w:rPr>
                <w:lang w:eastAsia="en-GB"/>
              </w:rPr>
              <w:t>-0.8</w:t>
            </w:r>
          </w:p>
        </w:tc>
        <w:tc>
          <w:tcPr>
            <w:tcW w:w="1985" w:type="dxa"/>
            <w:tcBorders>
              <w:bottom w:val="nil"/>
            </w:tcBorders>
            <w:shd w:val="clear" w:color="auto" w:fill="auto"/>
            <w:noWrap/>
          </w:tcPr>
          <w:p w14:paraId="20B156B6" w14:textId="77777777" w:rsidR="00896394" w:rsidRPr="00224319" w:rsidRDefault="00896394" w:rsidP="00C21B79">
            <w:pPr>
              <w:pStyle w:val="Tablenumbers"/>
              <w:ind w:right="515"/>
              <w:rPr>
                <w:lang w:eastAsia="en-GB"/>
              </w:rPr>
            </w:pPr>
            <w:r>
              <w:rPr>
                <w:lang w:eastAsia="en-GB"/>
              </w:rPr>
              <w:t>-1.9</w:t>
            </w:r>
          </w:p>
        </w:tc>
      </w:tr>
      <w:tr w:rsidR="00896394" w:rsidRPr="00224319" w14:paraId="18DD6D98"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tcBorders>
              <w:top w:val="nil"/>
              <w:bottom w:val="single" w:sz="4" w:space="0" w:color="006EC8" w:themeColor="accent1"/>
            </w:tcBorders>
            <w:shd w:val="clear" w:color="auto" w:fill="auto"/>
            <w:noWrap/>
          </w:tcPr>
          <w:p w14:paraId="2DB201D8" w14:textId="77777777" w:rsidR="00896394" w:rsidRDefault="00896394" w:rsidP="003F2C74">
            <w:pPr>
              <w:pStyle w:val="Tabletext"/>
              <w:rPr>
                <w:lang w:eastAsia="en-GB"/>
              </w:rPr>
            </w:pPr>
            <w:r>
              <w:rPr>
                <w:lang w:eastAsia="en-GB"/>
              </w:rPr>
              <w:t>Other</w:t>
            </w:r>
          </w:p>
        </w:tc>
        <w:tc>
          <w:tcPr>
            <w:tcW w:w="1559" w:type="dxa"/>
            <w:tcBorders>
              <w:top w:val="nil"/>
              <w:bottom w:val="single" w:sz="4" w:space="0" w:color="006EC8" w:themeColor="accent1"/>
            </w:tcBorders>
            <w:shd w:val="clear" w:color="auto" w:fill="auto"/>
            <w:noWrap/>
          </w:tcPr>
          <w:p w14:paraId="20FD7EE8" w14:textId="77777777" w:rsidR="00896394" w:rsidRPr="00DD143E" w:rsidRDefault="00896394" w:rsidP="003F2C74">
            <w:pPr>
              <w:pStyle w:val="Tablenumbers"/>
              <w:ind w:right="318"/>
              <w:rPr>
                <w:lang w:eastAsia="en-GB"/>
              </w:rPr>
            </w:pPr>
            <w:r>
              <w:rPr>
                <w:lang w:eastAsia="en-GB"/>
              </w:rPr>
              <w:t>-0.3</w:t>
            </w:r>
          </w:p>
        </w:tc>
        <w:tc>
          <w:tcPr>
            <w:tcW w:w="1985" w:type="dxa"/>
            <w:tcBorders>
              <w:top w:val="nil"/>
              <w:bottom w:val="single" w:sz="4" w:space="0" w:color="006EC8" w:themeColor="accent1"/>
            </w:tcBorders>
            <w:shd w:val="clear" w:color="auto" w:fill="auto"/>
            <w:noWrap/>
          </w:tcPr>
          <w:p w14:paraId="37FA500A" w14:textId="77777777" w:rsidR="00896394" w:rsidRPr="00224319" w:rsidRDefault="00896394" w:rsidP="00C21B79">
            <w:pPr>
              <w:pStyle w:val="Tablenumbers"/>
              <w:ind w:right="515"/>
              <w:rPr>
                <w:lang w:eastAsia="en-GB"/>
              </w:rPr>
            </w:pPr>
            <w:r>
              <w:rPr>
                <w:lang w:eastAsia="en-GB"/>
              </w:rPr>
              <w:t>-1.9</w:t>
            </w:r>
          </w:p>
        </w:tc>
      </w:tr>
      <w:tr w:rsidR="00896394" w:rsidRPr="00224319" w14:paraId="32B575C8" w14:textId="77777777" w:rsidTr="000E5F7C">
        <w:trPr>
          <w:trHeight w:val="302"/>
        </w:trPr>
        <w:tc>
          <w:tcPr>
            <w:tcW w:w="5529" w:type="dxa"/>
            <w:tcBorders>
              <w:top w:val="single" w:sz="4" w:space="0" w:color="006EC8" w:themeColor="accent1"/>
              <w:bottom w:val="nil"/>
            </w:tcBorders>
            <w:shd w:val="clear" w:color="auto" w:fill="auto"/>
            <w:noWrap/>
          </w:tcPr>
          <w:p w14:paraId="01C23185" w14:textId="77777777" w:rsidR="00896394" w:rsidRPr="000E5F7C" w:rsidRDefault="00896394" w:rsidP="003F2C74">
            <w:pPr>
              <w:pStyle w:val="Tabletext"/>
              <w:rPr>
                <w:b/>
                <w:bCs/>
                <w:lang w:eastAsia="en-GB"/>
              </w:rPr>
            </w:pPr>
            <w:r w:rsidRPr="000E5F7C">
              <w:rPr>
                <w:b/>
                <w:bCs/>
                <w:lang w:eastAsia="en-GB"/>
              </w:rPr>
              <w:t>Total cost decrease scenarios</w:t>
            </w:r>
          </w:p>
        </w:tc>
        <w:tc>
          <w:tcPr>
            <w:tcW w:w="1559" w:type="dxa"/>
            <w:tcBorders>
              <w:top w:val="single" w:sz="4" w:space="0" w:color="006EC8" w:themeColor="accent1"/>
              <w:bottom w:val="nil"/>
            </w:tcBorders>
            <w:shd w:val="clear" w:color="auto" w:fill="auto"/>
            <w:noWrap/>
          </w:tcPr>
          <w:p w14:paraId="11F271DE" w14:textId="77777777" w:rsidR="00896394" w:rsidRPr="00A35FD8" w:rsidRDefault="00896394" w:rsidP="003F2C74">
            <w:pPr>
              <w:pStyle w:val="Tablenumbers"/>
              <w:ind w:right="318"/>
              <w:rPr>
                <w:b/>
                <w:bCs/>
                <w:lang w:eastAsia="en-GB"/>
              </w:rPr>
            </w:pPr>
            <w:r w:rsidRPr="00A35FD8">
              <w:rPr>
                <w:b/>
                <w:bCs/>
                <w:lang w:eastAsia="en-GB"/>
              </w:rPr>
              <w:t>-3.1</w:t>
            </w:r>
          </w:p>
        </w:tc>
        <w:tc>
          <w:tcPr>
            <w:tcW w:w="1985" w:type="dxa"/>
            <w:tcBorders>
              <w:top w:val="single" w:sz="4" w:space="0" w:color="006EC8" w:themeColor="accent1"/>
              <w:bottom w:val="nil"/>
            </w:tcBorders>
            <w:shd w:val="clear" w:color="auto" w:fill="auto"/>
            <w:noWrap/>
          </w:tcPr>
          <w:p w14:paraId="1D070E1F" w14:textId="77777777" w:rsidR="00896394" w:rsidRPr="000E5F7C" w:rsidRDefault="00896394" w:rsidP="00C21B79">
            <w:pPr>
              <w:pStyle w:val="Tablenumbers"/>
              <w:ind w:right="515"/>
              <w:rPr>
                <w:b/>
                <w:bCs/>
                <w:lang w:eastAsia="en-GB"/>
              </w:rPr>
            </w:pPr>
            <w:r w:rsidRPr="000E5F7C">
              <w:rPr>
                <w:b/>
                <w:bCs/>
                <w:lang w:eastAsia="en-GB"/>
              </w:rPr>
              <w:t>-9.4</w:t>
            </w:r>
          </w:p>
        </w:tc>
      </w:tr>
      <w:tr w:rsidR="00896394" w:rsidRPr="00224319" w14:paraId="6333B68E" w14:textId="77777777" w:rsidTr="000E5F7C">
        <w:trPr>
          <w:cnfStyle w:val="000000100000" w:firstRow="0" w:lastRow="0" w:firstColumn="0" w:lastColumn="0" w:oddVBand="0" w:evenVBand="0" w:oddHBand="1" w:evenHBand="0" w:firstRowFirstColumn="0" w:firstRowLastColumn="0" w:lastRowFirstColumn="0" w:lastRowLastColumn="0"/>
          <w:trHeight w:val="302"/>
        </w:trPr>
        <w:tc>
          <w:tcPr>
            <w:tcW w:w="5529" w:type="dxa"/>
            <w:tcBorders>
              <w:top w:val="nil"/>
              <w:bottom w:val="single" w:sz="4" w:space="0" w:color="006EC8" w:themeColor="accent1"/>
            </w:tcBorders>
            <w:shd w:val="clear" w:color="auto" w:fill="auto"/>
            <w:noWrap/>
          </w:tcPr>
          <w:p w14:paraId="76744E2C" w14:textId="77777777" w:rsidR="00896394" w:rsidRPr="000E5F7C" w:rsidRDefault="00896394" w:rsidP="003F2C74">
            <w:pPr>
              <w:pStyle w:val="Tabletext"/>
              <w:rPr>
                <w:b/>
                <w:bCs/>
                <w:lang w:eastAsia="en-GB"/>
              </w:rPr>
            </w:pPr>
            <w:r w:rsidRPr="000E5F7C">
              <w:rPr>
                <w:b/>
                <w:bCs/>
                <w:lang w:eastAsia="en-GB"/>
              </w:rPr>
              <w:t>Plausible low case (variance)</w:t>
            </w:r>
          </w:p>
        </w:tc>
        <w:tc>
          <w:tcPr>
            <w:tcW w:w="1559" w:type="dxa"/>
            <w:tcBorders>
              <w:top w:val="nil"/>
              <w:bottom w:val="single" w:sz="4" w:space="0" w:color="006EC8" w:themeColor="accent1"/>
            </w:tcBorders>
            <w:shd w:val="clear" w:color="auto" w:fill="auto"/>
            <w:noWrap/>
          </w:tcPr>
          <w:p w14:paraId="66E7E9FD" w14:textId="77777777" w:rsidR="00896394" w:rsidRPr="00A35FD8" w:rsidRDefault="00896394" w:rsidP="003F2C74">
            <w:pPr>
              <w:pStyle w:val="Tablenumbers"/>
              <w:ind w:right="318"/>
              <w:rPr>
                <w:b/>
                <w:bCs/>
                <w:lang w:eastAsia="en-GB"/>
              </w:rPr>
            </w:pPr>
            <w:r w:rsidRPr="00A35FD8">
              <w:rPr>
                <w:b/>
                <w:bCs/>
                <w:lang w:eastAsia="en-GB"/>
              </w:rPr>
              <w:t>-2.4</w:t>
            </w:r>
          </w:p>
        </w:tc>
        <w:tc>
          <w:tcPr>
            <w:tcW w:w="1985" w:type="dxa"/>
            <w:tcBorders>
              <w:top w:val="nil"/>
              <w:bottom w:val="single" w:sz="4" w:space="0" w:color="006EC8" w:themeColor="accent1"/>
            </w:tcBorders>
            <w:shd w:val="clear" w:color="auto" w:fill="auto"/>
            <w:noWrap/>
          </w:tcPr>
          <w:p w14:paraId="6A08806D" w14:textId="77777777" w:rsidR="00896394" w:rsidRPr="000E5F7C" w:rsidRDefault="00896394" w:rsidP="00C21B79">
            <w:pPr>
              <w:pStyle w:val="Tablenumbers"/>
              <w:ind w:right="515"/>
              <w:rPr>
                <w:b/>
                <w:bCs/>
                <w:lang w:eastAsia="en-GB"/>
              </w:rPr>
            </w:pPr>
            <w:r w:rsidRPr="000E5F7C">
              <w:rPr>
                <w:b/>
                <w:bCs/>
                <w:lang w:eastAsia="en-GB"/>
              </w:rPr>
              <w:t>-6.1</w:t>
            </w:r>
          </w:p>
        </w:tc>
      </w:tr>
      <w:tr w:rsidR="00896394" w:rsidRPr="00002172" w14:paraId="318EE9A8" w14:textId="77777777" w:rsidTr="000E5F7C">
        <w:trPr>
          <w:trHeight w:val="302"/>
        </w:trPr>
        <w:tc>
          <w:tcPr>
            <w:tcW w:w="5529" w:type="dxa"/>
            <w:tcBorders>
              <w:top w:val="nil"/>
              <w:bottom w:val="single" w:sz="4" w:space="0" w:color="006EC8" w:themeColor="accent1"/>
            </w:tcBorders>
            <w:shd w:val="clear" w:color="auto" w:fill="auto"/>
            <w:noWrap/>
          </w:tcPr>
          <w:p w14:paraId="2AE93F79" w14:textId="6E5A5FA5" w:rsidR="00896394" w:rsidRPr="00002172" w:rsidRDefault="00896394" w:rsidP="003F2C74">
            <w:pPr>
              <w:pStyle w:val="Tabletext"/>
              <w:rPr>
                <w:b/>
                <w:bCs/>
                <w:lang w:eastAsia="en-GB"/>
              </w:rPr>
            </w:pPr>
            <w:r w:rsidRPr="00002172">
              <w:rPr>
                <w:b/>
                <w:bCs/>
                <w:lang w:eastAsia="en-GB"/>
              </w:rPr>
              <w:t xml:space="preserve">Plausible low case </w:t>
            </w:r>
            <w:r w:rsidR="000E5F7C" w:rsidRPr="00002172">
              <w:rPr>
                <w:b/>
                <w:bCs/>
                <w:lang w:eastAsia="en-GB"/>
              </w:rPr>
              <w:t>total</w:t>
            </w:r>
            <w:r w:rsidR="000E5F7C">
              <w:rPr>
                <w:b/>
                <w:bCs/>
                <w:lang w:eastAsia="en-GB"/>
              </w:rPr>
              <w:t xml:space="preserve"> (Baseline + Low case variance</w:t>
            </w:r>
            <w:r w:rsidR="000E5F7C" w:rsidRPr="00002172">
              <w:rPr>
                <w:b/>
                <w:bCs/>
                <w:lang w:eastAsia="en-GB"/>
              </w:rPr>
              <w:t>)</w:t>
            </w:r>
          </w:p>
        </w:tc>
        <w:tc>
          <w:tcPr>
            <w:tcW w:w="1559" w:type="dxa"/>
            <w:tcBorders>
              <w:top w:val="nil"/>
              <w:bottom w:val="single" w:sz="4" w:space="0" w:color="006EC8" w:themeColor="accent1"/>
            </w:tcBorders>
            <w:shd w:val="clear" w:color="auto" w:fill="auto"/>
            <w:noWrap/>
          </w:tcPr>
          <w:p w14:paraId="5134E11E" w14:textId="77777777" w:rsidR="00896394" w:rsidRPr="00002172" w:rsidRDefault="00896394" w:rsidP="003F2C74">
            <w:pPr>
              <w:pStyle w:val="Tablenumbers"/>
              <w:ind w:right="318"/>
              <w:rPr>
                <w:b/>
                <w:bCs/>
                <w:lang w:eastAsia="en-GB"/>
              </w:rPr>
            </w:pPr>
            <w:r w:rsidRPr="00002172">
              <w:rPr>
                <w:b/>
                <w:bCs/>
                <w:lang w:eastAsia="en-GB"/>
              </w:rPr>
              <w:t>39.0</w:t>
            </w:r>
          </w:p>
        </w:tc>
        <w:tc>
          <w:tcPr>
            <w:tcW w:w="1985" w:type="dxa"/>
            <w:tcBorders>
              <w:top w:val="nil"/>
              <w:bottom w:val="single" w:sz="4" w:space="0" w:color="006EC8" w:themeColor="accent1"/>
            </w:tcBorders>
            <w:shd w:val="clear" w:color="auto" w:fill="auto"/>
            <w:noWrap/>
          </w:tcPr>
          <w:p w14:paraId="74AD25C5" w14:textId="77777777" w:rsidR="00896394" w:rsidRPr="000E5F7C" w:rsidRDefault="00896394" w:rsidP="00C21B79">
            <w:pPr>
              <w:pStyle w:val="Tablenumbers"/>
              <w:ind w:right="515"/>
              <w:rPr>
                <w:b/>
                <w:bCs/>
                <w:lang w:eastAsia="en-GB"/>
              </w:rPr>
            </w:pPr>
            <w:r w:rsidRPr="000E5F7C">
              <w:rPr>
                <w:b/>
                <w:bCs/>
                <w:lang w:eastAsia="en-GB"/>
              </w:rPr>
              <w:t>53.2</w:t>
            </w:r>
          </w:p>
        </w:tc>
      </w:tr>
    </w:tbl>
    <w:p w14:paraId="0CB2F2AF" w14:textId="319F788A" w:rsidR="009724F2" w:rsidRDefault="00896394" w:rsidP="00AB1956">
      <w:pPr>
        <w:rPr>
          <w:rFonts w:asciiTheme="majorHAnsi" w:eastAsiaTheme="majorEastAsia" w:hAnsiTheme="majorHAnsi" w:cstheme="majorBidi"/>
          <w:color w:val="006EC8" w:themeColor="accent1"/>
          <w:sz w:val="28"/>
          <w:szCs w:val="28"/>
        </w:rPr>
      </w:pPr>
      <w:r>
        <w:t>The choice of scenarios and the way they have been combined to construct a plausible range are reasonable</w:t>
      </w:r>
      <w:r w:rsidR="00A20FF2">
        <w:t>, although we note that the NDIS does not give a formal definition of plausible such as a percentile range</w:t>
      </w:r>
      <w:r>
        <w:t>.</w:t>
      </w:r>
      <w:bookmarkStart w:id="246" w:name="_Ref87480448"/>
      <w:bookmarkStart w:id="247" w:name="_Toc87700487"/>
    </w:p>
    <w:p w14:paraId="5F1C5BAF" w14:textId="52CFE5E2" w:rsidR="00896394" w:rsidRDefault="00896394" w:rsidP="00AB1956">
      <w:pPr>
        <w:pStyle w:val="Heading2"/>
      </w:pPr>
      <w:bookmarkStart w:id="248" w:name="_Ref87710792"/>
      <w:bookmarkStart w:id="249" w:name="_Toc88686139"/>
      <w:r>
        <w:t>Model sensitivity to assumptions</w:t>
      </w:r>
      <w:bookmarkEnd w:id="246"/>
      <w:bookmarkEnd w:id="247"/>
      <w:bookmarkEnd w:id="248"/>
      <w:bookmarkEnd w:id="249"/>
    </w:p>
    <w:p w14:paraId="5DF621F6" w14:textId="184FD704" w:rsidR="00896394" w:rsidRDefault="00896394" w:rsidP="00AB1956">
      <w:pPr>
        <w:keepNext/>
      </w:pPr>
      <w:r>
        <w:t xml:space="preserve">We have conducted further sensitivity and scenario testing to further understand how variations to assumptions could affect long-term cost. </w:t>
      </w:r>
      <w:r>
        <w:fldChar w:fldCharType="begin"/>
      </w:r>
      <w:r>
        <w:instrText xml:space="preserve"> REF _Ref87566467 \h </w:instrText>
      </w:r>
      <w:r>
        <w:fldChar w:fldCharType="separate"/>
      </w:r>
      <w:r w:rsidR="00E6217F">
        <w:t xml:space="preserve">Table </w:t>
      </w:r>
      <w:r w:rsidR="00E6217F">
        <w:rPr>
          <w:noProof/>
        </w:rPr>
        <w:t>6</w:t>
      </w:r>
      <w:r w:rsidR="00E6217F">
        <w:t>.</w:t>
      </w:r>
      <w:r w:rsidR="00E6217F">
        <w:rPr>
          <w:noProof/>
        </w:rPr>
        <w:t>2</w:t>
      </w:r>
      <w:r>
        <w:fldChar w:fldCharType="end"/>
      </w:r>
      <w:r>
        <w:t xml:space="preserve"> shows the projected payment impact of changing a selection of key assumptions. </w:t>
      </w:r>
    </w:p>
    <w:p w14:paraId="4681CEF5" w14:textId="2B82DDB4" w:rsidR="00896394" w:rsidRDefault="00896394" w:rsidP="00AB1956">
      <w:pPr>
        <w:pStyle w:val="Caption"/>
      </w:pPr>
      <w:bookmarkStart w:id="250" w:name="_Ref87566467"/>
      <w:r>
        <w:t xml:space="preserve">Table </w:t>
      </w:r>
      <w:r>
        <w:fldChar w:fldCharType="begin"/>
      </w:r>
      <w:r>
        <w:instrText xml:space="preserve"> STYLEREF 1 \s </w:instrText>
      </w:r>
      <w:r>
        <w:fldChar w:fldCharType="separate"/>
      </w:r>
      <w:r w:rsidR="00E6217F">
        <w:rPr>
          <w:noProof/>
        </w:rPr>
        <w:t>6</w:t>
      </w:r>
      <w:r>
        <w:fldChar w:fldCharType="end"/>
      </w:r>
      <w:r>
        <w:t>.</w:t>
      </w:r>
      <w:r>
        <w:fldChar w:fldCharType="begin"/>
      </w:r>
      <w:r>
        <w:instrText xml:space="preserve"> SEQ Table \* ARABIC \s 1 </w:instrText>
      </w:r>
      <w:r>
        <w:fldChar w:fldCharType="separate"/>
      </w:r>
      <w:r w:rsidR="00E6217F">
        <w:rPr>
          <w:noProof/>
        </w:rPr>
        <w:t>2</w:t>
      </w:r>
      <w:r>
        <w:fldChar w:fldCharType="end"/>
      </w:r>
      <w:bookmarkEnd w:id="250"/>
      <w:r>
        <w:t xml:space="preserve"> – Breakdown o</w:t>
      </w:r>
      <w:r w:rsidR="00E341A1">
        <w:t>f</w:t>
      </w:r>
      <w:r>
        <w:t xml:space="preserve"> increase in projected payments: Sensitivities ($B)</w:t>
      </w:r>
    </w:p>
    <w:tbl>
      <w:tblPr>
        <w:tblStyle w:val="TFBlue"/>
        <w:tblW w:w="9073" w:type="dxa"/>
        <w:tblLook w:val="04A0" w:firstRow="1" w:lastRow="0" w:firstColumn="1" w:lastColumn="0" w:noHBand="0" w:noVBand="1"/>
      </w:tblPr>
      <w:tblGrid>
        <w:gridCol w:w="5529"/>
        <w:gridCol w:w="1559"/>
        <w:gridCol w:w="1985"/>
      </w:tblGrid>
      <w:tr w:rsidR="00896394" w:rsidRPr="00DD143E" w14:paraId="372BD771" w14:textId="77777777" w:rsidTr="003F2C74">
        <w:trPr>
          <w:cnfStyle w:val="100000000000" w:firstRow="1" w:lastRow="0" w:firstColumn="0" w:lastColumn="0" w:oddVBand="0" w:evenVBand="0" w:oddHBand="0" w:evenHBand="0" w:firstRowFirstColumn="0" w:firstRowLastColumn="0" w:lastRowFirstColumn="0" w:lastRowLastColumn="0"/>
          <w:trHeight w:val="308"/>
        </w:trPr>
        <w:tc>
          <w:tcPr>
            <w:tcW w:w="5529" w:type="dxa"/>
            <w:noWrap/>
            <w:hideMark/>
          </w:tcPr>
          <w:p w14:paraId="7CED58C1" w14:textId="77777777" w:rsidR="00896394" w:rsidRPr="00DD143E" w:rsidRDefault="00896394" w:rsidP="00AB1956">
            <w:pPr>
              <w:keepNext/>
              <w:spacing w:before="0" w:after="0"/>
              <w:rPr>
                <w:rFonts w:ascii="Blanco" w:eastAsia="Times New Roman" w:hAnsi="Blanco" w:cs="Times New Roman"/>
                <w:bCs/>
                <w:color w:val="231F20"/>
                <w:szCs w:val="21"/>
                <w:lang w:eastAsia="en-GB"/>
              </w:rPr>
            </w:pPr>
            <w:r>
              <w:rPr>
                <w:rFonts w:ascii="Blanco" w:eastAsia="Times New Roman" w:hAnsi="Blanco" w:cs="Times New Roman"/>
                <w:bCs/>
                <w:color w:val="231F20"/>
                <w:szCs w:val="21"/>
                <w:lang w:eastAsia="en-GB"/>
              </w:rPr>
              <w:t xml:space="preserve">Scenario </w:t>
            </w:r>
          </w:p>
        </w:tc>
        <w:tc>
          <w:tcPr>
            <w:tcW w:w="1559" w:type="dxa"/>
            <w:hideMark/>
          </w:tcPr>
          <w:p w14:paraId="3872D674" w14:textId="77777777" w:rsidR="00896394" w:rsidRPr="00DD143E" w:rsidRDefault="00896394" w:rsidP="00AB1956">
            <w:pPr>
              <w:keepNext/>
              <w:spacing w:before="0" w:after="0"/>
              <w:jc w:val="center"/>
              <w:rPr>
                <w:rFonts w:ascii="Blanco" w:eastAsia="Times New Roman" w:hAnsi="Blanco" w:cs="Times New Roman"/>
                <w:bCs/>
                <w:color w:val="231F20"/>
                <w:szCs w:val="21"/>
                <w:lang w:eastAsia="en-GB"/>
              </w:rPr>
            </w:pPr>
            <w:r>
              <w:rPr>
                <w:rFonts w:ascii="Blanco" w:eastAsia="Times New Roman" w:hAnsi="Blanco" w:cs="Times New Roman"/>
                <w:bCs/>
                <w:color w:val="231F20"/>
                <w:szCs w:val="21"/>
                <w:lang w:eastAsia="en-GB"/>
              </w:rPr>
              <w:t>2024-25</w:t>
            </w:r>
          </w:p>
        </w:tc>
        <w:tc>
          <w:tcPr>
            <w:tcW w:w="1985" w:type="dxa"/>
            <w:hideMark/>
          </w:tcPr>
          <w:p w14:paraId="289A012D" w14:textId="77777777" w:rsidR="00896394" w:rsidRPr="002A687C" w:rsidRDefault="00896394" w:rsidP="00AB1956">
            <w:pPr>
              <w:keepNext/>
              <w:spacing w:before="0" w:after="0"/>
              <w:jc w:val="center"/>
              <w:rPr>
                <w:rFonts w:ascii="Blanco" w:eastAsia="Times New Roman" w:hAnsi="Blanco" w:cs="Times New Roman"/>
                <w:bCs/>
                <w:color w:val="231F20"/>
                <w:szCs w:val="21"/>
                <w:highlight w:val="yellow"/>
                <w:lang w:eastAsia="en-GB"/>
              </w:rPr>
            </w:pPr>
            <w:r w:rsidRPr="00224319">
              <w:rPr>
                <w:rFonts w:ascii="Blanco" w:eastAsia="Times New Roman" w:hAnsi="Blanco" w:cs="Times New Roman"/>
                <w:bCs/>
                <w:color w:val="231F20"/>
                <w:szCs w:val="21"/>
                <w:lang w:eastAsia="en-GB"/>
              </w:rPr>
              <w:t>20</w:t>
            </w:r>
            <w:r w:rsidRPr="002A687C">
              <w:rPr>
                <w:rFonts w:ascii="Blanco" w:eastAsia="Times New Roman" w:hAnsi="Blanco" w:cs="Times New Roman"/>
                <w:bCs/>
                <w:color w:val="231F20"/>
                <w:szCs w:val="21"/>
                <w:lang w:eastAsia="en-GB"/>
              </w:rPr>
              <w:t>29</w:t>
            </w:r>
            <w:r w:rsidRPr="00224319">
              <w:rPr>
                <w:rFonts w:ascii="Blanco" w:eastAsia="Times New Roman" w:hAnsi="Blanco" w:cs="Times New Roman"/>
                <w:bCs/>
                <w:color w:val="231F20"/>
                <w:szCs w:val="21"/>
                <w:lang w:eastAsia="en-GB"/>
              </w:rPr>
              <w:t>-3</w:t>
            </w:r>
            <w:r w:rsidRPr="002A687C">
              <w:rPr>
                <w:rFonts w:ascii="Blanco" w:eastAsia="Times New Roman" w:hAnsi="Blanco" w:cs="Times New Roman"/>
                <w:bCs/>
                <w:color w:val="231F20"/>
                <w:szCs w:val="21"/>
                <w:lang w:eastAsia="en-GB"/>
              </w:rPr>
              <w:t>0</w:t>
            </w:r>
          </w:p>
        </w:tc>
      </w:tr>
      <w:tr w:rsidR="00896394" w:rsidRPr="00DD143E" w14:paraId="516FCD78"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noWrap/>
          </w:tcPr>
          <w:p w14:paraId="27F4D774" w14:textId="77777777" w:rsidR="00896394" w:rsidRPr="00E12D7C" w:rsidRDefault="00896394" w:rsidP="003F2C74">
            <w:pPr>
              <w:pStyle w:val="Bullet1"/>
              <w:numPr>
                <w:ilvl w:val="0"/>
                <w:numId w:val="0"/>
              </w:numPr>
              <w:ind w:left="360" w:hanging="360"/>
              <w:rPr>
                <w:b/>
                <w:bCs/>
              </w:rPr>
            </w:pPr>
            <w:r w:rsidRPr="00E12D7C">
              <w:rPr>
                <w:b/>
                <w:bCs/>
              </w:rPr>
              <w:t>Participant number assumptions</w:t>
            </w:r>
          </w:p>
        </w:tc>
        <w:tc>
          <w:tcPr>
            <w:tcW w:w="1559" w:type="dxa"/>
            <w:noWrap/>
          </w:tcPr>
          <w:p w14:paraId="76FA48F7" w14:textId="77777777" w:rsidR="00896394" w:rsidRPr="00DD143E" w:rsidRDefault="00896394" w:rsidP="003F2C74">
            <w:pPr>
              <w:pStyle w:val="Tablenumbers"/>
              <w:jc w:val="center"/>
              <w:rPr>
                <w:lang w:eastAsia="en-GB"/>
              </w:rPr>
            </w:pPr>
          </w:p>
        </w:tc>
        <w:tc>
          <w:tcPr>
            <w:tcW w:w="1985" w:type="dxa"/>
            <w:noWrap/>
          </w:tcPr>
          <w:p w14:paraId="7ACE2509" w14:textId="77777777" w:rsidR="00896394" w:rsidRPr="002A687C" w:rsidRDefault="00896394" w:rsidP="003F2C74">
            <w:pPr>
              <w:pStyle w:val="Tablenumbers"/>
              <w:jc w:val="center"/>
              <w:rPr>
                <w:highlight w:val="yellow"/>
                <w:lang w:eastAsia="en-GB"/>
              </w:rPr>
            </w:pPr>
          </w:p>
        </w:tc>
      </w:tr>
      <w:tr w:rsidR="00896394" w:rsidRPr="00DD143E" w14:paraId="071D4186" w14:textId="77777777" w:rsidTr="003F2C74">
        <w:trPr>
          <w:trHeight w:val="302"/>
        </w:trPr>
        <w:tc>
          <w:tcPr>
            <w:tcW w:w="5529" w:type="dxa"/>
            <w:shd w:val="clear" w:color="auto" w:fill="auto"/>
            <w:noWrap/>
          </w:tcPr>
          <w:p w14:paraId="492A5088" w14:textId="71DECDDF" w:rsidR="00896394" w:rsidRPr="0069172D" w:rsidRDefault="00896394" w:rsidP="003F2C74">
            <w:pPr>
              <w:pStyle w:val="Tabletext"/>
              <w:rPr>
                <w:highlight w:val="green"/>
                <w:lang w:eastAsia="en-GB"/>
              </w:rPr>
            </w:pPr>
            <w:r w:rsidRPr="005E4A32">
              <w:rPr>
                <w:lang w:eastAsia="en-GB"/>
              </w:rPr>
              <w:t>New incidences are</w:t>
            </w:r>
            <w:r>
              <w:rPr>
                <w:lang w:eastAsia="en-GB"/>
              </w:rPr>
              <w:t xml:space="preserve"> as per the </w:t>
            </w:r>
            <w:r w:rsidR="00D320CF">
              <w:rPr>
                <w:lang w:eastAsia="en-GB"/>
              </w:rPr>
              <w:t>2018-19 AFSR</w:t>
            </w:r>
            <w:r>
              <w:rPr>
                <w:lang w:eastAsia="en-GB"/>
              </w:rPr>
              <w:t xml:space="preserve"> projections</w:t>
            </w:r>
          </w:p>
        </w:tc>
        <w:tc>
          <w:tcPr>
            <w:tcW w:w="1559" w:type="dxa"/>
            <w:shd w:val="clear" w:color="auto" w:fill="auto"/>
            <w:noWrap/>
          </w:tcPr>
          <w:p w14:paraId="7760465F" w14:textId="77777777" w:rsidR="00896394" w:rsidRPr="00DD143E" w:rsidRDefault="00896394" w:rsidP="003F2C74">
            <w:pPr>
              <w:pStyle w:val="Tablenumbers"/>
              <w:jc w:val="center"/>
              <w:rPr>
                <w:lang w:eastAsia="en-GB"/>
              </w:rPr>
            </w:pPr>
            <w:r>
              <w:rPr>
                <w:lang w:eastAsia="en-GB"/>
              </w:rPr>
              <w:t>-2.0</w:t>
            </w:r>
          </w:p>
        </w:tc>
        <w:tc>
          <w:tcPr>
            <w:tcW w:w="1985" w:type="dxa"/>
            <w:shd w:val="clear" w:color="auto" w:fill="auto"/>
            <w:noWrap/>
          </w:tcPr>
          <w:p w14:paraId="4378A9F7" w14:textId="77777777" w:rsidR="00896394" w:rsidRPr="00C555F7" w:rsidRDefault="00896394" w:rsidP="003F2C74">
            <w:pPr>
              <w:pStyle w:val="Tablenumbers"/>
              <w:jc w:val="center"/>
              <w:rPr>
                <w:lang w:eastAsia="en-GB"/>
              </w:rPr>
            </w:pPr>
            <w:r w:rsidRPr="00C555F7">
              <w:rPr>
                <w:lang w:eastAsia="en-GB"/>
              </w:rPr>
              <w:t>-</w:t>
            </w:r>
            <w:r w:rsidRPr="002A687C">
              <w:rPr>
                <w:lang w:eastAsia="en-GB"/>
              </w:rPr>
              <w:t>5.3</w:t>
            </w:r>
          </w:p>
        </w:tc>
      </w:tr>
      <w:tr w:rsidR="00896394" w:rsidRPr="00DD143E" w14:paraId="23749EBB"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08676E86" w14:textId="5CEA024C" w:rsidR="00896394" w:rsidRPr="0069172D" w:rsidRDefault="00896394" w:rsidP="003F2C74">
            <w:pPr>
              <w:pStyle w:val="Tabletext"/>
              <w:rPr>
                <w:highlight w:val="green"/>
                <w:lang w:eastAsia="en-GB"/>
              </w:rPr>
            </w:pPr>
            <w:r w:rsidRPr="005E4A32">
              <w:rPr>
                <w:lang w:eastAsia="en-GB"/>
              </w:rPr>
              <w:t xml:space="preserve">Previous unmet need to continue into </w:t>
            </w:r>
            <w:r>
              <w:rPr>
                <w:lang w:eastAsia="en-GB"/>
              </w:rPr>
              <w:t xml:space="preserve">the </w:t>
            </w:r>
            <w:r w:rsidRPr="005E4A32">
              <w:rPr>
                <w:lang w:eastAsia="en-GB"/>
              </w:rPr>
              <w:t xml:space="preserve">future at </w:t>
            </w:r>
            <w:r>
              <w:rPr>
                <w:lang w:eastAsia="en-GB"/>
              </w:rPr>
              <w:t xml:space="preserve">the </w:t>
            </w:r>
            <w:r w:rsidRPr="005E4A32">
              <w:rPr>
                <w:lang w:eastAsia="en-GB"/>
              </w:rPr>
              <w:t xml:space="preserve">projected level for 2021/22 based on </w:t>
            </w:r>
            <w:r w:rsidR="00D320CF">
              <w:rPr>
                <w:lang w:eastAsia="en-GB"/>
              </w:rPr>
              <w:t>2020-21 AFSR</w:t>
            </w:r>
            <w:r w:rsidRPr="005E4A32">
              <w:rPr>
                <w:lang w:eastAsia="en-GB"/>
              </w:rPr>
              <w:t xml:space="preserve"> </w:t>
            </w:r>
          </w:p>
        </w:tc>
        <w:tc>
          <w:tcPr>
            <w:tcW w:w="1559" w:type="dxa"/>
            <w:shd w:val="clear" w:color="auto" w:fill="auto"/>
            <w:noWrap/>
          </w:tcPr>
          <w:p w14:paraId="0307D10B" w14:textId="77777777" w:rsidR="00896394" w:rsidRPr="00DD143E" w:rsidRDefault="00896394" w:rsidP="003F2C74">
            <w:pPr>
              <w:pStyle w:val="Tablenumbers"/>
              <w:jc w:val="center"/>
              <w:rPr>
                <w:lang w:eastAsia="en-GB"/>
              </w:rPr>
            </w:pPr>
            <w:r>
              <w:rPr>
                <w:lang w:eastAsia="en-GB"/>
              </w:rPr>
              <w:t>+1.3</w:t>
            </w:r>
          </w:p>
        </w:tc>
        <w:tc>
          <w:tcPr>
            <w:tcW w:w="1985" w:type="dxa"/>
            <w:shd w:val="clear" w:color="auto" w:fill="auto"/>
            <w:noWrap/>
          </w:tcPr>
          <w:p w14:paraId="5DEB359D" w14:textId="77777777" w:rsidR="00896394" w:rsidRPr="00C555F7" w:rsidRDefault="00896394" w:rsidP="003F2C74">
            <w:pPr>
              <w:pStyle w:val="Tablenumbers"/>
              <w:jc w:val="center"/>
              <w:rPr>
                <w:lang w:eastAsia="en-GB"/>
              </w:rPr>
            </w:pPr>
            <w:r w:rsidRPr="00C555F7">
              <w:rPr>
                <w:lang w:eastAsia="en-GB"/>
              </w:rPr>
              <w:t>+</w:t>
            </w:r>
            <w:r w:rsidRPr="002A687C">
              <w:rPr>
                <w:lang w:eastAsia="en-GB"/>
              </w:rPr>
              <w:t>5.9</w:t>
            </w:r>
          </w:p>
        </w:tc>
      </w:tr>
      <w:tr w:rsidR="00896394" w:rsidRPr="00DD143E" w14:paraId="09CE6F54" w14:textId="77777777" w:rsidTr="003F2C74">
        <w:trPr>
          <w:trHeight w:val="302"/>
        </w:trPr>
        <w:tc>
          <w:tcPr>
            <w:tcW w:w="5529" w:type="dxa"/>
            <w:shd w:val="clear" w:color="auto" w:fill="auto"/>
            <w:noWrap/>
          </w:tcPr>
          <w:p w14:paraId="4BFA3C7B" w14:textId="77777777" w:rsidR="00896394" w:rsidRPr="0069172D" w:rsidRDefault="00896394" w:rsidP="003F2C74">
            <w:pPr>
              <w:pStyle w:val="Tabletext"/>
              <w:rPr>
                <w:highlight w:val="green"/>
                <w:lang w:eastAsia="en-GB"/>
              </w:rPr>
            </w:pPr>
            <w:r w:rsidRPr="005E4A32">
              <w:rPr>
                <w:lang w:eastAsia="en-GB"/>
              </w:rPr>
              <w:t xml:space="preserve">Future non-mortality exit rates are </w:t>
            </w:r>
            <w:r>
              <w:rPr>
                <w:lang w:eastAsia="en-GB"/>
              </w:rPr>
              <w:t xml:space="preserve">consistent with the </w:t>
            </w:r>
            <w:r w:rsidRPr="005E4A32">
              <w:rPr>
                <w:lang w:eastAsia="en-GB"/>
              </w:rPr>
              <w:t>actual experience observed in 2020 &amp; 2021</w:t>
            </w:r>
          </w:p>
        </w:tc>
        <w:tc>
          <w:tcPr>
            <w:tcW w:w="1559" w:type="dxa"/>
            <w:shd w:val="clear" w:color="auto" w:fill="auto"/>
            <w:noWrap/>
          </w:tcPr>
          <w:p w14:paraId="59EF1EA3" w14:textId="77777777" w:rsidR="00896394" w:rsidRPr="00DD143E" w:rsidRDefault="00896394" w:rsidP="003F2C74">
            <w:pPr>
              <w:pStyle w:val="Tablenumbers"/>
              <w:jc w:val="center"/>
              <w:rPr>
                <w:lang w:eastAsia="en-GB"/>
              </w:rPr>
            </w:pPr>
            <w:r>
              <w:rPr>
                <w:lang w:eastAsia="en-GB"/>
              </w:rPr>
              <w:t>+0.5</w:t>
            </w:r>
          </w:p>
        </w:tc>
        <w:tc>
          <w:tcPr>
            <w:tcW w:w="1985" w:type="dxa"/>
            <w:shd w:val="clear" w:color="auto" w:fill="auto"/>
            <w:noWrap/>
          </w:tcPr>
          <w:p w14:paraId="457738E4" w14:textId="77777777" w:rsidR="00896394" w:rsidRPr="00C555F7" w:rsidRDefault="00896394" w:rsidP="003F2C74">
            <w:pPr>
              <w:pStyle w:val="Tablenumbers"/>
              <w:jc w:val="center"/>
              <w:rPr>
                <w:lang w:eastAsia="en-GB"/>
              </w:rPr>
            </w:pPr>
            <w:r w:rsidRPr="00C555F7">
              <w:rPr>
                <w:lang w:eastAsia="en-GB"/>
              </w:rPr>
              <w:t>+</w:t>
            </w:r>
            <w:r w:rsidRPr="002A687C">
              <w:rPr>
                <w:lang w:eastAsia="en-GB"/>
              </w:rPr>
              <w:t>2.8</w:t>
            </w:r>
          </w:p>
        </w:tc>
      </w:tr>
      <w:tr w:rsidR="000E5F7C" w:rsidRPr="00DD143E" w14:paraId="5FAF758B"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48A80E98" w14:textId="265A1EBF" w:rsidR="000E5F7C" w:rsidRPr="005E4A32" w:rsidRDefault="000E5F7C" w:rsidP="003F2C74">
            <w:pPr>
              <w:pStyle w:val="Tabletext"/>
              <w:rPr>
                <w:lang w:eastAsia="en-GB"/>
              </w:rPr>
            </w:pPr>
            <w:r>
              <w:rPr>
                <w:lang w:eastAsia="en-GB"/>
              </w:rPr>
              <w:t>From 2025-26 onwards, the number of new participants reduces to 40,000 per year</w:t>
            </w:r>
          </w:p>
        </w:tc>
        <w:tc>
          <w:tcPr>
            <w:tcW w:w="1559" w:type="dxa"/>
            <w:shd w:val="clear" w:color="auto" w:fill="auto"/>
            <w:noWrap/>
          </w:tcPr>
          <w:p w14:paraId="7244A60C" w14:textId="1AEE5D74" w:rsidR="000E5F7C" w:rsidRDefault="000E5F7C" w:rsidP="003F2C74">
            <w:pPr>
              <w:pStyle w:val="Tablenumbers"/>
              <w:jc w:val="center"/>
              <w:rPr>
                <w:lang w:eastAsia="en-GB"/>
              </w:rPr>
            </w:pPr>
            <w:r>
              <w:rPr>
                <w:lang w:eastAsia="en-GB"/>
              </w:rPr>
              <w:t>0.0</w:t>
            </w:r>
          </w:p>
        </w:tc>
        <w:tc>
          <w:tcPr>
            <w:tcW w:w="1985" w:type="dxa"/>
            <w:shd w:val="clear" w:color="auto" w:fill="auto"/>
            <w:noWrap/>
          </w:tcPr>
          <w:p w14:paraId="4EA3097A" w14:textId="055819F7" w:rsidR="000E5F7C" w:rsidRPr="00C555F7" w:rsidRDefault="000E5F7C" w:rsidP="003F2C74">
            <w:pPr>
              <w:pStyle w:val="Tablenumbers"/>
              <w:jc w:val="center"/>
              <w:rPr>
                <w:lang w:eastAsia="en-GB"/>
              </w:rPr>
            </w:pPr>
            <w:r>
              <w:rPr>
                <w:lang w:eastAsia="en-GB"/>
              </w:rPr>
              <w:t>-3.8</w:t>
            </w:r>
          </w:p>
        </w:tc>
      </w:tr>
      <w:tr w:rsidR="00997D83" w:rsidRPr="00DD143E" w14:paraId="0481449B" w14:textId="77777777" w:rsidTr="003F2C74">
        <w:trPr>
          <w:trHeight w:val="302"/>
        </w:trPr>
        <w:tc>
          <w:tcPr>
            <w:tcW w:w="5529" w:type="dxa"/>
            <w:shd w:val="clear" w:color="auto" w:fill="auto"/>
            <w:noWrap/>
          </w:tcPr>
          <w:p w14:paraId="3119AB63" w14:textId="5D874904" w:rsidR="00997D83" w:rsidRPr="00666A0F" w:rsidRDefault="00997D83" w:rsidP="003F2C74">
            <w:pPr>
              <w:pStyle w:val="Tabletext"/>
              <w:rPr>
                <w:lang w:eastAsia="en-GB"/>
              </w:rPr>
            </w:pPr>
            <w:r w:rsidRPr="00666A0F">
              <w:rPr>
                <w:lang w:eastAsia="en-GB"/>
              </w:rPr>
              <w:t>If prevalence rates for autism and developmental delay remain at levels observed at June 2021</w:t>
            </w:r>
          </w:p>
        </w:tc>
        <w:tc>
          <w:tcPr>
            <w:tcW w:w="1559" w:type="dxa"/>
            <w:shd w:val="clear" w:color="auto" w:fill="auto"/>
            <w:noWrap/>
          </w:tcPr>
          <w:p w14:paraId="40D0D46D" w14:textId="5694FA29" w:rsidR="00997D83" w:rsidRPr="00666A0F" w:rsidRDefault="00997D83" w:rsidP="003F2C74">
            <w:pPr>
              <w:pStyle w:val="Tablenumbers"/>
              <w:jc w:val="center"/>
              <w:rPr>
                <w:lang w:eastAsia="en-GB"/>
              </w:rPr>
            </w:pPr>
            <w:r w:rsidRPr="00666A0F">
              <w:rPr>
                <w:lang w:eastAsia="en-GB"/>
              </w:rPr>
              <w:t>-3.6</w:t>
            </w:r>
          </w:p>
        </w:tc>
        <w:tc>
          <w:tcPr>
            <w:tcW w:w="1985" w:type="dxa"/>
            <w:shd w:val="clear" w:color="auto" w:fill="auto"/>
            <w:noWrap/>
          </w:tcPr>
          <w:p w14:paraId="26722850" w14:textId="42C5AD4E" w:rsidR="00997D83" w:rsidRPr="00C555F7" w:rsidRDefault="00997D83" w:rsidP="003F2C74">
            <w:pPr>
              <w:pStyle w:val="Tablenumbers"/>
              <w:jc w:val="center"/>
              <w:rPr>
                <w:lang w:eastAsia="en-GB"/>
              </w:rPr>
            </w:pPr>
            <w:r w:rsidRPr="00666A0F">
              <w:rPr>
                <w:lang w:eastAsia="en-GB"/>
              </w:rPr>
              <w:t>-10.1</w:t>
            </w:r>
          </w:p>
        </w:tc>
      </w:tr>
      <w:tr w:rsidR="00896394" w:rsidRPr="00DD143E" w14:paraId="0E683E30"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4F919D97" w14:textId="77777777" w:rsidR="00896394" w:rsidRPr="00E12D7C" w:rsidRDefault="00896394" w:rsidP="003F2C74">
            <w:pPr>
              <w:pStyle w:val="Tabletext"/>
              <w:rPr>
                <w:lang w:eastAsia="en-GB"/>
              </w:rPr>
            </w:pPr>
            <w:r w:rsidRPr="00E12D7C">
              <w:rPr>
                <w:lang w:eastAsia="en-GB"/>
              </w:rPr>
              <w:t xml:space="preserve">Number of people in SIL is 10% higher </w:t>
            </w:r>
          </w:p>
        </w:tc>
        <w:tc>
          <w:tcPr>
            <w:tcW w:w="1559" w:type="dxa"/>
            <w:shd w:val="clear" w:color="auto" w:fill="auto"/>
            <w:noWrap/>
          </w:tcPr>
          <w:p w14:paraId="20578CEA" w14:textId="77777777" w:rsidR="00896394" w:rsidRPr="00DD143E" w:rsidRDefault="00896394" w:rsidP="003F2C74">
            <w:pPr>
              <w:pStyle w:val="Tablenumbers"/>
              <w:jc w:val="center"/>
              <w:rPr>
                <w:lang w:eastAsia="en-GB"/>
              </w:rPr>
            </w:pPr>
            <w:r>
              <w:rPr>
                <w:lang w:eastAsia="en-GB"/>
              </w:rPr>
              <w:t>+2.1</w:t>
            </w:r>
          </w:p>
        </w:tc>
        <w:tc>
          <w:tcPr>
            <w:tcW w:w="1985" w:type="dxa"/>
            <w:shd w:val="clear" w:color="auto" w:fill="auto"/>
            <w:noWrap/>
          </w:tcPr>
          <w:p w14:paraId="59C5A56D" w14:textId="77777777" w:rsidR="00896394" w:rsidRPr="00C555F7" w:rsidRDefault="00896394" w:rsidP="003F2C74">
            <w:pPr>
              <w:pStyle w:val="Tablenumbers"/>
              <w:jc w:val="center"/>
              <w:rPr>
                <w:lang w:eastAsia="en-GB"/>
              </w:rPr>
            </w:pPr>
            <w:r w:rsidRPr="00C555F7">
              <w:rPr>
                <w:lang w:eastAsia="en-GB"/>
              </w:rPr>
              <w:t>+2.</w:t>
            </w:r>
            <w:r w:rsidRPr="002A687C">
              <w:rPr>
                <w:lang w:eastAsia="en-GB"/>
              </w:rPr>
              <w:t>6</w:t>
            </w:r>
          </w:p>
        </w:tc>
      </w:tr>
      <w:tr w:rsidR="00896394" w:rsidRPr="00DD143E" w14:paraId="55D1D7B3" w14:textId="77777777" w:rsidTr="003F2C74">
        <w:trPr>
          <w:trHeight w:val="302"/>
        </w:trPr>
        <w:tc>
          <w:tcPr>
            <w:tcW w:w="5529" w:type="dxa"/>
            <w:shd w:val="clear" w:color="auto" w:fill="EFF8FF"/>
            <w:noWrap/>
          </w:tcPr>
          <w:p w14:paraId="50266704" w14:textId="77777777" w:rsidR="00896394" w:rsidRPr="00E12D7C" w:rsidRDefault="00896394" w:rsidP="003F2C74">
            <w:pPr>
              <w:pStyle w:val="Tabletext"/>
              <w:rPr>
                <w:b/>
                <w:bCs/>
                <w:lang w:eastAsia="en-GB"/>
              </w:rPr>
            </w:pPr>
            <w:r w:rsidRPr="00E12D7C">
              <w:rPr>
                <w:b/>
                <w:bCs/>
                <w:lang w:eastAsia="en-GB"/>
              </w:rPr>
              <w:t>Average support assumptions</w:t>
            </w:r>
          </w:p>
        </w:tc>
        <w:tc>
          <w:tcPr>
            <w:tcW w:w="1559" w:type="dxa"/>
            <w:shd w:val="clear" w:color="auto" w:fill="EFF8FF"/>
            <w:noWrap/>
          </w:tcPr>
          <w:p w14:paraId="6C4AEB67" w14:textId="77777777" w:rsidR="00896394" w:rsidRPr="00DD143E" w:rsidRDefault="00896394" w:rsidP="003F2C74">
            <w:pPr>
              <w:pStyle w:val="Tablenumbers"/>
              <w:jc w:val="center"/>
              <w:rPr>
                <w:lang w:eastAsia="en-GB"/>
              </w:rPr>
            </w:pPr>
          </w:p>
        </w:tc>
        <w:tc>
          <w:tcPr>
            <w:tcW w:w="1985" w:type="dxa"/>
            <w:shd w:val="clear" w:color="auto" w:fill="EFF8FF"/>
            <w:noWrap/>
          </w:tcPr>
          <w:p w14:paraId="1135BE4A" w14:textId="77777777" w:rsidR="00896394" w:rsidRPr="00224319" w:rsidRDefault="00896394" w:rsidP="003F2C74">
            <w:pPr>
              <w:pStyle w:val="Tablenumbers"/>
              <w:jc w:val="center"/>
              <w:rPr>
                <w:lang w:eastAsia="en-GB"/>
              </w:rPr>
            </w:pPr>
          </w:p>
        </w:tc>
      </w:tr>
      <w:tr w:rsidR="00896394" w:rsidRPr="00DD143E" w14:paraId="7E89BFD6"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6E4CDE6B" w14:textId="46F2FF34" w:rsidR="00896394" w:rsidRPr="00DD143E" w:rsidRDefault="00896394" w:rsidP="003F2C74">
            <w:pPr>
              <w:pStyle w:val="Tabletext"/>
              <w:rPr>
                <w:lang w:eastAsia="en-GB"/>
              </w:rPr>
            </w:pPr>
            <w:r>
              <w:rPr>
                <w:lang w:eastAsia="en-GB"/>
              </w:rPr>
              <w:t>Daily Activities</w:t>
            </w:r>
            <w:r w:rsidRPr="00E12D7C">
              <w:rPr>
                <w:lang w:eastAsia="en-GB"/>
              </w:rPr>
              <w:t xml:space="preserve"> </w:t>
            </w:r>
            <w:r>
              <w:rPr>
                <w:lang w:eastAsia="en-GB"/>
              </w:rPr>
              <w:t>pa</w:t>
            </w:r>
            <w:r w:rsidRPr="00E12D7C">
              <w:rPr>
                <w:lang w:eastAsia="en-GB"/>
              </w:rPr>
              <w:t>yments</w:t>
            </w:r>
            <w:r>
              <w:rPr>
                <w:lang w:eastAsia="en-GB"/>
              </w:rPr>
              <w:t xml:space="preserve"> </w:t>
            </w:r>
            <w:r w:rsidRPr="00E12D7C">
              <w:rPr>
                <w:lang w:eastAsia="en-GB"/>
              </w:rPr>
              <w:t xml:space="preserve">grow </w:t>
            </w:r>
            <w:r>
              <w:rPr>
                <w:lang w:eastAsia="en-GB"/>
              </w:rPr>
              <w:t xml:space="preserve">by an additional </w:t>
            </w:r>
            <w:r w:rsidRPr="00E12D7C">
              <w:rPr>
                <w:lang w:eastAsia="en-GB"/>
              </w:rPr>
              <w:t xml:space="preserve">2% p.a. </w:t>
            </w:r>
          </w:p>
        </w:tc>
        <w:tc>
          <w:tcPr>
            <w:tcW w:w="1559" w:type="dxa"/>
            <w:shd w:val="clear" w:color="auto" w:fill="auto"/>
            <w:noWrap/>
          </w:tcPr>
          <w:p w14:paraId="15FD9A65" w14:textId="77777777" w:rsidR="00896394" w:rsidRPr="00DD143E" w:rsidRDefault="00896394" w:rsidP="003F2C74">
            <w:pPr>
              <w:pStyle w:val="Tablenumbers"/>
              <w:jc w:val="center"/>
              <w:rPr>
                <w:lang w:eastAsia="en-GB"/>
              </w:rPr>
            </w:pPr>
            <w:r>
              <w:rPr>
                <w:lang w:eastAsia="en-GB"/>
              </w:rPr>
              <w:t>+1.8</w:t>
            </w:r>
          </w:p>
        </w:tc>
        <w:tc>
          <w:tcPr>
            <w:tcW w:w="1985" w:type="dxa"/>
            <w:shd w:val="clear" w:color="auto" w:fill="auto"/>
            <w:noWrap/>
          </w:tcPr>
          <w:p w14:paraId="3D18E158" w14:textId="77777777" w:rsidR="00896394" w:rsidRPr="00224319" w:rsidRDefault="00896394" w:rsidP="003F2C74">
            <w:pPr>
              <w:pStyle w:val="Tablenumbers"/>
              <w:jc w:val="center"/>
              <w:rPr>
                <w:lang w:eastAsia="en-GB"/>
              </w:rPr>
            </w:pPr>
            <w:r w:rsidRPr="00224319">
              <w:rPr>
                <w:lang w:eastAsia="en-GB"/>
              </w:rPr>
              <w:t>+</w:t>
            </w:r>
            <w:r w:rsidRPr="002A687C">
              <w:rPr>
                <w:lang w:eastAsia="en-GB"/>
              </w:rPr>
              <w:t>5.9</w:t>
            </w:r>
          </w:p>
        </w:tc>
      </w:tr>
      <w:tr w:rsidR="00896394" w:rsidRPr="00DD143E" w14:paraId="0D051345" w14:textId="77777777" w:rsidTr="003F2C74">
        <w:trPr>
          <w:trHeight w:val="302"/>
        </w:trPr>
        <w:tc>
          <w:tcPr>
            <w:tcW w:w="5529" w:type="dxa"/>
            <w:shd w:val="clear" w:color="auto" w:fill="auto"/>
            <w:noWrap/>
          </w:tcPr>
          <w:p w14:paraId="059170E7" w14:textId="77777777" w:rsidR="00896394" w:rsidRPr="00E12D7C" w:rsidRDefault="00896394" w:rsidP="003F2C74">
            <w:pPr>
              <w:pStyle w:val="Tabletext"/>
              <w:rPr>
                <w:lang w:eastAsia="en-GB"/>
              </w:rPr>
            </w:pPr>
            <w:r>
              <w:rPr>
                <w:lang w:eastAsia="en-GB"/>
              </w:rPr>
              <w:t>Daily Activities</w:t>
            </w:r>
            <w:r w:rsidRPr="00E12D7C">
              <w:rPr>
                <w:lang w:eastAsia="en-GB"/>
              </w:rPr>
              <w:t xml:space="preserve"> </w:t>
            </w:r>
            <w:r>
              <w:rPr>
                <w:lang w:eastAsia="en-GB"/>
              </w:rPr>
              <w:t>pa</w:t>
            </w:r>
            <w:r w:rsidRPr="00E12D7C">
              <w:rPr>
                <w:lang w:eastAsia="en-GB"/>
              </w:rPr>
              <w:t>yments</w:t>
            </w:r>
            <w:r>
              <w:rPr>
                <w:lang w:eastAsia="en-GB"/>
              </w:rPr>
              <w:t xml:space="preserve"> for people aged 55+ increase by 10% </w:t>
            </w:r>
          </w:p>
        </w:tc>
        <w:tc>
          <w:tcPr>
            <w:tcW w:w="1559" w:type="dxa"/>
            <w:shd w:val="clear" w:color="auto" w:fill="auto"/>
            <w:noWrap/>
          </w:tcPr>
          <w:p w14:paraId="37A500A5" w14:textId="77777777" w:rsidR="00896394" w:rsidRDefault="00896394" w:rsidP="003F2C74">
            <w:pPr>
              <w:pStyle w:val="Tablenumbers"/>
              <w:jc w:val="center"/>
              <w:rPr>
                <w:lang w:eastAsia="en-GB"/>
              </w:rPr>
            </w:pPr>
            <w:r>
              <w:rPr>
                <w:lang w:eastAsia="en-GB"/>
              </w:rPr>
              <w:t>+0.7</w:t>
            </w:r>
          </w:p>
        </w:tc>
        <w:tc>
          <w:tcPr>
            <w:tcW w:w="1985" w:type="dxa"/>
            <w:shd w:val="clear" w:color="auto" w:fill="auto"/>
            <w:noWrap/>
          </w:tcPr>
          <w:p w14:paraId="501692A8" w14:textId="77777777" w:rsidR="00896394" w:rsidRPr="00224319" w:rsidRDefault="00896394" w:rsidP="003F2C74">
            <w:pPr>
              <w:pStyle w:val="Tablenumbers"/>
              <w:jc w:val="center"/>
              <w:rPr>
                <w:lang w:eastAsia="en-GB"/>
              </w:rPr>
            </w:pPr>
            <w:r w:rsidRPr="00224319">
              <w:rPr>
                <w:lang w:eastAsia="en-GB"/>
              </w:rPr>
              <w:t>+1.</w:t>
            </w:r>
            <w:r w:rsidRPr="002A687C">
              <w:rPr>
                <w:lang w:eastAsia="en-GB"/>
              </w:rPr>
              <w:t>0</w:t>
            </w:r>
          </w:p>
        </w:tc>
      </w:tr>
      <w:tr w:rsidR="00896394" w:rsidRPr="00DD143E" w14:paraId="12BBB991"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16C1088C" w14:textId="77777777" w:rsidR="00896394" w:rsidRPr="00E12D7C" w:rsidRDefault="00896394" w:rsidP="003F2C74">
            <w:pPr>
              <w:pStyle w:val="Tabletext"/>
              <w:rPr>
                <w:lang w:eastAsia="en-GB"/>
              </w:rPr>
            </w:pPr>
            <w:r w:rsidRPr="00E12D7C">
              <w:rPr>
                <w:lang w:eastAsia="en-GB"/>
              </w:rPr>
              <w:t>No variation by age for average support assumptions</w:t>
            </w:r>
            <w:r>
              <w:rPr>
                <w:lang w:eastAsia="en-GB"/>
              </w:rPr>
              <w:t xml:space="preserve"> for people in SIL (i.e., people’s future support levels will be the same as </w:t>
            </w:r>
            <w:r>
              <w:t>current assumed levels)</w:t>
            </w:r>
          </w:p>
        </w:tc>
        <w:tc>
          <w:tcPr>
            <w:tcW w:w="1559" w:type="dxa"/>
            <w:shd w:val="clear" w:color="auto" w:fill="auto"/>
            <w:noWrap/>
          </w:tcPr>
          <w:p w14:paraId="0671AB78" w14:textId="77777777" w:rsidR="00896394" w:rsidRDefault="00896394" w:rsidP="003F2C74">
            <w:pPr>
              <w:pStyle w:val="Tablenumbers"/>
              <w:jc w:val="center"/>
              <w:rPr>
                <w:lang w:eastAsia="en-GB"/>
              </w:rPr>
            </w:pPr>
            <w:r>
              <w:rPr>
                <w:lang w:eastAsia="en-GB"/>
              </w:rPr>
              <w:t>+0.3</w:t>
            </w:r>
          </w:p>
        </w:tc>
        <w:tc>
          <w:tcPr>
            <w:tcW w:w="1985" w:type="dxa"/>
            <w:shd w:val="clear" w:color="auto" w:fill="auto"/>
            <w:noWrap/>
          </w:tcPr>
          <w:p w14:paraId="51CBCE72" w14:textId="77777777" w:rsidR="00896394" w:rsidRPr="00224319" w:rsidRDefault="00896394" w:rsidP="003F2C74">
            <w:pPr>
              <w:pStyle w:val="Tablenumbers"/>
              <w:jc w:val="center"/>
              <w:rPr>
                <w:lang w:eastAsia="en-GB"/>
              </w:rPr>
            </w:pPr>
            <w:r w:rsidRPr="00224319">
              <w:rPr>
                <w:lang w:eastAsia="en-GB"/>
              </w:rPr>
              <w:t>+0.</w:t>
            </w:r>
            <w:r w:rsidRPr="002A687C">
              <w:rPr>
                <w:lang w:eastAsia="en-GB"/>
              </w:rPr>
              <w:t>7</w:t>
            </w:r>
          </w:p>
        </w:tc>
      </w:tr>
      <w:tr w:rsidR="00896394" w:rsidRPr="00DD143E" w14:paraId="4E9A4233" w14:textId="77777777" w:rsidTr="003F2C74">
        <w:trPr>
          <w:trHeight w:val="302"/>
        </w:trPr>
        <w:tc>
          <w:tcPr>
            <w:tcW w:w="5529" w:type="dxa"/>
            <w:shd w:val="clear" w:color="auto" w:fill="EFF8FF"/>
            <w:noWrap/>
          </w:tcPr>
          <w:p w14:paraId="46CAB476" w14:textId="77777777" w:rsidR="00896394" w:rsidRPr="00E12D7C" w:rsidRDefault="00896394" w:rsidP="003F2C74">
            <w:pPr>
              <w:pStyle w:val="Tabletext"/>
              <w:rPr>
                <w:b/>
                <w:bCs/>
                <w:lang w:eastAsia="en-GB"/>
              </w:rPr>
            </w:pPr>
            <w:r w:rsidRPr="00E12D7C">
              <w:rPr>
                <w:b/>
                <w:bCs/>
                <w:lang w:eastAsia="en-GB"/>
              </w:rPr>
              <w:t>Price change assumptions</w:t>
            </w:r>
          </w:p>
        </w:tc>
        <w:tc>
          <w:tcPr>
            <w:tcW w:w="1559" w:type="dxa"/>
            <w:shd w:val="clear" w:color="auto" w:fill="EFF8FF"/>
            <w:noWrap/>
          </w:tcPr>
          <w:p w14:paraId="6979E2F7" w14:textId="77777777" w:rsidR="00896394" w:rsidRPr="00DD143E" w:rsidRDefault="00896394" w:rsidP="003F2C74">
            <w:pPr>
              <w:pStyle w:val="Tablenumbers"/>
              <w:jc w:val="center"/>
              <w:rPr>
                <w:lang w:eastAsia="en-GB"/>
              </w:rPr>
            </w:pPr>
          </w:p>
        </w:tc>
        <w:tc>
          <w:tcPr>
            <w:tcW w:w="1985" w:type="dxa"/>
            <w:shd w:val="clear" w:color="auto" w:fill="EFF8FF"/>
            <w:noWrap/>
          </w:tcPr>
          <w:p w14:paraId="0404FE3E" w14:textId="77777777" w:rsidR="00896394" w:rsidRPr="00224319" w:rsidRDefault="00896394" w:rsidP="003F2C74">
            <w:pPr>
              <w:pStyle w:val="Tablenumbers"/>
              <w:jc w:val="center"/>
              <w:rPr>
                <w:lang w:eastAsia="en-GB"/>
              </w:rPr>
            </w:pPr>
          </w:p>
        </w:tc>
      </w:tr>
      <w:tr w:rsidR="00896394" w:rsidRPr="00DD143E" w14:paraId="3E8DA1D8"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0EEA88C7" w14:textId="77777777" w:rsidR="00896394" w:rsidRPr="00DD143E" w:rsidRDefault="00896394" w:rsidP="003F2C74">
            <w:pPr>
              <w:pStyle w:val="Tabletext"/>
              <w:rPr>
                <w:lang w:eastAsia="en-GB"/>
              </w:rPr>
            </w:pPr>
            <w:r w:rsidRPr="00BC4325">
              <w:rPr>
                <w:lang w:eastAsia="en-GB"/>
              </w:rPr>
              <w:t>Daily Activities and Social Community Civ</w:t>
            </w:r>
            <w:r>
              <w:rPr>
                <w:lang w:eastAsia="en-GB"/>
              </w:rPr>
              <w:t>i</w:t>
            </w:r>
            <w:r w:rsidRPr="00BC4325">
              <w:rPr>
                <w:lang w:eastAsia="en-GB"/>
              </w:rPr>
              <w:t xml:space="preserve">c </w:t>
            </w:r>
            <w:r>
              <w:rPr>
                <w:lang w:eastAsia="en-GB"/>
              </w:rPr>
              <w:t xml:space="preserve">prices increase by an additional </w:t>
            </w:r>
            <w:r w:rsidRPr="00BC4325">
              <w:rPr>
                <w:lang w:eastAsia="en-GB"/>
              </w:rPr>
              <w:t xml:space="preserve">1% </w:t>
            </w:r>
            <w:r>
              <w:rPr>
                <w:lang w:eastAsia="en-GB"/>
              </w:rPr>
              <w:t>p.a.</w:t>
            </w:r>
          </w:p>
        </w:tc>
        <w:tc>
          <w:tcPr>
            <w:tcW w:w="1559" w:type="dxa"/>
            <w:shd w:val="clear" w:color="auto" w:fill="auto"/>
            <w:noWrap/>
          </w:tcPr>
          <w:p w14:paraId="568E037F" w14:textId="77777777" w:rsidR="00896394" w:rsidRPr="00DD143E" w:rsidRDefault="00896394" w:rsidP="003F2C74">
            <w:pPr>
              <w:pStyle w:val="Tablenumbers"/>
              <w:jc w:val="center"/>
              <w:rPr>
                <w:lang w:eastAsia="en-GB"/>
              </w:rPr>
            </w:pPr>
            <w:r>
              <w:rPr>
                <w:lang w:eastAsia="en-GB"/>
              </w:rPr>
              <w:t>+1.1</w:t>
            </w:r>
          </w:p>
        </w:tc>
        <w:tc>
          <w:tcPr>
            <w:tcW w:w="1985" w:type="dxa"/>
            <w:shd w:val="clear" w:color="auto" w:fill="auto"/>
            <w:noWrap/>
          </w:tcPr>
          <w:p w14:paraId="21290ABC" w14:textId="77777777" w:rsidR="00896394" w:rsidRPr="00224319" w:rsidRDefault="00896394" w:rsidP="003F2C74">
            <w:pPr>
              <w:pStyle w:val="Tablenumbers"/>
              <w:jc w:val="center"/>
              <w:rPr>
                <w:lang w:eastAsia="en-GB"/>
              </w:rPr>
            </w:pPr>
            <w:r w:rsidRPr="00224319">
              <w:rPr>
                <w:lang w:eastAsia="en-GB"/>
              </w:rPr>
              <w:t>+</w:t>
            </w:r>
            <w:r w:rsidRPr="002A687C">
              <w:rPr>
                <w:lang w:eastAsia="en-GB"/>
              </w:rPr>
              <w:t>3.8</w:t>
            </w:r>
          </w:p>
        </w:tc>
      </w:tr>
      <w:tr w:rsidR="00896394" w:rsidRPr="00DD143E" w14:paraId="61B9FD46" w14:textId="77777777" w:rsidTr="003F2C74">
        <w:trPr>
          <w:trHeight w:val="302"/>
        </w:trPr>
        <w:tc>
          <w:tcPr>
            <w:tcW w:w="5529" w:type="dxa"/>
            <w:shd w:val="clear" w:color="auto" w:fill="auto"/>
            <w:noWrap/>
          </w:tcPr>
          <w:p w14:paraId="5A86A340" w14:textId="77777777" w:rsidR="00896394" w:rsidRPr="00BC4325" w:rsidRDefault="00896394" w:rsidP="003F2C74">
            <w:pPr>
              <w:pStyle w:val="Tabletext"/>
              <w:rPr>
                <w:lang w:eastAsia="en-GB"/>
              </w:rPr>
            </w:pPr>
            <w:r>
              <w:rPr>
                <w:lang w:eastAsia="en-GB"/>
              </w:rPr>
              <w:t xml:space="preserve">Prices for all other support costs increase by an additional </w:t>
            </w:r>
            <w:r w:rsidRPr="00BC4325">
              <w:rPr>
                <w:lang w:eastAsia="en-GB"/>
              </w:rPr>
              <w:t xml:space="preserve">1% </w:t>
            </w:r>
            <w:r>
              <w:rPr>
                <w:lang w:eastAsia="en-GB"/>
              </w:rPr>
              <w:t>p.a.</w:t>
            </w:r>
          </w:p>
        </w:tc>
        <w:tc>
          <w:tcPr>
            <w:tcW w:w="1559" w:type="dxa"/>
            <w:shd w:val="clear" w:color="auto" w:fill="auto"/>
            <w:noWrap/>
          </w:tcPr>
          <w:p w14:paraId="7A31A889" w14:textId="77777777" w:rsidR="00896394" w:rsidRDefault="00896394" w:rsidP="003F2C74">
            <w:pPr>
              <w:pStyle w:val="Tablenumbers"/>
              <w:jc w:val="center"/>
              <w:rPr>
                <w:lang w:eastAsia="en-GB"/>
              </w:rPr>
            </w:pPr>
            <w:r>
              <w:rPr>
                <w:lang w:eastAsia="en-GB"/>
              </w:rPr>
              <w:t>+0.5</w:t>
            </w:r>
          </w:p>
        </w:tc>
        <w:tc>
          <w:tcPr>
            <w:tcW w:w="1985" w:type="dxa"/>
            <w:shd w:val="clear" w:color="auto" w:fill="auto"/>
            <w:noWrap/>
          </w:tcPr>
          <w:p w14:paraId="5E1B8B40" w14:textId="77777777" w:rsidR="00896394" w:rsidRPr="00224319" w:rsidRDefault="00896394" w:rsidP="003F2C74">
            <w:pPr>
              <w:pStyle w:val="Tablenumbers"/>
              <w:jc w:val="center"/>
              <w:rPr>
                <w:lang w:eastAsia="en-GB"/>
              </w:rPr>
            </w:pPr>
            <w:r w:rsidRPr="00224319">
              <w:rPr>
                <w:lang w:eastAsia="en-GB"/>
              </w:rPr>
              <w:t>+</w:t>
            </w:r>
            <w:r w:rsidRPr="002A687C">
              <w:rPr>
                <w:lang w:eastAsia="en-GB"/>
              </w:rPr>
              <w:t>1.5</w:t>
            </w:r>
          </w:p>
        </w:tc>
      </w:tr>
      <w:tr w:rsidR="00896394" w:rsidRPr="00DD143E" w14:paraId="7DAEA36A"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37365D44" w14:textId="065FB55C" w:rsidR="00896394" w:rsidRDefault="00896394" w:rsidP="003F2C74">
            <w:pPr>
              <w:pStyle w:val="Tabletext"/>
              <w:rPr>
                <w:lang w:eastAsia="en-GB"/>
              </w:rPr>
            </w:pPr>
            <w:r>
              <w:rPr>
                <w:lang w:eastAsia="en-GB"/>
              </w:rPr>
              <w:t xml:space="preserve">Baseline </w:t>
            </w:r>
            <w:r w:rsidR="00232FFF">
              <w:rPr>
                <w:lang w:eastAsia="en-GB"/>
              </w:rPr>
              <w:t>Scheme</w:t>
            </w:r>
            <w:r>
              <w:rPr>
                <w:lang w:eastAsia="en-GB"/>
              </w:rPr>
              <w:t xml:space="preserve"> long-term inflation is 4%, rather than 3.2%</w:t>
            </w:r>
          </w:p>
        </w:tc>
        <w:tc>
          <w:tcPr>
            <w:tcW w:w="1559" w:type="dxa"/>
            <w:shd w:val="clear" w:color="auto" w:fill="auto"/>
            <w:noWrap/>
          </w:tcPr>
          <w:p w14:paraId="3BA4D6B1" w14:textId="77777777" w:rsidR="00896394" w:rsidRDefault="00896394" w:rsidP="003F2C74">
            <w:pPr>
              <w:pStyle w:val="Tablenumbers"/>
              <w:jc w:val="center"/>
              <w:rPr>
                <w:lang w:eastAsia="en-GB"/>
              </w:rPr>
            </w:pPr>
            <w:r>
              <w:rPr>
                <w:lang w:eastAsia="en-GB"/>
              </w:rPr>
              <w:t>+1.3</w:t>
            </w:r>
          </w:p>
        </w:tc>
        <w:tc>
          <w:tcPr>
            <w:tcW w:w="1985" w:type="dxa"/>
            <w:shd w:val="clear" w:color="auto" w:fill="auto"/>
            <w:noWrap/>
          </w:tcPr>
          <w:p w14:paraId="3DCD07BD" w14:textId="77777777" w:rsidR="00896394" w:rsidRPr="00224319" w:rsidRDefault="00896394" w:rsidP="003F2C74">
            <w:pPr>
              <w:pStyle w:val="Tablenumbers"/>
              <w:jc w:val="center"/>
              <w:rPr>
                <w:lang w:eastAsia="en-GB"/>
              </w:rPr>
            </w:pPr>
            <w:r>
              <w:rPr>
                <w:lang w:eastAsia="en-GB"/>
              </w:rPr>
              <w:t>+4.2</w:t>
            </w:r>
          </w:p>
        </w:tc>
      </w:tr>
    </w:tbl>
    <w:p w14:paraId="2FC01DD5" w14:textId="77777777" w:rsidR="00896394" w:rsidRDefault="00896394" w:rsidP="00896394">
      <w:r>
        <w:t>We observe that:</w:t>
      </w:r>
    </w:p>
    <w:p w14:paraId="784545D3" w14:textId="70E700B5" w:rsidR="00896394" w:rsidRDefault="00896394" w:rsidP="00896394">
      <w:pPr>
        <w:pStyle w:val="Bullet1"/>
      </w:pPr>
      <w:r>
        <w:t xml:space="preserve">The sensitivity testing makes clear that the </w:t>
      </w:r>
      <w:r w:rsidRPr="00E63E61">
        <w:t>20</w:t>
      </w:r>
      <w:r w:rsidRPr="002A687C">
        <w:t>29</w:t>
      </w:r>
      <w:r w:rsidRPr="00E63E61">
        <w:t>-30</w:t>
      </w:r>
      <w:r>
        <w:t xml:space="preserve"> cost estimates are far more uncertain</w:t>
      </w:r>
      <w:r w:rsidR="00E47004">
        <w:t xml:space="preserve"> than</w:t>
      </w:r>
      <w:r>
        <w:t xml:space="preserve"> the 2024-25 estimates. This also relates to the increasing challenge of setting longer-term assumptions.</w:t>
      </w:r>
    </w:p>
    <w:p w14:paraId="14949A81" w14:textId="61DAB6D9" w:rsidR="00896394" w:rsidRDefault="00896394" w:rsidP="00896394">
      <w:pPr>
        <w:pStyle w:val="Bullet1"/>
      </w:pPr>
      <w:r>
        <w:t xml:space="preserve">Both New Incidence and SIL assumptions have a material impact on 2024-25 costs, </w:t>
      </w:r>
      <w:r w:rsidR="00D53DA6">
        <w:t>i</w:t>
      </w:r>
      <w:r>
        <w:t xml:space="preserve">n the order of $1B-$2B. The impact of the non-mortality exit scenarios is smaller than new incidence. </w:t>
      </w:r>
    </w:p>
    <w:p w14:paraId="59C062B5" w14:textId="41DE04DC" w:rsidR="009724F2" w:rsidRPr="00AB1956" w:rsidRDefault="00896394" w:rsidP="00E559F0">
      <w:pPr>
        <w:pStyle w:val="Bullet1"/>
        <w:spacing w:before="0" w:after="160" w:line="259" w:lineRule="auto"/>
        <w:rPr>
          <w:rFonts w:asciiTheme="majorHAnsi" w:eastAsiaTheme="majorEastAsia" w:hAnsiTheme="majorHAnsi" w:cstheme="majorBidi"/>
          <w:color w:val="006EC8" w:themeColor="accent1"/>
          <w:sz w:val="28"/>
          <w:szCs w:val="28"/>
        </w:rPr>
      </w:pPr>
      <w:r>
        <w:t xml:space="preserve">Relatively same changes to support levels and price changes still have material impacts on 2024-25 costs, particularly for the larger payment categories. The compounding effect of having an additional 2% growth in Daily Activity costs means that it would add $1.8B to payments in 2024-25 increasing to </w:t>
      </w:r>
      <w:r w:rsidRPr="00407883">
        <w:t>$</w:t>
      </w:r>
      <w:r w:rsidRPr="002A687C">
        <w:t>5.9</w:t>
      </w:r>
      <w:r w:rsidRPr="00407883">
        <w:t>B by 2029-30.</w:t>
      </w:r>
      <w:bookmarkStart w:id="251" w:name="_Toc87700488"/>
    </w:p>
    <w:p w14:paraId="7B6E2BB9" w14:textId="16B5DBDD" w:rsidR="00896394" w:rsidRDefault="00896394" w:rsidP="00AB1956">
      <w:pPr>
        <w:pStyle w:val="Heading2"/>
      </w:pPr>
      <w:bookmarkStart w:id="252" w:name="_Toc88686140"/>
      <w:r>
        <w:t>Other model inputs</w:t>
      </w:r>
      <w:bookmarkEnd w:id="251"/>
      <w:bookmarkEnd w:id="252"/>
    </w:p>
    <w:p w14:paraId="4C904CDF" w14:textId="025D4E20" w:rsidR="00896394" w:rsidRDefault="00896394" w:rsidP="00AB1956">
      <w:pPr>
        <w:keepNext/>
      </w:pPr>
      <w:r>
        <w:t xml:space="preserve">The projection model also makes use of economic parameters. These tend to have a smaller overall impact on the model but are still worth highlighting. </w:t>
      </w:r>
      <w:r>
        <w:fldChar w:fldCharType="begin"/>
      </w:r>
      <w:r>
        <w:instrText xml:space="preserve"> REF _Ref87566991 \h </w:instrText>
      </w:r>
      <w:r>
        <w:fldChar w:fldCharType="separate"/>
      </w:r>
      <w:r w:rsidR="00E6217F">
        <w:t xml:space="preserve">Table </w:t>
      </w:r>
      <w:r w:rsidR="00E6217F">
        <w:rPr>
          <w:noProof/>
        </w:rPr>
        <w:t>6</w:t>
      </w:r>
      <w:r w:rsidR="00E6217F">
        <w:t>.</w:t>
      </w:r>
      <w:r w:rsidR="00E6217F">
        <w:rPr>
          <w:noProof/>
        </w:rPr>
        <w:t>3</w:t>
      </w:r>
      <w:r>
        <w:fldChar w:fldCharType="end"/>
      </w:r>
      <w:r>
        <w:t xml:space="preserve"> summarises our results.</w:t>
      </w:r>
    </w:p>
    <w:p w14:paraId="56E1D9CE" w14:textId="2DF999F3" w:rsidR="00896394" w:rsidRDefault="00896394" w:rsidP="00AB1956">
      <w:pPr>
        <w:pStyle w:val="Caption"/>
      </w:pPr>
      <w:bookmarkStart w:id="253" w:name="_Ref87566991"/>
      <w:r>
        <w:t xml:space="preserve">Table </w:t>
      </w:r>
      <w:r>
        <w:fldChar w:fldCharType="begin"/>
      </w:r>
      <w:r>
        <w:instrText xml:space="preserve"> STYLEREF 1 \s </w:instrText>
      </w:r>
      <w:r>
        <w:fldChar w:fldCharType="separate"/>
      </w:r>
      <w:r w:rsidR="00E6217F">
        <w:rPr>
          <w:noProof/>
        </w:rPr>
        <w:t>6</w:t>
      </w:r>
      <w:r>
        <w:fldChar w:fldCharType="end"/>
      </w:r>
      <w:r>
        <w:t>.</w:t>
      </w:r>
      <w:r>
        <w:fldChar w:fldCharType="begin"/>
      </w:r>
      <w:r>
        <w:instrText xml:space="preserve"> SEQ Table \* ARABIC \s 1 </w:instrText>
      </w:r>
      <w:r>
        <w:fldChar w:fldCharType="separate"/>
      </w:r>
      <w:r w:rsidR="00E6217F">
        <w:rPr>
          <w:noProof/>
        </w:rPr>
        <w:t>3</w:t>
      </w:r>
      <w:r>
        <w:fldChar w:fldCharType="end"/>
      </w:r>
      <w:bookmarkEnd w:id="253"/>
      <w:r>
        <w:t xml:space="preserve"> – Breakdown o</w:t>
      </w:r>
      <w:r w:rsidR="00BF733E">
        <w:t>f</w:t>
      </w:r>
      <w:r>
        <w:t xml:space="preserve"> increase in projected payments: Sensitivities ($B)</w:t>
      </w:r>
    </w:p>
    <w:tbl>
      <w:tblPr>
        <w:tblStyle w:val="TFBlue"/>
        <w:tblW w:w="9073" w:type="dxa"/>
        <w:tblLook w:val="04A0" w:firstRow="1" w:lastRow="0" w:firstColumn="1" w:lastColumn="0" w:noHBand="0" w:noVBand="1"/>
      </w:tblPr>
      <w:tblGrid>
        <w:gridCol w:w="5529"/>
        <w:gridCol w:w="1559"/>
        <w:gridCol w:w="1985"/>
      </w:tblGrid>
      <w:tr w:rsidR="00896394" w:rsidRPr="00DD143E" w14:paraId="796581FC" w14:textId="77777777" w:rsidTr="003F2C74">
        <w:trPr>
          <w:cnfStyle w:val="100000000000" w:firstRow="1" w:lastRow="0" w:firstColumn="0" w:lastColumn="0" w:oddVBand="0" w:evenVBand="0" w:oddHBand="0" w:evenHBand="0" w:firstRowFirstColumn="0" w:firstRowLastColumn="0" w:lastRowFirstColumn="0" w:lastRowLastColumn="0"/>
          <w:trHeight w:val="308"/>
        </w:trPr>
        <w:tc>
          <w:tcPr>
            <w:tcW w:w="5529" w:type="dxa"/>
            <w:noWrap/>
            <w:hideMark/>
          </w:tcPr>
          <w:p w14:paraId="316DA906" w14:textId="77777777" w:rsidR="00896394" w:rsidRPr="00DD143E" w:rsidRDefault="00896394" w:rsidP="00AB1956">
            <w:pPr>
              <w:keepNext/>
              <w:spacing w:before="0" w:after="0"/>
              <w:rPr>
                <w:rFonts w:ascii="Blanco" w:eastAsia="Times New Roman" w:hAnsi="Blanco" w:cs="Times New Roman"/>
                <w:bCs/>
                <w:color w:val="231F20"/>
                <w:szCs w:val="21"/>
                <w:lang w:eastAsia="en-GB"/>
              </w:rPr>
            </w:pPr>
            <w:r>
              <w:rPr>
                <w:rFonts w:ascii="Blanco" w:eastAsia="Times New Roman" w:hAnsi="Blanco" w:cs="Times New Roman"/>
                <w:bCs/>
                <w:color w:val="231F20"/>
                <w:szCs w:val="21"/>
                <w:lang w:eastAsia="en-GB"/>
              </w:rPr>
              <w:t xml:space="preserve">Scenario </w:t>
            </w:r>
          </w:p>
        </w:tc>
        <w:tc>
          <w:tcPr>
            <w:tcW w:w="1559" w:type="dxa"/>
            <w:hideMark/>
          </w:tcPr>
          <w:p w14:paraId="56FA2851" w14:textId="77777777" w:rsidR="00896394" w:rsidRPr="00DD143E" w:rsidRDefault="00896394" w:rsidP="00AB1956">
            <w:pPr>
              <w:keepNext/>
              <w:spacing w:before="0" w:after="0"/>
              <w:jc w:val="center"/>
              <w:rPr>
                <w:rFonts w:ascii="Blanco" w:eastAsia="Times New Roman" w:hAnsi="Blanco" w:cs="Times New Roman"/>
                <w:bCs/>
                <w:color w:val="231F20"/>
                <w:szCs w:val="21"/>
                <w:lang w:eastAsia="en-GB"/>
              </w:rPr>
            </w:pPr>
            <w:r>
              <w:rPr>
                <w:rFonts w:ascii="Blanco" w:eastAsia="Times New Roman" w:hAnsi="Blanco" w:cs="Times New Roman"/>
                <w:bCs/>
                <w:color w:val="231F20"/>
                <w:szCs w:val="21"/>
                <w:lang w:eastAsia="en-GB"/>
              </w:rPr>
              <w:t>2024-25</w:t>
            </w:r>
          </w:p>
        </w:tc>
        <w:tc>
          <w:tcPr>
            <w:tcW w:w="1985" w:type="dxa"/>
            <w:hideMark/>
          </w:tcPr>
          <w:p w14:paraId="55E97CCC" w14:textId="77777777" w:rsidR="00896394" w:rsidRPr="002A687C" w:rsidRDefault="00896394" w:rsidP="00AB1956">
            <w:pPr>
              <w:keepNext/>
              <w:spacing w:before="0" w:after="0"/>
              <w:jc w:val="center"/>
              <w:rPr>
                <w:rFonts w:ascii="Blanco" w:eastAsia="Times New Roman" w:hAnsi="Blanco" w:cs="Times New Roman"/>
                <w:bCs/>
                <w:color w:val="231F20"/>
                <w:szCs w:val="21"/>
                <w:highlight w:val="yellow"/>
                <w:lang w:eastAsia="en-GB"/>
              </w:rPr>
            </w:pPr>
            <w:r w:rsidRPr="00224319">
              <w:rPr>
                <w:rFonts w:ascii="Blanco" w:eastAsia="Times New Roman" w:hAnsi="Blanco" w:cs="Times New Roman"/>
                <w:bCs/>
                <w:color w:val="231F20"/>
                <w:szCs w:val="21"/>
                <w:lang w:eastAsia="en-GB"/>
              </w:rPr>
              <w:t>20</w:t>
            </w:r>
            <w:r w:rsidRPr="002A687C">
              <w:rPr>
                <w:rFonts w:ascii="Blanco" w:eastAsia="Times New Roman" w:hAnsi="Blanco" w:cs="Times New Roman"/>
                <w:bCs/>
                <w:color w:val="231F20"/>
                <w:szCs w:val="21"/>
                <w:lang w:eastAsia="en-GB"/>
              </w:rPr>
              <w:t>29</w:t>
            </w:r>
            <w:r w:rsidRPr="00224319">
              <w:rPr>
                <w:rFonts w:ascii="Blanco" w:eastAsia="Times New Roman" w:hAnsi="Blanco" w:cs="Times New Roman"/>
                <w:bCs/>
                <w:color w:val="231F20"/>
                <w:szCs w:val="21"/>
                <w:lang w:eastAsia="en-GB"/>
              </w:rPr>
              <w:t>-3</w:t>
            </w:r>
            <w:r w:rsidRPr="002A687C">
              <w:rPr>
                <w:rFonts w:ascii="Blanco" w:eastAsia="Times New Roman" w:hAnsi="Blanco" w:cs="Times New Roman"/>
                <w:bCs/>
                <w:color w:val="231F20"/>
                <w:szCs w:val="21"/>
                <w:lang w:eastAsia="en-GB"/>
              </w:rPr>
              <w:t>0</w:t>
            </w:r>
          </w:p>
        </w:tc>
      </w:tr>
      <w:tr w:rsidR="00896394" w:rsidRPr="00DD143E" w14:paraId="477EBC88"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4638A59F" w14:textId="77777777" w:rsidR="00896394" w:rsidRPr="0069172D" w:rsidRDefault="00896394" w:rsidP="003F2C74">
            <w:pPr>
              <w:pStyle w:val="Tabletext"/>
              <w:rPr>
                <w:highlight w:val="green"/>
                <w:lang w:eastAsia="en-GB"/>
              </w:rPr>
            </w:pPr>
            <w:r>
              <w:rPr>
                <w:lang w:eastAsia="en-GB"/>
              </w:rPr>
              <w:t>Population growth follows latest Treasury projections</w:t>
            </w:r>
            <w:r>
              <w:rPr>
                <w:rStyle w:val="FootnoteReference"/>
                <w:lang w:eastAsia="en-GB"/>
              </w:rPr>
              <w:footnoteReference w:id="15"/>
            </w:r>
          </w:p>
        </w:tc>
        <w:tc>
          <w:tcPr>
            <w:tcW w:w="1559" w:type="dxa"/>
            <w:shd w:val="clear" w:color="auto" w:fill="auto"/>
            <w:noWrap/>
          </w:tcPr>
          <w:p w14:paraId="06368F05" w14:textId="77777777" w:rsidR="00896394" w:rsidRPr="00DD143E" w:rsidRDefault="00896394" w:rsidP="003F2C74">
            <w:pPr>
              <w:pStyle w:val="Tablenumbers"/>
              <w:jc w:val="center"/>
              <w:rPr>
                <w:lang w:eastAsia="en-GB"/>
              </w:rPr>
            </w:pPr>
            <w:r>
              <w:rPr>
                <w:lang w:eastAsia="en-GB"/>
              </w:rPr>
              <w:t>+0.0</w:t>
            </w:r>
          </w:p>
        </w:tc>
        <w:tc>
          <w:tcPr>
            <w:tcW w:w="1985" w:type="dxa"/>
            <w:shd w:val="clear" w:color="auto" w:fill="auto"/>
            <w:noWrap/>
          </w:tcPr>
          <w:p w14:paraId="76196684" w14:textId="77777777" w:rsidR="00896394" w:rsidRPr="00C555F7" w:rsidRDefault="00896394" w:rsidP="003F2C74">
            <w:pPr>
              <w:pStyle w:val="Tablenumbers"/>
              <w:jc w:val="center"/>
              <w:rPr>
                <w:lang w:eastAsia="en-GB"/>
              </w:rPr>
            </w:pPr>
            <w:r>
              <w:rPr>
                <w:lang w:eastAsia="en-GB"/>
              </w:rPr>
              <w:t>+0.3</w:t>
            </w:r>
          </w:p>
        </w:tc>
      </w:tr>
      <w:tr w:rsidR="00896394" w:rsidRPr="00DD143E" w14:paraId="4877D55C" w14:textId="77777777" w:rsidTr="003F2C74">
        <w:trPr>
          <w:trHeight w:val="302"/>
        </w:trPr>
        <w:tc>
          <w:tcPr>
            <w:tcW w:w="5529" w:type="dxa"/>
            <w:shd w:val="clear" w:color="auto" w:fill="auto"/>
            <w:noWrap/>
          </w:tcPr>
          <w:p w14:paraId="64137A81" w14:textId="77777777" w:rsidR="00896394" w:rsidRPr="00F55152" w:rsidRDefault="00896394" w:rsidP="003F2C74">
            <w:pPr>
              <w:pStyle w:val="Tabletext"/>
              <w:rPr>
                <w:lang w:eastAsia="en-GB"/>
              </w:rPr>
            </w:pPr>
            <w:r w:rsidRPr="00F55152">
              <w:rPr>
                <w:lang w:eastAsia="en-GB"/>
              </w:rPr>
              <w:t>Population growth follows ABS Series B</w:t>
            </w:r>
            <w:r>
              <w:rPr>
                <w:rStyle w:val="FootnoteReference"/>
                <w:lang w:eastAsia="en-GB"/>
              </w:rPr>
              <w:footnoteReference w:id="16"/>
            </w:r>
            <w:r>
              <w:rPr>
                <w:lang w:eastAsia="en-GB"/>
              </w:rPr>
              <w:t xml:space="preserve"> (medium)</w:t>
            </w:r>
          </w:p>
        </w:tc>
        <w:tc>
          <w:tcPr>
            <w:tcW w:w="1559" w:type="dxa"/>
            <w:shd w:val="clear" w:color="auto" w:fill="auto"/>
            <w:noWrap/>
          </w:tcPr>
          <w:p w14:paraId="5A4FA38B" w14:textId="77777777" w:rsidR="00896394" w:rsidRPr="00DD143E" w:rsidRDefault="00896394" w:rsidP="003F2C74">
            <w:pPr>
              <w:pStyle w:val="Tablenumbers"/>
              <w:jc w:val="center"/>
              <w:rPr>
                <w:lang w:eastAsia="en-GB"/>
              </w:rPr>
            </w:pPr>
            <w:r>
              <w:rPr>
                <w:lang w:eastAsia="en-GB"/>
              </w:rPr>
              <w:t>+0.1</w:t>
            </w:r>
          </w:p>
        </w:tc>
        <w:tc>
          <w:tcPr>
            <w:tcW w:w="1985" w:type="dxa"/>
            <w:shd w:val="clear" w:color="auto" w:fill="auto"/>
            <w:noWrap/>
          </w:tcPr>
          <w:p w14:paraId="3C41EEED" w14:textId="77777777" w:rsidR="00896394" w:rsidRPr="00C555F7" w:rsidRDefault="00896394" w:rsidP="003F2C74">
            <w:pPr>
              <w:pStyle w:val="Tablenumbers"/>
              <w:jc w:val="center"/>
              <w:rPr>
                <w:lang w:eastAsia="en-GB"/>
              </w:rPr>
            </w:pPr>
            <w:r>
              <w:rPr>
                <w:lang w:eastAsia="en-GB"/>
              </w:rPr>
              <w:t>+0.3</w:t>
            </w:r>
          </w:p>
        </w:tc>
      </w:tr>
      <w:tr w:rsidR="00896394" w:rsidRPr="00DD143E" w14:paraId="745DE1A5" w14:textId="77777777" w:rsidTr="003F2C74">
        <w:trPr>
          <w:cnfStyle w:val="000000100000" w:firstRow="0" w:lastRow="0" w:firstColumn="0" w:lastColumn="0" w:oddVBand="0" w:evenVBand="0" w:oddHBand="1" w:evenHBand="0" w:firstRowFirstColumn="0" w:firstRowLastColumn="0" w:lastRowFirstColumn="0" w:lastRowLastColumn="0"/>
          <w:trHeight w:val="302"/>
        </w:trPr>
        <w:tc>
          <w:tcPr>
            <w:tcW w:w="5529" w:type="dxa"/>
            <w:shd w:val="clear" w:color="auto" w:fill="auto"/>
            <w:noWrap/>
          </w:tcPr>
          <w:p w14:paraId="38410D67" w14:textId="77777777" w:rsidR="00896394" w:rsidRPr="00F55152" w:rsidRDefault="00896394" w:rsidP="003F2C74">
            <w:pPr>
              <w:pStyle w:val="Tabletext"/>
              <w:rPr>
                <w:lang w:eastAsia="en-GB"/>
              </w:rPr>
            </w:pPr>
            <w:r w:rsidRPr="00F55152">
              <w:rPr>
                <w:lang w:eastAsia="en-GB"/>
              </w:rPr>
              <w:t>Population growth follows ABS Series C</w:t>
            </w:r>
            <w:r>
              <w:rPr>
                <w:lang w:eastAsia="en-GB"/>
              </w:rPr>
              <w:t xml:space="preserve"> (low growth)</w:t>
            </w:r>
          </w:p>
        </w:tc>
        <w:tc>
          <w:tcPr>
            <w:tcW w:w="1559" w:type="dxa"/>
            <w:shd w:val="clear" w:color="auto" w:fill="auto"/>
            <w:noWrap/>
          </w:tcPr>
          <w:p w14:paraId="32AC003C" w14:textId="77777777" w:rsidR="00896394" w:rsidRPr="00DD143E" w:rsidRDefault="00896394" w:rsidP="003F2C74">
            <w:pPr>
              <w:pStyle w:val="Tablenumbers"/>
              <w:jc w:val="center"/>
              <w:rPr>
                <w:lang w:eastAsia="en-GB"/>
              </w:rPr>
            </w:pPr>
            <w:r>
              <w:rPr>
                <w:lang w:eastAsia="en-GB"/>
              </w:rPr>
              <w:t>+0.0</w:t>
            </w:r>
          </w:p>
        </w:tc>
        <w:tc>
          <w:tcPr>
            <w:tcW w:w="1985" w:type="dxa"/>
            <w:shd w:val="clear" w:color="auto" w:fill="auto"/>
            <w:noWrap/>
          </w:tcPr>
          <w:p w14:paraId="0B91D325" w14:textId="77777777" w:rsidR="00896394" w:rsidRPr="00C555F7" w:rsidRDefault="00896394" w:rsidP="003F2C74">
            <w:pPr>
              <w:pStyle w:val="Tablenumbers"/>
              <w:jc w:val="center"/>
              <w:rPr>
                <w:lang w:eastAsia="en-GB"/>
              </w:rPr>
            </w:pPr>
            <w:r>
              <w:rPr>
                <w:lang w:eastAsia="en-GB"/>
              </w:rPr>
              <w:t>+0.1</w:t>
            </w:r>
          </w:p>
        </w:tc>
      </w:tr>
      <w:tr w:rsidR="00896394" w:rsidRPr="00DD143E" w14:paraId="17D5066A" w14:textId="77777777" w:rsidTr="003F2C74">
        <w:trPr>
          <w:trHeight w:val="302"/>
        </w:trPr>
        <w:tc>
          <w:tcPr>
            <w:tcW w:w="5529" w:type="dxa"/>
            <w:shd w:val="clear" w:color="auto" w:fill="auto"/>
            <w:noWrap/>
          </w:tcPr>
          <w:p w14:paraId="50A6616A" w14:textId="77777777" w:rsidR="00896394" w:rsidRPr="00F55152" w:rsidRDefault="00896394" w:rsidP="003F2C74">
            <w:pPr>
              <w:pStyle w:val="Tabletext"/>
              <w:rPr>
                <w:lang w:eastAsia="en-GB"/>
              </w:rPr>
            </w:pPr>
            <w:r w:rsidRPr="00F55152">
              <w:rPr>
                <w:lang w:eastAsia="en-GB"/>
              </w:rPr>
              <w:t>Core inflation remains low at 1.5% (1% p.a. reduction in growth in all base inflation scenarios)</w:t>
            </w:r>
          </w:p>
        </w:tc>
        <w:tc>
          <w:tcPr>
            <w:tcW w:w="1559" w:type="dxa"/>
            <w:shd w:val="clear" w:color="auto" w:fill="auto"/>
            <w:noWrap/>
          </w:tcPr>
          <w:p w14:paraId="19F3FDB2" w14:textId="77777777" w:rsidR="00896394" w:rsidRPr="00DD143E" w:rsidRDefault="00896394" w:rsidP="003F2C74">
            <w:pPr>
              <w:pStyle w:val="Tablenumbers"/>
              <w:jc w:val="center"/>
              <w:rPr>
                <w:lang w:eastAsia="en-GB"/>
              </w:rPr>
            </w:pPr>
            <w:r>
              <w:rPr>
                <w:lang w:eastAsia="en-GB"/>
              </w:rPr>
              <w:t>-1.6</w:t>
            </w:r>
          </w:p>
        </w:tc>
        <w:tc>
          <w:tcPr>
            <w:tcW w:w="1985" w:type="dxa"/>
            <w:shd w:val="clear" w:color="auto" w:fill="auto"/>
            <w:noWrap/>
          </w:tcPr>
          <w:p w14:paraId="40585581" w14:textId="77777777" w:rsidR="00896394" w:rsidRPr="00224319" w:rsidRDefault="00896394" w:rsidP="003F2C74">
            <w:pPr>
              <w:pStyle w:val="Tablenumbers"/>
              <w:jc w:val="center"/>
              <w:rPr>
                <w:lang w:eastAsia="en-GB"/>
              </w:rPr>
            </w:pPr>
            <w:r>
              <w:rPr>
                <w:lang w:eastAsia="en-GB"/>
              </w:rPr>
              <w:t>-4.9</w:t>
            </w:r>
          </w:p>
        </w:tc>
      </w:tr>
    </w:tbl>
    <w:p w14:paraId="6263CE19" w14:textId="77777777" w:rsidR="00896394" w:rsidRDefault="00896394" w:rsidP="00896394">
      <w:r>
        <w:t>Population growth assumptions have been reduced in the 2020-21 AFSR, reflected short-term drops in net migration. Alternative population growth rates generate only small changes to cost estimates.</w:t>
      </w:r>
    </w:p>
    <w:p w14:paraId="29E67AC3" w14:textId="77777777" w:rsidR="00896394" w:rsidRDefault="00896394" w:rsidP="00896394">
      <w:r>
        <w:t>A 1% change to a core inflation assumption has a much larger impact. While CPI is unlikely to remain 1% below long-term averages, the sensitivity of a 1% flex in cost growth is relevant to cost escalation considerations.</w:t>
      </w:r>
    </w:p>
    <w:p w14:paraId="0A0050FA" w14:textId="05ED5F59" w:rsidR="00896394" w:rsidRDefault="00896394" w:rsidP="00896394">
      <w:r>
        <w:t xml:space="preserve">The AFSR also estimates the cost of the NDIS as a proportion of GDP. This is made up of inflation and additional growth. </w:t>
      </w:r>
      <w:r>
        <w:fldChar w:fldCharType="begin"/>
      </w:r>
      <w:r>
        <w:instrText xml:space="preserve"> REF _Ref86944697 \h  \* MERGEFORMAT </w:instrText>
      </w:r>
      <w:r>
        <w:fldChar w:fldCharType="separate"/>
      </w:r>
      <w:r w:rsidR="00E6217F">
        <w:t>Table 6.4</w:t>
      </w:r>
      <w:r>
        <w:fldChar w:fldCharType="end"/>
      </w:r>
      <w:r>
        <w:t xml:space="preserve"> shows a selection of alternative Gross Domestic Product (GDP) assumptions</w:t>
      </w:r>
      <w:r w:rsidR="00D53DA6">
        <w:t>, including the 2020-21 Commonwealth Budget</w:t>
      </w:r>
      <w:r>
        <w:t>.</w:t>
      </w:r>
    </w:p>
    <w:p w14:paraId="492F3AE5" w14:textId="24371795" w:rsidR="00896394" w:rsidRDefault="00896394" w:rsidP="00896394">
      <w:pPr>
        <w:pStyle w:val="Caption"/>
      </w:pPr>
      <w:bookmarkStart w:id="254" w:name="_Ref86944697"/>
      <w:bookmarkStart w:id="255" w:name="_Ref86944687"/>
      <w:r>
        <w:t xml:space="preserve">Table </w:t>
      </w:r>
      <w:r>
        <w:fldChar w:fldCharType="begin"/>
      </w:r>
      <w:r>
        <w:instrText xml:space="preserve"> STYLEREF 1 \s </w:instrText>
      </w:r>
      <w:r>
        <w:fldChar w:fldCharType="separate"/>
      </w:r>
      <w:r w:rsidR="00E6217F">
        <w:rPr>
          <w:noProof/>
        </w:rPr>
        <w:t>6</w:t>
      </w:r>
      <w:r>
        <w:fldChar w:fldCharType="end"/>
      </w:r>
      <w:r>
        <w:t>.</w:t>
      </w:r>
      <w:r>
        <w:fldChar w:fldCharType="begin"/>
      </w:r>
      <w:r>
        <w:instrText xml:space="preserve"> SEQ Table \* ARABIC \s 1 </w:instrText>
      </w:r>
      <w:r>
        <w:fldChar w:fldCharType="separate"/>
      </w:r>
      <w:r w:rsidR="00E6217F">
        <w:rPr>
          <w:noProof/>
        </w:rPr>
        <w:t>4</w:t>
      </w:r>
      <w:r>
        <w:fldChar w:fldCharType="end"/>
      </w:r>
      <w:bookmarkEnd w:id="254"/>
      <w:r>
        <w:t xml:space="preserve"> </w:t>
      </w:r>
      <w:r w:rsidR="001C13F1">
        <w:t xml:space="preserve">– </w:t>
      </w:r>
      <w:r>
        <w:t>Alternative GDP assumptions</w:t>
      </w:r>
      <w:bookmarkEnd w:id="255"/>
    </w:p>
    <w:tbl>
      <w:tblPr>
        <w:tblStyle w:val="TFBlue"/>
        <w:tblW w:w="9499" w:type="dxa"/>
        <w:tblLook w:val="04A0" w:firstRow="1" w:lastRow="0" w:firstColumn="1" w:lastColumn="0" w:noHBand="0" w:noVBand="1"/>
      </w:tblPr>
      <w:tblGrid>
        <w:gridCol w:w="2694"/>
        <w:gridCol w:w="1361"/>
        <w:gridCol w:w="1361"/>
        <w:gridCol w:w="1361"/>
        <w:gridCol w:w="1361"/>
        <w:gridCol w:w="1361"/>
      </w:tblGrid>
      <w:tr w:rsidR="00896394" w14:paraId="184AD11A" w14:textId="77777777" w:rsidTr="003F2C74">
        <w:trPr>
          <w:cnfStyle w:val="100000000000" w:firstRow="1" w:lastRow="0" w:firstColumn="0" w:lastColumn="0" w:oddVBand="0" w:evenVBand="0" w:oddHBand="0" w:evenHBand="0" w:firstRowFirstColumn="0" w:firstRowLastColumn="0" w:lastRowFirstColumn="0" w:lastRowLastColumn="0"/>
        </w:trPr>
        <w:tc>
          <w:tcPr>
            <w:tcW w:w="2694" w:type="dxa"/>
          </w:tcPr>
          <w:p w14:paraId="33F3463F" w14:textId="77777777" w:rsidR="00896394" w:rsidRDefault="00896394" w:rsidP="003F2C74"/>
        </w:tc>
        <w:tc>
          <w:tcPr>
            <w:tcW w:w="1361" w:type="dxa"/>
          </w:tcPr>
          <w:p w14:paraId="16DABDAD" w14:textId="77777777" w:rsidR="00896394" w:rsidRDefault="00896394" w:rsidP="003F2C74">
            <w:pPr>
              <w:pStyle w:val="Tablenumbers"/>
            </w:pPr>
            <w:r>
              <w:t>2021-22</w:t>
            </w:r>
          </w:p>
        </w:tc>
        <w:tc>
          <w:tcPr>
            <w:tcW w:w="1361" w:type="dxa"/>
          </w:tcPr>
          <w:p w14:paraId="60AB40B4" w14:textId="77777777" w:rsidR="00896394" w:rsidRDefault="00896394" w:rsidP="003F2C74">
            <w:pPr>
              <w:pStyle w:val="Tablenumbers"/>
            </w:pPr>
            <w:r>
              <w:t>2022-23</w:t>
            </w:r>
          </w:p>
        </w:tc>
        <w:tc>
          <w:tcPr>
            <w:tcW w:w="1361" w:type="dxa"/>
          </w:tcPr>
          <w:p w14:paraId="24DE35B3" w14:textId="77777777" w:rsidR="00896394" w:rsidRDefault="00896394" w:rsidP="003F2C74">
            <w:pPr>
              <w:pStyle w:val="Tablenumbers"/>
            </w:pPr>
            <w:r>
              <w:t>2023-24</w:t>
            </w:r>
          </w:p>
        </w:tc>
        <w:tc>
          <w:tcPr>
            <w:tcW w:w="1361" w:type="dxa"/>
          </w:tcPr>
          <w:p w14:paraId="7BBED49D" w14:textId="77777777" w:rsidR="00896394" w:rsidRDefault="00896394" w:rsidP="003F2C74">
            <w:pPr>
              <w:pStyle w:val="Tablenumbers"/>
            </w:pPr>
            <w:r>
              <w:t>2024-25</w:t>
            </w:r>
          </w:p>
        </w:tc>
        <w:tc>
          <w:tcPr>
            <w:tcW w:w="1361" w:type="dxa"/>
          </w:tcPr>
          <w:p w14:paraId="62EF7AE7" w14:textId="77777777" w:rsidR="00896394" w:rsidRDefault="00896394" w:rsidP="003F2C74">
            <w:pPr>
              <w:pStyle w:val="Tablenumbers"/>
            </w:pPr>
            <w:r>
              <w:t>Beyond 2024-25</w:t>
            </w:r>
          </w:p>
        </w:tc>
      </w:tr>
      <w:tr w:rsidR="00896394" w14:paraId="1B55CAC9" w14:textId="77777777" w:rsidTr="003F2C74">
        <w:trPr>
          <w:cnfStyle w:val="000000100000" w:firstRow="0" w:lastRow="0" w:firstColumn="0" w:lastColumn="0" w:oddVBand="0" w:evenVBand="0" w:oddHBand="1" w:evenHBand="0" w:firstRowFirstColumn="0" w:firstRowLastColumn="0" w:lastRowFirstColumn="0" w:lastRowLastColumn="0"/>
        </w:trPr>
        <w:tc>
          <w:tcPr>
            <w:tcW w:w="2694" w:type="dxa"/>
          </w:tcPr>
          <w:p w14:paraId="09449C7A" w14:textId="77777777" w:rsidR="00896394" w:rsidRDefault="00896394" w:rsidP="003F2C74">
            <w:pPr>
              <w:pStyle w:val="Tabletext"/>
            </w:pPr>
            <w:r>
              <w:t>AFSR 2020-21</w:t>
            </w:r>
          </w:p>
        </w:tc>
        <w:tc>
          <w:tcPr>
            <w:tcW w:w="1361" w:type="dxa"/>
          </w:tcPr>
          <w:p w14:paraId="2833B97B" w14:textId="77777777" w:rsidR="00896394" w:rsidRDefault="00896394" w:rsidP="003F2C74">
            <w:pPr>
              <w:pStyle w:val="Tablenumbers"/>
            </w:pPr>
            <w:r>
              <w:t>3.5%</w:t>
            </w:r>
          </w:p>
        </w:tc>
        <w:tc>
          <w:tcPr>
            <w:tcW w:w="1361" w:type="dxa"/>
          </w:tcPr>
          <w:p w14:paraId="635F7042" w14:textId="77777777" w:rsidR="00896394" w:rsidRDefault="00896394" w:rsidP="003F2C74">
            <w:pPr>
              <w:pStyle w:val="Tablenumbers"/>
            </w:pPr>
            <w:r>
              <w:t>2.0%</w:t>
            </w:r>
          </w:p>
        </w:tc>
        <w:tc>
          <w:tcPr>
            <w:tcW w:w="1361" w:type="dxa"/>
          </w:tcPr>
          <w:p w14:paraId="5F62863E" w14:textId="77777777" w:rsidR="00896394" w:rsidRDefault="00896394" w:rsidP="003F2C74">
            <w:pPr>
              <w:pStyle w:val="Tablenumbers"/>
            </w:pPr>
            <w:r>
              <w:t>4.3%</w:t>
            </w:r>
          </w:p>
        </w:tc>
        <w:tc>
          <w:tcPr>
            <w:tcW w:w="1361" w:type="dxa"/>
          </w:tcPr>
          <w:p w14:paraId="61C4D270" w14:textId="77777777" w:rsidR="00896394" w:rsidRDefault="00896394" w:rsidP="003F2C74">
            <w:pPr>
              <w:pStyle w:val="Tablenumbers"/>
            </w:pPr>
            <w:r>
              <w:t>5.0%</w:t>
            </w:r>
          </w:p>
        </w:tc>
        <w:tc>
          <w:tcPr>
            <w:tcW w:w="1361" w:type="dxa"/>
          </w:tcPr>
          <w:p w14:paraId="56C9EB54" w14:textId="77777777" w:rsidR="00896394" w:rsidRDefault="00896394" w:rsidP="003F2C74">
            <w:pPr>
              <w:pStyle w:val="Tablenumbers"/>
            </w:pPr>
            <w:r>
              <w:t>5.0%</w:t>
            </w:r>
          </w:p>
        </w:tc>
      </w:tr>
      <w:tr w:rsidR="00896394" w14:paraId="70BB108F" w14:textId="77777777" w:rsidTr="003F2C74">
        <w:tc>
          <w:tcPr>
            <w:tcW w:w="2694" w:type="dxa"/>
          </w:tcPr>
          <w:p w14:paraId="45514F9F" w14:textId="77777777" w:rsidR="00896394" w:rsidRDefault="00896394" w:rsidP="003F2C74">
            <w:pPr>
              <w:pStyle w:val="Tabletext"/>
            </w:pPr>
            <w:r>
              <w:t>Budget 2020-21</w:t>
            </w:r>
            <w:r>
              <w:rPr>
                <w:rStyle w:val="FootnoteReference"/>
              </w:rPr>
              <w:footnoteReference w:id="17"/>
            </w:r>
          </w:p>
        </w:tc>
        <w:tc>
          <w:tcPr>
            <w:tcW w:w="1361" w:type="dxa"/>
          </w:tcPr>
          <w:p w14:paraId="5B684EFE" w14:textId="77777777" w:rsidR="00896394" w:rsidRDefault="00896394" w:rsidP="003F2C74">
            <w:pPr>
              <w:pStyle w:val="Tablenumbers"/>
            </w:pPr>
            <w:r>
              <w:t>3.5%</w:t>
            </w:r>
          </w:p>
        </w:tc>
        <w:tc>
          <w:tcPr>
            <w:tcW w:w="1361" w:type="dxa"/>
          </w:tcPr>
          <w:p w14:paraId="4BAB4402" w14:textId="77777777" w:rsidR="00896394" w:rsidRDefault="00896394" w:rsidP="003F2C74">
            <w:pPr>
              <w:pStyle w:val="Tablenumbers"/>
            </w:pPr>
            <w:r>
              <w:t>2.0%</w:t>
            </w:r>
          </w:p>
        </w:tc>
        <w:tc>
          <w:tcPr>
            <w:tcW w:w="1361" w:type="dxa"/>
          </w:tcPr>
          <w:p w14:paraId="045CE37C" w14:textId="77777777" w:rsidR="00896394" w:rsidRDefault="00896394" w:rsidP="003F2C74">
            <w:pPr>
              <w:pStyle w:val="Tablenumbers"/>
            </w:pPr>
            <w:r>
              <w:t>4.8%</w:t>
            </w:r>
          </w:p>
        </w:tc>
        <w:tc>
          <w:tcPr>
            <w:tcW w:w="1361" w:type="dxa"/>
          </w:tcPr>
          <w:p w14:paraId="7A8FCEF4" w14:textId="77777777" w:rsidR="00896394" w:rsidRDefault="00896394" w:rsidP="003F2C74">
            <w:pPr>
              <w:pStyle w:val="Tablenumbers"/>
            </w:pPr>
            <w:r>
              <w:t>5.0%</w:t>
            </w:r>
          </w:p>
        </w:tc>
        <w:tc>
          <w:tcPr>
            <w:tcW w:w="1361" w:type="dxa"/>
          </w:tcPr>
          <w:p w14:paraId="7A036EB5" w14:textId="77777777" w:rsidR="00896394" w:rsidRDefault="00896394" w:rsidP="003F2C74">
            <w:pPr>
              <w:pStyle w:val="Tablenumbers"/>
            </w:pPr>
            <w:r>
              <w:t>5.0%</w:t>
            </w:r>
            <w:r>
              <w:rPr>
                <w:rStyle w:val="FootnoteReference"/>
              </w:rPr>
              <w:footnoteReference w:id="18"/>
            </w:r>
          </w:p>
        </w:tc>
      </w:tr>
      <w:tr w:rsidR="00896394" w14:paraId="33A1F62D" w14:textId="77777777" w:rsidTr="003F2C74">
        <w:trPr>
          <w:cnfStyle w:val="000000100000" w:firstRow="0" w:lastRow="0" w:firstColumn="0" w:lastColumn="0" w:oddVBand="0" w:evenVBand="0" w:oddHBand="1" w:evenHBand="0" w:firstRowFirstColumn="0" w:firstRowLastColumn="0" w:lastRowFirstColumn="0" w:lastRowLastColumn="0"/>
        </w:trPr>
        <w:tc>
          <w:tcPr>
            <w:tcW w:w="2694" w:type="dxa"/>
          </w:tcPr>
          <w:p w14:paraId="53773310" w14:textId="77777777" w:rsidR="00896394" w:rsidRDefault="00896394" w:rsidP="003F2C74">
            <w:pPr>
              <w:pStyle w:val="Tabletext"/>
            </w:pPr>
            <w:r>
              <w:t>Low scenario (1% lower GDP growth than AFSR)</w:t>
            </w:r>
          </w:p>
        </w:tc>
        <w:tc>
          <w:tcPr>
            <w:tcW w:w="1361" w:type="dxa"/>
          </w:tcPr>
          <w:p w14:paraId="1EEEC30F" w14:textId="77777777" w:rsidR="00896394" w:rsidRDefault="00896394" w:rsidP="003F2C74">
            <w:pPr>
              <w:pStyle w:val="Tablenumbers"/>
            </w:pPr>
            <w:r>
              <w:t>2.5%</w:t>
            </w:r>
          </w:p>
        </w:tc>
        <w:tc>
          <w:tcPr>
            <w:tcW w:w="1361" w:type="dxa"/>
          </w:tcPr>
          <w:p w14:paraId="48BDCC8C" w14:textId="77777777" w:rsidR="00896394" w:rsidRDefault="00896394" w:rsidP="003F2C74">
            <w:pPr>
              <w:pStyle w:val="Tablenumbers"/>
            </w:pPr>
            <w:r>
              <w:t>1.0%</w:t>
            </w:r>
          </w:p>
        </w:tc>
        <w:tc>
          <w:tcPr>
            <w:tcW w:w="1361" w:type="dxa"/>
          </w:tcPr>
          <w:p w14:paraId="345CF63E" w14:textId="77777777" w:rsidR="00896394" w:rsidRDefault="00896394" w:rsidP="003F2C74">
            <w:pPr>
              <w:pStyle w:val="Tablenumbers"/>
            </w:pPr>
            <w:r>
              <w:t>3.3%</w:t>
            </w:r>
          </w:p>
        </w:tc>
        <w:tc>
          <w:tcPr>
            <w:tcW w:w="1361" w:type="dxa"/>
          </w:tcPr>
          <w:p w14:paraId="6D5F8B20" w14:textId="77777777" w:rsidR="00896394" w:rsidRDefault="00896394" w:rsidP="003F2C74">
            <w:pPr>
              <w:pStyle w:val="Tablenumbers"/>
            </w:pPr>
            <w:r>
              <w:t>4.0%</w:t>
            </w:r>
          </w:p>
        </w:tc>
        <w:tc>
          <w:tcPr>
            <w:tcW w:w="1361" w:type="dxa"/>
          </w:tcPr>
          <w:p w14:paraId="05694C54" w14:textId="77777777" w:rsidR="00896394" w:rsidRDefault="00896394" w:rsidP="003F2C74">
            <w:pPr>
              <w:pStyle w:val="Tablenumbers"/>
            </w:pPr>
            <w:r>
              <w:t>4.0%</w:t>
            </w:r>
          </w:p>
        </w:tc>
      </w:tr>
    </w:tbl>
    <w:p w14:paraId="676DF702" w14:textId="4FAA00AE" w:rsidR="00896394" w:rsidRDefault="00896394" w:rsidP="00896394">
      <w:r>
        <w:fldChar w:fldCharType="begin"/>
      </w:r>
      <w:r>
        <w:instrText xml:space="preserve"> REF _Ref86944730 \h </w:instrText>
      </w:r>
      <w:r>
        <w:fldChar w:fldCharType="separate"/>
      </w:r>
      <w:r w:rsidR="00E6217F">
        <w:t xml:space="preserve">Table </w:t>
      </w:r>
      <w:r w:rsidR="00E6217F">
        <w:rPr>
          <w:noProof/>
        </w:rPr>
        <w:t>6</w:t>
      </w:r>
      <w:r w:rsidR="00E6217F">
        <w:t>.</w:t>
      </w:r>
      <w:r w:rsidR="00E6217F">
        <w:rPr>
          <w:noProof/>
        </w:rPr>
        <w:t>5</w:t>
      </w:r>
      <w:r>
        <w:fldChar w:fldCharType="end"/>
      </w:r>
      <w:r>
        <w:t xml:space="preserve"> shows projected NDIS costs</w:t>
      </w:r>
      <w:r>
        <w:rPr>
          <w:rStyle w:val="FootnoteReference"/>
        </w:rPr>
        <w:footnoteReference w:id="19"/>
      </w:r>
      <w:r>
        <w:t xml:space="preserve"> as fraction of GDP under these corresponding alternatives. The results show that NDIS costs are expected to grow strongly as a fraction of GDP, and that this would be particularly acute if GDP growth slowed (but </w:t>
      </w:r>
      <w:r w:rsidR="00232FFF">
        <w:t>Scheme</w:t>
      </w:r>
      <w:r>
        <w:t xml:space="preserve"> cost escalation did not).</w:t>
      </w:r>
    </w:p>
    <w:p w14:paraId="00A9FFB1" w14:textId="46F0C468" w:rsidR="00896394" w:rsidRDefault="00896394" w:rsidP="00896394">
      <w:pPr>
        <w:pStyle w:val="Caption"/>
      </w:pPr>
      <w:bookmarkStart w:id="256" w:name="_Ref86944730"/>
      <w:r>
        <w:t xml:space="preserve">Table </w:t>
      </w:r>
      <w:r>
        <w:fldChar w:fldCharType="begin"/>
      </w:r>
      <w:r>
        <w:instrText xml:space="preserve"> STYLEREF 1 \s </w:instrText>
      </w:r>
      <w:r>
        <w:fldChar w:fldCharType="separate"/>
      </w:r>
      <w:r w:rsidR="00E6217F">
        <w:rPr>
          <w:noProof/>
        </w:rPr>
        <w:t>6</w:t>
      </w:r>
      <w:r>
        <w:fldChar w:fldCharType="end"/>
      </w:r>
      <w:r>
        <w:t>.</w:t>
      </w:r>
      <w:r>
        <w:fldChar w:fldCharType="begin"/>
      </w:r>
      <w:r>
        <w:instrText xml:space="preserve"> SEQ Table \* ARABIC \s 1 </w:instrText>
      </w:r>
      <w:r>
        <w:fldChar w:fldCharType="separate"/>
      </w:r>
      <w:r w:rsidR="00E6217F">
        <w:rPr>
          <w:noProof/>
        </w:rPr>
        <w:t>5</w:t>
      </w:r>
      <w:r>
        <w:fldChar w:fldCharType="end"/>
      </w:r>
      <w:bookmarkEnd w:id="256"/>
      <w:r>
        <w:t xml:space="preserve"> </w:t>
      </w:r>
      <w:r w:rsidR="001C13F1">
        <w:t xml:space="preserve">– </w:t>
      </w:r>
      <w:r>
        <w:t xml:space="preserve">NDIS costs as a fraction of GDP </w:t>
      </w:r>
    </w:p>
    <w:tbl>
      <w:tblPr>
        <w:tblStyle w:val="TFBlue"/>
        <w:tblW w:w="9499" w:type="dxa"/>
        <w:tblLook w:val="04A0" w:firstRow="1" w:lastRow="0" w:firstColumn="1" w:lastColumn="0" w:noHBand="0" w:noVBand="1"/>
      </w:tblPr>
      <w:tblGrid>
        <w:gridCol w:w="2694"/>
        <w:gridCol w:w="1361"/>
        <w:gridCol w:w="1361"/>
        <w:gridCol w:w="1361"/>
        <w:gridCol w:w="1361"/>
        <w:gridCol w:w="1361"/>
      </w:tblGrid>
      <w:tr w:rsidR="00896394" w14:paraId="5373D15E" w14:textId="77777777" w:rsidTr="00FD373D">
        <w:trPr>
          <w:cnfStyle w:val="100000000000" w:firstRow="1" w:lastRow="0" w:firstColumn="0" w:lastColumn="0" w:oddVBand="0" w:evenVBand="0" w:oddHBand="0" w:evenHBand="0" w:firstRowFirstColumn="0" w:firstRowLastColumn="0" w:lastRowFirstColumn="0" w:lastRowLastColumn="0"/>
          <w:cantSplit/>
          <w:trHeight w:val="57"/>
        </w:trPr>
        <w:tc>
          <w:tcPr>
            <w:tcW w:w="2694" w:type="dxa"/>
          </w:tcPr>
          <w:p w14:paraId="14C2D55D" w14:textId="77777777" w:rsidR="00896394" w:rsidRDefault="00896394" w:rsidP="00FD373D">
            <w:pPr>
              <w:keepNext/>
              <w:spacing w:before="40"/>
            </w:pPr>
          </w:p>
        </w:tc>
        <w:tc>
          <w:tcPr>
            <w:tcW w:w="1361" w:type="dxa"/>
          </w:tcPr>
          <w:p w14:paraId="117FFCC6" w14:textId="77777777" w:rsidR="00896394" w:rsidRDefault="00896394" w:rsidP="00FD373D">
            <w:pPr>
              <w:pStyle w:val="Tablenumbers"/>
              <w:keepNext/>
              <w:spacing w:before="40"/>
            </w:pPr>
            <w:r>
              <w:t>2021-22</w:t>
            </w:r>
          </w:p>
        </w:tc>
        <w:tc>
          <w:tcPr>
            <w:tcW w:w="1361" w:type="dxa"/>
          </w:tcPr>
          <w:p w14:paraId="7610E871" w14:textId="77777777" w:rsidR="00896394" w:rsidRDefault="00896394" w:rsidP="00FD373D">
            <w:pPr>
              <w:pStyle w:val="Tablenumbers"/>
              <w:keepNext/>
              <w:spacing w:before="40"/>
            </w:pPr>
            <w:r>
              <w:t>2022-23</w:t>
            </w:r>
          </w:p>
        </w:tc>
        <w:tc>
          <w:tcPr>
            <w:tcW w:w="1361" w:type="dxa"/>
          </w:tcPr>
          <w:p w14:paraId="01B23B91" w14:textId="77777777" w:rsidR="00896394" w:rsidRDefault="00896394" w:rsidP="00FD373D">
            <w:pPr>
              <w:pStyle w:val="Tablenumbers"/>
              <w:keepNext/>
              <w:spacing w:before="40"/>
            </w:pPr>
            <w:r>
              <w:t>2023-24</w:t>
            </w:r>
          </w:p>
        </w:tc>
        <w:tc>
          <w:tcPr>
            <w:tcW w:w="1361" w:type="dxa"/>
          </w:tcPr>
          <w:p w14:paraId="2DA3D2F6" w14:textId="77777777" w:rsidR="00896394" w:rsidRDefault="00896394" w:rsidP="00FD373D">
            <w:pPr>
              <w:pStyle w:val="Tablenumbers"/>
              <w:keepNext/>
              <w:spacing w:before="40"/>
            </w:pPr>
            <w:r>
              <w:t>2024-25</w:t>
            </w:r>
          </w:p>
        </w:tc>
        <w:tc>
          <w:tcPr>
            <w:tcW w:w="1361" w:type="dxa"/>
          </w:tcPr>
          <w:p w14:paraId="00E1046F" w14:textId="77777777" w:rsidR="00896394" w:rsidRDefault="00896394" w:rsidP="00FD373D">
            <w:pPr>
              <w:pStyle w:val="Tablenumbers"/>
              <w:keepNext/>
              <w:spacing w:before="40"/>
            </w:pPr>
            <w:r>
              <w:t>2029-30</w:t>
            </w:r>
          </w:p>
        </w:tc>
      </w:tr>
      <w:tr w:rsidR="00896394" w14:paraId="0B833425" w14:textId="77777777" w:rsidTr="00FD373D">
        <w:trPr>
          <w:cnfStyle w:val="000000100000" w:firstRow="0" w:lastRow="0" w:firstColumn="0" w:lastColumn="0" w:oddVBand="0" w:evenVBand="0" w:oddHBand="1" w:evenHBand="0" w:firstRowFirstColumn="0" w:firstRowLastColumn="0" w:lastRowFirstColumn="0" w:lastRowLastColumn="0"/>
          <w:cantSplit/>
        </w:trPr>
        <w:tc>
          <w:tcPr>
            <w:tcW w:w="2694" w:type="dxa"/>
          </w:tcPr>
          <w:p w14:paraId="1D33E216" w14:textId="77777777" w:rsidR="00896394" w:rsidRDefault="00896394" w:rsidP="00FD373D">
            <w:pPr>
              <w:pStyle w:val="Tabletext"/>
              <w:keepNext/>
            </w:pPr>
            <w:r>
              <w:t>AFSR 2020-21</w:t>
            </w:r>
          </w:p>
        </w:tc>
        <w:tc>
          <w:tcPr>
            <w:tcW w:w="1361" w:type="dxa"/>
          </w:tcPr>
          <w:p w14:paraId="6A752A40" w14:textId="77777777" w:rsidR="00896394" w:rsidRDefault="00896394" w:rsidP="00FD373D">
            <w:pPr>
              <w:pStyle w:val="Tablenumbers"/>
              <w:keepNext/>
            </w:pPr>
            <w:r>
              <w:t>1.4%</w:t>
            </w:r>
          </w:p>
        </w:tc>
        <w:tc>
          <w:tcPr>
            <w:tcW w:w="1361" w:type="dxa"/>
          </w:tcPr>
          <w:p w14:paraId="2BE2C54C" w14:textId="77777777" w:rsidR="00896394" w:rsidRDefault="00896394" w:rsidP="00FD373D">
            <w:pPr>
              <w:pStyle w:val="Tablenumbers"/>
              <w:keepNext/>
            </w:pPr>
            <w:r>
              <w:t>1.6%</w:t>
            </w:r>
          </w:p>
        </w:tc>
        <w:tc>
          <w:tcPr>
            <w:tcW w:w="1361" w:type="dxa"/>
          </w:tcPr>
          <w:p w14:paraId="35B7CB9A" w14:textId="77777777" w:rsidR="00896394" w:rsidRDefault="00896394" w:rsidP="00FD373D">
            <w:pPr>
              <w:pStyle w:val="Tablenumbers"/>
              <w:keepNext/>
            </w:pPr>
            <w:r>
              <w:t>1.7%</w:t>
            </w:r>
          </w:p>
        </w:tc>
        <w:tc>
          <w:tcPr>
            <w:tcW w:w="1361" w:type="dxa"/>
          </w:tcPr>
          <w:p w14:paraId="670AA85D" w14:textId="77777777" w:rsidR="00896394" w:rsidRDefault="00896394" w:rsidP="00FD373D">
            <w:pPr>
              <w:pStyle w:val="Tablenumbers"/>
              <w:keepNext/>
            </w:pPr>
            <w:r>
              <w:t>1.8%</w:t>
            </w:r>
          </w:p>
        </w:tc>
        <w:tc>
          <w:tcPr>
            <w:tcW w:w="1361" w:type="dxa"/>
          </w:tcPr>
          <w:p w14:paraId="1EE9D453" w14:textId="6636E83C" w:rsidR="00896394" w:rsidRDefault="00896394" w:rsidP="00FD373D">
            <w:pPr>
              <w:pStyle w:val="Tablenumbers"/>
              <w:keepNext/>
            </w:pPr>
            <w:r>
              <w:t>2.</w:t>
            </w:r>
            <w:r w:rsidR="004C374B">
              <w:t>0</w:t>
            </w:r>
            <w:r>
              <w:t>%</w:t>
            </w:r>
          </w:p>
        </w:tc>
      </w:tr>
      <w:tr w:rsidR="00896394" w14:paraId="55A9CAA4" w14:textId="77777777" w:rsidTr="00FD373D">
        <w:trPr>
          <w:cantSplit/>
        </w:trPr>
        <w:tc>
          <w:tcPr>
            <w:tcW w:w="2694" w:type="dxa"/>
          </w:tcPr>
          <w:p w14:paraId="43742790" w14:textId="77777777" w:rsidR="00896394" w:rsidRDefault="00896394" w:rsidP="00FD373D">
            <w:pPr>
              <w:pStyle w:val="Tabletext"/>
              <w:keepNext/>
            </w:pPr>
            <w:r>
              <w:t>Budget 2020-21</w:t>
            </w:r>
            <w:r>
              <w:rPr>
                <w:rStyle w:val="FootnoteReference"/>
              </w:rPr>
              <w:footnoteReference w:id="20"/>
            </w:r>
          </w:p>
        </w:tc>
        <w:tc>
          <w:tcPr>
            <w:tcW w:w="1361" w:type="dxa"/>
          </w:tcPr>
          <w:p w14:paraId="5A1E9B06" w14:textId="77777777" w:rsidR="00896394" w:rsidRDefault="00896394" w:rsidP="00FD373D">
            <w:pPr>
              <w:pStyle w:val="Tablenumbers"/>
              <w:keepNext/>
            </w:pPr>
            <w:r>
              <w:t>1.4%</w:t>
            </w:r>
          </w:p>
        </w:tc>
        <w:tc>
          <w:tcPr>
            <w:tcW w:w="1361" w:type="dxa"/>
          </w:tcPr>
          <w:p w14:paraId="632E1B9B" w14:textId="77777777" w:rsidR="00896394" w:rsidRDefault="00896394" w:rsidP="00FD373D">
            <w:pPr>
              <w:pStyle w:val="Tablenumbers"/>
              <w:keepNext/>
            </w:pPr>
            <w:r>
              <w:t>1.6%</w:t>
            </w:r>
          </w:p>
        </w:tc>
        <w:tc>
          <w:tcPr>
            <w:tcW w:w="1361" w:type="dxa"/>
          </w:tcPr>
          <w:p w14:paraId="7AE5EEC2" w14:textId="77777777" w:rsidR="00896394" w:rsidRDefault="00896394" w:rsidP="00FD373D">
            <w:pPr>
              <w:pStyle w:val="Tablenumbers"/>
              <w:keepNext/>
            </w:pPr>
            <w:r>
              <w:t>1.7%</w:t>
            </w:r>
          </w:p>
        </w:tc>
        <w:tc>
          <w:tcPr>
            <w:tcW w:w="1361" w:type="dxa"/>
          </w:tcPr>
          <w:p w14:paraId="6205866E" w14:textId="77777777" w:rsidR="00896394" w:rsidRDefault="00896394" w:rsidP="00FD373D">
            <w:pPr>
              <w:pStyle w:val="Tablenumbers"/>
              <w:keepNext/>
            </w:pPr>
            <w:r>
              <w:t>1.8%</w:t>
            </w:r>
          </w:p>
        </w:tc>
        <w:tc>
          <w:tcPr>
            <w:tcW w:w="1361" w:type="dxa"/>
          </w:tcPr>
          <w:p w14:paraId="090310D7" w14:textId="6378349D" w:rsidR="00896394" w:rsidRDefault="00896394" w:rsidP="00FD373D">
            <w:pPr>
              <w:pStyle w:val="Tablenumbers"/>
              <w:keepNext/>
            </w:pPr>
            <w:r>
              <w:t>2.</w:t>
            </w:r>
            <w:r w:rsidR="004C374B">
              <w:t>0</w:t>
            </w:r>
            <w:r>
              <w:t>%</w:t>
            </w:r>
          </w:p>
        </w:tc>
      </w:tr>
      <w:tr w:rsidR="00896394" w14:paraId="65CFFFE9" w14:textId="77777777" w:rsidTr="00FD373D">
        <w:trPr>
          <w:cnfStyle w:val="000000100000" w:firstRow="0" w:lastRow="0" w:firstColumn="0" w:lastColumn="0" w:oddVBand="0" w:evenVBand="0" w:oddHBand="1" w:evenHBand="0" w:firstRowFirstColumn="0" w:firstRowLastColumn="0" w:lastRowFirstColumn="0" w:lastRowLastColumn="0"/>
          <w:cantSplit/>
        </w:trPr>
        <w:tc>
          <w:tcPr>
            <w:tcW w:w="2694" w:type="dxa"/>
          </w:tcPr>
          <w:p w14:paraId="3AAC55BB" w14:textId="77777777" w:rsidR="004C374B" w:rsidRDefault="00896394" w:rsidP="00FD373D">
            <w:pPr>
              <w:pStyle w:val="Tabletext"/>
              <w:keepNext/>
            </w:pPr>
            <w:r>
              <w:t>Low scenario</w:t>
            </w:r>
          </w:p>
          <w:p w14:paraId="6DCFDACE" w14:textId="15875DAE" w:rsidR="00896394" w:rsidRDefault="00896394" w:rsidP="00FD373D">
            <w:pPr>
              <w:pStyle w:val="Tabletext"/>
              <w:keepNext/>
            </w:pPr>
            <w:r>
              <w:t>(1% lower GSP growth)</w:t>
            </w:r>
          </w:p>
        </w:tc>
        <w:tc>
          <w:tcPr>
            <w:tcW w:w="1361" w:type="dxa"/>
          </w:tcPr>
          <w:p w14:paraId="5A09F9E2" w14:textId="77777777" w:rsidR="00896394" w:rsidRDefault="00896394" w:rsidP="00FD373D">
            <w:pPr>
              <w:pStyle w:val="Tablenumbers"/>
              <w:keepNext/>
            </w:pPr>
            <w:r>
              <w:t>1.4%</w:t>
            </w:r>
          </w:p>
        </w:tc>
        <w:tc>
          <w:tcPr>
            <w:tcW w:w="1361" w:type="dxa"/>
          </w:tcPr>
          <w:p w14:paraId="4BC4466A" w14:textId="77777777" w:rsidR="00896394" w:rsidRDefault="00896394" w:rsidP="00FD373D">
            <w:pPr>
              <w:pStyle w:val="Tablenumbers"/>
              <w:keepNext/>
            </w:pPr>
            <w:r>
              <w:t>1.7%</w:t>
            </w:r>
          </w:p>
        </w:tc>
        <w:tc>
          <w:tcPr>
            <w:tcW w:w="1361" w:type="dxa"/>
          </w:tcPr>
          <w:p w14:paraId="43CE3F40" w14:textId="77777777" w:rsidR="00896394" w:rsidRDefault="00896394" w:rsidP="00FD373D">
            <w:pPr>
              <w:pStyle w:val="Tablenumbers"/>
              <w:keepNext/>
            </w:pPr>
            <w:r>
              <w:t>1.8%</w:t>
            </w:r>
          </w:p>
        </w:tc>
        <w:tc>
          <w:tcPr>
            <w:tcW w:w="1361" w:type="dxa"/>
          </w:tcPr>
          <w:p w14:paraId="5A5D65EC" w14:textId="77777777" w:rsidR="00896394" w:rsidRDefault="00896394" w:rsidP="00FD373D">
            <w:pPr>
              <w:pStyle w:val="Tablenumbers"/>
              <w:keepNext/>
            </w:pPr>
            <w:r>
              <w:t>1.9%</w:t>
            </w:r>
          </w:p>
        </w:tc>
        <w:tc>
          <w:tcPr>
            <w:tcW w:w="1361" w:type="dxa"/>
          </w:tcPr>
          <w:p w14:paraId="4C1BE93F" w14:textId="05218C3E" w:rsidR="00896394" w:rsidRDefault="004C374B" w:rsidP="00FD373D">
            <w:pPr>
              <w:pStyle w:val="Tablenumbers"/>
              <w:keepNext/>
            </w:pPr>
            <w:r>
              <w:t>2.2</w:t>
            </w:r>
            <w:r w:rsidR="00896394">
              <w:t>%</w:t>
            </w:r>
          </w:p>
        </w:tc>
      </w:tr>
    </w:tbl>
    <w:p w14:paraId="543ED286" w14:textId="77777777" w:rsidR="004C374B" w:rsidRDefault="004C374B" w:rsidP="004C374B">
      <w:pPr>
        <w:pStyle w:val="Heading2"/>
      </w:pPr>
      <w:bookmarkStart w:id="257" w:name="_Toc87700489"/>
      <w:bookmarkStart w:id="258" w:name="_Toc88686141"/>
      <w:r>
        <w:t>Uncertainty in model forecasts</w:t>
      </w:r>
      <w:bookmarkEnd w:id="257"/>
      <w:bookmarkEnd w:id="258"/>
    </w:p>
    <w:p w14:paraId="7799684E" w14:textId="091F4004" w:rsidR="00896394" w:rsidRPr="00A55E24" w:rsidRDefault="004C374B" w:rsidP="004C374B">
      <w:r>
        <w:t xml:space="preserve">All forecasts carry uncertainty, and we have highlighted some of this throughout our discussion and sensitivity testing. One aspect of this that the sensitivity testing makes clear is that the </w:t>
      </w:r>
      <w:r w:rsidRPr="00E63E61">
        <w:t>20</w:t>
      </w:r>
      <w:r w:rsidRPr="002A687C">
        <w:t>29</w:t>
      </w:r>
      <w:r w:rsidRPr="00E63E61">
        <w:t>-30</w:t>
      </w:r>
      <w:r>
        <w:t xml:space="preserve"> cost estimates are far more uncertain the 2024-25 estimates. This also relates to the increasing challenge of setting longer-term assumptions. Participant numbers may continue growing strongly or could conceivably plateau; cost escalation may eventually revert to the forecast 3.2% or could see further unanticipated increases.</w:t>
      </w:r>
    </w:p>
    <w:p w14:paraId="5C9E61E8" w14:textId="77777777" w:rsidR="00A520C9" w:rsidRDefault="00A520C9" w:rsidP="00A520C9">
      <w:pPr>
        <w:pStyle w:val="Heading1"/>
      </w:pPr>
      <w:bookmarkStart w:id="259" w:name="_Ref87654047"/>
      <w:bookmarkStart w:id="260" w:name="_Toc87700490"/>
      <w:bookmarkStart w:id="261" w:name="_Toc88686142"/>
      <w:r>
        <w:t>Further analysis on key assumptions</w:t>
      </w:r>
      <w:bookmarkEnd w:id="241"/>
      <w:bookmarkEnd w:id="242"/>
      <w:bookmarkEnd w:id="259"/>
      <w:bookmarkEnd w:id="260"/>
      <w:bookmarkEnd w:id="261"/>
    </w:p>
    <w:p w14:paraId="06B9CCC7" w14:textId="24C9EC80" w:rsidR="00DD4479" w:rsidRDefault="00DD4479" w:rsidP="00A520C9">
      <w:pPr>
        <w:pStyle w:val="Heading2"/>
      </w:pPr>
      <w:bookmarkStart w:id="262" w:name="_Ref87483953"/>
      <w:bookmarkStart w:id="263" w:name="_Toc87700491"/>
      <w:bookmarkStart w:id="264" w:name="_Toc88686143"/>
      <w:bookmarkStart w:id="265" w:name="_Toc83997780"/>
      <w:r>
        <w:t>Further analysis on participant numbers</w:t>
      </w:r>
      <w:bookmarkEnd w:id="262"/>
      <w:bookmarkEnd w:id="263"/>
      <w:bookmarkEnd w:id="264"/>
    </w:p>
    <w:p w14:paraId="123EC61B" w14:textId="05922602" w:rsidR="00DD4479" w:rsidRDefault="00DD4479" w:rsidP="00DD4479">
      <w:pPr>
        <w:pStyle w:val="Heading3"/>
      </w:pPr>
      <w:r>
        <w:t>Experience of participant numbers in trial regions</w:t>
      </w:r>
    </w:p>
    <w:p w14:paraId="52C8E02F" w14:textId="604CBFF0" w:rsidR="00DD4479" w:rsidRDefault="00084633" w:rsidP="00DD4479">
      <w:r>
        <w:t xml:space="preserve">The key trial regions started about three years before the general </w:t>
      </w:r>
      <w:r w:rsidR="00232FFF">
        <w:t>Scheme</w:t>
      </w:r>
      <w:r>
        <w:t xml:space="preserve"> rollout, albeit with some specific timing and operational variations. These can be used as evidence for what the broader </w:t>
      </w:r>
      <w:r w:rsidR="00232FFF">
        <w:t>Scheme</w:t>
      </w:r>
      <w:r>
        <w:t xml:space="preserve"> numbers might look like in the future. In particular, whether there is any evidence of a plateau in entries from outside existing State and Commonwealth </w:t>
      </w:r>
      <w:r w:rsidR="00232FFF">
        <w:t>Scheme</w:t>
      </w:r>
      <w:r>
        <w:t>s.</w:t>
      </w:r>
    </w:p>
    <w:p w14:paraId="6D2D7039" w14:textId="1154CAE0" w:rsidR="00084633" w:rsidRDefault="00084633" w:rsidP="00DD4479">
      <w:r>
        <w:t xml:space="preserve">We have expressed </w:t>
      </w:r>
      <w:r w:rsidR="007C00FB">
        <w:t xml:space="preserve">growth in </w:t>
      </w:r>
      <w:r>
        <w:t xml:space="preserve">participant numbers (for those entering from outside existing schemes) as a proportion of the relevant population in </w:t>
      </w:r>
      <w:r>
        <w:fldChar w:fldCharType="begin"/>
      </w:r>
      <w:r>
        <w:instrText xml:space="preserve"> REF _Ref85550078 \h </w:instrText>
      </w:r>
      <w:r>
        <w:fldChar w:fldCharType="separate"/>
      </w:r>
      <w:r w:rsidR="00E6217F">
        <w:t xml:space="preserve">Figure </w:t>
      </w:r>
      <w:r w:rsidR="00E6217F">
        <w:rPr>
          <w:noProof/>
        </w:rPr>
        <w:t>7</w:t>
      </w:r>
      <w:r w:rsidR="00E6217F">
        <w:t>.</w:t>
      </w:r>
      <w:r w:rsidR="00E6217F">
        <w:rPr>
          <w:noProof/>
        </w:rPr>
        <w:t>1</w:t>
      </w:r>
      <w:r>
        <w:fldChar w:fldCharType="end"/>
      </w:r>
      <w:r>
        <w:t xml:space="preserve">. Strikingly, </w:t>
      </w:r>
      <w:r w:rsidR="00FD198A">
        <w:t xml:space="preserve">in all the trial regions numbers have continued to grow linearly beyond year 4 and 5. In most cases the actual growth in trial regions is outpacing the projected growth in the </w:t>
      </w:r>
      <w:r w:rsidR="00D320CF">
        <w:t>2020-21 AFSR</w:t>
      </w:r>
      <w:r w:rsidR="007C00FB">
        <w:t xml:space="preserve"> </w:t>
      </w:r>
      <w:r w:rsidR="00FD198A">
        <w:t xml:space="preserve">assumptions too. The figure shows that a full 6% of children aged 0-14 </w:t>
      </w:r>
      <w:r w:rsidR="006009AE">
        <w:t xml:space="preserve">in </w:t>
      </w:r>
      <w:r w:rsidR="007C0CDC">
        <w:t xml:space="preserve">South Australia </w:t>
      </w:r>
      <w:r w:rsidR="00FD198A">
        <w:t xml:space="preserve">are participants in the </w:t>
      </w:r>
      <w:r w:rsidR="00232FFF">
        <w:t>Scheme</w:t>
      </w:r>
      <w:r w:rsidR="00FD198A">
        <w:t>.</w:t>
      </w:r>
    </w:p>
    <w:p w14:paraId="5D4F41DF" w14:textId="10AB5F5E" w:rsidR="00084633" w:rsidRDefault="00084633" w:rsidP="00C915C4">
      <w:pPr>
        <w:pStyle w:val="Caption"/>
      </w:pPr>
      <w:bookmarkStart w:id="266" w:name="_Ref85550078"/>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w:t>
      </w:r>
      <w:r w:rsidR="009366CE">
        <w:fldChar w:fldCharType="end"/>
      </w:r>
      <w:bookmarkEnd w:id="266"/>
      <w:r>
        <w:t xml:space="preserve"> – </w:t>
      </w:r>
      <w:r w:rsidR="00942C14">
        <w:t xml:space="preserve">Cumulative participant entries for those </w:t>
      </w:r>
      <w:r>
        <w:t xml:space="preserve">entering from outside existing State and Commonwealth schemes for trial regions compared to broader </w:t>
      </w:r>
      <w:r w:rsidR="00232FFF">
        <w:t>Scheme</w:t>
      </w:r>
    </w:p>
    <w:p w14:paraId="35A749FD" w14:textId="37D9F5D4" w:rsidR="00C915C4" w:rsidRDefault="00C915C4" w:rsidP="00DD4479">
      <w:r>
        <w:rPr>
          <w:noProof/>
        </w:rPr>
        <w:drawing>
          <wp:inline distT="0" distB="0" distL="0" distR="0" wp14:anchorId="3FB8A70C" wp14:editId="6F08ACD8">
            <wp:extent cx="5976620" cy="3567430"/>
            <wp:effectExtent l="0" t="0" r="5080" b="0"/>
            <wp:docPr id="3" name="Graphic 3" descr="Barwon and Hunter (all ages)&#10;&#10;Age 0. &#10;Barwon. 0.00%.  &#10;Hunter. 0.00%. &#10;Rest of Australia. 0.00%. &#10;AFRS 2021. -.&#10;&#10;Age 1.&#10;Barwon. 0.00%.  &#10;Hunter. 0.00%. &#10;Rest of Australia. 0.00%. &#10;AFRS 2021. -.&#10;&#10;Age 2.&#10;Barwon. 0.00%.  &#10;Hunter. 0.00%. &#10;Rest of Australia. 0.00%. &#10;AFRS 2021. -.&#10;&#10;&#10;Age 3.&#10;Barwon. 0.00%.  &#10;Hunter. 0.00%. &#10;Rest of Australia. 0.00%. &#10;AFRS 2021. -.&#10;&#10;&#10;Age 4.&#10;Barwon. 0.00%.  &#10;Hunter. 0.00%. &#10;Rest of Australia. 0.00%. &#10;AFRS 2021. -.&#10;&#10;&#10;Age 5.&#10;Barwon. 0.00%.  &#10;Hunter. 0.00%. &#10;Rest of Australia. 0.00%. &#10;AFRS 2021. -.&#10;&#10;&#10;Age 6.&#10;Barwon. 0.00%.  &#10;Hunter. 0.00%. &#10;Rest of Australia. 0.00%. &#10;AFRS 2021. -.&#10;&#10;&#10;Age 7.&#10;Barwon. 0.10%.  &#10;Hunter. 0.10%. &#10;Rest of Australia. 0.00%. &#10;AFRS 2021. -.&#10;&#10;&#10;Age 8.&#10;Barwon. 0.10%.  &#10;Hunter. 0.10%. &#10;Rest of Australia. 0.00%. &#10;AFRS 2021. -.&#10;&#10;&#10;Age 9.&#10;Barwon. 0.10%.  &#10;Hunter. 0.10%. &#10;Rest of Australia. 0.00%. &#10;AFRS 2021. -.&#10;&#10;&#10;Age 10.&#10;Barwon. 0.10%.  &#10;Hunter. 0.10%. &#10;Rest of Australia. 0.00%. &#10;AFRS 2021. -.&#10;&#10;&#10;Age 11.&#10;Barwon. 0.10%.  &#10;Hunter. 0.10%. &#10;Rest of Australia. 0.10%. &#10;AFRS 2021. -.&#10;&#10;&#10;Age 12.&#10;Barwon. 0.20%.  &#10;Hunter. 0.10%. &#10;Rest of Australia. 0.10%. &#10;AFRS 2021. -.&#10;&#10;&#10;Age 13.&#10;Barwon. 0.20%.  &#10;Hunter. 0.10%. &#10;Rest of Australia. 0.10%. &#10;AFRS 2021. -.&#10;&#10;&#10;Age 14.&#10;Barwon. 0.20%.  &#10;Hunter. 0.20%. &#10;Rest of Australia. 0.10%. &#10;AFRS 2021. -.&#10;&#10;&#10;Age 15.&#10;Barwon. 0.20%.  &#10;Hunter. 0.20%. &#10;Rest of Australia. 0.10%. &#10;AFRS 2021. -.&#10;&#10;&#10;Age 16.&#10;Barwon. 0.20%.  &#10;Hunter. 0.20%. &#10;Rest of Australia. 0.10%. &#10;AFRS 2021. -.&#10;&#10;&#10;Age 17.&#10;Barwon. 0.20%.  &#10;Hunter. 0.20%. &#10;Rest of Australia. 0.10%. &#10;AFRS 2021. -.&#10;&#10;&#10;Age 18.&#10;Barwon. 0.30%.  &#10;Hunter. 0.20%. &#10;Rest of Australia. 0.10%. &#10;AFRS 2021. -.&#10;&#10;&#10;Age 19.&#10;Barwon. 0.30%.  &#10;Hunter. 0.20%. &#10;Rest of Australia. 0.10%. &#10;AFRS 2021. -.&#10;&#10;Age 20.&#10;Barwon. 0.30%.  &#10;Hunter. 0.20%. &#10;Rest of Australia. 0.10%. &#10;AFRS 2021. -.&#10;&#10;&#10;Age 21.&#10;Barwon. 0.30%.  &#10;Hunter. 0.30%. &#10;Rest of Australia. 0.10%. &#10;AFRS 2021. -.&#10;&#10;&#10;Age 22.&#10;Barwon. 0.30%.  &#10;Hunter. 0.30%. &#10;Rest of Australia. 0.10%. &#10;AFRS 2021. -.&#10;&#10;&#10;Age 23.&#10;Barwon. 0.40%.  &#10;Hunter. 0.30%. &#10;Rest of Australia. 0.10%. &#10;AFRS 2021. -.&#10;&#10;&#10;Age 24.&#10;Barwon. 0.40%.  &#10;Hunter. 0.30%. &#10;Rest of Australia. 0.20%. &#10;AFRS 2021. -.&#10;&#10;&#10;Age 25.&#10;Barwon. 0.40%.  &#10;Hunter. 0.40%. &#10;Rest of Australia. 0.20%. &#10;AFRS 2021. -.&#10;&#10;&#10;Age 26.&#10;Barwon. 0.40%.  &#10;Hunter. 0.40%. &#10;Rest of Australia. 0.20%. &#10;AFRS 2021. -.&#10;&#10;&#10;Age 27.&#10;Barwon. 0.40%.  &#10;Hunter. 0.40%. &#10;Rest of Australia. 0.20%. &#10;AFRS 2021. -.&#10;&#10;&#10;Age 28.&#10;Barwon. 0.50%.  &#10;Hunter. 0.40%. &#10;Rest of Australia. 0.20%. &#10;AFRS 2021. -.&#10;&#10;&#10;Age 29.&#10;Barwon. 0.50%.  &#10;Hunter. 0.50%. &#10;Rest of Australia. 0.20%. &#10;AFRS 2021. -.&#10;&#10;&#10;Age 30.&#10;Barwon. 0.50%.  &#10;Hunter. 0.50%. &#10;Rest of Australia. 0.20%. &#10;AFRS 2021. -.&#10;&#10;&#10;Age 31.&#10;Barwon. 0.50%.  &#10;Hunter. 0.50%. &#10;Rest of Australia. 0.30%. &#10;AFRS 2021. -.&#10;&#10;&#10;Age 32.&#10;Barwon. 0.50%.  &#10;Hunter. 0.50%. &#10;Rest of Australia. 0.30%. &#10;AFRS 2021. -.&#10;&#10;&#10;Age 33.&#10;Barwon. 0.50%.  &#10;Hunter. 0.60%. &#10;Rest of Australia. 0.30%. &#10;AFRS 2021. -.&#10;&#10;&#10;Age 34.&#10;Barwon. 0.50%.  &#10;Hunter. 0.60%. &#10;Rest of Australia. 0.30%. &#10;AFRS 2021. -.&#10;&#10;&#10;Age 35.&#10;Barwon. 0.60%.  &#10;Hunter. 0.70%. &#10;Rest of Australia. 0.30%. &#10;AFRS 2021. -.&#10;&#10;&#10;Age 36.&#10;Barwon. 0.60%.  &#10;Hunter. 0.70%. &#10;Rest of Australia. 0.30%. &#10;AFRS 2021. -.&#10;&#10;&#10;Age 37.&#10;Barwon. 0.60%.  &#10;Hunter. 0.80%. &#10;Rest of Australia. 0.40%. &#10;AFRS 2021. -.&#10;&#10;&#10;Age 38.&#10;Barwon. 0.60%.  &#10;Hunter. 0.80%. &#10;Rest of Australia. 0.40%. &#10;AFRS 2021. -.&#10;&#10;&#10;Age 39.&#10;Barwon. 0.60%.  &#10;Hunter. 0.80%. &#10;Rest of Australia. 0.40%. &#10;AFRS 2021. -.&#10;&#10;&#10;Age 40.&#10;Barwon. 0.70%.  &#10;Hunter. 0.90%. &#10;Rest of Australia. 0.40%. &#10;AFRS 2021. -.&#10;&#10;&#10;Age 41.&#10;Barwon. 0.80%.  &#10;Hunter. 0.90%. &#10;Rest of Australia. 0.50%. &#10;AFRS 2021. -.&#10;&#10;&#10;Age 42.&#10;Barwon. 0.80%.  &#10;Hunter. 1.00%. &#10;Rest of Australia. 0.50%. &#10;AFRS 2021. -.&#10;&#10;&#10;Age 43.&#10;Barwon. 0.80%.  &#10;Hunter. 1.00%. &#10;Rest of Australia. 0.50%. &#10;AFRS 2021. -.&#10;&#10;&#10;Age 44.&#10;Barwon. 0.80%.  &#10;Hunter. 1.00%. &#10;Rest of Australia. 0.50%. &#10;AFRS 2021. -.&#10;&#10;&#10;Age 45.&#10;Barwon. 0.80%.  &#10;Hunter. 1.00%. &#10;Rest of Australia. 0.60%. &#10;AFRS 2021. -.&#10;&#10;&#10;Age 46.&#10;Barwon. 0.80%.  &#10;Hunter. 1.00%. &#10;Rest of Australia. 0.60%. &#10;AFRS 2021. -.&#10;&#10;&#10;Age 47.&#10;Barwon. 0.90%.  &#10;Hunter. 1.00%. &#10;Rest of Australia. 0.60%. &#10;AFRS 2021. -.&#10;&#10;&#10;Age 48.&#10;Barwon. 0.90%.  &#10;Hunter. 1.10%. &#10;Rest of Australia. 0.60%. &#10;AFRS 2021. -.&#10;&#10;&#10;Age 49.&#10;Barwon. 0.90%.  &#10;Hunter. 1.10%. &#10;Rest of Australia. 0.70%. &#10;AFRS 2021. -.&#10;&#10;&#10;Age 50.&#10;Barwon. 0.90%.  &#10;Hunter. 1.10%. &#10;Rest of Australia. 0.70%. &#10;AFRS 2021. -.&#10;&#10;&#10;Age 51.&#10;Barwon. 0.90%.  &#10;Hunter. 1.10%. &#10;Rest of Australia. 0.70%. &#10;AFRS 2021. -.&#10;&#10;&#10;Age 52.&#10;Barwon. 0.90%.  &#10;Hunter. 1.10%. &#10;Rest of Australia. 0.70%. &#10;AFRS 2021. -.&#10;&#10;&#10;Age 53.&#10;Barwon. 0.90%.  &#10;Hunter. 1.10%. &#10;Rest of Australia. 0.80%. &#10;AFRS 2021. -.&#10;&#10;&#10;Age 54.&#10;Barwon. 1.00%.  &#10;Hunter. 1.10%. &#10;Rest of Australia. 0.80%. &#10;AFRS 2021. -.&#10;&#10;&#10;Age 55.&#10;Barwon. 1.00%.  &#10;Hunter. 1.10%. &#10;Rest of Australia. 0.80%. &#10;AFRS 2021. -.&#10;&#10;&#10;Age 56.&#10;Barwon. 1.00%.  &#10;Hunter. 1.10%. &#10;Rest of Australia. 0.80%. &#10;AFRS 2021. -.&#10;&#10;&#10;Age 57.&#10;Barwon. 1.00%.  &#10;Hunter. 1.10%. &#10;Rest of Australia. 0.90%. &#10;AFRS 2021. -.&#10;&#10;&#10;Age 58.&#10;Barwon. 1.00%.  &#10;Hunter. 1.20%. &#10;Rest of Australia. 0.90%. &#10;AFRS 2021. -.&#10;&#10;&#10;Age 59.&#10;Barwon. 1.00%.  &#10;Hunter. 1.20%. &#10;Rest of Australia. 0.90%. &#10;AFRS 2021. 0.90%.&#10;&#10;&#10;Age 60.&#10;Barwon. 1.00%.  &#10;Hunter. 1.30%. &#10;Rest of Australia. 0.00%. &#10;AFRS 2021. 0.90%.&#10;&#10;&#10;Age 61.&#10;Barwon. 1.00%.  &#10;Hunter. 1.30%. &#10;Rest of Australia. 0.00%. &#10;AFRS 2021. 0.90%.&#10;&#10;&#10;Age 62.&#10;Barwon. 1.10%.  &#10;Hunter. 1.30%. &#10;Rest of Australia. 0.00%. &#10;AFRS 2021. 0.90%.&#10;&#10;&#10;Age 63.&#10;Barwon. 1.10%.  &#10;Hunter. 1.30%. &#10;Rest of Australia. 0.00%. &#10;AFRS 2021. 1.00%.&#10;&#10;&#10;Age 64.&#10;Barwon. 1.10%.  &#10;Hunter. 1.30%. &#10;Rest of Australia. 0.00%. &#10;AFRS 2021. 1.00%.&#10;&#10;&#10;Age 65.&#10;Barwon. 1.10%.  &#10;Hunter. 1.30%. &#10;Rest of Australia. 0.00%. &#10;AFRS 2021. 1.00%.&#10;&#10;&#10;Age 66.&#10;Barwon. 1.20%.  &#10;Hunter. 1.30%. &#10;Rest of Australia. 0.00%. &#10;AFRS 2021. 1.00%.&#10;&#10;&#10;Age 67.&#10;Barwon. 1.20%.  &#10;Hunter. 1.40%. &#10;Rest of Australia. 0.00%. &#10;AFRS 2021. 1.00%.&#10;&#10;&#10;Age 68.&#10;Barwon. 1.20%.  &#10;Hunter. 1.40%. &#10;Rest of Australia. 0.00%. &#10;AFRS 2021. 1.10%.&#10;&#10;&#10;Age 69.&#10;Barwon. 1.20%.  &#10;Hunter. 1.40%. &#10;Rest of Australia. 0.00%. &#10;AFRS 2021. 1.10%.&#10;&#10;&#10;Age 70.&#10;Barwon. 1.20%.  &#10;Hunter. 1.40%. &#10;Rest of Australia. 0.00%. &#10;AFRS 2021. 1.10%.&#10;&#10;&#10;Age 71.&#10;Barwon. 1.30%.  &#10;Hunter. 1.40%. &#10;Rest of Australia. 0.00%. &#10;AFRS 2021. 1.10%.&#10;&#10;&#10;Age 72.&#10;Barwon. 1.30%.  &#10;Hunter. 1.40%. &#10;Rest of Australia. 0.00%. &#10;AFRS 2021. 1.10%.&#10;&#10;&#10;Age 73.&#10;Barwon. 1.30%.  &#10;Hunter. 1.50%. &#10;Rest of Australia. 0.00%. &#10;AFRS 2021. 1.10%.&#10;&#10;&#10;Age 74.&#10;Barwon. 1.30%.  &#10;Hunter. 1.50%. &#10;Rest of Australia. 0.00%. &#10;AFRS 2021. 1.20%.&#10;&#10;&#10;Age 75.&#10;Barwon. 1.40%.  &#10;Hunter. 1.50%. &#10;Rest of Australia. 0.00%. &#10;AFRS 2021. 1.20%.&#10;&#10;&#10;Age 76.&#10;Barwon. 1.40%.  &#10;Hunter. 1.60%. &#10;Rest of Australia. 0.00%. &#10;AFRS 2021. 1.20%.&#10;&#10;&#10;Age 77.&#10;Barwon. 1.40%.  &#10;Hunter. 1.60%. &#10;Rest of Australia. 0.00%. &#10;AFRS 2021. 1.20%.&#10;&#10;&#10;Age 78.&#10;Barwon. 1.50%.  &#10;Hunter. 1.60%. &#10;Rest of Australia. 0.00%. &#10;AFRS 2021. 1.20%.&#10;&#10;&#10;Age 79.&#10;Barwon. 1.50%.  &#10;Hunter. 1.70%. &#10;Rest of Australia. 0.00%. &#10;AFRS 2021. 1.20%.&#10;&#10;&#10;Age 80.&#10;Barwon. 1.50%.  &#10;Hunter. 1.70%. &#10;Rest of Australia. 0.00%. &#10;AFRS 2021. 1.30%.&#10;&#10;&#10;Age 81.&#10;Barwon. 1.50%.  &#10;Hunter. 1.70%. &#10;Rest of Australia. 0.00%. &#10;AFRS 2021. 1.30%.&#10;&#10;&#10;Age 82.&#10;Barwon. 1.50%.  &#10;Hunter. 1.70%. &#10;Rest of Australia. 0.00%. &#10;AFRS 2021. 1.30%.&#10;&#10;&#10;Age 83.&#10;Barwon. 1.60%.  &#10;Hunter. 1.80%. &#10;Rest of Australia. 0.00%. &#10;AFRS 2021. 1.30%.&#10;&#10;&#10;Age 84.&#10;Barwon. 1.60%.  &#10;Hunter. 1.80%. &#10;Rest of Australia. 0.00%. &#10;AFRS 2021. 1.30%.&#10;&#10;&#10;Age 85.&#10;Barwon. 1.60%.  &#10;Hunter. 1.80%. &#10;Rest of Australia. 0.00%. &#10;AFRS 2021. 1.40%.&#10;&#10;&#10;Age 86.&#10;Barwon. 1.60%.  &#10;Hunter. 1.90%. &#10;Rest of Australia. 0.00%. &#10;AFRS 2021. 1.40%.&#10;&#10;&#10;Age 87.&#10;Barwon. 1.70%.  &#10;Hunter. 1.90%. &#10;Rest of Australia. 0.00%. &#10;AFRS 2021. 1.40%.&#10;&#10;&#10;Age 88.&#10;Barwon. 1.70%.  &#10;Hunter. 1.90%. &#10;Rest of Australia. 0.00%. &#10;AFRS 2021. 1.40%.&#10;&#10;&#10;Age 89.&#10;Barwon. 1.70%.  &#10;Hunter. 1.90%. &#10;Rest of Australia. 0.00%. &#10;AFRS 2021. 1.40%.&#10;&#10;&#10;Age 90.&#10;Barwon. 1.70%.  &#10;Hunter. 2.00%. &#10;Rest of Australia. 0.00%. &#10;AFRS 2021. 1.40%.&#10;&#10;&#10;Age 91.&#10;Barwon. 1.80%.  &#10;Hunter. 2.00%. &#10;Rest of Australia. 0.00%. &#10;AFRS 2021. 1.50%.&#10;&#10;&#10;Age 92.&#10;Barwon. 1.80%.  &#10;Hunter. 2.00%. &#10;Rest of Australia. 0.00%. &#10;AFRS 2021. 1.50%.&#10;&#10;&#10;Age 93.&#10;Barwon. 1.80%.  &#10;Hunter. 2.00%. &#10;Rest of Australia. 0.00%. &#10;AFRS 2021. 1.50%.&#10;&#10;&#10;Age 94.&#10;Barwon. 1.80%.  &#10;Hunter. 2.10%. &#10;Rest of Australia. 0.00%. &#10;AFRS 2021. 1.50%.&#10;&#10;&#10;Age 95.&#10;Barwon. 1.80%.  &#10;Hunter. 2.10%. &#10;Rest of Australia. 0.00%. &#10;AFRS 2021. 1.50%.&#10;&#10;&#10;Ages 15-24 (TAS trial)&#10;&#10;Age 0. &#10;Tasmania. 0.00%.   &#10;Rest of Australia. 0.00%. &#10;AFRS 2021. -.&#10;&#10;Age 1.&#10;Tasmania. 0.00%.   &#10;Rest of Australia. 0.00%. &#10;AFRS 2021. -.&#10;&#10;Age 2.&#10;Tasmania. 0.00%.   &#10;Rest of Australia. 0.00%. &#10;AFRS 2021. -.&#10;&#10;&#10;Age 3.&#10;Tasmania. 0.00%.   &#10;Rest of Australia. 0.00%. &#10;AFRS 2021. -.&#10;&#10;&#10;Age 4.&#10;Tasmania. 0.00%.   &#10;Rest of Australia. 0.00%. &#10;AFRS 2021. -.&#10;&#10;&#10;Age 5.&#10;Tasmania. 0.10%.   &#10;Rest of Australia. 0.00%. &#10;AFRS 2021. -.&#10;&#10;&#10;Age 6.&#10;Tasmania. 0.10%.   &#10;Rest of Australia. 0.00%. &#10;AFRS 2021. -.&#10;&#10;&#10;Age 7.&#10;Tasmania. 0.10%.   &#10;Rest of Australia. 0.00%. &#10;AFRS 2021. -.&#10;&#10;&#10;Age 8.&#10;Tasmania. 0.20%.   &#10;Rest of Australia. 0.00%. &#10;AFRS 2021. -.&#10;&#10;&#10;Age 9.&#10;Tasmania. 0.20%.   &#10;Rest of Australia. 0.00%. &#10;AFRS 2021. -.&#10;&#10;&#10;Age 10.&#10;Tasmania. 0.20%.   &#10;Rest of Australia. 0.10%. &#10;AFRS 2021. -.&#10;&#10;&#10;Age 11.&#10;Tasmania. 0.30%.   &#10;Rest of Australia. 0.10%. &#10;AFRS 2021. -.&#10;&#10;&#10;Age 12.&#10;Tasmania. 0.30%.   &#10;Rest of Australia. 0.10%. &#10;AFRS 2021. -.&#10;&#10;&#10;Age 13.&#10;Tasmania. 0.30%.   &#10;Rest of Australia. 0.10%. &#10;AFRS 2021. -.&#10;&#10;&#10;Age 14.&#10;Tasmania. 0.30%.   &#10;Rest of Australia. 0.10%. &#10;AFRS 2021. -.&#10;&#10;&#10;Age 15.&#10;Tasmania. 0.30%.   &#10;Rest of Australia. 0.10%. &#10;AFRS 2021. -.&#10;&#10;&#10;Age 16.&#10;Tasmania. 0.30%.   &#10;Rest of Australia. 0.10%. &#10;AFRS 2021. -.&#10;&#10;&#10;Age 17.&#10;Tasmania. 0.30%.   &#10;Rest of Australia. 0.10%. &#10;AFRS 2021. -.&#10;&#10;&#10;Age 18.&#10;Tasmania. 0.40%.   &#10;Rest of Australia. 0.10%. &#10;AFRS 2021. -.&#10;&#10;&#10;Age 19.&#10;Tasmania. 0.40%.   &#10;Rest of Australia. 0.10%. &#10;AFRS 2021. -.&#10;&#10;Age 20.&#10;Tasmania. 0.40%.   &#10;Rest of Australia. 0.10%. &#10;AFRS 2021. -.&#10;&#10;&#10;Age 21.&#10;Tasmania. 0.40%.   &#10;Rest of Australia. 0.10%. &#10;AFRS 2021. -.&#10;&#10;&#10;Age 22.&#10;Tasmania. 0.40%.   &#10;Rest of Australia. 0.10%. &#10;AFRS 2021. -.&#10;&#10;&#10;Age 23.&#10;Tasmania. 0.40%.   &#10;Rest of Australia. 0.20%. &#10;AFRS 2021. -.&#10;&#10;&#10;Age 24.&#10;Tasmania. 0.40%.   &#10;Rest of Australia. 0.20%. &#10;AFRS 2021. -.&#10;&#10;&#10;Age 25.&#10;Tasmania. 0.40%.   &#10;Rest of Australia. 0.20%. &#10;AFRS 2021. -.&#10;&#10;&#10;Age 26.&#10;Tasmania. 0.50%.   &#10;Rest of Australia. 0.20%. &#10;AFRS 2021. -.&#10;&#10;&#10;Age 27.&#10;Tasmania. 0.50%.   &#10;Rest of Australia. 0.20%. &#10;AFRS 2021. -.&#10;&#10;&#10;Age 28.&#10;Tasmania. 0.50%.   &#10;Rest of Australia. 0.20%. &#10;AFRS 2021. -.&#10;&#10;&#10;Age 29.&#10;Tasmania. 0.50%.   &#10;Rest of Australia. 0.20%. &#10;AFRS 2021. -.&#10;&#10;&#10;Age 30.&#10;Tasmania. 0.60%.   &#10;Rest of Australia. 0.20%. &#10;AFRS 2021. -.&#10;&#10;&#10;Age 31.&#10;Tasmania. 0.60%.   &#10;Rest of Australia. 0.30%. &#10;AFRS 2021. -.&#10;&#10;&#10;Age 32.&#10;Tasmania. 0.60%.   &#10;Rest of Australia. 0.30%. &#10;AFRS 2021. -.&#10;&#10;&#10;Age 33.&#10;Tasmania. 0.60%.   &#10;Rest of Australia. 0.30%. &#10;AFRS 2021. -.&#10;&#10;&#10;Age 34.&#10;Tasmania. 0.60%.   &#10;Rest of Australia. 0.30%. &#10;AFRS 2021. -.&#10;&#10;&#10;Age 35.&#10;Tasmania. 0.60%.   &#10;Rest of Australia. 0.30%. &#10;AFRS 2021. -.&#10;&#10;&#10;Age 36.&#10;Tasmania. 0.60%.   &#10;Rest of Australia. 0.30%. &#10;AFRS 2021. -.&#10;&#10;&#10;Age 37.&#10;Tasmania. 0.70%.   &#10;Rest of Australia. 0.30%. &#10;AFRS 2021. -.&#10;&#10;&#10;Age 38.&#10;Tasmania. 0.80%.   &#10;Rest of Australia. 0.40%. &#10;AFRS 2021. -.&#10;&#10;&#10;Age 39.&#10;Tasmania. 0.90%.   &#10;Rest of Australia. 0.40%. &#10;AFRS 2021. -.&#10;&#10;&#10;Age 40.&#10;Tasmania. 0.90%.   &#10;Rest of Australia. 0.40%. &#10;AFRS 2021. -.&#10;&#10;&#10;Age 41.&#10;Tasmania. 0.90%.   &#10;Rest of Australia. 0.40%. &#10;AFRS 2021. -.&#10;&#10;&#10;Age 42.&#10;Tasmania. 1.00%.   &#10;Rest of Australia. 0.50%. &#10;AFRS 2021. -.&#10;&#10;&#10;Age 43.&#10;Tasmania. 1.00%.   &#10;Rest of Australia. 0.50%. &#10;AFRS 2021. -.&#10;&#10;&#10;Age 44.&#10;Tasmania. 1.00%.   &#10;Rest of Australia. 0.50%. &#10;AFRS 2021. -.&#10;&#10;&#10;Age 45.&#10;Tasmania. 1.00%.   &#10;Rest of Australia. 0.50%. &#10;AFRS 2021. -.&#10;&#10;&#10;Age 46.&#10;Tasmania. 1.00%.   &#10;Rest of Australia. 0.50%. &#10;AFRS 2021. -.&#10;&#10;&#10;Age 47.&#10;Tasmania. 1.10%.   &#10;Rest of Australia. 0.60%. &#10;AFRS 2021. -.&#10;&#10;&#10;Age 48.&#10;Tasmania. 1.10%.   &#10;Rest of Australia. 0.60%. &#10;AFRS 2021. -.&#10;&#10;&#10;Age 49.&#10;Tasmania. 1.10%.   &#10;Rest of Australia. 0.60%. &#10;AFRS 2021. -.&#10;&#10;&#10;Age 50.&#10;Tasmania. 1.10%.   &#10;Rest of Australia. 0.60%. &#10;AFRS 2021. -.&#10;&#10;&#10;Age 51.&#10;Tasmania. 1.10%.   &#10;Rest of Australia. 0.60%. &#10;AFRS 2021. -.&#10;&#10;&#10;Age 52.&#10;Tasmania. 1.20%.   &#10;Rest of Australia. 0.70%. &#10;AFRS 2021. -.&#10;&#10;&#10;Age 53.&#10;Tasmania. 1.20%.   &#10;Rest of Australia. 0.70%. &#10;AFRS 2021. -.&#10;&#10;&#10;Age 54.&#10;Tasmania. 1.20%.   &#10;Rest of Australia. 0.70%. &#10;AFRS 2021. -.&#10;&#10;&#10;Age 55.&#10;Tasmania. 1.20%.   &#10;Rest of Australia. 0.70%. &#10;AFRS 2021. -.&#10;&#10;&#10;Age 56.&#10;Tasmania. 1.20%.   &#10;Rest of Australia. 0.70%. &#10;AFRS 2021. -.&#10;&#10;&#10;Age 57.&#10;Tasmania. 1.20%.   &#10;Rest of Australia. 0.70%. &#10;AFRS 2021. -.&#10;&#10;&#10;Age 58.&#10;Tasmania. 1.30%.   &#10;Rest of Australia. 0.80%. &#10;AFRS 2021. -.&#10;&#10;&#10;Age 59.&#10;Tasmania. 1.30%.   &#10;Rest of Australia. 0.80%. &#10;AFRS 2021. 0.80%.&#10;&#10;&#10;Age 60.&#10;Tasmania. 1.30%.   &#10;Rest of Australia. 0.00%. &#10;AFRS 2021. 0.80%.&#10;&#10;&#10;Age 61.&#10;Tasmania. 1.30%.   &#10;Rest of Australia. 0.00%. &#10;AFRS 2021. 0.80%.&#10;&#10;&#10;Age 62.&#10;Tasmania. 1.30%.   &#10;Rest of Australia. 0.00%. &#10;AFRS 2021. 0.80%.&#10;&#10;&#10;Age 63.&#10;Tasmania. 1.30%.   &#10;Rest of Australia. 0.00%. &#10;AFRS 2021. 0.80%.&#10;&#10;&#10;Age 64.&#10;Tasmania. 1.30%.   &#10;Rest of Australia. 0.00%. &#10;AFRS 2021. 0.80%.&#10;&#10;&#10;Age 65.&#10;Tasmania. 1.30%.  &#10;&#10;Rest of Australia. 0.00%. &#10;AFRS 2021. 0.80%.&#10;&#10;&#10;Age 66.&#10;Tasmania. 1.30%.   &#10;Rest of Australia. 0.00%. &#10;AFRS 2021. 0.80%.&#10;&#10;&#10;Age 67.&#10;Tasmania. 1.30%.   &#10;Rest of Australia. 0.00%. &#10;AFRS 2021. 0.80%.&#10;&#10;&#10;Age 68.&#10;Tasmania. 1.30%.   &#10;Rest of Australia. 0.00%. &#10;AFRS 2021. 0.90%.&#10;&#10;&#10;Age 69.&#10;Tasmania. 1.30%.   &#10;Rest of Australia. 0.00%. &#10;AFRS 2021. 0.90%.&#10;&#10;&#10;Age 70.&#10;Tasmania. 1.40%.  &#10;Rest of Australia. 0.00%. &#10;AFRS 2021. 0.90%.&#10;&#10;&#10;Age 71.&#10;Tasmania. 1.40%.   &#10;Rest of Australia. 0.00%. &#10;AFRS 2021. 0.90%.&#10;&#10;&#10;Age 72.&#10;Tasmania. 1.40%.   &#10;Rest of Australia. 0.00%. &#10;AFRS 2021. 0.90%.&#10;&#10;&#10;Age 73.&#10;Tasmania. 1.40%.   &#10;Rest of Australia. 0.00%. &#10;AFRS 2021. 0.90%.&#10;&#10;&#10;Age 74.&#10;Tasmania. 1.40%.  &#10;Rest of Australia. 0.00%. &#10;AFRS 2021. 0.90%.&#10;&#10;&#10;Age 75.&#10;Tasmania. 1.40%.   &#10;Rest of Australia. 0.00%. &#10;AFRS 2021. 0.90%.&#10;&#10;&#10;Age 76.&#10;Tasmania. 1.40%.   &#10;Rest of Australia. 0.00%. &#10;AFRS 2021. 0.90%.&#10;&#10;&#10;Age 77.&#10;Tasmania. 1.50%.   &#10;Rest of Australia. 0.00%. &#10;AFRS 2021. 0.90%.&#10;&#10;&#10;Age 78.&#10;Tasmania. 1.50%.   &#10;Rest of Australia. 0.00%. &#10;AFRS 2021. 0.90%.&#10;&#10;&#10;Age 79.&#10;Tasmania. 1.50%.   &#10;Rest of Australia. 0.00%. &#10;AFRS 2021. 0.90%.&#10;&#10;&#10;Age 80.&#10;Tasmania. 1.50%.   &#10;Rest of Australia. 0.00%. &#10;AFRS 2021. 1.00%.&#10;&#10;&#10;Age 81.&#10;Tasmania. 1.60%.   &#10;Rest of Australia. 0.00%. &#10;AFRS 2021. 1.00%.&#10;&#10;&#10;Age 82.&#10;Tasmania. 1.60%.   &#10;Rest of Australia. 0.00%. &#10;AFRS 2021. 1.00%.&#10;&#10;&#10;Age 83.&#10;Tasmania. 1.60%.   &#10;Rest of Australia. 0.00%. &#10;AFRS 2021. 1.00%.&#10;&#10;&#10;Age 84.&#10;Tasmania. 1.60%.   &#10;Rest of Australia. 0.00%. &#10;AFRS 2021. 1.00%.&#10;&#10;&#10;Age 85.&#10;Tasmania. 1.60%.   &#10;Rest of Australia. 0.00%. &#10;AFRS 2021. 1.00%.&#10;&#10;&#10;Age 86.&#10;Tasmania. 1.70%.   &#10;Rest of Australia. 0.00%. &#10;AFRS 2021. 1.00%.&#10;&#10;&#10;Age 87.&#10;Tasmania. 1.70%.   &#10;Rest of Australia. 0.00%. &#10;AFRS 2021. 1.00%.&#10;&#10;&#10;Age 88.&#10;Tasmania. 1.70%.   &#10;Rest of Australia. 0.00%. &#10;AFRS 2021. 1.00%.&#10;&#10;&#10;Age 89.&#10;Tasmania. 1.70%.   &#10;Rest of Australia. 0.00%. &#10;AFRS 2021. 1.00%.&#10;&#10;&#10;Age 90.&#10;Tasmania. 1.70%.   &#10;Rest of Australia. 0.00%. &#10;AFRS 2021. 1.00%.&#10;&#10;&#10;Age 91.&#10;Tasmania. 1.80%.   &#10;Rest of Australia. 0.00%. &#10;AFRS 2021. 1.10%.&#10;&#10;&#10;Age 92.&#10;Tasmania. 1.80%.   &#10;Rest of Australia. 0.00%. &#10;AFRS 2021. 1.10%.&#10;&#10;&#10;Age 93.&#10;Tasmania. 1.80%.   &#10;Rest of Australia. 0.00%. &#10;AFRS 2021. 1.10%.&#10;&#10;&#10;Age 94.&#10;Tasmania. 1.80%.   &#10;Rest of Australia. 0.00%. &#10;AFRS 2021. 1.10%.&#10;&#10;&#10;Age 95.&#10;Tasmania. 1.90%.   &#10;Rest of Australia. 0.00%. &#10;AFRS 2021. 1.10%.&#10;&#10;Ages 0-14 (SA trial)&#10;&#10;Age 0. &#10;South Australia. 0.0%.   &#10;Rest of Australia. 0.00%. &#10;AFRS 2021. -.&#10;&#10;Age 1.&#10;South Australia. 0.0%.   &#10;Rest of Australia. 0.00%. &#10;AFRS 2021. -.&#10;&#10;Age 2.&#10;South Australia. 0.0%.   &#10;Rest of Australia. 0.00%. &#10;AFRS 2021. -.&#10;&#10;&#10;Age 3.&#10;South Australia. 0.0%.   &#10;Rest of Australia. 0.00%. &#10;AFRS 2021. -.&#10;&#10;&#10;Age 4.&#10;South Australia. 0.0%.   &#10;Rest of Australia. 0.00%. &#10;AFRS 2021. -.&#10;&#10;&#10;Age 5.&#10;South Australia. 0.1%.   &#10;Rest of Australia. 0.10%. &#10;AFRS 2021. -.&#10;&#10;&#10;Age 6.&#10;South Australia. 0.1%.   &#10;Rest of Australia. 0.10%. &#10;AFRS 2021. -.&#10;&#10;&#10;Age 7.&#10;South Australia. 0.1%.   &#10;Rest of Australia. 0.10%. &#10;AFRS 2021. -.&#10;&#10;&#10;Age 8.&#10;South Australia. 0.1%.   &#10;Rest of Australia. 0.10%. &#10;AFRS 2021. -.&#10;&#10;&#10;Age 9.&#10;South Australia. 0.1%.   &#10;Rest of Australia. 0.10%. &#10;AFRS 2021. -.&#10;&#10;&#10;Age 10.&#10;South Australia. 0.2%.   &#10;Rest of Australia. 0.10%. &#10;AFRS 2021. -.&#10;&#10;&#10;Age 11.&#10;South Australia. 0.2%.   &#10;Rest of Australia. 0.10%. &#10;AFRS 2021. -.&#10;&#10;&#10;Age 12.&#10;South Australia. 0.2%.   &#10;Rest of Australia. 0.20%. &#10;AFRS 2021. -.&#10;&#10;&#10;Age 13.&#10;South Australia. 0.2%.   &#10;Rest of Australia. 0.20%. &#10;AFRS 2021. -.&#10;&#10;&#10;Age 14.&#10;South Australia. 0.2%.   &#10;Rest of Australia. 0.20%. &#10;AFRS 2021. -.&#10;&#10;&#10;Age 15.&#10;South Australia. 0.3%.   &#10;Rest of Australia. 0.20%. &#10;AFRS 2021. -.&#10;&#10;&#10;Age 16.&#10;South Australia. 0.3%.   &#10;Rest of Australia. 0.20%. &#10;AFRS 2021. -.&#10;&#10;&#10;Age 17.&#10;South Australia. 0.4%.   &#10;Rest of Australia. 0.20%. &#10;AFRS 2021. -.&#10;&#10;&#10;Age 18.&#10;South Australia. 0.4%.   &#10;Rest of Australia. 0.20%. &#10;AFRS 2021. -.&#10;&#10;&#10;Age 19.&#10;South Australia. 0.4%.   &#10;Rest of Australia. 0.30%. &#10;AFRS 2021. -.&#10;&#10;Age 20.&#10;South Australia. 0.5%.   &#10;Rest of Australia. 0.30%. &#10;AFRS 2021. -.&#10;&#10;&#10;Age 21.&#10;South Australia. 0.6%.   &#10;Rest of Australia. 0.30%. &#10;AFRS 2021. -.&#10;&#10;&#10;Age 22.&#10;South Australia. 0.7%.   &#10;Rest of Australia. 0.40%. &#10;AFRS 2021. -.&#10;&#10;&#10;Age 23.&#10;South Australia. 0.9%.   &#10;Rest of Australia. 0.40%. &#10;AFRS 2021. -.&#10;&#10;&#10;Age 24.&#10;South Australia. 0.9%.   &#10;Rest of Australia. 0.40%. &#10;AFRS 2021. -.&#10;&#10;&#10;Age 25.&#10;South Australia. 1.0%.   &#10;Rest of Australia. 0.50%. &#10;AFRS 2021. -.&#10;&#10;&#10;Age 26.&#10;South Australia. 1.0%.   &#10;Rest of Australia. 0.50%. &#10;AFRS 2021. -.&#10;&#10;&#10;Age 27.&#10;South Australia. 1.1%.   &#10;Rest of Australia. 0.50%. &#10;AFRS 2021. -.&#10;&#10;&#10;Age 28.&#10;South Australia. 1.1%.   &#10;Rest of Australia. 0.60%. &#10;AFRS 2021. -.&#10;&#10;&#10;Age 29.&#10;South Australia. 1.1%.   &#10;Rest of Australia. 0.60%. &#10;AFRS 2021. -.&#10;&#10;&#10;Age 30.&#10;South Australia. 1.1%.   &#10;Rest of Australia. 0.70%. &#10;AFRS 2021. -.&#10;&#10;&#10;Age 31.&#10;South Australia. 1.1%.   &#10;Rest of Australia. 0.70%. &#10;AFRS 2021. -.&#10;&#10;&#10;Age 32.&#10;South Australia. 1.1%.   &#10;Rest of Australia. 0.80%. &#10;AFRS 2021. -.&#10;&#10;&#10;Age 33.&#10;South Australia. 1.2%.   &#10;Rest of Australia. 0.80%. &#10;AFRS 2021. -.&#10;&#10;&#10;Age 34.&#10;South Australia. 1.2%.   &#10;Rest of Australia. 0.90%. &#10;AFRS 2021. -.&#10;&#10;&#10;Age 35.&#10;South Australia. 1.3%.   &#10;Rest of Australia. 0.90%. &#10;AFRS 2021. -.&#10;&#10;&#10;Age 36.&#10;South Australia. 1.3%.   &#10;Rest of Australia. 1.00%. &#10;AFRS 2021. -.&#10;&#10;&#10;Age 37.&#10;South Australia. 1.4%.   &#10;Rest of Australia. 1.00%. &#10;AFRS 2021. -.&#10;&#10;&#10;Age 38.&#10;South Australia. 1.5%.   &#10;Rest of Australia. 1.10%. &#10;AFRS 2021. -.&#10;&#10;&#10;Age 39.&#10;South Australia. 1.6%.   &#10;Rest of Australia. 1.20%. &#10;AFRS 2021. -.&#10;&#10;&#10;Age 40.&#10;South Australia. 1.9%.   &#10;Rest of Australia. 1.30%. &#10;AFRS 2021. -.&#10;&#10;&#10;Age 41.&#10;South Australia. 2.1%.   &#10;Rest of Australia. 1.40%. &#10;AFRS 2021. -.&#10;&#10;&#10;Age 42.&#10;South Australia. 2.1%.   &#10;Rest of Australia. 1.50%. &#10;AFRS 2021. -.&#10;&#10;&#10;Age 43.&#10;South Australia. 2.2%.   &#10;Rest of Australia. 1.60%. &#10;AFRS 2021. -.&#10;&#10;&#10;Age 44.&#10;South Australia. 2.2%.   &#10;Rest of Australia. 1.60%. &#10;AFRS 2021. -.&#10;&#10;&#10;Age 45.&#10;South Australia. 2.2%.   &#10;Rest of Australia. 1.70%. &#10;AFRS 2021. -.&#10;&#10;&#10;Age 46.&#10;South Australia. 2.2%.   &#10;Rest of Australia. 1.80%. &#10;AFRS 2021. -.&#10;&#10;&#10;Age 47.&#10;South Australia. 2.3%.   &#10;Rest of Australia. 1.90%. &#10;AFRS 2021. -.&#10;&#10;&#10;Age 48.&#10;South Australia. 2.4%.   &#10;Rest of Australia. 2.00%. &#10;AFRS 2021. -.&#10;&#10;&#10;Age 49.&#10;South Australia. 2.4%.   &#10;Rest of Australia. 2.10%. &#10;AFRS 2021. -.&#10;&#10;&#10;Age 50.&#10;South Australia. 2.4%.   &#10;Rest of Australia. 2.10%. &#10;AFRS 2021. -.&#10;&#10;&#10;Age 51.&#10;South Australia. 2.5%.   &#10;Rest of Australia. 2.20%. &#10;AFRS 2021. -.&#10;&#10;&#10;Age 52.&#10;South Australia. 2.5%.   &#10;Rest of Australia. 2.30%. &#10;AFRS 2021. -.&#10;&#10;&#10;Age 53.&#10;South Australia. 2.6%.   &#10;Rest of Australia. 2.40%. &#10;AFRS 2021. -.&#10;&#10;&#10;Age 54.&#10;South Australia. 2.6%.   &#10;Rest of Australia. 2.40%. &#10;AFRS 2021. -.&#10;&#10;&#10;Age 55.&#10;South Australia. 2.6%.   &#10;Rest of Australia. 2.50%. &#10;AFRS 2021. -.&#10;&#10;&#10;Age 56.&#10;South Australia. 2.7%.   &#10;Rest of Australia. 2.60%. &#10;AFRS 2021. -.&#10;&#10;&#10;Age 57.&#10;South Australia. 2.7%.   &#10;Rest of Australia. 2.60%. &#10;AFRS 2021. -.&#10;&#10;&#10;Age 58.&#10;South Australia. 2.8%.   &#10;Rest of Australia. 2.70%. &#10;AFRS 2021. -.&#10;&#10;&#10;Age 59.&#10;South Australia. 2.8%.   &#10;Rest of Australia. 2.80%. &#10;AFRS 2021. 2.80%.&#10;&#10;&#10;Age 60.&#10;South Australia. 2.9%.   &#10;Rest of Australia. 0.00%. &#10;AFRS 2021. 2.80%.&#10;&#10;&#10;Age 61.&#10;South Australia. 2.9%.   &#10;Rest of Australia. 0.00%. &#10;AFRS 2021. 2.90%.&#10;&#10;&#10;Age 62.&#10;South Australia. 3.0%.   &#10;Rest of Australia. 0.00%. &#10;AFRS 2021. 3.00%.&#10;&#10;&#10;Age 63.&#10;South Australia. 3.1%.   &#10;Rest of Australia. 0.00%. &#10;AFRS 2021. 3.00%.&#10;&#10;&#10;Age 64.&#10;South Australia. 3.1%.   &#10;Rest of Australia. 0.00%. &#10;AFRS 2021. 3.10%.&#10;&#10;&#10;Age 65.&#10;South Australia. 3.2%.  &#10;&#10;Rest of Australia. 0.00%. &#10;AFRS 2021. 3.20%.&#10;&#10;&#10;Age 66.&#10;South Australia. 3.2%.   &#10;Rest of Australia. 0.00%. &#10;AFRS 2021. 3.20%.&#10;&#10;&#10;Age 67.&#10;South Australia. 3.3%.   &#10;Rest of Australia. 0.00%. &#10;AFRS 2021. 3.30%.&#10;&#10;&#10;Age 68.&#10;South Australia. 3.4%.   &#10;Rest of Australia. 0.00%. &#10;AFRS 2021. 3.40%.&#10;&#10;&#10;Age 69.&#10;South Australia. 3.4%.   &#10;Rest of Australia. 0.00%. &#10;AFRS 2021. 3.40%.&#10;&#10;&#10;Age 70.&#10;South Australia. 3.5%.  &#10;Rest of Australia. 0.00%. &#10;AFRS 2021. 3.50%.&#10;&#10;&#10;Age 71.&#10;South Australia. 3.5%.   &#10;Rest of Australia. 0.00%. &#10;AFRS 2021. 3.60%.&#10;&#10;&#10;Age 72.&#10;South Australia. 3.6%.   &#10;Rest of Australia. 0.00%. &#10;AFRS 2021. 3.60%.&#10;&#10;&#10;Age 73.&#10;South Australia. 3.8%.   &#10;Rest of Australia. 0.00%. &#10;AFRS 2021. 3.70%.&#10;&#10;&#10;Age 74.&#10;South Australia. 4.0%.  &#10;Rest of Australia. 0.00%. &#10;AFRS 2021. 3.80%.&#10;&#10;&#10;Age 75.&#10;South Australia. 4.1%.   &#10;Rest of Australia. 0.00%. &#10;AFRS 2021. 3.80%.&#10;&#10;&#10;Age 76.&#10;South Australia. 4.1%.   &#10;Rest of Australia. 0.00%. &#10;AFRS 2021. 3.90%.&#10;&#10;&#10;Age 77.&#10;South Australia. 4.2%.   &#10;Rest of Australia. 0.00%. &#10;AFRS 2021. 4.00%.&#10;&#10;&#10;Age 78.&#10;South Australia. 4.3%.   &#10;Rest of Australia. 0.00%. &#10;AFRS 2021. 4.00%.&#10;&#10;&#10;Age 79.&#10;South Australia. 4.4%.   &#10;Rest of Australia. 0.00%. &#10;AFRS 2021. 4.10%.&#10;&#10;&#10;Age 80.&#10;South Australia. 4.5%.   &#10;Rest of Australia. 0.00%. &#10;AFRS 2021. 4.20%.&#10;&#10;&#10;Age 81.&#10;South Australia. 4.7%.   &#10;Rest of Australia. 0.00%. &#10;AFRS 2021. 4.20%.&#10;&#10;&#10;Age 82.&#10;South Australia. 4.8%.   &#10;Rest of Australia. 0.00%. &#10;AFRS 2021. 4.30%.&#10;&#10;&#10;Age 83.&#10;South Australia. 4.9%.   &#10;Rest of Australia. 0.00%. &#10;AFRS 2021. 4.40%.&#10;&#10;&#10;Age 84.&#10;South Australia. 5.1%.   &#10;Rest of Australia. 0.00%. &#10;AFRS 2021. 4.40%.&#10;&#10;&#10;Age 85.&#10;South Australia. 5.2%.   &#10;Rest of Australia. 0.00%. &#10;AFRS 2021. 4.50%.&#10;&#10;&#10;Age 86.&#10;South Australia. 5.3%.   &#10;Rest of Australia. 0.00%. &#10;AFRS 2021. 4.60%.&#10;&#10;&#10;Age 87.&#10;South Australia. 5.3%.   &#10;Rest of Australia. 0.00%. &#10;AFRS 2021. 4.60%.&#10;&#10;&#10;Age 88.&#10;South Australia. 5.4%.   &#10;Rest of Australia. 0.00%. &#10;AFRS 2021. 4.70%.&#10;&#10;&#10;Age 89.&#10;South Australia. 5.5%.   &#10;Rest of Australia. 0.00%. &#10;AFRS 2021. 4.70%.&#10;&#10;&#10;Age 90.&#10;South Australia. 5.6%.   &#10;Rest of Australia. 0.00%. &#10;AFRS 2021. 4.80%.&#10;&#10;&#10;Age 91.&#10;South Australia. 5.7%.   &#10;Rest of Australia. 0.00%. &#10;AFRS 2021. 4.90%.&#10;&#10;&#10;Age 92.&#10;South Australia. 5.8%.   &#10;Rest of Australia. 0.00%. &#10;AFRS 2021. 4.90%.&#10;&#10;&#10;Age 93.&#10;South Australia. 5.9%.   &#10;Rest of Australia. 0.00%. &#10;AFRS 2021. 5.00%.&#10;&#10;&#10;Age 94.&#10;South Australia. 5.9%.   &#10;Rest of Australia. 0.00%. &#10;AFRS 2021. 5.10%.&#10;&#10;&#10;Age 95.&#10;South Australia. 6.0%.   &#10;Rest of Australia. 0.00%. &#10;AFRS 2021.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Barwon and Hunter (all ages)&#10;&#10;Age 0. &#10;Barwon. 0.00%.  &#10;Hunter. 0.00%. &#10;Rest of Australia. 0.00%. &#10;AFRS 2021. -.&#10;&#10;Age 1.&#10;Barwon. 0.00%.  &#10;Hunter. 0.00%. &#10;Rest of Australia. 0.00%. &#10;AFRS 2021. -.&#10;&#10;Age 2.&#10;Barwon. 0.00%.  &#10;Hunter. 0.00%. &#10;Rest of Australia. 0.00%. &#10;AFRS 2021. -.&#10;&#10;&#10;Age 3.&#10;Barwon. 0.00%.  &#10;Hunter. 0.00%. &#10;Rest of Australia. 0.00%. &#10;AFRS 2021. -.&#10;&#10;&#10;Age 4.&#10;Barwon. 0.00%.  &#10;Hunter. 0.00%. &#10;Rest of Australia. 0.00%. &#10;AFRS 2021. -.&#10;&#10;&#10;Age 5.&#10;Barwon. 0.00%.  &#10;Hunter. 0.00%. &#10;Rest of Australia. 0.00%. &#10;AFRS 2021. -.&#10;&#10;&#10;Age 6.&#10;Barwon. 0.00%.  &#10;Hunter. 0.00%. &#10;Rest of Australia. 0.00%. &#10;AFRS 2021. -.&#10;&#10;&#10;Age 7.&#10;Barwon. 0.10%.  &#10;Hunter. 0.10%. &#10;Rest of Australia. 0.00%. &#10;AFRS 2021. -.&#10;&#10;&#10;Age 8.&#10;Barwon. 0.10%.  &#10;Hunter. 0.10%. &#10;Rest of Australia. 0.00%. &#10;AFRS 2021. -.&#10;&#10;&#10;Age 9.&#10;Barwon. 0.10%.  &#10;Hunter. 0.10%. &#10;Rest of Australia. 0.00%. &#10;AFRS 2021. -.&#10;&#10;&#10;Age 10.&#10;Barwon. 0.10%.  &#10;Hunter. 0.10%. &#10;Rest of Australia. 0.00%. &#10;AFRS 2021. -.&#10;&#10;&#10;Age 11.&#10;Barwon. 0.10%.  &#10;Hunter. 0.10%. &#10;Rest of Australia. 0.10%. &#10;AFRS 2021. -.&#10;&#10;&#10;Age 12.&#10;Barwon. 0.20%.  &#10;Hunter. 0.10%. &#10;Rest of Australia. 0.10%. &#10;AFRS 2021. -.&#10;&#10;&#10;Age 13.&#10;Barwon. 0.20%.  &#10;Hunter. 0.10%. &#10;Rest of Australia. 0.10%. &#10;AFRS 2021. -.&#10;&#10;&#10;Age 14.&#10;Barwon. 0.20%.  &#10;Hunter. 0.20%. &#10;Rest of Australia. 0.10%. &#10;AFRS 2021. -.&#10;&#10;&#10;Age 15.&#10;Barwon. 0.20%.  &#10;Hunter. 0.20%. &#10;Rest of Australia. 0.10%. &#10;AFRS 2021. -.&#10;&#10;&#10;Age 16.&#10;Barwon. 0.20%.  &#10;Hunter. 0.20%. &#10;Rest of Australia. 0.10%. &#10;AFRS 2021. -.&#10;&#10;&#10;Age 17.&#10;Barwon. 0.20%.  &#10;Hunter. 0.20%. &#10;Rest of Australia. 0.10%. &#10;AFRS 2021. -.&#10;&#10;&#10;Age 18.&#10;Barwon. 0.30%.  &#10;Hunter. 0.20%. &#10;Rest of Australia. 0.10%. &#10;AFRS 2021. -.&#10;&#10;&#10;Age 19.&#10;Barwon. 0.30%.  &#10;Hunter. 0.20%. &#10;Rest of Australia. 0.10%. &#10;AFRS 2021. -.&#10;&#10;Age 20.&#10;Barwon. 0.30%.  &#10;Hunter. 0.20%. &#10;Rest of Australia. 0.10%. &#10;AFRS 2021. -.&#10;&#10;&#10;Age 21.&#10;Barwon. 0.30%.  &#10;Hunter. 0.30%. &#10;Rest of Australia. 0.10%. &#10;AFRS 2021. -.&#10;&#10;&#10;Age 22.&#10;Barwon. 0.30%.  &#10;Hunter. 0.30%. &#10;Rest of Australia. 0.10%. &#10;AFRS 2021. -.&#10;&#10;&#10;Age 23.&#10;Barwon. 0.40%.  &#10;Hunter. 0.30%. &#10;Rest of Australia. 0.10%. &#10;AFRS 2021. -.&#10;&#10;&#10;Age 24.&#10;Barwon. 0.40%.  &#10;Hunter. 0.30%. &#10;Rest of Australia. 0.20%. &#10;AFRS 2021. -.&#10;&#10;&#10;Age 25.&#10;Barwon. 0.40%.  &#10;Hunter. 0.40%. &#10;Rest of Australia. 0.20%. &#10;AFRS 2021. -.&#10;&#10;&#10;Age 26.&#10;Barwon. 0.40%.  &#10;Hunter. 0.40%. &#10;Rest of Australia. 0.20%. &#10;AFRS 2021. -.&#10;&#10;&#10;Age 27.&#10;Barwon. 0.40%.  &#10;Hunter. 0.40%. &#10;Rest of Australia. 0.20%. &#10;AFRS 2021. -.&#10;&#10;&#10;Age 28.&#10;Barwon. 0.50%.  &#10;Hunter. 0.40%. &#10;Rest of Australia. 0.20%. &#10;AFRS 2021. -.&#10;&#10;&#10;Age 29.&#10;Barwon. 0.50%.  &#10;Hunter. 0.50%. &#10;Rest of Australia. 0.20%. &#10;AFRS 2021. -.&#10;&#10;&#10;Age 30.&#10;Barwon. 0.50%.  &#10;Hunter. 0.50%. &#10;Rest of Australia. 0.20%. &#10;AFRS 2021. -.&#10;&#10;&#10;Age 31.&#10;Barwon. 0.50%.  &#10;Hunter. 0.50%. &#10;Rest of Australia. 0.30%. &#10;AFRS 2021. -.&#10;&#10;&#10;Age 32.&#10;Barwon. 0.50%.  &#10;Hunter. 0.50%. &#10;Rest of Australia. 0.30%. &#10;AFRS 2021. -.&#10;&#10;&#10;Age 33.&#10;Barwon. 0.50%.  &#10;Hunter. 0.60%. &#10;Rest of Australia. 0.30%. &#10;AFRS 2021. -.&#10;&#10;&#10;Age 34.&#10;Barwon. 0.50%.  &#10;Hunter. 0.60%. &#10;Rest of Australia. 0.30%. &#10;AFRS 2021. -.&#10;&#10;&#10;Age 35.&#10;Barwon. 0.60%.  &#10;Hunter. 0.70%. &#10;Rest of Australia. 0.30%. &#10;AFRS 2021. -.&#10;&#10;&#10;Age 36.&#10;Barwon. 0.60%.  &#10;Hunter. 0.70%. &#10;Rest of Australia. 0.30%. &#10;AFRS 2021. -.&#10;&#10;&#10;Age 37.&#10;Barwon. 0.60%.  &#10;Hunter. 0.80%. &#10;Rest of Australia. 0.40%. &#10;AFRS 2021. -.&#10;&#10;&#10;Age 38.&#10;Barwon. 0.60%.  &#10;Hunter. 0.80%. &#10;Rest of Australia. 0.40%. &#10;AFRS 2021. -.&#10;&#10;&#10;Age 39.&#10;Barwon. 0.60%.  &#10;Hunter. 0.80%. &#10;Rest of Australia. 0.40%. &#10;AFRS 2021. -.&#10;&#10;&#10;Age 40.&#10;Barwon. 0.70%.  &#10;Hunter. 0.90%. &#10;Rest of Australia. 0.40%. &#10;AFRS 2021. -.&#10;&#10;&#10;Age 41.&#10;Barwon. 0.80%.  &#10;Hunter. 0.90%. &#10;Rest of Australia. 0.50%. &#10;AFRS 2021. -.&#10;&#10;&#10;Age 42.&#10;Barwon. 0.80%.  &#10;Hunter. 1.00%. &#10;Rest of Australia. 0.50%. &#10;AFRS 2021. -.&#10;&#10;&#10;Age 43.&#10;Barwon. 0.80%.  &#10;Hunter. 1.00%. &#10;Rest of Australia. 0.50%. &#10;AFRS 2021. -.&#10;&#10;&#10;Age 44.&#10;Barwon. 0.80%.  &#10;Hunter. 1.00%. &#10;Rest of Australia. 0.50%. &#10;AFRS 2021. -.&#10;&#10;&#10;Age 45.&#10;Barwon. 0.80%.  &#10;Hunter. 1.00%. &#10;Rest of Australia. 0.60%. &#10;AFRS 2021. -.&#10;&#10;&#10;Age 46.&#10;Barwon. 0.80%.  &#10;Hunter. 1.00%. &#10;Rest of Australia. 0.60%. &#10;AFRS 2021. -.&#10;&#10;&#10;Age 47.&#10;Barwon. 0.90%.  &#10;Hunter. 1.00%. &#10;Rest of Australia. 0.60%. &#10;AFRS 2021. -.&#10;&#10;&#10;Age 48.&#10;Barwon. 0.90%.  &#10;Hunter. 1.10%. &#10;Rest of Australia. 0.60%. &#10;AFRS 2021. -.&#10;&#10;&#10;Age 49.&#10;Barwon. 0.90%.  &#10;Hunter. 1.10%. &#10;Rest of Australia. 0.70%. &#10;AFRS 2021. -.&#10;&#10;&#10;Age 50.&#10;Barwon. 0.90%.  &#10;Hunter. 1.10%. &#10;Rest of Australia. 0.70%. &#10;AFRS 2021. -.&#10;&#10;&#10;Age 51.&#10;Barwon. 0.90%.  &#10;Hunter. 1.10%. &#10;Rest of Australia. 0.70%. &#10;AFRS 2021. -.&#10;&#10;&#10;Age 52.&#10;Barwon. 0.90%.  &#10;Hunter. 1.10%. &#10;Rest of Australia. 0.70%. &#10;AFRS 2021. -.&#10;&#10;&#10;Age 53.&#10;Barwon. 0.90%.  &#10;Hunter. 1.10%. &#10;Rest of Australia. 0.80%. &#10;AFRS 2021. -.&#10;&#10;&#10;Age 54.&#10;Barwon. 1.00%.  &#10;Hunter. 1.10%. &#10;Rest of Australia. 0.80%. &#10;AFRS 2021. -.&#10;&#10;&#10;Age 55.&#10;Barwon. 1.00%.  &#10;Hunter. 1.10%. &#10;Rest of Australia. 0.80%. &#10;AFRS 2021. -.&#10;&#10;&#10;Age 56.&#10;Barwon. 1.00%.  &#10;Hunter. 1.10%. &#10;Rest of Australia. 0.80%. &#10;AFRS 2021. -.&#10;&#10;&#10;Age 57.&#10;Barwon. 1.00%.  &#10;Hunter. 1.10%. &#10;Rest of Australia. 0.90%. &#10;AFRS 2021. -.&#10;&#10;&#10;Age 58.&#10;Barwon. 1.00%.  &#10;Hunter. 1.20%. &#10;Rest of Australia. 0.90%. &#10;AFRS 2021. -.&#10;&#10;&#10;Age 59.&#10;Barwon. 1.00%.  &#10;Hunter. 1.20%. &#10;Rest of Australia. 0.90%. &#10;AFRS 2021. 0.90%.&#10;&#10;&#10;Age 60.&#10;Barwon. 1.00%.  &#10;Hunter. 1.30%. &#10;Rest of Australia. 0.00%. &#10;AFRS 2021. 0.90%.&#10;&#10;&#10;Age 61.&#10;Barwon. 1.00%.  &#10;Hunter. 1.30%. &#10;Rest of Australia. 0.00%. &#10;AFRS 2021. 0.90%.&#10;&#10;&#10;Age 62.&#10;Barwon. 1.10%.  &#10;Hunter. 1.30%. &#10;Rest of Australia. 0.00%. &#10;AFRS 2021. 0.90%.&#10;&#10;&#10;Age 63.&#10;Barwon. 1.10%.  &#10;Hunter. 1.30%. &#10;Rest of Australia. 0.00%. &#10;AFRS 2021. 1.00%.&#10;&#10;&#10;Age 64.&#10;Barwon. 1.10%.  &#10;Hunter. 1.30%. &#10;Rest of Australia. 0.00%. &#10;AFRS 2021. 1.00%.&#10;&#10;&#10;Age 65.&#10;Barwon. 1.10%.  &#10;Hunter. 1.30%. &#10;Rest of Australia. 0.00%. &#10;AFRS 2021. 1.00%.&#10;&#10;&#10;Age 66.&#10;Barwon. 1.20%.  &#10;Hunter. 1.30%. &#10;Rest of Australia. 0.00%. &#10;AFRS 2021. 1.00%.&#10;&#10;&#10;Age 67.&#10;Barwon. 1.20%.  &#10;Hunter. 1.40%. &#10;Rest of Australia. 0.00%. &#10;AFRS 2021. 1.00%.&#10;&#10;&#10;Age 68.&#10;Barwon. 1.20%.  &#10;Hunter. 1.40%. &#10;Rest of Australia. 0.00%. &#10;AFRS 2021. 1.10%.&#10;&#10;&#10;Age 69.&#10;Barwon. 1.20%.  &#10;Hunter. 1.40%. &#10;Rest of Australia. 0.00%. &#10;AFRS 2021. 1.10%.&#10;&#10;&#10;Age 70.&#10;Barwon. 1.20%.  &#10;Hunter. 1.40%. &#10;Rest of Australia. 0.00%. &#10;AFRS 2021. 1.10%.&#10;&#10;&#10;Age 71.&#10;Barwon. 1.30%.  &#10;Hunter. 1.40%. &#10;Rest of Australia. 0.00%. &#10;AFRS 2021. 1.10%.&#10;&#10;&#10;Age 72.&#10;Barwon. 1.30%.  &#10;Hunter. 1.40%. &#10;Rest of Australia. 0.00%. &#10;AFRS 2021. 1.10%.&#10;&#10;&#10;Age 73.&#10;Barwon. 1.30%.  &#10;Hunter. 1.50%. &#10;Rest of Australia. 0.00%. &#10;AFRS 2021. 1.10%.&#10;&#10;&#10;Age 74.&#10;Barwon. 1.30%.  &#10;Hunter. 1.50%. &#10;Rest of Australia. 0.00%. &#10;AFRS 2021. 1.20%.&#10;&#10;&#10;Age 75.&#10;Barwon. 1.40%.  &#10;Hunter. 1.50%. &#10;Rest of Australia. 0.00%. &#10;AFRS 2021. 1.20%.&#10;&#10;&#10;Age 76.&#10;Barwon. 1.40%.  &#10;Hunter. 1.60%. &#10;Rest of Australia. 0.00%. &#10;AFRS 2021. 1.20%.&#10;&#10;&#10;Age 77.&#10;Barwon. 1.40%.  &#10;Hunter. 1.60%. &#10;Rest of Australia. 0.00%. &#10;AFRS 2021. 1.20%.&#10;&#10;&#10;Age 78.&#10;Barwon. 1.50%.  &#10;Hunter. 1.60%. &#10;Rest of Australia. 0.00%. &#10;AFRS 2021. 1.20%.&#10;&#10;&#10;Age 79.&#10;Barwon. 1.50%.  &#10;Hunter. 1.70%. &#10;Rest of Australia. 0.00%. &#10;AFRS 2021. 1.20%.&#10;&#10;&#10;Age 80.&#10;Barwon. 1.50%.  &#10;Hunter. 1.70%. &#10;Rest of Australia. 0.00%. &#10;AFRS 2021. 1.30%.&#10;&#10;&#10;Age 81.&#10;Barwon. 1.50%.  &#10;Hunter. 1.70%. &#10;Rest of Australia. 0.00%. &#10;AFRS 2021. 1.30%.&#10;&#10;&#10;Age 82.&#10;Barwon. 1.50%.  &#10;Hunter. 1.70%. &#10;Rest of Australia. 0.00%. &#10;AFRS 2021. 1.30%.&#10;&#10;&#10;Age 83.&#10;Barwon. 1.60%.  &#10;Hunter. 1.80%. &#10;Rest of Australia. 0.00%. &#10;AFRS 2021. 1.30%.&#10;&#10;&#10;Age 84.&#10;Barwon. 1.60%.  &#10;Hunter. 1.80%. &#10;Rest of Australia. 0.00%. &#10;AFRS 2021. 1.30%.&#10;&#10;&#10;Age 85.&#10;Barwon. 1.60%.  &#10;Hunter. 1.80%. &#10;Rest of Australia. 0.00%. &#10;AFRS 2021. 1.40%.&#10;&#10;&#10;Age 86.&#10;Barwon. 1.60%.  &#10;Hunter. 1.90%. &#10;Rest of Australia. 0.00%. &#10;AFRS 2021. 1.40%.&#10;&#10;&#10;Age 87.&#10;Barwon. 1.70%.  &#10;Hunter. 1.90%. &#10;Rest of Australia. 0.00%. &#10;AFRS 2021. 1.40%.&#10;&#10;&#10;Age 88.&#10;Barwon. 1.70%.  &#10;Hunter. 1.90%. &#10;Rest of Australia. 0.00%. &#10;AFRS 2021. 1.40%.&#10;&#10;&#10;Age 89.&#10;Barwon. 1.70%.  &#10;Hunter. 1.90%. &#10;Rest of Australia. 0.00%. &#10;AFRS 2021. 1.40%.&#10;&#10;&#10;Age 90.&#10;Barwon. 1.70%.  &#10;Hunter. 2.00%. &#10;Rest of Australia. 0.00%. &#10;AFRS 2021. 1.40%.&#10;&#10;&#10;Age 91.&#10;Barwon. 1.80%.  &#10;Hunter. 2.00%. &#10;Rest of Australia. 0.00%. &#10;AFRS 2021. 1.50%.&#10;&#10;&#10;Age 92.&#10;Barwon. 1.80%.  &#10;Hunter. 2.00%. &#10;Rest of Australia. 0.00%. &#10;AFRS 2021. 1.50%.&#10;&#10;&#10;Age 93.&#10;Barwon. 1.80%.  &#10;Hunter. 2.00%. &#10;Rest of Australia. 0.00%. &#10;AFRS 2021. 1.50%.&#10;&#10;&#10;Age 94.&#10;Barwon. 1.80%.  &#10;Hunter. 2.10%. &#10;Rest of Australia. 0.00%. &#10;AFRS 2021. 1.50%.&#10;&#10;&#10;Age 95.&#10;Barwon. 1.80%.  &#10;Hunter. 2.10%. &#10;Rest of Australia. 0.00%. &#10;AFRS 2021. 1.50%.&#10;&#10;&#10;Ages 15-24 (TAS trial)&#10;&#10;Age 0. &#10;Tasmania. 0.00%.   &#10;Rest of Australia. 0.00%. &#10;AFRS 2021. -.&#10;&#10;Age 1.&#10;Tasmania. 0.00%.   &#10;Rest of Australia. 0.00%. &#10;AFRS 2021. -.&#10;&#10;Age 2.&#10;Tasmania. 0.00%.   &#10;Rest of Australia. 0.00%. &#10;AFRS 2021. -.&#10;&#10;&#10;Age 3.&#10;Tasmania. 0.00%.   &#10;Rest of Australia. 0.00%. &#10;AFRS 2021. -.&#10;&#10;&#10;Age 4.&#10;Tasmania. 0.00%.   &#10;Rest of Australia. 0.00%. &#10;AFRS 2021. -.&#10;&#10;&#10;Age 5.&#10;Tasmania. 0.10%.   &#10;Rest of Australia. 0.00%. &#10;AFRS 2021. -.&#10;&#10;&#10;Age 6.&#10;Tasmania. 0.10%.   &#10;Rest of Australia. 0.00%. &#10;AFRS 2021. -.&#10;&#10;&#10;Age 7.&#10;Tasmania. 0.10%.   &#10;Rest of Australia. 0.00%. &#10;AFRS 2021. -.&#10;&#10;&#10;Age 8.&#10;Tasmania. 0.20%.   &#10;Rest of Australia. 0.00%. &#10;AFRS 2021. -.&#10;&#10;&#10;Age 9.&#10;Tasmania. 0.20%.   &#10;Rest of Australia. 0.00%. &#10;AFRS 2021. -.&#10;&#10;&#10;Age 10.&#10;Tasmania. 0.20%.   &#10;Rest of Australia. 0.10%. &#10;AFRS 2021. -.&#10;&#10;&#10;Age 11.&#10;Tasmania. 0.30%.   &#10;Rest of Australia. 0.10%. &#10;AFRS 2021. -.&#10;&#10;&#10;Age 12.&#10;Tasmania. 0.30%.   &#10;Rest of Australia. 0.10%. &#10;AFRS 2021. -.&#10;&#10;&#10;Age 13.&#10;Tasmania. 0.30%.   &#10;Rest of Australia. 0.10%. &#10;AFRS 2021. -.&#10;&#10;&#10;Age 14.&#10;Tasmania. 0.30%.   &#10;Rest of Australia. 0.10%. &#10;AFRS 2021. -.&#10;&#10;&#10;Age 15.&#10;Tasmania. 0.30%.   &#10;Rest of Australia. 0.10%. &#10;AFRS 2021. -.&#10;&#10;&#10;Age 16.&#10;Tasmania. 0.30%.   &#10;Rest of Australia. 0.10%. &#10;AFRS 2021. -.&#10;&#10;&#10;Age 17.&#10;Tasmania. 0.30%.   &#10;Rest of Australia. 0.10%. &#10;AFRS 2021. -.&#10;&#10;&#10;Age 18.&#10;Tasmania. 0.40%.   &#10;Rest of Australia. 0.10%. &#10;AFRS 2021. -.&#10;&#10;&#10;Age 19.&#10;Tasmania. 0.40%.   &#10;Rest of Australia. 0.10%. &#10;AFRS 2021. -.&#10;&#10;Age 20.&#10;Tasmania. 0.40%.   &#10;Rest of Australia. 0.10%. &#10;AFRS 2021. -.&#10;&#10;&#10;Age 21.&#10;Tasmania. 0.40%.   &#10;Rest of Australia. 0.10%. &#10;AFRS 2021. -.&#10;&#10;&#10;Age 22.&#10;Tasmania. 0.40%.   &#10;Rest of Australia. 0.10%. &#10;AFRS 2021. -.&#10;&#10;&#10;Age 23.&#10;Tasmania. 0.40%.   &#10;Rest of Australia. 0.20%. &#10;AFRS 2021. -.&#10;&#10;&#10;Age 24.&#10;Tasmania. 0.40%.   &#10;Rest of Australia. 0.20%. &#10;AFRS 2021. -.&#10;&#10;&#10;Age 25.&#10;Tasmania. 0.40%.   &#10;Rest of Australia. 0.20%. &#10;AFRS 2021. -.&#10;&#10;&#10;Age 26.&#10;Tasmania. 0.50%.   &#10;Rest of Australia. 0.20%. &#10;AFRS 2021. -.&#10;&#10;&#10;Age 27.&#10;Tasmania. 0.50%.   &#10;Rest of Australia. 0.20%. &#10;AFRS 2021. -.&#10;&#10;&#10;Age 28.&#10;Tasmania. 0.50%.   &#10;Rest of Australia. 0.20%. &#10;AFRS 2021. -.&#10;&#10;&#10;Age 29.&#10;Tasmania. 0.50%.   &#10;Rest of Australia. 0.20%. &#10;AFRS 2021. -.&#10;&#10;&#10;Age 30.&#10;Tasmania. 0.60%.   &#10;Rest of Australia. 0.20%. &#10;AFRS 2021. -.&#10;&#10;&#10;Age 31.&#10;Tasmania. 0.60%.   &#10;Rest of Australia. 0.30%. &#10;AFRS 2021. -.&#10;&#10;&#10;Age 32.&#10;Tasmania. 0.60%.   &#10;Rest of Australia. 0.30%. &#10;AFRS 2021. -.&#10;&#10;&#10;Age 33.&#10;Tasmania. 0.60%.   &#10;Rest of Australia. 0.30%. &#10;AFRS 2021. -.&#10;&#10;&#10;Age 34.&#10;Tasmania. 0.60%.   &#10;Rest of Australia. 0.30%. &#10;AFRS 2021. -.&#10;&#10;&#10;Age 35.&#10;Tasmania. 0.60%.   &#10;Rest of Australia. 0.30%. &#10;AFRS 2021. -.&#10;&#10;&#10;Age 36.&#10;Tasmania. 0.60%.   &#10;Rest of Australia. 0.30%. &#10;AFRS 2021. -.&#10;&#10;&#10;Age 37.&#10;Tasmania. 0.70%.   &#10;Rest of Australia. 0.30%. &#10;AFRS 2021. -.&#10;&#10;&#10;Age 38.&#10;Tasmania. 0.80%.   &#10;Rest of Australia. 0.40%. &#10;AFRS 2021. -.&#10;&#10;&#10;Age 39.&#10;Tasmania. 0.90%.   &#10;Rest of Australia. 0.40%. &#10;AFRS 2021. -.&#10;&#10;&#10;Age 40.&#10;Tasmania. 0.90%.   &#10;Rest of Australia. 0.40%. &#10;AFRS 2021. -.&#10;&#10;&#10;Age 41.&#10;Tasmania. 0.90%.   &#10;Rest of Australia. 0.40%. &#10;AFRS 2021. -.&#10;&#10;&#10;Age 42.&#10;Tasmania. 1.00%.   &#10;Rest of Australia. 0.50%. &#10;AFRS 2021. -.&#10;&#10;&#10;Age 43.&#10;Tasmania. 1.00%.   &#10;Rest of Australia. 0.50%. &#10;AFRS 2021. -.&#10;&#10;&#10;Age 44.&#10;Tasmania. 1.00%.   &#10;Rest of Australia. 0.50%. &#10;AFRS 2021. -.&#10;&#10;&#10;Age 45.&#10;Tasmania. 1.00%.   &#10;Rest of Australia. 0.50%. &#10;AFRS 2021. -.&#10;&#10;&#10;Age 46.&#10;Tasmania. 1.00%.   &#10;Rest of Australia. 0.50%. &#10;AFRS 2021. -.&#10;&#10;&#10;Age 47.&#10;Tasmania. 1.10%.   &#10;Rest of Australia. 0.60%. &#10;AFRS 2021. -.&#10;&#10;&#10;Age 48.&#10;Tasmania. 1.10%.   &#10;Rest of Australia. 0.60%. &#10;AFRS 2021. -.&#10;&#10;&#10;Age 49.&#10;Tasmania. 1.10%.   &#10;Rest of Australia. 0.60%. &#10;AFRS 2021. -.&#10;&#10;&#10;Age 50.&#10;Tasmania. 1.10%.   &#10;Rest of Australia. 0.60%. &#10;AFRS 2021. -.&#10;&#10;&#10;Age 51.&#10;Tasmania. 1.10%.   &#10;Rest of Australia. 0.60%. &#10;AFRS 2021. -.&#10;&#10;&#10;Age 52.&#10;Tasmania. 1.20%.   &#10;Rest of Australia. 0.70%. &#10;AFRS 2021. -.&#10;&#10;&#10;Age 53.&#10;Tasmania. 1.20%.   &#10;Rest of Australia. 0.70%. &#10;AFRS 2021. -.&#10;&#10;&#10;Age 54.&#10;Tasmania. 1.20%.   &#10;Rest of Australia. 0.70%. &#10;AFRS 2021. -.&#10;&#10;&#10;Age 55.&#10;Tasmania. 1.20%.   &#10;Rest of Australia. 0.70%. &#10;AFRS 2021. -.&#10;&#10;&#10;Age 56.&#10;Tasmania. 1.20%.   &#10;Rest of Australia. 0.70%. &#10;AFRS 2021. -.&#10;&#10;&#10;Age 57.&#10;Tasmania. 1.20%.   &#10;Rest of Australia. 0.70%. &#10;AFRS 2021. -.&#10;&#10;&#10;Age 58.&#10;Tasmania. 1.30%.   &#10;Rest of Australia. 0.80%. &#10;AFRS 2021. -.&#10;&#10;&#10;Age 59.&#10;Tasmania. 1.30%.   &#10;Rest of Australia. 0.80%. &#10;AFRS 2021. 0.80%.&#10;&#10;&#10;Age 60.&#10;Tasmania. 1.30%.   &#10;Rest of Australia. 0.00%. &#10;AFRS 2021. 0.80%.&#10;&#10;&#10;Age 61.&#10;Tasmania. 1.30%.   &#10;Rest of Australia. 0.00%. &#10;AFRS 2021. 0.80%.&#10;&#10;&#10;Age 62.&#10;Tasmania. 1.30%.   &#10;Rest of Australia. 0.00%. &#10;AFRS 2021. 0.80%.&#10;&#10;&#10;Age 63.&#10;Tasmania. 1.30%.   &#10;Rest of Australia. 0.00%. &#10;AFRS 2021. 0.80%.&#10;&#10;&#10;Age 64.&#10;Tasmania. 1.30%.   &#10;Rest of Australia. 0.00%. &#10;AFRS 2021. 0.80%.&#10;&#10;&#10;Age 65.&#10;Tasmania. 1.30%.  &#10;&#10;Rest of Australia. 0.00%. &#10;AFRS 2021. 0.80%.&#10;&#10;&#10;Age 66.&#10;Tasmania. 1.30%.   &#10;Rest of Australia. 0.00%. &#10;AFRS 2021. 0.80%.&#10;&#10;&#10;Age 67.&#10;Tasmania. 1.30%.   &#10;Rest of Australia. 0.00%. &#10;AFRS 2021. 0.80%.&#10;&#10;&#10;Age 68.&#10;Tasmania. 1.30%.   &#10;Rest of Australia. 0.00%. &#10;AFRS 2021. 0.90%.&#10;&#10;&#10;Age 69.&#10;Tasmania. 1.30%.   &#10;Rest of Australia. 0.00%. &#10;AFRS 2021. 0.90%.&#10;&#10;&#10;Age 70.&#10;Tasmania. 1.40%.  &#10;Rest of Australia. 0.00%. &#10;AFRS 2021. 0.90%.&#10;&#10;&#10;Age 71.&#10;Tasmania. 1.40%.   &#10;Rest of Australia. 0.00%. &#10;AFRS 2021. 0.90%.&#10;&#10;&#10;Age 72.&#10;Tasmania. 1.40%.   &#10;Rest of Australia. 0.00%. &#10;AFRS 2021. 0.90%.&#10;&#10;&#10;Age 73.&#10;Tasmania. 1.40%.   &#10;Rest of Australia. 0.00%. &#10;AFRS 2021. 0.90%.&#10;&#10;&#10;Age 74.&#10;Tasmania. 1.40%.  &#10;Rest of Australia. 0.00%. &#10;AFRS 2021. 0.90%.&#10;&#10;&#10;Age 75.&#10;Tasmania. 1.40%.   &#10;Rest of Australia. 0.00%. &#10;AFRS 2021. 0.90%.&#10;&#10;&#10;Age 76.&#10;Tasmania. 1.40%.   &#10;Rest of Australia. 0.00%. &#10;AFRS 2021. 0.90%.&#10;&#10;&#10;Age 77.&#10;Tasmania. 1.50%.   &#10;Rest of Australia. 0.00%. &#10;AFRS 2021. 0.90%.&#10;&#10;&#10;Age 78.&#10;Tasmania. 1.50%.   &#10;Rest of Australia. 0.00%. &#10;AFRS 2021. 0.90%.&#10;&#10;&#10;Age 79.&#10;Tasmania. 1.50%.   &#10;Rest of Australia. 0.00%. &#10;AFRS 2021. 0.90%.&#10;&#10;&#10;Age 80.&#10;Tasmania. 1.50%.   &#10;Rest of Australia. 0.00%. &#10;AFRS 2021. 1.00%.&#10;&#10;&#10;Age 81.&#10;Tasmania. 1.60%.   &#10;Rest of Australia. 0.00%. &#10;AFRS 2021. 1.00%.&#10;&#10;&#10;Age 82.&#10;Tasmania. 1.60%.   &#10;Rest of Australia. 0.00%. &#10;AFRS 2021. 1.00%.&#10;&#10;&#10;Age 83.&#10;Tasmania. 1.60%.   &#10;Rest of Australia. 0.00%. &#10;AFRS 2021. 1.00%.&#10;&#10;&#10;Age 84.&#10;Tasmania. 1.60%.   &#10;Rest of Australia. 0.00%. &#10;AFRS 2021. 1.00%.&#10;&#10;&#10;Age 85.&#10;Tasmania. 1.60%.   &#10;Rest of Australia. 0.00%. &#10;AFRS 2021. 1.00%.&#10;&#10;&#10;Age 86.&#10;Tasmania. 1.70%.   &#10;Rest of Australia. 0.00%. &#10;AFRS 2021. 1.00%.&#10;&#10;&#10;Age 87.&#10;Tasmania. 1.70%.   &#10;Rest of Australia. 0.00%. &#10;AFRS 2021. 1.00%.&#10;&#10;&#10;Age 88.&#10;Tasmania. 1.70%.   &#10;Rest of Australia. 0.00%. &#10;AFRS 2021. 1.00%.&#10;&#10;&#10;Age 89.&#10;Tasmania. 1.70%.   &#10;Rest of Australia. 0.00%. &#10;AFRS 2021. 1.00%.&#10;&#10;&#10;Age 90.&#10;Tasmania. 1.70%.   &#10;Rest of Australia. 0.00%. &#10;AFRS 2021. 1.00%.&#10;&#10;&#10;Age 91.&#10;Tasmania. 1.80%.   &#10;Rest of Australia. 0.00%. &#10;AFRS 2021. 1.10%.&#10;&#10;&#10;Age 92.&#10;Tasmania. 1.80%.   &#10;Rest of Australia. 0.00%. &#10;AFRS 2021. 1.10%.&#10;&#10;&#10;Age 93.&#10;Tasmania. 1.80%.   &#10;Rest of Australia. 0.00%. &#10;AFRS 2021. 1.10%.&#10;&#10;&#10;Age 94.&#10;Tasmania. 1.80%.   &#10;Rest of Australia. 0.00%. &#10;AFRS 2021. 1.10%.&#10;&#10;&#10;Age 95.&#10;Tasmania. 1.90%.   &#10;Rest of Australia. 0.00%. &#10;AFRS 2021. 1.10%.&#10;&#10;Ages 0-14 (SA trial)&#10;&#10;Age 0. &#10;South Australia. 0.0%.   &#10;Rest of Australia. 0.00%. &#10;AFRS 2021. -.&#10;&#10;Age 1.&#10;South Australia. 0.0%.   &#10;Rest of Australia. 0.00%. &#10;AFRS 2021. -.&#10;&#10;Age 2.&#10;South Australia. 0.0%.   &#10;Rest of Australia. 0.00%. &#10;AFRS 2021. -.&#10;&#10;&#10;Age 3.&#10;South Australia. 0.0%.   &#10;Rest of Australia. 0.00%. &#10;AFRS 2021. -.&#10;&#10;&#10;Age 4.&#10;South Australia. 0.0%.   &#10;Rest of Australia. 0.00%. &#10;AFRS 2021. -.&#10;&#10;&#10;Age 5.&#10;South Australia. 0.1%.   &#10;Rest of Australia. 0.10%. &#10;AFRS 2021. -.&#10;&#10;&#10;Age 6.&#10;South Australia. 0.1%.   &#10;Rest of Australia. 0.10%. &#10;AFRS 2021. -.&#10;&#10;&#10;Age 7.&#10;South Australia. 0.1%.   &#10;Rest of Australia. 0.10%. &#10;AFRS 2021. -.&#10;&#10;&#10;Age 8.&#10;South Australia. 0.1%.   &#10;Rest of Australia. 0.10%. &#10;AFRS 2021. -.&#10;&#10;&#10;Age 9.&#10;South Australia. 0.1%.   &#10;Rest of Australia. 0.10%. &#10;AFRS 2021. -.&#10;&#10;&#10;Age 10.&#10;South Australia. 0.2%.   &#10;Rest of Australia. 0.10%. &#10;AFRS 2021. -.&#10;&#10;&#10;Age 11.&#10;South Australia. 0.2%.   &#10;Rest of Australia. 0.10%. &#10;AFRS 2021. -.&#10;&#10;&#10;Age 12.&#10;South Australia. 0.2%.   &#10;Rest of Australia. 0.20%. &#10;AFRS 2021. -.&#10;&#10;&#10;Age 13.&#10;South Australia. 0.2%.   &#10;Rest of Australia. 0.20%. &#10;AFRS 2021. -.&#10;&#10;&#10;Age 14.&#10;South Australia. 0.2%.   &#10;Rest of Australia. 0.20%. &#10;AFRS 2021. -.&#10;&#10;&#10;Age 15.&#10;South Australia. 0.3%.   &#10;Rest of Australia. 0.20%. &#10;AFRS 2021. -.&#10;&#10;&#10;Age 16.&#10;South Australia. 0.3%.   &#10;Rest of Australia. 0.20%. &#10;AFRS 2021. -.&#10;&#10;&#10;Age 17.&#10;South Australia. 0.4%.   &#10;Rest of Australia. 0.20%. &#10;AFRS 2021. -.&#10;&#10;&#10;Age 18.&#10;South Australia. 0.4%.   &#10;Rest of Australia. 0.20%. &#10;AFRS 2021. -.&#10;&#10;&#10;Age 19.&#10;South Australia. 0.4%.   &#10;Rest of Australia. 0.30%. &#10;AFRS 2021. -.&#10;&#10;Age 20.&#10;South Australia. 0.5%.   &#10;Rest of Australia. 0.30%. &#10;AFRS 2021. -.&#10;&#10;&#10;Age 21.&#10;South Australia. 0.6%.   &#10;Rest of Australia. 0.30%. &#10;AFRS 2021. -.&#10;&#10;&#10;Age 22.&#10;South Australia. 0.7%.   &#10;Rest of Australia. 0.40%. &#10;AFRS 2021. -.&#10;&#10;&#10;Age 23.&#10;South Australia. 0.9%.   &#10;Rest of Australia. 0.40%. &#10;AFRS 2021. -.&#10;&#10;&#10;Age 24.&#10;South Australia. 0.9%.   &#10;Rest of Australia. 0.40%. &#10;AFRS 2021. -.&#10;&#10;&#10;Age 25.&#10;South Australia. 1.0%.   &#10;Rest of Australia. 0.50%. &#10;AFRS 2021. -.&#10;&#10;&#10;Age 26.&#10;South Australia. 1.0%.   &#10;Rest of Australia. 0.50%. &#10;AFRS 2021. -.&#10;&#10;&#10;Age 27.&#10;South Australia. 1.1%.   &#10;Rest of Australia. 0.50%. &#10;AFRS 2021. -.&#10;&#10;&#10;Age 28.&#10;South Australia. 1.1%.   &#10;Rest of Australia. 0.60%. &#10;AFRS 2021. -.&#10;&#10;&#10;Age 29.&#10;South Australia. 1.1%.   &#10;Rest of Australia. 0.60%. &#10;AFRS 2021. -.&#10;&#10;&#10;Age 30.&#10;South Australia. 1.1%.   &#10;Rest of Australia. 0.70%. &#10;AFRS 2021. -.&#10;&#10;&#10;Age 31.&#10;South Australia. 1.1%.   &#10;Rest of Australia. 0.70%. &#10;AFRS 2021. -.&#10;&#10;&#10;Age 32.&#10;South Australia. 1.1%.   &#10;Rest of Australia. 0.80%. &#10;AFRS 2021. -.&#10;&#10;&#10;Age 33.&#10;South Australia. 1.2%.   &#10;Rest of Australia. 0.80%. &#10;AFRS 2021. -.&#10;&#10;&#10;Age 34.&#10;South Australia. 1.2%.   &#10;Rest of Australia. 0.90%. &#10;AFRS 2021. -.&#10;&#10;&#10;Age 35.&#10;South Australia. 1.3%.   &#10;Rest of Australia. 0.90%. &#10;AFRS 2021. -.&#10;&#10;&#10;Age 36.&#10;South Australia. 1.3%.   &#10;Rest of Australia. 1.00%. &#10;AFRS 2021. -.&#10;&#10;&#10;Age 37.&#10;South Australia. 1.4%.   &#10;Rest of Australia. 1.00%. &#10;AFRS 2021. -.&#10;&#10;&#10;Age 38.&#10;South Australia. 1.5%.   &#10;Rest of Australia. 1.10%. &#10;AFRS 2021. -.&#10;&#10;&#10;Age 39.&#10;South Australia. 1.6%.   &#10;Rest of Australia. 1.20%. &#10;AFRS 2021. -.&#10;&#10;&#10;Age 40.&#10;South Australia. 1.9%.   &#10;Rest of Australia. 1.30%. &#10;AFRS 2021. -.&#10;&#10;&#10;Age 41.&#10;South Australia. 2.1%.   &#10;Rest of Australia. 1.40%. &#10;AFRS 2021. -.&#10;&#10;&#10;Age 42.&#10;South Australia. 2.1%.   &#10;Rest of Australia. 1.50%. &#10;AFRS 2021. -.&#10;&#10;&#10;Age 43.&#10;South Australia. 2.2%.   &#10;Rest of Australia. 1.60%. &#10;AFRS 2021. -.&#10;&#10;&#10;Age 44.&#10;South Australia. 2.2%.   &#10;Rest of Australia. 1.60%. &#10;AFRS 2021. -.&#10;&#10;&#10;Age 45.&#10;South Australia. 2.2%.   &#10;Rest of Australia. 1.70%. &#10;AFRS 2021. -.&#10;&#10;&#10;Age 46.&#10;South Australia. 2.2%.   &#10;Rest of Australia. 1.80%. &#10;AFRS 2021. -.&#10;&#10;&#10;Age 47.&#10;South Australia. 2.3%.   &#10;Rest of Australia. 1.90%. &#10;AFRS 2021. -.&#10;&#10;&#10;Age 48.&#10;South Australia. 2.4%.   &#10;Rest of Australia. 2.00%. &#10;AFRS 2021. -.&#10;&#10;&#10;Age 49.&#10;South Australia. 2.4%.   &#10;Rest of Australia. 2.10%. &#10;AFRS 2021. -.&#10;&#10;&#10;Age 50.&#10;South Australia. 2.4%.   &#10;Rest of Australia. 2.10%. &#10;AFRS 2021. -.&#10;&#10;&#10;Age 51.&#10;South Australia. 2.5%.   &#10;Rest of Australia. 2.20%. &#10;AFRS 2021. -.&#10;&#10;&#10;Age 52.&#10;South Australia. 2.5%.   &#10;Rest of Australia. 2.30%. &#10;AFRS 2021. -.&#10;&#10;&#10;Age 53.&#10;South Australia. 2.6%.   &#10;Rest of Australia. 2.40%. &#10;AFRS 2021. -.&#10;&#10;&#10;Age 54.&#10;South Australia. 2.6%.   &#10;Rest of Australia. 2.40%. &#10;AFRS 2021. -.&#10;&#10;&#10;Age 55.&#10;South Australia. 2.6%.   &#10;Rest of Australia. 2.50%. &#10;AFRS 2021. -.&#10;&#10;&#10;Age 56.&#10;South Australia. 2.7%.   &#10;Rest of Australia. 2.60%. &#10;AFRS 2021. -.&#10;&#10;&#10;Age 57.&#10;South Australia. 2.7%.   &#10;Rest of Australia. 2.60%. &#10;AFRS 2021. -.&#10;&#10;&#10;Age 58.&#10;South Australia. 2.8%.   &#10;Rest of Australia. 2.70%. &#10;AFRS 2021. -.&#10;&#10;&#10;Age 59.&#10;South Australia. 2.8%.   &#10;Rest of Australia. 2.80%. &#10;AFRS 2021. 2.80%.&#10;&#10;&#10;Age 60.&#10;South Australia. 2.9%.   &#10;Rest of Australia. 0.00%. &#10;AFRS 2021. 2.80%.&#10;&#10;&#10;Age 61.&#10;South Australia. 2.9%.   &#10;Rest of Australia. 0.00%. &#10;AFRS 2021. 2.90%.&#10;&#10;&#10;Age 62.&#10;South Australia. 3.0%.   &#10;Rest of Australia. 0.00%. &#10;AFRS 2021. 3.00%.&#10;&#10;&#10;Age 63.&#10;South Australia. 3.1%.   &#10;Rest of Australia. 0.00%. &#10;AFRS 2021. 3.00%.&#10;&#10;&#10;Age 64.&#10;South Australia. 3.1%.   &#10;Rest of Australia. 0.00%. &#10;AFRS 2021. 3.10%.&#10;&#10;&#10;Age 65.&#10;South Australia. 3.2%.  &#10;&#10;Rest of Australia. 0.00%. &#10;AFRS 2021. 3.20%.&#10;&#10;&#10;Age 66.&#10;South Australia. 3.2%.   &#10;Rest of Australia. 0.00%. &#10;AFRS 2021. 3.20%.&#10;&#10;&#10;Age 67.&#10;South Australia. 3.3%.   &#10;Rest of Australia. 0.00%. &#10;AFRS 2021. 3.30%.&#10;&#10;&#10;Age 68.&#10;South Australia. 3.4%.   &#10;Rest of Australia. 0.00%. &#10;AFRS 2021. 3.40%.&#10;&#10;&#10;Age 69.&#10;South Australia. 3.4%.   &#10;Rest of Australia. 0.00%. &#10;AFRS 2021. 3.40%.&#10;&#10;&#10;Age 70.&#10;South Australia. 3.5%.  &#10;Rest of Australia. 0.00%. &#10;AFRS 2021. 3.50%.&#10;&#10;&#10;Age 71.&#10;South Australia. 3.5%.   &#10;Rest of Australia. 0.00%. &#10;AFRS 2021. 3.60%.&#10;&#10;&#10;Age 72.&#10;South Australia. 3.6%.   &#10;Rest of Australia. 0.00%. &#10;AFRS 2021. 3.60%.&#10;&#10;&#10;Age 73.&#10;South Australia. 3.8%.   &#10;Rest of Australia. 0.00%. &#10;AFRS 2021. 3.70%.&#10;&#10;&#10;Age 74.&#10;South Australia. 4.0%.  &#10;Rest of Australia. 0.00%. &#10;AFRS 2021. 3.80%.&#10;&#10;&#10;Age 75.&#10;South Australia. 4.1%.   &#10;Rest of Australia. 0.00%. &#10;AFRS 2021. 3.80%.&#10;&#10;&#10;Age 76.&#10;South Australia. 4.1%.   &#10;Rest of Australia. 0.00%. &#10;AFRS 2021. 3.90%.&#10;&#10;&#10;Age 77.&#10;South Australia. 4.2%.   &#10;Rest of Australia. 0.00%. &#10;AFRS 2021. 4.00%.&#10;&#10;&#10;Age 78.&#10;South Australia. 4.3%.   &#10;Rest of Australia. 0.00%. &#10;AFRS 2021. 4.00%.&#10;&#10;&#10;Age 79.&#10;South Australia. 4.4%.   &#10;Rest of Australia. 0.00%. &#10;AFRS 2021. 4.10%.&#10;&#10;&#10;Age 80.&#10;South Australia. 4.5%.   &#10;Rest of Australia. 0.00%. &#10;AFRS 2021. 4.20%.&#10;&#10;&#10;Age 81.&#10;South Australia. 4.7%.   &#10;Rest of Australia. 0.00%. &#10;AFRS 2021. 4.20%.&#10;&#10;&#10;Age 82.&#10;South Australia. 4.8%.   &#10;Rest of Australia. 0.00%. &#10;AFRS 2021. 4.30%.&#10;&#10;&#10;Age 83.&#10;South Australia. 4.9%.   &#10;Rest of Australia. 0.00%. &#10;AFRS 2021. 4.40%.&#10;&#10;&#10;Age 84.&#10;South Australia. 5.1%.   &#10;Rest of Australia. 0.00%. &#10;AFRS 2021. 4.40%.&#10;&#10;&#10;Age 85.&#10;South Australia. 5.2%.   &#10;Rest of Australia. 0.00%. &#10;AFRS 2021. 4.50%.&#10;&#10;&#10;Age 86.&#10;South Australia. 5.3%.   &#10;Rest of Australia. 0.00%. &#10;AFRS 2021. 4.60%.&#10;&#10;&#10;Age 87.&#10;South Australia. 5.3%.   &#10;Rest of Australia. 0.00%. &#10;AFRS 2021. 4.60%.&#10;&#10;&#10;Age 88.&#10;South Australia. 5.4%.   &#10;Rest of Australia. 0.00%. &#10;AFRS 2021. 4.70%.&#10;&#10;&#10;Age 89.&#10;South Australia. 5.5%.   &#10;Rest of Australia. 0.00%. &#10;AFRS 2021. 4.70%.&#10;&#10;&#10;Age 90.&#10;South Australia. 5.6%.   &#10;Rest of Australia. 0.00%. &#10;AFRS 2021. 4.80%.&#10;&#10;&#10;Age 91.&#10;South Australia. 5.7%.   &#10;Rest of Australia. 0.00%. &#10;AFRS 2021. 4.90%.&#10;&#10;&#10;Age 92.&#10;South Australia. 5.8%.   &#10;Rest of Australia. 0.00%. &#10;AFRS 2021. 4.90%.&#10;&#10;&#10;Age 93.&#10;South Australia. 5.9%.   &#10;Rest of Australia. 0.00%. &#10;AFRS 2021. 5.00%.&#10;&#10;&#10;Age 94.&#10;South Australia. 5.9%.   &#10;Rest of Australia. 0.00%. &#10;AFRS 2021. 5.10%.&#10;&#10;&#10;Age 95.&#10;South Australia. 6.0%.   &#10;Rest of Australia. 0.00%. &#10;AFRS 2021. 5.10%."/>
                    <pic:cNvPicPr/>
                  </pic:nvPicPr>
                  <pic:blipFill>
                    <a:blip r:embed="rId105" cstate="print">
                      <a:extLst>
                        <a:ext uri="{28A0092B-C50C-407E-A947-70E740481C1C}">
                          <a14:useLocalDpi xmlns:a14="http://schemas.microsoft.com/office/drawing/2010/main"/>
                        </a:ext>
                        <a:ext uri="{96DAC541-7B7A-43D3-8B79-37D633B846F1}">
                          <asvg:svgBlip xmlns:asvg="http://schemas.microsoft.com/office/drawing/2016/SVG/main" r:embed="rId106"/>
                        </a:ext>
                      </a:extLst>
                    </a:blip>
                    <a:stretch>
                      <a:fillRect/>
                    </a:stretch>
                  </pic:blipFill>
                  <pic:spPr>
                    <a:xfrm>
                      <a:off x="0" y="0"/>
                      <a:ext cx="5976620" cy="3567430"/>
                    </a:xfrm>
                    <a:prstGeom prst="rect">
                      <a:avLst/>
                    </a:prstGeom>
                  </pic:spPr>
                </pic:pic>
              </a:graphicData>
            </a:graphic>
          </wp:inline>
        </w:drawing>
      </w:r>
    </w:p>
    <w:p w14:paraId="58141D07" w14:textId="6FB5A770" w:rsidR="00FD198A" w:rsidRDefault="00FD198A" w:rsidP="00DD4479">
      <w:r>
        <w:t>There are reasons why some regions may differ from others in the prevalence of disability and the rate of enrolment in the NDIS. However, we regard the results</w:t>
      </w:r>
      <w:r w:rsidR="007C00FB">
        <w:t xml:space="preserve"> from the trial regions</w:t>
      </w:r>
      <w:r>
        <w:t xml:space="preserve"> as evidence of potential future growth rates similar or higher to those allowed for in the AFS</w:t>
      </w:r>
      <w:r w:rsidR="007C00FB">
        <w:t>R</w:t>
      </w:r>
      <w:r>
        <w:t>.</w:t>
      </w:r>
    </w:p>
    <w:p w14:paraId="0E86510B" w14:textId="448B7BF2" w:rsidR="005173EE" w:rsidRDefault="005173EE" w:rsidP="00DD4479">
      <w:r>
        <w:t xml:space="preserve">Similar patterns remain even if we exclude the types of disability growing fastest in the </w:t>
      </w:r>
      <w:r w:rsidR="00232FFF">
        <w:t>Scheme</w:t>
      </w:r>
      <w:r>
        <w:t>.</w:t>
      </w:r>
    </w:p>
    <w:p w14:paraId="60ABD9C9" w14:textId="2F155B5A" w:rsidR="005173EE" w:rsidRDefault="008C54A0" w:rsidP="00B119DB">
      <w:pPr>
        <w:pStyle w:val="Caption"/>
      </w:pPr>
      <w:r w:rsidRPr="00261658">
        <w:t xml:space="preserve">Figure </w:t>
      </w:r>
      <w:r w:rsidRPr="00261658">
        <w:fldChar w:fldCharType="begin"/>
      </w:r>
      <w:r w:rsidRPr="00261658">
        <w:instrText xml:space="preserve"> STYLEREF 1 \s </w:instrText>
      </w:r>
      <w:r w:rsidRPr="00261658">
        <w:fldChar w:fldCharType="separate"/>
      </w:r>
      <w:r w:rsidR="00E6217F">
        <w:rPr>
          <w:noProof/>
        </w:rPr>
        <w:t>7</w:t>
      </w:r>
      <w:r w:rsidRPr="00261658">
        <w:fldChar w:fldCharType="end"/>
      </w:r>
      <w:r w:rsidRPr="00261658">
        <w:t>.</w:t>
      </w:r>
      <w:r w:rsidRPr="00261658">
        <w:fldChar w:fldCharType="begin"/>
      </w:r>
      <w:r w:rsidRPr="00261658">
        <w:instrText xml:space="preserve"> SEQ Figure \* ARABIC \s 1 </w:instrText>
      </w:r>
      <w:r w:rsidRPr="00261658">
        <w:fldChar w:fldCharType="separate"/>
      </w:r>
      <w:r w:rsidR="00E6217F">
        <w:rPr>
          <w:noProof/>
        </w:rPr>
        <w:t>2</w:t>
      </w:r>
      <w:r w:rsidRPr="00261658">
        <w:fldChar w:fldCharType="end"/>
      </w:r>
      <w:r w:rsidRPr="00261658">
        <w:t xml:space="preserve"> </w:t>
      </w:r>
      <w:r>
        <w:t xml:space="preserve">– Cumulative participant entries for those entering from outside existing State and Commonwealth schemes for trial regions compared to broader </w:t>
      </w:r>
      <w:r w:rsidR="00232FFF">
        <w:t>Scheme</w:t>
      </w:r>
      <w:r w:rsidR="007F4E6D">
        <w:t>; e</w:t>
      </w:r>
      <w:r>
        <w:t>xcluding high-growth dis</w:t>
      </w:r>
      <w:r w:rsidR="007F4E6D">
        <w:t>abilities</w:t>
      </w:r>
    </w:p>
    <w:p w14:paraId="0BC570C8" w14:textId="608304A6" w:rsidR="00B119DB" w:rsidRDefault="00B119DB" w:rsidP="00DD4479">
      <w:r>
        <w:rPr>
          <w:noProof/>
        </w:rPr>
        <w:drawing>
          <wp:inline distT="0" distB="0" distL="0" distR="0" wp14:anchorId="1D564F31" wp14:editId="0A165573">
            <wp:extent cx="5976620" cy="3543300"/>
            <wp:effectExtent l="0" t="0" r="5080" b="0"/>
            <wp:docPr id="7" name="Graphic 7" descr="Barwon and Hunter (all ages)&#10;&#10;Age 0. &#10;Barwon. 0.00%.  &#10;Hunter. 0.00%.  &#10;Rest of Australia. 0.00%. &#10;AFRS 2021. -.&#10;&#10;Age 1.&#10;Barwon. 0.00%.  &#10;Hunter. 0.00%.  &#10;Rest of Australia. 0.00%. &#10;AFRS 2021. -.&#10;&#10;Age 2.&#10;Barwon. 0.00%.  &#10;Hunter. 0.00%.   &#10;Rest of Australia. 0.00%. &#10;AFRS 2021. -.&#10;&#10;&#10;Age 3.&#10;Barwon. 0.00%.  &#10;Hunter. 0.00%.   &#10;Rest of Australia. 0.00%. &#10;AFRS 2021. -.&#10;&#10;&#10;Age 4.&#10;Barwon. 0.00%.  &#10;Hunter. 0.00%.   &#10;Rest of Australia. 0.00%. &#10;AFRS 2021. -.&#10;&#10;&#10;Age 5.&#10;Barwon. 0.00%. &#10;Hunter. 0.00%.   &#10;Rest of Australia. 0.00%. &#10;AFRS 2021. -.&#10;&#10;&#10;Age 6.&#10;Barwon. 0.00%. &#10;Hunter. 0.00%.   &#10;Rest of Australia. 0.00%. &#10;AFRS 2021. -.&#10;&#10;&#10;Age 7.&#10;Barwon. 0.00%.&#10;Hunter. 0.00%.   &#10;Rest of Australia. 0.00%. &#10;AFRS 2021. -.&#10;&#10;&#10;Age 8.&#10;Barwon. 0.00%.  &#10;Hunter. 0.00%.  &#10;Rest of Australia. 0.00%. &#10;AFRS 2021. -.&#10;&#10;&#10;Age 9.&#10;Barwon. 0.00%. &#10;Hunter. 0.00%.   &#10;Rest of Australia. 0.00%. &#10;AFRS 2021. -.&#10;&#10;&#10;Age 10.&#10;Barwon. 0.00%.  &#10;Hunter. 0.00%.  &#10;Rest of Australia. 0.00%. &#10;AFRS 2021. -.&#10;&#10;&#10;Age 11.&#10;Barwon. 0.00%.&#10;Hunter. 0.00%.    &#10;Rest of Australia. 0.00%. &#10;AFRS 2021. -.&#10;&#10;&#10;Age 12.&#10;Barwon. 0.00%. &#10;Hunter. 0.00%.   &#10;Rest of Australia. 0.00%. &#10;AFRS 2021. -.&#10;&#10;&#10;Age 13.&#10;Barwon. 0.00%. &#10;Hunter. 0.00%.   &#10;Rest of Australia. 0.00%. &#10;AFRS 2021. -.&#10;&#10;&#10;Age 14.&#10;Barwon. 0.00%. &#10;Hunter. 0.00%.   &#10;Rest of Australia. 0.00%. &#10;AFRS 2021. -.&#10;&#10;&#10;Age 15.&#10;Barwon. 0.00%.  &#10;Hunter. 0.00%.  &#10;Rest of Australia. 0.00%. &#10;AFRS 2021. -.&#10;&#10;&#10;Age 16.&#10;Barwon. 0.00%. &#10;Hunter. 0.00%.   &#10;Rest of Australia. 0.00%. &#10;AFRS 2021. -.&#10;&#10;&#10;Age 17.&#10;Barwon. 0.10%. &#10;Hunter. 0.10%.   &#10;Rest of Australia. 0.00%. &#10;AFRS 2021. -.&#10;&#10;&#10;Age 18.&#10;Barwon. 0.10%.  &#10;Hunter. 0.10%.  &#10;Rest of Australia. 0.00%. &#10;AFRS 2021. -.&#10;&#10;&#10;Age 19.&#10;Barwon. 0.10%.  &#10;Hunter. 0.10%.  &#10;Rest of Australia. 0.00%. &#10;AFRS 2021. -.&#10;&#10;Age 20.&#10;Barwon. 0.10%. &#10;Hunter. 0.10%.   &#10;Rest of Australia. 0.00%. &#10;AFRS 2021. -.&#10;&#10;&#10;Age 21.&#10;Barwon. 0.10%. &#10;Hunter. 0.10%.   &#10;Rest of Australia. 0.00%. &#10;AFRS 2021. -.&#10;&#10;&#10;Age 22.&#10;Barwon. 0.10%. &#10;Hunter. 0.10%.   &#10;Rest of Australia. 0.00%. &#10;AFRS 2021. -.&#10;&#10;&#10;Age 23.&#10;Barwon. 0.10%. &#10;Hunter. 0.10%.   &#10;Rest of Australia. 0.00%. &#10;AFRS 2021. -.&#10;&#10;&#10;Age 24.&#10;Barwon. 0.10%. &#10;Hunter. 0.10%.   &#10;Rest of Australia. 0.00%. &#10;AFRS 2021. -.&#10;&#10;&#10;Age 25.&#10;Barwon. 0.10%. &#10;Hunter. 0.10%.   &#10;Rest of Australia. 0.00%. &#10;AFRS 2021. -.&#10;&#10;&#10;Age 26.&#10;Barwon. 0.10%. &#10;Hunter. 0.10%.   &#10;Rest of Australia. 0.00%. &#10;AFRS 2021. -.&#10;&#10;&#10;Age 27.&#10;Barwon. 0.10%. &#10;Hunter. 0.10%.   &#10;Rest of Australia. 0.10%. &#10;AFRS 2021. -.&#10;&#10;&#10;Age 28.&#10;Barwon. 0.10%.  &#10;Hunter. 0.10%.  &#10;Rest of Australia. 0.10%. &#10;AFRS 2021. -.&#10;&#10;&#10;Age 29.&#10;Barwon. 0.10%. &#10;Hunter. 0.10%.   &#10;Rest of Australia. 0.10%. &#10;AFRS 2021. -.&#10;&#10;&#10;Age 30.&#10;Barwon. 0.10%. &#10;Hunter. 0.10%.   &#10;Rest of Australia. 0.10%. &#10;AFRS 2021. -.&#10;&#10;&#10;Age 31.&#10;Barwon. 0.10%. &#10;Hunter. 0.10%.   &#10;Rest of Australia. 0.10%. &#10;AFRS 2021. -.&#10;&#10;&#10;Age 32.&#10;Barwon. 0.10%. &#10;Hunter. 0.10%.   &#10;Rest of Australia. 0.10%. &#10;AFRS 2021. -.&#10;&#10;&#10;Age 33.&#10;Barwon. 0.10%. &#10;Hunter. 0.10%.   &#10;Rest of Australia. 0.10%. &#10;AFRS 2021. -.&#10;&#10;&#10;Age 34.&#10;Barwon. 0.10%. &#10;Hunter. 0.20%.   &#10;Rest of Australia. 0.10%. &#10;AFRS 2021. -.&#10;&#10;&#10;Age 35.&#10;Barwon. 0.10%. &#10;Hunter. 0.20%.   &#10;Rest of Australia. 0.10%. &#10;AFRS 2021. -.&#10;&#10;&#10;Age 36.&#10;Barwon. 0.10%. &#10;Hunter. 0.20%.   &#10;Rest of Australia. 0.10%. &#10;AFRS 2021. -.&#10;&#10;&#10;Age 37.&#10;Barwon. 0.10%. &#10;Hunter. 0.20%.   &#10;Rest of Australia. 0.10%. &#10;AFRS 2021. -.&#10;&#10;&#10;Age 38.&#10;Barwon. 0.10%.  &#10;Hunter. 0.20%.  &#10;Rest of Australia. 0.10%. &#10;AFRS 2021. -.&#10;&#10;&#10;Age 39.&#10;Barwon. 0.10%. &#10;Hunter. 0.20%.   &#10;Rest of Australia. 0.10%. &#10;AFRS 2021. -.&#10;&#10;&#10;Age 40.&#10;Barwon. 0.10%. &#10;Hunter. 0.20%.   &#10;Rest of Australia. 0.10%. &#10;AFRS 2021. -.&#10;&#10;&#10;Age 41.&#10;Barwon. 0.20%. &#10;Hunter. 0.30%.   &#10;Rest of Australia. 0.10%. &#10;AFRS 2021. -.&#10;&#10;&#10;Age 42.&#10;Barwon. 0.20%. &#10;Hunter. 0.30%.   &#10;Rest of Australia. 0.10%. &#10;AFRS 2021. -.&#10;&#10;&#10;Age 43.&#10;Barwon. 0.20%. &#10;Hunter. 0.30%.   &#10;Rest of Australia. 0.10%. &#10;AFRS 2021. -.&#10;&#10;&#10;Age 44.&#10;Barwon. 0.20%.&#10;Hunter. 0.30%.    &#10;Rest of Australia. 0.10%. &#10;AFRS 2021. -.&#10;&#10;&#10;Age 45.&#10;Barwon. 0.20%.&#10;Hunter. 0.30%.    &#10;Rest of Australia. 0.20%. &#10;AFRS 2021. -.&#10;&#10;&#10;Age 46.&#10;Barwon. 0.20%. &#10;Hunter. 0.30%.   &#10;Rest of Australia. 0.20%. &#10;AFRS 2021. -.&#10;&#10;&#10;Age 47.&#10;Barwon. 0.20%. &#10;Hunter. 0.30%.   &#10;Rest of Australia. 0.20%. &#10;AFRS 2021. -.&#10;&#10;&#10;Age 48.&#10;Barwon. 0.20%. &#10;Hunter. 0.30%.   &#10;Rest of Australia. 0.20%. &#10;AFRS 2021. -.&#10;&#10;&#10;Age 49.&#10;Barwon. 0.20%. &#10;Hunter. 0.30%.   &#10;Rest of Australia. 0.20%. &#10;AFRS 2021. -.&#10;&#10;&#10;Age 50.&#10;Barwon. 0.20%. &#10;Hunter. 0.30%.   &#10;Rest of Australia. 0.20%. &#10;AFRS 2021. -.&#10;&#10;&#10;Age 51.&#10;Barwon. 0.20%. &#10;Hunter. 0.30%.   &#10;Rest of Australia. 0.20%. &#10;AFRS 2021. -.&#10;&#10;&#10;Age 52.&#10;Barwon. 0.20%. &#10;Hunter. 0.30%.   &#10;Rest of Australia. 0.20%. &#10;AFRS 2021. -.&#10;&#10;&#10;Age 53.&#10;Barwon. 0.20%. &#10;Hunter. 0.30%.   &#10;Rest of Australia. 0.20%. &#10;AFRS 2021. -.&#10;&#10;&#10;Age 54.&#10;Barwon. 0.20%.&#10;Hunter. 0.30%.    &#10;Rest of Australia. 0.20%. &#10;AFRS 2021. -.&#10;&#10;&#10;Age 55.&#10;Barwon. 0.20%. &#10;Hunter. 0.30%.   &#10;Rest of Australia. 0.20%. &#10;AFRS 2021. -.&#10;&#10;&#10;Age 56.&#10;Barwon. 0.20%. &#10;Hunter. 0.30%.   &#10;Rest of Australia. 0.20%. &#10;AFRS 2021. -.&#10;&#10;&#10;Age 57.&#10;Barwon. 0.20%. &#10;Hunter. 0.30%.   &#10;Rest of Australia. 0.20%. &#10;AFRS 2021. -.&#10;&#10;&#10;Age 58.&#10;Barwon. 0.20%.  &#10;Hunter. 0.30%.  &#10;Rest of Australia. 0.20%. &#10;AFRS 2021. -.&#10;&#10;&#10;Age 59.&#10;Barwon. 0.20%. &#10;Hunter. 0.30%.   &#10;Rest of Australia. 0.20%. &#10;AFRS 2021. 0.20%.&#10;&#10;&#10;Age 60.&#10;Barwon. 0.20%. &#10;Hunter. 0.30%.   &#10;Rest of Australia. 0.00%. &#10;AFRS 2021. 0.20%.&#10;&#10;&#10;Age 61.&#10;Barwon. 0.20%. &#10;Hunter. 0.30%.   &#10;Rest of Australia. 0.00%. &#10;AFRS 2021. 0.20%.&#10;&#10;&#10;Age 62.&#10;Barwon. 0.20%. &#10;Hunter. 0.40%.   &#10;Rest of Australia. 0.00%. &#10;AFRS 2021. 0.20%.&#10;&#10;&#10;Age 63.&#10;Barwon. 0.20%.  &#10;Hunter. 0.40%.  &#10;Rest of Australia. 0.00%. &#10;AFRS 2021. 0.20%.&#10;&#10;&#10;Age 64.&#10;Barwon. 0.30%.  &#10;Hunter. 0.40%.  &#10;Rest of Australia. 0.00%. &#10;AFRS 2021. 0.20%.&#10;&#10;&#10;Age 65.&#10;Barwon. 0.30%.   &#10;Hunter. 0.40%.&#10;Rest of Australia. 0.00%. &#10;AFRS 2021. 0.20%.&#10;&#10;&#10;Age 66.&#10;Barwon. 0.30%. &#10;Hunter. 0.40%.   &#10;Rest of Australia. 0.00%. &#10;AFRS 2021. 0.20%.&#10;&#10;&#10;Age 67.&#10;Barwon. 0.30%. &#10;Hunter. 0.40%.   &#10;Rest of Australia. 0.00%. &#10;AFRS 2021. 0.20%.&#10;&#10;&#10;Age 68.&#10;Barwon. 0.30%. &#10;Hunter. 0.40%.   &#10;Rest of Australia. 0.00%. &#10;AFRS 2021. 0.20%.&#10;&#10;&#10;Age 69.&#10;Barwon. 0.30%. &#10;Hunter. 0.40%.   &#10;Rest of Australia. 0.00%. &#10;AFRS 2021. 0.20%.&#10;&#10;&#10;Age 70.&#10;Barwon. 0.30%. &#10;Hunter. 0.40%.  &#10;Rest of Australia. 0.00%. &#10;AFRS 2021. 0.30%.&#10;&#10;&#10;Age 71.&#10;Barwon. 0.30%. &#10;Hunter. 0.40%.   &#10;Rest of Australia. 0.00%. &#10;AFRS 2021. 0.30%.&#10;&#10;&#10;Age 72.&#10;Barwon. 0.30%. &#10;Hunter. 0.40%.   &#10;Rest of Australia. 0.00%. &#10;AFRS 2021. 0.30%.&#10;&#10;&#10;Age 73.&#10;Barwon. 0.30%. &#10;Hunter. 0.40%.   &#10;Rest of Australia. 0.00%. &#10;AFRS 2021. 0.30%.&#10;&#10;&#10;Age 74.&#10;Barwon. 0.30%. &#10;Hunter. 0.40%.  &#10;Rest of Australia. 0.00%. &#10;AFRS 2021. 0.30%.&#10;&#10;&#10;Age 75.&#10;Barwon. 0.30%. &#10;Hunter. 0.40%.   &#10;Rest of Australia. 0.00%. &#10;AFRS 2021. 0.30%.&#10;&#10;&#10;Age 76.&#10;Barwon. 0.30%.   &#10;Hunter. 0.40%. &#10;Rest of Australia. 0.00%. &#10;AFRS 2021. 0.30%.&#10;&#10;&#10;Age 77.&#10;Barwon. 0.30%.&#10;Hunter. 0.40%.    &#10;Rest of Australia. 0.00%. &#10;AFRS 2021. 0.30%.&#10;&#10;&#10;Age 78.&#10;Barwon. 0.30%. &#10;Hunter. 0.40%.   &#10;Rest of Australia. 0.00%. &#10;AFRS 2021. 0.30%.&#10;&#10;&#10;Age 79.&#10;Barwon. 0.30%. &#10;Hunter. 0.40%.   &#10;Rest of Australia. 0.00%. &#10;AFRS 2021. 0.30%.&#10;&#10;&#10;Age 80.&#10;Barwon. 0.30%. &#10;Hunter. 0.40%.   &#10;Rest of Australia. 0.00%. &#10;AFRS 2021. 0.30%.&#10;&#10;&#10;Age 81.&#10;Barwon. 0.30%. &#10;Hunter. 0.40%.   &#10;Rest of Australia. 0.00%. &#10;AFRS 2021. 0.30%.&#10;&#10;&#10;Age 82.&#10;Barwon. 0.30%. &#10;Hunter. 0.40%.   &#10;Rest of Australia. 0.00%. &#10;AFRS 2021. 0.30%.&#10;&#10;&#10;Age 83.&#10;Barwon. 0.30%. &#10;Hunter. 0.40%.   &#10;Rest of Australia. 0.00%. &#10;AFRS 2021. 0.30%.&#10;&#10;&#10;Age 84.&#10;Barwon. 0.30%. &#10;Hunter. 0.50%.   &#10;Rest of Australia. 0.00%. &#10;AFRS 2021. 0.30%.&#10;&#10;&#10;Age 85.&#10;Barwon. 0.30%. &#10;Hunter. 0.50%.   &#10;Rest of Australia. 0.00%. &#10;AFRS 2021. 0.30%.&#10;&#10;&#10;Age 86.&#10;Barwon. 0.30%. &#10;Hunter. 0.50%.   &#10;Rest of Australia. 0.00%. &#10;AFRS 2021. 0.30%.&#10;&#10;&#10;Age 87.&#10;Barwon. 0.40%. &#10;Hunter. 0.50%.   &#10;Rest of Australia. 0.00%. &#10;AFRS 2021. 0.30%.&#10;&#10;&#10;Age 88.&#10;Barwon. 0.40%. &#10;Hunter. 0.50%.   &#10;Rest of Australia. 0.00%. &#10;AFRS 2021. 0.30%.&#10;&#10;&#10;Age 89.&#10;Barwon. 0.40%. &#10;Hunter. 0.50%.   &#10;Rest of Australia. 0.00%. &#10;AFRS 2021. 0.30%.&#10;&#10;&#10;Age 90.&#10;Barwon. 0.40%. &#10;Hunter. 0.50%.   &#10;Rest of Australia. 0.00%. &#10;AFRS 2021. 0.30%.&#10;&#10;&#10;Age 91.&#10;Barwon. 0.40%. &#10;Hunter. 0.50%.   &#10;Rest of Australia. 0.00%. &#10;AFRS 2021. 0.30%.&#10;&#10;&#10;Age 92.&#10;Barwon. 0.40%. &#10;Hunter. 0.50%.   &#10;Rest of Australia. 0.00%. &#10;AFRS 2021. 0.30%.&#10;&#10;&#10;Age 93.&#10;Barwon. 0.40%. &#10;Hunter. 0.50%.   &#10;Rest of Australia. 0.00%. &#10;AFRS 2021. 0.30%.&#10;&#10;&#10;Age 94.&#10;Barwon. 0.40%. &#10;Hunter. 0.50%.   &#10;Rest of Australia. 0.00%. &#10;AFRS 2021. 0.30%.&#10;&#10;&#10;Age 95.&#10;Barwon. 0.40%.   &#10;Hunter. 0.50%. &#10;Rest of Australia. 0.00%. &#10;AFRS 2021. 0.30%.&#10;&#10;&#10;&#10;&#10;Ages 15-24 (TAS trial)&#10;Age 0. &#10;Tasmania. 0.00%.   &#10;Rest of Australia. 0.00%. &#10;AFRS 2021. -.&#10;&#10;Age 1.&#10;Tasmania. 0.00%.   &#10;Rest of Australia. 0.00%. &#10;AFRS 2021. -.&#10;&#10;Age 2.&#10;Tasmania. 0.00%.   &#10;Rest of Australia. 0.00%. &#10;AFRS 2021. -.&#10;&#10;&#10;Age 3.&#10;Tasmania. 0.00%.   &#10;Rest of Australia. 0.00%. &#10;AFRS 2021. -.&#10;&#10;&#10;Age 4.&#10;Tasmania. 0.00%.   &#10;Rest of Australia. 0.00%. &#10;AFRS 2021. -.&#10;&#10;&#10;Age 5.&#10;Tasmania. 0.00%.   &#10;Rest of Australia. 0.00%. &#10;AFRS 2021. -.&#10;&#10;&#10;Age 6.&#10;Tasmania. 0.00%.   &#10;Rest of Australia. 0.00%. &#10;AFRS 2021. -.&#10;&#10;&#10;Age 7.&#10;Tasmania. 0.00%.   &#10;Rest of Australia. 0.00%. &#10;AFRS 2021. -.&#10;&#10;&#10;Age 8.&#10;Tasmania. 0.00%.   &#10;Rest of Australia. 0.00%. &#10;AFRS 2021. -.&#10;&#10;&#10;Age 9.&#10;Tasmania. 0.00%.   &#10;Rest of Australia. 0.00%. &#10;AFRS 2021. -.&#10;&#10;&#10;Age 10.&#10;Tasmania. 0.00%.   &#10;Rest of Australia. 0.00%. &#10;AFRS 2021. -.&#10;&#10;&#10;Age 11.&#10;Tasmania. 0.00%.   &#10;Rest of Australia. 0.00%. &#10;AFRS 2021. -.&#10;&#10;&#10;Age 12.&#10;Tasmania. 0.00%.   &#10;Rest of Australia. 0.00%. &#10;AFRS 2021. -.&#10;&#10;&#10;Age 13.&#10;Tasmania. 0.00%.   &#10;Rest of Australia. 0.00%. &#10;AFRS 2021. -.&#10;&#10;&#10;Age 14.&#10;Tasmania. 0.00%.   &#10;Rest of Australia. 0.00%. &#10;AFRS 2021. -.&#10;&#10;&#10;Age 15.&#10;Tasmania. 0.00%.   &#10;Rest of Australia. 0.00%. &#10;AFRS 2021. -.&#10;&#10;&#10;Age 16.&#10;Tasmania. 0.00%.   &#10;Rest of Australia. 0.00%. &#10;AFRS 2021. -.&#10;&#10;&#10;Age 17.&#10;Tasmania. 0.00%.   &#10;Rest of Australia. 0.00%. &#10;AFRS 2021. -.&#10;&#10;&#10;Age 18.&#10;Tasmania. 0.00%.   &#10;Rest of Australia. 0.00%. &#10;AFRS 2021. -.&#10;&#10;&#10;Age 19.&#10;Tasmania. 0.00%.   &#10;Rest of Australia. 0.00%. &#10;AFRS 2021. -.&#10;&#10;Age 20.&#10;Tasmania. 0.00%.   &#10;Rest of Australia. 0.00%. &#10;AFRS 2021. -.&#10;&#10;&#10;Age 21.&#10;Tasmania. 0.00%.   &#10;Rest of Australia. 0.00%. &#10;AFRS 2021. -.&#10;&#10;&#10;Age 22.&#10;Tasmania. 0.00%.   &#10;Rest of Australia. 0.00%. &#10;AFRS 2021. -.&#10;&#10;&#10;Age 23.&#10;Tasmania. 0.00%.   &#10;Rest of Australia. 0.00%. &#10;AFRS 2021. -.&#10;&#10;&#10;Age 24.&#10;Tasmania. 0.00%.   &#10;Rest of Australia. 0.00%. &#10;AFRS 2021. -.&#10;&#10;&#10;Age 25.&#10;Tasmania. 0.00%.   &#10;Rest of Australia. 0.00%. &#10;AFRS 2021. -.&#10;&#10;&#10;Age 26.&#10;Tasmania. 0.00%.   &#10;Rest of Australia. 0.00%. &#10;AFRS 2021. -.&#10;&#10;&#10;Age 27.&#10;Tasmania. 0.00%.   &#10;Rest of Australia. 0.00%. &#10;AFRS 2021. -.&#10;&#10;&#10;Age 28.&#10;Tasmania. 0.00%.   &#10;Rest of Australia. 0.00%. &#10;AFRS 2021. -.&#10;&#10;&#10;Age 29.&#10;Tasmania. 0.00%.   &#10;Rest of Australia. 0.00%. &#10;AFRS 2021. -.&#10;&#10;&#10;Age 30.&#10;Tasmania. 0.00%.   &#10;Rest of Australia. 0.00%. &#10;AFRS 2021. -.&#10;&#10;&#10;Age 31.&#10;Tasmania. 0.10%.   &#10;Rest of Australia. 0.00%. &#10;AFRS 2021. -.&#10;&#10;&#10;Age 32.&#10;Tasmania. 0.10%.   &#10;Rest of Australia. 0.00%. &#10;AFRS 2021. -.&#10;&#10;&#10;Age 33.&#10;Tasmania. 0.10%.   &#10;Rest of Australia. 0.00%. &#10;AFRS 2021. -.&#10;&#10;&#10;Age 34.&#10;Tasmania. 0.10%.   &#10;Rest of Australia. 0.00%. &#10;AFRS 2021. -.&#10;&#10;&#10;Age 35.&#10;Tasmania. 0.10%.   &#10;Rest of Australia. 0.10%. &#10;AFRS 2021. -.&#10;&#10;&#10;Age 36.&#10;Tasmania. 0.10%.   &#10;Rest of Australia. 0.10%. &#10;AFRS 2021. -.&#10;&#10;&#10;Age 37.&#10;Tasmania. 0.10%.   &#10;Rest of Australia. 0.10%. &#10;AFRS 2021. -.&#10;&#10;&#10;Age 38.&#10;Tasmania. 0.10%.   &#10;Rest of Australia. 0.10%. &#10;AFRS 2021. -.&#10;&#10;&#10;Age 39.&#10;Tasmania. 0.10%.   &#10;Rest of Australia. 0.10%. &#10;AFRS 2021. -.&#10;&#10;&#10;Age 40.&#10;Tasmania. 0.10%.   &#10;Rest of Australia. 0.10%. &#10;AFRS 2021. -.&#10;&#10;&#10;Age 41.&#10;Tasmania. 0.10%.   &#10;Rest of Australia. 0.10%. &#10;AFRS 2021. -.&#10;&#10;&#10;Age 42.&#10;Tasmania. 0.10%.   &#10;Rest of Australia. 0.10%. &#10;AFRS 2021. -.&#10;&#10;&#10;Age 43.&#10;Tasmania. 0.10%.   &#10;Rest of Australia. 0.10%. &#10;AFRS 2021. -.&#10;&#10;&#10;Age 44.&#10;Tasmania. 0.10%.   &#10;Rest of Australia. 0.10%. &#10;AFRS 2021. -.&#10;&#10;&#10;Age 45.&#10;Tasmania. 0.10%.   &#10;Rest of Australia. 0.10%. &#10;AFRS 2021. -.&#10;&#10;&#10;Age 46.&#10;Tasmania. 0.10%.   &#10;Rest of Australia. 0.10%. &#10;AFRS 2021. -.&#10;&#10;&#10;Age 47.&#10;Tasmania. 0.10%.   &#10;Rest of Australia. 0.10%. &#10;AFRS 2021. -.&#10;&#10;&#10;Age 48.&#10;Tasmania. 0.10%.   &#10;Rest of Australia. 0.10%. &#10;AFRS 2021. -.&#10;&#10;&#10;Age 49.&#10;Tasmania. 0.10%.   &#10;Rest of Australia. 0.10%. &#10;AFRS 2021. -.&#10;&#10;&#10;Age 50.&#10;Tasmania. 0.10%.   &#10;Rest of Australia. 0.10%. &#10;AFRS 2021. -.&#10;&#10;&#10;Age 51.&#10;Tasmania. 0.10%.   &#10;Rest of Australia. 0.10%. &#10;AFRS 2021. -.&#10;&#10;&#10;Age 52.&#10;Tasmania. 0.10%.   &#10;Rest of Australia. 0.10%. &#10;AFRS 2021. -.&#10;&#10;&#10;Age 53.&#10;Tasmania. 0.10%.   &#10;Rest of Australia. 0.10%. &#10;AFRS 2021. -.&#10;&#10;&#10;Age 54.&#10;Tasmania. 0.10%.   &#10;Rest of Australia. 0.10%. &#10;AFRS 2021. -.&#10;&#10;&#10;Age 55.&#10;Tasmania. 0.10%.   &#10;Rest of Australia. 0.10%. &#10;AFRS 2021. -.&#10;&#10;&#10;Age 56.&#10;Tasmania. 0.10%.   &#10;Rest of Australia. 0.10%. &#10;AFRS 2021. -.&#10;&#10;&#10;Age 57.&#10;Tasmania. 0.10%.   &#10;Rest of Australia. 0.10%. &#10;AFRS 2021. -.&#10;&#10;&#10;Age 58.&#10;Tasmania. 0.10%.   &#10;Rest of Australia. 0.10%. &#10;AFRS 2021. -.&#10;&#10;&#10;Age 59.&#10;Tasmania. 0.10%.   &#10;Rest of Australia. 0.10%. &#10;AFRS 2021. 0.10%.&#10;&#10;&#10;Age 60.&#10;Tasmania. 0.10%.   &#10;Rest of Australia. 0.00%. &#10;AFRS 2021. 0.10%.&#10;&#10;&#10;Age 61.&#10;Tasmania. 0.10%.   &#10;Rest of Australia. 0.00%. &#10;AFRS 2021. 0.20%.&#10;&#10;&#10;Age 62.&#10;Tasmania. 0.10%.   &#10;Rest of Australia. 0.00%. &#10;AFRS 2021. 0.20%.&#10;&#10;&#10;Age 63.&#10;Tasmania. 0.10%.   &#10;Rest of Australia. 0.00%. &#10;AFRS 2021. 0.20%.&#10;&#10;&#10;Age 64.&#10;Tasmania. 0.10%.   &#10;Rest of Australia. 0.00%. &#10;AFRS 2021. 0.20%.&#10;&#10;&#10;Age 65.&#10;Tasmania. 0.10%.  &#10;&#10;Rest of Australia. 0.00%. &#10;AFRS 2021. 0.20%.&#10;&#10;&#10;Age 66.&#10;Tasmania. 0.10%.   &#10;Rest of Australia. 0.00%. &#10;AFRS 2021. 0.20%.&#10;&#10;&#10;Age 67.&#10;Tasmania. 0.10%.   &#10;Rest of Australia. 0.00%. &#10;AFRS 2021. 0.20%.&#10;&#10;&#10;Age 68.&#10;Tasmania. 0.10%.   &#10;Rest of Australia. 0.00%. &#10;AFRS 2021. 0.20%.&#10;&#10;&#10;Age 69.&#10;Tasmania. 0.10%.   &#10;Rest of Australia. 0.00%. &#10;AFRS 2021. 0.20%.&#10;&#10;&#10;Age 70.&#10;Tasmania. 0.10%.  &#10;Rest of Australia. 0.00%. &#10;AFRS 2021. 0.20%.&#10;&#10;&#10;Age 71.&#10;Tasmania. 0.10%.   &#10;Rest of Australia. 0.00%. &#10;AFRS 2021. 0.20%.&#10;&#10;&#10;Age 72.&#10;Tasmania. 0.10%.   &#10;Rest of Australia. 0.00%. &#10;AFRS 2021. 0.20%.&#10;&#10;&#10;Age 73.&#10;Tasmania. 0.10%.   &#10;Rest of Australia. 0.00%. &#10;AFRS 2021. 0.20%.&#10;&#10;&#10;Age 74.&#10;Tasmania. 0.10%.  &#10;Rest of Australia. 0.00%. &#10;AFRS 2021. 0.20%.&#10;&#10;&#10;Age 75.&#10;Tasmania. 0.20%.   &#10;Rest of Australia. 0.00%. &#10;AFRS 2021. 0.20%.&#10;&#10;&#10;Age 76.&#10;Tasmania. 0.20%.   &#10;Rest of Australia. 0.00%. &#10;AFRS 2021. 0.20%.&#10;&#10;&#10;Age 77.&#10;Tasmania. 0.20%.   &#10;Rest of Australia. 0.00%. &#10;AFRS 2021. 0.20%.&#10;&#10;&#10;Age 78.&#10;Tasmania. 0.20%.   &#10;Rest of Australia. 0.00%. &#10;AFRS 2021. 0.20%.&#10;&#10;&#10;Age 79.&#10;Tasmania. 0.20%.   &#10;Rest of Australia. 0.00%. &#10;AFRS 2021. 0.20%.&#10;&#10;&#10;Age 80.&#10;Tasmania. 0.20%.   &#10;Rest of Australia. 0.00%. &#10;AFRS 2021. 0.20%.&#10;&#10;&#10;Age 81.&#10;Tasmania. 0.20%.   &#10;Rest of Australia. 0.00%. &#10;AFRS 2021. 0.20%.&#10;&#10;&#10;Age 82.&#10;Tasmania. 0.20%.   &#10;Rest of Australia. 0.00%. &#10;AFRS 2021. 0.20%.&#10;&#10;&#10;Age 83.&#10;Tasmania. 0.20%.   &#10;Rest of Australia. 0.00%. &#10;AFRS 2021. 0.20%.&#10;&#10;&#10;Age 84.&#10;Tasmania. 0.20%.   &#10;Rest of Australia. 0.00%. &#10;AFRS 2021. 0.20%.&#10;&#10;&#10;Age 85.&#10;Tasmania. 0.20%.   &#10;Rest of Australia. 0.00%. &#10;AFRS 2021. 0.20%.&#10;&#10;&#10;Age 86.&#10;Tasmania. 0.20%.   &#10;Rest of Australia. 0.00%. &#10;AFRS 2021. 0.20%.&#10;&#10;&#10;Age 87.&#10;Tasmania. 0.20%.   &#10;Rest of Australia. 0.00%. &#10;AFRS 2021. 0.20%.&#10;&#10;&#10;Age 88.&#10;Tasmania. 0.20%.   &#10;Rest of Australia. 0.00%. &#10;AFRS 2021. 0.20%.&#10;&#10;&#10;Age 89.&#10;Tasmania. 0.20%.   &#10;Rest of Australia. 0.00%. &#10;AFRS 2021. 0.20%.&#10;&#10;&#10;Age 90.&#10;Tasmania. 0.20%.   &#10;Rest of Australia. 0.00%. &#10;AFRS 2021. 0.20%.&#10;&#10;&#10;Age 91.&#10;Tasmania. 0.20%.   &#10;Rest of Australia. 0.00%. &#10;AFRS 2021. 0.20%.&#10;&#10;&#10;Age 92.&#10;Tasmania. 0.20%.   &#10;Rest of Australia. 0.00%. &#10;AFRS 2021. 0.20%.&#10;&#10;&#10;Age 93.&#10;Tasmania. 0.20%.   &#10;Rest of Australia. 0.00%. &#10;AFRS 2021. 0.20%.&#10;&#10;&#10;Age 94.&#10;Tasmania. 0.20%.   &#10;Rest of Australia. 0.00%. &#10;AFRS 2021. 0.20%.&#10;&#10;&#10;Age 95.&#10;Tasmania. 0.20%.   &#10;Rest of Australia. 0.00%. &#10;AFRS 2021. 0.20%.&#10;&#10;&#10;&#10;&#10;Ages 0-14 (SA trial)&#10;&#10;Age 0. &#10;South Australia. 0.00%.   &#10;Rest of Australia. 0.00%. &#10;AFRS 2021. -.&#10;&#10;Age 1.&#10;South Australia. 0.00%.   &#10;Rest of Australia. 0.00%. &#10;AFRS 2021. -.&#10;&#10;Age 2.&#10;South Australia. 0.00%.   &#10;Rest of Australia. 0.00%. &#10;AFRS 2021. -.&#10;&#10;&#10;Age 3.&#10;South Australia. 0.00%.   &#10;Rest of Australia. 0.00%. &#10;AFRS 2021. -.&#10;&#10;&#10;Age 4.&#10;South Australia. 0.00%.   &#10;Rest of Australia. 0.00%. &#10;AFRS 2021. -.&#10;&#10;&#10;Age 5.&#10;South Australia. 0.00%.   &#10;Rest of Australia. 0.00%. &#10;AFRS 2021. -.&#10;&#10;&#10;Age 6.&#10;South Australia. 0.00%.   &#10;Rest of Australia. 0.00%. &#10;AFRS 2021. -.&#10;&#10;&#10;Age 7.&#10;South Australia. 0.00%.   &#10;Rest of Australia. 0.00%. &#10;AFRS 2021. -.&#10;&#10;&#10;Age 8.&#10;South Australia. 0.00%.   &#10;Rest of Australia. 0.00%. &#10;AFRS 2021. -.&#10;&#10;&#10;Age 9.&#10;South Australia. 0.00%.   &#10;Rest of Australia. 0.00%. &#10;AFRS 2021. -.&#10;&#10;&#10;Age 10.&#10;South Australia. 0.00%.   &#10;Rest of Australia. 0.00%. &#10;AFRS 2021. -.&#10;&#10;&#10;Age 11.&#10;South Australia. 0.00%.   &#10;Rest of Australia. 0.00%. &#10;AFRS 2021. -.&#10;&#10;&#10;Age 12.&#10;South Australia. 0.00%.   &#10;Rest of Australia. 0.00%. &#10;AFRS 2021. -.&#10;&#10;&#10;Age 13.&#10;South Australia. 0.10%.   &#10;Rest of Australia. 0.00%. &#10;AFRS 2021. -.&#10;&#10;&#10;Age 14.&#10;South Australia. 0.10%.   &#10;Rest of Australia. 0.00%. &#10;AFRS 2021. -.&#10;&#10;&#10;Age 15.&#10;South Australia. 0.10%.   &#10;Rest of Australia. 0.00%. &#10;AFRS 2021. -.&#10;&#10;&#10;Age 16.&#10;South Australia. 0.10%.   &#10;Rest of Australia. 0.00%. &#10;AFRS 2021. -.&#10;&#10;&#10;Age 17.&#10;South Australia. 0.10%.   &#10;Rest of Australia. 0.00%. &#10;AFRS 2021. -.&#10;&#10;&#10;Age 18.&#10;South Australia. 0.10%.   &#10;Rest of Australia. 0.00%. &#10;AFRS 2021. -.&#10;&#10;&#10;Age 19.&#10;South Australia. 0.10%.   &#10;Rest of Australia. 0.00%. &#10;AFRS 2021. -.&#10;&#10;Age 20.&#10;South Australia. 0.10%.   &#10;Rest of Australia. 0.00%. &#10;AFRS 2021. -.&#10;&#10;&#10;Age 21.&#10;South Australia. 0.10%.   &#10;Rest of Australia. 0.00%. &#10;AFRS 2021. -.&#10;&#10;&#10;Age 22.&#10;South Australia. 0.10%.   &#10;Rest of Australia. 0.00%. &#10;AFRS 2021. -.&#10;&#10;&#10;Age 23.&#10;South Australia. 0.10%.   &#10;Rest of Australia. 0.00%. &#10;AFRS 2021. -.&#10;&#10;&#10;Age 24.&#10;South Australia. 0.10%.   &#10;Rest of Australia. 0.10%. &#10;AFRS 2021. -.&#10;&#10;&#10;Age 25.&#10;South Australia. 0.20%.   &#10;Rest of Australia. 0.10%. &#10;AFRS 2021. -.&#10;&#10;&#10;Age 26.&#10;South Australia. 0.20%.   &#10;Rest of Australia. 0.10%. &#10;AFRS 2021. -.&#10;&#10;&#10;Age 27.&#10;South Australia. 0.20%.   &#10;Rest of Australia. 0.10%. &#10;AFRS 2021. -.&#10;&#10;&#10;Age 28.&#10;South Australia. 0.20%.   &#10;Rest of Australia. 0.10%. &#10;AFRS 2021. -.&#10;&#10;&#10;Age 29.&#10;South Australia. 0.20%.   &#10;Rest of Australia. 0.10%. &#10;AFRS 2021. -.&#10;&#10;&#10;Age 30.&#10;South Australia. 0.20%.   &#10;Rest of Australia. 0.10%. &#10;AFRS 2021. -.&#10;&#10;&#10;Age 31.&#10;South Australia. 0.20%.   &#10;Rest of Australia. 0.10%. &#10;AFRS 2021. -.&#10;&#10;&#10;Age 32.&#10;South Australia. 0.20%.   &#10;Rest of Australia. 0.10%. &#10;AFRS 2021. -.&#10;&#10;&#10;Age 33.&#10;South Australia. 0.20%.   &#10;Rest of Australia. 0.10%. &#10;AFRS 2021. -.&#10;&#10;&#10;Age 34.&#10;South Australia. 0.20%.   &#10;Rest of Australia. 0.10%. &#10;AFRS 2021. -.&#10;&#10;&#10;Age 35.&#10;South Australia. 0.20%.   &#10;Rest of Australia. 0.10%. &#10;AFRS 2021. -.&#10;&#10;&#10;Age 36.&#10;South Australia. 0.20%.   &#10;Rest of Australia. 0.10%. &#10;AFRS 2021. -.&#10;&#10;&#10;Age 37.&#10;South Australia. 0.20%.   &#10;Rest of Australia. 0.10%. &#10;AFRS 2021. -.&#10;&#10;&#10;Age 38.&#10;South Australia. 0.20%.   &#10;Rest of Australia. 0.10%. &#10;AFRS 2021. -.&#10;&#10;&#10;Age 39.&#10;South Australia. 0.20%.   &#10;Rest of Australia. 0.10%. &#10;AFRS 2021. -.&#10;&#10;&#10;Age 40.&#10;South Australia. 0.30%.   &#10;Rest of Australia. 0.20%. &#10;AFRS 2021. -.&#10;&#10;&#10;Age 41.&#10;South Australia. 0.30%.   &#10;Rest of Australia. 0.20%. &#10;AFRS 2021. -.&#10;&#10;&#10;Age 42.&#10;South Australia. 0.30%.   &#10;Rest of Australia. 0.20%. &#10;AFRS 2021. -.&#10;&#10;&#10;Age 43.&#10;South Australia. 0.30%.   &#10;Rest of Australia. 0.20%. &#10;AFRS 2021. -.&#10;&#10;&#10;Age 44.&#10;South Australia. 0.30%.   &#10;Rest of Australia. 0.20%. &#10;AFRS 2021. -.&#10;&#10;&#10;Age 45.&#10;South Australia. 0.30%.   &#10;Rest of Australia. 0.20%. &#10;AFRS 2021. -.&#10;&#10;&#10;Age 46.&#10;South Australia. 0.30%.   &#10;Rest of Australia. 0.20%. &#10;AFRS 2021. -.&#10;&#10;&#10;Age 47.&#10;South Australia. 0.40%.   &#10;Rest of Australia. 0.20%. &#10;AFRS 2021. -.&#10;&#10;&#10;Age 48.&#10;South Australia. 0.40%.   &#10;Rest of Australia. 0.20%. &#10;AFRS 2021. -.&#10;&#10;&#10;Age 49.&#10;South Australia. 0.40%.   &#10;Rest of Australia. 0.20%. &#10;AFRS 2021. -.&#10;&#10;&#10;Age 50.&#10;South Australia. 0.40%.   &#10;Rest of Australia. 0.20%. &#10;AFRS 2021. -.&#10;&#10;&#10;Age 51.&#10;South Australia. 0.40%.   &#10;Rest of Australia. 0.20%. &#10;AFRS 2021. -.&#10;&#10;&#10;Age 52.&#10;South Australia. 0.40%.   &#10;Rest of Australia. 0.20%. &#10;AFRS 2021. -.&#10;&#10;&#10;Age 53.&#10;South Australia. 0.40%.   &#10;Rest of Australia. 0.20%. &#10;AFRS 2021. -.&#10;&#10;&#10;Age 54.&#10;South Australia. 0.40%.   &#10;Rest of Australia. 0.30%. &#10;AFRS 2021. -.&#10;&#10;&#10;Age 55.&#10;South Australia. 0.40%.   &#10;Rest of Australia. 0.30%. &#10;AFRS 2021. -.&#10;&#10;&#10;Age 56.&#10;South Australia. 0.40%.   &#10;Rest of Australia. 0.30%. &#10;AFRS 2021. -.&#10;&#10;&#10;Age 57.&#10;South Australia. 0.40%.   &#10;Rest of Australia. 0.30%. &#10;AFRS 2021. -.&#10;&#10;&#10;Age 58.&#10;South Australia. 0.40%.   &#10;Rest of Australia. 0.30%. &#10;AFRS 2021. -.&#10;&#10;&#10;Age 59.&#10;South Australia. 0.40%.   &#10;Rest of Australia. 0.30%. &#10;AFRS 2021. 0.30%.&#10;&#10;&#10;Age 60.&#10;South Australia. 0.40%.   &#10;Rest of Australia. 0.00%. &#10;AFRS 2021. 0.30%.&#10;&#10;&#10;Age 61.&#10;South Australia. 0.40%.   &#10;Rest of Australia. 0.00%. &#10;AFRS 2021. 0.30%.&#10;&#10;&#10;Age 62.&#10;South Australia. 0.40%.   &#10;Rest of Australia. 0.00%. &#10;AFRS 2021. 0.30%.&#10;&#10;&#10;Age 63.&#10;South Australia. 0.40%.   &#10;Rest of Australia. 0.00%. &#10;AFRS 2021. 0.30%.&#10;&#10;&#10;Age 64.&#10;South Australia. 0.40%.   &#10;Rest of Australia. 0.00%. &#10;AFRS 2021. 0.30%.&#10;&#10;&#10;Age 65.&#10;South Australia. 0.40%.  &#10;&#10;Rest of Australia. 0.00%. &#10;AFRS 2021. 0.30%.&#10;&#10;&#10;Age 66.&#10;South Australia. 0.40%.   &#10;Rest of Australia. 0.00%. &#10;AFRS 2021. 0.30%.&#10;&#10;&#10;Age 67.&#10;South Australia. 0.50%.   &#10;Rest of Australia. 0.00%. &#10;AFRS 2021. 0.30%.&#10;&#10;&#10;Age 68.&#10;South Australia. 0.50%.   &#10;Rest of Australia. 0.00%. &#10;AFRS 2021. 0.30%.&#10;&#10;&#10;Age 69.&#10;South Australia. 0.50%.   &#10;Rest of Australia. 0.00%. &#10;AFRS 2021. 0.30%.&#10;&#10;&#10;Age 70.&#10;South Australia. 0.50%.  &#10;Rest of Australia. 0.00%. &#10;AFRS 2021. 0.30%.&#10;&#10;&#10;Age 71.&#10;South Australia. 0.50%.   &#10;Rest of Australia. 0.00%. &#10;AFRS 2021. 0.30%.&#10;&#10;&#10;Age 72.&#10;South Australia. 0.50%.   &#10;Rest of Australia. 0.00%. &#10;AFRS 2021. 0.30%.&#10;&#10;&#10;Age 73.&#10;South Australia. 0.50%.   &#10;Rest of Australia. 0.00%. &#10;AFRS 2021. 0.30%.&#10;&#10;&#10;Age 74.&#10;South Australia. 0.50%.  &#10;Rest of Australia. 0.00%. &#10;AFRS 2021. 0.30%.&#10;&#10;&#10;Age 75.&#10;South Australia. 0.50%.   &#10;Rest of Australia. 0.00%. &#10;AFRS 2021. 0.30%.&#10;&#10;&#10;Age 76.&#10;South Australia. 0.50%.   &#10;Rest of Australia. 0.00%. &#10;AFRS 2021. 0.30%.&#10;&#10;&#10;Age 77.&#10;South Australia. 0.50%.   &#10;Rest of Australia. 0.00%. &#10;AFRS 2021. 0.40%.&#10;&#10;&#10;Age 78.&#10;South Australia. 0.50%.   &#10;Rest of Australia. 0.00%. &#10;AFRS 2021. 0.40%.&#10;&#10;&#10;Age 79.&#10;South Australia. 0.50%.   &#10;Rest of Australia. 0.00%. &#10;AFRS 2021. 0.40%.&#10;&#10;&#10;Age 80.&#10;South Australia. 0.50%.   &#10;Rest of Australia. 0.00%. &#10;AFRS 2021. 0.40%.&#10;&#10;&#10;Age 81.&#10;South Australia. 0.60%.   &#10;Rest of Australia. 0.00%. &#10;AFRS 2021. 0.40%.&#10;&#10;&#10;Age 82.&#10;South Australia. 0.60%.   &#10;Rest of Australia. 0.00%. &#10;AFRS 2021. 0.40%.&#10;&#10;&#10;Age 83.&#10;South Australia. 0.60%.   &#10;Rest of Australia. 0.00%. &#10;AFRS 2021. 0.40%.&#10;&#10;&#10;Age 84.&#10;South Australia. 0.60%.   &#10;Rest of Australia. 0.00%. &#10;AFRS 2021. 0.40%.&#10;&#10;&#10;Age 85.&#10;South Australia. 0.60%.   &#10;Rest of Australia. 0.00%. &#10;AFRS 2021. 0.40%.&#10;&#10;&#10;Age 86.&#10;South Australia. 0.60%.   &#10;Rest of Australia. 0.00%. &#10;AFRS 2021. 0.40%.&#10;&#10;&#10;Age 87.&#10;South Australia. 0.60%.   &#10;Rest of Australia. 0.00%. &#10;AFRS 2021. 0.40%.&#10;&#10;&#10;Age 88.&#10;South Australia. 0.60%.   &#10;Rest of Australia. 0.00%. &#10;AFRS 2021. 0.40%.&#10;&#10;&#10;Age 89.&#10;South Australia. 0.60%.   &#10;Rest of Australia. 0.00%. &#10;AFRS 2021. 0.40%.&#10;&#10;&#10;Age 90.&#10;South Australia. 0.60%.   &#10;Rest of Australia. 0.00%. &#10;AFRS 2021. 0.40%.&#10;&#10;&#10;Age 91.&#10;South Australia. 0.60%.   &#10;Rest of Australia. 0.00%. &#10;AFRS 2021. 0.40%.&#10;&#10;&#10;Age 92.&#10;South Australia. 0.60%.   &#10;Rest of Australia. 0.00%. &#10;AFRS 2021. 0.40%.&#10;&#10;&#10;Age 93.&#10;South Australia. 0.60%.   &#10;Rest of Australia. 0.00%. &#10;AFRS 2021. 0.40%.&#10;&#10;&#10;Age 94.&#10;South Australia. 0.60%.   &#10;Rest of Australia. 0.00%. &#10;AFRS 2021. 0.40%.&#10;&#10;&#10;Age 95.&#10;South Australia. 0.60%.   &#10;Rest of Australia. 0.00%. &#10;AFRS 2021.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Barwon and Hunter (all ages)&#10;&#10;Age 0. &#10;Barwon. 0.00%.  &#10;Hunter. 0.00%.  &#10;Rest of Australia. 0.00%. &#10;AFRS 2021. -.&#10;&#10;Age 1.&#10;Barwon. 0.00%.  &#10;Hunter. 0.00%.  &#10;Rest of Australia. 0.00%. &#10;AFRS 2021. -.&#10;&#10;Age 2.&#10;Barwon. 0.00%.  &#10;Hunter. 0.00%.   &#10;Rest of Australia. 0.00%. &#10;AFRS 2021. -.&#10;&#10;&#10;Age 3.&#10;Barwon. 0.00%.  &#10;Hunter. 0.00%.   &#10;Rest of Australia. 0.00%. &#10;AFRS 2021. -.&#10;&#10;&#10;Age 4.&#10;Barwon. 0.00%.  &#10;Hunter. 0.00%.   &#10;Rest of Australia. 0.00%. &#10;AFRS 2021. -.&#10;&#10;&#10;Age 5.&#10;Barwon. 0.00%. &#10;Hunter. 0.00%.   &#10;Rest of Australia. 0.00%. &#10;AFRS 2021. -.&#10;&#10;&#10;Age 6.&#10;Barwon. 0.00%. &#10;Hunter. 0.00%.   &#10;Rest of Australia. 0.00%. &#10;AFRS 2021. -.&#10;&#10;&#10;Age 7.&#10;Barwon. 0.00%.&#10;Hunter. 0.00%.   &#10;Rest of Australia. 0.00%. &#10;AFRS 2021. -.&#10;&#10;&#10;Age 8.&#10;Barwon. 0.00%.  &#10;Hunter. 0.00%.  &#10;Rest of Australia. 0.00%. &#10;AFRS 2021. -.&#10;&#10;&#10;Age 9.&#10;Barwon. 0.00%. &#10;Hunter. 0.00%.   &#10;Rest of Australia. 0.00%. &#10;AFRS 2021. -.&#10;&#10;&#10;Age 10.&#10;Barwon. 0.00%.  &#10;Hunter. 0.00%.  &#10;Rest of Australia. 0.00%. &#10;AFRS 2021. -.&#10;&#10;&#10;Age 11.&#10;Barwon. 0.00%.&#10;Hunter. 0.00%.    &#10;Rest of Australia. 0.00%. &#10;AFRS 2021. -.&#10;&#10;&#10;Age 12.&#10;Barwon. 0.00%. &#10;Hunter. 0.00%.   &#10;Rest of Australia. 0.00%. &#10;AFRS 2021. -.&#10;&#10;&#10;Age 13.&#10;Barwon. 0.00%. &#10;Hunter. 0.00%.   &#10;Rest of Australia. 0.00%. &#10;AFRS 2021. -.&#10;&#10;&#10;Age 14.&#10;Barwon. 0.00%. &#10;Hunter. 0.00%.   &#10;Rest of Australia. 0.00%. &#10;AFRS 2021. -.&#10;&#10;&#10;Age 15.&#10;Barwon. 0.00%.  &#10;Hunter. 0.00%.  &#10;Rest of Australia. 0.00%. &#10;AFRS 2021. -.&#10;&#10;&#10;Age 16.&#10;Barwon. 0.00%. &#10;Hunter. 0.00%.   &#10;Rest of Australia. 0.00%. &#10;AFRS 2021. -.&#10;&#10;&#10;Age 17.&#10;Barwon. 0.10%. &#10;Hunter. 0.10%.   &#10;Rest of Australia. 0.00%. &#10;AFRS 2021. -.&#10;&#10;&#10;Age 18.&#10;Barwon. 0.10%.  &#10;Hunter. 0.10%.  &#10;Rest of Australia. 0.00%. &#10;AFRS 2021. -.&#10;&#10;&#10;Age 19.&#10;Barwon. 0.10%.  &#10;Hunter. 0.10%.  &#10;Rest of Australia. 0.00%. &#10;AFRS 2021. -.&#10;&#10;Age 20.&#10;Barwon. 0.10%. &#10;Hunter. 0.10%.   &#10;Rest of Australia. 0.00%. &#10;AFRS 2021. -.&#10;&#10;&#10;Age 21.&#10;Barwon. 0.10%. &#10;Hunter. 0.10%.   &#10;Rest of Australia. 0.00%. &#10;AFRS 2021. -.&#10;&#10;&#10;Age 22.&#10;Barwon. 0.10%. &#10;Hunter. 0.10%.   &#10;Rest of Australia. 0.00%. &#10;AFRS 2021. -.&#10;&#10;&#10;Age 23.&#10;Barwon. 0.10%. &#10;Hunter. 0.10%.   &#10;Rest of Australia. 0.00%. &#10;AFRS 2021. -.&#10;&#10;&#10;Age 24.&#10;Barwon. 0.10%. &#10;Hunter. 0.10%.   &#10;Rest of Australia. 0.00%. &#10;AFRS 2021. -.&#10;&#10;&#10;Age 25.&#10;Barwon. 0.10%. &#10;Hunter. 0.10%.   &#10;Rest of Australia. 0.00%. &#10;AFRS 2021. -.&#10;&#10;&#10;Age 26.&#10;Barwon. 0.10%. &#10;Hunter. 0.10%.   &#10;Rest of Australia. 0.00%. &#10;AFRS 2021. -.&#10;&#10;&#10;Age 27.&#10;Barwon. 0.10%. &#10;Hunter. 0.10%.   &#10;Rest of Australia. 0.10%. &#10;AFRS 2021. -.&#10;&#10;&#10;Age 28.&#10;Barwon. 0.10%.  &#10;Hunter. 0.10%.  &#10;Rest of Australia. 0.10%. &#10;AFRS 2021. -.&#10;&#10;&#10;Age 29.&#10;Barwon. 0.10%. &#10;Hunter. 0.10%.   &#10;Rest of Australia. 0.10%. &#10;AFRS 2021. -.&#10;&#10;&#10;Age 30.&#10;Barwon. 0.10%. &#10;Hunter. 0.10%.   &#10;Rest of Australia. 0.10%. &#10;AFRS 2021. -.&#10;&#10;&#10;Age 31.&#10;Barwon. 0.10%. &#10;Hunter. 0.10%.   &#10;Rest of Australia. 0.10%. &#10;AFRS 2021. -.&#10;&#10;&#10;Age 32.&#10;Barwon. 0.10%. &#10;Hunter. 0.10%.   &#10;Rest of Australia. 0.10%. &#10;AFRS 2021. -.&#10;&#10;&#10;Age 33.&#10;Barwon. 0.10%. &#10;Hunter. 0.10%.   &#10;Rest of Australia. 0.10%. &#10;AFRS 2021. -.&#10;&#10;&#10;Age 34.&#10;Barwon. 0.10%. &#10;Hunter. 0.20%.   &#10;Rest of Australia. 0.10%. &#10;AFRS 2021. -.&#10;&#10;&#10;Age 35.&#10;Barwon. 0.10%. &#10;Hunter. 0.20%.   &#10;Rest of Australia. 0.10%. &#10;AFRS 2021. -.&#10;&#10;&#10;Age 36.&#10;Barwon. 0.10%. &#10;Hunter. 0.20%.   &#10;Rest of Australia. 0.10%. &#10;AFRS 2021. -.&#10;&#10;&#10;Age 37.&#10;Barwon. 0.10%. &#10;Hunter. 0.20%.   &#10;Rest of Australia. 0.10%. &#10;AFRS 2021. -.&#10;&#10;&#10;Age 38.&#10;Barwon. 0.10%.  &#10;Hunter. 0.20%.  &#10;Rest of Australia. 0.10%. &#10;AFRS 2021. -.&#10;&#10;&#10;Age 39.&#10;Barwon. 0.10%. &#10;Hunter. 0.20%.   &#10;Rest of Australia. 0.10%. &#10;AFRS 2021. -.&#10;&#10;&#10;Age 40.&#10;Barwon. 0.10%. &#10;Hunter. 0.20%.   &#10;Rest of Australia. 0.10%. &#10;AFRS 2021. -.&#10;&#10;&#10;Age 41.&#10;Barwon. 0.20%. &#10;Hunter. 0.30%.   &#10;Rest of Australia. 0.10%. &#10;AFRS 2021. -.&#10;&#10;&#10;Age 42.&#10;Barwon. 0.20%. &#10;Hunter. 0.30%.   &#10;Rest of Australia. 0.10%. &#10;AFRS 2021. -.&#10;&#10;&#10;Age 43.&#10;Barwon. 0.20%. &#10;Hunter. 0.30%.   &#10;Rest of Australia. 0.10%. &#10;AFRS 2021. -.&#10;&#10;&#10;Age 44.&#10;Barwon. 0.20%.&#10;Hunter. 0.30%.    &#10;Rest of Australia. 0.10%. &#10;AFRS 2021. -.&#10;&#10;&#10;Age 45.&#10;Barwon. 0.20%.&#10;Hunter. 0.30%.    &#10;Rest of Australia. 0.20%. &#10;AFRS 2021. -.&#10;&#10;&#10;Age 46.&#10;Barwon. 0.20%. &#10;Hunter. 0.30%.   &#10;Rest of Australia. 0.20%. &#10;AFRS 2021. -.&#10;&#10;&#10;Age 47.&#10;Barwon. 0.20%. &#10;Hunter. 0.30%.   &#10;Rest of Australia. 0.20%. &#10;AFRS 2021. -.&#10;&#10;&#10;Age 48.&#10;Barwon. 0.20%. &#10;Hunter. 0.30%.   &#10;Rest of Australia. 0.20%. &#10;AFRS 2021. -.&#10;&#10;&#10;Age 49.&#10;Barwon. 0.20%. &#10;Hunter. 0.30%.   &#10;Rest of Australia. 0.20%. &#10;AFRS 2021. -.&#10;&#10;&#10;Age 50.&#10;Barwon. 0.20%. &#10;Hunter. 0.30%.   &#10;Rest of Australia. 0.20%. &#10;AFRS 2021. -.&#10;&#10;&#10;Age 51.&#10;Barwon. 0.20%. &#10;Hunter. 0.30%.   &#10;Rest of Australia. 0.20%. &#10;AFRS 2021. -.&#10;&#10;&#10;Age 52.&#10;Barwon. 0.20%. &#10;Hunter. 0.30%.   &#10;Rest of Australia. 0.20%. &#10;AFRS 2021. -.&#10;&#10;&#10;Age 53.&#10;Barwon. 0.20%. &#10;Hunter. 0.30%.   &#10;Rest of Australia. 0.20%. &#10;AFRS 2021. -.&#10;&#10;&#10;Age 54.&#10;Barwon. 0.20%.&#10;Hunter. 0.30%.    &#10;Rest of Australia. 0.20%. &#10;AFRS 2021. -.&#10;&#10;&#10;Age 55.&#10;Barwon. 0.20%. &#10;Hunter. 0.30%.   &#10;Rest of Australia. 0.20%. &#10;AFRS 2021. -.&#10;&#10;&#10;Age 56.&#10;Barwon. 0.20%. &#10;Hunter. 0.30%.   &#10;Rest of Australia. 0.20%. &#10;AFRS 2021. -.&#10;&#10;&#10;Age 57.&#10;Barwon. 0.20%. &#10;Hunter. 0.30%.   &#10;Rest of Australia. 0.20%. &#10;AFRS 2021. -.&#10;&#10;&#10;Age 58.&#10;Barwon. 0.20%.  &#10;Hunter. 0.30%.  &#10;Rest of Australia. 0.20%. &#10;AFRS 2021. -.&#10;&#10;&#10;Age 59.&#10;Barwon. 0.20%. &#10;Hunter. 0.30%.   &#10;Rest of Australia. 0.20%. &#10;AFRS 2021. 0.20%.&#10;&#10;&#10;Age 60.&#10;Barwon. 0.20%. &#10;Hunter. 0.30%.   &#10;Rest of Australia. 0.00%. &#10;AFRS 2021. 0.20%.&#10;&#10;&#10;Age 61.&#10;Barwon. 0.20%. &#10;Hunter. 0.30%.   &#10;Rest of Australia. 0.00%. &#10;AFRS 2021. 0.20%.&#10;&#10;&#10;Age 62.&#10;Barwon. 0.20%. &#10;Hunter. 0.40%.   &#10;Rest of Australia. 0.00%. &#10;AFRS 2021. 0.20%.&#10;&#10;&#10;Age 63.&#10;Barwon. 0.20%.  &#10;Hunter. 0.40%.  &#10;Rest of Australia. 0.00%. &#10;AFRS 2021. 0.20%.&#10;&#10;&#10;Age 64.&#10;Barwon. 0.30%.  &#10;Hunter. 0.40%.  &#10;Rest of Australia. 0.00%. &#10;AFRS 2021. 0.20%.&#10;&#10;&#10;Age 65.&#10;Barwon. 0.30%.   &#10;Hunter. 0.40%.&#10;Rest of Australia. 0.00%. &#10;AFRS 2021. 0.20%.&#10;&#10;&#10;Age 66.&#10;Barwon. 0.30%. &#10;Hunter. 0.40%.   &#10;Rest of Australia. 0.00%. &#10;AFRS 2021. 0.20%.&#10;&#10;&#10;Age 67.&#10;Barwon. 0.30%. &#10;Hunter. 0.40%.   &#10;Rest of Australia. 0.00%. &#10;AFRS 2021. 0.20%.&#10;&#10;&#10;Age 68.&#10;Barwon. 0.30%. &#10;Hunter. 0.40%.   &#10;Rest of Australia. 0.00%. &#10;AFRS 2021. 0.20%.&#10;&#10;&#10;Age 69.&#10;Barwon. 0.30%. &#10;Hunter. 0.40%.   &#10;Rest of Australia. 0.00%. &#10;AFRS 2021. 0.20%.&#10;&#10;&#10;Age 70.&#10;Barwon. 0.30%. &#10;Hunter. 0.40%.  &#10;Rest of Australia. 0.00%. &#10;AFRS 2021. 0.30%.&#10;&#10;&#10;Age 71.&#10;Barwon. 0.30%. &#10;Hunter. 0.40%.   &#10;Rest of Australia. 0.00%. &#10;AFRS 2021. 0.30%.&#10;&#10;&#10;Age 72.&#10;Barwon. 0.30%. &#10;Hunter. 0.40%.   &#10;Rest of Australia. 0.00%. &#10;AFRS 2021. 0.30%.&#10;&#10;&#10;Age 73.&#10;Barwon. 0.30%. &#10;Hunter. 0.40%.   &#10;Rest of Australia. 0.00%. &#10;AFRS 2021. 0.30%.&#10;&#10;&#10;Age 74.&#10;Barwon. 0.30%. &#10;Hunter. 0.40%.  &#10;Rest of Australia. 0.00%. &#10;AFRS 2021. 0.30%.&#10;&#10;&#10;Age 75.&#10;Barwon. 0.30%. &#10;Hunter. 0.40%.   &#10;Rest of Australia. 0.00%. &#10;AFRS 2021. 0.30%.&#10;&#10;&#10;Age 76.&#10;Barwon. 0.30%.   &#10;Hunter. 0.40%. &#10;Rest of Australia. 0.00%. &#10;AFRS 2021. 0.30%.&#10;&#10;&#10;Age 77.&#10;Barwon. 0.30%.&#10;Hunter. 0.40%.    &#10;Rest of Australia. 0.00%. &#10;AFRS 2021. 0.30%.&#10;&#10;&#10;Age 78.&#10;Barwon. 0.30%. &#10;Hunter. 0.40%.   &#10;Rest of Australia. 0.00%. &#10;AFRS 2021. 0.30%.&#10;&#10;&#10;Age 79.&#10;Barwon. 0.30%. &#10;Hunter. 0.40%.   &#10;Rest of Australia. 0.00%. &#10;AFRS 2021. 0.30%.&#10;&#10;&#10;Age 80.&#10;Barwon. 0.30%. &#10;Hunter. 0.40%.   &#10;Rest of Australia. 0.00%. &#10;AFRS 2021. 0.30%.&#10;&#10;&#10;Age 81.&#10;Barwon. 0.30%. &#10;Hunter. 0.40%.   &#10;Rest of Australia. 0.00%. &#10;AFRS 2021. 0.30%.&#10;&#10;&#10;Age 82.&#10;Barwon. 0.30%. &#10;Hunter. 0.40%.   &#10;Rest of Australia. 0.00%. &#10;AFRS 2021. 0.30%.&#10;&#10;&#10;Age 83.&#10;Barwon. 0.30%. &#10;Hunter. 0.40%.   &#10;Rest of Australia. 0.00%. &#10;AFRS 2021. 0.30%.&#10;&#10;&#10;Age 84.&#10;Barwon. 0.30%. &#10;Hunter. 0.50%.   &#10;Rest of Australia. 0.00%. &#10;AFRS 2021. 0.30%.&#10;&#10;&#10;Age 85.&#10;Barwon. 0.30%. &#10;Hunter. 0.50%.   &#10;Rest of Australia. 0.00%. &#10;AFRS 2021. 0.30%.&#10;&#10;&#10;Age 86.&#10;Barwon. 0.30%. &#10;Hunter. 0.50%.   &#10;Rest of Australia. 0.00%. &#10;AFRS 2021. 0.30%.&#10;&#10;&#10;Age 87.&#10;Barwon. 0.40%. &#10;Hunter. 0.50%.   &#10;Rest of Australia. 0.00%. &#10;AFRS 2021. 0.30%.&#10;&#10;&#10;Age 88.&#10;Barwon. 0.40%. &#10;Hunter. 0.50%.   &#10;Rest of Australia. 0.00%. &#10;AFRS 2021. 0.30%.&#10;&#10;&#10;Age 89.&#10;Barwon. 0.40%. &#10;Hunter. 0.50%.   &#10;Rest of Australia. 0.00%. &#10;AFRS 2021. 0.30%.&#10;&#10;&#10;Age 90.&#10;Barwon. 0.40%. &#10;Hunter. 0.50%.   &#10;Rest of Australia. 0.00%. &#10;AFRS 2021. 0.30%.&#10;&#10;&#10;Age 91.&#10;Barwon. 0.40%. &#10;Hunter. 0.50%.   &#10;Rest of Australia. 0.00%. &#10;AFRS 2021. 0.30%.&#10;&#10;&#10;Age 92.&#10;Barwon. 0.40%. &#10;Hunter. 0.50%.   &#10;Rest of Australia. 0.00%. &#10;AFRS 2021. 0.30%.&#10;&#10;&#10;Age 93.&#10;Barwon. 0.40%. &#10;Hunter. 0.50%.   &#10;Rest of Australia. 0.00%. &#10;AFRS 2021. 0.30%.&#10;&#10;&#10;Age 94.&#10;Barwon. 0.40%. &#10;Hunter. 0.50%.   &#10;Rest of Australia. 0.00%. &#10;AFRS 2021. 0.30%.&#10;&#10;&#10;Age 95.&#10;Barwon. 0.40%.   &#10;Hunter. 0.50%. &#10;Rest of Australia. 0.00%. &#10;AFRS 2021. 0.30%.&#10;&#10;&#10;&#10;&#10;Ages 15-24 (TAS trial)&#10;Age 0. &#10;Tasmania. 0.00%.   &#10;Rest of Australia. 0.00%. &#10;AFRS 2021. -.&#10;&#10;Age 1.&#10;Tasmania. 0.00%.   &#10;Rest of Australia. 0.00%. &#10;AFRS 2021. -.&#10;&#10;Age 2.&#10;Tasmania. 0.00%.   &#10;Rest of Australia. 0.00%. &#10;AFRS 2021. -.&#10;&#10;&#10;Age 3.&#10;Tasmania. 0.00%.   &#10;Rest of Australia. 0.00%. &#10;AFRS 2021. -.&#10;&#10;&#10;Age 4.&#10;Tasmania. 0.00%.   &#10;Rest of Australia. 0.00%. &#10;AFRS 2021. -.&#10;&#10;&#10;Age 5.&#10;Tasmania. 0.00%.   &#10;Rest of Australia. 0.00%. &#10;AFRS 2021. -.&#10;&#10;&#10;Age 6.&#10;Tasmania. 0.00%.   &#10;Rest of Australia. 0.00%. &#10;AFRS 2021. -.&#10;&#10;&#10;Age 7.&#10;Tasmania. 0.00%.   &#10;Rest of Australia. 0.00%. &#10;AFRS 2021. -.&#10;&#10;&#10;Age 8.&#10;Tasmania. 0.00%.   &#10;Rest of Australia. 0.00%. &#10;AFRS 2021. -.&#10;&#10;&#10;Age 9.&#10;Tasmania. 0.00%.   &#10;Rest of Australia. 0.00%. &#10;AFRS 2021. -.&#10;&#10;&#10;Age 10.&#10;Tasmania. 0.00%.   &#10;Rest of Australia. 0.00%. &#10;AFRS 2021. -.&#10;&#10;&#10;Age 11.&#10;Tasmania. 0.00%.   &#10;Rest of Australia. 0.00%. &#10;AFRS 2021. -.&#10;&#10;&#10;Age 12.&#10;Tasmania. 0.00%.   &#10;Rest of Australia. 0.00%. &#10;AFRS 2021. -.&#10;&#10;&#10;Age 13.&#10;Tasmania. 0.00%.   &#10;Rest of Australia. 0.00%. &#10;AFRS 2021. -.&#10;&#10;&#10;Age 14.&#10;Tasmania. 0.00%.   &#10;Rest of Australia. 0.00%. &#10;AFRS 2021. -.&#10;&#10;&#10;Age 15.&#10;Tasmania. 0.00%.   &#10;Rest of Australia. 0.00%. &#10;AFRS 2021. -.&#10;&#10;&#10;Age 16.&#10;Tasmania. 0.00%.   &#10;Rest of Australia. 0.00%. &#10;AFRS 2021. -.&#10;&#10;&#10;Age 17.&#10;Tasmania. 0.00%.   &#10;Rest of Australia. 0.00%. &#10;AFRS 2021. -.&#10;&#10;&#10;Age 18.&#10;Tasmania. 0.00%.   &#10;Rest of Australia. 0.00%. &#10;AFRS 2021. -.&#10;&#10;&#10;Age 19.&#10;Tasmania. 0.00%.   &#10;Rest of Australia. 0.00%. &#10;AFRS 2021. -.&#10;&#10;Age 20.&#10;Tasmania. 0.00%.   &#10;Rest of Australia. 0.00%. &#10;AFRS 2021. -.&#10;&#10;&#10;Age 21.&#10;Tasmania. 0.00%.   &#10;Rest of Australia. 0.00%. &#10;AFRS 2021. -.&#10;&#10;&#10;Age 22.&#10;Tasmania. 0.00%.   &#10;Rest of Australia. 0.00%. &#10;AFRS 2021. -.&#10;&#10;&#10;Age 23.&#10;Tasmania. 0.00%.   &#10;Rest of Australia. 0.00%. &#10;AFRS 2021. -.&#10;&#10;&#10;Age 24.&#10;Tasmania. 0.00%.   &#10;Rest of Australia. 0.00%. &#10;AFRS 2021. -.&#10;&#10;&#10;Age 25.&#10;Tasmania. 0.00%.   &#10;Rest of Australia. 0.00%. &#10;AFRS 2021. -.&#10;&#10;&#10;Age 26.&#10;Tasmania. 0.00%.   &#10;Rest of Australia. 0.00%. &#10;AFRS 2021. -.&#10;&#10;&#10;Age 27.&#10;Tasmania. 0.00%.   &#10;Rest of Australia. 0.00%. &#10;AFRS 2021. -.&#10;&#10;&#10;Age 28.&#10;Tasmania. 0.00%.   &#10;Rest of Australia. 0.00%. &#10;AFRS 2021. -.&#10;&#10;&#10;Age 29.&#10;Tasmania. 0.00%.   &#10;Rest of Australia. 0.00%. &#10;AFRS 2021. -.&#10;&#10;&#10;Age 30.&#10;Tasmania. 0.00%.   &#10;Rest of Australia. 0.00%. &#10;AFRS 2021. -.&#10;&#10;&#10;Age 31.&#10;Tasmania. 0.10%.   &#10;Rest of Australia. 0.00%. &#10;AFRS 2021. -.&#10;&#10;&#10;Age 32.&#10;Tasmania. 0.10%.   &#10;Rest of Australia. 0.00%. &#10;AFRS 2021. -.&#10;&#10;&#10;Age 33.&#10;Tasmania. 0.10%.   &#10;Rest of Australia. 0.00%. &#10;AFRS 2021. -.&#10;&#10;&#10;Age 34.&#10;Tasmania. 0.10%.   &#10;Rest of Australia. 0.00%. &#10;AFRS 2021. -.&#10;&#10;&#10;Age 35.&#10;Tasmania. 0.10%.   &#10;Rest of Australia. 0.10%. &#10;AFRS 2021. -.&#10;&#10;&#10;Age 36.&#10;Tasmania. 0.10%.   &#10;Rest of Australia. 0.10%. &#10;AFRS 2021. -.&#10;&#10;&#10;Age 37.&#10;Tasmania. 0.10%.   &#10;Rest of Australia. 0.10%. &#10;AFRS 2021. -.&#10;&#10;&#10;Age 38.&#10;Tasmania. 0.10%.   &#10;Rest of Australia. 0.10%. &#10;AFRS 2021. -.&#10;&#10;&#10;Age 39.&#10;Tasmania. 0.10%.   &#10;Rest of Australia. 0.10%. &#10;AFRS 2021. -.&#10;&#10;&#10;Age 40.&#10;Tasmania. 0.10%.   &#10;Rest of Australia. 0.10%. &#10;AFRS 2021. -.&#10;&#10;&#10;Age 41.&#10;Tasmania. 0.10%.   &#10;Rest of Australia. 0.10%. &#10;AFRS 2021. -.&#10;&#10;&#10;Age 42.&#10;Tasmania. 0.10%.   &#10;Rest of Australia. 0.10%. &#10;AFRS 2021. -.&#10;&#10;&#10;Age 43.&#10;Tasmania. 0.10%.   &#10;Rest of Australia. 0.10%. &#10;AFRS 2021. -.&#10;&#10;&#10;Age 44.&#10;Tasmania. 0.10%.   &#10;Rest of Australia. 0.10%. &#10;AFRS 2021. -.&#10;&#10;&#10;Age 45.&#10;Tasmania. 0.10%.   &#10;Rest of Australia. 0.10%. &#10;AFRS 2021. -.&#10;&#10;&#10;Age 46.&#10;Tasmania. 0.10%.   &#10;Rest of Australia. 0.10%. &#10;AFRS 2021. -.&#10;&#10;&#10;Age 47.&#10;Tasmania. 0.10%.   &#10;Rest of Australia. 0.10%. &#10;AFRS 2021. -.&#10;&#10;&#10;Age 48.&#10;Tasmania. 0.10%.   &#10;Rest of Australia. 0.10%. &#10;AFRS 2021. -.&#10;&#10;&#10;Age 49.&#10;Tasmania. 0.10%.   &#10;Rest of Australia. 0.10%. &#10;AFRS 2021. -.&#10;&#10;&#10;Age 50.&#10;Tasmania. 0.10%.   &#10;Rest of Australia. 0.10%. &#10;AFRS 2021. -.&#10;&#10;&#10;Age 51.&#10;Tasmania. 0.10%.   &#10;Rest of Australia. 0.10%. &#10;AFRS 2021. -.&#10;&#10;&#10;Age 52.&#10;Tasmania. 0.10%.   &#10;Rest of Australia. 0.10%. &#10;AFRS 2021. -.&#10;&#10;&#10;Age 53.&#10;Tasmania. 0.10%.   &#10;Rest of Australia. 0.10%. &#10;AFRS 2021. -.&#10;&#10;&#10;Age 54.&#10;Tasmania. 0.10%.   &#10;Rest of Australia. 0.10%. &#10;AFRS 2021. -.&#10;&#10;&#10;Age 55.&#10;Tasmania. 0.10%.   &#10;Rest of Australia. 0.10%. &#10;AFRS 2021. -.&#10;&#10;&#10;Age 56.&#10;Tasmania. 0.10%.   &#10;Rest of Australia. 0.10%. &#10;AFRS 2021. -.&#10;&#10;&#10;Age 57.&#10;Tasmania. 0.10%.   &#10;Rest of Australia. 0.10%. &#10;AFRS 2021. -.&#10;&#10;&#10;Age 58.&#10;Tasmania. 0.10%.   &#10;Rest of Australia. 0.10%. &#10;AFRS 2021. -.&#10;&#10;&#10;Age 59.&#10;Tasmania. 0.10%.   &#10;Rest of Australia. 0.10%. &#10;AFRS 2021. 0.10%.&#10;&#10;&#10;Age 60.&#10;Tasmania. 0.10%.   &#10;Rest of Australia. 0.00%. &#10;AFRS 2021. 0.10%.&#10;&#10;&#10;Age 61.&#10;Tasmania. 0.10%.   &#10;Rest of Australia. 0.00%. &#10;AFRS 2021. 0.20%.&#10;&#10;&#10;Age 62.&#10;Tasmania. 0.10%.   &#10;Rest of Australia. 0.00%. &#10;AFRS 2021. 0.20%.&#10;&#10;&#10;Age 63.&#10;Tasmania. 0.10%.   &#10;Rest of Australia. 0.00%. &#10;AFRS 2021. 0.20%.&#10;&#10;&#10;Age 64.&#10;Tasmania. 0.10%.   &#10;Rest of Australia. 0.00%. &#10;AFRS 2021. 0.20%.&#10;&#10;&#10;Age 65.&#10;Tasmania. 0.10%.  &#10;&#10;Rest of Australia. 0.00%. &#10;AFRS 2021. 0.20%.&#10;&#10;&#10;Age 66.&#10;Tasmania. 0.10%.   &#10;Rest of Australia. 0.00%. &#10;AFRS 2021. 0.20%.&#10;&#10;&#10;Age 67.&#10;Tasmania. 0.10%.   &#10;Rest of Australia. 0.00%. &#10;AFRS 2021. 0.20%.&#10;&#10;&#10;Age 68.&#10;Tasmania. 0.10%.   &#10;Rest of Australia. 0.00%. &#10;AFRS 2021. 0.20%.&#10;&#10;&#10;Age 69.&#10;Tasmania. 0.10%.   &#10;Rest of Australia. 0.00%. &#10;AFRS 2021. 0.20%.&#10;&#10;&#10;Age 70.&#10;Tasmania. 0.10%.  &#10;Rest of Australia. 0.00%. &#10;AFRS 2021. 0.20%.&#10;&#10;&#10;Age 71.&#10;Tasmania. 0.10%.   &#10;Rest of Australia. 0.00%. &#10;AFRS 2021. 0.20%.&#10;&#10;&#10;Age 72.&#10;Tasmania. 0.10%.   &#10;Rest of Australia. 0.00%. &#10;AFRS 2021. 0.20%.&#10;&#10;&#10;Age 73.&#10;Tasmania. 0.10%.   &#10;Rest of Australia. 0.00%. &#10;AFRS 2021. 0.20%.&#10;&#10;&#10;Age 74.&#10;Tasmania. 0.10%.  &#10;Rest of Australia. 0.00%. &#10;AFRS 2021. 0.20%.&#10;&#10;&#10;Age 75.&#10;Tasmania. 0.20%.   &#10;Rest of Australia. 0.00%. &#10;AFRS 2021. 0.20%.&#10;&#10;&#10;Age 76.&#10;Tasmania. 0.20%.   &#10;Rest of Australia. 0.00%. &#10;AFRS 2021. 0.20%.&#10;&#10;&#10;Age 77.&#10;Tasmania. 0.20%.   &#10;Rest of Australia. 0.00%. &#10;AFRS 2021. 0.20%.&#10;&#10;&#10;Age 78.&#10;Tasmania. 0.20%.   &#10;Rest of Australia. 0.00%. &#10;AFRS 2021. 0.20%.&#10;&#10;&#10;Age 79.&#10;Tasmania. 0.20%.   &#10;Rest of Australia. 0.00%. &#10;AFRS 2021. 0.20%.&#10;&#10;&#10;Age 80.&#10;Tasmania. 0.20%.   &#10;Rest of Australia. 0.00%. &#10;AFRS 2021. 0.20%.&#10;&#10;&#10;Age 81.&#10;Tasmania. 0.20%.   &#10;Rest of Australia. 0.00%. &#10;AFRS 2021. 0.20%.&#10;&#10;&#10;Age 82.&#10;Tasmania. 0.20%.   &#10;Rest of Australia. 0.00%. &#10;AFRS 2021. 0.20%.&#10;&#10;&#10;Age 83.&#10;Tasmania. 0.20%.   &#10;Rest of Australia. 0.00%. &#10;AFRS 2021. 0.20%.&#10;&#10;&#10;Age 84.&#10;Tasmania. 0.20%.   &#10;Rest of Australia. 0.00%. &#10;AFRS 2021. 0.20%.&#10;&#10;&#10;Age 85.&#10;Tasmania. 0.20%.   &#10;Rest of Australia. 0.00%. &#10;AFRS 2021. 0.20%.&#10;&#10;&#10;Age 86.&#10;Tasmania. 0.20%.   &#10;Rest of Australia. 0.00%. &#10;AFRS 2021. 0.20%.&#10;&#10;&#10;Age 87.&#10;Tasmania. 0.20%.   &#10;Rest of Australia. 0.00%. &#10;AFRS 2021. 0.20%.&#10;&#10;&#10;Age 88.&#10;Tasmania. 0.20%.   &#10;Rest of Australia. 0.00%. &#10;AFRS 2021. 0.20%.&#10;&#10;&#10;Age 89.&#10;Tasmania. 0.20%.   &#10;Rest of Australia. 0.00%. &#10;AFRS 2021. 0.20%.&#10;&#10;&#10;Age 90.&#10;Tasmania. 0.20%.   &#10;Rest of Australia. 0.00%. &#10;AFRS 2021. 0.20%.&#10;&#10;&#10;Age 91.&#10;Tasmania. 0.20%.   &#10;Rest of Australia. 0.00%. &#10;AFRS 2021. 0.20%.&#10;&#10;&#10;Age 92.&#10;Tasmania. 0.20%.   &#10;Rest of Australia. 0.00%. &#10;AFRS 2021. 0.20%.&#10;&#10;&#10;Age 93.&#10;Tasmania. 0.20%.   &#10;Rest of Australia. 0.00%. &#10;AFRS 2021. 0.20%.&#10;&#10;&#10;Age 94.&#10;Tasmania. 0.20%.   &#10;Rest of Australia. 0.00%. &#10;AFRS 2021. 0.20%.&#10;&#10;&#10;Age 95.&#10;Tasmania. 0.20%.   &#10;Rest of Australia. 0.00%. &#10;AFRS 2021. 0.20%.&#10;&#10;&#10;&#10;&#10;Ages 0-14 (SA trial)&#10;&#10;Age 0. &#10;South Australia. 0.00%.   &#10;Rest of Australia. 0.00%. &#10;AFRS 2021. -.&#10;&#10;Age 1.&#10;South Australia. 0.00%.   &#10;Rest of Australia. 0.00%. &#10;AFRS 2021. -.&#10;&#10;Age 2.&#10;South Australia. 0.00%.   &#10;Rest of Australia. 0.00%. &#10;AFRS 2021. -.&#10;&#10;&#10;Age 3.&#10;South Australia. 0.00%.   &#10;Rest of Australia. 0.00%. &#10;AFRS 2021. -.&#10;&#10;&#10;Age 4.&#10;South Australia. 0.00%.   &#10;Rest of Australia. 0.00%. &#10;AFRS 2021. -.&#10;&#10;&#10;Age 5.&#10;South Australia. 0.00%.   &#10;Rest of Australia. 0.00%. &#10;AFRS 2021. -.&#10;&#10;&#10;Age 6.&#10;South Australia. 0.00%.   &#10;Rest of Australia. 0.00%. &#10;AFRS 2021. -.&#10;&#10;&#10;Age 7.&#10;South Australia. 0.00%.   &#10;Rest of Australia. 0.00%. &#10;AFRS 2021. -.&#10;&#10;&#10;Age 8.&#10;South Australia. 0.00%.   &#10;Rest of Australia. 0.00%. &#10;AFRS 2021. -.&#10;&#10;&#10;Age 9.&#10;South Australia. 0.00%.   &#10;Rest of Australia. 0.00%. &#10;AFRS 2021. -.&#10;&#10;&#10;Age 10.&#10;South Australia. 0.00%.   &#10;Rest of Australia. 0.00%. &#10;AFRS 2021. -.&#10;&#10;&#10;Age 11.&#10;South Australia. 0.00%.   &#10;Rest of Australia. 0.00%. &#10;AFRS 2021. -.&#10;&#10;&#10;Age 12.&#10;South Australia. 0.00%.   &#10;Rest of Australia. 0.00%. &#10;AFRS 2021. -.&#10;&#10;&#10;Age 13.&#10;South Australia. 0.10%.   &#10;Rest of Australia. 0.00%. &#10;AFRS 2021. -.&#10;&#10;&#10;Age 14.&#10;South Australia. 0.10%.   &#10;Rest of Australia. 0.00%. &#10;AFRS 2021. -.&#10;&#10;&#10;Age 15.&#10;South Australia. 0.10%.   &#10;Rest of Australia. 0.00%. &#10;AFRS 2021. -.&#10;&#10;&#10;Age 16.&#10;South Australia. 0.10%.   &#10;Rest of Australia. 0.00%. &#10;AFRS 2021. -.&#10;&#10;&#10;Age 17.&#10;South Australia. 0.10%.   &#10;Rest of Australia. 0.00%. &#10;AFRS 2021. -.&#10;&#10;&#10;Age 18.&#10;South Australia. 0.10%.   &#10;Rest of Australia. 0.00%. &#10;AFRS 2021. -.&#10;&#10;&#10;Age 19.&#10;South Australia. 0.10%.   &#10;Rest of Australia. 0.00%. &#10;AFRS 2021. -.&#10;&#10;Age 20.&#10;South Australia. 0.10%.   &#10;Rest of Australia. 0.00%. &#10;AFRS 2021. -.&#10;&#10;&#10;Age 21.&#10;South Australia. 0.10%.   &#10;Rest of Australia. 0.00%. &#10;AFRS 2021. -.&#10;&#10;&#10;Age 22.&#10;South Australia. 0.10%.   &#10;Rest of Australia. 0.00%. &#10;AFRS 2021. -.&#10;&#10;&#10;Age 23.&#10;South Australia. 0.10%.   &#10;Rest of Australia. 0.00%. &#10;AFRS 2021. -.&#10;&#10;&#10;Age 24.&#10;South Australia. 0.10%.   &#10;Rest of Australia. 0.10%. &#10;AFRS 2021. -.&#10;&#10;&#10;Age 25.&#10;South Australia. 0.20%.   &#10;Rest of Australia. 0.10%. &#10;AFRS 2021. -.&#10;&#10;&#10;Age 26.&#10;South Australia. 0.20%.   &#10;Rest of Australia. 0.10%. &#10;AFRS 2021. -.&#10;&#10;&#10;Age 27.&#10;South Australia. 0.20%.   &#10;Rest of Australia. 0.10%. &#10;AFRS 2021. -.&#10;&#10;&#10;Age 28.&#10;South Australia. 0.20%.   &#10;Rest of Australia. 0.10%. &#10;AFRS 2021. -.&#10;&#10;&#10;Age 29.&#10;South Australia. 0.20%.   &#10;Rest of Australia. 0.10%. &#10;AFRS 2021. -.&#10;&#10;&#10;Age 30.&#10;South Australia. 0.20%.   &#10;Rest of Australia. 0.10%. &#10;AFRS 2021. -.&#10;&#10;&#10;Age 31.&#10;South Australia. 0.20%.   &#10;Rest of Australia. 0.10%. &#10;AFRS 2021. -.&#10;&#10;&#10;Age 32.&#10;South Australia. 0.20%.   &#10;Rest of Australia. 0.10%. &#10;AFRS 2021. -.&#10;&#10;&#10;Age 33.&#10;South Australia. 0.20%.   &#10;Rest of Australia. 0.10%. &#10;AFRS 2021. -.&#10;&#10;&#10;Age 34.&#10;South Australia. 0.20%.   &#10;Rest of Australia. 0.10%. &#10;AFRS 2021. -.&#10;&#10;&#10;Age 35.&#10;South Australia. 0.20%.   &#10;Rest of Australia. 0.10%. &#10;AFRS 2021. -.&#10;&#10;&#10;Age 36.&#10;South Australia. 0.20%.   &#10;Rest of Australia. 0.10%. &#10;AFRS 2021. -.&#10;&#10;&#10;Age 37.&#10;South Australia. 0.20%.   &#10;Rest of Australia. 0.10%. &#10;AFRS 2021. -.&#10;&#10;&#10;Age 38.&#10;South Australia. 0.20%.   &#10;Rest of Australia. 0.10%. &#10;AFRS 2021. -.&#10;&#10;&#10;Age 39.&#10;South Australia. 0.20%.   &#10;Rest of Australia. 0.10%. &#10;AFRS 2021. -.&#10;&#10;&#10;Age 40.&#10;South Australia. 0.30%.   &#10;Rest of Australia. 0.20%. &#10;AFRS 2021. -.&#10;&#10;&#10;Age 41.&#10;South Australia. 0.30%.   &#10;Rest of Australia. 0.20%. &#10;AFRS 2021. -.&#10;&#10;&#10;Age 42.&#10;South Australia. 0.30%.   &#10;Rest of Australia. 0.20%. &#10;AFRS 2021. -.&#10;&#10;&#10;Age 43.&#10;South Australia. 0.30%.   &#10;Rest of Australia. 0.20%. &#10;AFRS 2021. -.&#10;&#10;&#10;Age 44.&#10;South Australia. 0.30%.   &#10;Rest of Australia. 0.20%. &#10;AFRS 2021. -.&#10;&#10;&#10;Age 45.&#10;South Australia. 0.30%.   &#10;Rest of Australia. 0.20%. &#10;AFRS 2021. -.&#10;&#10;&#10;Age 46.&#10;South Australia. 0.30%.   &#10;Rest of Australia. 0.20%. &#10;AFRS 2021. -.&#10;&#10;&#10;Age 47.&#10;South Australia. 0.40%.   &#10;Rest of Australia. 0.20%. &#10;AFRS 2021. -.&#10;&#10;&#10;Age 48.&#10;South Australia. 0.40%.   &#10;Rest of Australia. 0.20%. &#10;AFRS 2021. -.&#10;&#10;&#10;Age 49.&#10;South Australia. 0.40%.   &#10;Rest of Australia. 0.20%. &#10;AFRS 2021. -.&#10;&#10;&#10;Age 50.&#10;South Australia. 0.40%.   &#10;Rest of Australia. 0.20%. &#10;AFRS 2021. -.&#10;&#10;&#10;Age 51.&#10;South Australia. 0.40%.   &#10;Rest of Australia. 0.20%. &#10;AFRS 2021. -.&#10;&#10;&#10;Age 52.&#10;South Australia. 0.40%.   &#10;Rest of Australia. 0.20%. &#10;AFRS 2021. -.&#10;&#10;&#10;Age 53.&#10;South Australia. 0.40%.   &#10;Rest of Australia. 0.20%. &#10;AFRS 2021. -.&#10;&#10;&#10;Age 54.&#10;South Australia. 0.40%.   &#10;Rest of Australia. 0.30%. &#10;AFRS 2021. -.&#10;&#10;&#10;Age 55.&#10;South Australia. 0.40%.   &#10;Rest of Australia. 0.30%. &#10;AFRS 2021. -.&#10;&#10;&#10;Age 56.&#10;South Australia. 0.40%.   &#10;Rest of Australia. 0.30%. &#10;AFRS 2021. -.&#10;&#10;&#10;Age 57.&#10;South Australia. 0.40%.   &#10;Rest of Australia. 0.30%. &#10;AFRS 2021. -.&#10;&#10;&#10;Age 58.&#10;South Australia. 0.40%.   &#10;Rest of Australia. 0.30%. &#10;AFRS 2021. -.&#10;&#10;&#10;Age 59.&#10;South Australia. 0.40%.   &#10;Rest of Australia. 0.30%. &#10;AFRS 2021. 0.30%.&#10;&#10;&#10;Age 60.&#10;South Australia. 0.40%.   &#10;Rest of Australia. 0.00%. &#10;AFRS 2021. 0.30%.&#10;&#10;&#10;Age 61.&#10;South Australia. 0.40%.   &#10;Rest of Australia. 0.00%. &#10;AFRS 2021. 0.30%.&#10;&#10;&#10;Age 62.&#10;South Australia. 0.40%.   &#10;Rest of Australia. 0.00%. &#10;AFRS 2021. 0.30%.&#10;&#10;&#10;Age 63.&#10;South Australia. 0.40%.   &#10;Rest of Australia. 0.00%. &#10;AFRS 2021. 0.30%.&#10;&#10;&#10;Age 64.&#10;South Australia. 0.40%.   &#10;Rest of Australia. 0.00%. &#10;AFRS 2021. 0.30%.&#10;&#10;&#10;Age 65.&#10;South Australia. 0.40%.  &#10;&#10;Rest of Australia. 0.00%. &#10;AFRS 2021. 0.30%.&#10;&#10;&#10;Age 66.&#10;South Australia. 0.40%.   &#10;Rest of Australia. 0.00%. &#10;AFRS 2021. 0.30%.&#10;&#10;&#10;Age 67.&#10;South Australia. 0.50%.   &#10;Rest of Australia. 0.00%. &#10;AFRS 2021. 0.30%.&#10;&#10;&#10;Age 68.&#10;South Australia. 0.50%.   &#10;Rest of Australia. 0.00%. &#10;AFRS 2021. 0.30%.&#10;&#10;&#10;Age 69.&#10;South Australia. 0.50%.   &#10;Rest of Australia. 0.00%. &#10;AFRS 2021. 0.30%.&#10;&#10;&#10;Age 70.&#10;South Australia. 0.50%.  &#10;Rest of Australia. 0.00%. &#10;AFRS 2021. 0.30%.&#10;&#10;&#10;Age 71.&#10;South Australia. 0.50%.   &#10;Rest of Australia. 0.00%. &#10;AFRS 2021. 0.30%.&#10;&#10;&#10;Age 72.&#10;South Australia. 0.50%.   &#10;Rest of Australia. 0.00%. &#10;AFRS 2021. 0.30%.&#10;&#10;&#10;Age 73.&#10;South Australia. 0.50%.   &#10;Rest of Australia. 0.00%. &#10;AFRS 2021. 0.30%.&#10;&#10;&#10;Age 74.&#10;South Australia. 0.50%.  &#10;Rest of Australia. 0.00%. &#10;AFRS 2021. 0.30%.&#10;&#10;&#10;Age 75.&#10;South Australia. 0.50%.   &#10;Rest of Australia. 0.00%. &#10;AFRS 2021. 0.30%.&#10;&#10;&#10;Age 76.&#10;South Australia. 0.50%.   &#10;Rest of Australia. 0.00%. &#10;AFRS 2021. 0.30%.&#10;&#10;&#10;Age 77.&#10;South Australia. 0.50%.   &#10;Rest of Australia. 0.00%. &#10;AFRS 2021. 0.40%.&#10;&#10;&#10;Age 78.&#10;South Australia. 0.50%.   &#10;Rest of Australia. 0.00%. &#10;AFRS 2021. 0.40%.&#10;&#10;&#10;Age 79.&#10;South Australia. 0.50%.   &#10;Rest of Australia. 0.00%. &#10;AFRS 2021. 0.40%.&#10;&#10;&#10;Age 80.&#10;South Australia. 0.50%.   &#10;Rest of Australia. 0.00%. &#10;AFRS 2021. 0.40%.&#10;&#10;&#10;Age 81.&#10;South Australia. 0.60%.   &#10;Rest of Australia. 0.00%. &#10;AFRS 2021. 0.40%.&#10;&#10;&#10;Age 82.&#10;South Australia. 0.60%.   &#10;Rest of Australia. 0.00%. &#10;AFRS 2021. 0.40%.&#10;&#10;&#10;Age 83.&#10;South Australia. 0.60%.   &#10;Rest of Australia. 0.00%. &#10;AFRS 2021. 0.40%.&#10;&#10;&#10;Age 84.&#10;South Australia. 0.60%.   &#10;Rest of Australia. 0.00%. &#10;AFRS 2021. 0.40%.&#10;&#10;&#10;Age 85.&#10;South Australia. 0.60%.   &#10;Rest of Australia. 0.00%. &#10;AFRS 2021. 0.40%.&#10;&#10;&#10;Age 86.&#10;South Australia. 0.60%.   &#10;Rest of Australia. 0.00%. &#10;AFRS 2021. 0.40%.&#10;&#10;&#10;Age 87.&#10;South Australia. 0.60%.   &#10;Rest of Australia. 0.00%. &#10;AFRS 2021. 0.40%.&#10;&#10;&#10;Age 88.&#10;South Australia. 0.60%.   &#10;Rest of Australia. 0.00%. &#10;AFRS 2021. 0.40%.&#10;&#10;&#10;Age 89.&#10;South Australia. 0.60%.   &#10;Rest of Australia. 0.00%. &#10;AFRS 2021. 0.40%.&#10;&#10;&#10;Age 90.&#10;South Australia. 0.60%.   &#10;Rest of Australia. 0.00%. &#10;AFRS 2021. 0.40%.&#10;&#10;&#10;Age 91.&#10;South Australia. 0.60%.   &#10;Rest of Australia. 0.00%. &#10;AFRS 2021. 0.40%.&#10;&#10;&#10;Age 92.&#10;South Australia. 0.60%.   &#10;Rest of Australia. 0.00%. &#10;AFRS 2021. 0.40%.&#10;&#10;&#10;Age 93.&#10;South Australia. 0.60%.   &#10;Rest of Australia. 0.00%. &#10;AFRS 2021. 0.40%.&#10;&#10;&#10;Age 94.&#10;South Australia. 0.60%.   &#10;Rest of Australia. 0.00%. &#10;AFRS 2021. 0.40%.&#10;&#10;&#10;Age 95.&#10;South Australia. 0.60%.   &#10;Rest of Australia. 0.00%. &#10;AFRS 2021. 0.40%."/>
                    <pic:cNvPicPr/>
                  </pic:nvPicPr>
                  <pic:blipFill>
                    <a:blip r:embed="rId107" cstate="print">
                      <a:extLst>
                        <a:ext uri="{28A0092B-C50C-407E-A947-70E740481C1C}">
                          <a14:useLocalDpi xmlns:a14="http://schemas.microsoft.com/office/drawing/2010/main"/>
                        </a:ext>
                        <a:ext uri="{96DAC541-7B7A-43D3-8B79-37D633B846F1}">
                          <asvg:svgBlip xmlns:asvg="http://schemas.microsoft.com/office/drawing/2016/SVG/main" r:embed="rId108"/>
                        </a:ext>
                      </a:extLst>
                    </a:blip>
                    <a:stretch>
                      <a:fillRect/>
                    </a:stretch>
                  </pic:blipFill>
                  <pic:spPr>
                    <a:xfrm>
                      <a:off x="0" y="0"/>
                      <a:ext cx="5976620" cy="3543300"/>
                    </a:xfrm>
                    <a:prstGeom prst="rect">
                      <a:avLst/>
                    </a:prstGeom>
                  </pic:spPr>
                </pic:pic>
              </a:graphicData>
            </a:graphic>
          </wp:inline>
        </w:drawing>
      </w:r>
    </w:p>
    <w:p w14:paraId="363C5ED2" w14:textId="31D1A292" w:rsidR="00084633" w:rsidRPr="00DD4479" w:rsidRDefault="007C0CDC" w:rsidP="003C373F">
      <w:pPr>
        <w:pStyle w:val="Tablenotesorsource"/>
      </w:pPr>
      <w:r>
        <w:t xml:space="preserve">Notes: </w:t>
      </w:r>
      <w:r w:rsidR="003C373F">
        <w:t xml:space="preserve">Included disability types are acquired brain injury, </w:t>
      </w:r>
      <w:r w:rsidR="00D53DA6">
        <w:t>s</w:t>
      </w:r>
      <w:r w:rsidR="005A3BBB">
        <w:t>pinal</w:t>
      </w:r>
      <w:r w:rsidR="003C373F">
        <w:t xml:space="preserve"> cord injury, visual impairment, other physical, Other sensory / speech, multiple sclerosis, Other, and stroke. Excluded disability types are autism, developmental delay, intellectual disability, other neurological, cerebral palsy and psychosocial disability.</w:t>
      </w:r>
    </w:p>
    <w:p w14:paraId="6865FFBD" w14:textId="77777777" w:rsidR="004A11B5" w:rsidRDefault="004A11B5" w:rsidP="004A11B5">
      <w:pPr>
        <w:pStyle w:val="Heading3"/>
      </w:pPr>
      <w:bookmarkStart w:id="267" w:name="_Toc83997782"/>
      <w:r>
        <w:t>Steady state participant numbers by disability type</w:t>
      </w:r>
    </w:p>
    <w:p w14:paraId="2C10DAD1" w14:textId="38423E42" w:rsidR="004A11B5" w:rsidRDefault="004A11B5" w:rsidP="004A11B5">
      <w:r>
        <w:t xml:space="preserve">In </w:t>
      </w:r>
      <w:r w:rsidR="007C00FB">
        <w:t xml:space="preserve">determining </w:t>
      </w:r>
      <w:r>
        <w:t>when the number of participants in the NDIS will reach maturity (</w:t>
      </w:r>
      <w:r w:rsidR="00ED2FC8">
        <w:t>i.e.</w:t>
      </w:r>
      <w:r>
        <w:t xml:space="preserve"> a </w:t>
      </w:r>
      <w:r w:rsidR="007C00FB">
        <w:t>relatively</w:t>
      </w:r>
      <w:r>
        <w:t xml:space="preserve"> stable fraction of the Australian population), it is important to recognise that the NDIS is at different stages across different disability types and age bands. </w:t>
      </w:r>
    </w:p>
    <w:p w14:paraId="1DA73FA5" w14:textId="5E98B730" w:rsidR="004A11B5" w:rsidRDefault="004A11B5" w:rsidP="004A11B5">
      <w:r>
        <w:t xml:space="preserve">We illustrate this in </w:t>
      </w:r>
      <w:r>
        <w:fldChar w:fldCharType="begin"/>
      </w:r>
      <w:r>
        <w:instrText xml:space="preserve"> REF _Ref86848643 \h </w:instrText>
      </w:r>
      <w:r>
        <w:fldChar w:fldCharType="separate"/>
      </w:r>
      <w:r w:rsidR="00E6217F">
        <w:t xml:space="preserve">Table </w:t>
      </w:r>
      <w:r w:rsidR="00E6217F">
        <w:rPr>
          <w:noProof/>
        </w:rPr>
        <w:t>7</w:t>
      </w:r>
      <w:r w:rsidR="00E6217F">
        <w:t>.</w:t>
      </w:r>
      <w:r w:rsidR="00E6217F">
        <w:rPr>
          <w:noProof/>
        </w:rPr>
        <w:t>1</w:t>
      </w:r>
      <w:r>
        <w:fldChar w:fldCharType="end"/>
      </w:r>
      <w:r>
        <w:t xml:space="preserve">. </w:t>
      </w:r>
      <w:r w:rsidR="007C00FB">
        <w:t xml:space="preserve">where </w:t>
      </w:r>
      <w:r>
        <w:t xml:space="preserve">the columns show the current and projected numbers of </w:t>
      </w:r>
      <w:r w:rsidR="007C00FB">
        <w:t>participants</w:t>
      </w:r>
      <w:r>
        <w:t>, as well as the number of people entering and leaving the group (leaving is a combination of deaths, non-mortality exits and aging out of the 0-64 age bracket). The final column sh</w:t>
      </w:r>
      <w:r w:rsidR="007C00FB">
        <w:t>ows</w:t>
      </w:r>
      <w:r>
        <w:t xml:space="preserve"> the ratio of the AFSR 2021 projected number of entries</w:t>
      </w:r>
      <w:r w:rsidR="00167DFD">
        <w:t xml:space="preserve"> (including people aging and transferring in)</w:t>
      </w:r>
      <w:r>
        <w:t xml:space="preserve"> divided by the average flow out. If this is close to 100% this means that numbers growth in the group is relatively low and participant numbers will be relatively stable. </w:t>
      </w:r>
    </w:p>
    <w:p w14:paraId="34416DDD" w14:textId="032BEBF4" w:rsidR="004A11B5" w:rsidRDefault="004A11B5" w:rsidP="004A11B5">
      <w:r>
        <w:t xml:space="preserve">While there are some large ratios (e.g. autism, developmental delay, and intellectual disability being most prominent), other groups are at or approaching maturity. For instance, spinal cord, other neurological, </w:t>
      </w:r>
      <w:r w:rsidRPr="00BF687B">
        <w:t>Multiple Sclerosis</w:t>
      </w:r>
      <w:r>
        <w:t xml:space="preserve"> and stroke victims will see much lower rates of growth and appear relatively stable. </w:t>
      </w:r>
    </w:p>
    <w:p w14:paraId="4A7663D2" w14:textId="78718A0F" w:rsidR="00A20FF2" w:rsidRDefault="004A11B5" w:rsidP="00A20FF2">
      <w:r>
        <w:t>The second last column in the table shows the ratio between AFSR assumptions and the recent history of entrants (</w:t>
      </w:r>
      <w:r w:rsidR="007C00FB">
        <w:t>excluding</w:t>
      </w:r>
      <w:r>
        <w:t xml:space="preserve"> State and Commonwealth transfers). </w:t>
      </w:r>
      <w:r w:rsidR="00A20FF2">
        <w:t xml:space="preserve">As discussed in Section </w:t>
      </w:r>
      <w:r w:rsidR="00A20FF2">
        <w:fldChar w:fldCharType="begin"/>
      </w:r>
      <w:r w:rsidR="00A20FF2">
        <w:instrText xml:space="preserve"> REF _Ref87534738 \r \h </w:instrText>
      </w:r>
      <w:r w:rsidR="00A20FF2">
        <w:fldChar w:fldCharType="separate"/>
      </w:r>
      <w:r w:rsidR="00E6217F">
        <w:t>4.2</w:t>
      </w:r>
      <w:r w:rsidR="00A20FF2">
        <w:fldChar w:fldCharType="end"/>
      </w:r>
      <w:r w:rsidR="00A20FF2">
        <w:t>, the current assumption</w:t>
      </w:r>
      <w:r w:rsidR="008D2F4D">
        <w:t>-</w:t>
      </w:r>
      <w:r w:rsidR="00A20FF2">
        <w:t>setting approach admits some variances from the recent past.</w:t>
      </w:r>
    </w:p>
    <w:p w14:paraId="76693EEA" w14:textId="2CDEBB45" w:rsidR="004A11B5" w:rsidRDefault="00A20FF2" w:rsidP="00A20FF2">
      <w:pPr>
        <w:sectPr w:rsidR="004A11B5" w:rsidSect="00436B04">
          <w:headerReference w:type="even" r:id="rId109"/>
          <w:headerReference w:type="default" r:id="rId110"/>
          <w:footerReference w:type="default" r:id="rId111"/>
          <w:headerReference w:type="first" r:id="rId112"/>
          <w:pgSz w:w="11906" w:h="16838" w:code="9"/>
          <w:pgMar w:top="1418" w:right="1247" w:bottom="1418" w:left="1247" w:header="709" w:footer="454" w:gutter="0"/>
          <w:cols w:space="708"/>
          <w:docGrid w:linePitch="360"/>
        </w:sectPr>
      </w:pPr>
      <w:r>
        <w:t>Steady state calculations can also be show</w:t>
      </w:r>
      <w:r w:rsidR="008D2F4D">
        <w:t>n</w:t>
      </w:r>
      <w:r>
        <w:t xml:space="preserve"> for smaller age bands. These are provided in Appendix C. </w:t>
      </w:r>
    </w:p>
    <w:p w14:paraId="08CCA326" w14:textId="70730532" w:rsidR="004A11B5" w:rsidRDefault="004A11B5" w:rsidP="004A11B5">
      <w:pPr>
        <w:pStyle w:val="Caption"/>
      </w:pPr>
      <w:bookmarkStart w:id="268" w:name="_Ref86848643"/>
      <w:r>
        <w:t xml:space="preserve">Table </w:t>
      </w:r>
      <w:r w:rsidR="007F6BE8">
        <w:fldChar w:fldCharType="begin"/>
      </w:r>
      <w:r w:rsidR="007F6BE8">
        <w:instrText xml:space="preserve"> STYLEREF 1 \s </w:instrText>
      </w:r>
      <w:r w:rsidR="007F6BE8">
        <w:fldChar w:fldCharType="separate"/>
      </w:r>
      <w:r w:rsidR="00E6217F">
        <w:rPr>
          <w:noProof/>
        </w:rPr>
        <w:t>7</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1</w:t>
      </w:r>
      <w:r w:rsidR="007F6BE8">
        <w:fldChar w:fldCharType="end"/>
      </w:r>
      <w:bookmarkEnd w:id="268"/>
      <w:r w:rsidR="001C13F1">
        <w:t xml:space="preserve"> – </w:t>
      </w:r>
      <w:r>
        <w:t>Flows of participant numbers in and out of disability types, for participants aged 0-64</w:t>
      </w:r>
    </w:p>
    <w:p w14:paraId="1BBF5B06" w14:textId="77777777" w:rsidR="004A11B5" w:rsidRDefault="004A11B5" w:rsidP="004A11B5"/>
    <w:tbl>
      <w:tblPr>
        <w:tblW w:w="14493" w:type="dxa"/>
        <w:tblInd w:w="108" w:type="dxa"/>
        <w:tblLook w:val="04A0" w:firstRow="1" w:lastRow="0" w:firstColumn="1" w:lastColumn="0" w:noHBand="0" w:noVBand="1"/>
      </w:tblPr>
      <w:tblGrid>
        <w:gridCol w:w="1985"/>
        <w:gridCol w:w="884"/>
        <w:gridCol w:w="992"/>
        <w:gridCol w:w="851"/>
        <w:gridCol w:w="992"/>
        <w:gridCol w:w="850"/>
        <w:gridCol w:w="1051"/>
        <w:gridCol w:w="869"/>
        <w:gridCol w:w="708"/>
        <w:gridCol w:w="1011"/>
        <w:gridCol w:w="973"/>
        <w:gridCol w:w="1354"/>
        <w:gridCol w:w="1052"/>
        <w:gridCol w:w="921"/>
      </w:tblGrid>
      <w:tr w:rsidR="0028350E" w:rsidRPr="007364B1" w14:paraId="21A86347" w14:textId="77777777" w:rsidTr="000C24D7">
        <w:trPr>
          <w:trHeight w:val="1501"/>
        </w:trPr>
        <w:tc>
          <w:tcPr>
            <w:tcW w:w="1985" w:type="dxa"/>
            <w:tcBorders>
              <w:top w:val="single" w:sz="4" w:space="0" w:color="auto"/>
              <w:left w:val="nil"/>
              <w:bottom w:val="single" w:sz="4" w:space="0" w:color="auto"/>
              <w:right w:val="nil"/>
            </w:tcBorders>
            <w:shd w:val="clear" w:color="auto" w:fill="auto"/>
            <w:noWrap/>
            <w:vAlign w:val="bottom"/>
            <w:hideMark/>
          </w:tcPr>
          <w:p w14:paraId="0AF11E35"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5F209239"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992" w:type="dxa"/>
            <w:tcBorders>
              <w:top w:val="single" w:sz="4" w:space="0" w:color="auto"/>
              <w:left w:val="nil"/>
              <w:bottom w:val="single" w:sz="4" w:space="0" w:color="auto"/>
              <w:right w:val="nil"/>
            </w:tcBorders>
            <w:shd w:val="clear" w:color="auto" w:fill="auto"/>
            <w:vAlign w:val="bottom"/>
            <w:hideMark/>
          </w:tcPr>
          <w:p w14:paraId="7F966CAB"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48D3E5C4"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04225D9C"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356DCF23" w14:textId="1E6F33EB"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w:t>
            </w:r>
            <w:r w:rsidR="00ED2FC8">
              <w:rPr>
                <w:rFonts w:ascii="Blanco" w:eastAsia="Times New Roman" w:hAnsi="Blanco" w:cs="Times New Roman"/>
                <w:b/>
                <w:bCs/>
                <w:color w:val="231F20"/>
                <w:sz w:val="18"/>
                <w:szCs w:val="18"/>
                <w:lang w:val="en-AU" w:eastAsia="en-AU"/>
              </w:rPr>
              <w:t>-</w:t>
            </w:r>
            <w:r w:rsidRPr="007364B1">
              <w:rPr>
                <w:rFonts w:ascii="Blanco" w:eastAsia="Times New Roman" w:hAnsi="Blanco" w:cs="Times New Roman"/>
                <w:b/>
                <w:bCs/>
                <w:color w:val="231F20"/>
                <w:sz w:val="18"/>
                <w:szCs w:val="18"/>
                <w:lang w:val="en-AU" w:eastAsia="en-AU"/>
              </w:rPr>
              <w:t>year proj avg)</w:t>
            </w:r>
          </w:p>
        </w:tc>
        <w:tc>
          <w:tcPr>
            <w:tcW w:w="1051" w:type="dxa"/>
            <w:tcBorders>
              <w:top w:val="single" w:sz="4" w:space="0" w:color="auto"/>
              <w:left w:val="nil"/>
              <w:bottom w:val="single" w:sz="4" w:space="0" w:color="auto"/>
              <w:right w:val="nil"/>
            </w:tcBorders>
            <w:shd w:val="clear" w:color="auto" w:fill="auto"/>
            <w:vAlign w:val="bottom"/>
            <w:hideMark/>
          </w:tcPr>
          <w:p w14:paraId="50B044A9"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1546E429"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08" w:type="dxa"/>
            <w:tcBorders>
              <w:top w:val="single" w:sz="4" w:space="0" w:color="auto"/>
              <w:left w:val="nil"/>
              <w:bottom w:val="single" w:sz="4" w:space="0" w:color="auto"/>
              <w:right w:val="nil"/>
            </w:tcBorders>
            <w:shd w:val="clear" w:color="auto" w:fill="auto"/>
            <w:vAlign w:val="bottom"/>
            <w:hideMark/>
          </w:tcPr>
          <w:p w14:paraId="5BABA76C" w14:textId="5003FB59"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w:t>
            </w:r>
            <w:r w:rsidR="00ED2FC8" w:rsidRPr="007364B1">
              <w:rPr>
                <w:rFonts w:ascii="Blanco" w:eastAsia="Times New Roman" w:hAnsi="Blanco" w:cs="Times New Roman"/>
                <w:b/>
                <w:bCs/>
                <w:color w:val="231F20"/>
                <w:sz w:val="18"/>
                <w:szCs w:val="18"/>
                <w:lang w:val="en-AU" w:eastAsia="en-AU"/>
              </w:rPr>
              <w:t>4-year</w:t>
            </w:r>
            <w:r w:rsidRPr="007364B1">
              <w:rPr>
                <w:rFonts w:ascii="Blanco" w:eastAsia="Times New Roman" w:hAnsi="Blanco" w:cs="Times New Roman"/>
                <w:b/>
                <w:bCs/>
                <w:color w:val="231F20"/>
                <w:sz w:val="18"/>
                <w:szCs w:val="18"/>
                <w:lang w:val="en-AU" w:eastAsia="en-AU"/>
              </w:rPr>
              <w:t xml:space="preserve"> proj)</w:t>
            </w:r>
          </w:p>
        </w:tc>
        <w:tc>
          <w:tcPr>
            <w:tcW w:w="1011" w:type="dxa"/>
            <w:tcBorders>
              <w:top w:val="single" w:sz="4" w:space="0" w:color="auto"/>
              <w:left w:val="nil"/>
              <w:bottom w:val="single" w:sz="4" w:space="0" w:color="auto"/>
              <w:right w:val="nil"/>
            </w:tcBorders>
            <w:shd w:val="clear" w:color="auto" w:fill="auto"/>
            <w:vAlign w:val="bottom"/>
            <w:hideMark/>
          </w:tcPr>
          <w:p w14:paraId="6342D2B8"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159AB9AF" w14:textId="09BC8D4A" w:rsidR="0028350E" w:rsidRPr="007364B1" w:rsidRDefault="00EE4C77" w:rsidP="002A2ED9">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New e</w:t>
            </w:r>
            <w:r w:rsidR="0028350E"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6BD22412" w14:textId="52567ED9" w:rsidR="0028350E" w:rsidRPr="007364B1" w:rsidRDefault="00AA33F9" w:rsidP="002A2ED9">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28350E"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52" w:type="dxa"/>
            <w:tcBorders>
              <w:top w:val="single" w:sz="4" w:space="0" w:color="auto"/>
              <w:left w:val="nil"/>
              <w:bottom w:val="single" w:sz="4" w:space="0" w:color="auto"/>
              <w:right w:val="nil"/>
            </w:tcBorders>
            <w:shd w:val="clear" w:color="auto" w:fill="auto"/>
            <w:vAlign w:val="bottom"/>
            <w:hideMark/>
          </w:tcPr>
          <w:p w14:paraId="77BEBAE6" w14:textId="519DE654"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Ratio Projected </w:t>
            </w:r>
            <w:r w:rsidR="000C24D7">
              <w:rPr>
                <w:rFonts w:ascii="Blanco" w:eastAsia="Times New Roman" w:hAnsi="Blanco" w:cs="Times New Roman"/>
                <w:b/>
                <w:bCs/>
                <w:color w:val="231F20"/>
                <w:sz w:val="18"/>
                <w:szCs w:val="18"/>
                <w:lang w:val="en-AU" w:eastAsia="en-AU"/>
              </w:rPr>
              <w:t>÷</w:t>
            </w:r>
            <w:r w:rsidRPr="007364B1">
              <w:rPr>
                <w:rFonts w:ascii="Blanco" w:eastAsia="Times New Roman" w:hAnsi="Blanco" w:cs="Times New Roman"/>
                <w:b/>
                <w:bCs/>
                <w:color w:val="231F20"/>
                <w:sz w:val="18"/>
                <w:szCs w:val="18"/>
                <w:lang w:val="en-AU" w:eastAsia="en-AU"/>
              </w:rPr>
              <w:t xml:space="preserve"> past</w:t>
            </w:r>
          </w:p>
        </w:tc>
        <w:tc>
          <w:tcPr>
            <w:tcW w:w="921" w:type="dxa"/>
            <w:tcBorders>
              <w:top w:val="single" w:sz="4" w:space="0" w:color="auto"/>
              <w:left w:val="nil"/>
              <w:bottom w:val="single" w:sz="4" w:space="0" w:color="auto"/>
              <w:right w:val="nil"/>
            </w:tcBorders>
            <w:shd w:val="clear" w:color="auto" w:fill="auto"/>
            <w:vAlign w:val="bottom"/>
            <w:hideMark/>
          </w:tcPr>
          <w:p w14:paraId="6B150D34" w14:textId="1BA703C6"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Ratio </w:t>
            </w:r>
            <w:r w:rsidR="00EE4C77">
              <w:rPr>
                <w:rFonts w:ascii="Blanco" w:eastAsia="Times New Roman" w:hAnsi="Blanco" w:cs="Times New Roman"/>
                <w:b/>
                <w:bCs/>
                <w:color w:val="231F20"/>
                <w:sz w:val="18"/>
                <w:szCs w:val="18"/>
                <w:lang w:val="en-AU" w:eastAsia="en-AU"/>
              </w:rPr>
              <w:t>entries</w:t>
            </w:r>
            <w:r w:rsidRPr="007364B1">
              <w:rPr>
                <w:rFonts w:ascii="Blanco" w:eastAsia="Times New Roman" w:hAnsi="Blanco" w:cs="Times New Roman"/>
                <w:b/>
                <w:bCs/>
                <w:color w:val="231F20"/>
                <w:sz w:val="18"/>
                <w:szCs w:val="18"/>
                <w:lang w:val="en-AU" w:eastAsia="en-AU"/>
              </w:rPr>
              <w:t xml:space="preserve"> </w:t>
            </w:r>
            <w:r w:rsidR="000C24D7">
              <w:rPr>
                <w:rFonts w:ascii="Blanco" w:eastAsia="Times New Roman" w:hAnsi="Blanco" w:cs="Times New Roman"/>
                <w:b/>
                <w:bCs/>
                <w:color w:val="231F20"/>
                <w:sz w:val="18"/>
                <w:szCs w:val="18"/>
                <w:lang w:val="en-AU" w:eastAsia="en-AU"/>
              </w:rPr>
              <w:t>÷</w:t>
            </w:r>
            <w:r w:rsidRPr="007364B1">
              <w:rPr>
                <w:rFonts w:ascii="Blanco" w:eastAsia="Times New Roman" w:hAnsi="Blanco" w:cs="Times New Roman"/>
                <w:b/>
                <w:bCs/>
                <w:color w:val="231F20"/>
                <w:sz w:val="18"/>
                <w:szCs w:val="18"/>
                <w:lang w:val="en-AU" w:eastAsia="en-AU"/>
              </w:rPr>
              <w:t xml:space="preserve"> steady state</w:t>
            </w:r>
          </w:p>
        </w:tc>
      </w:tr>
      <w:tr w:rsidR="00EE4C77" w:rsidRPr="007364B1" w14:paraId="31F61EC8" w14:textId="77777777" w:rsidTr="000C24D7">
        <w:trPr>
          <w:trHeight w:val="360"/>
        </w:trPr>
        <w:tc>
          <w:tcPr>
            <w:tcW w:w="1985" w:type="dxa"/>
            <w:tcBorders>
              <w:top w:val="nil"/>
              <w:left w:val="nil"/>
              <w:bottom w:val="nil"/>
              <w:right w:val="nil"/>
            </w:tcBorders>
            <w:shd w:val="clear" w:color="auto" w:fill="auto"/>
            <w:noWrap/>
            <w:vAlign w:val="bottom"/>
            <w:hideMark/>
          </w:tcPr>
          <w:p w14:paraId="53F5571C"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bottom"/>
            <w:hideMark/>
          </w:tcPr>
          <w:p w14:paraId="061BAF7B" w14:textId="4243065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13,677</w:t>
            </w:r>
          </w:p>
        </w:tc>
        <w:tc>
          <w:tcPr>
            <w:tcW w:w="992" w:type="dxa"/>
            <w:tcBorders>
              <w:top w:val="nil"/>
              <w:left w:val="nil"/>
              <w:bottom w:val="nil"/>
              <w:right w:val="nil"/>
            </w:tcBorders>
            <w:shd w:val="clear" w:color="auto" w:fill="auto"/>
            <w:noWrap/>
            <w:vAlign w:val="bottom"/>
            <w:hideMark/>
          </w:tcPr>
          <w:p w14:paraId="6F27C125" w14:textId="466D7DC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14,995</w:t>
            </w:r>
          </w:p>
        </w:tc>
        <w:tc>
          <w:tcPr>
            <w:tcW w:w="851" w:type="dxa"/>
            <w:tcBorders>
              <w:top w:val="nil"/>
              <w:left w:val="nil"/>
              <w:bottom w:val="nil"/>
              <w:right w:val="nil"/>
            </w:tcBorders>
            <w:shd w:val="clear" w:color="000000" w:fill="FCF6F9"/>
            <w:noWrap/>
            <w:vAlign w:val="bottom"/>
            <w:hideMark/>
          </w:tcPr>
          <w:p w14:paraId="6329A2DF" w14:textId="3F1C239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w:t>
            </w:r>
          </w:p>
        </w:tc>
        <w:tc>
          <w:tcPr>
            <w:tcW w:w="992" w:type="dxa"/>
            <w:tcBorders>
              <w:top w:val="nil"/>
              <w:left w:val="nil"/>
              <w:bottom w:val="nil"/>
              <w:right w:val="nil"/>
            </w:tcBorders>
            <w:shd w:val="clear" w:color="auto" w:fill="auto"/>
            <w:noWrap/>
            <w:vAlign w:val="bottom"/>
            <w:hideMark/>
          </w:tcPr>
          <w:p w14:paraId="4F5A3DB8" w14:textId="5650196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14,797</w:t>
            </w:r>
          </w:p>
        </w:tc>
        <w:tc>
          <w:tcPr>
            <w:tcW w:w="850" w:type="dxa"/>
            <w:tcBorders>
              <w:top w:val="nil"/>
              <w:left w:val="nil"/>
              <w:bottom w:val="nil"/>
              <w:right w:val="nil"/>
            </w:tcBorders>
            <w:shd w:val="clear" w:color="auto" w:fill="auto"/>
            <w:noWrap/>
            <w:vAlign w:val="bottom"/>
            <w:hideMark/>
          </w:tcPr>
          <w:p w14:paraId="53FEAD96" w14:textId="602B70B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461</w:t>
            </w:r>
          </w:p>
        </w:tc>
        <w:tc>
          <w:tcPr>
            <w:tcW w:w="1051" w:type="dxa"/>
            <w:tcBorders>
              <w:top w:val="nil"/>
              <w:left w:val="nil"/>
              <w:bottom w:val="nil"/>
              <w:right w:val="nil"/>
            </w:tcBorders>
            <w:shd w:val="clear" w:color="auto" w:fill="auto"/>
            <w:noWrap/>
            <w:vAlign w:val="bottom"/>
            <w:hideMark/>
          </w:tcPr>
          <w:p w14:paraId="6C5622FD" w14:textId="2964E49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422</w:t>
            </w:r>
          </w:p>
        </w:tc>
        <w:tc>
          <w:tcPr>
            <w:tcW w:w="869" w:type="dxa"/>
            <w:tcBorders>
              <w:top w:val="nil"/>
              <w:left w:val="nil"/>
              <w:bottom w:val="nil"/>
              <w:right w:val="nil"/>
            </w:tcBorders>
            <w:shd w:val="clear" w:color="auto" w:fill="auto"/>
            <w:noWrap/>
            <w:vAlign w:val="bottom"/>
            <w:hideMark/>
          </w:tcPr>
          <w:p w14:paraId="3F893966" w14:textId="54AEC8F4"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883</w:t>
            </w:r>
          </w:p>
        </w:tc>
        <w:tc>
          <w:tcPr>
            <w:tcW w:w="708" w:type="dxa"/>
            <w:tcBorders>
              <w:top w:val="nil"/>
              <w:left w:val="nil"/>
              <w:bottom w:val="nil"/>
              <w:right w:val="nil"/>
            </w:tcBorders>
            <w:shd w:val="clear" w:color="auto" w:fill="auto"/>
            <w:noWrap/>
            <w:vAlign w:val="bottom"/>
            <w:hideMark/>
          </w:tcPr>
          <w:p w14:paraId="0E6BD0B4" w14:textId="13C566E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59324A47" w14:textId="7D8C878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79586B2B" w14:textId="1BED015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1,206</w:t>
            </w:r>
          </w:p>
        </w:tc>
        <w:tc>
          <w:tcPr>
            <w:tcW w:w="1354" w:type="dxa"/>
            <w:tcBorders>
              <w:top w:val="nil"/>
              <w:left w:val="nil"/>
              <w:bottom w:val="nil"/>
              <w:right w:val="nil"/>
            </w:tcBorders>
            <w:shd w:val="clear" w:color="auto" w:fill="auto"/>
            <w:noWrap/>
            <w:vAlign w:val="bottom"/>
            <w:hideMark/>
          </w:tcPr>
          <w:p w14:paraId="5014479B" w14:textId="4D13255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1850</w:t>
            </w:r>
          </w:p>
        </w:tc>
        <w:tc>
          <w:tcPr>
            <w:tcW w:w="1052" w:type="dxa"/>
            <w:tcBorders>
              <w:top w:val="nil"/>
              <w:left w:val="nil"/>
              <w:bottom w:val="nil"/>
              <w:right w:val="nil"/>
            </w:tcBorders>
            <w:shd w:val="clear" w:color="auto" w:fill="auto"/>
            <w:noWrap/>
            <w:vAlign w:val="bottom"/>
            <w:hideMark/>
          </w:tcPr>
          <w:p w14:paraId="350BF03B" w14:textId="6A6DF43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65%</w:t>
            </w:r>
          </w:p>
        </w:tc>
        <w:tc>
          <w:tcPr>
            <w:tcW w:w="921" w:type="dxa"/>
            <w:tcBorders>
              <w:top w:val="nil"/>
              <w:left w:val="nil"/>
              <w:bottom w:val="nil"/>
              <w:right w:val="nil"/>
            </w:tcBorders>
            <w:shd w:val="clear" w:color="000000" w:fill="779ED0"/>
            <w:noWrap/>
            <w:vAlign w:val="bottom"/>
            <w:hideMark/>
          </w:tcPr>
          <w:p w14:paraId="260BE8FE"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137%</w:t>
            </w:r>
          </w:p>
        </w:tc>
      </w:tr>
      <w:tr w:rsidR="00EE4C77" w:rsidRPr="007364B1" w14:paraId="05F6B2F7" w14:textId="77777777" w:rsidTr="000C24D7">
        <w:trPr>
          <w:trHeight w:val="360"/>
        </w:trPr>
        <w:tc>
          <w:tcPr>
            <w:tcW w:w="1985" w:type="dxa"/>
            <w:tcBorders>
              <w:top w:val="nil"/>
              <w:left w:val="nil"/>
              <w:bottom w:val="nil"/>
              <w:right w:val="nil"/>
            </w:tcBorders>
            <w:shd w:val="clear" w:color="auto" w:fill="auto"/>
            <w:noWrap/>
            <w:vAlign w:val="bottom"/>
            <w:hideMark/>
          </w:tcPr>
          <w:p w14:paraId="4A07B593"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bottom"/>
            <w:hideMark/>
          </w:tcPr>
          <w:p w14:paraId="24CD96DB" w14:textId="7CA7492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151,308</w:t>
            </w:r>
          </w:p>
        </w:tc>
        <w:tc>
          <w:tcPr>
            <w:tcW w:w="992" w:type="dxa"/>
            <w:tcBorders>
              <w:top w:val="nil"/>
              <w:left w:val="nil"/>
              <w:bottom w:val="nil"/>
              <w:right w:val="nil"/>
            </w:tcBorders>
            <w:shd w:val="clear" w:color="auto" w:fill="auto"/>
            <w:noWrap/>
            <w:vAlign w:val="bottom"/>
            <w:hideMark/>
          </w:tcPr>
          <w:p w14:paraId="7E2109D9" w14:textId="1703F77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236,630</w:t>
            </w:r>
          </w:p>
        </w:tc>
        <w:tc>
          <w:tcPr>
            <w:tcW w:w="851" w:type="dxa"/>
            <w:tcBorders>
              <w:top w:val="nil"/>
              <w:left w:val="nil"/>
              <w:bottom w:val="nil"/>
              <w:right w:val="nil"/>
            </w:tcBorders>
            <w:shd w:val="clear" w:color="000000" w:fill="FAA2A5"/>
            <w:noWrap/>
            <w:vAlign w:val="bottom"/>
            <w:hideMark/>
          </w:tcPr>
          <w:p w14:paraId="5483D62C" w14:textId="2D6FC23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+56%</w:t>
            </w:r>
          </w:p>
        </w:tc>
        <w:tc>
          <w:tcPr>
            <w:tcW w:w="992" w:type="dxa"/>
            <w:tcBorders>
              <w:top w:val="nil"/>
              <w:left w:val="nil"/>
              <w:bottom w:val="nil"/>
              <w:right w:val="nil"/>
            </w:tcBorders>
            <w:shd w:val="clear" w:color="auto" w:fill="auto"/>
            <w:noWrap/>
            <w:vAlign w:val="bottom"/>
            <w:hideMark/>
          </w:tcPr>
          <w:p w14:paraId="60BC3810" w14:textId="11D14C4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337,310</w:t>
            </w:r>
          </w:p>
        </w:tc>
        <w:tc>
          <w:tcPr>
            <w:tcW w:w="850" w:type="dxa"/>
            <w:tcBorders>
              <w:top w:val="nil"/>
              <w:left w:val="nil"/>
              <w:bottom w:val="nil"/>
              <w:right w:val="nil"/>
            </w:tcBorders>
            <w:shd w:val="clear" w:color="auto" w:fill="auto"/>
            <w:noWrap/>
            <w:vAlign w:val="bottom"/>
            <w:hideMark/>
          </w:tcPr>
          <w:p w14:paraId="2FBFB51A" w14:textId="51B3127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55</w:t>
            </w:r>
          </w:p>
        </w:tc>
        <w:tc>
          <w:tcPr>
            <w:tcW w:w="1051" w:type="dxa"/>
            <w:tcBorders>
              <w:top w:val="nil"/>
              <w:left w:val="nil"/>
              <w:bottom w:val="nil"/>
              <w:right w:val="nil"/>
            </w:tcBorders>
            <w:shd w:val="clear" w:color="auto" w:fill="auto"/>
            <w:noWrap/>
            <w:vAlign w:val="bottom"/>
            <w:hideMark/>
          </w:tcPr>
          <w:p w14:paraId="68936083" w14:textId="219AB6D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1,120</w:t>
            </w:r>
          </w:p>
        </w:tc>
        <w:tc>
          <w:tcPr>
            <w:tcW w:w="869" w:type="dxa"/>
            <w:tcBorders>
              <w:top w:val="nil"/>
              <w:left w:val="nil"/>
              <w:bottom w:val="nil"/>
              <w:right w:val="nil"/>
            </w:tcBorders>
            <w:shd w:val="clear" w:color="auto" w:fill="auto"/>
            <w:noWrap/>
            <w:vAlign w:val="bottom"/>
            <w:hideMark/>
          </w:tcPr>
          <w:p w14:paraId="78EA7906" w14:textId="65F16C2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1,175</w:t>
            </w:r>
          </w:p>
        </w:tc>
        <w:tc>
          <w:tcPr>
            <w:tcW w:w="708" w:type="dxa"/>
            <w:tcBorders>
              <w:top w:val="nil"/>
              <w:left w:val="nil"/>
              <w:bottom w:val="nil"/>
              <w:right w:val="nil"/>
            </w:tcBorders>
            <w:shd w:val="clear" w:color="auto" w:fill="auto"/>
            <w:noWrap/>
            <w:vAlign w:val="bottom"/>
            <w:hideMark/>
          </w:tcPr>
          <w:p w14:paraId="5631C98C" w14:textId="797AD52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4F0DEF21" w14:textId="602ABCC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7,497</w:t>
            </w:r>
          </w:p>
        </w:tc>
        <w:tc>
          <w:tcPr>
            <w:tcW w:w="973" w:type="dxa"/>
            <w:tcBorders>
              <w:top w:val="nil"/>
              <w:left w:val="nil"/>
              <w:bottom w:val="nil"/>
              <w:right w:val="nil"/>
            </w:tcBorders>
            <w:shd w:val="clear" w:color="auto" w:fill="auto"/>
            <w:noWrap/>
            <w:vAlign w:val="bottom"/>
            <w:hideMark/>
          </w:tcPr>
          <w:p w14:paraId="649B94B6" w14:textId="4DABC4B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15,009</w:t>
            </w:r>
          </w:p>
        </w:tc>
        <w:tc>
          <w:tcPr>
            <w:tcW w:w="1354" w:type="dxa"/>
            <w:tcBorders>
              <w:top w:val="nil"/>
              <w:left w:val="nil"/>
              <w:bottom w:val="nil"/>
              <w:right w:val="nil"/>
            </w:tcBorders>
            <w:shd w:val="clear" w:color="auto" w:fill="auto"/>
            <w:noWrap/>
            <w:vAlign w:val="bottom"/>
            <w:hideMark/>
          </w:tcPr>
          <w:p w14:paraId="3FA4EE26" w14:textId="1CF462C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20236</w:t>
            </w:r>
          </w:p>
        </w:tc>
        <w:tc>
          <w:tcPr>
            <w:tcW w:w="1052" w:type="dxa"/>
            <w:tcBorders>
              <w:top w:val="nil"/>
              <w:left w:val="nil"/>
              <w:bottom w:val="nil"/>
              <w:right w:val="nil"/>
            </w:tcBorders>
            <w:shd w:val="clear" w:color="auto" w:fill="auto"/>
            <w:noWrap/>
            <w:vAlign w:val="bottom"/>
            <w:hideMark/>
          </w:tcPr>
          <w:p w14:paraId="3550EE17" w14:textId="795FDA0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74%</w:t>
            </w:r>
          </w:p>
        </w:tc>
        <w:tc>
          <w:tcPr>
            <w:tcW w:w="921" w:type="dxa"/>
            <w:tcBorders>
              <w:top w:val="nil"/>
              <w:left w:val="nil"/>
              <w:bottom w:val="nil"/>
              <w:right w:val="nil"/>
            </w:tcBorders>
            <w:shd w:val="clear" w:color="000000" w:fill="F8696B"/>
            <w:noWrap/>
            <w:vAlign w:val="bottom"/>
            <w:hideMark/>
          </w:tcPr>
          <w:p w14:paraId="7CCAAA5D"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1915%</w:t>
            </w:r>
          </w:p>
        </w:tc>
      </w:tr>
      <w:tr w:rsidR="00EE4C77" w:rsidRPr="007364B1" w14:paraId="6D53AEB6" w14:textId="77777777" w:rsidTr="000C24D7">
        <w:trPr>
          <w:trHeight w:val="360"/>
        </w:trPr>
        <w:tc>
          <w:tcPr>
            <w:tcW w:w="1985" w:type="dxa"/>
            <w:tcBorders>
              <w:top w:val="nil"/>
              <w:left w:val="nil"/>
              <w:bottom w:val="nil"/>
              <w:right w:val="nil"/>
            </w:tcBorders>
            <w:shd w:val="clear" w:color="auto" w:fill="auto"/>
            <w:noWrap/>
            <w:vAlign w:val="bottom"/>
            <w:hideMark/>
          </w:tcPr>
          <w:p w14:paraId="643C66E6"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bottom"/>
            <w:hideMark/>
          </w:tcPr>
          <w:p w14:paraId="7C447618" w14:textId="4F31117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16,265</w:t>
            </w:r>
          </w:p>
        </w:tc>
        <w:tc>
          <w:tcPr>
            <w:tcW w:w="992" w:type="dxa"/>
            <w:tcBorders>
              <w:top w:val="nil"/>
              <w:left w:val="nil"/>
              <w:bottom w:val="nil"/>
              <w:right w:val="nil"/>
            </w:tcBorders>
            <w:shd w:val="clear" w:color="auto" w:fill="auto"/>
            <w:noWrap/>
            <w:vAlign w:val="bottom"/>
            <w:hideMark/>
          </w:tcPr>
          <w:p w14:paraId="6973702D" w14:textId="04825F3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18,225</w:t>
            </w:r>
          </w:p>
        </w:tc>
        <w:tc>
          <w:tcPr>
            <w:tcW w:w="851" w:type="dxa"/>
            <w:tcBorders>
              <w:top w:val="nil"/>
              <w:left w:val="nil"/>
              <w:bottom w:val="nil"/>
              <w:right w:val="nil"/>
            </w:tcBorders>
            <w:shd w:val="clear" w:color="000000" w:fill="FCF4F7"/>
            <w:noWrap/>
            <w:vAlign w:val="bottom"/>
            <w:hideMark/>
          </w:tcPr>
          <w:p w14:paraId="0CA35920" w14:textId="3065A13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w:t>
            </w:r>
          </w:p>
        </w:tc>
        <w:tc>
          <w:tcPr>
            <w:tcW w:w="992" w:type="dxa"/>
            <w:tcBorders>
              <w:top w:val="nil"/>
              <w:left w:val="nil"/>
              <w:bottom w:val="nil"/>
              <w:right w:val="nil"/>
            </w:tcBorders>
            <w:shd w:val="clear" w:color="auto" w:fill="auto"/>
            <w:noWrap/>
            <w:vAlign w:val="bottom"/>
            <w:hideMark/>
          </w:tcPr>
          <w:p w14:paraId="719ECDE1" w14:textId="5DF8EE9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20,313</w:t>
            </w:r>
          </w:p>
        </w:tc>
        <w:tc>
          <w:tcPr>
            <w:tcW w:w="850" w:type="dxa"/>
            <w:tcBorders>
              <w:top w:val="nil"/>
              <w:left w:val="nil"/>
              <w:bottom w:val="nil"/>
              <w:right w:val="nil"/>
            </w:tcBorders>
            <w:shd w:val="clear" w:color="auto" w:fill="auto"/>
            <w:noWrap/>
            <w:vAlign w:val="bottom"/>
            <w:hideMark/>
          </w:tcPr>
          <w:p w14:paraId="744D25D9" w14:textId="3A867EF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112</w:t>
            </w:r>
          </w:p>
        </w:tc>
        <w:tc>
          <w:tcPr>
            <w:tcW w:w="1051" w:type="dxa"/>
            <w:tcBorders>
              <w:top w:val="nil"/>
              <w:left w:val="nil"/>
              <w:bottom w:val="nil"/>
              <w:right w:val="nil"/>
            </w:tcBorders>
            <w:shd w:val="clear" w:color="auto" w:fill="auto"/>
            <w:noWrap/>
            <w:vAlign w:val="bottom"/>
            <w:hideMark/>
          </w:tcPr>
          <w:p w14:paraId="4EB1F270" w14:textId="44E96AE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139</w:t>
            </w:r>
          </w:p>
        </w:tc>
        <w:tc>
          <w:tcPr>
            <w:tcW w:w="869" w:type="dxa"/>
            <w:tcBorders>
              <w:top w:val="nil"/>
              <w:left w:val="nil"/>
              <w:bottom w:val="nil"/>
              <w:right w:val="nil"/>
            </w:tcBorders>
            <w:shd w:val="clear" w:color="auto" w:fill="auto"/>
            <w:noWrap/>
            <w:vAlign w:val="bottom"/>
            <w:hideMark/>
          </w:tcPr>
          <w:p w14:paraId="1BAE8F3A" w14:textId="1174D5A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251</w:t>
            </w:r>
          </w:p>
        </w:tc>
        <w:tc>
          <w:tcPr>
            <w:tcW w:w="708" w:type="dxa"/>
            <w:tcBorders>
              <w:top w:val="nil"/>
              <w:left w:val="nil"/>
              <w:bottom w:val="nil"/>
              <w:right w:val="nil"/>
            </w:tcBorders>
            <w:shd w:val="clear" w:color="auto" w:fill="auto"/>
            <w:noWrap/>
            <w:vAlign w:val="bottom"/>
            <w:hideMark/>
          </w:tcPr>
          <w:p w14:paraId="12B96410" w14:textId="6661363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6D4071EE" w14:textId="1F8C12C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5C5FB989" w14:textId="5DFC222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740</w:t>
            </w:r>
          </w:p>
        </w:tc>
        <w:tc>
          <w:tcPr>
            <w:tcW w:w="1354" w:type="dxa"/>
            <w:tcBorders>
              <w:top w:val="nil"/>
              <w:left w:val="nil"/>
              <w:bottom w:val="nil"/>
              <w:right w:val="nil"/>
            </w:tcBorders>
            <w:shd w:val="clear" w:color="auto" w:fill="auto"/>
            <w:noWrap/>
            <w:vAlign w:val="bottom"/>
            <w:hideMark/>
          </w:tcPr>
          <w:p w14:paraId="5F5DA332" w14:textId="2DC6689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572</w:t>
            </w:r>
          </w:p>
        </w:tc>
        <w:tc>
          <w:tcPr>
            <w:tcW w:w="1052" w:type="dxa"/>
            <w:tcBorders>
              <w:top w:val="nil"/>
              <w:left w:val="nil"/>
              <w:bottom w:val="nil"/>
              <w:right w:val="nil"/>
            </w:tcBorders>
            <w:shd w:val="clear" w:color="auto" w:fill="auto"/>
            <w:noWrap/>
            <w:vAlign w:val="bottom"/>
            <w:hideMark/>
          </w:tcPr>
          <w:p w14:paraId="264A9A9E" w14:textId="1C88820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129%</w:t>
            </w:r>
          </w:p>
        </w:tc>
        <w:tc>
          <w:tcPr>
            <w:tcW w:w="921" w:type="dxa"/>
            <w:tcBorders>
              <w:top w:val="nil"/>
              <w:left w:val="nil"/>
              <w:bottom w:val="nil"/>
              <w:right w:val="nil"/>
            </w:tcBorders>
            <w:shd w:val="clear" w:color="000000" w:fill="FCF5F8"/>
            <w:noWrap/>
            <w:vAlign w:val="bottom"/>
            <w:hideMark/>
          </w:tcPr>
          <w:p w14:paraId="171A76FE"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295%</w:t>
            </w:r>
          </w:p>
        </w:tc>
      </w:tr>
      <w:tr w:rsidR="00EE4C77" w:rsidRPr="007364B1" w14:paraId="04448814" w14:textId="77777777" w:rsidTr="000C24D7">
        <w:trPr>
          <w:trHeight w:val="360"/>
        </w:trPr>
        <w:tc>
          <w:tcPr>
            <w:tcW w:w="1985" w:type="dxa"/>
            <w:tcBorders>
              <w:top w:val="nil"/>
              <w:left w:val="nil"/>
              <w:bottom w:val="nil"/>
              <w:right w:val="nil"/>
            </w:tcBorders>
            <w:shd w:val="clear" w:color="auto" w:fill="auto"/>
            <w:noWrap/>
            <w:vAlign w:val="bottom"/>
            <w:hideMark/>
          </w:tcPr>
          <w:p w14:paraId="3E625E0D"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bottom"/>
            <w:hideMark/>
          </w:tcPr>
          <w:p w14:paraId="5EBEDBC8" w14:textId="09D8EFD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21,495</w:t>
            </w:r>
          </w:p>
        </w:tc>
        <w:tc>
          <w:tcPr>
            <w:tcW w:w="992" w:type="dxa"/>
            <w:tcBorders>
              <w:top w:val="nil"/>
              <w:left w:val="nil"/>
              <w:bottom w:val="nil"/>
              <w:right w:val="nil"/>
            </w:tcBorders>
            <w:shd w:val="clear" w:color="auto" w:fill="auto"/>
            <w:noWrap/>
            <w:vAlign w:val="bottom"/>
            <w:hideMark/>
          </w:tcPr>
          <w:p w14:paraId="5B02774C" w14:textId="7737DC9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29,996</w:t>
            </w:r>
          </w:p>
        </w:tc>
        <w:tc>
          <w:tcPr>
            <w:tcW w:w="851" w:type="dxa"/>
            <w:tcBorders>
              <w:top w:val="nil"/>
              <w:left w:val="nil"/>
              <w:bottom w:val="nil"/>
              <w:right w:val="nil"/>
            </w:tcBorders>
            <w:shd w:val="clear" w:color="000000" w:fill="FBBDC0"/>
            <w:noWrap/>
            <w:vAlign w:val="bottom"/>
            <w:hideMark/>
          </w:tcPr>
          <w:p w14:paraId="08A7912E" w14:textId="34D96A2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+40%</w:t>
            </w:r>
          </w:p>
        </w:tc>
        <w:tc>
          <w:tcPr>
            <w:tcW w:w="992" w:type="dxa"/>
            <w:tcBorders>
              <w:top w:val="nil"/>
              <w:left w:val="nil"/>
              <w:bottom w:val="nil"/>
              <w:right w:val="nil"/>
            </w:tcBorders>
            <w:shd w:val="clear" w:color="auto" w:fill="auto"/>
            <w:noWrap/>
            <w:vAlign w:val="bottom"/>
            <w:hideMark/>
          </w:tcPr>
          <w:p w14:paraId="1F793AC6" w14:textId="5444A85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37,817</w:t>
            </w:r>
          </w:p>
        </w:tc>
        <w:tc>
          <w:tcPr>
            <w:tcW w:w="850" w:type="dxa"/>
            <w:tcBorders>
              <w:top w:val="nil"/>
              <w:left w:val="nil"/>
              <w:bottom w:val="nil"/>
              <w:right w:val="nil"/>
            </w:tcBorders>
            <w:shd w:val="clear" w:color="auto" w:fill="auto"/>
            <w:noWrap/>
            <w:vAlign w:val="bottom"/>
            <w:hideMark/>
          </w:tcPr>
          <w:p w14:paraId="08D08617" w14:textId="70407AA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344</w:t>
            </w:r>
          </w:p>
        </w:tc>
        <w:tc>
          <w:tcPr>
            <w:tcW w:w="1051" w:type="dxa"/>
            <w:tcBorders>
              <w:top w:val="nil"/>
              <w:left w:val="nil"/>
              <w:bottom w:val="nil"/>
              <w:right w:val="nil"/>
            </w:tcBorders>
            <w:shd w:val="clear" w:color="auto" w:fill="auto"/>
            <w:noWrap/>
            <w:vAlign w:val="bottom"/>
            <w:hideMark/>
          </w:tcPr>
          <w:p w14:paraId="42B4D0C2" w14:textId="0476EBD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455</w:t>
            </w:r>
          </w:p>
        </w:tc>
        <w:tc>
          <w:tcPr>
            <w:tcW w:w="869" w:type="dxa"/>
            <w:tcBorders>
              <w:top w:val="nil"/>
              <w:left w:val="nil"/>
              <w:bottom w:val="nil"/>
              <w:right w:val="nil"/>
            </w:tcBorders>
            <w:shd w:val="clear" w:color="auto" w:fill="auto"/>
            <w:noWrap/>
            <w:vAlign w:val="bottom"/>
            <w:hideMark/>
          </w:tcPr>
          <w:p w14:paraId="2DB9895B" w14:textId="591439E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799</w:t>
            </w:r>
          </w:p>
        </w:tc>
        <w:tc>
          <w:tcPr>
            <w:tcW w:w="708" w:type="dxa"/>
            <w:tcBorders>
              <w:top w:val="nil"/>
              <w:left w:val="nil"/>
              <w:bottom w:val="nil"/>
              <w:right w:val="nil"/>
            </w:tcBorders>
            <w:shd w:val="clear" w:color="auto" w:fill="auto"/>
            <w:noWrap/>
            <w:vAlign w:val="bottom"/>
            <w:hideMark/>
          </w:tcPr>
          <w:p w14:paraId="41D72A98" w14:textId="7E1EDB5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7689EE72" w14:textId="58B6801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248D7477" w14:textId="28A6199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2,920</w:t>
            </w:r>
          </w:p>
        </w:tc>
        <w:tc>
          <w:tcPr>
            <w:tcW w:w="1354" w:type="dxa"/>
            <w:tcBorders>
              <w:top w:val="nil"/>
              <w:left w:val="nil"/>
              <w:bottom w:val="nil"/>
              <w:right w:val="nil"/>
            </w:tcBorders>
            <w:shd w:val="clear" w:color="auto" w:fill="auto"/>
            <w:noWrap/>
            <w:vAlign w:val="bottom"/>
            <w:hideMark/>
          </w:tcPr>
          <w:p w14:paraId="61B9C62E" w14:textId="4687ACA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2790</w:t>
            </w:r>
          </w:p>
        </w:tc>
        <w:tc>
          <w:tcPr>
            <w:tcW w:w="1052" w:type="dxa"/>
            <w:tcBorders>
              <w:top w:val="nil"/>
              <w:left w:val="nil"/>
              <w:bottom w:val="nil"/>
              <w:right w:val="nil"/>
            </w:tcBorders>
            <w:shd w:val="clear" w:color="auto" w:fill="auto"/>
            <w:noWrap/>
            <w:vAlign w:val="bottom"/>
            <w:hideMark/>
          </w:tcPr>
          <w:p w14:paraId="2EF4C175" w14:textId="083722F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105%</w:t>
            </w:r>
          </w:p>
        </w:tc>
        <w:tc>
          <w:tcPr>
            <w:tcW w:w="921" w:type="dxa"/>
            <w:tcBorders>
              <w:top w:val="nil"/>
              <w:left w:val="nil"/>
              <w:bottom w:val="nil"/>
              <w:right w:val="nil"/>
            </w:tcBorders>
            <w:shd w:val="clear" w:color="000000" w:fill="FCEFF2"/>
            <w:noWrap/>
            <w:vAlign w:val="bottom"/>
            <w:hideMark/>
          </w:tcPr>
          <w:p w14:paraId="7EAE6ACF"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365%</w:t>
            </w:r>
          </w:p>
        </w:tc>
      </w:tr>
      <w:tr w:rsidR="00EE4C77" w:rsidRPr="007364B1" w14:paraId="3C496B58" w14:textId="77777777" w:rsidTr="000C24D7">
        <w:trPr>
          <w:trHeight w:val="360"/>
        </w:trPr>
        <w:tc>
          <w:tcPr>
            <w:tcW w:w="1985" w:type="dxa"/>
            <w:tcBorders>
              <w:top w:val="nil"/>
              <w:left w:val="nil"/>
              <w:bottom w:val="nil"/>
              <w:right w:val="nil"/>
            </w:tcBorders>
            <w:shd w:val="clear" w:color="auto" w:fill="auto"/>
            <w:noWrap/>
            <w:vAlign w:val="bottom"/>
            <w:hideMark/>
          </w:tcPr>
          <w:p w14:paraId="54252AED"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bottom"/>
            <w:hideMark/>
          </w:tcPr>
          <w:p w14:paraId="30ECA0C3" w14:textId="127BC98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89,044</w:t>
            </w:r>
          </w:p>
        </w:tc>
        <w:tc>
          <w:tcPr>
            <w:tcW w:w="992" w:type="dxa"/>
            <w:tcBorders>
              <w:top w:val="nil"/>
              <w:left w:val="nil"/>
              <w:bottom w:val="nil"/>
              <w:right w:val="nil"/>
            </w:tcBorders>
            <w:shd w:val="clear" w:color="auto" w:fill="auto"/>
            <w:noWrap/>
            <w:vAlign w:val="bottom"/>
            <w:hideMark/>
          </w:tcPr>
          <w:p w14:paraId="00E02A71" w14:textId="2A5C589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111,085</w:t>
            </w:r>
          </w:p>
        </w:tc>
        <w:tc>
          <w:tcPr>
            <w:tcW w:w="851" w:type="dxa"/>
            <w:tcBorders>
              <w:top w:val="nil"/>
              <w:left w:val="nil"/>
              <w:bottom w:val="nil"/>
              <w:right w:val="nil"/>
            </w:tcBorders>
            <w:shd w:val="clear" w:color="000000" w:fill="FCDADD"/>
            <w:noWrap/>
            <w:vAlign w:val="bottom"/>
            <w:hideMark/>
          </w:tcPr>
          <w:p w14:paraId="32C8DD1C" w14:textId="6F0E20E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+25%</w:t>
            </w:r>
          </w:p>
        </w:tc>
        <w:tc>
          <w:tcPr>
            <w:tcW w:w="992" w:type="dxa"/>
            <w:tcBorders>
              <w:top w:val="nil"/>
              <w:left w:val="nil"/>
              <w:bottom w:val="nil"/>
              <w:right w:val="nil"/>
            </w:tcBorders>
            <w:shd w:val="clear" w:color="auto" w:fill="auto"/>
            <w:noWrap/>
            <w:vAlign w:val="bottom"/>
            <w:hideMark/>
          </w:tcPr>
          <w:p w14:paraId="5ED74D85" w14:textId="6A04CA8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137,082</w:t>
            </w:r>
          </w:p>
        </w:tc>
        <w:tc>
          <w:tcPr>
            <w:tcW w:w="850" w:type="dxa"/>
            <w:tcBorders>
              <w:top w:val="nil"/>
              <w:left w:val="nil"/>
              <w:bottom w:val="nil"/>
              <w:right w:val="nil"/>
            </w:tcBorders>
            <w:shd w:val="clear" w:color="auto" w:fill="auto"/>
            <w:noWrap/>
            <w:vAlign w:val="bottom"/>
            <w:hideMark/>
          </w:tcPr>
          <w:p w14:paraId="04C5BE33" w14:textId="068404C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772</w:t>
            </w:r>
          </w:p>
        </w:tc>
        <w:tc>
          <w:tcPr>
            <w:tcW w:w="1051" w:type="dxa"/>
            <w:tcBorders>
              <w:top w:val="nil"/>
              <w:left w:val="nil"/>
              <w:bottom w:val="nil"/>
              <w:right w:val="nil"/>
            </w:tcBorders>
            <w:shd w:val="clear" w:color="auto" w:fill="auto"/>
            <w:noWrap/>
            <w:vAlign w:val="bottom"/>
            <w:hideMark/>
          </w:tcPr>
          <w:p w14:paraId="311E6246" w14:textId="75B4ACA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1,082</w:t>
            </w:r>
          </w:p>
        </w:tc>
        <w:tc>
          <w:tcPr>
            <w:tcW w:w="869" w:type="dxa"/>
            <w:tcBorders>
              <w:top w:val="nil"/>
              <w:left w:val="nil"/>
              <w:bottom w:val="nil"/>
              <w:right w:val="nil"/>
            </w:tcBorders>
            <w:shd w:val="clear" w:color="auto" w:fill="auto"/>
            <w:noWrap/>
            <w:vAlign w:val="bottom"/>
            <w:hideMark/>
          </w:tcPr>
          <w:p w14:paraId="75ACF6A9" w14:textId="58E0297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1,853</w:t>
            </w:r>
          </w:p>
        </w:tc>
        <w:tc>
          <w:tcPr>
            <w:tcW w:w="708" w:type="dxa"/>
            <w:tcBorders>
              <w:top w:val="nil"/>
              <w:left w:val="nil"/>
              <w:bottom w:val="nil"/>
              <w:right w:val="nil"/>
            </w:tcBorders>
            <w:shd w:val="clear" w:color="auto" w:fill="auto"/>
            <w:noWrap/>
            <w:vAlign w:val="bottom"/>
            <w:hideMark/>
          </w:tcPr>
          <w:p w14:paraId="077FAC6E" w14:textId="7C10AA3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4806B554" w14:textId="07E9928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2,961</w:t>
            </w:r>
          </w:p>
        </w:tc>
        <w:tc>
          <w:tcPr>
            <w:tcW w:w="973" w:type="dxa"/>
            <w:tcBorders>
              <w:top w:val="nil"/>
              <w:left w:val="nil"/>
              <w:bottom w:val="nil"/>
              <w:right w:val="nil"/>
            </w:tcBorders>
            <w:shd w:val="clear" w:color="auto" w:fill="auto"/>
            <w:noWrap/>
            <w:vAlign w:val="bottom"/>
            <w:hideMark/>
          </w:tcPr>
          <w:p w14:paraId="4467284A" w14:textId="1C09EC9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4,394</w:t>
            </w:r>
          </w:p>
        </w:tc>
        <w:tc>
          <w:tcPr>
            <w:tcW w:w="1354" w:type="dxa"/>
            <w:tcBorders>
              <w:top w:val="nil"/>
              <w:left w:val="nil"/>
              <w:bottom w:val="nil"/>
              <w:right w:val="nil"/>
            </w:tcBorders>
            <w:shd w:val="clear" w:color="auto" w:fill="auto"/>
            <w:noWrap/>
            <w:vAlign w:val="bottom"/>
            <w:hideMark/>
          </w:tcPr>
          <w:p w14:paraId="44817161" w14:textId="3E9EE2C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5174</w:t>
            </w:r>
          </w:p>
        </w:tc>
        <w:tc>
          <w:tcPr>
            <w:tcW w:w="1052" w:type="dxa"/>
            <w:tcBorders>
              <w:top w:val="nil"/>
              <w:left w:val="nil"/>
              <w:bottom w:val="nil"/>
              <w:right w:val="nil"/>
            </w:tcBorders>
            <w:shd w:val="clear" w:color="auto" w:fill="auto"/>
            <w:noWrap/>
            <w:vAlign w:val="bottom"/>
            <w:hideMark/>
          </w:tcPr>
          <w:p w14:paraId="34E76F8E" w14:textId="7C73667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85%</w:t>
            </w:r>
          </w:p>
        </w:tc>
        <w:tc>
          <w:tcPr>
            <w:tcW w:w="921" w:type="dxa"/>
            <w:tcBorders>
              <w:top w:val="nil"/>
              <w:left w:val="nil"/>
              <w:bottom w:val="nil"/>
              <w:right w:val="nil"/>
            </w:tcBorders>
            <w:shd w:val="clear" w:color="000000" w:fill="FCECEF"/>
            <w:noWrap/>
            <w:vAlign w:val="bottom"/>
            <w:hideMark/>
          </w:tcPr>
          <w:p w14:paraId="2DAF61D8"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397%</w:t>
            </w:r>
          </w:p>
        </w:tc>
      </w:tr>
      <w:tr w:rsidR="00EE4C77" w:rsidRPr="007364B1" w14:paraId="4E4D4A97" w14:textId="77777777" w:rsidTr="000C24D7">
        <w:trPr>
          <w:trHeight w:val="360"/>
        </w:trPr>
        <w:tc>
          <w:tcPr>
            <w:tcW w:w="1985" w:type="dxa"/>
            <w:tcBorders>
              <w:top w:val="nil"/>
              <w:left w:val="nil"/>
              <w:bottom w:val="nil"/>
              <w:right w:val="nil"/>
            </w:tcBorders>
            <w:shd w:val="clear" w:color="auto" w:fill="auto"/>
            <w:noWrap/>
            <w:vAlign w:val="bottom"/>
            <w:hideMark/>
          </w:tcPr>
          <w:p w14:paraId="67A7DA92"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bottom"/>
            <w:hideMark/>
          </w:tcPr>
          <w:p w14:paraId="2D78F772" w14:textId="38A5271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7,426</w:t>
            </w:r>
          </w:p>
        </w:tc>
        <w:tc>
          <w:tcPr>
            <w:tcW w:w="992" w:type="dxa"/>
            <w:tcBorders>
              <w:top w:val="nil"/>
              <w:left w:val="nil"/>
              <w:bottom w:val="nil"/>
              <w:right w:val="nil"/>
            </w:tcBorders>
            <w:shd w:val="clear" w:color="auto" w:fill="auto"/>
            <w:noWrap/>
            <w:vAlign w:val="bottom"/>
            <w:hideMark/>
          </w:tcPr>
          <w:p w14:paraId="14B9932E" w14:textId="30F6B79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8,638</w:t>
            </w:r>
          </w:p>
        </w:tc>
        <w:tc>
          <w:tcPr>
            <w:tcW w:w="851" w:type="dxa"/>
            <w:tcBorders>
              <w:top w:val="nil"/>
              <w:left w:val="nil"/>
              <w:bottom w:val="nil"/>
              <w:right w:val="nil"/>
            </w:tcBorders>
            <w:shd w:val="clear" w:color="000000" w:fill="FCEBED"/>
            <w:noWrap/>
            <w:vAlign w:val="bottom"/>
            <w:hideMark/>
          </w:tcPr>
          <w:p w14:paraId="2E4FF91E" w14:textId="39FFFB0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+16%</w:t>
            </w:r>
          </w:p>
        </w:tc>
        <w:tc>
          <w:tcPr>
            <w:tcW w:w="992" w:type="dxa"/>
            <w:tcBorders>
              <w:top w:val="nil"/>
              <w:left w:val="nil"/>
              <w:bottom w:val="nil"/>
              <w:right w:val="nil"/>
            </w:tcBorders>
            <w:shd w:val="clear" w:color="auto" w:fill="auto"/>
            <w:noWrap/>
            <w:vAlign w:val="bottom"/>
            <w:hideMark/>
          </w:tcPr>
          <w:p w14:paraId="4D14D096" w14:textId="584444C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9,191</w:t>
            </w:r>
          </w:p>
        </w:tc>
        <w:tc>
          <w:tcPr>
            <w:tcW w:w="850" w:type="dxa"/>
            <w:tcBorders>
              <w:top w:val="nil"/>
              <w:left w:val="nil"/>
              <w:bottom w:val="nil"/>
              <w:right w:val="nil"/>
            </w:tcBorders>
            <w:shd w:val="clear" w:color="auto" w:fill="auto"/>
            <w:noWrap/>
            <w:vAlign w:val="bottom"/>
            <w:hideMark/>
          </w:tcPr>
          <w:p w14:paraId="3292D86B" w14:textId="1D43CD7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340</w:t>
            </w:r>
          </w:p>
        </w:tc>
        <w:tc>
          <w:tcPr>
            <w:tcW w:w="1051" w:type="dxa"/>
            <w:tcBorders>
              <w:top w:val="nil"/>
              <w:left w:val="nil"/>
              <w:bottom w:val="nil"/>
              <w:right w:val="nil"/>
            </w:tcBorders>
            <w:shd w:val="clear" w:color="auto" w:fill="auto"/>
            <w:noWrap/>
            <w:vAlign w:val="bottom"/>
            <w:hideMark/>
          </w:tcPr>
          <w:p w14:paraId="4685571D" w14:textId="1A800CC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104</w:t>
            </w:r>
          </w:p>
        </w:tc>
        <w:tc>
          <w:tcPr>
            <w:tcW w:w="869" w:type="dxa"/>
            <w:tcBorders>
              <w:top w:val="nil"/>
              <w:left w:val="nil"/>
              <w:bottom w:val="nil"/>
              <w:right w:val="nil"/>
            </w:tcBorders>
            <w:shd w:val="clear" w:color="auto" w:fill="auto"/>
            <w:noWrap/>
            <w:vAlign w:val="bottom"/>
            <w:hideMark/>
          </w:tcPr>
          <w:p w14:paraId="046BD000" w14:textId="1885E8C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444</w:t>
            </w:r>
          </w:p>
        </w:tc>
        <w:tc>
          <w:tcPr>
            <w:tcW w:w="708" w:type="dxa"/>
            <w:tcBorders>
              <w:top w:val="nil"/>
              <w:left w:val="nil"/>
              <w:bottom w:val="nil"/>
              <w:right w:val="nil"/>
            </w:tcBorders>
            <w:shd w:val="clear" w:color="auto" w:fill="auto"/>
            <w:noWrap/>
            <w:vAlign w:val="bottom"/>
            <w:hideMark/>
          </w:tcPr>
          <w:p w14:paraId="37174905" w14:textId="0F69D09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1359276D" w14:textId="115574F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5E4A3592" w14:textId="086F73B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745</w:t>
            </w:r>
          </w:p>
        </w:tc>
        <w:tc>
          <w:tcPr>
            <w:tcW w:w="1354" w:type="dxa"/>
            <w:tcBorders>
              <w:top w:val="nil"/>
              <w:left w:val="nil"/>
              <w:bottom w:val="nil"/>
              <w:right w:val="nil"/>
            </w:tcBorders>
            <w:shd w:val="clear" w:color="auto" w:fill="auto"/>
            <w:noWrap/>
            <w:vAlign w:val="bottom"/>
            <w:hideMark/>
          </w:tcPr>
          <w:p w14:paraId="5FF60BFC" w14:textId="3BEAE99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982</w:t>
            </w:r>
          </w:p>
        </w:tc>
        <w:tc>
          <w:tcPr>
            <w:tcW w:w="1052" w:type="dxa"/>
            <w:tcBorders>
              <w:top w:val="nil"/>
              <w:left w:val="nil"/>
              <w:bottom w:val="nil"/>
              <w:right w:val="nil"/>
            </w:tcBorders>
            <w:shd w:val="clear" w:color="auto" w:fill="auto"/>
            <w:noWrap/>
            <w:vAlign w:val="bottom"/>
            <w:hideMark/>
          </w:tcPr>
          <w:p w14:paraId="7D36BC9A" w14:textId="22177E6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76%</w:t>
            </w:r>
          </w:p>
        </w:tc>
        <w:tc>
          <w:tcPr>
            <w:tcW w:w="921" w:type="dxa"/>
            <w:tcBorders>
              <w:top w:val="nil"/>
              <w:left w:val="nil"/>
              <w:bottom w:val="nil"/>
              <w:right w:val="nil"/>
            </w:tcBorders>
            <w:shd w:val="clear" w:color="000000" w:fill="B2C8E5"/>
            <w:noWrap/>
            <w:vAlign w:val="bottom"/>
            <w:hideMark/>
          </w:tcPr>
          <w:p w14:paraId="37EE5C07"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168%</w:t>
            </w:r>
          </w:p>
        </w:tc>
      </w:tr>
      <w:tr w:rsidR="00EE4C77" w:rsidRPr="007364B1" w14:paraId="16BAD158" w14:textId="77777777" w:rsidTr="000C24D7">
        <w:trPr>
          <w:trHeight w:val="360"/>
        </w:trPr>
        <w:tc>
          <w:tcPr>
            <w:tcW w:w="1985" w:type="dxa"/>
            <w:tcBorders>
              <w:top w:val="nil"/>
              <w:left w:val="nil"/>
              <w:bottom w:val="nil"/>
              <w:right w:val="nil"/>
            </w:tcBorders>
            <w:shd w:val="clear" w:color="auto" w:fill="auto"/>
            <w:noWrap/>
            <w:vAlign w:val="bottom"/>
            <w:hideMark/>
          </w:tcPr>
          <w:p w14:paraId="063358BA"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bottom"/>
            <w:hideMark/>
          </w:tcPr>
          <w:p w14:paraId="7ADF9130" w14:textId="67C2200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47,233</w:t>
            </w:r>
          </w:p>
        </w:tc>
        <w:tc>
          <w:tcPr>
            <w:tcW w:w="992" w:type="dxa"/>
            <w:tcBorders>
              <w:top w:val="nil"/>
              <w:left w:val="nil"/>
              <w:bottom w:val="nil"/>
              <w:right w:val="nil"/>
            </w:tcBorders>
            <w:shd w:val="clear" w:color="auto" w:fill="auto"/>
            <w:noWrap/>
            <w:vAlign w:val="bottom"/>
            <w:hideMark/>
          </w:tcPr>
          <w:p w14:paraId="6DD1D26D" w14:textId="1648FF3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80,867</w:t>
            </w:r>
          </w:p>
        </w:tc>
        <w:tc>
          <w:tcPr>
            <w:tcW w:w="851" w:type="dxa"/>
            <w:tcBorders>
              <w:top w:val="nil"/>
              <w:left w:val="nil"/>
              <w:bottom w:val="nil"/>
              <w:right w:val="nil"/>
            </w:tcBorders>
            <w:shd w:val="clear" w:color="000000" w:fill="F8696B"/>
            <w:noWrap/>
            <w:vAlign w:val="bottom"/>
            <w:hideMark/>
          </w:tcPr>
          <w:p w14:paraId="25828055" w14:textId="4D39A57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+71%</w:t>
            </w:r>
          </w:p>
        </w:tc>
        <w:tc>
          <w:tcPr>
            <w:tcW w:w="992" w:type="dxa"/>
            <w:tcBorders>
              <w:top w:val="nil"/>
              <w:left w:val="nil"/>
              <w:bottom w:val="nil"/>
              <w:right w:val="nil"/>
            </w:tcBorders>
            <w:shd w:val="clear" w:color="auto" w:fill="auto"/>
            <w:noWrap/>
            <w:vAlign w:val="bottom"/>
            <w:hideMark/>
          </w:tcPr>
          <w:p w14:paraId="1A82038A" w14:textId="50A7142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89,250</w:t>
            </w:r>
          </w:p>
        </w:tc>
        <w:tc>
          <w:tcPr>
            <w:tcW w:w="850" w:type="dxa"/>
            <w:tcBorders>
              <w:top w:val="nil"/>
              <w:left w:val="nil"/>
              <w:bottom w:val="nil"/>
              <w:right w:val="nil"/>
            </w:tcBorders>
            <w:shd w:val="clear" w:color="auto" w:fill="auto"/>
            <w:noWrap/>
            <w:vAlign w:val="bottom"/>
            <w:hideMark/>
          </w:tcPr>
          <w:p w14:paraId="08CE83A0" w14:textId="70CC451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51" w:type="dxa"/>
            <w:tcBorders>
              <w:top w:val="nil"/>
              <w:left w:val="nil"/>
              <w:bottom w:val="nil"/>
              <w:right w:val="nil"/>
            </w:tcBorders>
            <w:shd w:val="clear" w:color="auto" w:fill="auto"/>
            <w:noWrap/>
            <w:vAlign w:val="bottom"/>
            <w:hideMark/>
          </w:tcPr>
          <w:p w14:paraId="759C5754" w14:textId="3CCAC62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6,015</w:t>
            </w:r>
          </w:p>
        </w:tc>
        <w:tc>
          <w:tcPr>
            <w:tcW w:w="869" w:type="dxa"/>
            <w:tcBorders>
              <w:top w:val="nil"/>
              <w:left w:val="nil"/>
              <w:bottom w:val="nil"/>
              <w:right w:val="nil"/>
            </w:tcBorders>
            <w:shd w:val="clear" w:color="auto" w:fill="auto"/>
            <w:noWrap/>
            <w:vAlign w:val="bottom"/>
            <w:hideMark/>
          </w:tcPr>
          <w:p w14:paraId="09CF394A" w14:textId="51D2093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6,015</w:t>
            </w:r>
          </w:p>
        </w:tc>
        <w:tc>
          <w:tcPr>
            <w:tcW w:w="708" w:type="dxa"/>
            <w:tcBorders>
              <w:top w:val="nil"/>
              <w:left w:val="nil"/>
              <w:bottom w:val="nil"/>
              <w:right w:val="nil"/>
            </w:tcBorders>
            <w:shd w:val="clear" w:color="auto" w:fill="auto"/>
            <w:noWrap/>
            <w:vAlign w:val="bottom"/>
            <w:hideMark/>
          </w:tcPr>
          <w:p w14:paraId="6DD58474" w14:textId="3AAE0FC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3347354D" w14:textId="1EBE6674"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-10,458</w:t>
            </w:r>
          </w:p>
        </w:tc>
        <w:tc>
          <w:tcPr>
            <w:tcW w:w="973" w:type="dxa"/>
            <w:tcBorders>
              <w:top w:val="nil"/>
              <w:left w:val="nil"/>
              <w:bottom w:val="nil"/>
              <w:right w:val="nil"/>
            </w:tcBorders>
            <w:shd w:val="clear" w:color="auto" w:fill="auto"/>
            <w:noWrap/>
            <w:vAlign w:val="bottom"/>
            <w:hideMark/>
          </w:tcPr>
          <w:p w14:paraId="4DD498D3" w14:textId="3D8B989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24,881</w:t>
            </w:r>
          </w:p>
        </w:tc>
        <w:tc>
          <w:tcPr>
            <w:tcW w:w="1354" w:type="dxa"/>
            <w:tcBorders>
              <w:top w:val="nil"/>
              <w:left w:val="nil"/>
              <w:bottom w:val="nil"/>
              <w:right w:val="nil"/>
            </w:tcBorders>
            <w:shd w:val="clear" w:color="auto" w:fill="auto"/>
            <w:noWrap/>
            <w:vAlign w:val="bottom"/>
            <w:hideMark/>
          </w:tcPr>
          <w:p w14:paraId="6FF7A5ED" w14:textId="7C53CBE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19308</w:t>
            </w:r>
          </w:p>
        </w:tc>
        <w:tc>
          <w:tcPr>
            <w:tcW w:w="1052" w:type="dxa"/>
            <w:tcBorders>
              <w:top w:val="nil"/>
              <w:left w:val="nil"/>
              <w:bottom w:val="nil"/>
              <w:right w:val="nil"/>
            </w:tcBorders>
            <w:shd w:val="clear" w:color="auto" w:fill="auto"/>
            <w:noWrap/>
            <w:vAlign w:val="bottom"/>
            <w:hideMark/>
          </w:tcPr>
          <w:p w14:paraId="0AA555AF" w14:textId="0C058D0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129%</w:t>
            </w:r>
          </w:p>
        </w:tc>
        <w:tc>
          <w:tcPr>
            <w:tcW w:w="921" w:type="dxa"/>
            <w:tcBorders>
              <w:top w:val="nil"/>
              <w:left w:val="nil"/>
              <w:bottom w:val="nil"/>
              <w:right w:val="nil"/>
            </w:tcBorders>
            <w:shd w:val="clear" w:color="000000" w:fill="FCFAFD"/>
            <w:noWrap/>
            <w:vAlign w:val="bottom"/>
            <w:hideMark/>
          </w:tcPr>
          <w:p w14:paraId="03D4D34D"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240%</w:t>
            </w:r>
          </w:p>
        </w:tc>
      </w:tr>
      <w:tr w:rsidR="00EE4C77" w:rsidRPr="007364B1" w14:paraId="4E511A0C" w14:textId="77777777" w:rsidTr="000C24D7">
        <w:trPr>
          <w:trHeight w:val="360"/>
        </w:trPr>
        <w:tc>
          <w:tcPr>
            <w:tcW w:w="1985" w:type="dxa"/>
            <w:tcBorders>
              <w:top w:val="nil"/>
              <w:left w:val="nil"/>
              <w:bottom w:val="nil"/>
              <w:right w:val="nil"/>
            </w:tcBorders>
            <w:shd w:val="clear" w:color="auto" w:fill="auto"/>
            <w:noWrap/>
            <w:vAlign w:val="bottom"/>
            <w:hideMark/>
          </w:tcPr>
          <w:p w14:paraId="17FDE26E"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bottom"/>
            <w:hideMark/>
          </w:tcPr>
          <w:p w14:paraId="01E4580D" w14:textId="331E47B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3,473</w:t>
            </w:r>
          </w:p>
        </w:tc>
        <w:tc>
          <w:tcPr>
            <w:tcW w:w="992" w:type="dxa"/>
            <w:tcBorders>
              <w:top w:val="nil"/>
              <w:left w:val="nil"/>
              <w:bottom w:val="nil"/>
              <w:right w:val="nil"/>
            </w:tcBorders>
            <w:shd w:val="clear" w:color="auto" w:fill="auto"/>
            <w:noWrap/>
            <w:vAlign w:val="bottom"/>
            <w:hideMark/>
          </w:tcPr>
          <w:p w14:paraId="3012A624" w14:textId="783B7C9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6,349</w:t>
            </w:r>
          </w:p>
        </w:tc>
        <w:tc>
          <w:tcPr>
            <w:tcW w:w="851" w:type="dxa"/>
            <w:tcBorders>
              <w:top w:val="nil"/>
              <w:left w:val="nil"/>
              <w:bottom w:val="nil"/>
              <w:right w:val="nil"/>
            </w:tcBorders>
            <w:shd w:val="clear" w:color="000000" w:fill="F96B6D"/>
            <w:noWrap/>
            <w:vAlign w:val="bottom"/>
            <w:hideMark/>
          </w:tcPr>
          <w:p w14:paraId="567C8E7E" w14:textId="0BF1FFD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+83%</w:t>
            </w:r>
          </w:p>
        </w:tc>
        <w:tc>
          <w:tcPr>
            <w:tcW w:w="992" w:type="dxa"/>
            <w:tcBorders>
              <w:top w:val="nil"/>
              <w:left w:val="nil"/>
              <w:bottom w:val="nil"/>
              <w:right w:val="nil"/>
            </w:tcBorders>
            <w:shd w:val="clear" w:color="auto" w:fill="auto"/>
            <w:noWrap/>
            <w:vAlign w:val="bottom"/>
            <w:hideMark/>
          </w:tcPr>
          <w:p w14:paraId="03735956" w14:textId="6518605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7,450</w:t>
            </w:r>
          </w:p>
        </w:tc>
        <w:tc>
          <w:tcPr>
            <w:tcW w:w="850" w:type="dxa"/>
            <w:tcBorders>
              <w:top w:val="nil"/>
              <w:left w:val="nil"/>
              <w:bottom w:val="nil"/>
              <w:right w:val="nil"/>
            </w:tcBorders>
            <w:shd w:val="clear" w:color="auto" w:fill="auto"/>
            <w:noWrap/>
            <w:vAlign w:val="bottom"/>
            <w:hideMark/>
          </w:tcPr>
          <w:p w14:paraId="7B36D862" w14:textId="67864CA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261</w:t>
            </w:r>
          </w:p>
        </w:tc>
        <w:tc>
          <w:tcPr>
            <w:tcW w:w="1051" w:type="dxa"/>
            <w:tcBorders>
              <w:top w:val="nil"/>
              <w:left w:val="nil"/>
              <w:bottom w:val="nil"/>
              <w:right w:val="nil"/>
            </w:tcBorders>
            <w:shd w:val="clear" w:color="auto" w:fill="auto"/>
            <w:noWrap/>
            <w:vAlign w:val="bottom"/>
            <w:hideMark/>
          </w:tcPr>
          <w:p w14:paraId="021824E3" w14:textId="5A9C5DB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220</w:t>
            </w:r>
          </w:p>
        </w:tc>
        <w:tc>
          <w:tcPr>
            <w:tcW w:w="869" w:type="dxa"/>
            <w:tcBorders>
              <w:top w:val="nil"/>
              <w:left w:val="nil"/>
              <w:bottom w:val="nil"/>
              <w:right w:val="nil"/>
            </w:tcBorders>
            <w:shd w:val="clear" w:color="auto" w:fill="auto"/>
            <w:noWrap/>
            <w:vAlign w:val="bottom"/>
            <w:hideMark/>
          </w:tcPr>
          <w:p w14:paraId="734BC08C" w14:textId="6BB4CCA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481</w:t>
            </w:r>
          </w:p>
        </w:tc>
        <w:tc>
          <w:tcPr>
            <w:tcW w:w="708" w:type="dxa"/>
            <w:tcBorders>
              <w:top w:val="nil"/>
              <w:left w:val="nil"/>
              <w:bottom w:val="nil"/>
              <w:right w:val="nil"/>
            </w:tcBorders>
            <w:shd w:val="clear" w:color="auto" w:fill="auto"/>
            <w:noWrap/>
            <w:vAlign w:val="bottom"/>
            <w:hideMark/>
          </w:tcPr>
          <w:p w14:paraId="3C26C1E2" w14:textId="53BBFB1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35E8D1CB" w14:textId="4CB86E8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3FC538A8" w14:textId="2E3EE94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1,193</w:t>
            </w:r>
          </w:p>
        </w:tc>
        <w:tc>
          <w:tcPr>
            <w:tcW w:w="1354" w:type="dxa"/>
            <w:tcBorders>
              <w:top w:val="nil"/>
              <w:left w:val="nil"/>
              <w:bottom w:val="nil"/>
              <w:right w:val="nil"/>
            </w:tcBorders>
            <w:shd w:val="clear" w:color="auto" w:fill="auto"/>
            <w:noWrap/>
            <w:vAlign w:val="bottom"/>
            <w:hideMark/>
          </w:tcPr>
          <w:p w14:paraId="0C1B4BB1" w14:textId="225EBEB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2164</w:t>
            </w:r>
          </w:p>
        </w:tc>
        <w:tc>
          <w:tcPr>
            <w:tcW w:w="1052" w:type="dxa"/>
            <w:tcBorders>
              <w:top w:val="nil"/>
              <w:left w:val="nil"/>
              <w:bottom w:val="nil"/>
              <w:right w:val="nil"/>
            </w:tcBorders>
            <w:shd w:val="clear" w:color="auto" w:fill="auto"/>
            <w:noWrap/>
            <w:vAlign w:val="bottom"/>
            <w:hideMark/>
          </w:tcPr>
          <w:p w14:paraId="0E3383CB" w14:textId="36E41B5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55%</w:t>
            </w:r>
          </w:p>
        </w:tc>
        <w:tc>
          <w:tcPr>
            <w:tcW w:w="921" w:type="dxa"/>
            <w:tcBorders>
              <w:top w:val="nil"/>
              <w:left w:val="nil"/>
              <w:bottom w:val="nil"/>
              <w:right w:val="nil"/>
            </w:tcBorders>
            <w:shd w:val="clear" w:color="000000" w:fill="FCF9FC"/>
            <w:noWrap/>
            <w:vAlign w:val="bottom"/>
            <w:hideMark/>
          </w:tcPr>
          <w:p w14:paraId="6953C8F4"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248%</w:t>
            </w:r>
          </w:p>
        </w:tc>
      </w:tr>
      <w:tr w:rsidR="00EE4C77" w:rsidRPr="007364B1" w14:paraId="0D0D2D27" w14:textId="77777777" w:rsidTr="000C24D7">
        <w:trPr>
          <w:trHeight w:val="360"/>
        </w:trPr>
        <w:tc>
          <w:tcPr>
            <w:tcW w:w="1985" w:type="dxa"/>
            <w:tcBorders>
              <w:top w:val="nil"/>
              <w:left w:val="nil"/>
              <w:bottom w:val="nil"/>
              <w:right w:val="nil"/>
            </w:tcBorders>
            <w:shd w:val="clear" w:color="auto" w:fill="auto"/>
            <w:noWrap/>
            <w:vAlign w:val="bottom"/>
            <w:hideMark/>
          </w:tcPr>
          <w:p w14:paraId="18611D4C"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bottom"/>
            <w:hideMark/>
          </w:tcPr>
          <w:p w14:paraId="60ADA567" w14:textId="7DA5024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16,616</w:t>
            </w:r>
          </w:p>
        </w:tc>
        <w:tc>
          <w:tcPr>
            <w:tcW w:w="992" w:type="dxa"/>
            <w:tcBorders>
              <w:top w:val="nil"/>
              <w:left w:val="nil"/>
              <w:bottom w:val="nil"/>
              <w:right w:val="nil"/>
            </w:tcBorders>
            <w:shd w:val="clear" w:color="auto" w:fill="auto"/>
            <w:noWrap/>
            <w:vAlign w:val="bottom"/>
            <w:hideMark/>
          </w:tcPr>
          <w:p w14:paraId="00AF547C" w14:textId="1686A7C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19,618</w:t>
            </w:r>
          </w:p>
        </w:tc>
        <w:tc>
          <w:tcPr>
            <w:tcW w:w="851" w:type="dxa"/>
            <w:tcBorders>
              <w:top w:val="nil"/>
              <w:left w:val="nil"/>
              <w:bottom w:val="nil"/>
              <w:right w:val="nil"/>
            </w:tcBorders>
            <w:shd w:val="clear" w:color="000000" w:fill="FCE3E6"/>
            <w:noWrap/>
            <w:vAlign w:val="bottom"/>
            <w:hideMark/>
          </w:tcPr>
          <w:p w14:paraId="6148DA62" w14:textId="6154D32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+18%</w:t>
            </w:r>
          </w:p>
        </w:tc>
        <w:tc>
          <w:tcPr>
            <w:tcW w:w="992" w:type="dxa"/>
            <w:tcBorders>
              <w:top w:val="nil"/>
              <w:left w:val="nil"/>
              <w:bottom w:val="nil"/>
              <w:right w:val="nil"/>
            </w:tcBorders>
            <w:shd w:val="clear" w:color="auto" w:fill="auto"/>
            <w:noWrap/>
            <w:vAlign w:val="bottom"/>
            <w:hideMark/>
          </w:tcPr>
          <w:p w14:paraId="42EECA6D" w14:textId="24B7913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21,821</w:t>
            </w:r>
          </w:p>
        </w:tc>
        <w:tc>
          <w:tcPr>
            <w:tcW w:w="850" w:type="dxa"/>
            <w:tcBorders>
              <w:top w:val="nil"/>
              <w:left w:val="nil"/>
              <w:bottom w:val="nil"/>
              <w:right w:val="nil"/>
            </w:tcBorders>
            <w:shd w:val="clear" w:color="auto" w:fill="auto"/>
            <w:noWrap/>
            <w:vAlign w:val="bottom"/>
            <w:hideMark/>
          </w:tcPr>
          <w:p w14:paraId="5DD8A152" w14:textId="365AB35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1,014</w:t>
            </w:r>
          </w:p>
        </w:tc>
        <w:tc>
          <w:tcPr>
            <w:tcW w:w="1051" w:type="dxa"/>
            <w:tcBorders>
              <w:top w:val="nil"/>
              <w:left w:val="nil"/>
              <w:bottom w:val="nil"/>
              <w:right w:val="nil"/>
            </w:tcBorders>
            <w:shd w:val="clear" w:color="auto" w:fill="auto"/>
            <w:noWrap/>
            <w:vAlign w:val="bottom"/>
            <w:hideMark/>
          </w:tcPr>
          <w:p w14:paraId="5AB1ABF1" w14:textId="06CC87E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895</w:t>
            </w:r>
          </w:p>
        </w:tc>
        <w:tc>
          <w:tcPr>
            <w:tcW w:w="869" w:type="dxa"/>
            <w:tcBorders>
              <w:top w:val="nil"/>
              <w:left w:val="nil"/>
              <w:bottom w:val="nil"/>
              <w:right w:val="nil"/>
            </w:tcBorders>
            <w:shd w:val="clear" w:color="auto" w:fill="auto"/>
            <w:noWrap/>
            <w:vAlign w:val="bottom"/>
            <w:hideMark/>
          </w:tcPr>
          <w:p w14:paraId="6D1E1EA1" w14:textId="0333DA6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1,908</w:t>
            </w:r>
          </w:p>
        </w:tc>
        <w:tc>
          <w:tcPr>
            <w:tcW w:w="708" w:type="dxa"/>
            <w:tcBorders>
              <w:top w:val="nil"/>
              <w:left w:val="nil"/>
              <w:bottom w:val="nil"/>
              <w:right w:val="nil"/>
            </w:tcBorders>
            <w:shd w:val="clear" w:color="auto" w:fill="auto"/>
            <w:noWrap/>
            <w:vAlign w:val="bottom"/>
            <w:hideMark/>
          </w:tcPr>
          <w:p w14:paraId="3789FDC6" w14:textId="0734AFF4"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43D9755D" w14:textId="6D400D4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087841DC" w14:textId="60422EB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2,637</w:t>
            </w:r>
          </w:p>
        </w:tc>
        <w:tc>
          <w:tcPr>
            <w:tcW w:w="1354" w:type="dxa"/>
            <w:tcBorders>
              <w:top w:val="nil"/>
              <w:left w:val="nil"/>
              <w:bottom w:val="nil"/>
              <w:right w:val="nil"/>
            </w:tcBorders>
            <w:shd w:val="clear" w:color="auto" w:fill="auto"/>
            <w:noWrap/>
            <w:vAlign w:val="bottom"/>
            <w:hideMark/>
          </w:tcPr>
          <w:p w14:paraId="08835CEF" w14:textId="2B76B5C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2544</w:t>
            </w:r>
          </w:p>
        </w:tc>
        <w:tc>
          <w:tcPr>
            <w:tcW w:w="1052" w:type="dxa"/>
            <w:tcBorders>
              <w:top w:val="nil"/>
              <w:left w:val="nil"/>
              <w:bottom w:val="nil"/>
              <w:right w:val="nil"/>
            </w:tcBorders>
            <w:shd w:val="clear" w:color="auto" w:fill="auto"/>
            <w:noWrap/>
            <w:vAlign w:val="bottom"/>
            <w:hideMark/>
          </w:tcPr>
          <w:p w14:paraId="3290DF4B" w14:textId="1BBEFC3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104%</w:t>
            </w:r>
          </w:p>
        </w:tc>
        <w:tc>
          <w:tcPr>
            <w:tcW w:w="921" w:type="dxa"/>
            <w:tcBorders>
              <w:top w:val="nil"/>
              <w:left w:val="nil"/>
              <w:bottom w:val="nil"/>
              <w:right w:val="nil"/>
            </w:tcBorders>
            <w:shd w:val="clear" w:color="000000" w:fill="7AA0D1"/>
            <w:noWrap/>
            <w:vAlign w:val="bottom"/>
            <w:hideMark/>
          </w:tcPr>
          <w:p w14:paraId="7AD30900"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138%</w:t>
            </w:r>
          </w:p>
        </w:tc>
      </w:tr>
      <w:tr w:rsidR="00EE4C77" w:rsidRPr="007364B1" w14:paraId="12965A21" w14:textId="77777777" w:rsidTr="000C24D7">
        <w:trPr>
          <w:trHeight w:val="360"/>
        </w:trPr>
        <w:tc>
          <w:tcPr>
            <w:tcW w:w="1985" w:type="dxa"/>
            <w:tcBorders>
              <w:top w:val="nil"/>
              <w:left w:val="nil"/>
              <w:bottom w:val="nil"/>
              <w:right w:val="nil"/>
            </w:tcBorders>
            <w:shd w:val="clear" w:color="auto" w:fill="auto"/>
            <w:noWrap/>
            <w:vAlign w:val="bottom"/>
            <w:hideMark/>
          </w:tcPr>
          <w:p w14:paraId="4D89F73A"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bottom"/>
            <w:hideMark/>
          </w:tcPr>
          <w:p w14:paraId="40DE3F8A" w14:textId="081ED5B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16,345</w:t>
            </w:r>
          </w:p>
        </w:tc>
        <w:tc>
          <w:tcPr>
            <w:tcW w:w="992" w:type="dxa"/>
            <w:tcBorders>
              <w:top w:val="nil"/>
              <w:left w:val="nil"/>
              <w:bottom w:val="nil"/>
              <w:right w:val="nil"/>
            </w:tcBorders>
            <w:shd w:val="clear" w:color="auto" w:fill="auto"/>
            <w:noWrap/>
            <w:vAlign w:val="bottom"/>
            <w:hideMark/>
          </w:tcPr>
          <w:p w14:paraId="29387850" w14:textId="1024FEB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19,867</w:t>
            </w:r>
          </w:p>
        </w:tc>
        <w:tc>
          <w:tcPr>
            <w:tcW w:w="851" w:type="dxa"/>
            <w:tcBorders>
              <w:top w:val="nil"/>
              <w:left w:val="nil"/>
              <w:bottom w:val="nil"/>
              <w:right w:val="nil"/>
            </w:tcBorders>
            <w:shd w:val="clear" w:color="000000" w:fill="FCDBDE"/>
            <w:noWrap/>
            <w:vAlign w:val="bottom"/>
            <w:hideMark/>
          </w:tcPr>
          <w:p w14:paraId="766C4D1B" w14:textId="00FDE73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+22%</w:t>
            </w:r>
          </w:p>
        </w:tc>
        <w:tc>
          <w:tcPr>
            <w:tcW w:w="992" w:type="dxa"/>
            <w:tcBorders>
              <w:top w:val="nil"/>
              <w:left w:val="nil"/>
              <w:bottom w:val="nil"/>
              <w:right w:val="nil"/>
            </w:tcBorders>
            <w:shd w:val="clear" w:color="auto" w:fill="auto"/>
            <w:noWrap/>
            <w:vAlign w:val="bottom"/>
            <w:hideMark/>
          </w:tcPr>
          <w:p w14:paraId="33D6FFEB" w14:textId="0233ED7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22,153</w:t>
            </w:r>
          </w:p>
        </w:tc>
        <w:tc>
          <w:tcPr>
            <w:tcW w:w="850" w:type="dxa"/>
            <w:tcBorders>
              <w:top w:val="nil"/>
              <w:left w:val="nil"/>
              <w:bottom w:val="nil"/>
              <w:right w:val="nil"/>
            </w:tcBorders>
            <w:shd w:val="clear" w:color="auto" w:fill="auto"/>
            <w:noWrap/>
            <w:vAlign w:val="bottom"/>
            <w:hideMark/>
          </w:tcPr>
          <w:p w14:paraId="5A249EA1" w14:textId="487DDAC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837</w:t>
            </w:r>
          </w:p>
        </w:tc>
        <w:tc>
          <w:tcPr>
            <w:tcW w:w="1051" w:type="dxa"/>
            <w:tcBorders>
              <w:top w:val="nil"/>
              <w:left w:val="nil"/>
              <w:bottom w:val="nil"/>
              <w:right w:val="nil"/>
            </w:tcBorders>
            <w:shd w:val="clear" w:color="auto" w:fill="auto"/>
            <w:noWrap/>
            <w:vAlign w:val="bottom"/>
            <w:hideMark/>
          </w:tcPr>
          <w:p w14:paraId="49E67289" w14:textId="23157E9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872</w:t>
            </w:r>
          </w:p>
        </w:tc>
        <w:tc>
          <w:tcPr>
            <w:tcW w:w="869" w:type="dxa"/>
            <w:tcBorders>
              <w:top w:val="nil"/>
              <w:left w:val="nil"/>
              <w:bottom w:val="nil"/>
              <w:right w:val="nil"/>
            </w:tcBorders>
            <w:shd w:val="clear" w:color="auto" w:fill="auto"/>
            <w:noWrap/>
            <w:vAlign w:val="bottom"/>
            <w:hideMark/>
          </w:tcPr>
          <w:p w14:paraId="28C4C8C3" w14:textId="48D8F91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1,709</w:t>
            </w:r>
          </w:p>
        </w:tc>
        <w:tc>
          <w:tcPr>
            <w:tcW w:w="708" w:type="dxa"/>
            <w:tcBorders>
              <w:top w:val="nil"/>
              <w:left w:val="nil"/>
              <w:bottom w:val="nil"/>
              <w:right w:val="nil"/>
            </w:tcBorders>
            <w:shd w:val="clear" w:color="auto" w:fill="auto"/>
            <w:noWrap/>
            <w:vAlign w:val="bottom"/>
            <w:hideMark/>
          </w:tcPr>
          <w:p w14:paraId="2056B643" w14:textId="5FF4916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399ADE84" w14:textId="3E233E2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05572DF2" w14:textId="70D99C8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2,573</w:t>
            </w:r>
          </w:p>
        </w:tc>
        <w:tc>
          <w:tcPr>
            <w:tcW w:w="1354" w:type="dxa"/>
            <w:tcBorders>
              <w:top w:val="nil"/>
              <w:left w:val="nil"/>
              <w:bottom w:val="nil"/>
              <w:right w:val="nil"/>
            </w:tcBorders>
            <w:shd w:val="clear" w:color="auto" w:fill="auto"/>
            <w:noWrap/>
            <w:vAlign w:val="bottom"/>
            <w:hideMark/>
          </w:tcPr>
          <w:p w14:paraId="7C8A5508" w14:textId="2535CAA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2032</w:t>
            </w:r>
          </w:p>
        </w:tc>
        <w:tc>
          <w:tcPr>
            <w:tcW w:w="1052" w:type="dxa"/>
            <w:tcBorders>
              <w:top w:val="nil"/>
              <w:left w:val="nil"/>
              <w:bottom w:val="nil"/>
              <w:right w:val="nil"/>
            </w:tcBorders>
            <w:shd w:val="clear" w:color="auto" w:fill="auto"/>
            <w:noWrap/>
            <w:vAlign w:val="bottom"/>
            <w:hideMark/>
          </w:tcPr>
          <w:p w14:paraId="61ED15FB" w14:textId="377549F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127%</w:t>
            </w:r>
          </w:p>
        </w:tc>
        <w:tc>
          <w:tcPr>
            <w:tcW w:w="921" w:type="dxa"/>
            <w:tcBorders>
              <w:top w:val="nil"/>
              <w:left w:val="nil"/>
              <w:bottom w:val="nil"/>
              <w:right w:val="nil"/>
            </w:tcBorders>
            <w:shd w:val="clear" w:color="000000" w:fill="91B1D9"/>
            <w:noWrap/>
            <w:vAlign w:val="bottom"/>
            <w:hideMark/>
          </w:tcPr>
          <w:p w14:paraId="5F71249C"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151%</w:t>
            </w:r>
          </w:p>
        </w:tc>
      </w:tr>
      <w:tr w:rsidR="00EE4C77" w:rsidRPr="007364B1" w14:paraId="4E5DB052" w14:textId="77777777" w:rsidTr="000C24D7">
        <w:trPr>
          <w:trHeight w:val="360"/>
        </w:trPr>
        <w:tc>
          <w:tcPr>
            <w:tcW w:w="1985" w:type="dxa"/>
            <w:tcBorders>
              <w:top w:val="nil"/>
              <w:left w:val="nil"/>
              <w:bottom w:val="nil"/>
              <w:right w:val="nil"/>
            </w:tcBorders>
            <w:shd w:val="clear" w:color="auto" w:fill="auto"/>
            <w:noWrap/>
            <w:vAlign w:val="bottom"/>
            <w:hideMark/>
          </w:tcPr>
          <w:p w14:paraId="2D0C5538"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bottom"/>
            <w:hideMark/>
          </w:tcPr>
          <w:p w14:paraId="4D2E05C8" w14:textId="5FDD313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2,768</w:t>
            </w:r>
          </w:p>
        </w:tc>
        <w:tc>
          <w:tcPr>
            <w:tcW w:w="992" w:type="dxa"/>
            <w:tcBorders>
              <w:top w:val="nil"/>
              <w:left w:val="nil"/>
              <w:bottom w:val="nil"/>
              <w:right w:val="nil"/>
            </w:tcBorders>
            <w:shd w:val="clear" w:color="auto" w:fill="auto"/>
            <w:noWrap/>
            <w:vAlign w:val="bottom"/>
            <w:hideMark/>
          </w:tcPr>
          <w:p w14:paraId="79A0AB96" w14:textId="0EC82BB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3,084</w:t>
            </w:r>
          </w:p>
        </w:tc>
        <w:tc>
          <w:tcPr>
            <w:tcW w:w="851" w:type="dxa"/>
            <w:tcBorders>
              <w:top w:val="nil"/>
              <w:left w:val="nil"/>
              <w:bottom w:val="nil"/>
              <w:right w:val="nil"/>
            </w:tcBorders>
            <w:shd w:val="clear" w:color="000000" w:fill="FBD4D6"/>
            <w:noWrap/>
            <w:vAlign w:val="bottom"/>
            <w:hideMark/>
          </w:tcPr>
          <w:p w14:paraId="23E382D8" w14:textId="64FFB1E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w:t>
            </w:r>
          </w:p>
        </w:tc>
        <w:tc>
          <w:tcPr>
            <w:tcW w:w="992" w:type="dxa"/>
            <w:tcBorders>
              <w:top w:val="nil"/>
              <w:left w:val="nil"/>
              <w:bottom w:val="nil"/>
              <w:right w:val="nil"/>
            </w:tcBorders>
            <w:shd w:val="clear" w:color="auto" w:fill="auto"/>
            <w:noWrap/>
            <w:vAlign w:val="bottom"/>
            <w:hideMark/>
          </w:tcPr>
          <w:p w14:paraId="6A1F5AEE" w14:textId="3220895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3,050</w:t>
            </w:r>
          </w:p>
        </w:tc>
        <w:tc>
          <w:tcPr>
            <w:tcW w:w="850" w:type="dxa"/>
            <w:tcBorders>
              <w:top w:val="nil"/>
              <w:left w:val="nil"/>
              <w:bottom w:val="nil"/>
              <w:right w:val="nil"/>
            </w:tcBorders>
            <w:shd w:val="clear" w:color="auto" w:fill="auto"/>
            <w:noWrap/>
            <w:vAlign w:val="bottom"/>
            <w:hideMark/>
          </w:tcPr>
          <w:p w14:paraId="4FF03AB8" w14:textId="3FFF212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w:t>
            </w:r>
          </w:p>
        </w:tc>
        <w:tc>
          <w:tcPr>
            <w:tcW w:w="1051" w:type="dxa"/>
            <w:tcBorders>
              <w:top w:val="nil"/>
              <w:left w:val="nil"/>
              <w:bottom w:val="nil"/>
              <w:right w:val="nil"/>
            </w:tcBorders>
            <w:shd w:val="clear" w:color="auto" w:fill="auto"/>
            <w:noWrap/>
            <w:vAlign w:val="bottom"/>
            <w:hideMark/>
          </w:tcPr>
          <w:p w14:paraId="4E099204" w14:textId="7C3A8F6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371</w:t>
            </w:r>
          </w:p>
        </w:tc>
        <w:tc>
          <w:tcPr>
            <w:tcW w:w="869" w:type="dxa"/>
            <w:tcBorders>
              <w:top w:val="nil"/>
              <w:left w:val="nil"/>
              <w:bottom w:val="nil"/>
              <w:right w:val="nil"/>
            </w:tcBorders>
            <w:shd w:val="clear" w:color="auto" w:fill="auto"/>
            <w:noWrap/>
            <w:vAlign w:val="bottom"/>
            <w:hideMark/>
          </w:tcPr>
          <w:p w14:paraId="60336FE1" w14:textId="406A129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372</w:t>
            </w:r>
          </w:p>
        </w:tc>
        <w:tc>
          <w:tcPr>
            <w:tcW w:w="708" w:type="dxa"/>
            <w:tcBorders>
              <w:top w:val="nil"/>
              <w:left w:val="nil"/>
              <w:bottom w:val="nil"/>
              <w:right w:val="nil"/>
            </w:tcBorders>
            <w:shd w:val="clear" w:color="auto" w:fill="auto"/>
            <w:noWrap/>
            <w:vAlign w:val="bottom"/>
            <w:hideMark/>
          </w:tcPr>
          <w:p w14:paraId="3057EF12" w14:textId="6D7ECE7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387B4155" w14:textId="63CB014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6B8631C4" w14:textId="1035DF8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451</w:t>
            </w:r>
          </w:p>
        </w:tc>
        <w:tc>
          <w:tcPr>
            <w:tcW w:w="1354" w:type="dxa"/>
            <w:tcBorders>
              <w:top w:val="nil"/>
              <w:left w:val="nil"/>
              <w:bottom w:val="nil"/>
              <w:right w:val="nil"/>
            </w:tcBorders>
            <w:shd w:val="clear" w:color="auto" w:fill="auto"/>
            <w:noWrap/>
            <w:vAlign w:val="bottom"/>
            <w:hideMark/>
          </w:tcPr>
          <w:p w14:paraId="16302EE2" w14:textId="5B68D04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98</w:t>
            </w:r>
          </w:p>
        </w:tc>
        <w:tc>
          <w:tcPr>
            <w:tcW w:w="1052" w:type="dxa"/>
            <w:tcBorders>
              <w:top w:val="nil"/>
              <w:left w:val="nil"/>
              <w:bottom w:val="nil"/>
              <w:right w:val="nil"/>
            </w:tcBorders>
            <w:shd w:val="clear" w:color="auto" w:fill="auto"/>
            <w:noWrap/>
            <w:vAlign w:val="bottom"/>
            <w:hideMark/>
          </w:tcPr>
          <w:p w14:paraId="51833F2F" w14:textId="221CEFE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460%</w:t>
            </w:r>
          </w:p>
        </w:tc>
        <w:tc>
          <w:tcPr>
            <w:tcW w:w="921" w:type="dxa"/>
            <w:tcBorders>
              <w:top w:val="nil"/>
              <w:left w:val="nil"/>
              <w:bottom w:val="nil"/>
              <w:right w:val="nil"/>
            </w:tcBorders>
            <w:shd w:val="clear" w:color="000000" w:fill="5A8AC6"/>
            <w:noWrap/>
            <w:vAlign w:val="bottom"/>
            <w:hideMark/>
          </w:tcPr>
          <w:p w14:paraId="331BD8EC"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121%</w:t>
            </w:r>
          </w:p>
        </w:tc>
      </w:tr>
      <w:tr w:rsidR="00EE4C77" w:rsidRPr="007364B1" w14:paraId="5C4D78F4" w14:textId="77777777" w:rsidTr="000C24D7">
        <w:trPr>
          <w:trHeight w:val="360"/>
        </w:trPr>
        <w:tc>
          <w:tcPr>
            <w:tcW w:w="1985" w:type="dxa"/>
            <w:tcBorders>
              <w:top w:val="nil"/>
              <w:left w:val="nil"/>
              <w:bottom w:val="nil"/>
              <w:right w:val="nil"/>
            </w:tcBorders>
            <w:shd w:val="clear" w:color="auto" w:fill="auto"/>
            <w:noWrap/>
            <w:vAlign w:val="bottom"/>
            <w:hideMark/>
          </w:tcPr>
          <w:p w14:paraId="7B422AC7"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bottom"/>
            <w:hideMark/>
          </w:tcPr>
          <w:p w14:paraId="34701133" w14:textId="6175461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46,007</w:t>
            </w:r>
          </w:p>
        </w:tc>
        <w:tc>
          <w:tcPr>
            <w:tcW w:w="992" w:type="dxa"/>
            <w:tcBorders>
              <w:top w:val="nil"/>
              <w:left w:val="nil"/>
              <w:bottom w:val="nil"/>
              <w:right w:val="nil"/>
            </w:tcBorders>
            <w:shd w:val="clear" w:color="auto" w:fill="auto"/>
            <w:noWrap/>
            <w:vAlign w:val="bottom"/>
            <w:hideMark/>
          </w:tcPr>
          <w:p w14:paraId="4A50A393" w14:textId="3ED92BB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62,942</w:t>
            </w:r>
          </w:p>
        </w:tc>
        <w:tc>
          <w:tcPr>
            <w:tcW w:w="851" w:type="dxa"/>
            <w:tcBorders>
              <w:top w:val="nil"/>
              <w:left w:val="nil"/>
              <w:bottom w:val="nil"/>
              <w:right w:val="nil"/>
            </w:tcBorders>
            <w:shd w:val="clear" w:color="000000" w:fill="FBC5C8"/>
            <w:noWrap/>
            <w:vAlign w:val="bottom"/>
            <w:hideMark/>
          </w:tcPr>
          <w:p w14:paraId="12A01446" w14:textId="61E2CBD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+37%</w:t>
            </w:r>
          </w:p>
        </w:tc>
        <w:tc>
          <w:tcPr>
            <w:tcW w:w="992" w:type="dxa"/>
            <w:tcBorders>
              <w:top w:val="nil"/>
              <w:left w:val="nil"/>
              <w:bottom w:val="nil"/>
              <w:right w:val="nil"/>
            </w:tcBorders>
            <w:shd w:val="clear" w:color="auto" w:fill="auto"/>
            <w:noWrap/>
            <w:vAlign w:val="bottom"/>
            <w:hideMark/>
          </w:tcPr>
          <w:p w14:paraId="22367B0D" w14:textId="43BFA9F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75,072</w:t>
            </w:r>
          </w:p>
        </w:tc>
        <w:tc>
          <w:tcPr>
            <w:tcW w:w="850" w:type="dxa"/>
            <w:tcBorders>
              <w:top w:val="nil"/>
              <w:left w:val="nil"/>
              <w:bottom w:val="nil"/>
              <w:right w:val="nil"/>
            </w:tcBorders>
            <w:shd w:val="clear" w:color="auto" w:fill="auto"/>
            <w:noWrap/>
            <w:vAlign w:val="bottom"/>
            <w:hideMark/>
          </w:tcPr>
          <w:p w14:paraId="1F1B6F5A" w14:textId="2F9E7B0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1,226</w:t>
            </w:r>
          </w:p>
        </w:tc>
        <w:tc>
          <w:tcPr>
            <w:tcW w:w="1051" w:type="dxa"/>
            <w:tcBorders>
              <w:top w:val="nil"/>
              <w:left w:val="nil"/>
              <w:bottom w:val="nil"/>
              <w:right w:val="nil"/>
            </w:tcBorders>
            <w:shd w:val="clear" w:color="auto" w:fill="auto"/>
            <w:noWrap/>
            <w:vAlign w:val="bottom"/>
            <w:hideMark/>
          </w:tcPr>
          <w:p w14:paraId="7A8B8A10" w14:textId="4986E65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868</w:t>
            </w:r>
          </w:p>
        </w:tc>
        <w:tc>
          <w:tcPr>
            <w:tcW w:w="869" w:type="dxa"/>
            <w:tcBorders>
              <w:top w:val="nil"/>
              <w:left w:val="nil"/>
              <w:bottom w:val="nil"/>
              <w:right w:val="nil"/>
            </w:tcBorders>
            <w:shd w:val="clear" w:color="auto" w:fill="auto"/>
            <w:noWrap/>
            <w:vAlign w:val="bottom"/>
            <w:hideMark/>
          </w:tcPr>
          <w:p w14:paraId="563C74C2" w14:textId="11E52A3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2,094</w:t>
            </w:r>
          </w:p>
        </w:tc>
        <w:tc>
          <w:tcPr>
            <w:tcW w:w="708" w:type="dxa"/>
            <w:tcBorders>
              <w:top w:val="nil"/>
              <w:left w:val="nil"/>
              <w:bottom w:val="nil"/>
              <w:right w:val="nil"/>
            </w:tcBorders>
            <w:shd w:val="clear" w:color="auto" w:fill="auto"/>
            <w:noWrap/>
            <w:vAlign w:val="bottom"/>
            <w:hideMark/>
          </w:tcPr>
          <w:p w14:paraId="68581482" w14:textId="4E0C13D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1617BDDC" w14:textId="1E863C8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27DB535A" w14:textId="2DB2224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6,316</w:t>
            </w:r>
          </w:p>
        </w:tc>
        <w:tc>
          <w:tcPr>
            <w:tcW w:w="1354" w:type="dxa"/>
            <w:tcBorders>
              <w:top w:val="nil"/>
              <w:left w:val="nil"/>
              <w:bottom w:val="nil"/>
              <w:right w:val="nil"/>
            </w:tcBorders>
            <w:shd w:val="clear" w:color="auto" w:fill="auto"/>
            <w:noWrap/>
            <w:vAlign w:val="bottom"/>
            <w:hideMark/>
          </w:tcPr>
          <w:p w14:paraId="2419608A" w14:textId="39F44EA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8632</w:t>
            </w:r>
          </w:p>
        </w:tc>
        <w:tc>
          <w:tcPr>
            <w:tcW w:w="1052" w:type="dxa"/>
            <w:tcBorders>
              <w:top w:val="nil"/>
              <w:left w:val="nil"/>
              <w:bottom w:val="nil"/>
              <w:right w:val="nil"/>
            </w:tcBorders>
            <w:shd w:val="clear" w:color="auto" w:fill="auto"/>
            <w:noWrap/>
            <w:vAlign w:val="bottom"/>
            <w:hideMark/>
          </w:tcPr>
          <w:p w14:paraId="7C99547D" w14:textId="22EF5FE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73%</w:t>
            </w:r>
          </w:p>
        </w:tc>
        <w:tc>
          <w:tcPr>
            <w:tcW w:w="921" w:type="dxa"/>
            <w:tcBorders>
              <w:top w:val="nil"/>
              <w:left w:val="nil"/>
              <w:bottom w:val="nil"/>
              <w:right w:val="nil"/>
            </w:tcBorders>
            <w:shd w:val="clear" w:color="000000" w:fill="FCF4F7"/>
            <w:noWrap/>
            <w:vAlign w:val="bottom"/>
            <w:hideMark/>
          </w:tcPr>
          <w:p w14:paraId="214B2EC1"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302%</w:t>
            </w:r>
          </w:p>
        </w:tc>
      </w:tr>
      <w:tr w:rsidR="00EE4C77" w:rsidRPr="007364B1" w14:paraId="087188A4" w14:textId="77777777" w:rsidTr="000C24D7">
        <w:trPr>
          <w:trHeight w:val="360"/>
        </w:trPr>
        <w:tc>
          <w:tcPr>
            <w:tcW w:w="1985" w:type="dxa"/>
            <w:tcBorders>
              <w:top w:val="nil"/>
              <w:left w:val="nil"/>
              <w:bottom w:val="nil"/>
              <w:right w:val="nil"/>
            </w:tcBorders>
            <w:shd w:val="clear" w:color="auto" w:fill="auto"/>
            <w:noWrap/>
            <w:vAlign w:val="bottom"/>
            <w:hideMark/>
          </w:tcPr>
          <w:p w14:paraId="2326167D"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bottom"/>
            <w:hideMark/>
          </w:tcPr>
          <w:p w14:paraId="073977D4" w14:textId="2C13690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4,522</w:t>
            </w:r>
          </w:p>
        </w:tc>
        <w:tc>
          <w:tcPr>
            <w:tcW w:w="992" w:type="dxa"/>
            <w:tcBorders>
              <w:top w:val="nil"/>
              <w:left w:val="nil"/>
              <w:bottom w:val="nil"/>
              <w:right w:val="nil"/>
            </w:tcBorders>
            <w:shd w:val="clear" w:color="auto" w:fill="auto"/>
            <w:noWrap/>
            <w:vAlign w:val="bottom"/>
            <w:hideMark/>
          </w:tcPr>
          <w:p w14:paraId="42B6BF41" w14:textId="251CBBB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4,800</w:t>
            </w:r>
          </w:p>
        </w:tc>
        <w:tc>
          <w:tcPr>
            <w:tcW w:w="851" w:type="dxa"/>
            <w:tcBorders>
              <w:top w:val="nil"/>
              <w:left w:val="nil"/>
              <w:bottom w:val="nil"/>
              <w:right w:val="nil"/>
            </w:tcBorders>
            <w:shd w:val="clear" w:color="000000" w:fill="FCFCFF"/>
            <w:noWrap/>
            <w:vAlign w:val="bottom"/>
            <w:hideMark/>
          </w:tcPr>
          <w:p w14:paraId="77D40623" w14:textId="52ADD19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w:t>
            </w:r>
          </w:p>
        </w:tc>
        <w:tc>
          <w:tcPr>
            <w:tcW w:w="992" w:type="dxa"/>
            <w:tcBorders>
              <w:top w:val="nil"/>
              <w:left w:val="nil"/>
              <w:bottom w:val="nil"/>
              <w:right w:val="nil"/>
            </w:tcBorders>
            <w:shd w:val="clear" w:color="auto" w:fill="auto"/>
            <w:noWrap/>
            <w:vAlign w:val="bottom"/>
            <w:hideMark/>
          </w:tcPr>
          <w:p w14:paraId="1BFC71A4" w14:textId="7338A73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4,674</w:t>
            </w:r>
          </w:p>
        </w:tc>
        <w:tc>
          <w:tcPr>
            <w:tcW w:w="850" w:type="dxa"/>
            <w:tcBorders>
              <w:top w:val="nil"/>
              <w:left w:val="nil"/>
              <w:bottom w:val="nil"/>
              <w:right w:val="nil"/>
            </w:tcBorders>
            <w:shd w:val="clear" w:color="auto" w:fill="auto"/>
            <w:noWrap/>
            <w:vAlign w:val="bottom"/>
            <w:hideMark/>
          </w:tcPr>
          <w:p w14:paraId="3EA05D0C" w14:textId="13517E2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168</w:t>
            </w:r>
          </w:p>
        </w:tc>
        <w:tc>
          <w:tcPr>
            <w:tcW w:w="1051" w:type="dxa"/>
            <w:tcBorders>
              <w:top w:val="nil"/>
              <w:left w:val="nil"/>
              <w:bottom w:val="nil"/>
              <w:right w:val="nil"/>
            </w:tcBorders>
            <w:shd w:val="clear" w:color="auto" w:fill="auto"/>
            <w:noWrap/>
            <w:vAlign w:val="bottom"/>
            <w:hideMark/>
          </w:tcPr>
          <w:p w14:paraId="291E5F3E" w14:textId="7436029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94</w:t>
            </w:r>
          </w:p>
        </w:tc>
        <w:tc>
          <w:tcPr>
            <w:tcW w:w="869" w:type="dxa"/>
            <w:tcBorders>
              <w:top w:val="nil"/>
              <w:left w:val="nil"/>
              <w:bottom w:val="nil"/>
              <w:right w:val="nil"/>
            </w:tcBorders>
            <w:shd w:val="clear" w:color="auto" w:fill="auto"/>
            <w:noWrap/>
            <w:vAlign w:val="bottom"/>
            <w:hideMark/>
          </w:tcPr>
          <w:p w14:paraId="0D3884C0" w14:textId="3098FD0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262</w:t>
            </w:r>
          </w:p>
        </w:tc>
        <w:tc>
          <w:tcPr>
            <w:tcW w:w="708" w:type="dxa"/>
            <w:tcBorders>
              <w:top w:val="nil"/>
              <w:left w:val="nil"/>
              <w:bottom w:val="nil"/>
              <w:right w:val="nil"/>
            </w:tcBorders>
            <w:shd w:val="clear" w:color="auto" w:fill="auto"/>
            <w:noWrap/>
            <w:vAlign w:val="bottom"/>
            <w:hideMark/>
          </w:tcPr>
          <w:p w14:paraId="4C496835" w14:textId="4FF0ED0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372F8468" w14:textId="57DBB8E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34F76ABD" w14:textId="1810926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330</w:t>
            </w:r>
          </w:p>
        </w:tc>
        <w:tc>
          <w:tcPr>
            <w:tcW w:w="1354" w:type="dxa"/>
            <w:tcBorders>
              <w:top w:val="nil"/>
              <w:left w:val="nil"/>
              <w:bottom w:val="nil"/>
              <w:right w:val="nil"/>
            </w:tcBorders>
            <w:shd w:val="clear" w:color="auto" w:fill="auto"/>
            <w:noWrap/>
            <w:vAlign w:val="bottom"/>
            <w:hideMark/>
          </w:tcPr>
          <w:p w14:paraId="12C6B027" w14:textId="5AF0F32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436</w:t>
            </w:r>
          </w:p>
        </w:tc>
        <w:tc>
          <w:tcPr>
            <w:tcW w:w="1052" w:type="dxa"/>
            <w:tcBorders>
              <w:top w:val="nil"/>
              <w:left w:val="nil"/>
              <w:bottom w:val="nil"/>
              <w:right w:val="nil"/>
            </w:tcBorders>
            <w:shd w:val="clear" w:color="auto" w:fill="auto"/>
            <w:noWrap/>
            <w:vAlign w:val="bottom"/>
            <w:hideMark/>
          </w:tcPr>
          <w:p w14:paraId="6B607353" w14:textId="636026F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76%</w:t>
            </w:r>
          </w:p>
        </w:tc>
        <w:tc>
          <w:tcPr>
            <w:tcW w:w="921" w:type="dxa"/>
            <w:tcBorders>
              <w:top w:val="nil"/>
              <w:left w:val="nil"/>
              <w:bottom w:val="nil"/>
              <w:right w:val="nil"/>
            </w:tcBorders>
            <w:shd w:val="clear" w:color="000000" w:fill="6290C9"/>
            <w:noWrap/>
            <w:vAlign w:val="bottom"/>
            <w:hideMark/>
          </w:tcPr>
          <w:p w14:paraId="6E3528F7"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126%</w:t>
            </w:r>
          </w:p>
        </w:tc>
      </w:tr>
      <w:tr w:rsidR="00EE4C77" w:rsidRPr="007364B1" w14:paraId="50646C1D" w14:textId="77777777" w:rsidTr="000C24D7">
        <w:trPr>
          <w:trHeight w:val="360"/>
        </w:trPr>
        <w:tc>
          <w:tcPr>
            <w:tcW w:w="1985" w:type="dxa"/>
            <w:tcBorders>
              <w:top w:val="nil"/>
              <w:left w:val="nil"/>
              <w:bottom w:val="nil"/>
              <w:right w:val="nil"/>
            </w:tcBorders>
            <w:shd w:val="clear" w:color="auto" w:fill="auto"/>
            <w:noWrap/>
            <w:vAlign w:val="bottom"/>
            <w:hideMark/>
          </w:tcPr>
          <w:p w14:paraId="0693A744"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bottom"/>
            <w:hideMark/>
          </w:tcPr>
          <w:p w14:paraId="69848B35" w14:textId="65AA5B4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5,698</w:t>
            </w:r>
          </w:p>
        </w:tc>
        <w:tc>
          <w:tcPr>
            <w:tcW w:w="992" w:type="dxa"/>
            <w:tcBorders>
              <w:top w:val="nil"/>
              <w:left w:val="nil"/>
              <w:bottom w:val="nil"/>
              <w:right w:val="nil"/>
            </w:tcBorders>
            <w:shd w:val="clear" w:color="auto" w:fill="auto"/>
            <w:noWrap/>
            <w:vAlign w:val="bottom"/>
            <w:hideMark/>
          </w:tcPr>
          <w:p w14:paraId="1CDD503D" w14:textId="07EDB4D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7,152</w:t>
            </w:r>
          </w:p>
        </w:tc>
        <w:tc>
          <w:tcPr>
            <w:tcW w:w="851" w:type="dxa"/>
            <w:tcBorders>
              <w:top w:val="nil"/>
              <w:left w:val="nil"/>
              <w:bottom w:val="nil"/>
              <w:right w:val="nil"/>
            </w:tcBorders>
            <w:shd w:val="clear" w:color="000000" w:fill="FBD6D9"/>
            <w:noWrap/>
            <w:vAlign w:val="bottom"/>
            <w:hideMark/>
          </w:tcPr>
          <w:p w14:paraId="715C01C8" w14:textId="1FE70001"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+26%</w:t>
            </w:r>
          </w:p>
        </w:tc>
        <w:tc>
          <w:tcPr>
            <w:tcW w:w="992" w:type="dxa"/>
            <w:tcBorders>
              <w:top w:val="nil"/>
              <w:left w:val="nil"/>
              <w:bottom w:val="nil"/>
              <w:right w:val="nil"/>
            </w:tcBorders>
            <w:shd w:val="clear" w:color="auto" w:fill="auto"/>
            <w:noWrap/>
            <w:vAlign w:val="bottom"/>
            <w:hideMark/>
          </w:tcPr>
          <w:p w14:paraId="71BD5CC0" w14:textId="72832FB3"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8,078</w:t>
            </w:r>
          </w:p>
        </w:tc>
        <w:tc>
          <w:tcPr>
            <w:tcW w:w="850" w:type="dxa"/>
            <w:tcBorders>
              <w:top w:val="nil"/>
              <w:left w:val="nil"/>
              <w:bottom w:val="nil"/>
              <w:right w:val="nil"/>
            </w:tcBorders>
            <w:shd w:val="clear" w:color="auto" w:fill="auto"/>
            <w:noWrap/>
            <w:vAlign w:val="bottom"/>
            <w:hideMark/>
          </w:tcPr>
          <w:p w14:paraId="089C1EC6" w14:textId="34F13E6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528</w:t>
            </w:r>
          </w:p>
        </w:tc>
        <w:tc>
          <w:tcPr>
            <w:tcW w:w="1051" w:type="dxa"/>
            <w:tcBorders>
              <w:top w:val="nil"/>
              <w:left w:val="nil"/>
              <w:bottom w:val="nil"/>
              <w:right w:val="nil"/>
            </w:tcBorders>
            <w:shd w:val="clear" w:color="auto" w:fill="auto"/>
            <w:noWrap/>
            <w:vAlign w:val="bottom"/>
            <w:hideMark/>
          </w:tcPr>
          <w:p w14:paraId="6855507E" w14:textId="3332B14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172</w:t>
            </w:r>
          </w:p>
        </w:tc>
        <w:tc>
          <w:tcPr>
            <w:tcW w:w="869" w:type="dxa"/>
            <w:tcBorders>
              <w:top w:val="nil"/>
              <w:left w:val="nil"/>
              <w:bottom w:val="nil"/>
              <w:right w:val="nil"/>
            </w:tcBorders>
            <w:shd w:val="clear" w:color="auto" w:fill="auto"/>
            <w:noWrap/>
            <w:vAlign w:val="bottom"/>
            <w:hideMark/>
          </w:tcPr>
          <w:p w14:paraId="2BFDE550" w14:textId="2DB5A23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700</w:t>
            </w:r>
          </w:p>
        </w:tc>
        <w:tc>
          <w:tcPr>
            <w:tcW w:w="708" w:type="dxa"/>
            <w:tcBorders>
              <w:top w:val="nil"/>
              <w:left w:val="nil"/>
              <w:bottom w:val="nil"/>
              <w:right w:val="nil"/>
            </w:tcBorders>
            <w:shd w:val="clear" w:color="auto" w:fill="auto"/>
            <w:noWrap/>
            <w:vAlign w:val="bottom"/>
            <w:hideMark/>
          </w:tcPr>
          <w:p w14:paraId="46530B59" w14:textId="09B331B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nil"/>
              <w:right w:val="nil"/>
            </w:tcBorders>
            <w:shd w:val="clear" w:color="auto" w:fill="auto"/>
            <w:noWrap/>
            <w:vAlign w:val="bottom"/>
            <w:hideMark/>
          </w:tcPr>
          <w:p w14:paraId="7AE734A3" w14:textId="5E77F2A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nil"/>
              <w:right w:val="nil"/>
            </w:tcBorders>
            <w:shd w:val="clear" w:color="auto" w:fill="auto"/>
            <w:noWrap/>
            <w:vAlign w:val="bottom"/>
            <w:hideMark/>
          </w:tcPr>
          <w:p w14:paraId="12DB5338" w14:textId="691D5A1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1,058</w:t>
            </w:r>
          </w:p>
        </w:tc>
        <w:tc>
          <w:tcPr>
            <w:tcW w:w="1354" w:type="dxa"/>
            <w:tcBorders>
              <w:top w:val="nil"/>
              <w:left w:val="nil"/>
              <w:bottom w:val="nil"/>
              <w:right w:val="nil"/>
            </w:tcBorders>
            <w:shd w:val="clear" w:color="auto" w:fill="auto"/>
            <w:noWrap/>
            <w:vAlign w:val="bottom"/>
            <w:hideMark/>
          </w:tcPr>
          <w:p w14:paraId="03144485" w14:textId="5CEFA73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1184</w:t>
            </w:r>
          </w:p>
        </w:tc>
        <w:tc>
          <w:tcPr>
            <w:tcW w:w="1052" w:type="dxa"/>
            <w:tcBorders>
              <w:top w:val="nil"/>
              <w:left w:val="nil"/>
              <w:bottom w:val="nil"/>
              <w:right w:val="nil"/>
            </w:tcBorders>
            <w:shd w:val="clear" w:color="auto" w:fill="auto"/>
            <w:noWrap/>
            <w:vAlign w:val="bottom"/>
            <w:hideMark/>
          </w:tcPr>
          <w:p w14:paraId="3B954622" w14:textId="33B4E7E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89%</w:t>
            </w:r>
          </w:p>
        </w:tc>
        <w:tc>
          <w:tcPr>
            <w:tcW w:w="921" w:type="dxa"/>
            <w:tcBorders>
              <w:top w:val="nil"/>
              <w:left w:val="nil"/>
              <w:bottom w:val="nil"/>
              <w:right w:val="nil"/>
            </w:tcBorders>
            <w:shd w:val="clear" w:color="000000" w:fill="93B2DA"/>
            <w:noWrap/>
            <w:vAlign w:val="bottom"/>
            <w:hideMark/>
          </w:tcPr>
          <w:p w14:paraId="68B05972"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151%</w:t>
            </w:r>
          </w:p>
        </w:tc>
      </w:tr>
      <w:tr w:rsidR="00EE4C77" w:rsidRPr="007364B1" w14:paraId="5DCC1F4B" w14:textId="77777777" w:rsidTr="000C24D7">
        <w:trPr>
          <w:trHeight w:val="360"/>
        </w:trPr>
        <w:tc>
          <w:tcPr>
            <w:tcW w:w="1985" w:type="dxa"/>
            <w:tcBorders>
              <w:top w:val="nil"/>
              <w:left w:val="nil"/>
              <w:bottom w:val="single" w:sz="4" w:space="0" w:color="auto"/>
              <w:right w:val="nil"/>
            </w:tcBorders>
            <w:shd w:val="clear" w:color="auto" w:fill="auto"/>
            <w:noWrap/>
            <w:vAlign w:val="bottom"/>
            <w:hideMark/>
          </w:tcPr>
          <w:p w14:paraId="37947E7C"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bottom"/>
            <w:hideMark/>
          </w:tcPr>
          <w:p w14:paraId="56C52EBE" w14:textId="5B40BD80"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8,161</w:t>
            </w:r>
          </w:p>
        </w:tc>
        <w:tc>
          <w:tcPr>
            <w:tcW w:w="992" w:type="dxa"/>
            <w:tcBorders>
              <w:top w:val="nil"/>
              <w:left w:val="nil"/>
              <w:bottom w:val="single" w:sz="4" w:space="0" w:color="auto"/>
              <w:right w:val="nil"/>
            </w:tcBorders>
            <w:shd w:val="clear" w:color="auto" w:fill="auto"/>
            <w:noWrap/>
            <w:vAlign w:val="bottom"/>
            <w:hideMark/>
          </w:tcPr>
          <w:p w14:paraId="659F04BD" w14:textId="2F82F7A7"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9,347</w:t>
            </w:r>
          </w:p>
        </w:tc>
        <w:tc>
          <w:tcPr>
            <w:tcW w:w="851" w:type="dxa"/>
            <w:tcBorders>
              <w:top w:val="nil"/>
              <w:left w:val="nil"/>
              <w:bottom w:val="single" w:sz="4" w:space="0" w:color="auto"/>
              <w:right w:val="nil"/>
            </w:tcBorders>
            <w:shd w:val="clear" w:color="000000" w:fill="FCEDF0"/>
            <w:noWrap/>
            <w:vAlign w:val="bottom"/>
            <w:hideMark/>
          </w:tcPr>
          <w:p w14:paraId="2085BF12" w14:textId="5C01768A"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+15%</w:t>
            </w:r>
          </w:p>
        </w:tc>
        <w:tc>
          <w:tcPr>
            <w:tcW w:w="992" w:type="dxa"/>
            <w:tcBorders>
              <w:top w:val="nil"/>
              <w:left w:val="nil"/>
              <w:bottom w:val="single" w:sz="4" w:space="0" w:color="auto"/>
              <w:right w:val="nil"/>
            </w:tcBorders>
            <w:shd w:val="clear" w:color="auto" w:fill="auto"/>
            <w:noWrap/>
            <w:vAlign w:val="bottom"/>
            <w:hideMark/>
          </w:tcPr>
          <w:p w14:paraId="45FFEB68" w14:textId="4C5A4B5E"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10,283</w:t>
            </w:r>
          </w:p>
        </w:tc>
        <w:tc>
          <w:tcPr>
            <w:tcW w:w="850" w:type="dxa"/>
            <w:tcBorders>
              <w:top w:val="nil"/>
              <w:left w:val="nil"/>
              <w:bottom w:val="single" w:sz="4" w:space="0" w:color="auto"/>
              <w:right w:val="nil"/>
            </w:tcBorders>
            <w:shd w:val="clear" w:color="auto" w:fill="auto"/>
            <w:noWrap/>
            <w:vAlign w:val="bottom"/>
            <w:hideMark/>
          </w:tcPr>
          <w:p w14:paraId="05F6D4C5" w14:textId="07D88DA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267</w:t>
            </w:r>
          </w:p>
        </w:tc>
        <w:tc>
          <w:tcPr>
            <w:tcW w:w="1051" w:type="dxa"/>
            <w:tcBorders>
              <w:top w:val="nil"/>
              <w:left w:val="nil"/>
              <w:bottom w:val="single" w:sz="4" w:space="0" w:color="auto"/>
              <w:right w:val="nil"/>
            </w:tcBorders>
            <w:shd w:val="clear" w:color="auto" w:fill="auto"/>
            <w:noWrap/>
            <w:vAlign w:val="bottom"/>
            <w:hideMark/>
          </w:tcPr>
          <w:p w14:paraId="694D30D4" w14:textId="317BE6E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136</w:t>
            </w:r>
          </w:p>
        </w:tc>
        <w:tc>
          <w:tcPr>
            <w:tcW w:w="869" w:type="dxa"/>
            <w:tcBorders>
              <w:top w:val="nil"/>
              <w:left w:val="nil"/>
              <w:bottom w:val="single" w:sz="4" w:space="0" w:color="auto"/>
              <w:right w:val="nil"/>
            </w:tcBorders>
            <w:shd w:val="clear" w:color="auto" w:fill="auto"/>
            <w:noWrap/>
            <w:vAlign w:val="bottom"/>
            <w:hideMark/>
          </w:tcPr>
          <w:p w14:paraId="515715BF" w14:textId="004DE93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403</w:t>
            </w:r>
          </w:p>
        </w:tc>
        <w:tc>
          <w:tcPr>
            <w:tcW w:w="708" w:type="dxa"/>
            <w:tcBorders>
              <w:top w:val="nil"/>
              <w:left w:val="nil"/>
              <w:bottom w:val="single" w:sz="4" w:space="0" w:color="auto"/>
              <w:right w:val="nil"/>
            </w:tcBorders>
            <w:shd w:val="clear" w:color="auto" w:fill="auto"/>
            <w:noWrap/>
            <w:vAlign w:val="bottom"/>
            <w:hideMark/>
          </w:tcPr>
          <w:p w14:paraId="14EA2D56" w14:textId="30CBE3C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single" w:sz="4" w:space="0" w:color="auto"/>
              <w:right w:val="nil"/>
            </w:tcBorders>
            <w:shd w:val="clear" w:color="auto" w:fill="auto"/>
            <w:noWrap/>
            <w:vAlign w:val="bottom"/>
            <w:hideMark/>
          </w:tcPr>
          <w:p w14:paraId="76D9F3C3" w14:textId="0C74718C"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bottom"/>
            <w:hideMark/>
          </w:tcPr>
          <w:p w14:paraId="22697089" w14:textId="06428A0D"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697</w:t>
            </w:r>
          </w:p>
        </w:tc>
        <w:tc>
          <w:tcPr>
            <w:tcW w:w="1354" w:type="dxa"/>
            <w:tcBorders>
              <w:top w:val="nil"/>
              <w:left w:val="nil"/>
              <w:bottom w:val="single" w:sz="4" w:space="0" w:color="auto"/>
              <w:right w:val="nil"/>
            </w:tcBorders>
            <w:shd w:val="clear" w:color="auto" w:fill="auto"/>
            <w:noWrap/>
            <w:vAlign w:val="bottom"/>
            <w:hideMark/>
          </w:tcPr>
          <w:p w14:paraId="420EF270" w14:textId="1F10BCD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726</w:t>
            </w:r>
          </w:p>
        </w:tc>
        <w:tc>
          <w:tcPr>
            <w:tcW w:w="1052" w:type="dxa"/>
            <w:tcBorders>
              <w:top w:val="nil"/>
              <w:left w:val="nil"/>
              <w:bottom w:val="single" w:sz="4" w:space="0" w:color="auto"/>
              <w:right w:val="nil"/>
            </w:tcBorders>
            <w:shd w:val="clear" w:color="auto" w:fill="auto"/>
            <w:noWrap/>
            <w:vAlign w:val="bottom"/>
            <w:hideMark/>
          </w:tcPr>
          <w:p w14:paraId="52779524" w14:textId="2418D0E9"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96%</w:t>
            </w:r>
          </w:p>
        </w:tc>
        <w:tc>
          <w:tcPr>
            <w:tcW w:w="921" w:type="dxa"/>
            <w:tcBorders>
              <w:top w:val="nil"/>
              <w:left w:val="nil"/>
              <w:bottom w:val="single" w:sz="4" w:space="0" w:color="auto"/>
              <w:right w:val="nil"/>
            </w:tcBorders>
            <w:shd w:val="clear" w:color="000000" w:fill="BCCFE8"/>
            <w:noWrap/>
            <w:vAlign w:val="bottom"/>
            <w:hideMark/>
          </w:tcPr>
          <w:p w14:paraId="50A179D7"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173%</w:t>
            </w:r>
          </w:p>
        </w:tc>
      </w:tr>
      <w:tr w:rsidR="00EE4C77" w:rsidRPr="007364B1" w14:paraId="6B2B6C55" w14:textId="77777777" w:rsidTr="000C24D7">
        <w:trPr>
          <w:trHeight w:val="360"/>
        </w:trPr>
        <w:tc>
          <w:tcPr>
            <w:tcW w:w="1985" w:type="dxa"/>
            <w:tcBorders>
              <w:top w:val="nil"/>
              <w:left w:val="nil"/>
              <w:bottom w:val="single" w:sz="4" w:space="0" w:color="auto"/>
              <w:right w:val="nil"/>
            </w:tcBorders>
            <w:shd w:val="clear" w:color="auto" w:fill="auto"/>
            <w:noWrap/>
            <w:vAlign w:val="bottom"/>
            <w:hideMark/>
          </w:tcPr>
          <w:p w14:paraId="7AD9798D" w14:textId="77777777" w:rsidR="00EE4C77" w:rsidRPr="007364B1" w:rsidRDefault="00EE4C77" w:rsidP="00EE4C77">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bottom"/>
            <w:hideMark/>
          </w:tcPr>
          <w:p w14:paraId="0419195A" w14:textId="6B522E14"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450,038</w:t>
            </w:r>
          </w:p>
        </w:tc>
        <w:tc>
          <w:tcPr>
            <w:tcW w:w="992" w:type="dxa"/>
            <w:tcBorders>
              <w:top w:val="nil"/>
              <w:left w:val="nil"/>
              <w:bottom w:val="single" w:sz="4" w:space="0" w:color="auto"/>
              <w:right w:val="nil"/>
            </w:tcBorders>
            <w:shd w:val="clear" w:color="auto" w:fill="auto"/>
            <w:noWrap/>
            <w:vAlign w:val="bottom"/>
            <w:hideMark/>
          </w:tcPr>
          <w:p w14:paraId="51EE4060" w14:textId="10029CD4"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633,596</w:t>
            </w:r>
          </w:p>
        </w:tc>
        <w:tc>
          <w:tcPr>
            <w:tcW w:w="851" w:type="dxa"/>
            <w:tcBorders>
              <w:top w:val="single" w:sz="4" w:space="0" w:color="auto"/>
              <w:left w:val="nil"/>
              <w:bottom w:val="single" w:sz="4" w:space="0" w:color="auto"/>
              <w:right w:val="nil"/>
            </w:tcBorders>
            <w:shd w:val="clear" w:color="000000" w:fill="F8696B"/>
            <w:noWrap/>
            <w:vAlign w:val="bottom"/>
            <w:hideMark/>
          </w:tcPr>
          <w:p w14:paraId="3C2882EF" w14:textId="7877DA1F"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+41%</w:t>
            </w:r>
          </w:p>
        </w:tc>
        <w:tc>
          <w:tcPr>
            <w:tcW w:w="992" w:type="dxa"/>
            <w:tcBorders>
              <w:top w:val="nil"/>
              <w:left w:val="nil"/>
              <w:bottom w:val="single" w:sz="4" w:space="0" w:color="auto"/>
              <w:right w:val="nil"/>
            </w:tcBorders>
            <w:shd w:val="clear" w:color="auto" w:fill="auto"/>
            <w:noWrap/>
            <w:vAlign w:val="bottom"/>
            <w:hideMark/>
          </w:tcPr>
          <w:p w14:paraId="7933DF6A" w14:textId="46A1A6F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798,341</w:t>
            </w:r>
          </w:p>
        </w:tc>
        <w:tc>
          <w:tcPr>
            <w:tcW w:w="850" w:type="dxa"/>
            <w:tcBorders>
              <w:top w:val="nil"/>
              <w:left w:val="nil"/>
              <w:bottom w:val="single" w:sz="4" w:space="0" w:color="auto"/>
              <w:right w:val="nil"/>
            </w:tcBorders>
            <w:shd w:val="clear" w:color="auto" w:fill="auto"/>
            <w:noWrap/>
            <w:vAlign w:val="bottom"/>
            <w:hideMark/>
          </w:tcPr>
          <w:p w14:paraId="560EE87B" w14:textId="6DCE3104"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6,385</w:t>
            </w:r>
          </w:p>
        </w:tc>
        <w:tc>
          <w:tcPr>
            <w:tcW w:w="1051" w:type="dxa"/>
            <w:tcBorders>
              <w:top w:val="nil"/>
              <w:left w:val="nil"/>
              <w:bottom w:val="single" w:sz="4" w:space="0" w:color="auto"/>
              <w:right w:val="nil"/>
            </w:tcBorders>
            <w:shd w:val="clear" w:color="auto" w:fill="auto"/>
            <w:noWrap/>
            <w:vAlign w:val="bottom"/>
            <w:hideMark/>
          </w:tcPr>
          <w:p w14:paraId="14F9A402" w14:textId="6F57A0D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12,965</w:t>
            </w:r>
          </w:p>
        </w:tc>
        <w:tc>
          <w:tcPr>
            <w:tcW w:w="869" w:type="dxa"/>
            <w:tcBorders>
              <w:top w:val="nil"/>
              <w:left w:val="nil"/>
              <w:bottom w:val="single" w:sz="4" w:space="0" w:color="auto"/>
              <w:right w:val="nil"/>
            </w:tcBorders>
            <w:shd w:val="clear" w:color="auto" w:fill="auto"/>
            <w:noWrap/>
            <w:vAlign w:val="bottom"/>
            <w:hideMark/>
          </w:tcPr>
          <w:p w14:paraId="481594BA" w14:textId="0CDF3B52"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19,350</w:t>
            </w:r>
          </w:p>
        </w:tc>
        <w:tc>
          <w:tcPr>
            <w:tcW w:w="708" w:type="dxa"/>
            <w:tcBorders>
              <w:top w:val="nil"/>
              <w:left w:val="nil"/>
              <w:bottom w:val="single" w:sz="4" w:space="0" w:color="auto"/>
              <w:right w:val="nil"/>
            </w:tcBorders>
            <w:shd w:val="clear" w:color="auto" w:fill="auto"/>
            <w:noWrap/>
            <w:vAlign w:val="bottom"/>
            <w:hideMark/>
          </w:tcPr>
          <w:p w14:paraId="7EF77FA7" w14:textId="177EDF06"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1011" w:type="dxa"/>
            <w:tcBorders>
              <w:top w:val="nil"/>
              <w:left w:val="nil"/>
              <w:bottom w:val="single" w:sz="4" w:space="0" w:color="auto"/>
              <w:right w:val="nil"/>
            </w:tcBorders>
            <w:shd w:val="clear" w:color="auto" w:fill="auto"/>
            <w:noWrap/>
            <w:vAlign w:val="bottom"/>
            <w:hideMark/>
          </w:tcPr>
          <w:p w14:paraId="77E932EF" w14:textId="7514C7C8"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bottom"/>
            <w:hideMark/>
          </w:tcPr>
          <w:p w14:paraId="4853F209" w14:textId="17BE21B5"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65,150</w:t>
            </w:r>
          </w:p>
        </w:tc>
        <w:tc>
          <w:tcPr>
            <w:tcW w:w="1354" w:type="dxa"/>
            <w:tcBorders>
              <w:top w:val="nil"/>
              <w:left w:val="nil"/>
              <w:bottom w:val="single" w:sz="4" w:space="0" w:color="auto"/>
              <w:right w:val="nil"/>
            </w:tcBorders>
            <w:shd w:val="clear" w:color="auto" w:fill="auto"/>
            <w:noWrap/>
            <w:vAlign w:val="bottom"/>
            <w:hideMark/>
          </w:tcPr>
          <w:p w14:paraId="57791CCF" w14:textId="03AF572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68,728</w:t>
            </w:r>
          </w:p>
        </w:tc>
        <w:tc>
          <w:tcPr>
            <w:tcW w:w="1052" w:type="dxa"/>
            <w:tcBorders>
              <w:top w:val="nil"/>
              <w:left w:val="nil"/>
              <w:bottom w:val="single" w:sz="4" w:space="0" w:color="auto"/>
              <w:right w:val="nil"/>
            </w:tcBorders>
            <w:shd w:val="clear" w:color="auto" w:fill="auto"/>
            <w:noWrap/>
            <w:vAlign w:val="bottom"/>
            <w:hideMark/>
          </w:tcPr>
          <w:p w14:paraId="5C530D5C" w14:textId="0B96F7AB" w:rsidR="00EE4C77" w:rsidRPr="00EE4C77" w:rsidRDefault="00EE4C77" w:rsidP="00EE4C77">
            <w:pPr>
              <w:spacing w:before="0" w:after="0"/>
              <w:jc w:val="right"/>
              <w:rPr>
                <w:rFonts w:ascii="Blanco" w:eastAsia="Times New Roman" w:hAnsi="Blanco" w:cs="Times New Roman"/>
                <w:color w:val="231F20"/>
                <w:sz w:val="18"/>
                <w:szCs w:val="18"/>
                <w:lang w:val="en-AU" w:eastAsia="en-AU"/>
              </w:rPr>
            </w:pPr>
            <w:r w:rsidRPr="00EE4C77">
              <w:rPr>
                <w:rFonts w:ascii="Blanco" w:hAnsi="Blanco"/>
                <w:color w:val="231F20"/>
                <w:sz w:val="18"/>
                <w:szCs w:val="18"/>
              </w:rPr>
              <w:t>95%</w:t>
            </w:r>
          </w:p>
        </w:tc>
        <w:tc>
          <w:tcPr>
            <w:tcW w:w="921" w:type="dxa"/>
            <w:tcBorders>
              <w:top w:val="single" w:sz="4" w:space="0" w:color="auto"/>
              <w:left w:val="nil"/>
              <w:bottom w:val="single" w:sz="4" w:space="0" w:color="auto"/>
              <w:right w:val="nil"/>
            </w:tcBorders>
            <w:shd w:val="clear" w:color="000000" w:fill="FCF1F4"/>
            <w:noWrap/>
            <w:vAlign w:val="bottom"/>
            <w:hideMark/>
          </w:tcPr>
          <w:p w14:paraId="79346C4B" w14:textId="77777777" w:rsidR="00EE4C77" w:rsidRPr="007364B1" w:rsidRDefault="00EE4C77" w:rsidP="00EE4C77">
            <w:pPr>
              <w:spacing w:before="0" w:after="0"/>
              <w:jc w:val="right"/>
              <w:rPr>
                <w:rFonts w:ascii="Blanco" w:eastAsia="Times New Roman" w:hAnsi="Blanco" w:cs="Times New Roman"/>
                <w:color w:val="231F20"/>
                <w:sz w:val="18"/>
                <w:szCs w:val="18"/>
                <w:lang w:val="en-AU" w:eastAsia="en-AU"/>
              </w:rPr>
            </w:pPr>
            <w:r>
              <w:rPr>
                <w:rFonts w:ascii="Blanco" w:hAnsi="Blanco"/>
                <w:color w:val="231F20"/>
                <w:sz w:val="18"/>
                <w:szCs w:val="18"/>
              </w:rPr>
              <w:t>337%</w:t>
            </w:r>
          </w:p>
        </w:tc>
      </w:tr>
    </w:tbl>
    <w:p w14:paraId="7F3A6482" w14:textId="77777777" w:rsidR="00AA33F9" w:rsidRDefault="00AA33F9" w:rsidP="0048219E">
      <w:pPr>
        <w:pStyle w:val="Tablenotesnumbers"/>
      </w:pPr>
      <w:r>
        <w:t>Steady state number is the sum of exits and the number aging out</w:t>
      </w:r>
    </w:p>
    <w:p w14:paraId="001F4B6E" w14:textId="407FBB1F" w:rsidR="0028350E" w:rsidRDefault="00AA33F9" w:rsidP="0048219E">
      <w:pPr>
        <w:pStyle w:val="Tablenotesnumbers"/>
      </w:pPr>
      <w:r>
        <w:t>The ratio of entries / steady state in the final column is the sum of new entries, transfers and numbers aging in divided by the steady state number.</w:t>
      </w:r>
    </w:p>
    <w:p w14:paraId="1888D15F" w14:textId="09F80B2D" w:rsidR="00EE4C77" w:rsidRDefault="00EE4C77" w:rsidP="004A11B5">
      <w:pPr>
        <w:sectPr w:rsidR="00EE4C77" w:rsidSect="00E62153">
          <w:pgSz w:w="16838" w:h="11906" w:orient="landscape" w:code="9"/>
          <w:pgMar w:top="1247" w:right="1418" w:bottom="1247" w:left="1418" w:header="709" w:footer="454" w:gutter="0"/>
          <w:cols w:space="708"/>
          <w:docGrid w:linePitch="360"/>
        </w:sectPr>
      </w:pPr>
      <w:r>
        <w:t xml:space="preserve"> </w:t>
      </w:r>
    </w:p>
    <w:p w14:paraId="2CBDB314" w14:textId="7D45F371" w:rsidR="004A11B5" w:rsidRDefault="004A11B5" w:rsidP="004A11B5">
      <w:pPr>
        <w:pStyle w:val="Heading3"/>
      </w:pPr>
      <w:r>
        <w:t xml:space="preserve">Comparison of </w:t>
      </w:r>
      <w:r w:rsidR="00232FFF">
        <w:t>Scheme</w:t>
      </w:r>
      <w:r>
        <w:t xml:space="preserve"> numbers to secondary data sources </w:t>
      </w:r>
    </w:p>
    <w:p w14:paraId="048BC822" w14:textId="500E94CA" w:rsidR="004A11B5" w:rsidRDefault="004A11B5" w:rsidP="004A11B5">
      <w:r>
        <w:t xml:space="preserve">A fundamental consideration in </w:t>
      </w:r>
      <w:r w:rsidR="00167241">
        <w:t xml:space="preserve">estimating </w:t>
      </w:r>
      <w:r>
        <w:t>participant numbers is the prevalence of disability in the Australian population and ensuring that long-term NDIS numbers are in alignment. This is a surprisingly challenging task, as the level of information around disability is far from comprehensive:</w:t>
      </w:r>
    </w:p>
    <w:p w14:paraId="018966DE" w14:textId="4C300330" w:rsidR="004A11B5" w:rsidRDefault="004A11B5" w:rsidP="004A11B5">
      <w:pPr>
        <w:pStyle w:val="Bullet1"/>
      </w:pPr>
      <w:r>
        <w:t xml:space="preserve">One of key surveys, the ABS Survey of Disability, Aging and Carers, is </w:t>
      </w:r>
      <w:r w:rsidR="00ED2FC8">
        <w:t>size limited</w:t>
      </w:r>
      <w:r>
        <w:t xml:space="preserve"> so that statistical uncertainty is material. Further, severity classifications will not align directly to NDIS eligibility.</w:t>
      </w:r>
    </w:p>
    <w:p w14:paraId="0F3C1410" w14:textId="77777777" w:rsidR="004A11B5" w:rsidRDefault="004A11B5" w:rsidP="004A11B5">
      <w:pPr>
        <w:pStyle w:val="Bullet1"/>
      </w:pPr>
      <w:r>
        <w:t>Other disability-related services, including the Disability Support Pension, will have different eligibility criteria to the NDIS.</w:t>
      </w:r>
    </w:p>
    <w:p w14:paraId="0EDA733F" w14:textId="1A1E2F14" w:rsidR="004A11B5" w:rsidRDefault="004A11B5" w:rsidP="004A11B5">
      <w:pPr>
        <w:pStyle w:val="Bullet1"/>
      </w:pPr>
      <w:r>
        <w:t xml:space="preserve">Other sources are also not as </w:t>
      </w:r>
      <w:r w:rsidR="00ED2FC8">
        <w:t>up to date</w:t>
      </w:r>
      <w:r>
        <w:t xml:space="preserve"> as our NDIS data.</w:t>
      </w:r>
    </w:p>
    <w:p w14:paraId="6D83F729" w14:textId="6692FC91" w:rsidR="004A11B5" w:rsidRPr="007364B1" w:rsidRDefault="004A11B5" w:rsidP="004A11B5">
      <w:r>
        <w:t xml:space="preserve">We still believe that comparisons to secondary data sources are instructive in assessing the reasonableness of projected </w:t>
      </w:r>
      <w:r w:rsidR="00ED2FC8">
        <w:t>NDIS participant</w:t>
      </w:r>
      <w:r w:rsidR="00167241">
        <w:t xml:space="preserve"> </w:t>
      </w:r>
      <w:r>
        <w:t>numbers.</w:t>
      </w:r>
    </w:p>
    <w:p w14:paraId="7AADDC16" w14:textId="77777777" w:rsidR="004A11B5" w:rsidRDefault="004A11B5" w:rsidP="004A11B5">
      <w:pPr>
        <w:pStyle w:val="NNheading4"/>
      </w:pPr>
      <w:r>
        <w:t>Survey of Disability, Aging and Carers (SDAC)</w:t>
      </w:r>
    </w:p>
    <w:p w14:paraId="7AE127B5" w14:textId="085E5630" w:rsidR="004A11B5" w:rsidRDefault="004A11B5" w:rsidP="004A11B5">
      <w:r>
        <w:t xml:space="preserve">The SDAC formed much of the basis for the original Productivity Commission work on NDIS numbers and mix. The survey collects disability identification for members of a household, as well as a severity measure. The </w:t>
      </w:r>
      <w:r w:rsidR="00167241">
        <w:t xml:space="preserve">charts </w:t>
      </w:r>
      <w:r>
        <w:t>below show both the general disability rate and the rate of ‘severe or profound core activity limitation’. The latter is likely most relevant to the NDIS population.</w:t>
      </w:r>
    </w:p>
    <w:p w14:paraId="2ABD445D" w14:textId="552555E4" w:rsidR="004A11B5" w:rsidRDefault="004A11B5" w:rsidP="004A11B5">
      <w:pPr>
        <w:pStyle w:val="Caption"/>
      </w:pPr>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3</w:t>
      </w:r>
      <w:r w:rsidR="009366CE">
        <w:fldChar w:fldCharType="end"/>
      </w:r>
      <w:r w:rsidR="001C13F1">
        <w:t xml:space="preserve"> – </w:t>
      </w:r>
      <w:r>
        <w:t>Comparison between NDIS current and project numbers with the ABS SDAC disability rates</w:t>
      </w:r>
    </w:p>
    <w:p w14:paraId="39F47622" w14:textId="77777777" w:rsidR="004A11B5" w:rsidRDefault="004A11B5" w:rsidP="004A11B5">
      <w:r w:rsidRPr="00A53F12">
        <w:rPr>
          <w:noProof/>
        </w:rPr>
        <w:drawing>
          <wp:inline distT="0" distB="0" distL="0" distR="0" wp14:anchorId="2DA903ED" wp14:editId="2D12B7EE">
            <wp:extent cx="5976620" cy="2531110"/>
            <wp:effectExtent l="0" t="0" r="0" b="0"/>
            <wp:docPr id="13" name="Picture 13" descr="Severe or profound core activity limitation&#10;&#10;Age group. 0–4.&#10;SDAC 2009. 2.2%.&#10;SDAC 2018. 2.3%. &#10;NDIS 2021. 2.1%.&#10;NDIS 2025. 3.5%.&#10;&#10;&#10;5–14.&#10;SDAC 2009. 4.8%.&#10;SDAC 2018. 5.6%. &#10;NDIS 2021. 5.0%.&#10;NDIS 2025. 6.9%.&#10;&#10;&#10;15–24.&#10;SDAC 2009. 1.8%.&#10;SDAC 2018. 3.4%. &#10;NDIS 2021. 2.3%.&#10;NDIS 2025. 3.8%.&#10;&#10;&#10;25–34.&#10;SDAC 2009. 2.0%.&#10;SDAC 2018. 1.9%. &#10;NDIS 2021. 1.1%.&#10;NDIS 2025. 1.5%.&#10;&#10;&#10;35–44.&#10;SDAC 2009. 2.8%.&#10;SDAC 2018. 2.0%. &#10;NDIS 2021. 1.1%.&#10;NDIS 2025. 1.4%.&#10;&#10;&#10;45–54.&#10;SDAC 2009. 4.2%.&#10;SDAC 2018. 3.5%. &#10;NDIS 2021. 1.5%.&#10;NDIS 2025. 1.8%.&#10;&#10;&#10;55–59.&#10;SDAC 2009. 6.8%.&#10;SDAC 2018. 5.1%. &#10;NDIS 2021. 1.7%.&#10;NDIS 2025. 2.2%.&#10;&#10;&#10;60–64.&#10;SDAC 2009. 8.5%.&#10;SDAC 2018. 6.6%. &#10;NDIS 2021. 2.0%.&#10;NDIS 2025. 2.6%.&#10;&#10;Any reported disability&#10;&#10;Age Group. 0–4.&#10;SDAC 2009. 3.4%.&#10;SDAC 2018. 3.7%. &#10;NDIS 2021. 2.1%.&#10;NDIS 2025. 3.5%.&#10;&#10;&#10;5–14.&#10;SDAC 2009. 8.8%.&#10;SDAC 2018. 9.6%. &#10;NDIS 2021. 5.0%.&#10;NDIS 2025. 6.9%.&#10;&#10;&#10;15–24.&#10;SDAC 2009. 6.6%.&#10;SDAC 2018. 9.3%. &#10;NDIS 2021. 2.3%.&#10;NDIS 2025. 3.8%.&#10;&#10;&#10;25–34.&#10;SDAC 2009. 8.6%.&#10;SDAC 2018. 7.2%. &#10;NDIS 2021. 1.1%.&#10;NDIS 2025. 1.5%.&#10;&#10;&#10;35–44.&#10;SDAC 2009. 12.8%.&#10;SDAC 2018. 9.9%. &#10;NDIS 2021. 1.1%.&#10;NDIS 2025. 1.4%.&#10;&#10;&#10;45–54.&#10;SDAC 2009. 18.0%.&#10;SDAC 2018. 15.7%. &#10;NDIS 2021. 1.5%.&#10;NDIS 2025. 1.8%.&#10;&#10;&#10;55–59.&#10;SDAC 2009. 27.7%.&#10;SDAC 2018. 22.0%. &#10;NDIS 2021. 1.7%.&#10;NDIS 2025. 2.2%.&#10;&#10;&#10;60–64.&#10;SDAC 2009. 35.9%.&#10;SDAC 2018. 26.9%. &#10;NDIS 2021. 2.0%.&#10;NDIS 2025.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evere or profound core activity limitation&#10;&#10;Age group. 0–4.&#10;SDAC 2009. 2.2%.&#10;SDAC 2018. 2.3%. &#10;NDIS 2021. 2.1%.&#10;NDIS 2025. 3.5%.&#10;&#10;&#10;5–14.&#10;SDAC 2009. 4.8%.&#10;SDAC 2018. 5.6%. &#10;NDIS 2021. 5.0%.&#10;NDIS 2025. 6.9%.&#10;&#10;&#10;15–24.&#10;SDAC 2009. 1.8%.&#10;SDAC 2018. 3.4%. &#10;NDIS 2021. 2.3%.&#10;NDIS 2025. 3.8%.&#10;&#10;&#10;25–34.&#10;SDAC 2009. 2.0%.&#10;SDAC 2018. 1.9%. &#10;NDIS 2021. 1.1%.&#10;NDIS 2025. 1.5%.&#10;&#10;&#10;35–44.&#10;SDAC 2009. 2.8%.&#10;SDAC 2018. 2.0%. &#10;NDIS 2021. 1.1%.&#10;NDIS 2025. 1.4%.&#10;&#10;&#10;45–54.&#10;SDAC 2009. 4.2%.&#10;SDAC 2018. 3.5%. &#10;NDIS 2021. 1.5%.&#10;NDIS 2025. 1.8%.&#10;&#10;&#10;55–59.&#10;SDAC 2009. 6.8%.&#10;SDAC 2018. 5.1%. &#10;NDIS 2021. 1.7%.&#10;NDIS 2025. 2.2%.&#10;&#10;&#10;60–64.&#10;SDAC 2009. 8.5%.&#10;SDAC 2018. 6.6%. &#10;NDIS 2021. 2.0%.&#10;NDIS 2025. 2.6%.&#10;&#10;Any reported disability&#10;&#10;Age Group. 0–4.&#10;SDAC 2009. 3.4%.&#10;SDAC 2018. 3.7%. &#10;NDIS 2021. 2.1%.&#10;NDIS 2025. 3.5%.&#10;&#10;&#10;5–14.&#10;SDAC 2009. 8.8%.&#10;SDAC 2018. 9.6%. &#10;NDIS 2021. 5.0%.&#10;NDIS 2025. 6.9%.&#10;&#10;&#10;15–24.&#10;SDAC 2009. 6.6%.&#10;SDAC 2018. 9.3%. &#10;NDIS 2021. 2.3%.&#10;NDIS 2025. 3.8%.&#10;&#10;&#10;25–34.&#10;SDAC 2009. 8.6%.&#10;SDAC 2018. 7.2%. &#10;NDIS 2021. 1.1%.&#10;NDIS 2025. 1.5%.&#10;&#10;&#10;35–44.&#10;SDAC 2009. 12.8%.&#10;SDAC 2018. 9.9%. &#10;NDIS 2021. 1.1%.&#10;NDIS 2025. 1.4%.&#10;&#10;&#10;45–54.&#10;SDAC 2009. 18.0%.&#10;SDAC 2018. 15.7%. &#10;NDIS 2021. 1.5%.&#10;NDIS 2025. 1.8%.&#10;&#10;&#10;55–59.&#10;SDAC 2009. 27.7%.&#10;SDAC 2018. 22.0%. &#10;NDIS 2021. 1.7%.&#10;NDIS 2025. 2.2%.&#10;&#10;&#10;60–64.&#10;SDAC 2009. 35.9%.&#10;SDAC 2018. 26.9%. &#10;NDIS 2021. 2.0%.&#10;NDIS 2025. 2.6%."/>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5976620" cy="2531110"/>
                    </a:xfrm>
                    <a:prstGeom prst="rect">
                      <a:avLst/>
                    </a:prstGeom>
                    <a:noFill/>
                    <a:ln>
                      <a:noFill/>
                    </a:ln>
                  </pic:spPr>
                </pic:pic>
              </a:graphicData>
            </a:graphic>
          </wp:inline>
        </w:drawing>
      </w:r>
    </w:p>
    <w:p w14:paraId="7264C1BA" w14:textId="77777777" w:rsidR="004A11B5" w:rsidRDefault="004A11B5" w:rsidP="004A11B5">
      <w:r>
        <w:t>The comparison shows that:</w:t>
      </w:r>
    </w:p>
    <w:p w14:paraId="1E68F26F" w14:textId="77777777" w:rsidR="004A11B5" w:rsidRDefault="004A11B5" w:rsidP="004A11B5">
      <w:pPr>
        <w:pStyle w:val="Bullet1"/>
      </w:pPr>
      <w:r>
        <w:t>There is some evidence of an increase in disability rates in the 5-14 and 15-24 age groups between 2009 and 2018. Rates have decreased in older age bands</w:t>
      </w:r>
    </w:p>
    <w:p w14:paraId="3B295B86" w14:textId="1585D6A1" w:rsidR="004A11B5" w:rsidRDefault="004A11B5" w:rsidP="004A11B5">
      <w:pPr>
        <w:pStyle w:val="Bullet1"/>
      </w:pPr>
      <w:r>
        <w:t xml:space="preserve">NDIS enrolments are similar to the SDAC ‘severe and profound’ estimates for age groups under </w:t>
      </w:r>
      <w:r w:rsidR="00ED2FC8">
        <w:t>25 and</w:t>
      </w:r>
      <w:r>
        <w:t xml:space="preserve"> are projected to be much higher again by the end of 2024-25. </w:t>
      </w:r>
    </w:p>
    <w:p w14:paraId="3CA8FD4B" w14:textId="77777777" w:rsidR="004A11B5" w:rsidRPr="0072106E" w:rsidRDefault="004A11B5" w:rsidP="004A11B5">
      <w:pPr>
        <w:pStyle w:val="Bullet1"/>
      </w:pPr>
      <w:r>
        <w:t xml:space="preserve">NDIS enrolments are lower than SDAC ‘severe and profound’ estimates for ages over 25. </w:t>
      </w:r>
    </w:p>
    <w:p w14:paraId="3A0A0960" w14:textId="4A76AC5F" w:rsidR="004A11B5" w:rsidRDefault="004A11B5" w:rsidP="004A11B5">
      <w:r>
        <w:t>The ABS offer</w:t>
      </w:r>
      <w:r w:rsidR="00884CB8">
        <w:t>s</w:t>
      </w:r>
      <w:r>
        <w:t xml:space="preserve"> limited information publicly on disability type, but do</w:t>
      </w:r>
      <w:r w:rsidR="00884CB8">
        <w:t>es</w:t>
      </w:r>
      <w:r>
        <w:t xml:space="preserve"> provide a comparison of autism prevalence between 2015 and 2018, shown in </w:t>
      </w:r>
      <w:r>
        <w:fldChar w:fldCharType="begin"/>
      </w:r>
      <w:r>
        <w:instrText xml:space="preserve"> REF _Ref86839502 \h </w:instrText>
      </w:r>
      <w:r>
        <w:fldChar w:fldCharType="separate"/>
      </w:r>
      <w:r w:rsidR="00E6217F">
        <w:t xml:space="preserve">Figure </w:t>
      </w:r>
      <w:r w:rsidR="00E6217F">
        <w:rPr>
          <w:noProof/>
        </w:rPr>
        <w:t>7</w:t>
      </w:r>
      <w:r w:rsidR="00E6217F">
        <w:t>.</w:t>
      </w:r>
      <w:r w:rsidR="00E6217F">
        <w:rPr>
          <w:noProof/>
        </w:rPr>
        <w:t>4</w:t>
      </w:r>
      <w:r>
        <w:fldChar w:fldCharType="end"/>
      </w:r>
    </w:p>
    <w:p w14:paraId="2E168DA1" w14:textId="3816A65F" w:rsidR="004A11B5" w:rsidRDefault="004A11B5" w:rsidP="004A11B5">
      <w:pPr>
        <w:pStyle w:val="Caption"/>
      </w:pPr>
      <w:bookmarkStart w:id="269" w:name="_Ref86839502"/>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4</w:t>
      </w:r>
      <w:r w:rsidR="009366CE">
        <w:fldChar w:fldCharType="end"/>
      </w:r>
      <w:bookmarkEnd w:id="269"/>
      <w:r>
        <w:t xml:space="preserve"> </w:t>
      </w:r>
      <w:r w:rsidR="001C13F1">
        <w:t xml:space="preserve">– </w:t>
      </w:r>
      <w:bookmarkStart w:id="270" w:name="_Hlk87914138"/>
      <w:r>
        <w:t>Autism incidence in SDAC and the NDIS.</w:t>
      </w:r>
      <w:bookmarkEnd w:id="270"/>
    </w:p>
    <w:p w14:paraId="57F94A46" w14:textId="361D4350" w:rsidR="00644C1E" w:rsidRPr="00644C1E" w:rsidRDefault="00644C1E" w:rsidP="00644C1E">
      <w:r>
        <w:rPr>
          <w:noProof/>
        </w:rPr>
        <w:drawing>
          <wp:inline distT="0" distB="0" distL="0" distR="0" wp14:anchorId="1BAC2F54" wp14:editId="20765E74">
            <wp:extent cx="5976620" cy="2571115"/>
            <wp:effectExtent l="0" t="0" r="5080" b="635"/>
            <wp:docPr id="151" name="Graphic 151" descr="Australia&#10;Age Group 0-4.&#10;SDAC 2015. 0.4%. &#10;SDAC 2018. 0.7%. &#10;NDIS 2021. 0.4%. &#10;NDIS 2025. 0.6%.&#10;&#10;&#10;5-9.&#10;SDAC 2015. 2.8%. &#10;SDAC 2018. 3.1%. &#10;NDIS 2021. 3.0%. &#10;NDIS 2025. 3.3%.&#10;&#10;&#10;10-14.&#10;SDAC 2015. 2.8%. &#10;SDAC 2018. 3.3%. &#10;NDIS 2021. 2.9%. &#10;NDIS 2025. 4.7%.&#10;&#10;&#10;15-19.&#10;SDAC 2015. 1.8%. &#10;SDAC 2018. 2.8%. &#10;NDIS 2021. 1.6%. &#10;NDIS 2025. 3.4%.&#10;&#10;&#10;20-24.&#10;SDAC 2015. 1.2%. &#10;SDAC 2018. 1.2%. &#10;NDIS 2021. 0.7%. &#10;NDIS 2025. 1.4%.&#10;&#10;&#10;25-29.&#10;SDAC 2015. 0.7%. &#10;SDAC 2018. 0.8%. &#10;NDIS 2021. 0.3%. &#10;NDIS 2025. 0.6%.&#10;&#10;&#10;30-34.&#10;SDAC 2015. 0.3%. &#10;SDAC 2018. 0.4%. &#10;NDIS 2021. 0.2%. &#10;NDIS 2025. 0.3%.&#10;&#10;&#10;35-39.&#10;SDAC 2015. 0.2%. &#10;SDAC 2018. 0.2%. &#10;NDIS 2021. 0.1%. &#10;NDIS 2025. 0.2%.&#10;&#10;&#10;&#10;Trial regions&#10;&#10;Age Group. 0-4.&#10;Hunter. 0.2%. &#10;Barwon. 0.2%. &#10;SA. 0.5%.&#10;&#10;&#10;5-9.&#10;Hunter. 3.4%. &#10;Barwon. 3.1%. &#10;SA. 4.3%.&#10;&#10;&#10;10-14.&#10;Hunter. 4.8%. &#10;Barwon. 5.2%. &#10;SA. 5.1%.&#10;&#10;&#10;15-19.&#10;Hunter. 2.8%. &#10;Barwon. 2.8%. &#10;SA. 2.8%.&#10;&#10;&#10;20-24.&#10;Hunter. 1.4%. &#10;Barwon. 1.2%. &#10;SA. 1.0%.&#10;&#10;&#10;25-29.&#10;Hunter. 0.6%. &#10;Barwon. 0.6%. &#10;SA. 0.4%.&#10;&#10;&#10;30-34.&#10;Hunter. 0.3%. &#10;Barwon. 0.3%. &#10;SA. 0.2%.&#10;&#10;&#10;35-39.&#10;Hunter. 0.2%. &#10;Barwon. 0.2%. &#10;SA.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Graphic 151" descr="Australia&#10;Age Group 0-4.&#10;SDAC 2015. 0.4%. &#10;SDAC 2018. 0.7%. &#10;NDIS 2021. 0.4%. &#10;NDIS 2025. 0.6%.&#10;&#10;&#10;5-9.&#10;SDAC 2015. 2.8%. &#10;SDAC 2018. 3.1%. &#10;NDIS 2021. 3.0%. &#10;NDIS 2025. 3.3%.&#10;&#10;&#10;10-14.&#10;SDAC 2015. 2.8%. &#10;SDAC 2018. 3.3%. &#10;NDIS 2021. 2.9%. &#10;NDIS 2025. 4.7%.&#10;&#10;&#10;15-19.&#10;SDAC 2015. 1.8%. &#10;SDAC 2018. 2.8%. &#10;NDIS 2021. 1.6%. &#10;NDIS 2025. 3.4%.&#10;&#10;&#10;20-24.&#10;SDAC 2015. 1.2%. &#10;SDAC 2018. 1.2%. &#10;NDIS 2021. 0.7%. &#10;NDIS 2025. 1.4%.&#10;&#10;&#10;25-29.&#10;SDAC 2015. 0.7%. &#10;SDAC 2018. 0.8%. &#10;NDIS 2021. 0.3%. &#10;NDIS 2025. 0.6%.&#10;&#10;&#10;30-34.&#10;SDAC 2015. 0.3%. &#10;SDAC 2018. 0.4%. &#10;NDIS 2021. 0.2%. &#10;NDIS 2025. 0.3%.&#10;&#10;&#10;35-39.&#10;SDAC 2015. 0.2%. &#10;SDAC 2018. 0.2%. &#10;NDIS 2021. 0.1%. &#10;NDIS 2025. 0.2%.&#10;&#10;&#10;&#10;Trial regions&#10;&#10;Age Group. 0-4.&#10;Hunter. 0.2%. &#10;Barwon. 0.2%. &#10;SA. 0.5%.&#10;&#10;&#10;5-9.&#10;Hunter. 3.4%. &#10;Barwon. 3.1%. &#10;SA. 4.3%.&#10;&#10;&#10;10-14.&#10;Hunter. 4.8%. &#10;Barwon. 5.2%. &#10;SA. 5.1%.&#10;&#10;&#10;15-19.&#10;Hunter. 2.8%. &#10;Barwon. 2.8%. &#10;SA. 2.8%.&#10;&#10;&#10;20-24.&#10;Hunter. 1.4%. &#10;Barwon. 1.2%. &#10;SA. 1.0%.&#10;&#10;&#10;25-29.&#10;Hunter. 0.6%. &#10;Barwon. 0.6%. &#10;SA. 0.4%.&#10;&#10;&#10;30-34.&#10;Hunter. 0.3%. &#10;Barwon. 0.3%. &#10;SA. 0.2%.&#10;&#10;&#10;35-39.&#10;Hunter. 0.2%. &#10;Barwon. 0.2%. &#10;SA. 0.2%."/>
                    <pic:cNvPicPr/>
                  </pic:nvPicPr>
                  <pic:blipFill>
                    <a:blip r:embed="rId114" cstate="print">
                      <a:extLst>
                        <a:ext uri="{28A0092B-C50C-407E-A947-70E740481C1C}">
                          <a14:useLocalDpi xmlns:a14="http://schemas.microsoft.com/office/drawing/2010/main"/>
                        </a:ext>
                        <a:ext uri="{96DAC541-7B7A-43D3-8B79-37D633B846F1}">
                          <asvg:svgBlip xmlns:asvg="http://schemas.microsoft.com/office/drawing/2016/SVG/main" r:embed="rId115"/>
                        </a:ext>
                      </a:extLst>
                    </a:blip>
                    <a:stretch>
                      <a:fillRect/>
                    </a:stretch>
                  </pic:blipFill>
                  <pic:spPr>
                    <a:xfrm>
                      <a:off x="0" y="0"/>
                      <a:ext cx="5976620" cy="2571115"/>
                    </a:xfrm>
                    <a:prstGeom prst="rect">
                      <a:avLst/>
                    </a:prstGeom>
                  </pic:spPr>
                </pic:pic>
              </a:graphicData>
            </a:graphic>
          </wp:inline>
        </w:drawing>
      </w:r>
    </w:p>
    <w:p w14:paraId="7B89452B" w14:textId="508CD46B" w:rsidR="004A11B5" w:rsidRDefault="004A11B5" w:rsidP="004A11B5">
      <w:r>
        <w:t>We observe</w:t>
      </w:r>
      <w:r w:rsidR="00167241">
        <w:t xml:space="preserve"> that</w:t>
      </w:r>
      <w:r>
        <w:t>:</w:t>
      </w:r>
    </w:p>
    <w:p w14:paraId="5C2F8C6A" w14:textId="61460ED1" w:rsidR="004A11B5" w:rsidRDefault="004A11B5" w:rsidP="004A11B5">
      <w:pPr>
        <w:pStyle w:val="Bullet1"/>
      </w:pPr>
      <w:r>
        <w:t xml:space="preserve">When comparing 2015 and 2018 SDAC distributions, there is evidence of a ‘right shift’ effect, </w:t>
      </w:r>
      <w:r w:rsidR="00E722C4">
        <w:t xml:space="preserve">with </w:t>
      </w:r>
      <w:r>
        <w:t xml:space="preserve">higher </w:t>
      </w:r>
      <w:r w:rsidR="009616B4">
        <w:t xml:space="preserve">prevalence </w:t>
      </w:r>
      <w:r>
        <w:t xml:space="preserve">of autism </w:t>
      </w:r>
      <w:r w:rsidR="009616B4">
        <w:t>in the 10-14 and 15-19 age groups</w:t>
      </w:r>
      <w:r>
        <w:t xml:space="preserve">. This is </w:t>
      </w:r>
      <w:r w:rsidR="009616B4">
        <w:t xml:space="preserve">consistent with </w:t>
      </w:r>
      <w:r>
        <w:t>the dynamic observed in NDIS data where people tend to enter at a younger age but then remain. There is also an increase in prevalence in the 5-9 and 10-14 age groups</w:t>
      </w:r>
      <w:r w:rsidR="00BF419E">
        <w:t xml:space="preserve"> in successive SDAC surveys</w:t>
      </w:r>
      <w:r>
        <w:t>.</w:t>
      </w:r>
    </w:p>
    <w:p w14:paraId="272A99D9" w14:textId="432732D8" w:rsidR="004A11B5" w:rsidRDefault="004A11B5" w:rsidP="004A11B5">
      <w:pPr>
        <w:pStyle w:val="Bullet1"/>
      </w:pPr>
      <w:r>
        <w:t>The NDIS rates exceed the rates observed in the SDAC; 2021 levels are higher than SDAC 2018, particularly in the 15-19 age group, and are projected to increase further by the end of 2024-25.</w:t>
      </w:r>
    </w:p>
    <w:p w14:paraId="51D65C63" w14:textId="44A9B1E9" w:rsidR="00BF419E" w:rsidRPr="00BF419E" w:rsidRDefault="00BF419E" w:rsidP="00BF419E">
      <w:pPr>
        <w:pStyle w:val="Bullet1"/>
      </w:pPr>
      <w:r>
        <w:t xml:space="preserve">Trial region areas, where there has been additional time for participant entries, match the projected NDIS 2025 age distribution; they suggest that the project increase in autism numbers </w:t>
      </w:r>
      <w:r w:rsidR="00CF34E2">
        <w:t>is</w:t>
      </w:r>
      <w:r>
        <w:t xml:space="preserve"> plausible.</w:t>
      </w:r>
    </w:p>
    <w:p w14:paraId="285CDD6B" w14:textId="77777777" w:rsidR="004A11B5" w:rsidRDefault="004A11B5" w:rsidP="004A11B5">
      <w:pPr>
        <w:pStyle w:val="NNheading4"/>
      </w:pPr>
      <w:r>
        <w:t>The Australian Early Development Census (AEDC)</w:t>
      </w:r>
    </w:p>
    <w:p w14:paraId="0DA72592" w14:textId="77777777" w:rsidR="004A11B5" w:rsidRDefault="004A11B5" w:rsidP="004A11B5">
      <w:r>
        <w:t xml:space="preserve">The AEDC is performed every three years, where teachers answer a series of development questions about every child in their first year of school. </w:t>
      </w:r>
    </w:p>
    <w:p w14:paraId="519751BD" w14:textId="22951EBF" w:rsidR="004A11B5" w:rsidRDefault="004A11B5" w:rsidP="004A11B5">
      <w:r>
        <w:t xml:space="preserve">Teachers report a disability or other developmental difficulty across a series of categories. If a diagnosis is present this is reported, otherwise a teacher can also identify a condition with a diagnosis and indicate whether it impedes learning. </w:t>
      </w:r>
    </w:p>
    <w:p w14:paraId="35279587" w14:textId="55F7AA5A" w:rsidR="004A11B5" w:rsidRDefault="004A11B5" w:rsidP="004A11B5">
      <w:pPr>
        <w:pStyle w:val="Caption"/>
      </w:pPr>
      <w:r>
        <w:t xml:space="preserve">Table </w:t>
      </w:r>
      <w:r w:rsidR="007F6BE8">
        <w:fldChar w:fldCharType="begin"/>
      </w:r>
      <w:r w:rsidR="007F6BE8">
        <w:instrText xml:space="preserve"> STYLEREF 1 \s </w:instrText>
      </w:r>
      <w:r w:rsidR="007F6BE8">
        <w:fldChar w:fldCharType="separate"/>
      </w:r>
      <w:r w:rsidR="00E6217F">
        <w:rPr>
          <w:noProof/>
        </w:rPr>
        <w:t>7</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2</w:t>
      </w:r>
      <w:r w:rsidR="007F6BE8">
        <w:fldChar w:fldCharType="end"/>
      </w:r>
      <w:r>
        <w:t xml:space="preserve"> </w:t>
      </w:r>
      <w:r w:rsidR="001C13F1">
        <w:t xml:space="preserve">– </w:t>
      </w:r>
      <w:r>
        <w:t>Comparison of AEDC and NDIS numbers of students with a disability</w:t>
      </w:r>
      <w:r w:rsidRPr="00091288">
        <w:rPr>
          <w:vertAlign w:val="superscript"/>
        </w:rPr>
        <w:t>(a)</w:t>
      </w:r>
    </w:p>
    <w:tbl>
      <w:tblPr>
        <w:tblStyle w:val="TFBlue"/>
        <w:tblW w:w="9499" w:type="dxa"/>
        <w:tblLook w:val="04A0" w:firstRow="1" w:lastRow="0" w:firstColumn="1" w:lastColumn="0" w:noHBand="0" w:noVBand="1"/>
      </w:tblPr>
      <w:tblGrid>
        <w:gridCol w:w="2376"/>
        <w:gridCol w:w="1418"/>
        <w:gridCol w:w="1417"/>
        <w:gridCol w:w="1417"/>
        <w:gridCol w:w="1417"/>
        <w:gridCol w:w="1454"/>
      </w:tblGrid>
      <w:tr w:rsidR="004A11B5" w14:paraId="591EE2FD" w14:textId="77777777" w:rsidTr="00167241">
        <w:trPr>
          <w:cnfStyle w:val="100000000000" w:firstRow="1" w:lastRow="0" w:firstColumn="0" w:lastColumn="0" w:oddVBand="0" w:evenVBand="0" w:oddHBand="0" w:evenHBand="0" w:firstRowFirstColumn="0" w:firstRowLastColumn="0" w:lastRowFirstColumn="0" w:lastRowLastColumn="0"/>
        </w:trPr>
        <w:tc>
          <w:tcPr>
            <w:tcW w:w="2376" w:type="dxa"/>
          </w:tcPr>
          <w:p w14:paraId="4AA03C07" w14:textId="77777777" w:rsidR="004A11B5" w:rsidRPr="006B7F5C" w:rsidRDefault="004A11B5" w:rsidP="00582ECF">
            <w:pPr>
              <w:rPr>
                <w:szCs w:val="21"/>
              </w:rPr>
            </w:pPr>
          </w:p>
        </w:tc>
        <w:tc>
          <w:tcPr>
            <w:tcW w:w="1418" w:type="dxa"/>
          </w:tcPr>
          <w:p w14:paraId="002BA62C" w14:textId="44C26899" w:rsidR="004A11B5" w:rsidRPr="00167241" w:rsidRDefault="004A11B5" w:rsidP="00582ECF">
            <w:pPr>
              <w:rPr>
                <w:szCs w:val="21"/>
              </w:rPr>
            </w:pPr>
            <w:r w:rsidRPr="00167241">
              <w:rPr>
                <w:rFonts w:ascii="Blanco" w:hAnsi="Blanco"/>
                <w:color w:val="231F20"/>
                <w:szCs w:val="21"/>
              </w:rPr>
              <w:t>AEDC 2015</w:t>
            </w:r>
            <w:r w:rsidR="00106F85">
              <w:rPr>
                <w:rFonts w:ascii="Blanco" w:hAnsi="Blanco"/>
                <w:color w:val="231F20"/>
                <w:szCs w:val="21"/>
              </w:rPr>
              <w:t>, rounded</w:t>
            </w:r>
          </w:p>
        </w:tc>
        <w:tc>
          <w:tcPr>
            <w:tcW w:w="1417" w:type="dxa"/>
          </w:tcPr>
          <w:p w14:paraId="2592A05B" w14:textId="021CA1C6" w:rsidR="004A11B5" w:rsidRPr="00167241" w:rsidRDefault="004A11B5" w:rsidP="00582ECF">
            <w:pPr>
              <w:rPr>
                <w:szCs w:val="21"/>
              </w:rPr>
            </w:pPr>
            <w:r w:rsidRPr="00167241">
              <w:rPr>
                <w:rFonts w:ascii="Blanco" w:hAnsi="Blanco"/>
                <w:color w:val="231F20"/>
                <w:szCs w:val="21"/>
              </w:rPr>
              <w:t>AEDC 2018</w:t>
            </w:r>
            <w:r w:rsidR="00106F85">
              <w:rPr>
                <w:rFonts w:ascii="Blanco" w:hAnsi="Blanco"/>
                <w:color w:val="231F20"/>
                <w:szCs w:val="21"/>
              </w:rPr>
              <w:t>, rounded</w:t>
            </w:r>
          </w:p>
        </w:tc>
        <w:tc>
          <w:tcPr>
            <w:tcW w:w="1417" w:type="dxa"/>
          </w:tcPr>
          <w:p w14:paraId="051E89A5" w14:textId="77777777" w:rsidR="004A11B5" w:rsidRPr="00167241" w:rsidRDefault="004A11B5" w:rsidP="00582ECF">
            <w:pPr>
              <w:rPr>
                <w:szCs w:val="21"/>
              </w:rPr>
            </w:pPr>
            <w:r w:rsidRPr="00167241">
              <w:rPr>
                <w:rFonts w:ascii="Blanco" w:hAnsi="Blanco"/>
                <w:color w:val="231F20"/>
                <w:szCs w:val="21"/>
              </w:rPr>
              <w:t>NDIS 2021</w:t>
            </w:r>
          </w:p>
        </w:tc>
        <w:tc>
          <w:tcPr>
            <w:tcW w:w="1417" w:type="dxa"/>
            <w:tcBorders>
              <w:right w:val="single" w:sz="4" w:space="0" w:color="006EC8" w:themeColor="accent1"/>
            </w:tcBorders>
          </w:tcPr>
          <w:p w14:paraId="7F9344D9" w14:textId="77777777" w:rsidR="004A11B5" w:rsidRPr="00167241" w:rsidRDefault="004A11B5" w:rsidP="00582ECF">
            <w:pPr>
              <w:rPr>
                <w:szCs w:val="21"/>
              </w:rPr>
            </w:pPr>
            <w:r w:rsidRPr="00167241">
              <w:rPr>
                <w:rFonts w:ascii="Blanco" w:hAnsi="Blanco"/>
                <w:color w:val="231F20"/>
                <w:szCs w:val="21"/>
              </w:rPr>
              <w:t>NDIS 2025</w:t>
            </w:r>
          </w:p>
        </w:tc>
        <w:tc>
          <w:tcPr>
            <w:tcW w:w="1454" w:type="dxa"/>
            <w:tcBorders>
              <w:left w:val="single" w:sz="4" w:space="0" w:color="006EC8" w:themeColor="accent1"/>
            </w:tcBorders>
          </w:tcPr>
          <w:p w14:paraId="4FC524BA" w14:textId="77777777" w:rsidR="004A11B5" w:rsidRPr="00167241" w:rsidRDefault="004A11B5" w:rsidP="00582ECF">
            <w:pPr>
              <w:rPr>
                <w:rFonts w:ascii="Blanco" w:hAnsi="Blanco"/>
                <w:color w:val="231F20"/>
                <w:szCs w:val="21"/>
              </w:rPr>
            </w:pPr>
            <w:r w:rsidRPr="00167241">
              <w:rPr>
                <w:rFonts w:ascii="Blanco" w:hAnsi="Blanco"/>
                <w:color w:val="231F20"/>
                <w:szCs w:val="21"/>
              </w:rPr>
              <w:t>NDIS 2021 ÷ AEDC 2018</w:t>
            </w:r>
          </w:p>
        </w:tc>
      </w:tr>
      <w:tr w:rsidR="004A11B5" w14:paraId="2202B79E" w14:textId="77777777" w:rsidTr="00167241">
        <w:trPr>
          <w:cnfStyle w:val="000000100000" w:firstRow="0" w:lastRow="0" w:firstColumn="0" w:lastColumn="0" w:oddVBand="0" w:evenVBand="0" w:oddHBand="1" w:evenHBand="0" w:firstRowFirstColumn="0" w:firstRowLastColumn="0" w:lastRowFirstColumn="0" w:lastRowLastColumn="0"/>
        </w:trPr>
        <w:tc>
          <w:tcPr>
            <w:tcW w:w="2376" w:type="dxa"/>
            <w:vAlign w:val="bottom"/>
          </w:tcPr>
          <w:p w14:paraId="10F6E193" w14:textId="77777777" w:rsidR="004A11B5" w:rsidRPr="006B7F5C" w:rsidRDefault="004A11B5" w:rsidP="00582ECF">
            <w:pPr>
              <w:pStyle w:val="Tabletext"/>
            </w:pPr>
            <w:r w:rsidRPr="006B7F5C">
              <w:t>Autism</w:t>
            </w:r>
          </w:p>
        </w:tc>
        <w:tc>
          <w:tcPr>
            <w:tcW w:w="1418" w:type="dxa"/>
            <w:vAlign w:val="bottom"/>
          </w:tcPr>
          <w:p w14:paraId="6A3879D3" w14:textId="5A1AC420" w:rsidR="004A11B5" w:rsidRPr="006B7F5C" w:rsidRDefault="004A11B5" w:rsidP="00167241">
            <w:pPr>
              <w:pStyle w:val="Tablenumbers"/>
              <w:ind w:right="162"/>
            </w:pPr>
            <w:r w:rsidRPr="006B7F5C">
              <w:t>6,5</w:t>
            </w:r>
            <w:r w:rsidR="00106F85">
              <w:t>00</w:t>
            </w:r>
          </w:p>
        </w:tc>
        <w:tc>
          <w:tcPr>
            <w:tcW w:w="1417" w:type="dxa"/>
            <w:vAlign w:val="bottom"/>
          </w:tcPr>
          <w:p w14:paraId="13A6810D" w14:textId="6365C2C3" w:rsidR="004A11B5" w:rsidRPr="006B7F5C" w:rsidRDefault="004A11B5" w:rsidP="00167241">
            <w:pPr>
              <w:pStyle w:val="Tablenumbers"/>
              <w:ind w:right="162"/>
            </w:pPr>
            <w:r w:rsidRPr="006B7F5C">
              <w:t>8,1</w:t>
            </w:r>
            <w:r w:rsidR="00106F85">
              <w:t>00</w:t>
            </w:r>
          </w:p>
        </w:tc>
        <w:tc>
          <w:tcPr>
            <w:tcW w:w="1417" w:type="dxa"/>
            <w:vAlign w:val="bottom"/>
          </w:tcPr>
          <w:p w14:paraId="75B18AB0" w14:textId="77777777" w:rsidR="004A11B5" w:rsidRPr="006B7F5C" w:rsidRDefault="004A11B5" w:rsidP="00167241">
            <w:pPr>
              <w:pStyle w:val="Tablenumbers"/>
              <w:ind w:right="162"/>
            </w:pPr>
            <w:r w:rsidRPr="006B7F5C">
              <w:t>8,497</w:t>
            </w:r>
          </w:p>
        </w:tc>
        <w:tc>
          <w:tcPr>
            <w:tcW w:w="1417" w:type="dxa"/>
            <w:tcBorders>
              <w:right w:val="single" w:sz="4" w:space="0" w:color="006EC8" w:themeColor="accent1"/>
            </w:tcBorders>
            <w:vAlign w:val="bottom"/>
          </w:tcPr>
          <w:p w14:paraId="37228044" w14:textId="77777777" w:rsidR="004A11B5" w:rsidRPr="006B7F5C" w:rsidRDefault="004A11B5" w:rsidP="00167241">
            <w:pPr>
              <w:pStyle w:val="Tablenumbers"/>
              <w:ind w:right="162"/>
            </w:pPr>
            <w:r w:rsidRPr="006B7F5C">
              <w:t>8,485</w:t>
            </w:r>
          </w:p>
        </w:tc>
        <w:tc>
          <w:tcPr>
            <w:tcW w:w="1454" w:type="dxa"/>
            <w:tcBorders>
              <w:left w:val="single" w:sz="4" w:space="0" w:color="006EC8" w:themeColor="accent1"/>
            </w:tcBorders>
            <w:vAlign w:val="bottom"/>
          </w:tcPr>
          <w:p w14:paraId="419F9422" w14:textId="16068FD4" w:rsidR="004A11B5" w:rsidRPr="006B7F5C" w:rsidRDefault="004A11B5" w:rsidP="00167241">
            <w:pPr>
              <w:pStyle w:val="Tablenumbers"/>
              <w:ind w:right="162"/>
            </w:pPr>
            <w:r w:rsidRPr="006B7F5C">
              <w:t>10</w:t>
            </w:r>
            <w:r w:rsidR="00106F85">
              <w:t>5</w:t>
            </w:r>
            <w:r w:rsidRPr="006B7F5C">
              <w:t>%</w:t>
            </w:r>
          </w:p>
        </w:tc>
      </w:tr>
      <w:tr w:rsidR="004A11B5" w14:paraId="7E0EF3E8" w14:textId="77777777" w:rsidTr="00167241">
        <w:tc>
          <w:tcPr>
            <w:tcW w:w="2376" w:type="dxa"/>
            <w:vAlign w:val="bottom"/>
          </w:tcPr>
          <w:p w14:paraId="5D4AE504" w14:textId="77777777" w:rsidR="004A11B5" w:rsidRPr="006B7F5C" w:rsidRDefault="004A11B5" w:rsidP="00582ECF">
            <w:pPr>
              <w:pStyle w:val="Tabletext"/>
            </w:pPr>
            <w:r w:rsidRPr="006B7F5C">
              <w:t>Delay</w:t>
            </w:r>
            <w:r w:rsidRPr="00091288">
              <w:rPr>
                <w:rFonts w:ascii="Blanco" w:hAnsi="Blanco"/>
                <w:color w:val="231F20"/>
                <w:szCs w:val="21"/>
                <w:vertAlign w:val="superscript"/>
              </w:rPr>
              <w:t>(b)</w:t>
            </w:r>
          </w:p>
        </w:tc>
        <w:tc>
          <w:tcPr>
            <w:tcW w:w="1418" w:type="dxa"/>
            <w:vAlign w:val="bottom"/>
          </w:tcPr>
          <w:p w14:paraId="1D40A246" w14:textId="36794810" w:rsidR="004A11B5" w:rsidRPr="006B7F5C" w:rsidRDefault="00106F85" w:rsidP="00167241">
            <w:pPr>
              <w:pStyle w:val="Tablenumbers"/>
              <w:ind w:right="162"/>
            </w:pPr>
            <w:r>
              <w:t>8,000</w:t>
            </w:r>
          </w:p>
        </w:tc>
        <w:tc>
          <w:tcPr>
            <w:tcW w:w="1417" w:type="dxa"/>
            <w:vAlign w:val="bottom"/>
          </w:tcPr>
          <w:p w14:paraId="539E0669" w14:textId="6AD50473" w:rsidR="004A11B5" w:rsidRPr="006B7F5C" w:rsidRDefault="004A11B5" w:rsidP="00167241">
            <w:pPr>
              <w:pStyle w:val="Tablenumbers"/>
              <w:ind w:right="162"/>
            </w:pPr>
            <w:r w:rsidRPr="006B7F5C">
              <w:t>7,</w:t>
            </w:r>
            <w:r w:rsidR="00106F85">
              <w:t>600</w:t>
            </w:r>
          </w:p>
        </w:tc>
        <w:tc>
          <w:tcPr>
            <w:tcW w:w="1417" w:type="dxa"/>
            <w:vAlign w:val="bottom"/>
          </w:tcPr>
          <w:p w14:paraId="7068BFB6" w14:textId="77777777" w:rsidR="004A11B5" w:rsidRPr="006B7F5C" w:rsidRDefault="004A11B5" w:rsidP="00167241">
            <w:pPr>
              <w:pStyle w:val="Tablenumbers"/>
              <w:ind w:right="162"/>
            </w:pPr>
            <w:r w:rsidRPr="006B7F5C">
              <w:t>9,188</w:t>
            </w:r>
          </w:p>
        </w:tc>
        <w:tc>
          <w:tcPr>
            <w:tcW w:w="1417" w:type="dxa"/>
            <w:tcBorders>
              <w:right w:val="single" w:sz="4" w:space="0" w:color="006EC8" w:themeColor="accent1"/>
            </w:tcBorders>
            <w:vAlign w:val="bottom"/>
          </w:tcPr>
          <w:p w14:paraId="7D8F9396" w14:textId="77777777" w:rsidR="004A11B5" w:rsidRPr="006B7F5C" w:rsidRDefault="004A11B5" w:rsidP="00167241">
            <w:pPr>
              <w:pStyle w:val="Tablenumbers"/>
              <w:ind w:right="162"/>
            </w:pPr>
            <w:r w:rsidRPr="006B7F5C">
              <w:t>14,546</w:t>
            </w:r>
          </w:p>
        </w:tc>
        <w:tc>
          <w:tcPr>
            <w:tcW w:w="1454" w:type="dxa"/>
            <w:tcBorders>
              <w:left w:val="single" w:sz="4" w:space="0" w:color="006EC8" w:themeColor="accent1"/>
            </w:tcBorders>
            <w:vAlign w:val="bottom"/>
          </w:tcPr>
          <w:p w14:paraId="081DE60B" w14:textId="77777777" w:rsidR="004A11B5" w:rsidRPr="006B7F5C" w:rsidRDefault="004A11B5" w:rsidP="00167241">
            <w:pPr>
              <w:pStyle w:val="Tablenumbers"/>
              <w:ind w:right="162"/>
            </w:pPr>
            <w:r w:rsidRPr="006B7F5C">
              <w:t>121%</w:t>
            </w:r>
          </w:p>
        </w:tc>
      </w:tr>
      <w:tr w:rsidR="004A11B5" w14:paraId="1441A292" w14:textId="77777777" w:rsidTr="00167241">
        <w:trPr>
          <w:cnfStyle w:val="000000100000" w:firstRow="0" w:lastRow="0" w:firstColumn="0" w:lastColumn="0" w:oddVBand="0" w:evenVBand="0" w:oddHBand="1" w:evenHBand="0" w:firstRowFirstColumn="0" w:firstRowLastColumn="0" w:lastRowFirstColumn="0" w:lastRowLastColumn="0"/>
        </w:trPr>
        <w:tc>
          <w:tcPr>
            <w:tcW w:w="2376" w:type="dxa"/>
            <w:vAlign w:val="bottom"/>
          </w:tcPr>
          <w:p w14:paraId="1EB0092A" w14:textId="77777777" w:rsidR="004A11B5" w:rsidRPr="006B7F5C" w:rsidRDefault="004A11B5" w:rsidP="00582ECF">
            <w:pPr>
              <w:pStyle w:val="Tabletext"/>
            </w:pPr>
            <w:r w:rsidRPr="006B7F5C">
              <w:t>Cerebral Palsy</w:t>
            </w:r>
          </w:p>
        </w:tc>
        <w:tc>
          <w:tcPr>
            <w:tcW w:w="1418" w:type="dxa"/>
            <w:vAlign w:val="bottom"/>
          </w:tcPr>
          <w:p w14:paraId="625C49BA" w14:textId="1A5BA0E9" w:rsidR="004A11B5" w:rsidRPr="006B7F5C" w:rsidRDefault="004A11B5" w:rsidP="00167241">
            <w:pPr>
              <w:pStyle w:val="Tablenumbers"/>
              <w:ind w:right="162"/>
            </w:pPr>
            <w:r w:rsidRPr="006B7F5C">
              <w:t>5</w:t>
            </w:r>
            <w:r w:rsidR="00106F85">
              <w:t>50</w:t>
            </w:r>
          </w:p>
        </w:tc>
        <w:tc>
          <w:tcPr>
            <w:tcW w:w="1417" w:type="dxa"/>
            <w:vAlign w:val="bottom"/>
          </w:tcPr>
          <w:p w14:paraId="09854AA0" w14:textId="640EDC49" w:rsidR="004A11B5" w:rsidRPr="006B7F5C" w:rsidRDefault="004A11B5" w:rsidP="00167241">
            <w:pPr>
              <w:pStyle w:val="Tablenumbers"/>
              <w:ind w:right="162"/>
            </w:pPr>
            <w:r w:rsidRPr="006B7F5C">
              <w:t>5</w:t>
            </w:r>
            <w:r w:rsidR="00106F85">
              <w:t>00</w:t>
            </w:r>
          </w:p>
        </w:tc>
        <w:tc>
          <w:tcPr>
            <w:tcW w:w="1417" w:type="dxa"/>
            <w:vAlign w:val="bottom"/>
          </w:tcPr>
          <w:p w14:paraId="598C9EBC" w14:textId="77777777" w:rsidR="004A11B5" w:rsidRPr="006B7F5C" w:rsidRDefault="004A11B5" w:rsidP="00167241">
            <w:pPr>
              <w:pStyle w:val="Tablenumbers"/>
              <w:ind w:right="162"/>
            </w:pPr>
            <w:r w:rsidRPr="006B7F5C">
              <w:t>438</w:t>
            </w:r>
          </w:p>
        </w:tc>
        <w:tc>
          <w:tcPr>
            <w:tcW w:w="1417" w:type="dxa"/>
            <w:tcBorders>
              <w:right w:val="single" w:sz="4" w:space="0" w:color="006EC8" w:themeColor="accent1"/>
            </w:tcBorders>
            <w:vAlign w:val="bottom"/>
          </w:tcPr>
          <w:p w14:paraId="02B27E7F" w14:textId="77777777" w:rsidR="004A11B5" w:rsidRPr="006B7F5C" w:rsidRDefault="004A11B5" w:rsidP="00167241">
            <w:pPr>
              <w:pStyle w:val="Tablenumbers"/>
              <w:ind w:right="162"/>
            </w:pPr>
            <w:r w:rsidRPr="006B7F5C">
              <w:t>458</w:t>
            </w:r>
          </w:p>
        </w:tc>
        <w:tc>
          <w:tcPr>
            <w:tcW w:w="1454" w:type="dxa"/>
            <w:tcBorders>
              <w:left w:val="single" w:sz="4" w:space="0" w:color="006EC8" w:themeColor="accent1"/>
            </w:tcBorders>
            <w:vAlign w:val="bottom"/>
          </w:tcPr>
          <w:p w14:paraId="14AB8CB4" w14:textId="2610E03A" w:rsidR="004A11B5" w:rsidRPr="006B7F5C" w:rsidRDefault="004A11B5" w:rsidP="00167241">
            <w:pPr>
              <w:pStyle w:val="Tablenumbers"/>
              <w:ind w:right="162"/>
            </w:pPr>
            <w:r w:rsidRPr="006B7F5C">
              <w:t>8</w:t>
            </w:r>
            <w:r w:rsidR="00106F85">
              <w:t>8</w:t>
            </w:r>
            <w:r w:rsidRPr="006B7F5C">
              <w:t>%</w:t>
            </w:r>
          </w:p>
        </w:tc>
      </w:tr>
      <w:tr w:rsidR="004A11B5" w14:paraId="657009A8" w14:textId="77777777" w:rsidTr="00167241">
        <w:tc>
          <w:tcPr>
            <w:tcW w:w="2376" w:type="dxa"/>
            <w:vAlign w:val="bottom"/>
          </w:tcPr>
          <w:p w14:paraId="350688F7" w14:textId="77777777" w:rsidR="004A11B5" w:rsidRPr="006B7F5C" w:rsidRDefault="004A11B5" w:rsidP="00582ECF">
            <w:pPr>
              <w:pStyle w:val="Tabletext"/>
            </w:pPr>
            <w:r w:rsidRPr="006B7F5C">
              <w:t>Vision impairment</w:t>
            </w:r>
          </w:p>
        </w:tc>
        <w:tc>
          <w:tcPr>
            <w:tcW w:w="1418" w:type="dxa"/>
            <w:vAlign w:val="bottom"/>
          </w:tcPr>
          <w:p w14:paraId="56C141F9" w14:textId="13CBC906" w:rsidR="004A11B5" w:rsidRPr="006B7F5C" w:rsidRDefault="004A11B5" w:rsidP="00167241">
            <w:pPr>
              <w:pStyle w:val="Tablenumbers"/>
              <w:ind w:right="162"/>
            </w:pPr>
            <w:r w:rsidRPr="006B7F5C">
              <w:t>2,3</w:t>
            </w:r>
            <w:r w:rsidR="00106F85">
              <w:t>00</w:t>
            </w:r>
          </w:p>
        </w:tc>
        <w:tc>
          <w:tcPr>
            <w:tcW w:w="1417" w:type="dxa"/>
            <w:vAlign w:val="bottom"/>
          </w:tcPr>
          <w:p w14:paraId="4F0CC9EB" w14:textId="7D972485" w:rsidR="004A11B5" w:rsidRPr="006B7F5C" w:rsidRDefault="004A11B5" w:rsidP="00167241">
            <w:pPr>
              <w:pStyle w:val="Tablenumbers"/>
              <w:ind w:right="162"/>
            </w:pPr>
            <w:r w:rsidRPr="006B7F5C">
              <w:t>2,</w:t>
            </w:r>
            <w:r w:rsidR="00106F85">
              <w:t>400</w:t>
            </w:r>
          </w:p>
        </w:tc>
        <w:tc>
          <w:tcPr>
            <w:tcW w:w="1417" w:type="dxa"/>
            <w:vAlign w:val="bottom"/>
          </w:tcPr>
          <w:p w14:paraId="38AB1BC1" w14:textId="77777777" w:rsidR="004A11B5" w:rsidRPr="006B7F5C" w:rsidRDefault="004A11B5" w:rsidP="00167241">
            <w:pPr>
              <w:pStyle w:val="Tablenumbers"/>
              <w:ind w:right="162"/>
            </w:pPr>
            <w:r w:rsidRPr="006B7F5C">
              <w:t>89</w:t>
            </w:r>
          </w:p>
        </w:tc>
        <w:tc>
          <w:tcPr>
            <w:tcW w:w="1417" w:type="dxa"/>
            <w:tcBorders>
              <w:right w:val="single" w:sz="4" w:space="0" w:color="006EC8" w:themeColor="accent1"/>
            </w:tcBorders>
            <w:vAlign w:val="bottom"/>
          </w:tcPr>
          <w:p w14:paraId="17549DB9" w14:textId="77777777" w:rsidR="004A11B5" w:rsidRPr="006B7F5C" w:rsidRDefault="004A11B5" w:rsidP="00167241">
            <w:pPr>
              <w:pStyle w:val="Tablenumbers"/>
              <w:ind w:right="162"/>
            </w:pPr>
            <w:r w:rsidRPr="006B7F5C">
              <w:t>86</w:t>
            </w:r>
          </w:p>
        </w:tc>
        <w:tc>
          <w:tcPr>
            <w:tcW w:w="1454" w:type="dxa"/>
            <w:tcBorders>
              <w:left w:val="single" w:sz="4" w:space="0" w:color="006EC8" w:themeColor="accent1"/>
            </w:tcBorders>
            <w:vAlign w:val="bottom"/>
          </w:tcPr>
          <w:p w14:paraId="2433772F" w14:textId="77777777" w:rsidR="004A11B5" w:rsidRPr="006B7F5C" w:rsidRDefault="004A11B5" w:rsidP="00167241">
            <w:pPr>
              <w:pStyle w:val="Tablenumbers"/>
              <w:ind w:right="162"/>
            </w:pPr>
            <w:r w:rsidRPr="006B7F5C">
              <w:t>4%</w:t>
            </w:r>
          </w:p>
        </w:tc>
      </w:tr>
      <w:tr w:rsidR="004A11B5" w14:paraId="1FCC6371" w14:textId="77777777" w:rsidTr="00167241">
        <w:trPr>
          <w:cnfStyle w:val="000000100000" w:firstRow="0" w:lastRow="0" w:firstColumn="0" w:lastColumn="0" w:oddVBand="0" w:evenVBand="0" w:oddHBand="1" w:evenHBand="0" w:firstRowFirstColumn="0" w:firstRowLastColumn="0" w:lastRowFirstColumn="0" w:lastRowLastColumn="0"/>
        </w:trPr>
        <w:tc>
          <w:tcPr>
            <w:tcW w:w="2376" w:type="dxa"/>
            <w:vAlign w:val="bottom"/>
          </w:tcPr>
          <w:p w14:paraId="162F6C18" w14:textId="77777777" w:rsidR="004A11B5" w:rsidRPr="006B7F5C" w:rsidRDefault="004A11B5" w:rsidP="00582ECF">
            <w:pPr>
              <w:pStyle w:val="Tabletext"/>
            </w:pPr>
            <w:r w:rsidRPr="006B7F5C">
              <w:t>Hearing Impairment</w:t>
            </w:r>
          </w:p>
        </w:tc>
        <w:tc>
          <w:tcPr>
            <w:tcW w:w="1418" w:type="dxa"/>
            <w:vAlign w:val="bottom"/>
          </w:tcPr>
          <w:p w14:paraId="34528413" w14:textId="106E6546" w:rsidR="004A11B5" w:rsidRPr="006B7F5C" w:rsidRDefault="004A11B5" w:rsidP="00167241">
            <w:pPr>
              <w:pStyle w:val="Tablenumbers"/>
              <w:ind w:right="162"/>
            </w:pPr>
            <w:r w:rsidRPr="006B7F5C">
              <w:t>2,</w:t>
            </w:r>
            <w:r w:rsidR="00106F85">
              <w:t>400</w:t>
            </w:r>
          </w:p>
        </w:tc>
        <w:tc>
          <w:tcPr>
            <w:tcW w:w="1417" w:type="dxa"/>
            <w:vAlign w:val="bottom"/>
          </w:tcPr>
          <w:p w14:paraId="5CA19EF3" w14:textId="1DE3DACB" w:rsidR="004A11B5" w:rsidRPr="006B7F5C" w:rsidRDefault="004A11B5" w:rsidP="00167241">
            <w:pPr>
              <w:pStyle w:val="Tablenumbers"/>
              <w:ind w:right="162"/>
            </w:pPr>
            <w:r w:rsidRPr="006B7F5C">
              <w:t>2,</w:t>
            </w:r>
            <w:r w:rsidR="00106F85">
              <w:t>100</w:t>
            </w:r>
          </w:p>
        </w:tc>
        <w:tc>
          <w:tcPr>
            <w:tcW w:w="1417" w:type="dxa"/>
            <w:vAlign w:val="bottom"/>
          </w:tcPr>
          <w:p w14:paraId="3F5BA625" w14:textId="77777777" w:rsidR="004A11B5" w:rsidRPr="006B7F5C" w:rsidRDefault="004A11B5" w:rsidP="00167241">
            <w:pPr>
              <w:pStyle w:val="Tablenumbers"/>
              <w:ind w:right="162"/>
            </w:pPr>
            <w:r w:rsidRPr="006B7F5C">
              <w:t>652</w:t>
            </w:r>
          </w:p>
        </w:tc>
        <w:tc>
          <w:tcPr>
            <w:tcW w:w="1417" w:type="dxa"/>
            <w:tcBorders>
              <w:bottom w:val="single" w:sz="4" w:space="0" w:color="006EC8" w:themeColor="accent1"/>
              <w:right w:val="single" w:sz="4" w:space="0" w:color="006EC8" w:themeColor="accent1"/>
            </w:tcBorders>
            <w:vAlign w:val="bottom"/>
          </w:tcPr>
          <w:p w14:paraId="3A01B96D" w14:textId="77777777" w:rsidR="004A11B5" w:rsidRPr="006B7F5C" w:rsidRDefault="004A11B5" w:rsidP="00167241">
            <w:pPr>
              <w:pStyle w:val="Tablenumbers"/>
              <w:ind w:right="162"/>
            </w:pPr>
            <w:r w:rsidRPr="006B7F5C">
              <w:t>806</w:t>
            </w:r>
          </w:p>
        </w:tc>
        <w:tc>
          <w:tcPr>
            <w:tcW w:w="1454" w:type="dxa"/>
            <w:tcBorders>
              <w:left w:val="single" w:sz="4" w:space="0" w:color="006EC8" w:themeColor="accent1"/>
            </w:tcBorders>
            <w:vAlign w:val="bottom"/>
          </w:tcPr>
          <w:p w14:paraId="6F335839" w14:textId="77777777" w:rsidR="004A11B5" w:rsidRPr="006B7F5C" w:rsidRDefault="004A11B5" w:rsidP="00167241">
            <w:pPr>
              <w:pStyle w:val="Tablenumbers"/>
              <w:ind w:right="162"/>
            </w:pPr>
            <w:r w:rsidRPr="006B7F5C">
              <w:t>31%</w:t>
            </w:r>
          </w:p>
        </w:tc>
      </w:tr>
    </w:tbl>
    <w:p w14:paraId="7F0FACB4" w14:textId="77777777" w:rsidR="004A11B5" w:rsidRDefault="004A11B5" w:rsidP="004A11B5">
      <w:pPr>
        <w:pStyle w:val="Tablenotesnumbers"/>
      </w:pPr>
      <w:r>
        <w:t>AEDC numbers are for children in their first year of school. NDIS numbers are for children aged 6.</w:t>
      </w:r>
    </w:p>
    <w:p w14:paraId="1761809C" w14:textId="3D1AFFF3" w:rsidR="004A11B5" w:rsidRDefault="004A11B5" w:rsidP="004A11B5">
      <w:pPr>
        <w:pStyle w:val="Tablenotesnumbers"/>
      </w:pPr>
      <w:r w:rsidRPr="00091288">
        <w:t>For the AEDC a broader delay category has been defined as either a global development delay flag, or</w:t>
      </w:r>
      <w:r w:rsidR="00BF419E">
        <w:t xml:space="preserve"> other delay</w:t>
      </w:r>
    </w:p>
    <w:p w14:paraId="2453EA08" w14:textId="77777777" w:rsidR="00AF0127" w:rsidRDefault="00AF0127">
      <w:pPr>
        <w:spacing w:before="0" w:after="160" w:line="259" w:lineRule="auto"/>
      </w:pPr>
      <w:r>
        <w:br w:type="page"/>
      </w:r>
    </w:p>
    <w:p w14:paraId="128FA708" w14:textId="7B952907" w:rsidR="004A11B5" w:rsidRDefault="004A11B5" w:rsidP="00AF0127">
      <w:pPr>
        <w:keepNext/>
      </w:pPr>
      <w:r>
        <w:t>We note that:</w:t>
      </w:r>
    </w:p>
    <w:p w14:paraId="2C07A6E3" w14:textId="0E2486A3" w:rsidR="004A11B5" w:rsidRPr="002B1CAD" w:rsidRDefault="004A11B5" w:rsidP="00AF0127">
      <w:pPr>
        <w:pStyle w:val="Bullet1"/>
        <w:keepNext/>
      </w:pPr>
      <w:r>
        <w:t xml:space="preserve">Overall numbers of children with autism and delay (recognising that there may be some inconsistencies in the definition of </w:t>
      </w:r>
      <w:r w:rsidR="00167241">
        <w:t xml:space="preserve">developmental </w:t>
      </w:r>
      <w:r>
        <w:t xml:space="preserve">delay across the two) reconcile relatively well, although </w:t>
      </w:r>
      <w:r w:rsidRPr="002B1CAD">
        <w:t xml:space="preserve">the growth in </w:t>
      </w:r>
      <w:r w:rsidR="00167241" w:rsidRPr="002B1CAD">
        <w:t xml:space="preserve">developmental </w:t>
      </w:r>
      <w:r w:rsidRPr="002B1CAD">
        <w:t xml:space="preserve">delay numbers in the NDIS forecasts from 2021 to 2025 is likely </w:t>
      </w:r>
      <w:r w:rsidR="00167241" w:rsidRPr="002B1CAD">
        <w:t xml:space="preserve">to be overestimated </w:t>
      </w:r>
      <w:r w:rsidRPr="002B1CAD">
        <w:t xml:space="preserve">(see </w:t>
      </w:r>
      <w:r w:rsidR="00167241" w:rsidRPr="002B1CAD">
        <w:t>S</w:t>
      </w:r>
      <w:r w:rsidRPr="002B1CAD">
        <w:t xml:space="preserve">ection </w:t>
      </w:r>
      <w:r w:rsidR="002B1CAD" w:rsidRPr="002B1CAD">
        <w:fldChar w:fldCharType="begin"/>
      </w:r>
      <w:r w:rsidR="002B1CAD" w:rsidRPr="002B1CAD">
        <w:instrText xml:space="preserve"> REF _Ref87534738 \r \h </w:instrText>
      </w:r>
      <w:r w:rsidR="002B1CAD">
        <w:instrText xml:space="preserve"> \* MERGEFORMAT </w:instrText>
      </w:r>
      <w:r w:rsidR="002B1CAD" w:rsidRPr="002B1CAD">
        <w:fldChar w:fldCharType="separate"/>
      </w:r>
      <w:r w:rsidR="00E6217F">
        <w:t>4.2</w:t>
      </w:r>
      <w:r w:rsidR="002B1CAD" w:rsidRPr="002B1CAD">
        <w:fldChar w:fldCharType="end"/>
      </w:r>
      <w:r w:rsidRPr="002B1CAD">
        <w:t xml:space="preserve">). </w:t>
      </w:r>
    </w:p>
    <w:p w14:paraId="3C9A2928" w14:textId="77777777" w:rsidR="004A11B5" w:rsidRDefault="004A11B5" w:rsidP="004A11B5">
      <w:pPr>
        <w:pStyle w:val="Bullet1"/>
      </w:pPr>
      <w:r w:rsidRPr="002B1CAD">
        <w:t>The AEDC reflects a significant increase in autism numbers between 2015 and 2018. This appears consistent with the continued strong growth</w:t>
      </w:r>
      <w:r>
        <w:t xml:space="preserve"> in NDIS numbers in the category and the SDAC findings.</w:t>
      </w:r>
    </w:p>
    <w:p w14:paraId="0129C372" w14:textId="77777777" w:rsidR="004A11B5" w:rsidRDefault="004A11B5" w:rsidP="004A11B5">
      <w:pPr>
        <w:pStyle w:val="Heading3"/>
      </w:pPr>
      <w:r>
        <w:t>Disability Support Pension (DSP)</w:t>
      </w:r>
    </w:p>
    <w:p w14:paraId="3A3B8CB5" w14:textId="3BBAF2AE" w:rsidR="004A11B5" w:rsidRDefault="004A11B5" w:rsidP="004A11B5">
      <w:r>
        <w:t>The DSP is the welfare benefit for people with a long-term impairment tha</w:t>
      </w:r>
      <w:r w:rsidR="00167DFD">
        <w:t>t</w:t>
      </w:r>
      <w:r>
        <w:t xml:space="preserve"> prevents a person from working. The eligibility is broader than the NDIS, but generally we’d expect a high degree of overlap between the two. Some conditions recognised for DSP will not be included in the NDIS. </w:t>
      </w:r>
      <w:r w:rsidR="00BF419E">
        <w:t>Similarly</w:t>
      </w:r>
      <w:r>
        <w:t>, participants in the NDIS may not meet DSP conditions (e.g. age requirements or the assets test).</w:t>
      </w:r>
    </w:p>
    <w:p w14:paraId="1991E09C" w14:textId="77777777" w:rsidR="004A11B5" w:rsidRPr="00CD546D" w:rsidRDefault="004A11B5" w:rsidP="004A11B5">
      <w:r>
        <w:t xml:space="preserve">The table below compares the number of people receiving DSP benefits and NDIS participants. Without a more detailed exploration of the intersection the comparison is limited; however, the headline observation is that the number of people receiving DSP is significantly larger than those aged 16-64 in the NDIS. The ratio of NDIS numbers as a fraction of 2021 DSP numbers is projected to increase from 37% to 51%; at face value, not unreasonable. </w:t>
      </w:r>
    </w:p>
    <w:p w14:paraId="0C629259" w14:textId="18C40D32" w:rsidR="004A11B5" w:rsidRPr="00AA3513" w:rsidRDefault="004A11B5" w:rsidP="004A11B5">
      <w:pPr>
        <w:pStyle w:val="Caption"/>
      </w:pPr>
      <w:r>
        <w:t xml:space="preserve">Table </w:t>
      </w:r>
      <w:r w:rsidR="007F6BE8">
        <w:fldChar w:fldCharType="begin"/>
      </w:r>
      <w:r w:rsidR="007F6BE8">
        <w:instrText xml:space="preserve"> STYLEREF 1 \s </w:instrText>
      </w:r>
      <w:r w:rsidR="007F6BE8">
        <w:fldChar w:fldCharType="separate"/>
      </w:r>
      <w:r w:rsidR="00E6217F">
        <w:rPr>
          <w:noProof/>
        </w:rPr>
        <w:t>7</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3</w:t>
      </w:r>
      <w:r w:rsidR="007F6BE8">
        <w:fldChar w:fldCharType="end"/>
      </w:r>
      <w:r>
        <w:t xml:space="preserve"> </w:t>
      </w:r>
      <w:r w:rsidR="001C13F1">
        <w:t xml:space="preserve">– </w:t>
      </w:r>
      <w:r>
        <w:t>Comparison of DSP and NDIS participant numbers at June 2021</w:t>
      </w:r>
    </w:p>
    <w:tbl>
      <w:tblPr>
        <w:tblStyle w:val="TFBlue"/>
        <w:tblW w:w="9519" w:type="dxa"/>
        <w:tblLook w:val="04A0" w:firstRow="1" w:lastRow="0" w:firstColumn="1" w:lastColumn="0" w:noHBand="0" w:noVBand="1"/>
      </w:tblPr>
      <w:tblGrid>
        <w:gridCol w:w="1701"/>
        <w:gridCol w:w="1313"/>
        <w:gridCol w:w="964"/>
        <w:gridCol w:w="964"/>
        <w:gridCol w:w="895"/>
        <w:gridCol w:w="891"/>
        <w:gridCol w:w="914"/>
        <w:gridCol w:w="923"/>
        <w:gridCol w:w="954"/>
      </w:tblGrid>
      <w:tr w:rsidR="004A11B5" w14:paraId="424AF544" w14:textId="77777777" w:rsidTr="00793029">
        <w:trPr>
          <w:cnfStyle w:val="100000000000" w:firstRow="1" w:lastRow="0" w:firstColumn="0" w:lastColumn="0" w:oddVBand="0" w:evenVBand="0" w:oddHBand="0" w:evenHBand="0" w:firstRowFirstColumn="0" w:firstRowLastColumn="0" w:lastRowFirstColumn="0" w:lastRowLastColumn="0"/>
        </w:trPr>
        <w:tc>
          <w:tcPr>
            <w:tcW w:w="1701" w:type="dxa"/>
          </w:tcPr>
          <w:p w14:paraId="3C95135C" w14:textId="77777777" w:rsidR="004A11B5" w:rsidRPr="00555120" w:rsidRDefault="004A11B5" w:rsidP="00582ECF">
            <w:pPr>
              <w:keepNext/>
              <w:rPr>
                <w:sz w:val="18"/>
                <w:szCs w:val="18"/>
              </w:rPr>
            </w:pPr>
            <w:r w:rsidRPr="00555120">
              <w:rPr>
                <w:rFonts w:ascii="Blanco" w:hAnsi="Blanco"/>
                <w:color w:val="231F20"/>
                <w:sz w:val="18"/>
                <w:szCs w:val="18"/>
              </w:rPr>
              <w:t>Group</w:t>
            </w:r>
          </w:p>
        </w:tc>
        <w:tc>
          <w:tcPr>
            <w:tcW w:w="1313" w:type="dxa"/>
          </w:tcPr>
          <w:p w14:paraId="3E147EA6" w14:textId="77777777" w:rsidR="004A11B5" w:rsidRPr="00555120" w:rsidRDefault="004A11B5" w:rsidP="00582ECF">
            <w:pPr>
              <w:keepNext/>
              <w:rPr>
                <w:sz w:val="18"/>
                <w:szCs w:val="18"/>
              </w:rPr>
            </w:pPr>
            <w:r w:rsidRPr="00555120">
              <w:rPr>
                <w:rFonts w:ascii="Blanco" w:hAnsi="Blanco"/>
                <w:color w:val="231F20"/>
                <w:sz w:val="18"/>
                <w:szCs w:val="18"/>
              </w:rPr>
              <w:t>Source</w:t>
            </w:r>
          </w:p>
        </w:tc>
        <w:tc>
          <w:tcPr>
            <w:tcW w:w="964" w:type="dxa"/>
          </w:tcPr>
          <w:p w14:paraId="334B720F" w14:textId="77777777" w:rsidR="004A11B5" w:rsidRPr="00555120" w:rsidRDefault="004A11B5" w:rsidP="00555120">
            <w:pPr>
              <w:keepNext/>
              <w:jc w:val="right"/>
              <w:rPr>
                <w:sz w:val="18"/>
                <w:szCs w:val="18"/>
              </w:rPr>
            </w:pPr>
            <w:r w:rsidRPr="00555120">
              <w:rPr>
                <w:rFonts w:ascii="Blanco" w:hAnsi="Blanco"/>
                <w:color w:val="231F20"/>
                <w:sz w:val="18"/>
                <w:szCs w:val="18"/>
              </w:rPr>
              <w:t>16-20</w:t>
            </w:r>
          </w:p>
        </w:tc>
        <w:tc>
          <w:tcPr>
            <w:tcW w:w="964" w:type="dxa"/>
          </w:tcPr>
          <w:p w14:paraId="7063756D" w14:textId="77777777" w:rsidR="004A11B5" w:rsidRPr="00555120" w:rsidRDefault="004A11B5" w:rsidP="00555120">
            <w:pPr>
              <w:keepNext/>
              <w:jc w:val="right"/>
              <w:rPr>
                <w:sz w:val="18"/>
                <w:szCs w:val="18"/>
              </w:rPr>
            </w:pPr>
            <w:r w:rsidRPr="00555120">
              <w:rPr>
                <w:rFonts w:ascii="Blanco" w:hAnsi="Blanco"/>
                <w:color w:val="231F20"/>
                <w:sz w:val="18"/>
                <w:szCs w:val="18"/>
              </w:rPr>
              <w:t>21-24</w:t>
            </w:r>
          </w:p>
        </w:tc>
        <w:tc>
          <w:tcPr>
            <w:tcW w:w="895" w:type="dxa"/>
          </w:tcPr>
          <w:p w14:paraId="329CB77B" w14:textId="77777777" w:rsidR="004A11B5" w:rsidRPr="00555120" w:rsidRDefault="004A11B5" w:rsidP="00555120">
            <w:pPr>
              <w:keepNext/>
              <w:jc w:val="right"/>
              <w:rPr>
                <w:sz w:val="18"/>
                <w:szCs w:val="18"/>
              </w:rPr>
            </w:pPr>
            <w:r w:rsidRPr="00555120">
              <w:rPr>
                <w:rFonts w:ascii="Blanco" w:hAnsi="Blanco"/>
                <w:color w:val="231F20"/>
                <w:sz w:val="18"/>
                <w:szCs w:val="18"/>
              </w:rPr>
              <w:t>25-34</w:t>
            </w:r>
          </w:p>
        </w:tc>
        <w:tc>
          <w:tcPr>
            <w:tcW w:w="891" w:type="dxa"/>
          </w:tcPr>
          <w:p w14:paraId="4137BE47" w14:textId="77777777" w:rsidR="004A11B5" w:rsidRPr="00555120" w:rsidRDefault="004A11B5" w:rsidP="00555120">
            <w:pPr>
              <w:keepNext/>
              <w:jc w:val="right"/>
              <w:rPr>
                <w:sz w:val="18"/>
                <w:szCs w:val="18"/>
              </w:rPr>
            </w:pPr>
            <w:r w:rsidRPr="00555120">
              <w:rPr>
                <w:rFonts w:ascii="Blanco" w:hAnsi="Blanco"/>
                <w:color w:val="231F20"/>
                <w:sz w:val="18"/>
                <w:szCs w:val="18"/>
              </w:rPr>
              <w:t>35-44</w:t>
            </w:r>
          </w:p>
        </w:tc>
        <w:tc>
          <w:tcPr>
            <w:tcW w:w="914" w:type="dxa"/>
          </w:tcPr>
          <w:p w14:paraId="128B8668" w14:textId="77777777" w:rsidR="004A11B5" w:rsidRPr="00555120" w:rsidRDefault="004A11B5" w:rsidP="00555120">
            <w:pPr>
              <w:keepNext/>
              <w:jc w:val="right"/>
              <w:rPr>
                <w:sz w:val="18"/>
                <w:szCs w:val="18"/>
              </w:rPr>
            </w:pPr>
            <w:r w:rsidRPr="00555120">
              <w:rPr>
                <w:rFonts w:ascii="Blanco" w:hAnsi="Blanco"/>
                <w:color w:val="231F20"/>
                <w:sz w:val="18"/>
                <w:szCs w:val="18"/>
              </w:rPr>
              <w:t>45-54</w:t>
            </w:r>
          </w:p>
        </w:tc>
        <w:tc>
          <w:tcPr>
            <w:tcW w:w="923" w:type="dxa"/>
            <w:tcBorders>
              <w:right w:val="single" w:sz="4" w:space="0" w:color="006EC8" w:themeColor="accent1"/>
            </w:tcBorders>
          </w:tcPr>
          <w:p w14:paraId="0DB00ABE" w14:textId="77777777" w:rsidR="004A11B5" w:rsidRPr="00555120" w:rsidRDefault="004A11B5" w:rsidP="00555120">
            <w:pPr>
              <w:keepNext/>
              <w:jc w:val="right"/>
              <w:rPr>
                <w:sz w:val="18"/>
                <w:szCs w:val="18"/>
              </w:rPr>
            </w:pPr>
            <w:r w:rsidRPr="00555120">
              <w:rPr>
                <w:rFonts w:ascii="Blanco" w:hAnsi="Blanco"/>
                <w:color w:val="231F20"/>
                <w:sz w:val="18"/>
                <w:szCs w:val="18"/>
              </w:rPr>
              <w:t>55-64</w:t>
            </w:r>
          </w:p>
        </w:tc>
        <w:tc>
          <w:tcPr>
            <w:tcW w:w="954" w:type="dxa"/>
            <w:tcBorders>
              <w:left w:val="single" w:sz="4" w:space="0" w:color="006EC8" w:themeColor="accent1"/>
            </w:tcBorders>
          </w:tcPr>
          <w:p w14:paraId="3598CF06" w14:textId="05C45A71" w:rsidR="004A11B5" w:rsidRPr="00555120" w:rsidRDefault="004A11B5" w:rsidP="00582ECF">
            <w:pPr>
              <w:keepNext/>
              <w:rPr>
                <w:sz w:val="18"/>
                <w:szCs w:val="18"/>
              </w:rPr>
            </w:pPr>
            <w:r w:rsidRPr="00555120">
              <w:rPr>
                <w:rFonts w:ascii="Blanco" w:hAnsi="Blanco"/>
                <w:color w:val="231F20"/>
                <w:sz w:val="18"/>
                <w:szCs w:val="18"/>
              </w:rPr>
              <w:t xml:space="preserve">Total </w:t>
            </w:r>
            <w:r w:rsidR="00555120" w:rsidRPr="00555120">
              <w:rPr>
                <w:rFonts w:ascii="Blanco" w:hAnsi="Blanco"/>
                <w:color w:val="231F20"/>
                <w:sz w:val="18"/>
                <w:szCs w:val="18"/>
              </w:rPr>
              <w:br/>
            </w:r>
            <w:r w:rsidRPr="00555120">
              <w:rPr>
                <w:rFonts w:ascii="Blanco" w:hAnsi="Blanco"/>
                <w:color w:val="231F20"/>
                <w:sz w:val="18"/>
                <w:szCs w:val="18"/>
              </w:rPr>
              <w:t>16-64</w:t>
            </w:r>
          </w:p>
        </w:tc>
      </w:tr>
      <w:tr w:rsidR="004A11B5" w14:paraId="280B2513"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vAlign w:val="bottom"/>
          </w:tcPr>
          <w:p w14:paraId="50B0149C" w14:textId="32173F0C" w:rsidR="004A11B5" w:rsidRPr="00555120" w:rsidRDefault="004A11B5" w:rsidP="00167241">
            <w:pPr>
              <w:pStyle w:val="Tabletext"/>
              <w:rPr>
                <w:b/>
                <w:bCs/>
                <w:sz w:val="18"/>
                <w:szCs w:val="18"/>
              </w:rPr>
            </w:pPr>
            <w:r w:rsidRPr="00555120">
              <w:rPr>
                <w:b/>
                <w:bCs/>
                <w:sz w:val="18"/>
                <w:szCs w:val="18"/>
              </w:rPr>
              <w:t>Psych</w:t>
            </w:r>
            <w:r w:rsidR="00555120">
              <w:rPr>
                <w:b/>
                <w:bCs/>
                <w:sz w:val="18"/>
                <w:szCs w:val="18"/>
              </w:rPr>
              <w:t>ological</w:t>
            </w:r>
            <w:r w:rsidRPr="00555120">
              <w:rPr>
                <w:b/>
                <w:bCs/>
                <w:sz w:val="18"/>
                <w:szCs w:val="18"/>
              </w:rPr>
              <w:t>/ Intellectual / Learning</w:t>
            </w:r>
          </w:p>
        </w:tc>
        <w:tc>
          <w:tcPr>
            <w:tcW w:w="1313" w:type="dxa"/>
            <w:vAlign w:val="bottom"/>
          </w:tcPr>
          <w:p w14:paraId="0E137586" w14:textId="77777777" w:rsidR="004A11B5" w:rsidRPr="00555120" w:rsidRDefault="004A11B5" w:rsidP="00167241">
            <w:pPr>
              <w:pStyle w:val="Tabletext"/>
              <w:rPr>
                <w:sz w:val="18"/>
                <w:szCs w:val="18"/>
              </w:rPr>
            </w:pPr>
            <w:r w:rsidRPr="00555120">
              <w:rPr>
                <w:sz w:val="18"/>
                <w:szCs w:val="18"/>
              </w:rPr>
              <w:t>DSP, 2021</w:t>
            </w:r>
          </w:p>
        </w:tc>
        <w:tc>
          <w:tcPr>
            <w:tcW w:w="964" w:type="dxa"/>
            <w:vAlign w:val="bottom"/>
          </w:tcPr>
          <w:p w14:paraId="1B9048C9" w14:textId="77777777" w:rsidR="004A11B5" w:rsidRPr="00555120" w:rsidRDefault="004A11B5" w:rsidP="00167241">
            <w:pPr>
              <w:pStyle w:val="Tablenumbers"/>
              <w:rPr>
                <w:sz w:val="18"/>
                <w:szCs w:val="18"/>
              </w:rPr>
            </w:pPr>
            <w:r w:rsidRPr="00555120">
              <w:rPr>
                <w:sz w:val="18"/>
                <w:szCs w:val="18"/>
              </w:rPr>
              <w:t>17,132</w:t>
            </w:r>
          </w:p>
        </w:tc>
        <w:tc>
          <w:tcPr>
            <w:tcW w:w="964" w:type="dxa"/>
            <w:vAlign w:val="bottom"/>
          </w:tcPr>
          <w:p w14:paraId="0944F5DA" w14:textId="77777777" w:rsidR="004A11B5" w:rsidRPr="00555120" w:rsidRDefault="004A11B5" w:rsidP="00167241">
            <w:pPr>
              <w:pStyle w:val="Tablenumbers"/>
              <w:rPr>
                <w:sz w:val="18"/>
                <w:szCs w:val="18"/>
              </w:rPr>
            </w:pPr>
            <w:r w:rsidRPr="00555120">
              <w:rPr>
                <w:sz w:val="18"/>
                <w:szCs w:val="18"/>
              </w:rPr>
              <w:t>22,248</w:t>
            </w:r>
          </w:p>
        </w:tc>
        <w:tc>
          <w:tcPr>
            <w:tcW w:w="895" w:type="dxa"/>
            <w:vAlign w:val="bottom"/>
          </w:tcPr>
          <w:p w14:paraId="359873D4" w14:textId="77777777" w:rsidR="004A11B5" w:rsidRPr="00555120" w:rsidRDefault="004A11B5" w:rsidP="00167241">
            <w:pPr>
              <w:pStyle w:val="Tablenumbers"/>
              <w:rPr>
                <w:sz w:val="18"/>
                <w:szCs w:val="18"/>
              </w:rPr>
            </w:pPr>
            <w:r w:rsidRPr="00555120">
              <w:rPr>
                <w:sz w:val="18"/>
                <w:szCs w:val="18"/>
              </w:rPr>
              <w:t>61,964</w:t>
            </w:r>
          </w:p>
        </w:tc>
        <w:tc>
          <w:tcPr>
            <w:tcW w:w="891" w:type="dxa"/>
            <w:vAlign w:val="bottom"/>
          </w:tcPr>
          <w:p w14:paraId="34A0585E" w14:textId="77777777" w:rsidR="004A11B5" w:rsidRPr="00555120" w:rsidRDefault="004A11B5" w:rsidP="00167241">
            <w:pPr>
              <w:pStyle w:val="Tablenumbers"/>
              <w:rPr>
                <w:sz w:val="18"/>
                <w:szCs w:val="18"/>
              </w:rPr>
            </w:pPr>
            <w:r w:rsidRPr="00555120">
              <w:rPr>
                <w:sz w:val="18"/>
                <w:szCs w:val="18"/>
              </w:rPr>
              <w:t>68,832</w:t>
            </w:r>
          </w:p>
        </w:tc>
        <w:tc>
          <w:tcPr>
            <w:tcW w:w="914" w:type="dxa"/>
            <w:vAlign w:val="bottom"/>
          </w:tcPr>
          <w:p w14:paraId="066AEB83" w14:textId="77777777" w:rsidR="004A11B5" w:rsidRPr="00555120" w:rsidRDefault="004A11B5" w:rsidP="00167241">
            <w:pPr>
              <w:pStyle w:val="Tablenumbers"/>
              <w:rPr>
                <w:sz w:val="18"/>
                <w:szCs w:val="18"/>
              </w:rPr>
            </w:pPr>
            <w:r w:rsidRPr="00555120">
              <w:rPr>
                <w:sz w:val="18"/>
                <w:szCs w:val="18"/>
              </w:rPr>
              <w:t>90,185</w:t>
            </w:r>
          </w:p>
        </w:tc>
        <w:tc>
          <w:tcPr>
            <w:tcW w:w="923" w:type="dxa"/>
            <w:tcBorders>
              <w:right w:val="single" w:sz="4" w:space="0" w:color="006EC8" w:themeColor="accent1"/>
            </w:tcBorders>
            <w:vAlign w:val="bottom"/>
          </w:tcPr>
          <w:p w14:paraId="4ED9C081" w14:textId="77777777" w:rsidR="004A11B5" w:rsidRPr="00555120" w:rsidRDefault="004A11B5" w:rsidP="00167241">
            <w:pPr>
              <w:pStyle w:val="Tablenumbers"/>
              <w:rPr>
                <w:sz w:val="18"/>
                <w:szCs w:val="18"/>
              </w:rPr>
            </w:pPr>
            <w:r w:rsidRPr="00555120">
              <w:rPr>
                <w:sz w:val="18"/>
                <w:szCs w:val="18"/>
              </w:rPr>
              <w:t>97,318</w:t>
            </w:r>
          </w:p>
        </w:tc>
        <w:tc>
          <w:tcPr>
            <w:tcW w:w="954" w:type="dxa"/>
            <w:tcBorders>
              <w:left w:val="single" w:sz="4" w:space="0" w:color="006EC8" w:themeColor="accent1"/>
            </w:tcBorders>
            <w:vAlign w:val="bottom"/>
          </w:tcPr>
          <w:p w14:paraId="12BAEC62" w14:textId="77777777" w:rsidR="004A11B5" w:rsidRPr="00555120" w:rsidRDefault="004A11B5" w:rsidP="00167241">
            <w:pPr>
              <w:pStyle w:val="Tablenumbers"/>
              <w:rPr>
                <w:sz w:val="18"/>
                <w:szCs w:val="18"/>
              </w:rPr>
            </w:pPr>
            <w:r w:rsidRPr="00555120">
              <w:rPr>
                <w:sz w:val="18"/>
                <w:szCs w:val="18"/>
              </w:rPr>
              <w:t>357,679</w:t>
            </w:r>
          </w:p>
        </w:tc>
      </w:tr>
      <w:tr w:rsidR="004A11B5" w14:paraId="5AEB26BC" w14:textId="77777777" w:rsidTr="00793029">
        <w:tc>
          <w:tcPr>
            <w:tcW w:w="1701" w:type="dxa"/>
            <w:vAlign w:val="bottom"/>
          </w:tcPr>
          <w:p w14:paraId="4E9A0997" w14:textId="77777777" w:rsidR="004A11B5" w:rsidRPr="00555120" w:rsidRDefault="004A11B5" w:rsidP="00167241">
            <w:pPr>
              <w:pStyle w:val="Tabletext"/>
              <w:rPr>
                <w:b/>
                <w:bCs/>
                <w:sz w:val="18"/>
                <w:szCs w:val="18"/>
              </w:rPr>
            </w:pPr>
          </w:p>
        </w:tc>
        <w:tc>
          <w:tcPr>
            <w:tcW w:w="1313" w:type="dxa"/>
            <w:vAlign w:val="bottom"/>
          </w:tcPr>
          <w:p w14:paraId="066ECED5" w14:textId="77777777" w:rsidR="004A11B5" w:rsidRPr="00555120" w:rsidRDefault="004A11B5" w:rsidP="00167241">
            <w:pPr>
              <w:pStyle w:val="Tabletext"/>
              <w:rPr>
                <w:sz w:val="18"/>
                <w:szCs w:val="18"/>
              </w:rPr>
            </w:pPr>
            <w:r w:rsidRPr="00555120">
              <w:rPr>
                <w:sz w:val="18"/>
                <w:szCs w:val="18"/>
              </w:rPr>
              <w:t>NDIS 2021</w:t>
            </w:r>
          </w:p>
        </w:tc>
        <w:tc>
          <w:tcPr>
            <w:tcW w:w="964" w:type="dxa"/>
            <w:vAlign w:val="bottom"/>
          </w:tcPr>
          <w:p w14:paraId="64018736" w14:textId="77777777" w:rsidR="004A11B5" w:rsidRPr="00555120" w:rsidRDefault="004A11B5" w:rsidP="00167241">
            <w:pPr>
              <w:pStyle w:val="Tablenumbers"/>
              <w:rPr>
                <w:sz w:val="18"/>
                <w:szCs w:val="18"/>
              </w:rPr>
            </w:pPr>
            <w:r w:rsidRPr="00555120">
              <w:rPr>
                <w:sz w:val="18"/>
                <w:szCs w:val="18"/>
              </w:rPr>
              <w:t>34,197</w:t>
            </w:r>
          </w:p>
        </w:tc>
        <w:tc>
          <w:tcPr>
            <w:tcW w:w="964" w:type="dxa"/>
            <w:vAlign w:val="bottom"/>
          </w:tcPr>
          <w:p w14:paraId="29AD078C" w14:textId="77777777" w:rsidR="004A11B5" w:rsidRPr="00555120" w:rsidRDefault="004A11B5" w:rsidP="00167241">
            <w:pPr>
              <w:pStyle w:val="Tablenumbers"/>
              <w:rPr>
                <w:sz w:val="18"/>
                <w:szCs w:val="18"/>
              </w:rPr>
            </w:pPr>
            <w:r w:rsidRPr="00555120">
              <w:rPr>
                <w:sz w:val="18"/>
                <w:szCs w:val="18"/>
              </w:rPr>
              <w:t>20,118</w:t>
            </w:r>
          </w:p>
        </w:tc>
        <w:tc>
          <w:tcPr>
            <w:tcW w:w="895" w:type="dxa"/>
            <w:vAlign w:val="bottom"/>
          </w:tcPr>
          <w:p w14:paraId="6E075308" w14:textId="77777777" w:rsidR="004A11B5" w:rsidRPr="00555120" w:rsidRDefault="004A11B5" w:rsidP="00167241">
            <w:pPr>
              <w:pStyle w:val="Tablenumbers"/>
              <w:rPr>
                <w:sz w:val="18"/>
                <w:szCs w:val="18"/>
              </w:rPr>
            </w:pPr>
            <w:r w:rsidRPr="00555120">
              <w:rPr>
                <w:sz w:val="18"/>
                <w:szCs w:val="18"/>
              </w:rPr>
              <w:t>32,377</w:t>
            </w:r>
          </w:p>
        </w:tc>
        <w:tc>
          <w:tcPr>
            <w:tcW w:w="891" w:type="dxa"/>
            <w:vAlign w:val="bottom"/>
          </w:tcPr>
          <w:p w14:paraId="2A095D8F" w14:textId="77777777" w:rsidR="004A11B5" w:rsidRPr="00555120" w:rsidRDefault="004A11B5" w:rsidP="00167241">
            <w:pPr>
              <w:pStyle w:val="Tablenumbers"/>
              <w:rPr>
                <w:sz w:val="18"/>
                <w:szCs w:val="18"/>
              </w:rPr>
            </w:pPr>
            <w:r w:rsidRPr="00555120">
              <w:rPr>
                <w:sz w:val="18"/>
                <w:szCs w:val="18"/>
              </w:rPr>
              <w:t>27,142</w:t>
            </w:r>
          </w:p>
        </w:tc>
        <w:tc>
          <w:tcPr>
            <w:tcW w:w="914" w:type="dxa"/>
            <w:vAlign w:val="bottom"/>
          </w:tcPr>
          <w:p w14:paraId="4456EFF8" w14:textId="77777777" w:rsidR="004A11B5" w:rsidRPr="00555120" w:rsidRDefault="004A11B5" w:rsidP="00167241">
            <w:pPr>
              <w:pStyle w:val="Tablenumbers"/>
              <w:rPr>
                <w:sz w:val="18"/>
                <w:szCs w:val="18"/>
              </w:rPr>
            </w:pPr>
            <w:r w:rsidRPr="00555120">
              <w:rPr>
                <w:sz w:val="18"/>
                <w:szCs w:val="18"/>
              </w:rPr>
              <w:t>29,087</w:t>
            </w:r>
          </w:p>
        </w:tc>
        <w:tc>
          <w:tcPr>
            <w:tcW w:w="923" w:type="dxa"/>
            <w:tcBorders>
              <w:right w:val="single" w:sz="4" w:space="0" w:color="006EC8" w:themeColor="accent1"/>
            </w:tcBorders>
            <w:vAlign w:val="bottom"/>
          </w:tcPr>
          <w:p w14:paraId="5640DFB3" w14:textId="77777777" w:rsidR="004A11B5" w:rsidRPr="00555120" w:rsidRDefault="004A11B5" w:rsidP="00167241">
            <w:pPr>
              <w:pStyle w:val="Tablenumbers"/>
              <w:rPr>
                <w:sz w:val="18"/>
                <w:szCs w:val="18"/>
              </w:rPr>
            </w:pPr>
            <w:r w:rsidRPr="00555120">
              <w:rPr>
                <w:sz w:val="18"/>
                <w:szCs w:val="18"/>
              </w:rPr>
              <w:t>26,257</w:t>
            </w:r>
          </w:p>
        </w:tc>
        <w:tc>
          <w:tcPr>
            <w:tcW w:w="954" w:type="dxa"/>
            <w:tcBorders>
              <w:left w:val="single" w:sz="4" w:space="0" w:color="006EC8" w:themeColor="accent1"/>
            </w:tcBorders>
            <w:vAlign w:val="bottom"/>
          </w:tcPr>
          <w:p w14:paraId="11D2B15E" w14:textId="77777777" w:rsidR="004A11B5" w:rsidRPr="00555120" w:rsidRDefault="004A11B5" w:rsidP="00167241">
            <w:pPr>
              <w:pStyle w:val="Tablenumbers"/>
              <w:rPr>
                <w:sz w:val="18"/>
                <w:szCs w:val="18"/>
              </w:rPr>
            </w:pPr>
            <w:r w:rsidRPr="00555120">
              <w:rPr>
                <w:sz w:val="18"/>
                <w:szCs w:val="18"/>
              </w:rPr>
              <w:t>169,178</w:t>
            </w:r>
          </w:p>
        </w:tc>
      </w:tr>
      <w:tr w:rsidR="004A11B5" w14:paraId="08A932C9"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vAlign w:val="bottom"/>
          </w:tcPr>
          <w:p w14:paraId="0A39CDFF" w14:textId="77777777" w:rsidR="004A11B5" w:rsidRPr="00555120" w:rsidRDefault="004A11B5" w:rsidP="00167241">
            <w:pPr>
              <w:pStyle w:val="Tabletext"/>
              <w:rPr>
                <w:b/>
                <w:bCs/>
                <w:sz w:val="18"/>
                <w:szCs w:val="18"/>
              </w:rPr>
            </w:pPr>
          </w:p>
        </w:tc>
        <w:tc>
          <w:tcPr>
            <w:tcW w:w="1313" w:type="dxa"/>
            <w:vAlign w:val="bottom"/>
          </w:tcPr>
          <w:p w14:paraId="66A05EFD" w14:textId="77777777" w:rsidR="004A11B5" w:rsidRPr="00555120" w:rsidRDefault="004A11B5" w:rsidP="00167241">
            <w:pPr>
              <w:pStyle w:val="Tabletext"/>
              <w:rPr>
                <w:sz w:val="18"/>
                <w:szCs w:val="18"/>
              </w:rPr>
            </w:pPr>
            <w:r w:rsidRPr="00555120">
              <w:rPr>
                <w:sz w:val="18"/>
                <w:szCs w:val="18"/>
              </w:rPr>
              <w:t>NDIS 2025</w:t>
            </w:r>
          </w:p>
        </w:tc>
        <w:tc>
          <w:tcPr>
            <w:tcW w:w="964" w:type="dxa"/>
            <w:vAlign w:val="bottom"/>
          </w:tcPr>
          <w:p w14:paraId="31690852" w14:textId="77777777" w:rsidR="004A11B5" w:rsidRPr="00555120" w:rsidRDefault="004A11B5" w:rsidP="00167241">
            <w:pPr>
              <w:pStyle w:val="Tablenumbers"/>
              <w:rPr>
                <w:sz w:val="18"/>
                <w:szCs w:val="18"/>
              </w:rPr>
            </w:pPr>
            <w:r w:rsidRPr="00555120">
              <w:rPr>
                <w:sz w:val="18"/>
                <w:szCs w:val="18"/>
              </w:rPr>
              <w:t>60,042</w:t>
            </w:r>
          </w:p>
        </w:tc>
        <w:tc>
          <w:tcPr>
            <w:tcW w:w="964" w:type="dxa"/>
            <w:vAlign w:val="bottom"/>
          </w:tcPr>
          <w:p w14:paraId="257107A9" w14:textId="77777777" w:rsidR="004A11B5" w:rsidRPr="00555120" w:rsidRDefault="004A11B5" w:rsidP="00167241">
            <w:pPr>
              <w:pStyle w:val="Tablenumbers"/>
              <w:rPr>
                <w:sz w:val="18"/>
                <w:szCs w:val="18"/>
              </w:rPr>
            </w:pPr>
            <w:r w:rsidRPr="00555120">
              <w:rPr>
                <w:sz w:val="18"/>
                <w:szCs w:val="18"/>
              </w:rPr>
              <w:t>29,753</w:t>
            </w:r>
          </w:p>
        </w:tc>
        <w:tc>
          <w:tcPr>
            <w:tcW w:w="895" w:type="dxa"/>
            <w:vAlign w:val="bottom"/>
          </w:tcPr>
          <w:p w14:paraId="7C3F9803" w14:textId="77777777" w:rsidR="004A11B5" w:rsidRPr="00555120" w:rsidRDefault="004A11B5" w:rsidP="00167241">
            <w:pPr>
              <w:pStyle w:val="Tablenumbers"/>
              <w:rPr>
                <w:sz w:val="18"/>
                <w:szCs w:val="18"/>
              </w:rPr>
            </w:pPr>
            <w:r w:rsidRPr="00555120">
              <w:rPr>
                <w:sz w:val="18"/>
                <w:szCs w:val="18"/>
              </w:rPr>
              <w:t>46,640</w:t>
            </w:r>
          </w:p>
        </w:tc>
        <w:tc>
          <w:tcPr>
            <w:tcW w:w="891" w:type="dxa"/>
            <w:vAlign w:val="bottom"/>
          </w:tcPr>
          <w:p w14:paraId="2EB79F15" w14:textId="77777777" w:rsidR="004A11B5" w:rsidRPr="00555120" w:rsidRDefault="004A11B5" w:rsidP="00167241">
            <w:pPr>
              <w:pStyle w:val="Tablenumbers"/>
              <w:rPr>
                <w:sz w:val="18"/>
                <w:szCs w:val="18"/>
              </w:rPr>
            </w:pPr>
            <w:r w:rsidRPr="00555120">
              <w:rPr>
                <w:sz w:val="18"/>
                <w:szCs w:val="18"/>
              </w:rPr>
              <w:t>35,728</w:t>
            </w:r>
          </w:p>
        </w:tc>
        <w:tc>
          <w:tcPr>
            <w:tcW w:w="914" w:type="dxa"/>
            <w:vAlign w:val="bottom"/>
          </w:tcPr>
          <w:p w14:paraId="555EA2FF" w14:textId="77777777" w:rsidR="004A11B5" w:rsidRPr="00555120" w:rsidRDefault="004A11B5" w:rsidP="00167241">
            <w:pPr>
              <w:pStyle w:val="Tablenumbers"/>
              <w:rPr>
                <w:sz w:val="18"/>
                <w:szCs w:val="18"/>
              </w:rPr>
            </w:pPr>
            <w:r w:rsidRPr="00555120">
              <w:rPr>
                <w:sz w:val="18"/>
                <w:szCs w:val="18"/>
              </w:rPr>
              <w:t>35,755</w:t>
            </w:r>
          </w:p>
        </w:tc>
        <w:tc>
          <w:tcPr>
            <w:tcW w:w="923" w:type="dxa"/>
            <w:tcBorders>
              <w:right w:val="single" w:sz="4" w:space="0" w:color="006EC8" w:themeColor="accent1"/>
            </w:tcBorders>
            <w:vAlign w:val="bottom"/>
          </w:tcPr>
          <w:p w14:paraId="2A9FFD96" w14:textId="77777777" w:rsidR="004A11B5" w:rsidRPr="00555120" w:rsidRDefault="004A11B5" w:rsidP="00167241">
            <w:pPr>
              <w:pStyle w:val="Tablenumbers"/>
              <w:rPr>
                <w:sz w:val="18"/>
                <w:szCs w:val="18"/>
              </w:rPr>
            </w:pPr>
            <w:r w:rsidRPr="00555120">
              <w:rPr>
                <w:sz w:val="18"/>
                <w:szCs w:val="18"/>
              </w:rPr>
              <w:t>34,126</w:t>
            </w:r>
          </w:p>
        </w:tc>
        <w:tc>
          <w:tcPr>
            <w:tcW w:w="954" w:type="dxa"/>
            <w:tcBorders>
              <w:left w:val="single" w:sz="4" w:space="0" w:color="006EC8" w:themeColor="accent1"/>
            </w:tcBorders>
            <w:vAlign w:val="bottom"/>
          </w:tcPr>
          <w:p w14:paraId="56D01B03" w14:textId="77777777" w:rsidR="004A11B5" w:rsidRPr="00555120" w:rsidRDefault="004A11B5" w:rsidP="00167241">
            <w:pPr>
              <w:pStyle w:val="Tablenumbers"/>
              <w:rPr>
                <w:sz w:val="18"/>
                <w:szCs w:val="18"/>
              </w:rPr>
            </w:pPr>
            <w:r w:rsidRPr="00555120">
              <w:rPr>
                <w:sz w:val="18"/>
                <w:szCs w:val="18"/>
              </w:rPr>
              <w:t>242,044</w:t>
            </w:r>
          </w:p>
        </w:tc>
      </w:tr>
      <w:tr w:rsidR="004A11B5" w14:paraId="5AFFB453" w14:textId="77777777" w:rsidTr="00793029">
        <w:tc>
          <w:tcPr>
            <w:tcW w:w="1701" w:type="dxa"/>
            <w:tcBorders>
              <w:bottom w:val="single" w:sz="4" w:space="0" w:color="006EC8" w:themeColor="accent1"/>
            </w:tcBorders>
            <w:vAlign w:val="bottom"/>
          </w:tcPr>
          <w:p w14:paraId="5E0E03B0" w14:textId="77777777" w:rsidR="004A11B5" w:rsidRPr="00555120" w:rsidRDefault="004A11B5" w:rsidP="00167241">
            <w:pPr>
              <w:pStyle w:val="Tabletext"/>
              <w:rPr>
                <w:b/>
                <w:bCs/>
                <w:sz w:val="18"/>
                <w:szCs w:val="18"/>
              </w:rPr>
            </w:pPr>
          </w:p>
        </w:tc>
        <w:tc>
          <w:tcPr>
            <w:tcW w:w="1313" w:type="dxa"/>
            <w:tcBorders>
              <w:bottom w:val="single" w:sz="4" w:space="0" w:color="006EC8" w:themeColor="accent1"/>
            </w:tcBorders>
            <w:vAlign w:val="bottom"/>
          </w:tcPr>
          <w:p w14:paraId="5AB05964" w14:textId="77777777" w:rsidR="004A11B5" w:rsidRPr="00555120" w:rsidRDefault="004A11B5" w:rsidP="00167241">
            <w:pPr>
              <w:pStyle w:val="Tabletext"/>
              <w:rPr>
                <w:sz w:val="18"/>
                <w:szCs w:val="18"/>
              </w:rPr>
            </w:pPr>
            <w:r w:rsidRPr="00555120">
              <w:rPr>
                <w:sz w:val="18"/>
                <w:szCs w:val="18"/>
              </w:rPr>
              <w:t>NDIS 2021 ÷ DSP 2021</w:t>
            </w:r>
          </w:p>
        </w:tc>
        <w:tc>
          <w:tcPr>
            <w:tcW w:w="964" w:type="dxa"/>
            <w:tcBorders>
              <w:bottom w:val="single" w:sz="4" w:space="0" w:color="006EC8" w:themeColor="accent1"/>
            </w:tcBorders>
            <w:vAlign w:val="bottom"/>
          </w:tcPr>
          <w:p w14:paraId="3A624518" w14:textId="77777777" w:rsidR="004A11B5" w:rsidRPr="00555120" w:rsidRDefault="004A11B5" w:rsidP="00167241">
            <w:pPr>
              <w:pStyle w:val="Tablenumbers"/>
              <w:rPr>
                <w:sz w:val="18"/>
                <w:szCs w:val="18"/>
              </w:rPr>
            </w:pPr>
            <w:r w:rsidRPr="00555120">
              <w:rPr>
                <w:sz w:val="18"/>
                <w:szCs w:val="18"/>
              </w:rPr>
              <w:t>200%</w:t>
            </w:r>
          </w:p>
        </w:tc>
        <w:tc>
          <w:tcPr>
            <w:tcW w:w="964" w:type="dxa"/>
            <w:tcBorders>
              <w:bottom w:val="single" w:sz="4" w:space="0" w:color="006EC8" w:themeColor="accent1"/>
            </w:tcBorders>
            <w:vAlign w:val="bottom"/>
          </w:tcPr>
          <w:p w14:paraId="6701758B" w14:textId="77777777" w:rsidR="004A11B5" w:rsidRPr="00555120" w:rsidRDefault="004A11B5" w:rsidP="00167241">
            <w:pPr>
              <w:pStyle w:val="Tablenumbers"/>
              <w:rPr>
                <w:sz w:val="18"/>
                <w:szCs w:val="18"/>
              </w:rPr>
            </w:pPr>
            <w:r w:rsidRPr="00555120">
              <w:rPr>
                <w:sz w:val="18"/>
                <w:szCs w:val="18"/>
              </w:rPr>
              <w:t>90%</w:t>
            </w:r>
          </w:p>
        </w:tc>
        <w:tc>
          <w:tcPr>
            <w:tcW w:w="895" w:type="dxa"/>
            <w:tcBorders>
              <w:bottom w:val="single" w:sz="4" w:space="0" w:color="006EC8" w:themeColor="accent1"/>
            </w:tcBorders>
            <w:vAlign w:val="bottom"/>
          </w:tcPr>
          <w:p w14:paraId="3E074ECE" w14:textId="77777777" w:rsidR="004A11B5" w:rsidRPr="00555120" w:rsidRDefault="004A11B5" w:rsidP="00167241">
            <w:pPr>
              <w:pStyle w:val="Tablenumbers"/>
              <w:rPr>
                <w:sz w:val="18"/>
                <w:szCs w:val="18"/>
              </w:rPr>
            </w:pPr>
            <w:r w:rsidRPr="00555120">
              <w:rPr>
                <w:sz w:val="18"/>
                <w:szCs w:val="18"/>
              </w:rPr>
              <w:t>52%</w:t>
            </w:r>
          </w:p>
        </w:tc>
        <w:tc>
          <w:tcPr>
            <w:tcW w:w="891" w:type="dxa"/>
            <w:tcBorders>
              <w:bottom w:val="single" w:sz="4" w:space="0" w:color="006EC8" w:themeColor="accent1"/>
            </w:tcBorders>
            <w:vAlign w:val="bottom"/>
          </w:tcPr>
          <w:p w14:paraId="39671199" w14:textId="77777777" w:rsidR="004A11B5" w:rsidRPr="00555120" w:rsidRDefault="004A11B5" w:rsidP="00167241">
            <w:pPr>
              <w:pStyle w:val="Tablenumbers"/>
              <w:rPr>
                <w:sz w:val="18"/>
                <w:szCs w:val="18"/>
              </w:rPr>
            </w:pPr>
            <w:r w:rsidRPr="00555120">
              <w:rPr>
                <w:sz w:val="18"/>
                <w:szCs w:val="18"/>
              </w:rPr>
              <w:t>39%</w:t>
            </w:r>
          </w:p>
        </w:tc>
        <w:tc>
          <w:tcPr>
            <w:tcW w:w="914" w:type="dxa"/>
            <w:tcBorders>
              <w:bottom w:val="single" w:sz="4" w:space="0" w:color="006EC8" w:themeColor="accent1"/>
            </w:tcBorders>
            <w:vAlign w:val="bottom"/>
          </w:tcPr>
          <w:p w14:paraId="421AEF7A" w14:textId="77777777" w:rsidR="004A11B5" w:rsidRPr="00555120" w:rsidRDefault="004A11B5" w:rsidP="00167241">
            <w:pPr>
              <w:pStyle w:val="Tablenumbers"/>
              <w:rPr>
                <w:sz w:val="18"/>
                <w:szCs w:val="18"/>
              </w:rPr>
            </w:pPr>
            <w:r w:rsidRPr="00555120">
              <w:rPr>
                <w:sz w:val="18"/>
                <w:szCs w:val="18"/>
              </w:rPr>
              <w:t>32%</w:t>
            </w:r>
          </w:p>
        </w:tc>
        <w:tc>
          <w:tcPr>
            <w:tcW w:w="923" w:type="dxa"/>
            <w:tcBorders>
              <w:bottom w:val="single" w:sz="4" w:space="0" w:color="006EC8" w:themeColor="accent1"/>
              <w:right w:val="single" w:sz="4" w:space="0" w:color="006EC8" w:themeColor="accent1"/>
            </w:tcBorders>
            <w:vAlign w:val="bottom"/>
          </w:tcPr>
          <w:p w14:paraId="1E61ED72" w14:textId="77777777" w:rsidR="004A11B5" w:rsidRPr="00555120" w:rsidRDefault="004A11B5" w:rsidP="00167241">
            <w:pPr>
              <w:pStyle w:val="Tablenumbers"/>
              <w:rPr>
                <w:sz w:val="18"/>
                <w:szCs w:val="18"/>
              </w:rPr>
            </w:pPr>
            <w:r w:rsidRPr="00555120">
              <w:rPr>
                <w:sz w:val="18"/>
                <w:szCs w:val="18"/>
              </w:rPr>
              <w:t>27%</w:t>
            </w:r>
          </w:p>
        </w:tc>
        <w:tc>
          <w:tcPr>
            <w:tcW w:w="954" w:type="dxa"/>
            <w:tcBorders>
              <w:left w:val="single" w:sz="4" w:space="0" w:color="006EC8" w:themeColor="accent1"/>
              <w:bottom w:val="single" w:sz="4" w:space="0" w:color="006EC8" w:themeColor="accent1"/>
            </w:tcBorders>
            <w:vAlign w:val="bottom"/>
          </w:tcPr>
          <w:p w14:paraId="2DDEE4E3" w14:textId="77777777" w:rsidR="004A11B5" w:rsidRPr="00555120" w:rsidRDefault="004A11B5" w:rsidP="00167241">
            <w:pPr>
              <w:pStyle w:val="Tablenumbers"/>
              <w:rPr>
                <w:sz w:val="18"/>
                <w:szCs w:val="18"/>
              </w:rPr>
            </w:pPr>
            <w:r w:rsidRPr="00555120">
              <w:rPr>
                <w:sz w:val="18"/>
                <w:szCs w:val="18"/>
              </w:rPr>
              <w:t>47%</w:t>
            </w:r>
          </w:p>
        </w:tc>
      </w:tr>
      <w:tr w:rsidR="004A11B5" w14:paraId="287DD9FF"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tcBorders>
              <w:top w:val="single" w:sz="4" w:space="0" w:color="006EC8" w:themeColor="accent1"/>
            </w:tcBorders>
            <w:vAlign w:val="bottom"/>
          </w:tcPr>
          <w:p w14:paraId="1EB5C885" w14:textId="77777777" w:rsidR="004A11B5" w:rsidRPr="00555120" w:rsidRDefault="004A11B5" w:rsidP="00167241">
            <w:pPr>
              <w:pStyle w:val="Tabletext"/>
              <w:rPr>
                <w:b/>
                <w:bCs/>
                <w:sz w:val="18"/>
                <w:szCs w:val="18"/>
              </w:rPr>
            </w:pPr>
            <w:r w:rsidRPr="00555120">
              <w:rPr>
                <w:b/>
                <w:bCs/>
                <w:sz w:val="18"/>
                <w:szCs w:val="18"/>
              </w:rPr>
              <w:t>Physical / Nervous</w:t>
            </w:r>
          </w:p>
        </w:tc>
        <w:tc>
          <w:tcPr>
            <w:tcW w:w="1313" w:type="dxa"/>
            <w:tcBorders>
              <w:top w:val="single" w:sz="4" w:space="0" w:color="006EC8" w:themeColor="accent1"/>
            </w:tcBorders>
            <w:vAlign w:val="bottom"/>
          </w:tcPr>
          <w:p w14:paraId="3EDA4D2A" w14:textId="77777777" w:rsidR="004A11B5" w:rsidRPr="00555120" w:rsidRDefault="004A11B5" w:rsidP="00167241">
            <w:pPr>
              <w:pStyle w:val="Tabletext"/>
              <w:rPr>
                <w:sz w:val="18"/>
                <w:szCs w:val="18"/>
              </w:rPr>
            </w:pPr>
            <w:r w:rsidRPr="00555120">
              <w:rPr>
                <w:sz w:val="18"/>
                <w:szCs w:val="18"/>
              </w:rPr>
              <w:t>DSP, 2021</w:t>
            </w:r>
          </w:p>
        </w:tc>
        <w:tc>
          <w:tcPr>
            <w:tcW w:w="964" w:type="dxa"/>
            <w:tcBorders>
              <w:top w:val="single" w:sz="4" w:space="0" w:color="006EC8" w:themeColor="accent1"/>
            </w:tcBorders>
            <w:vAlign w:val="bottom"/>
          </w:tcPr>
          <w:p w14:paraId="57CF1C99" w14:textId="77777777" w:rsidR="004A11B5" w:rsidRPr="00555120" w:rsidRDefault="004A11B5" w:rsidP="00167241">
            <w:pPr>
              <w:pStyle w:val="Tablenumbers"/>
              <w:rPr>
                <w:sz w:val="18"/>
                <w:szCs w:val="18"/>
              </w:rPr>
            </w:pPr>
            <w:r w:rsidRPr="00555120">
              <w:rPr>
                <w:sz w:val="18"/>
                <w:szCs w:val="18"/>
              </w:rPr>
              <w:t>1,101</w:t>
            </w:r>
          </w:p>
        </w:tc>
        <w:tc>
          <w:tcPr>
            <w:tcW w:w="964" w:type="dxa"/>
            <w:tcBorders>
              <w:top w:val="single" w:sz="4" w:space="0" w:color="006EC8" w:themeColor="accent1"/>
            </w:tcBorders>
            <w:vAlign w:val="bottom"/>
          </w:tcPr>
          <w:p w14:paraId="3F88F957" w14:textId="77777777" w:rsidR="004A11B5" w:rsidRPr="00555120" w:rsidRDefault="004A11B5" w:rsidP="00167241">
            <w:pPr>
              <w:pStyle w:val="Tablenumbers"/>
              <w:rPr>
                <w:sz w:val="18"/>
                <w:szCs w:val="18"/>
              </w:rPr>
            </w:pPr>
            <w:r w:rsidRPr="00555120">
              <w:rPr>
                <w:sz w:val="18"/>
                <w:szCs w:val="18"/>
              </w:rPr>
              <w:t>1,682</w:t>
            </w:r>
          </w:p>
        </w:tc>
        <w:tc>
          <w:tcPr>
            <w:tcW w:w="895" w:type="dxa"/>
            <w:tcBorders>
              <w:top w:val="single" w:sz="4" w:space="0" w:color="006EC8" w:themeColor="accent1"/>
            </w:tcBorders>
            <w:vAlign w:val="bottom"/>
          </w:tcPr>
          <w:p w14:paraId="04D25DB2" w14:textId="77777777" w:rsidR="004A11B5" w:rsidRPr="00555120" w:rsidRDefault="004A11B5" w:rsidP="00167241">
            <w:pPr>
              <w:pStyle w:val="Tablenumbers"/>
              <w:rPr>
                <w:sz w:val="18"/>
                <w:szCs w:val="18"/>
              </w:rPr>
            </w:pPr>
            <w:r w:rsidRPr="00555120">
              <w:rPr>
                <w:sz w:val="18"/>
                <w:szCs w:val="18"/>
              </w:rPr>
              <w:t>6,495</w:t>
            </w:r>
          </w:p>
        </w:tc>
        <w:tc>
          <w:tcPr>
            <w:tcW w:w="891" w:type="dxa"/>
            <w:tcBorders>
              <w:top w:val="single" w:sz="4" w:space="0" w:color="006EC8" w:themeColor="accent1"/>
            </w:tcBorders>
            <w:vAlign w:val="bottom"/>
          </w:tcPr>
          <w:p w14:paraId="15611609" w14:textId="77777777" w:rsidR="004A11B5" w:rsidRPr="00555120" w:rsidRDefault="004A11B5" w:rsidP="00167241">
            <w:pPr>
              <w:pStyle w:val="Tablenumbers"/>
              <w:rPr>
                <w:sz w:val="18"/>
                <w:szCs w:val="18"/>
              </w:rPr>
            </w:pPr>
            <w:r w:rsidRPr="00555120">
              <w:rPr>
                <w:sz w:val="18"/>
                <w:szCs w:val="18"/>
              </w:rPr>
              <w:t>12,606</w:t>
            </w:r>
          </w:p>
        </w:tc>
        <w:tc>
          <w:tcPr>
            <w:tcW w:w="914" w:type="dxa"/>
            <w:tcBorders>
              <w:top w:val="single" w:sz="4" w:space="0" w:color="006EC8" w:themeColor="accent1"/>
            </w:tcBorders>
            <w:vAlign w:val="bottom"/>
          </w:tcPr>
          <w:p w14:paraId="48971CBA" w14:textId="77777777" w:rsidR="004A11B5" w:rsidRPr="00555120" w:rsidRDefault="004A11B5" w:rsidP="00167241">
            <w:pPr>
              <w:pStyle w:val="Tablenumbers"/>
              <w:rPr>
                <w:sz w:val="18"/>
                <w:szCs w:val="18"/>
              </w:rPr>
            </w:pPr>
            <w:r w:rsidRPr="00555120">
              <w:rPr>
                <w:sz w:val="18"/>
                <w:szCs w:val="18"/>
              </w:rPr>
              <w:t>36,086</w:t>
            </w:r>
          </w:p>
        </w:tc>
        <w:tc>
          <w:tcPr>
            <w:tcW w:w="923" w:type="dxa"/>
            <w:tcBorders>
              <w:top w:val="single" w:sz="4" w:space="0" w:color="006EC8" w:themeColor="accent1"/>
              <w:right w:val="single" w:sz="4" w:space="0" w:color="006EC8" w:themeColor="accent1"/>
            </w:tcBorders>
            <w:vAlign w:val="bottom"/>
          </w:tcPr>
          <w:p w14:paraId="6835F405" w14:textId="77777777" w:rsidR="004A11B5" w:rsidRPr="00555120" w:rsidRDefault="004A11B5" w:rsidP="00167241">
            <w:pPr>
              <w:pStyle w:val="Tablenumbers"/>
              <w:rPr>
                <w:sz w:val="18"/>
                <w:szCs w:val="18"/>
              </w:rPr>
            </w:pPr>
            <w:r w:rsidRPr="00555120">
              <w:rPr>
                <w:sz w:val="18"/>
                <w:szCs w:val="18"/>
              </w:rPr>
              <w:t>86,412</w:t>
            </w:r>
          </w:p>
        </w:tc>
        <w:tc>
          <w:tcPr>
            <w:tcW w:w="954" w:type="dxa"/>
            <w:tcBorders>
              <w:top w:val="single" w:sz="4" w:space="0" w:color="006EC8" w:themeColor="accent1"/>
              <w:left w:val="single" w:sz="4" w:space="0" w:color="006EC8" w:themeColor="accent1"/>
            </w:tcBorders>
            <w:vAlign w:val="bottom"/>
          </w:tcPr>
          <w:p w14:paraId="78DF4598" w14:textId="77777777" w:rsidR="004A11B5" w:rsidRPr="00555120" w:rsidRDefault="004A11B5" w:rsidP="00167241">
            <w:pPr>
              <w:pStyle w:val="Tablenumbers"/>
              <w:rPr>
                <w:sz w:val="18"/>
                <w:szCs w:val="18"/>
              </w:rPr>
            </w:pPr>
            <w:r w:rsidRPr="00555120">
              <w:rPr>
                <w:sz w:val="18"/>
                <w:szCs w:val="18"/>
              </w:rPr>
              <w:t>144,382</w:t>
            </w:r>
          </w:p>
        </w:tc>
      </w:tr>
      <w:tr w:rsidR="004A11B5" w14:paraId="5C6BA426" w14:textId="77777777" w:rsidTr="00793029">
        <w:tc>
          <w:tcPr>
            <w:tcW w:w="1701" w:type="dxa"/>
            <w:vAlign w:val="bottom"/>
          </w:tcPr>
          <w:p w14:paraId="7F20D630" w14:textId="77777777" w:rsidR="004A11B5" w:rsidRPr="00555120" w:rsidRDefault="004A11B5" w:rsidP="00167241">
            <w:pPr>
              <w:pStyle w:val="Tabletext"/>
              <w:rPr>
                <w:b/>
                <w:bCs/>
                <w:sz w:val="18"/>
                <w:szCs w:val="18"/>
              </w:rPr>
            </w:pPr>
          </w:p>
        </w:tc>
        <w:tc>
          <w:tcPr>
            <w:tcW w:w="1313" w:type="dxa"/>
            <w:vAlign w:val="bottom"/>
          </w:tcPr>
          <w:p w14:paraId="29C5E560" w14:textId="77777777" w:rsidR="004A11B5" w:rsidRPr="00555120" w:rsidRDefault="004A11B5" w:rsidP="00167241">
            <w:pPr>
              <w:pStyle w:val="Tabletext"/>
              <w:rPr>
                <w:sz w:val="18"/>
                <w:szCs w:val="18"/>
              </w:rPr>
            </w:pPr>
            <w:r w:rsidRPr="00555120">
              <w:rPr>
                <w:sz w:val="18"/>
                <w:szCs w:val="18"/>
              </w:rPr>
              <w:t>NDIS 2021</w:t>
            </w:r>
          </w:p>
        </w:tc>
        <w:tc>
          <w:tcPr>
            <w:tcW w:w="964" w:type="dxa"/>
            <w:vAlign w:val="bottom"/>
          </w:tcPr>
          <w:p w14:paraId="27FD6A1F" w14:textId="77777777" w:rsidR="004A11B5" w:rsidRPr="00555120" w:rsidRDefault="004A11B5" w:rsidP="00167241">
            <w:pPr>
              <w:pStyle w:val="Tablenumbers"/>
              <w:rPr>
                <w:sz w:val="18"/>
                <w:szCs w:val="18"/>
              </w:rPr>
            </w:pPr>
            <w:r w:rsidRPr="00555120">
              <w:rPr>
                <w:sz w:val="18"/>
                <w:szCs w:val="18"/>
              </w:rPr>
              <w:t>2,702</w:t>
            </w:r>
          </w:p>
        </w:tc>
        <w:tc>
          <w:tcPr>
            <w:tcW w:w="964" w:type="dxa"/>
            <w:vAlign w:val="bottom"/>
          </w:tcPr>
          <w:p w14:paraId="3FDCDD5C" w14:textId="77777777" w:rsidR="004A11B5" w:rsidRPr="00555120" w:rsidRDefault="004A11B5" w:rsidP="00167241">
            <w:pPr>
              <w:pStyle w:val="Tablenumbers"/>
              <w:rPr>
                <w:sz w:val="18"/>
                <w:szCs w:val="18"/>
              </w:rPr>
            </w:pPr>
            <w:r w:rsidRPr="00555120">
              <w:rPr>
                <w:sz w:val="18"/>
                <w:szCs w:val="18"/>
              </w:rPr>
              <w:t>2,003</w:t>
            </w:r>
          </w:p>
        </w:tc>
        <w:tc>
          <w:tcPr>
            <w:tcW w:w="895" w:type="dxa"/>
            <w:vAlign w:val="bottom"/>
          </w:tcPr>
          <w:p w14:paraId="1724F1CF" w14:textId="77777777" w:rsidR="004A11B5" w:rsidRPr="00555120" w:rsidRDefault="004A11B5" w:rsidP="00167241">
            <w:pPr>
              <w:pStyle w:val="Tablenumbers"/>
              <w:rPr>
                <w:sz w:val="18"/>
                <w:szCs w:val="18"/>
              </w:rPr>
            </w:pPr>
            <w:r w:rsidRPr="00555120">
              <w:rPr>
                <w:sz w:val="18"/>
                <w:szCs w:val="18"/>
              </w:rPr>
              <w:t>4,712</w:t>
            </w:r>
          </w:p>
        </w:tc>
        <w:tc>
          <w:tcPr>
            <w:tcW w:w="891" w:type="dxa"/>
            <w:vAlign w:val="bottom"/>
          </w:tcPr>
          <w:p w14:paraId="7F5D4E70" w14:textId="77777777" w:rsidR="004A11B5" w:rsidRPr="00555120" w:rsidRDefault="004A11B5" w:rsidP="00167241">
            <w:pPr>
              <w:pStyle w:val="Tablenumbers"/>
              <w:rPr>
                <w:sz w:val="18"/>
                <w:szCs w:val="18"/>
              </w:rPr>
            </w:pPr>
            <w:r w:rsidRPr="00555120">
              <w:rPr>
                <w:sz w:val="18"/>
                <w:szCs w:val="18"/>
              </w:rPr>
              <w:t>6,292</w:t>
            </w:r>
          </w:p>
        </w:tc>
        <w:tc>
          <w:tcPr>
            <w:tcW w:w="914" w:type="dxa"/>
            <w:vAlign w:val="bottom"/>
          </w:tcPr>
          <w:p w14:paraId="39972064" w14:textId="77777777" w:rsidR="004A11B5" w:rsidRPr="00555120" w:rsidRDefault="004A11B5" w:rsidP="00167241">
            <w:pPr>
              <w:pStyle w:val="Tablenumbers"/>
              <w:rPr>
                <w:sz w:val="18"/>
                <w:szCs w:val="18"/>
              </w:rPr>
            </w:pPr>
            <w:r w:rsidRPr="00555120">
              <w:rPr>
                <w:sz w:val="18"/>
                <w:szCs w:val="18"/>
              </w:rPr>
              <w:t>9,658</w:t>
            </w:r>
          </w:p>
        </w:tc>
        <w:tc>
          <w:tcPr>
            <w:tcW w:w="923" w:type="dxa"/>
            <w:tcBorders>
              <w:right w:val="single" w:sz="4" w:space="0" w:color="006EC8" w:themeColor="accent1"/>
            </w:tcBorders>
            <w:vAlign w:val="bottom"/>
          </w:tcPr>
          <w:p w14:paraId="75C25FFC" w14:textId="77777777" w:rsidR="004A11B5" w:rsidRPr="00555120" w:rsidRDefault="004A11B5" w:rsidP="00167241">
            <w:pPr>
              <w:pStyle w:val="Tablenumbers"/>
              <w:rPr>
                <w:sz w:val="18"/>
                <w:szCs w:val="18"/>
              </w:rPr>
            </w:pPr>
            <w:r w:rsidRPr="00555120">
              <w:rPr>
                <w:sz w:val="18"/>
                <w:szCs w:val="18"/>
              </w:rPr>
              <w:t>16,260</w:t>
            </w:r>
          </w:p>
        </w:tc>
        <w:tc>
          <w:tcPr>
            <w:tcW w:w="954" w:type="dxa"/>
            <w:tcBorders>
              <w:left w:val="single" w:sz="4" w:space="0" w:color="006EC8" w:themeColor="accent1"/>
            </w:tcBorders>
            <w:vAlign w:val="bottom"/>
          </w:tcPr>
          <w:p w14:paraId="3CE94793" w14:textId="77777777" w:rsidR="004A11B5" w:rsidRPr="00555120" w:rsidRDefault="004A11B5" w:rsidP="00167241">
            <w:pPr>
              <w:pStyle w:val="Tablenumbers"/>
              <w:rPr>
                <w:sz w:val="18"/>
                <w:szCs w:val="18"/>
              </w:rPr>
            </w:pPr>
            <w:r w:rsidRPr="00555120">
              <w:rPr>
                <w:sz w:val="18"/>
                <w:szCs w:val="18"/>
              </w:rPr>
              <w:t>41,627</w:t>
            </w:r>
          </w:p>
        </w:tc>
      </w:tr>
      <w:tr w:rsidR="004A11B5" w14:paraId="06723D9B"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vAlign w:val="bottom"/>
          </w:tcPr>
          <w:p w14:paraId="2885262A" w14:textId="77777777" w:rsidR="004A11B5" w:rsidRPr="00555120" w:rsidRDefault="004A11B5" w:rsidP="00167241">
            <w:pPr>
              <w:pStyle w:val="Tabletext"/>
              <w:rPr>
                <w:b/>
                <w:bCs/>
                <w:sz w:val="18"/>
                <w:szCs w:val="18"/>
              </w:rPr>
            </w:pPr>
          </w:p>
        </w:tc>
        <w:tc>
          <w:tcPr>
            <w:tcW w:w="1313" w:type="dxa"/>
            <w:vAlign w:val="bottom"/>
          </w:tcPr>
          <w:p w14:paraId="1715E35D" w14:textId="77777777" w:rsidR="004A11B5" w:rsidRPr="00555120" w:rsidRDefault="004A11B5" w:rsidP="00167241">
            <w:pPr>
              <w:pStyle w:val="Tabletext"/>
              <w:rPr>
                <w:sz w:val="18"/>
                <w:szCs w:val="18"/>
              </w:rPr>
            </w:pPr>
            <w:r w:rsidRPr="00555120">
              <w:rPr>
                <w:sz w:val="18"/>
                <w:szCs w:val="18"/>
              </w:rPr>
              <w:t>NDIS 2025</w:t>
            </w:r>
          </w:p>
        </w:tc>
        <w:tc>
          <w:tcPr>
            <w:tcW w:w="964" w:type="dxa"/>
            <w:vAlign w:val="bottom"/>
          </w:tcPr>
          <w:p w14:paraId="3DC032EA" w14:textId="77777777" w:rsidR="004A11B5" w:rsidRPr="00555120" w:rsidRDefault="004A11B5" w:rsidP="00167241">
            <w:pPr>
              <w:pStyle w:val="Tablenumbers"/>
              <w:rPr>
                <w:sz w:val="18"/>
                <w:szCs w:val="18"/>
              </w:rPr>
            </w:pPr>
            <w:r w:rsidRPr="00555120">
              <w:rPr>
                <w:sz w:val="18"/>
                <w:szCs w:val="18"/>
              </w:rPr>
              <w:t>3,622</w:t>
            </w:r>
          </w:p>
        </w:tc>
        <w:tc>
          <w:tcPr>
            <w:tcW w:w="964" w:type="dxa"/>
            <w:vAlign w:val="bottom"/>
          </w:tcPr>
          <w:p w14:paraId="116E0377" w14:textId="77777777" w:rsidR="004A11B5" w:rsidRPr="00555120" w:rsidRDefault="004A11B5" w:rsidP="00167241">
            <w:pPr>
              <w:pStyle w:val="Tablenumbers"/>
              <w:rPr>
                <w:sz w:val="18"/>
                <w:szCs w:val="18"/>
              </w:rPr>
            </w:pPr>
            <w:r w:rsidRPr="00555120">
              <w:rPr>
                <w:sz w:val="18"/>
                <w:szCs w:val="18"/>
              </w:rPr>
              <w:t>2,358</w:t>
            </w:r>
          </w:p>
        </w:tc>
        <w:tc>
          <w:tcPr>
            <w:tcW w:w="895" w:type="dxa"/>
            <w:vAlign w:val="bottom"/>
          </w:tcPr>
          <w:p w14:paraId="4487B882" w14:textId="77777777" w:rsidR="004A11B5" w:rsidRPr="00555120" w:rsidRDefault="004A11B5" w:rsidP="00167241">
            <w:pPr>
              <w:pStyle w:val="Tablenumbers"/>
              <w:rPr>
                <w:sz w:val="18"/>
                <w:szCs w:val="18"/>
              </w:rPr>
            </w:pPr>
            <w:r w:rsidRPr="00555120">
              <w:rPr>
                <w:sz w:val="18"/>
                <w:szCs w:val="18"/>
              </w:rPr>
              <w:t>5,591</w:t>
            </w:r>
          </w:p>
        </w:tc>
        <w:tc>
          <w:tcPr>
            <w:tcW w:w="891" w:type="dxa"/>
            <w:vAlign w:val="bottom"/>
          </w:tcPr>
          <w:p w14:paraId="25BE299F" w14:textId="77777777" w:rsidR="004A11B5" w:rsidRPr="00555120" w:rsidRDefault="004A11B5" w:rsidP="00167241">
            <w:pPr>
              <w:pStyle w:val="Tablenumbers"/>
              <w:rPr>
                <w:sz w:val="18"/>
                <w:szCs w:val="18"/>
              </w:rPr>
            </w:pPr>
            <w:r w:rsidRPr="00555120">
              <w:rPr>
                <w:sz w:val="18"/>
                <w:szCs w:val="18"/>
              </w:rPr>
              <w:t>7,118</w:t>
            </w:r>
          </w:p>
        </w:tc>
        <w:tc>
          <w:tcPr>
            <w:tcW w:w="914" w:type="dxa"/>
            <w:vAlign w:val="bottom"/>
          </w:tcPr>
          <w:p w14:paraId="0B4F7CCD" w14:textId="77777777" w:rsidR="004A11B5" w:rsidRPr="00555120" w:rsidRDefault="004A11B5" w:rsidP="00167241">
            <w:pPr>
              <w:pStyle w:val="Tablenumbers"/>
              <w:rPr>
                <w:sz w:val="18"/>
                <w:szCs w:val="18"/>
              </w:rPr>
            </w:pPr>
            <w:r w:rsidRPr="00555120">
              <w:rPr>
                <w:sz w:val="18"/>
                <w:szCs w:val="18"/>
              </w:rPr>
              <w:t>10,940</w:t>
            </w:r>
          </w:p>
        </w:tc>
        <w:tc>
          <w:tcPr>
            <w:tcW w:w="923" w:type="dxa"/>
            <w:tcBorders>
              <w:right w:val="single" w:sz="4" w:space="0" w:color="006EC8" w:themeColor="accent1"/>
            </w:tcBorders>
            <w:vAlign w:val="bottom"/>
          </w:tcPr>
          <w:p w14:paraId="03737541" w14:textId="77777777" w:rsidR="004A11B5" w:rsidRPr="00555120" w:rsidRDefault="004A11B5" w:rsidP="00167241">
            <w:pPr>
              <w:pStyle w:val="Tablenumbers"/>
              <w:rPr>
                <w:sz w:val="18"/>
                <w:szCs w:val="18"/>
              </w:rPr>
            </w:pPr>
            <w:r w:rsidRPr="00555120">
              <w:rPr>
                <w:sz w:val="18"/>
                <w:szCs w:val="18"/>
              </w:rPr>
              <w:t>19,557</w:t>
            </w:r>
          </w:p>
        </w:tc>
        <w:tc>
          <w:tcPr>
            <w:tcW w:w="954" w:type="dxa"/>
            <w:tcBorders>
              <w:left w:val="single" w:sz="4" w:space="0" w:color="006EC8" w:themeColor="accent1"/>
            </w:tcBorders>
            <w:vAlign w:val="bottom"/>
          </w:tcPr>
          <w:p w14:paraId="7F65FB9A" w14:textId="77777777" w:rsidR="004A11B5" w:rsidRPr="00555120" w:rsidRDefault="004A11B5" w:rsidP="00167241">
            <w:pPr>
              <w:pStyle w:val="Tablenumbers"/>
              <w:rPr>
                <w:sz w:val="18"/>
                <w:szCs w:val="18"/>
              </w:rPr>
            </w:pPr>
            <w:r w:rsidRPr="00555120">
              <w:rPr>
                <w:sz w:val="18"/>
                <w:szCs w:val="18"/>
              </w:rPr>
              <w:t>49,187</w:t>
            </w:r>
          </w:p>
        </w:tc>
      </w:tr>
      <w:tr w:rsidR="004A11B5" w14:paraId="58E5491C" w14:textId="77777777" w:rsidTr="00793029">
        <w:tc>
          <w:tcPr>
            <w:tcW w:w="1701" w:type="dxa"/>
            <w:tcBorders>
              <w:bottom w:val="single" w:sz="4" w:space="0" w:color="006EC8" w:themeColor="accent1"/>
            </w:tcBorders>
            <w:vAlign w:val="bottom"/>
          </w:tcPr>
          <w:p w14:paraId="67B2241F" w14:textId="77777777" w:rsidR="004A11B5" w:rsidRPr="00555120" w:rsidRDefault="004A11B5" w:rsidP="00167241">
            <w:pPr>
              <w:pStyle w:val="Tabletext"/>
              <w:rPr>
                <w:b/>
                <w:bCs/>
                <w:sz w:val="18"/>
                <w:szCs w:val="18"/>
              </w:rPr>
            </w:pPr>
          </w:p>
        </w:tc>
        <w:tc>
          <w:tcPr>
            <w:tcW w:w="1313" w:type="dxa"/>
            <w:tcBorders>
              <w:bottom w:val="single" w:sz="4" w:space="0" w:color="006EC8" w:themeColor="accent1"/>
            </w:tcBorders>
            <w:vAlign w:val="bottom"/>
          </w:tcPr>
          <w:p w14:paraId="382097AC" w14:textId="77777777" w:rsidR="004A11B5" w:rsidRPr="00555120" w:rsidRDefault="004A11B5" w:rsidP="00167241">
            <w:pPr>
              <w:pStyle w:val="Tabletext"/>
              <w:rPr>
                <w:sz w:val="18"/>
                <w:szCs w:val="18"/>
              </w:rPr>
            </w:pPr>
            <w:r w:rsidRPr="00555120">
              <w:rPr>
                <w:sz w:val="18"/>
                <w:szCs w:val="18"/>
              </w:rPr>
              <w:t>NDIS 2021 ÷ DSP 2021</w:t>
            </w:r>
          </w:p>
        </w:tc>
        <w:tc>
          <w:tcPr>
            <w:tcW w:w="964" w:type="dxa"/>
            <w:tcBorders>
              <w:bottom w:val="single" w:sz="4" w:space="0" w:color="006EC8" w:themeColor="accent1"/>
            </w:tcBorders>
            <w:vAlign w:val="bottom"/>
          </w:tcPr>
          <w:p w14:paraId="5567763A" w14:textId="77777777" w:rsidR="004A11B5" w:rsidRPr="00555120" w:rsidRDefault="004A11B5" w:rsidP="00167241">
            <w:pPr>
              <w:pStyle w:val="Tablenumbers"/>
              <w:rPr>
                <w:sz w:val="18"/>
                <w:szCs w:val="18"/>
              </w:rPr>
            </w:pPr>
            <w:r w:rsidRPr="00555120">
              <w:rPr>
                <w:sz w:val="18"/>
                <w:szCs w:val="18"/>
              </w:rPr>
              <w:t>245%</w:t>
            </w:r>
          </w:p>
        </w:tc>
        <w:tc>
          <w:tcPr>
            <w:tcW w:w="964" w:type="dxa"/>
            <w:tcBorders>
              <w:bottom w:val="single" w:sz="4" w:space="0" w:color="006EC8" w:themeColor="accent1"/>
            </w:tcBorders>
            <w:vAlign w:val="bottom"/>
          </w:tcPr>
          <w:p w14:paraId="7D2F799D" w14:textId="77777777" w:rsidR="004A11B5" w:rsidRPr="00555120" w:rsidRDefault="004A11B5" w:rsidP="00167241">
            <w:pPr>
              <w:pStyle w:val="Tablenumbers"/>
              <w:rPr>
                <w:sz w:val="18"/>
                <w:szCs w:val="18"/>
              </w:rPr>
            </w:pPr>
            <w:r w:rsidRPr="00555120">
              <w:rPr>
                <w:sz w:val="18"/>
                <w:szCs w:val="18"/>
              </w:rPr>
              <w:t>119%</w:t>
            </w:r>
          </w:p>
        </w:tc>
        <w:tc>
          <w:tcPr>
            <w:tcW w:w="895" w:type="dxa"/>
            <w:tcBorders>
              <w:bottom w:val="single" w:sz="4" w:space="0" w:color="006EC8" w:themeColor="accent1"/>
            </w:tcBorders>
            <w:vAlign w:val="bottom"/>
          </w:tcPr>
          <w:p w14:paraId="2159877B" w14:textId="77777777" w:rsidR="004A11B5" w:rsidRPr="00555120" w:rsidRDefault="004A11B5" w:rsidP="00167241">
            <w:pPr>
              <w:pStyle w:val="Tablenumbers"/>
              <w:rPr>
                <w:sz w:val="18"/>
                <w:szCs w:val="18"/>
              </w:rPr>
            </w:pPr>
            <w:r w:rsidRPr="00555120">
              <w:rPr>
                <w:sz w:val="18"/>
                <w:szCs w:val="18"/>
              </w:rPr>
              <w:t>73%</w:t>
            </w:r>
          </w:p>
        </w:tc>
        <w:tc>
          <w:tcPr>
            <w:tcW w:w="891" w:type="dxa"/>
            <w:tcBorders>
              <w:bottom w:val="single" w:sz="4" w:space="0" w:color="006EC8" w:themeColor="accent1"/>
            </w:tcBorders>
            <w:vAlign w:val="bottom"/>
          </w:tcPr>
          <w:p w14:paraId="02AF2E83" w14:textId="77777777" w:rsidR="004A11B5" w:rsidRPr="00555120" w:rsidRDefault="004A11B5" w:rsidP="00167241">
            <w:pPr>
              <w:pStyle w:val="Tablenumbers"/>
              <w:rPr>
                <w:sz w:val="18"/>
                <w:szCs w:val="18"/>
              </w:rPr>
            </w:pPr>
            <w:r w:rsidRPr="00555120">
              <w:rPr>
                <w:sz w:val="18"/>
                <w:szCs w:val="18"/>
              </w:rPr>
              <w:t>50%</w:t>
            </w:r>
          </w:p>
        </w:tc>
        <w:tc>
          <w:tcPr>
            <w:tcW w:w="914" w:type="dxa"/>
            <w:tcBorders>
              <w:bottom w:val="single" w:sz="4" w:space="0" w:color="006EC8" w:themeColor="accent1"/>
            </w:tcBorders>
            <w:vAlign w:val="bottom"/>
          </w:tcPr>
          <w:p w14:paraId="15980D3E" w14:textId="77777777" w:rsidR="004A11B5" w:rsidRPr="00555120" w:rsidRDefault="004A11B5" w:rsidP="00167241">
            <w:pPr>
              <w:pStyle w:val="Tablenumbers"/>
              <w:rPr>
                <w:sz w:val="18"/>
                <w:szCs w:val="18"/>
              </w:rPr>
            </w:pPr>
            <w:r w:rsidRPr="00555120">
              <w:rPr>
                <w:sz w:val="18"/>
                <w:szCs w:val="18"/>
              </w:rPr>
              <w:t>27%</w:t>
            </w:r>
          </w:p>
        </w:tc>
        <w:tc>
          <w:tcPr>
            <w:tcW w:w="923" w:type="dxa"/>
            <w:tcBorders>
              <w:bottom w:val="single" w:sz="4" w:space="0" w:color="006EC8" w:themeColor="accent1"/>
              <w:right w:val="single" w:sz="4" w:space="0" w:color="006EC8" w:themeColor="accent1"/>
            </w:tcBorders>
            <w:vAlign w:val="bottom"/>
          </w:tcPr>
          <w:p w14:paraId="0540B91A" w14:textId="77777777" w:rsidR="004A11B5" w:rsidRPr="00555120" w:rsidRDefault="004A11B5" w:rsidP="00167241">
            <w:pPr>
              <w:pStyle w:val="Tablenumbers"/>
              <w:rPr>
                <w:sz w:val="18"/>
                <w:szCs w:val="18"/>
              </w:rPr>
            </w:pPr>
            <w:r w:rsidRPr="00555120">
              <w:rPr>
                <w:sz w:val="18"/>
                <w:szCs w:val="18"/>
              </w:rPr>
              <w:t>19%</w:t>
            </w:r>
          </w:p>
        </w:tc>
        <w:tc>
          <w:tcPr>
            <w:tcW w:w="954" w:type="dxa"/>
            <w:tcBorders>
              <w:left w:val="single" w:sz="4" w:space="0" w:color="006EC8" w:themeColor="accent1"/>
              <w:bottom w:val="single" w:sz="4" w:space="0" w:color="006EC8" w:themeColor="accent1"/>
            </w:tcBorders>
            <w:vAlign w:val="bottom"/>
          </w:tcPr>
          <w:p w14:paraId="1F09E00E" w14:textId="77777777" w:rsidR="004A11B5" w:rsidRPr="00555120" w:rsidRDefault="004A11B5" w:rsidP="00167241">
            <w:pPr>
              <w:pStyle w:val="Tablenumbers"/>
              <w:rPr>
                <w:sz w:val="18"/>
                <w:szCs w:val="18"/>
              </w:rPr>
            </w:pPr>
            <w:r w:rsidRPr="00555120">
              <w:rPr>
                <w:sz w:val="18"/>
                <w:szCs w:val="18"/>
              </w:rPr>
              <w:t>29%</w:t>
            </w:r>
          </w:p>
        </w:tc>
      </w:tr>
      <w:tr w:rsidR="004A11B5" w14:paraId="640CC7C2"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tcBorders>
              <w:top w:val="single" w:sz="4" w:space="0" w:color="006EC8" w:themeColor="accent1"/>
            </w:tcBorders>
            <w:vAlign w:val="bottom"/>
          </w:tcPr>
          <w:p w14:paraId="6F3290B5" w14:textId="77777777" w:rsidR="004A11B5" w:rsidRPr="00555120" w:rsidRDefault="004A11B5" w:rsidP="00167241">
            <w:pPr>
              <w:pStyle w:val="Tabletext"/>
              <w:rPr>
                <w:b/>
                <w:bCs/>
                <w:sz w:val="18"/>
                <w:szCs w:val="18"/>
              </w:rPr>
            </w:pPr>
            <w:r w:rsidRPr="00555120">
              <w:rPr>
                <w:b/>
                <w:bCs/>
                <w:sz w:val="18"/>
                <w:szCs w:val="18"/>
              </w:rPr>
              <w:t>Other</w:t>
            </w:r>
          </w:p>
        </w:tc>
        <w:tc>
          <w:tcPr>
            <w:tcW w:w="1313" w:type="dxa"/>
            <w:tcBorders>
              <w:top w:val="single" w:sz="4" w:space="0" w:color="006EC8" w:themeColor="accent1"/>
            </w:tcBorders>
            <w:vAlign w:val="bottom"/>
          </w:tcPr>
          <w:p w14:paraId="01E67248" w14:textId="77777777" w:rsidR="004A11B5" w:rsidRPr="00555120" w:rsidRDefault="004A11B5" w:rsidP="00167241">
            <w:pPr>
              <w:pStyle w:val="Tabletext"/>
              <w:rPr>
                <w:sz w:val="18"/>
                <w:szCs w:val="18"/>
              </w:rPr>
            </w:pPr>
            <w:r w:rsidRPr="00555120">
              <w:rPr>
                <w:sz w:val="18"/>
                <w:szCs w:val="18"/>
              </w:rPr>
              <w:t>DSP, 2021</w:t>
            </w:r>
          </w:p>
        </w:tc>
        <w:tc>
          <w:tcPr>
            <w:tcW w:w="964" w:type="dxa"/>
            <w:tcBorders>
              <w:top w:val="single" w:sz="4" w:space="0" w:color="006EC8" w:themeColor="accent1"/>
            </w:tcBorders>
            <w:vAlign w:val="bottom"/>
          </w:tcPr>
          <w:p w14:paraId="00BAF7D2" w14:textId="77777777" w:rsidR="004A11B5" w:rsidRPr="00555120" w:rsidRDefault="004A11B5" w:rsidP="00167241">
            <w:pPr>
              <w:pStyle w:val="Tablenumbers"/>
              <w:rPr>
                <w:sz w:val="18"/>
                <w:szCs w:val="18"/>
              </w:rPr>
            </w:pPr>
            <w:r w:rsidRPr="00555120">
              <w:rPr>
                <w:sz w:val="18"/>
                <w:szCs w:val="18"/>
              </w:rPr>
              <w:t>2,589</w:t>
            </w:r>
          </w:p>
        </w:tc>
        <w:tc>
          <w:tcPr>
            <w:tcW w:w="964" w:type="dxa"/>
            <w:tcBorders>
              <w:top w:val="single" w:sz="4" w:space="0" w:color="006EC8" w:themeColor="accent1"/>
            </w:tcBorders>
            <w:vAlign w:val="bottom"/>
          </w:tcPr>
          <w:p w14:paraId="1FC1E798" w14:textId="77777777" w:rsidR="004A11B5" w:rsidRPr="00555120" w:rsidRDefault="004A11B5" w:rsidP="00167241">
            <w:pPr>
              <w:pStyle w:val="Tablenumbers"/>
              <w:rPr>
                <w:sz w:val="18"/>
                <w:szCs w:val="18"/>
              </w:rPr>
            </w:pPr>
            <w:r w:rsidRPr="00555120">
              <w:rPr>
                <w:sz w:val="18"/>
                <w:szCs w:val="18"/>
              </w:rPr>
              <w:t>3,489</w:t>
            </w:r>
          </w:p>
        </w:tc>
        <w:tc>
          <w:tcPr>
            <w:tcW w:w="895" w:type="dxa"/>
            <w:tcBorders>
              <w:top w:val="single" w:sz="4" w:space="0" w:color="006EC8" w:themeColor="accent1"/>
            </w:tcBorders>
            <w:vAlign w:val="bottom"/>
          </w:tcPr>
          <w:p w14:paraId="6CDE7472" w14:textId="77777777" w:rsidR="004A11B5" w:rsidRPr="00555120" w:rsidRDefault="004A11B5" w:rsidP="00167241">
            <w:pPr>
              <w:pStyle w:val="Tablenumbers"/>
              <w:rPr>
                <w:sz w:val="18"/>
                <w:szCs w:val="18"/>
              </w:rPr>
            </w:pPr>
            <w:r w:rsidRPr="00555120">
              <w:rPr>
                <w:sz w:val="18"/>
                <w:szCs w:val="18"/>
              </w:rPr>
              <w:t>11,189</w:t>
            </w:r>
          </w:p>
        </w:tc>
        <w:tc>
          <w:tcPr>
            <w:tcW w:w="891" w:type="dxa"/>
            <w:tcBorders>
              <w:top w:val="single" w:sz="4" w:space="0" w:color="006EC8" w:themeColor="accent1"/>
            </w:tcBorders>
            <w:vAlign w:val="bottom"/>
          </w:tcPr>
          <w:p w14:paraId="2D263C5A" w14:textId="77777777" w:rsidR="004A11B5" w:rsidRPr="00555120" w:rsidRDefault="004A11B5" w:rsidP="00167241">
            <w:pPr>
              <w:pStyle w:val="Tablenumbers"/>
              <w:rPr>
                <w:sz w:val="18"/>
                <w:szCs w:val="18"/>
              </w:rPr>
            </w:pPr>
            <w:r w:rsidRPr="00555120">
              <w:rPr>
                <w:sz w:val="18"/>
                <w:szCs w:val="18"/>
              </w:rPr>
              <w:t>18,145</w:t>
            </w:r>
          </w:p>
        </w:tc>
        <w:tc>
          <w:tcPr>
            <w:tcW w:w="914" w:type="dxa"/>
            <w:tcBorders>
              <w:top w:val="single" w:sz="4" w:space="0" w:color="006EC8" w:themeColor="accent1"/>
            </w:tcBorders>
            <w:vAlign w:val="bottom"/>
          </w:tcPr>
          <w:p w14:paraId="2EE61F64" w14:textId="77777777" w:rsidR="004A11B5" w:rsidRPr="00555120" w:rsidRDefault="004A11B5" w:rsidP="00167241">
            <w:pPr>
              <w:pStyle w:val="Tablenumbers"/>
              <w:rPr>
                <w:sz w:val="18"/>
                <w:szCs w:val="18"/>
              </w:rPr>
            </w:pPr>
            <w:r w:rsidRPr="00555120">
              <w:rPr>
                <w:sz w:val="18"/>
                <w:szCs w:val="18"/>
              </w:rPr>
              <w:t>39,162</w:t>
            </w:r>
          </w:p>
        </w:tc>
        <w:tc>
          <w:tcPr>
            <w:tcW w:w="923" w:type="dxa"/>
            <w:tcBorders>
              <w:top w:val="single" w:sz="4" w:space="0" w:color="006EC8" w:themeColor="accent1"/>
              <w:right w:val="single" w:sz="4" w:space="0" w:color="006EC8" w:themeColor="accent1"/>
            </w:tcBorders>
            <w:vAlign w:val="bottom"/>
          </w:tcPr>
          <w:p w14:paraId="4D4EF8DF" w14:textId="77777777" w:rsidR="004A11B5" w:rsidRPr="00555120" w:rsidRDefault="004A11B5" w:rsidP="00167241">
            <w:pPr>
              <w:pStyle w:val="Tablenumbers"/>
              <w:rPr>
                <w:sz w:val="18"/>
                <w:szCs w:val="18"/>
              </w:rPr>
            </w:pPr>
            <w:r w:rsidRPr="00555120">
              <w:rPr>
                <w:sz w:val="18"/>
                <w:szCs w:val="18"/>
              </w:rPr>
              <w:t>74,562</w:t>
            </w:r>
          </w:p>
        </w:tc>
        <w:tc>
          <w:tcPr>
            <w:tcW w:w="954" w:type="dxa"/>
            <w:tcBorders>
              <w:top w:val="single" w:sz="4" w:space="0" w:color="006EC8" w:themeColor="accent1"/>
              <w:left w:val="single" w:sz="4" w:space="0" w:color="006EC8" w:themeColor="accent1"/>
            </w:tcBorders>
            <w:vAlign w:val="bottom"/>
          </w:tcPr>
          <w:p w14:paraId="69AE7008" w14:textId="77777777" w:rsidR="004A11B5" w:rsidRPr="00555120" w:rsidRDefault="004A11B5" w:rsidP="00167241">
            <w:pPr>
              <w:pStyle w:val="Tablenumbers"/>
              <w:rPr>
                <w:sz w:val="18"/>
                <w:szCs w:val="18"/>
              </w:rPr>
            </w:pPr>
            <w:r w:rsidRPr="00555120">
              <w:rPr>
                <w:sz w:val="18"/>
                <w:szCs w:val="18"/>
              </w:rPr>
              <w:t>149,136</w:t>
            </w:r>
          </w:p>
        </w:tc>
      </w:tr>
      <w:tr w:rsidR="004A11B5" w14:paraId="19EA1E15" w14:textId="77777777" w:rsidTr="00793029">
        <w:tc>
          <w:tcPr>
            <w:tcW w:w="1701" w:type="dxa"/>
            <w:vAlign w:val="bottom"/>
          </w:tcPr>
          <w:p w14:paraId="59584A0C" w14:textId="77777777" w:rsidR="004A11B5" w:rsidRPr="00555120" w:rsidRDefault="004A11B5" w:rsidP="00167241">
            <w:pPr>
              <w:pStyle w:val="Tabletext"/>
              <w:rPr>
                <w:b/>
                <w:bCs/>
                <w:sz w:val="18"/>
                <w:szCs w:val="18"/>
              </w:rPr>
            </w:pPr>
          </w:p>
        </w:tc>
        <w:tc>
          <w:tcPr>
            <w:tcW w:w="1313" w:type="dxa"/>
            <w:vAlign w:val="bottom"/>
          </w:tcPr>
          <w:p w14:paraId="2B1D8FC5" w14:textId="77777777" w:rsidR="004A11B5" w:rsidRPr="00555120" w:rsidRDefault="004A11B5" w:rsidP="00167241">
            <w:pPr>
              <w:pStyle w:val="Tabletext"/>
              <w:rPr>
                <w:sz w:val="18"/>
                <w:szCs w:val="18"/>
              </w:rPr>
            </w:pPr>
            <w:r w:rsidRPr="00555120">
              <w:rPr>
                <w:sz w:val="18"/>
                <w:szCs w:val="18"/>
              </w:rPr>
              <w:t>NDIS 2021</w:t>
            </w:r>
          </w:p>
        </w:tc>
        <w:tc>
          <w:tcPr>
            <w:tcW w:w="964" w:type="dxa"/>
            <w:vAlign w:val="bottom"/>
          </w:tcPr>
          <w:p w14:paraId="28213124" w14:textId="77777777" w:rsidR="004A11B5" w:rsidRPr="00555120" w:rsidRDefault="004A11B5" w:rsidP="00167241">
            <w:pPr>
              <w:pStyle w:val="Tablenumbers"/>
              <w:rPr>
                <w:sz w:val="18"/>
                <w:szCs w:val="18"/>
              </w:rPr>
            </w:pPr>
            <w:r w:rsidRPr="00555120">
              <w:rPr>
                <w:sz w:val="18"/>
                <w:szCs w:val="18"/>
              </w:rPr>
              <w:t>2,669</w:t>
            </w:r>
          </w:p>
        </w:tc>
        <w:tc>
          <w:tcPr>
            <w:tcW w:w="964" w:type="dxa"/>
            <w:vAlign w:val="bottom"/>
          </w:tcPr>
          <w:p w14:paraId="1C66EAE0" w14:textId="77777777" w:rsidR="004A11B5" w:rsidRPr="00555120" w:rsidRDefault="004A11B5" w:rsidP="00167241">
            <w:pPr>
              <w:pStyle w:val="Tablenumbers"/>
              <w:rPr>
                <w:sz w:val="18"/>
                <w:szCs w:val="18"/>
              </w:rPr>
            </w:pPr>
            <w:r w:rsidRPr="00555120">
              <w:rPr>
                <w:sz w:val="18"/>
                <w:szCs w:val="18"/>
              </w:rPr>
              <w:t>1,671</w:t>
            </w:r>
          </w:p>
        </w:tc>
        <w:tc>
          <w:tcPr>
            <w:tcW w:w="895" w:type="dxa"/>
            <w:vAlign w:val="bottom"/>
          </w:tcPr>
          <w:p w14:paraId="334D6114" w14:textId="77777777" w:rsidR="004A11B5" w:rsidRPr="00555120" w:rsidRDefault="004A11B5" w:rsidP="00167241">
            <w:pPr>
              <w:pStyle w:val="Tablenumbers"/>
              <w:rPr>
                <w:sz w:val="18"/>
                <w:szCs w:val="18"/>
              </w:rPr>
            </w:pPr>
            <w:r w:rsidRPr="00555120">
              <w:rPr>
                <w:sz w:val="18"/>
                <w:szCs w:val="18"/>
              </w:rPr>
              <w:t>3,589</w:t>
            </w:r>
          </w:p>
        </w:tc>
        <w:tc>
          <w:tcPr>
            <w:tcW w:w="891" w:type="dxa"/>
            <w:vAlign w:val="bottom"/>
          </w:tcPr>
          <w:p w14:paraId="3A91FD9B" w14:textId="77777777" w:rsidR="004A11B5" w:rsidRPr="00555120" w:rsidRDefault="004A11B5" w:rsidP="00167241">
            <w:pPr>
              <w:pStyle w:val="Tablenumbers"/>
              <w:rPr>
                <w:sz w:val="18"/>
                <w:szCs w:val="18"/>
              </w:rPr>
            </w:pPr>
            <w:r w:rsidRPr="00555120">
              <w:rPr>
                <w:sz w:val="18"/>
                <w:szCs w:val="18"/>
              </w:rPr>
              <w:t>4,052</w:t>
            </w:r>
          </w:p>
        </w:tc>
        <w:tc>
          <w:tcPr>
            <w:tcW w:w="914" w:type="dxa"/>
            <w:vAlign w:val="bottom"/>
          </w:tcPr>
          <w:p w14:paraId="0DBAE5C6" w14:textId="77777777" w:rsidR="004A11B5" w:rsidRPr="00555120" w:rsidRDefault="004A11B5" w:rsidP="00167241">
            <w:pPr>
              <w:pStyle w:val="Tablenumbers"/>
              <w:rPr>
                <w:sz w:val="18"/>
                <w:szCs w:val="18"/>
              </w:rPr>
            </w:pPr>
            <w:r w:rsidRPr="00555120">
              <w:rPr>
                <w:sz w:val="18"/>
                <w:szCs w:val="18"/>
              </w:rPr>
              <w:t>6,822</w:t>
            </w:r>
          </w:p>
        </w:tc>
        <w:tc>
          <w:tcPr>
            <w:tcW w:w="923" w:type="dxa"/>
            <w:tcBorders>
              <w:right w:val="single" w:sz="4" w:space="0" w:color="006EC8" w:themeColor="accent1"/>
            </w:tcBorders>
            <w:vAlign w:val="bottom"/>
          </w:tcPr>
          <w:p w14:paraId="560D94D3" w14:textId="77777777" w:rsidR="004A11B5" w:rsidRPr="00555120" w:rsidRDefault="004A11B5" w:rsidP="00167241">
            <w:pPr>
              <w:pStyle w:val="Tablenumbers"/>
              <w:rPr>
                <w:sz w:val="18"/>
                <w:szCs w:val="18"/>
              </w:rPr>
            </w:pPr>
            <w:r w:rsidRPr="00555120">
              <w:rPr>
                <w:sz w:val="18"/>
                <w:szCs w:val="18"/>
              </w:rPr>
              <w:t>10,801</w:t>
            </w:r>
          </w:p>
        </w:tc>
        <w:tc>
          <w:tcPr>
            <w:tcW w:w="954" w:type="dxa"/>
            <w:tcBorders>
              <w:left w:val="single" w:sz="4" w:space="0" w:color="006EC8" w:themeColor="accent1"/>
            </w:tcBorders>
            <w:vAlign w:val="bottom"/>
          </w:tcPr>
          <w:p w14:paraId="62134FD2" w14:textId="77777777" w:rsidR="004A11B5" w:rsidRPr="00555120" w:rsidRDefault="004A11B5" w:rsidP="00167241">
            <w:pPr>
              <w:pStyle w:val="Tablenumbers"/>
              <w:rPr>
                <w:sz w:val="18"/>
                <w:szCs w:val="18"/>
              </w:rPr>
            </w:pPr>
            <w:r w:rsidRPr="00555120">
              <w:rPr>
                <w:sz w:val="18"/>
                <w:szCs w:val="18"/>
              </w:rPr>
              <w:t>29,604</w:t>
            </w:r>
          </w:p>
        </w:tc>
      </w:tr>
      <w:tr w:rsidR="004A11B5" w14:paraId="40E07F6B"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vAlign w:val="bottom"/>
          </w:tcPr>
          <w:p w14:paraId="4590C998" w14:textId="77777777" w:rsidR="004A11B5" w:rsidRPr="00555120" w:rsidRDefault="004A11B5" w:rsidP="00167241">
            <w:pPr>
              <w:pStyle w:val="Tabletext"/>
              <w:rPr>
                <w:b/>
                <w:bCs/>
                <w:sz w:val="18"/>
                <w:szCs w:val="18"/>
              </w:rPr>
            </w:pPr>
          </w:p>
        </w:tc>
        <w:tc>
          <w:tcPr>
            <w:tcW w:w="1313" w:type="dxa"/>
            <w:vAlign w:val="bottom"/>
          </w:tcPr>
          <w:p w14:paraId="5E92AE60" w14:textId="77777777" w:rsidR="004A11B5" w:rsidRPr="00555120" w:rsidRDefault="004A11B5" w:rsidP="00167241">
            <w:pPr>
              <w:pStyle w:val="Tabletext"/>
              <w:rPr>
                <w:sz w:val="18"/>
                <w:szCs w:val="18"/>
              </w:rPr>
            </w:pPr>
            <w:r w:rsidRPr="00555120">
              <w:rPr>
                <w:sz w:val="18"/>
                <w:szCs w:val="18"/>
              </w:rPr>
              <w:t>NDIS 2025</w:t>
            </w:r>
          </w:p>
        </w:tc>
        <w:tc>
          <w:tcPr>
            <w:tcW w:w="964" w:type="dxa"/>
            <w:vAlign w:val="bottom"/>
          </w:tcPr>
          <w:p w14:paraId="3C3870C4" w14:textId="77777777" w:rsidR="004A11B5" w:rsidRPr="00555120" w:rsidRDefault="004A11B5" w:rsidP="00167241">
            <w:pPr>
              <w:pStyle w:val="Tablenumbers"/>
              <w:rPr>
                <w:sz w:val="18"/>
                <w:szCs w:val="18"/>
              </w:rPr>
            </w:pPr>
            <w:r w:rsidRPr="00555120">
              <w:rPr>
                <w:sz w:val="18"/>
                <w:szCs w:val="18"/>
              </w:rPr>
              <w:t>4,691</w:t>
            </w:r>
          </w:p>
        </w:tc>
        <w:tc>
          <w:tcPr>
            <w:tcW w:w="964" w:type="dxa"/>
            <w:vAlign w:val="bottom"/>
          </w:tcPr>
          <w:p w14:paraId="5C4AEB83" w14:textId="77777777" w:rsidR="004A11B5" w:rsidRPr="00555120" w:rsidRDefault="004A11B5" w:rsidP="00167241">
            <w:pPr>
              <w:pStyle w:val="Tablenumbers"/>
              <w:rPr>
                <w:sz w:val="18"/>
                <w:szCs w:val="18"/>
              </w:rPr>
            </w:pPr>
            <w:r w:rsidRPr="00555120">
              <w:rPr>
                <w:sz w:val="18"/>
                <w:szCs w:val="18"/>
              </w:rPr>
              <w:t>2,559</w:t>
            </w:r>
          </w:p>
        </w:tc>
        <w:tc>
          <w:tcPr>
            <w:tcW w:w="895" w:type="dxa"/>
            <w:vAlign w:val="bottom"/>
          </w:tcPr>
          <w:p w14:paraId="4139F867" w14:textId="77777777" w:rsidR="004A11B5" w:rsidRPr="00555120" w:rsidRDefault="004A11B5" w:rsidP="00167241">
            <w:pPr>
              <w:pStyle w:val="Tablenumbers"/>
              <w:rPr>
                <w:sz w:val="18"/>
                <w:szCs w:val="18"/>
              </w:rPr>
            </w:pPr>
            <w:r w:rsidRPr="00555120">
              <w:rPr>
                <w:sz w:val="18"/>
                <w:szCs w:val="18"/>
              </w:rPr>
              <w:t>5,089</w:t>
            </w:r>
          </w:p>
        </w:tc>
        <w:tc>
          <w:tcPr>
            <w:tcW w:w="891" w:type="dxa"/>
            <w:vAlign w:val="bottom"/>
          </w:tcPr>
          <w:p w14:paraId="67FB4BE6" w14:textId="77777777" w:rsidR="004A11B5" w:rsidRPr="00555120" w:rsidRDefault="004A11B5" w:rsidP="00167241">
            <w:pPr>
              <w:pStyle w:val="Tablenumbers"/>
              <w:rPr>
                <w:sz w:val="18"/>
                <w:szCs w:val="18"/>
              </w:rPr>
            </w:pPr>
            <w:r w:rsidRPr="00555120">
              <w:rPr>
                <w:sz w:val="18"/>
                <w:szCs w:val="18"/>
              </w:rPr>
              <w:t>5,399</w:t>
            </w:r>
          </w:p>
        </w:tc>
        <w:tc>
          <w:tcPr>
            <w:tcW w:w="914" w:type="dxa"/>
            <w:vAlign w:val="bottom"/>
          </w:tcPr>
          <w:p w14:paraId="2E9BB782" w14:textId="77777777" w:rsidR="004A11B5" w:rsidRPr="00555120" w:rsidRDefault="004A11B5" w:rsidP="00167241">
            <w:pPr>
              <w:pStyle w:val="Tablenumbers"/>
              <w:rPr>
                <w:sz w:val="18"/>
                <w:szCs w:val="18"/>
              </w:rPr>
            </w:pPr>
            <w:r w:rsidRPr="00555120">
              <w:rPr>
                <w:sz w:val="18"/>
                <w:szCs w:val="18"/>
              </w:rPr>
              <w:t>8,539</w:t>
            </w:r>
          </w:p>
        </w:tc>
        <w:tc>
          <w:tcPr>
            <w:tcW w:w="923" w:type="dxa"/>
            <w:tcBorders>
              <w:right w:val="single" w:sz="4" w:space="0" w:color="006EC8" w:themeColor="accent1"/>
            </w:tcBorders>
            <w:vAlign w:val="bottom"/>
          </w:tcPr>
          <w:p w14:paraId="26DBC0DB" w14:textId="77777777" w:rsidR="004A11B5" w:rsidRPr="00555120" w:rsidRDefault="004A11B5" w:rsidP="00167241">
            <w:pPr>
              <w:pStyle w:val="Tablenumbers"/>
              <w:rPr>
                <w:sz w:val="18"/>
                <w:szCs w:val="18"/>
              </w:rPr>
            </w:pPr>
            <w:r w:rsidRPr="00555120">
              <w:rPr>
                <w:sz w:val="18"/>
                <w:szCs w:val="18"/>
              </w:rPr>
              <w:t>14,853</w:t>
            </w:r>
          </w:p>
        </w:tc>
        <w:tc>
          <w:tcPr>
            <w:tcW w:w="954" w:type="dxa"/>
            <w:tcBorders>
              <w:left w:val="single" w:sz="4" w:space="0" w:color="006EC8" w:themeColor="accent1"/>
            </w:tcBorders>
            <w:vAlign w:val="bottom"/>
          </w:tcPr>
          <w:p w14:paraId="5782681A" w14:textId="77777777" w:rsidR="004A11B5" w:rsidRPr="00555120" w:rsidRDefault="004A11B5" w:rsidP="00167241">
            <w:pPr>
              <w:pStyle w:val="Tablenumbers"/>
              <w:rPr>
                <w:sz w:val="18"/>
                <w:szCs w:val="18"/>
              </w:rPr>
            </w:pPr>
            <w:r w:rsidRPr="00555120">
              <w:rPr>
                <w:sz w:val="18"/>
                <w:szCs w:val="18"/>
              </w:rPr>
              <w:t>41,130</w:t>
            </w:r>
          </w:p>
        </w:tc>
      </w:tr>
      <w:tr w:rsidR="004A11B5" w14:paraId="076DA824" w14:textId="77777777" w:rsidTr="00793029">
        <w:tc>
          <w:tcPr>
            <w:tcW w:w="1701" w:type="dxa"/>
            <w:tcBorders>
              <w:bottom w:val="single" w:sz="4" w:space="0" w:color="006EC8" w:themeColor="accent1"/>
            </w:tcBorders>
            <w:vAlign w:val="bottom"/>
          </w:tcPr>
          <w:p w14:paraId="7F84FAC4" w14:textId="77777777" w:rsidR="004A11B5" w:rsidRPr="00555120" w:rsidRDefault="004A11B5" w:rsidP="00167241">
            <w:pPr>
              <w:pStyle w:val="Tabletext"/>
              <w:rPr>
                <w:b/>
                <w:bCs/>
                <w:sz w:val="18"/>
                <w:szCs w:val="18"/>
              </w:rPr>
            </w:pPr>
          </w:p>
        </w:tc>
        <w:tc>
          <w:tcPr>
            <w:tcW w:w="1313" w:type="dxa"/>
            <w:tcBorders>
              <w:bottom w:val="single" w:sz="4" w:space="0" w:color="006EC8" w:themeColor="accent1"/>
            </w:tcBorders>
            <w:vAlign w:val="bottom"/>
          </w:tcPr>
          <w:p w14:paraId="2B953BAC" w14:textId="77777777" w:rsidR="004A11B5" w:rsidRPr="00555120" w:rsidRDefault="004A11B5" w:rsidP="00167241">
            <w:pPr>
              <w:pStyle w:val="Tabletext"/>
              <w:rPr>
                <w:sz w:val="18"/>
                <w:szCs w:val="18"/>
              </w:rPr>
            </w:pPr>
            <w:r w:rsidRPr="00555120">
              <w:rPr>
                <w:sz w:val="18"/>
                <w:szCs w:val="18"/>
              </w:rPr>
              <w:t>NDIS 2021 ÷ DSP 2021</w:t>
            </w:r>
          </w:p>
        </w:tc>
        <w:tc>
          <w:tcPr>
            <w:tcW w:w="964" w:type="dxa"/>
            <w:tcBorders>
              <w:bottom w:val="single" w:sz="4" w:space="0" w:color="006EC8" w:themeColor="accent1"/>
            </w:tcBorders>
            <w:vAlign w:val="bottom"/>
          </w:tcPr>
          <w:p w14:paraId="171F02BD" w14:textId="77777777" w:rsidR="004A11B5" w:rsidRPr="00555120" w:rsidRDefault="004A11B5" w:rsidP="00167241">
            <w:pPr>
              <w:pStyle w:val="Tablenumbers"/>
              <w:rPr>
                <w:sz w:val="18"/>
                <w:szCs w:val="18"/>
              </w:rPr>
            </w:pPr>
            <w:r w:rsidRPr="00555120">
              <w:rPr>
                <w:sz w:val="18"/>
                <w:szCs w:val="18"/>
              </w:rPr>
              <w:t>103%</w:t>
            </w:r>
          </w:p>
        </w:tc>
        <w:tc>
          <w:tcPr>
            <w:tcW w:w="964" w:type="dxa"/>
            <w:tcBorders>
              <w:bottom w:val="single" w:sz="4" w:space="0" w:color="006EC8" w:themeColor="accent1"/>
            </w:tcBorders>
            <w:vAlign w:val="bottom"/>
          </w:tcPr>
          <w:p w14:paraId="1BB8CA8E" w14:textId="77777777" w:rsidR="004A11B5" w:rsidRPr="00555120" w:rsidRDefault="004A11B5" w:rsidP="00167241">
            <w:pPr>
              <w:pStyle w:val="Tablenumbers"/>
              <w:rPr>
                <w:sz w:val="18"/>
                <w:szCs w:val="18"/>
              </w:rPr>
            </w:pPr>
            <w:r w:rsidRPr="00555120">
              <w:rPr>
                <w:sz w:val="18"/>
                <w:szCs w:val="18"/>
              </w:rPr>
              <w:t>48%</w:t>
            </w:r>
          </w:p>
        </w:tc>
        <w:tc>
          <w:tcPr>
            <w:tcW w:w="895" w:type="dxa"/>
            <w:tcBorders>
              <w:bottom w:val="single" w:sz="4" w:space="0" w:color="006EC8" w:themeColor="accent1"/>
            </w:tcBorders>
            <w:vAlign w:val="bottom"/>
          </w:tcPr>
          <w:p w14:paraId="1B3F5E6A" w14:textId="77777777" w:rsidR="004A11B5" w:rsidRPr="00555120" w:rsidRDefault="004A11B5" w:rsidP="00167241">
            <w:pPr>
              <w:pStyle w:val="Tablenumbers"/>
              <w:rPr>
                <w:sz w:val="18"/>
                <w:szCs w:val="18"/>
              </w:rPr>
            </w:pPr>
            <w:r w:rsidRPr="00555120">
              <w:rPr>
                <w:sz w:val="18"/>
                <w:szCs w:val="18"/>
              </w:rPr>
              <w:t>32%</w:t>
            </w:r>
          </w:p>
        </w:tc>
        <w:tc>
          <w:tcPr>
            <w:tcW w:w="891" w:type="dxa"/>
            <w:tcBorders>
              <w:bottom w:val="single" w:sz="4" w:space="0" w:color="006EC8" w:themeColor="accent1"/>
            </w:tcBorders>
            <w:vAlign w:val="bottom"/>
          </w:tcPr>
          <w:p w14:paraId="6915BE27" w14:textId="77777777" w:rsidR="004A11B5" w:rsidRPr="00555120" w:rsidRDefault="004A11B5" w:rsidP="00167241">
            <w:pPr>
              <w:pStyle w:val="Tablenumbers"/>
              <w:rPr>
                <w:sz w:val="18"/>
                <w:szCs w:val="18"/>
              </w:rPr>
            </w:pPr>
            <w:r w:rsidRPr="00555120">
              <w:rPr>
                <w:sz w:val="18"/>
                <w:szCs w:val="18"/>
              </w:rPr>
              <w:t>22%</w:t>
            </w:r>
          </w:p>
        </w:tc>
        <w:tc>
          <w:tcPr>
            <w:tcW w:w="914" w:type="dxa"/>
            <w:tcBorders>
              <w:bottom w:val="single" w:sz="4" w:space="0" w:color="006EC8" w:themeColor="accent1"/>
            </w:tcBorders>
            <w:vAlign w:val="bottom"/>
          </w:tcPr>
          <w:p w14:paraId="022CE079" w14:textId="77777777" w:rsidR="004A11B5" w:rsidRPr="00555120" w:rsidRDefault="004A11B5" w:rsidP="00167241">
            <w:pPr>
              <w:pStyle w:val="Tablenumbers"/>
              <w:rPr>
                <w:sz w:val="18"/>
                <w:szCs w:val="18"/>
              </w:rPr>
            </w:pPr>
            <w:r w:rsidRPr="00555120">
              <w:rPr>
                <w:sz w:val="18"/>
                <w:szCs w:val="18"/>
              </w:rPr>
              <w:t>17%</w:t>
            </w:r>
          </w:p>
        </w:tc>
        <w:tc>
          <w:tcPr>
            <w:tcW w:w="923" w:type="dxa"/>
            <w:tcBorders>
              <w:bottom w:val="single" w:sz="4" w:space="0" w:color="006EC8" w:themeColor="accent1"/>
              <w:right w:val="single" w:sz="4" w:space="0" w:color="006EC8" w:themeColor="accent1"/>
            </w:tcBorders>
            <w:vAlign w:val="bottom"/>
          </w:tcPr>
          <w:p w14:paraId="0EAC3091" w14:textId="77777777" w:rsidR="004A11B5" w:rsidRPr="00555120" w:rsidRDefault="004A11B5" w:rsidP="00167241">
            <w:pPr>
              <w:pStyle w:val="Tablenumbers"/>
              <w:rPr>
                <w:sz w:val="18"/>
                <w:szCs w:val="18"/>
              </w:rPr>
            </w:pPr>
            <w:r w:rsidRPr="00555120">
              <w:rPr>
                <w:sz w:val="18"/>
                <w:szCs w:val="18"/>
              </w:rPr>
              <w:t>14%</w:t>
            </w:r>
          </w:p>
        </w:tc>
        <w:tc>
          <w:tcPr>
            <w:tcW w:w="954" w:type="dxa"/>
            <w:tcBorders>
              <w:left w:val="single" w:sz="4" w:space="0" w:color="006EC8" w:themeColor="accent1"/>
              <w:bottom w:val="single" w:sz="4" w:space="0" w:color="006EC8" w:themeColor="accent1"/>
            </w:tcBorders>
            <w:vAlign w:val="bottom"/>
          </w:tcPr>
          <w:p w14:paraId="7ECFDD67" w14:textId="77777777" w:rsidR="004A11B5" w:rsidRPr="00555120" w:rsidRDefault="004A11B5" w:rsidP="00167241">
            <w:pPr>
              <w:pStyle w:val="Tablenumbers"/>
              <w:rPr>
                <w:sz w:val="18"/>
                <w:szCs w:val="18"/>
              </w:rPr>
            </w:pPr>
            <w:r w:rsidRPr="00555120">
              <w:rPr>
                <w:sz w:val="18"/>
                <w:szCs w:val="18"/>
              </w:rPr>
              <w:t>20%</w:t>
            </w:r>
          </w:p>
        </w:tc>
      </w:tr>
      <w:tr w:rsidR="004A11B5" w14:paraId="53F367BF"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tcBorders>
              <w:top w:val="single" w:sz="4" w:space="0" w:color="006EC8" w:themeColor="accent1"/>
            </w:tcBorders>
            <w:vAlign w:val="bottom"/>
          </w:tcPr>
          <w:p w14:paraId="14D819F7" w14:textId="77777777" w:rsidR="004A11B5" w:rsidRPr="00555120" w:rsidRDefault="004A11B5" w:rsidP="00167241">
            <w:pPr>
              <w:pStyle w:val="Tabletext"/>
              <w:rPr>
                <w:b/>
                <w:bCs/>
                <w:sz w:val="18"/>
                <w:szCs w:val="18"/>
              </w:rPr>
            </w:pPr>
            <w:r w:rsidRPr="00555120">
              <w:rPr>
                <w:b/>
                <w:bCs/>
                <w:sz w:val="18"/>
                <w:szCs w:val="18"/>
              </w:rPr>
              <w:t>Total</w:t>
            </w:r>
          </w:p>
        </w:tc>
        <w:tc>
          <w:tcPr>
            <w:tcW w:w="1313" w:type="dxa"/>
            <w:tcBorders>
              <w:top w:val="single" w:sz="4" w:space="0" w:color="006EC8" w:themeColor="accent1"/>
            </w:tcBorders>
            <w:vAlign w:val="bottom"/>
          </w:tcPr>
          <w:p w14:paraId="4168C4A4" w14:textId="77777777" w:rsidR="004A11B5" w:rsidRPr="00555120" w:rsidRDefault="004A11B5" w:rsidP="00167241">
            <w:pPr>
              <w:pStyle w:val="Tabletext"/>
              <w:rPr>
                <w:sz w:val="18"/>
                <w:szCs w:val="18"/>
              </w:rPr>
            </w:pPr>
            <w:r w:rsidRPr="00555120">
              <w:rPr>
                <w:sz w:val="18"/>
                <w:szCs w:val="18"/>
              </w:rPr>
              <w:t>DSP, 2021</w:t>
            </w:r>
          </w:p>
        </w:tc>
        <w:tc>
          <w:tcPr>
            <w:tcW w:w="964" w:type="dxa"/>
            <w:tcBorders>
              <w:top w:val="single" w:sz="4" w:space="0" w:color="006EC8" w:themeColor="accent1"/>
            </w:tcBorders>
            <w:vAlign w:val="bottom"/>
          </w:tcPr>
          <w:p w14:paraId="6B4C8BFC" w14:textId="77777777" w:rsidR="004A11B5" w:rsidRPr="00555120" w:rsidRDefault="004A11B5" w:rsidP="00167241">
            <w:pPr>
              <w:pStyle w:val="Tablenumbers"/>
              <w:rPr>
                <w:sz w:val="18"/>
                <w:szCs w:val="18"/>
              </w:rPr>
            </w:pPr>
            <w:r w:rsidRPr="00555120">
              <w:rPr>
                <w:sz w:val="18"/>
                <w:szCs w:val="18"/>
              </w:rPr>
              <w:t>20,822</w:t>
            </w:r>
          </w:p>
        </w:tc>
        <w:tc>
          <w:tcPr>
            <w:tcW w:w="964" w:type="dxa"/>
            <w:tcBorders>
              <w:top w:val="single" w:sz="4" w:space="0" w:color="006EC8" w:themeColor="accent1"/>
            </w:tcBorders>
            <w:vAlign w:val="bottom"/>
          </w:tcPr>
          <w:p w14:paraId="72A33C87" w14:textId="77777777" w:rsidR="004A11B5" w:rsidRPr="00555120" w:rsidRDefault="004A11B5" w:rsidP="00167241">
            <w:pPr>
              <w:pStyle w:val="Tablenumbers"/>
              <w:rPr>
                <w:sz w:val="18"/>
                <w:szCs w:val="18"/>
              </w:rPr>
            </w:pPr>
            <w:r w:rsidRPr="00555120">
              <w:rPr>
                <w:sz w:val="18"/>
                <w:szCs w:val="18"/>
              </w:rPr>
              <w:t>27,419</w:t>
            </w:r>
          </w:p>
        </w:tc>
        <w:tc>
          <w:tcPr>
            <w:tcW w:w="895" w:type="dxa"/>
            <w:tcBorders>
              <w:top w:val="single" w:sz="4" w:space="0" w:color="006EC8" w:themeColor="accent1"/>
            </w:tcBorders>
            <w:vAlign w:val="bottom"/>
          </w:tcPr>
          <w:p w14:paraId="7B55FC27" w14:textId="77777777" w:rsidR="004A11B5" w:rsidRPr="00555120" w:rsidRDefault="004A11B5" w:rsidP="00167241">
            <w:pPr>
              <w:pStyle w:val="Tablenumbers"/>
              <w:rPr>
                <w:sz w:val="18"/>
                <w:szCs w:val="18"/>
              </w:rPr>
            </w:pPr>
            <w:r w:rsidRPr="00555120">
              <w:rPr>
                <w:sz w:val="18"/>
                <w:szCs w:val="18"/>
              </w:rPr>
              <w:t>79,648</w:t>
            </w:r>
          </w:p>
        </w:tc>
        <w:tc>
          <w:tcPr>
            <w:tcW w:w="891" w:type="dxa"/>
            <w:tcBorders>
              <w:top w:val="single" w:sz="4" w:space="0" w:color="006EC8" w:themeColor="accent1"/>
            </w:tcBorders>
            <w:vAlign w:val="bottom"/>
          </w:tcPr>
          <w:p w14:paraId="2CB760C6" w14:textId="77777777" w:rsidR="004A11B5" w:rsidRPr="00555120" w:rsidRDefault="004A11B5" w:rsidP="00167241">
            <w:pPr>
              <w:pStyle w:val="Tablenumbers"/>
              <w:rPr>
                <w:sz w:val="18"/>
                <w:szCs w:val="18"/>
              </w:rPr>
            </w:pPr>
            <w:r w:rsidRPr="00555120">
              <w:rPr>
                <w:sz w:val="18"/>
                <w:szCs w:val="18"/>
              </w:rPr>
              <w:t>99,583</w:t>
            </w:r>
          </w:p>
        </w:tc>
        <w:tc>
          <w:tcPr>
            <w:tcW w:w="914" w:type="dxa"/>
            <w:tcBorders>
              <w:top w:val="single" w:sz="4" w:space="0" w:color="006EC8" w:themeColor="accent1"/>
            </w:tcBorders>
            <w:vAlign w:val="bottom"/>
          </w:tcPr>
          <w:p w14:paraId="12086878" w14:textId="77777777" w:rsidR="004A11B5" w:rsidRPr="00555120" w:rsidRDefault="004A11B5" w:rsidP="00167241">
            <w:pPr>
              <w:pStyle w:val="Tablenumbers"/>
              <w:rPr>
                <w:sz w:val="18"/>
                <w:szCs w:val="18"/>
              </w:rPr>
            </w:pPr>
            <w:r w:rsidRPr="00555120">
              <w:rPr>
                <w:sz w:val="18"/>
                <w:szCs w:val="18"/>
              </w:rPr>
              <w:t>165,433</w:t>
            </w:r>
          </w:p>
        </w:tc>
        <w:tc>
          <w:tcPr>
            <w:tcW w:w="923" w:type="dxa"/>
            <w:tcBorders>
              <w:top w:val="single" w:sz="4" w:space="0" w:color="006EC8" w:themeColor="accent1"/>
              <w:right w:val="single" w:sz="4" w:space="0" w:color="006EC8" w:themeColor="accent1"/>
            </w:tcBorders>
            <w:vAlign w:val="bottom"/>
          </w:tcPr>
          <w:p w14:paraId="679C8395" w14:textId="77777777" w:rsidR="004A11B5" w:rsidRPr="00555120" w:rsidRDefault="004A11B5" w:rsidP="00167241">
            <w:pPr>
              <w:pStyle w:val="Tablenumbers"/>
              <w:rPr>
                <w:sz w:val="18"/>
                <w:szCs w:val="18"/>
              </w:rPr>
            </w:pPr>
            <w:r w:rsidRPr="00555120">
              <w:rPr>
                <w:sz w:val="18"/>
                <w:szCs w:val="18"/>
              </w:rPr>
              <w:t>258,292</w:t>
            </w:r>
          </w:p>
        </w:tc>
        <w:tc>
          <w:tcPr>
            <w:tcW w:w="954" w:type="dxa"/>
            <w:tcBorders>
              <w:top w:val="single" w:sz="4" w:space="0" w:color="006EC8" w:themeColor="accent1"/>
              <w:left w:val="single" w:sz="4" w:space="0" w:color="006EC8" w:themeColor="accent1"/>
            </w:tcBorders>
            <w:vAlign w:val="bottom"/>
          </w:tcPr>
          <w:p w14:paraId="7A70C99C" w14:textId="77777777" w:rsidR="004A11B5" w:rsidRPr="00555120" w:rsidRDefault="004A11B5" w:rsidP="00167241">
            <w:pPr>
              <w:pStyle w:val="Tablenumbers"/>
              <w:rPr>
                <w:sz w:val="18"/>
                <w:szCs w:val="18"/>
              </w:rPr>
            </w:pPr>
            <w:r w:rsidRPr="00555120">
              <w:rPr>
                <w:sz w:val="18"/>
                <w:szCs w:val="18"/>
              </w:rPr>
              <w:t>651,197</w:t>
            </w:r>
          </w:p>
        </w:tc>
      </w:tr>
      <w:tr w:rsidR="004A11B5" w14:paraId="462F64DD" w14:textId="77777777" w:rsidTr="00793029">
        <w:tc>
          <w:tcPr>
            <w:tcW w:w="1701" w:type="dxa"/>
            <w:vAlign w:val="bottom"/>
          </w:tcPr>
          <w:p w14:paraId="3BDFF0D0" w14:textId="77777777" w:rsidR="004A11B5" w:rsidRPr="00555120" w:rsidRDefault="004A11B5" w:rsidP="00167241">
            <w:pPr>
              <w:pStyle w:val="Tabletext"/>
              <w:rPr>
                <w:sz w:val="18"/>
                <w:szCs w:val="18"/>
              </w:rPr>
            </w:pPr>
          </w:p>
        </w:tc>
        <w:tc>
          <w:tcPr>
            <w:tcW w:w="1313" w:type="dxa"/>
            <w:vAlign w:val="bottom"/>
          </w:tcPr>
          <w:p w14:paraId="19264105" w14:textId="77777777" w:rsidR="004A11B5" w:rsidRPr="00555120" w:rsidRDefault="004A11B5" w:rsidP="00167241">
            <w:pPr>
              <w:pStyle w:val="Tabletext"/>
              <w:rPr>
                <w:sz w:val="18"/>
                <w:szCs w:val="18"/>
              </w:rPr>
            </w:pPr>
            <w:r w:rsidRPr="00555120">
              <w:rPr>
                <w:sz w:val="18"/>
                <w:szCs w:val="18"/>
              </w:rPr>
              <w:t>NDIS 2021</w:t>
            </w:r>
          </w:p>
        </w:tc>
        <w:tc>
          <w:tcPr>
            <w:tcW w:w="964" w:type="dxa"/>
            <w:vAlign w:val="bottom"/>
          </w:tcPr>
          <w:p w14:paraId="6B990E0B" w14:textId="77777777" w:rsidR="004A11B5" w:rsidRPr="00555120" w:rsidRDefault="004A11B5" w:rsidP="00167241">
            <w:pPr>
              <w:pStyle w:val="Tablenumbers"/>
              <w:rPr>
                <w:sz w:val="18"/>
                <w:szCs w:val="18"/>
              </w:rPr>
            </w:pPr>
            <w:r w:rsidRPr="00555120">
              <w:rPr>
                <w:sz w:val="18"/>
                <w:szCs w:val="18"/>
              </w:rPr>
              <w:t>39,568</w:t>
            </w:r>
          </w:p>
        </w:tc>
        <w:tc>
          <w:tcPr>
            <w:tcW w:w="964" w:type="dxa"/>
            <w:vAlign w:val="bottom"/>
          </w:tcPr>
          <w:p w14:paraId="69BCA2CC" w14:textId="77777777" w:rsidR="004A11B5" w:rsidRPr="00555120" w:rsidRDefault="004A11B5" w:rsidP="00167241">
            <w:pPr>
              <w:pStyle w:val="Tablenumbers"/>
              <w:rPr>
                <w:sz w:val="18"/>
                <w:szCs w:val="18"/>
              </w:rPr>
            </w:pPr>
            <w:r w:rsidRPr="00555120">
              <w:rPr>
                <w:sz w:val="18"/>
                <w:szCs w:val="18"/>
              </w:rPr>
              <w:t>23,792</w:t>
            </w:r>
          </w:p>
        </w:tc>
        <w:tc>
          <w:tcPr>
            <w:tcW w:w="895" w:type="dxa"/>
            <w:vAlign w:val="bottom"/>
          </w:tcPr>
          <w:p w14:paraId="04BE4E0B" w14:textId="77777777" w:rsidR="004A11B5" w:rsidRPr="00555120" w:rsidRDefault="004A11B5" w:rsidP="00167241">
            <w:pPr>
              <w:pStyle w:val="Tablenumbers"/>
              <w:rPr>
                <w:sz w:val="18"/>
                <w:szCs w:val="18"/>
              </w:rPr>
            </w:pPr>
            <w:r w:rsidRPr="00555120">
              <w:rPr>
                <w:sz w:val="18"/>
                <w:szCs w:val="18"/>
              </w:rPr>
              <w:t>40,678</w:t>
            </w:r>
          </w:p>
        </w:tc>
        <w:tc>
          <w:tcPr>
            <w:tcW w:w="891" w:type="dxa"/>
            <w:vAlign w:val="bottom"/>
          </w:tcPr>
          <w:p w14:paraId="13C4BEFC" w14:textId="77777777" w:rsidR="004A11B5" w:rsidRPr="00555120" w:rsidRDefault="004A11B5" w:rsidP="00167241">
            <w:pPr>
              <w:pStyle w:val="Tablenumbers"/>
              <w:rPr>
                <w:sz w:val="18"/>
                <w:szCs w:val="18"/>
              </w:rPr>
            </w:pPr>
            <w:r w:rsidRPr="00555120">
              <w:rPr>
                <w:sz w:val="18"/>
                <w:szCs w:val="18"/>
              </w:rPr>
              <w:t>37,486</w:t>
            </w:r>
          </w:p>
        </w:tc>
        <w:tc>
          <w:tcPr>
            <w:tcW w:w="914" w:type="dxa"/>
            <w:vAlign w:val="bottom"/>
          </w:tcPr>
          <w:p w14:paraId="7DDF8BDB" w14:textId="77777777" w:rsidR="004A11B5" w:rsidRPr="00555120" w:rsidRDefault="004A11B5" w:rsidP="00167241">
            <w:pPr>
              <w:pStyle w:val="Tablenumbers"/>
              <w:rPr>
                <w:sz w:val="18"/>
                <w:szCs w:val="18"/>
              </w:rPr>
            </w:pPr>
            <w:r w:rsidRPr="00555120">
              <w:rPr>
                <w:sz w:val="18"/>
                <w:szCs w:val="18"/>
              </w:rPr>
              <w:t>45,567</w:t>
            </w:r>
          </w:p>
        </w:tc>
        <w:tc>
          <w:tcPr>
            <w:tcW w:w="923" w:type="dxa"/>
            <w:tcBorders>
              <w:right w:val="single" w:sz="4" w:space="0" w:color="006EC8" w:themeColor="accent1"/>
            </w:tcBorders>
            <w:vAlign w:val="bottom"/>
          </w:tcPr>
          <w:p w14:paraId="04054740" w14:textId="77777777" w:rsidR="004A11B5" w:rsidRPr="00555120" w:rsidRDefault="004A11B5" w:rsidP="00167241">
            <w:pPr>
              <w:pStyle w:val="Tablenumbers"/>
              <w:rPr>
                <w:sz w:val="18"/>
                <w:szCs w:val="18"/>
              </w:rPr>
            </w:pPr>
            <w:r w:rsidRPr="00555120">
              <w:rPr>
                <w:sz w:val="18"/>
                <w:szCs w:val="18"/>
              </w:rPr>
              <w:t>53,318</w:t>
            </w:r>
          </w:p>
        </w:tc>
        <w:tc>
          <w:tcPr>
            <w:tcW w:w="954" w:type="dxa"/>
            <w:tcBorders>
              <w:left w:val="single" w:sz="4" w:space="0" w:color="006EC8" w:themeColor="accent1"/>
            </w:tcBorders>
            <w:vAlign w:val="bottom"/>
          </w:tcPr>
          <w:p w14:paraId="598B0AEF" w14:textId="77777777" w:rsidR="004A11B5" w:rsidRPr="00555120" w:rsidRDefault="004A11B5" w:rsidP="00167241">
            <w:pPr>
              <w:pStyle w:val="Tablenumbers"/>
              <w:rPr>
                <w:sz w:val="18"/>
                <w:szCs w:val="18"/>
              </w:rPr>
            </w:pPr>
            <w:r w:rsidRPr="00555120">
              <w:rPr>
                <w:sz w:val="18"/>
                <w:szCs w:val="18"/>
              </w:rPr>
              <w:t>240,409</w:t>
            </w:r>
          </w:p>
        </w:tc>
      </w:tr>
      <w:tr w:rsidR="004A11B5" w14:paraId="1D54ED70" w14:textId="77777777" w:rsidTr="00793029">
        <w:trPr>
          <w:cnfStyle w:val="000000100000" w:firstRow="0" w:lastRow="0" w:firstColumn="0" w:lastColumn="0" w:oddVBand="0" w:evenVBand="0" w:oddHBand="1" w:evenHBand="0" w:firstRowFirstColumn="0" w:firstRowLastColumn="0" w:lastRowFirstColumn="0" w:lastRowLastColumn="0"/>
        </w:trPr>
        <w:tc>
          <w:tcPr>
            <w:tcW w:w="1701" w:type="dxa"/>
            <w:vAlign w:val="bottom"/>
          </w:tcPr>
          <w:p w14:paraId="233D5DA9" w14:textId="77777777" w:rsidR="004A11B5" w:rsidRPr="00555120" w:rsidRDefault="004A11B5" w:rsidP="00167241">
            <w:pPr>
              <w:pStyle w:val="Tabletext"/>
              <w:rPr>
                <w:sz w:val="18"/>
                <w:szCs w:val="18"/>
              </w:rPr>
            </w:pPr>
          </w:p>
        </w:tc>
        <w:tc>
          <w:tcPr>
            <w:tcW w:w="1313" w:type="dxa"/>
            <w:vAlign w:val="bottom"/>
          </w:tcPr>
          <w:p w14:paraId="043EDB0A" w14:textId="77777777" w:rsidR="004A11B5" w:rsidRPr="00555120" w:rsidRDefault="004A11B5" w:rsidP="00167241">
            <w:pPr>
              <w:pStyle w:val="Tabletext"/>
              <w:rPr>
                <w:sz w:val="18"/>
                <w:szCs w:val="18"/>
              </w:rPr>
            </w:pPr>
            <w:r w:rsidRPr="00555120">
              <w:rPr>
                <w:sz w:val="18"/>
                <w:szCs w:val="18"/>
              </w:rPr>
              <w:t>NDIS 2025</w:t>
            </w:r>
          </w:p>
        </w:tc>
        <w:tc>
          <w:tcPr>
            <w:tcW w:w="964" w:type="dxa"/>
            <w:vAlign w:val="bottom"/>
          </w:tcPr>
          <w:p w14:paraId="7A65BC69" w14:textId="77777777" w:rsidR="004A11B5" w:rsidRPr="00555120" w:rsidRDefault="004A11B5" w:rsidP="00167241">
            <w:pPr>
              <w:pStyle w:val="Tablenumbers"/>
              <w:rPr>
                <w:sz w:val="18"/>
                <w:szCs w:val="18"/>
              </w:rPr>
            </w:pPr>
            <w:r w:rsidRPr="00555120">
              <w:rPr>
                <w:sz w:val="18"/>
                <w:szCs w:val="18"/>
              </w:rPr>
              <w:t>68,356</w:t>
            </w:r>
          </w:p>
        </w:tc>
        <w:tc>
          <w:tcPr>
            <w:tcW w:w="964" w:type="dxa"/>
            <w:vAlign w:val="bottom"/>
          </w:tcPr>
          <w:p w14:paraId="2BFA07AD" w14:textId="77777777" w:rsidR="004A11B5" w:rsidRPr="00555120" w:rsidRDefault="004A11B5" w:rsidP="00167241">
            <w:pPr>
              <w:pStyle w:val="Tablenumbers"/>
              <w:rPr>
                <w:sz w:val="18"/>
                <w:szCs w:val="18"/>
              </w:rPr>
            </w:pPr>
            <w:r w:rsidRPr="00555120">
              <w:rPr>
                <w:sz w:val="18"/>
                <w:szCs w:val="18"/>
              </w:rPr>
              <w:t>34,671</w:t>
            </w:r>
          </w:p>
        </w:tc>
        <w:tc>
          <w:tcPr>
            <w:tcW w:w="895" w:type="dxa"/>
            <w:vAlign w:val="bottom"/>
          </w:tcPr>
          <w:p w14:paraId="32053152" w14:textId="77777777" w:rsidR="004A11B5" w:rsidRPr="00555120" w:rsidRDefault="004A11B5" w:rsidP="00167241">
            <w:pPr>
              <w:pStyle w:val="Tablenumbers"/>
              <w:rPr>
                <w:sz w:val="18"/>
                <w:szCs w:val="18"/>
              </w:rPr>
            </w:pPr>
            <w:r w:rsidRPr="00555120">
              <w:rPr>
                <w:sz w:val="18"/>
                <w:szCs w:val="18"/>
              </w:rPr>
              <w:t>57,320</w:t>
            </w:r>
          </w:p>
        </w:tc>
        <w:tc>
          <w:tcPr>
            <w:tcW w:w="891" w:type="dxa"/>
            <w:vAlign w:val="bottom"/>
          </w:tcPr>
          <w:p w14:paraId="0C41D67B" w14:textId="77777777" w:rsidR="004A11B5" w:rsidRPr="00555120" w:rsidRDefault="004A11B5" w:rsidP="00167241">
            <w:pPr>
              <w:pStyle w:val="Tablenumbers"/>
              <w:rPr>
                <w:sz w:val="18"/>
                <w:szCs w:val="18"/>
              </w:rPr>
            </w:pPr>
            <w:r w:rsidRPr="00555120">
              <w:rPr>
                <w:sz w:val="18"/>
                <w:szCs w:val="18"/>
              </w:rPr>
              <w:t>48,245</w:t>
            </w:r>
          </w:p>
        </w:tc>
        <w:tc>
          <w:tcPr>
            <w:tcW w:w="914" w:type="dxa"/>
            <w:vAlign w:val="bottom"/>
          </w:tcPr>
          <w:p w14:paraId="54CDEF4B" w14:textId="77777777" w:rsidR="004A11B5" w:rsidRPr="00555120" w:rsidRDefault="004A11B5" w:rsidP="00167241">
            <w:pPr>
              <w:pStyle w:val="Tablenumbers"/>
              <w:rPr>
                <w:sz w:val="18"/>
                <w:szCs w:val="18"/>
              </w:rPr>
            </w:pPr>
            <w:r w:rsidRPr="00555120">
              <w:rPr>
                <w:sz w:val="18"/>
                <w:szCs w:val="18"/>
              </w:rPr>
              <w:t>55,234</w:t>
            </w:r>
          </w:p>
        </w:tc>
        <w:tc>
          <w:tcPr>
            <w:tcW w:w="923" w:type="dxa"/>
            <w:tcBorders>
              <w:right w:val="single" w:sz="4" w:space="0" w:color="006EC8" w:themeColor="accent1"/>
            </w:tcBorders>
            <w:vAlign w:val="bottom"/>
          </w:tcPr>
          <w:p w14:paraId="7B61FC70" w14:textId="77777777" w:rsidR="004A11B5" w:rsidRPr="00555120" w:rsidRDefault="004A11B5" w:rsidP="00167241">
            <w:pPr>
              <w:pStyle w:val="Tablenumbers"/>
              <w:rPr>
                <w:sz w:val="18"/>
                <w:szCs w:val="18"/>
              </w:rPr>
            </w:pPr>
            <w:r w:rsidRPr="00555120">
              <w:rPr>
                <w:sz w:val="18"/>
                <w:szCs w:val="18"/>
              </w:rPr>
              <w:t>68,535</w:t>
            </w:r>
          </w:p>
        </w:tc>
        <w:tc>
          <w:tcPr>
            <w:tcW w:w="954" w:type="dxa"/>
            <w:tcBorders>
              <w:left w:val="single" w:sz="4" w:space="0" w:color="006EC8" w:themeColor="accent1"/>
            </w:tcBorders>
            <w:vAlign w:val="bottom"/>
          </w:tcPr>
          <w:p w14:paraId="791E5FFA" w14:textId="77777777" w:rsidR="004A11B5" w:rsidRPr="00555120" w:rsidRDefault="004A11B5" w:rsidP="00167241">
            <w:pPr>
              <w:pStyle w:val="Tablenumbers"/>
              <w:rPr>
                <w:sz w:val="18"/>
                <w:szCs w:val="18"/>
              </w:rPr>
            </w:pPr>
            <w:r w:rsidRPr="00555120">
              <w:rPr>
                <w:sz w:val="18"/>
                <w:szCs w:val="18"/>
              </w:rPr>
              <w:t>332,360</w:t>
            </w:r>
          </w:p>
        </w:tc>
      </w:tr>
      <w:tr w:rsidR="004A11B5" w14:paraId="358AECBE" w14:textId="77777777" w:rsidTr="00793029">
        <w:tc>
          <w:tcPr>
            <w:tcW w:w="1701" w:type="dxa"/>
            <w:vAlign w:val="bottom"/>
          </w:tcPr>
          <w:p w14:paraId="5E259FA7" w14:textId="77777777" w:rsidR="004A11B5" w:rsidRPr="00555120" w:rsidRDefault="004A11B5" w:rsidP="00167241">
            <w:pPr>
              <w:pStyle w:val="Tabletext"/>
              <w:rPr>
                <w:sz w:val="18"/>
                <w:szCs w:val="18"/>
              </w:rPr>
            </w:pPr>
          </w:p>
        </w:tc>
        <w:tc>
          <w:tcPr>
            <w:tcW w:w="1313" w:type="dxa"/>
            <w:vAlign w:val="bottom"/>
          </w:tcPr>
          <w:p w14:paraId="646AABD2" w14:textId="77777777" w:rsidR="004A11B5" w:rsidRPr="00555120" w:rsidRDefault="004A11B5" w:rsidP="00167241">
            <w:pPr>
              <w:pStyle w:val="Tabletext"/>
              <w:rPr>
                <w:sz w:val="18"/>
                <w:szCs w:val="18"/>
              </w:rPr>
            </w:pPr>
            <w:r w:rsidRPr="00555120">
              <w:rPr>
                <w:sz w:val="18"/>
                <w:szCs w:val="18"/>
              </w:rPr>
              <w:t>NDIS 2021 ÷ DSP 2021</w:t>
            </w:r>
          </w:p>
        </w:tc>
        <w:tc>
          <w:tcPr>
            <w:tcW w:w="964" w:type="dxa"/>
            <w:vAlign w:val="bottom"/>
          </w:tcPr>
          <w:p w14:paraId="6B4E958A" w14:textId="77777777" w:rsidR="004A11B5" w:rsidRPr="00555120" w:rsidRDefault="004A11B5" w:rsidP="00167241">
            <w:pPr>
              <w:pStyle w:val="Tablenumbers"/>
              <w:rPr>
                <w:sz w:val="18"/>
                <w:szCs w:val="18"/>
              </w:rPr>
            </w:pPr>
            <w:r w:rsidRPr="00555120">
              <w:rPr>
                <w:sz w:val="18"/>
                <w:szCs w:val="18"/>
              </w:rPr>
              <w:t>190%</w:t>
            </w:r>
          </w:p>
        </w:tc>
        <w:tc>
          <w:tcPr>
            <w:tcW w:w="964" w:type="dxa"/>
            <w:vAlign w:val="bottom"/>
          </w:tcPr>
          <w:p w14:paraId="40CBD1CF" w14:textId="77777777" w:rsidR="004A11B5" w:rsidRPr="00555120" w:rsidRDefault="004A11B5" w:rsidP="00167241">
            <w:pPr>
              <w:pStyle w:val="Tablenumbers"/>
              <w:rPr>
                <w:sz w:val="18"/>
                <w:szCs w:val="18"/>
              </w:rPr>
            </w:pPr>
            <w:r w:rsidRPr="00555120">
              <w:rPr>
                <w:sz w:val="18"/>
                <w:szCs w:val="18"/>
              </w:rPr>
              <w:t>87%</w:t>
            </w:r>
          </w:p>
        </w:tc>
        <w:tc>
          <w:tcPr>
            <w:tcW w:w="895" w:type="dxa"/>
            <w:vAlign w:val="bottom"/>
          </w:tcPr>
          <w:p w14:paraId="663CC3A5" w14:textId="77777777" w:rsidR="004A11B5" w:rsidRPr="00555120" w:rsidRDefault="004A11B5" w:rsidP="00167241">
            <w:pPr>
              <w:pStyle w:val="Tablenumbers"/>
              <w:rPr>
                <w:sz w:val="18"/>
                <w:szCs w:val="18"/>
              </w:rPr>
            </w:pPr>
            <w:r w:rsidRPr="00555120">
              <w:rPr>
                <w:sz w:val="18"/>
                <w:szCs w:val="18"/>
              </w:rPr>
              <w:t>51%</w:t>
            </w:r>
          </w:p>
        </w:tc>
        <w:tc>
          <w:tcPr>
            <w:tcW w:w="891" w:type="dxa"/>
            <w:vAlign w:val="bottom"/>
          </w:tcPr>
          <w:p w14:paraId="442A7BCA" w14:textId="77777777" w:rsidR="004A11B5" w:rsidRPr="00555120" w:rsidRDefault="004A11B5" w:rsidP="00167241">
            <w:pPr>
              <w:pStyle w:val="Tablenumbers"/>
              <w:rPr>
                <w:sz w:val="18"/>
                <w:szCs w:val="18"/>
              </w:rPr>
            </w:pPr>
            <w:r w:rsidRPr="00555120">
              <w:rPr>
                <w:sz w:val="18"/>
                <w:szCs w:val="18"/>
              </w:rPr>
              <w:t>38%</w:t>
            </w:r>
          </w:p>
        </w:tc>
        <w:tc>
          <w:tcPr>
            <w:tcW w:w="914" w:type="dxa"/>
            <w:vAlign w:val="bottom"/>
          </w:tcPr>
          <w:p w14:paraId="2CDBCEF9" w14:textId="77777777" w:rsidR="004A11B5" w:rsidRPr="00555120" w:rsidRDefault="004A11B5" w:rsidP="00167241">
            <w:pPr>
              <w:pStyle w:val="Tablenumbers"/>
              <w:rPr>
                <w:sz w:val="18"/>
                <w:szCs w:val="18"/>
              </w:rPr>
            </w:pPr>
            <w:r w:rsidRPr="00555120">
              <w:rPr>
                <w:sz w:val="18"/>
                <w:szCs w:val="18"/>
              </w:rPr>
              <w:t>28%</w:t>
            </w:r>
          </w:p>
        </w:tc>
        <w:tc>
          <w:tcPr>
            <w:tcW w:w="923" w:type="dxa"/>
            <w:tcBorders>
              <w:bottom w:val="single" w:sz="4" w:space="0" w:color="006EC8" w:themeColor="accent1"/>
              <w:right w:val="single" w:sz="4" w:space="0" w:color="006EC8" w:themeColor="accent1"/>
            </w:tcBorders>
            <w:vAlign w:val="bottom"/>
          </w:tcPr>
          <w:p w14:paraId="079FF117" w14:textId="77777777" w:rsidR="004A11B5" w:rsidRPr="00555120" w:rsidRDefault="004A11B5" w:rsidP="00167241">
            <w:pPr>
              <w:pStyle w:val="Tablenumbers"/>
              <w:rPr>
                <w:sz w:val="18"/>
                <w:szCs w:val="18"/>
              </w:rPr>
            </w:pPr>
            <w:r w:rsidRPr="00555120">
              <w:rPr>
                <w:sz w:val="18"/>
                <w:szCs w:val="18"/>
              </w:rPr>
              <w:t>21%</w:t>
            </w:r>
          </w:p>
        </w:tc>
        <w:tc>
          <w:tcPr>
            <w:tcW w:w="954" w:type="dxa"/>
            <w:tcBorders>
              <w:left w:val="single" w:sz="4" w:space="0" w:color="006EC8" w:themeColor="accent1"/>
            </w:tcBorders>
            <w:vAlign w:val="bottom"/>
          </w:tcPr>
          <w:p w14:paraId="1DF0AF89" w14:textId="77777777" w:rsidR="004A11B5" w:rsidRPr="00555120" w:rsidRDefault="004A11B5" w:rsidP="00167241">
            <w:pPr>
              <w:pStyle w:val="Tablenumbers"/>
              <w:rPr>
                <w:sz w:val="18"/>
                <w:szCs w:val="18"/>
              </w:rPr>
            </w:pPr>
            <w:r w:rsidRPr="00555120">
              <w:rPr>
                <w:sz w:val="18"/>
                <w:szCs w:val="18"/>
              </w:rPr>
              <w:t>37%</w:t>
            </w:r>
          </w:p>
        </w:tc>
      </w:tr>
    </w:tbl>
    <w:p w14:paraId="4A7E7854" w14:textId="0DFCD062" w:rsidR="00FD373D" w:rsidRDefault="00FD373D">
      <w:pPr>
        <w:spacing w:before="0" w:after="160" w:line="259" w:lineRule="auto"/>
        <w:rPr>
          <w:rFonts w:asciiTheme="majorHAnsi" w:eastAsiaTheme="majorEastAsia" w:hAnsiTheme="majorHAnsi" w:cstheme="majorBidi"/>
          <w:color w:val="006EC8" w:themeColor="accent1"/>
          <w:sz w:val="28"/>
          <w:szCs w:val="28"/>
        </w:rPr>
      </w:pPr>
      <w:bookmarkStart w:id="271" w:name="_Toc83997783"/>
      <w:bookmarkStart w:id="272" w:name="_Toc87700492"/>
      <w:bookmarkEnd w:id="265"/>
      <w:bookmarkEnd w:id="267"/>
    </w:p>
    <w:p w14:paraId="380080DA" w14:textId="23647652" w:rsidR="00A520C9" w:rsidRDefault="00A520C9" w:rsidP="007D045D">
      <w:pPr>
        <w:pStyle w:val="Heading2"/>
      </w:pPr>
      <w:bookmarkStart w:id="273" w:name="_Ref88493746"/>
      <w:bookmarkStart w:id="274" w:name="_Toc88686144"/>
      <w:r>
        <w:t xml:space="preserve">Further analysis of predictors of </w:t>
      </w:r>
      <w:r w:rsidR="00232FFF">
        <w:t>Scheme</w:t>
      </w:r>
      <w:r>
        <w:t xml:space="preserve"> cost</w:t>
      </w:r>
      <w:bookmarkEnd w:id="271"/>
      <w:bookmarkEnd w:id="272"/>
      <w:bookmarkEnd w:id="273"/>
      <w:bookmarkEnd w:id="274"/>
      <w:r>
        <w:t xml:space="preserve"> </w:t>
      </w:r>
    </w:p>
    <w:p w14:paraId="1B5AEA7B" w14:textId="65AD7479" w:rsidR="004A11B5" w:rsidRDefault="004A11B5" w:rsidP="007D045D">
      <w:pPr>
        <w:keepNext/>
        <w:keepLines/>
      </w:pPr>
      <w:r>
        <w:t xml:space="preserve">When several things are changing simultaneously, it can be helpful to fit a multivariate model to </w:t>
      </w:r>
      <w:r w:rsidR="00C7757C">
        <w:t xml:space="preserve">break down </w:t>
      </w:r>
      <w:r>
        <w:t xml:space="preserve">different effects. We have fit a generalised linear model of individual-level quarterly </w:t>
      </w:r>
      <w:r w:rsidR="00167241">
        <w:t xml:space="preserve">support </w:t>
      </w:r>
      <w:r>
        <w:t>costs</w:t>
      </w:r>
      <w:r>
        <w:rPr>
          <w:rStyle w:val="FootnoteReference"/>
        </w:rPr>
        <w:footnoteReference w:id="21"/>
      </w:r>
      <w:r>
        <w:t>. Results complement other summaries present throughout the report. The model had terms related to:</w:t>
      </w:r>
    </w:p>
    <w:p w14:paraId="09E2419C" w14:textId="77777777" w:rsidR="004A11B5" w:rsidRDefault="004A11B5" w:rsidP="007D045D">
      <w:pPr>
        <w:pStyle w:val="Bullet1"/>
        <w:keepNext/>
        <w:keepLines/>
      </w:pPr>
      <w:r>
        <w:t xml:space="preserve">(Calendar) payment quarter </w:t>
      </w:r>
    </w:p>
    <w:p w14:paraId="47FBB7BE" w14:textId="2B6666F5" w:rsidR="004A11B5" w:rsidRDefault="00BF419E" w:rsidP="007D045D">
      <w:pPr>
        <w:pStyle w:val="Bullet1"/>
        <w:keepNext/>
        <w:keepLines/>
      </w:pPr>
      <w:r>
        <w:t>Duration – the n</w:t>
      </w:r>
      <w:r w:rsidR="004A11B5">
        <w:t xml:space="preserve">umber of quarters a participant has been in the </w:t>
      </w:r>
      <w:r w:rsidR="00232FFF">
        <w:t>Scheme</w:t>
      </w:r>
    </w:p>
    <w:p w14:paraId="1EC4C519" w14:textId="77777777" w:rsidR="004A11B5" w:rsidRDefault="004A11B5" w:rsidP="007D045D">
      <w:pPr>
        <w:pStyle w:val="Bullet1"/>
        <w:keepNext/>
        <w:keepLines/>
      </w:pPr>
      <w:r>
        <w:t>Entry date</w:t>
      </w:r>
    </w:p>
    <w:p w14:paraId="7DCA1816" w14:textId="77777777" w:rsidR="004A11B5" w:rsidRDefault="004A11B5" w:rsidP="004A11B5">
      <w:pPr>
        <w:pStyle w:val="Bullet1"/>
      </w:pPr>
      <w:r>
        <w:t xml:space="preserve">SIL status </w:t>
      </w:r>
    </w:p>
    <w:p w14:paraId="4D0AF32F" w14:textId="77777777" w:rsidR="004A11B5" w:rsidRDefault="004A11B5" w:rsidP="004A11B5">
      <w:pPr>
        <w:pStyle w:val="Bullet1"/>
      </w:pPr>
      <w:r>
        <w:t>Disability type</w:t>
      </w:r>
    </w:p>
    <w:p w14:paraId="38204132" w14:textId="77777777" w:rsidR="004A11B5" w:rsidRDefault="004A11B5" w:rsidP="004A11B5">
      <w:pPr>
        <w:pStyle w:val="Bullet1"/>
      </w:pPr>
      <w:r>
        <w:t>Disability severity (and grouped severity interacting with disability type)</w:t>
      </w:r>
    </w:p>
    <w:p w14:paraId="4871DCF3" w14:textId="77777777" w:rsidR="004A11B5" w:rsidRDefault="004A11B5" w:rsidP="004A11B5">
      <w:pPr>
        <w:pStyle w:val="Bullet1"/>
      </w:pPr>
      <w:r>
        <w:t>Age (and age-disability type interactions)</w:t>
      </w:r>
    </w:p>
    <w:p w14:paraId="5336428C" w14:textId="77777777" w:rsidR="004A11B5" w:rsidRDefault="004A11B5" w:rsidP="004A11B5">
      <w:pPr>
        <w:pStyle w:val="Bullet1"/>
      </w:pPr>
      <w:r>
        <w:t>Type of plan management</w:t>
      </w:r>
    </w:p>
    <w:p w14:paraId="63A3E0C1" w14:textId="0E8FEBF8" w:rsidR="004A11B5" w:rsidRDefault="00234591" w:rsidP="004A11B5">
      <w:r>
        <w:t xml:space="preserve">Some effect sizes are presented in </w:t>
      </w:r>
      <w:r>
        <w:rPr>
          <w:highlight w:val="yellow"/>
        </w:rPr>
        <w:fldChar w:fldCharType="begin"/>
      </w:r>
      <w:r>
        <w:instrText xml:space="preserve"> REF _Ref87557728 \h </w:instrText>
      </w:r>
      <w:r>
        <w:rPr>
          <w:highlight w:val="yellow"/>
        </w:rPr>
      </w:r>
      <w:r>
        <w:rPr>
          <w:highlight w:val="yellow"/>
        </w:rPr>
        <w:fldChar w:fldCharType="separate"/>
      </w:r>
      <w:r w:rsidR="00E6217F">
        <w:t xml:space="preserve">Figure </w:t>
      </w:r>
      <w:r w:rsidR="00E6217F">
        <w:rPr>
          <w:noProof/>
        </w:rPr>
        <w:t>7</w:t>
      </w:r>
      <w:r w:rsidR="00E6217F">
        <w:t>.</w:t>
      </w:r>
      <w:r w:rsidR="00E6217F">
        <w:rPr>
          <w:noProof/>
        </w:rPr>
        <w:t>5</w:t>
      </w:r>
      <w:r>
        <w:rPr>
          <w:highlight w:val="yellow"/>
        </w:rPr>
        <w:fldChar w:fldCharType="end"/>
      </w:r>
      <w:r>
        <w:t xml:space="preserve">. </w:t>
      </w:r>
      <w:r w:rsidR="004A11B5">
        <w:t>While effects vary as layers of detail are added, at a broad level we have found:</w:t>
      </w:r>
    </w:p>
    <w:p w14:paraId="20F23B89" w14:textId="3E99E782" w:rsidR="004A11B5" w:rsidRDefault="004A11B5" w:rsidP="004A11B5">
      <w:pPr>
        <w:pStyle w:val="Bullet1"/>
      </w:pPr>
      <w:r>
        <w:t>A significant</w:t>
      </w:r>
      <w:r w:rsidR="00BC5603">
        <w:t>ly</w:t>
      </w:r>
      <w:r>
        <w:t xml:space="preserve"> higher payment rate for those entering from state schemes, after controlling for other factors. In aggregate, the payment is estimated as 36% higher. Part of this factor may be reasonable; those in existing schemes may have higher support needs </w:t>
      </w:r>
      <w:r w:rsidR="00BC5603">
        <w:t xml:space="preserve">which are </w:t>
      </w:r>
      <w:r>
        <w:t>not captured in NDIS participant characteristic data that led to them being in state schemes beforehand.</w:t>
      </w:r>
    </w:p>
    <w:p w14:paraId="07E2AE12" w14:textId="77777777" w:rsidR="004A11B5" w:rsidRDefault="004A11B5" w:rsidP="004A11B5">
      <w:pPr>
        <w:pStyle w:val="Bullet1"/>
      </w:pPr>
      <w:r>
        <w:t>There has been limited entry quarter effects in the past two years. That is, after controlling for entry source (state or new), duration, broader inflation and disability severity effects, people entering in 2021 are receiving similar amounts of support to people two years earlier.</w:t>
      </w:r>
    </w:p>
    <w:p w14:paraId="1E3C9DF7" w14:textId="57804640" w:rsidR="004A11B5" w:rsidRDefault="004A11B5" w:rsidP="004A11B5">
      <w:pPr>
        <w:pStyle w:val="Bullet1"/>
      </w:pPr>
      <w:r>
        <w:t xml:space="preserve">Conversely, both duration and calendar quarter effects are large. </w:t>
      </w:r>
      <w:r w:rsidR="007D045D">
        <w:t>Duration effects are the tendency for payments to increase the longer a participant is in the scheme, all else equal. Calendar quarter effects are general cost increases seen over time (so that a cohort today will cost more than an equivalent cohort in the past).</w:t>
      </w:r>
    </w:p>
    <w:p w14:paraId="1684D3C4" w14:textId="77777777" w:rsidR="004A11B5" w:rsidRDefault="004A11B5" w:rsidP="004A11B5">
      <w:pPr>
        <w:pStyle w:val="Bullet2"/>
      </w:pPr>
      <w:r>
        <w:t>Payment levels in 2020-21 are about 30% higher than 2018-19 after controlling for other factors. This combines both price inflation and general growth in supports seen across the scheme over time.</w:t>
      </w:r>
    </w:p>
    <w:p w14:paraId="00BCC12D" w14:textId="0E164BC1" w:rsidR="004A11B5" w:rsidRDefault="004A11B5" w:rsidP="004A11B5">
      <w:pPr>
        <w:pStyle w:val="Bullet2"/>
      </w:pPr>
      <w:r>
        <w:t xml:space="preserve">For those </w:t>
      </w:r>
      <w:r w:rsidR="00BC5603">
        <w:t xml:space="preserve">not in </w:t>
      </w:r>
      <w:r>
        <w:t xml:space="preserve">SIL, costs at 51% higher at quarter 4 (relative to the first full </w:t>
      </w:r>
      <w:r w:rsidR="00BC5603">
        <w:t>calendar</w:t>
      </w:r>
      <w:r>
        <w:t xml:space="preserve">) and 71% at quarter 16. For those </w:t>
      </w:r>
      <w:r w:rsidR="00BC5603">
        <w:t xml:space="preserve">in </w:t>
      </w:r>
      <w:r>
        <w:t>SIL, the corresponding factors are 15% and 42%. Duration effects appear to persist into a participant’s 4</w:t>
      </w:r>
      <w:r w:rsidRPr="00401C98">
        <w:rPr>
          <w:vertAlign w:val="superscript"/>
        </w:rPr>
        <w:t>th</w:t>
      </w:r>
      <w:r>
        <w:t xml:space="preserve"> and 5</w:t>
      </w:r>
      <w:r w:rsidRPr="00401C98">
        <w:rPr>
          <w:vertAlign w:val="superscript"/>
        </w:rPr>
        <w:t>th</w:t>
      </w:r>
      <w:r>
        <w:t xml:space="preserve"> years. Duration effects are generally unrelated to price effects, so reflect some of the growth in support provided to people over time (e.g. as they better navigate the system). </w:t>
      </w:r>
    </w:p>
    <w:p w14:paraId="644B8CF3" w14:textId="6225733F" w:rsidR="004A11B5" w:rsidRDefault="00234591" w:rsidP="004A11B5">
      <w:r>
        <w:t xml:space="preserve">The growth in payments seen in </w:t>
      </w:r>
      <w:r w:rsidR="00636FA6">
        <w:t xml:space="preserve">the reported </w:t>
      </w:r>
      <w:r>
        <w:t xml:space="preserve">effects is larger than the overall average increase in per participant </w:t>
      </w:r>
      <w:r w:rsidR="00232FFF">
        <w:t>Scheme</w:t>
      </w:r>
      <w:r>
        <w:t xml:space="preserve"> payments. </w:t>
      </w:r>
      <w:r w:rsidR="00636FA6">
        <w:t>This is because o</w:t>
      </w:r>
      <w:r>
        <w:t>ther compositional effects offset some of these increases</w:t>
      </w:r>
      <w:r w:rsidR="00636FA6">
        <w:t>.</w:t>
      </w:r>
      <w:r>
        <w:t xml:space="preserve"> </w:t>
      </w:r>
      <w:r w:rsidR="00636FA6">
        <w:t xml:space="preserve">Examples include </w:t>
      </w:r>
      <w:r>
        <w:t xml:space="preserve">a growing proportion of people entering from outside state schemes and a lower level </w:t>
      </w:r>
      <w:r w:rsidR="002A44FB">
        <w:t xml:space="preserve">of disability </w:t>
      </w:r>
      <w:r>
        <w:t xml:space="preserve">severity for new entrants. </w:t>
      </w:r>
    </w:p>
    <w:p w14:paraId="416B298F" w14:textId="32905F54" w:rsidR="004A11B5" w:rsidRDefault="004A11B5" w:rsidP="004A11B5">
      <w:r>
        <w:t>Other effects are naturally present too</w:t>
      </w:r>
      <w:r w:rsidR="00BC5603">
        <w:t>, such as</w:t>
      </w:r>
      <w:r>
        <w:t xml:space="preserve"> large differences by disability type, severity and age, although these are generally well-captured in the existing model methodology.</w:t>
      </w:r>
    </w:p>
    <w:p w14:paraId="47262BBD" w14:textId="36E47BF5" w:rsidR="004A11B5" w:rsidRDefault="004A11B5" w:rsidP="004A11B5">
      <w:pPr>
        <w:pStyle w:val="Caption"/>
      </w:pPr>
      <w:bookmarkStart w:id="275" w:name="_Ref87557728"/>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5</w:t>
      </w:r>
      <w:r w:rsidR="009366CE">
        <w:fldChar w:fldCharType="end"/>
      </w:r>
      <w:bookmarkEnd w:id="275"/>
      <w:r>
        <w:t xml:space="preserve"> – Isolated model relative effects on participant payments, from GLM fit</w:t>
      </w:r>
    </w:p>
    <w:p w14:paraId="1E68D4DE" w14:textId="77777777" w:rsidR="004A11B5" w:rsidRDefault="004A11B5" w:rsidP="004A11B5">
      <w:r w:rsidRPr="000B0DD1">
        <w:rPr>
          <w:noProof/>
        </w:rPr>
        <w:drawing>
          <wp:inline distT="0" distB="0" distL="0" distR="0" wp14:anchorId="413B88B5" wp14:editId="03A6B145">
            <wp:extent cx="5656604" cy="4785756"/>
            <wp:effectExtent l="0" t="0" r="0" b="0"/>
            <wp:docPr id="79" name="Picture 79" descr="Participant source&#10;Participant source component. New. 0%.&#10;Commonwealth. 10%.&#10;State. 36%.&#10;&#10;Calendar quarter&#10;&#10;September 2018. &#10;Quarterly component. 0%.&#10;Financial Year average. 1%&#10;&#10;December 2018. &#10;Quarterly component. 1%.&#10;Financial Year average. 1%&#10;&#10;March 2019. &#10;Quarterly component. -3%.&#10;Financial Year average. 1%&#10;&#10;June 2019. &#10;Quarterly component. 6%.&#10;Financial Year average. 1%&#10;&#10;September 2019. &#10;Quarterly component. 16%.&#10;Financial Year average. 18%&#10;&#10;December 2019. &#10;Quarterly component. 17%.&#10;Financial Year average. 18%&#10;&#10;March 2020. &#10;Quarterly component. 13%.&#10;Financial Year average. 18%&#10;&#10;June 2020. &#10;Quarterly component. 24%.&#10;Financial Year average. 18%&#10;&#10;September 2020. &#10;Quarterly component. 29%.&#10;Financial Year average. 31%&#10;&#10;December 2020. &#10;Quarterly component. 26%.&#10;Financial Year average. 31%&#10;&#10;March 2021. &#10;Quarterly component. 27%.&#10;Financial Year average. 31%&#10;&#10;June 2021. &#10;Quarterly component. 40%.&#10;Financial Year average. 31%&#10;&#10;Duration since entering scheme&#10;Number of years since scheme entry. 0.25 years.&#10;No SIL. 0%.&#10;SIL. 0%.&#10;&#10;0.5 years.&#10;No SIL. 15%.&#10;SIL. 5%.&#10;&#10;0.75 years.&#10;No SIL. 32%.&#10;SIL. 10%.&#10;&#10;1 years.&#10;No SIL. 51%.&#10;SIL. 15%.&#10;&#10;1.25 years.&#10;No SIL. 53%.&#10;SIL. 17%.&#10;&#10;1.5 years.&#10;No SIL. 54%.&#10;SIL. 18%.&#10;&#10;1.75 years.&#10;No SIL. 55%.&#10;SIL. 19%.&#10;&#10;2 years.&#10;No SIL. 57%.&#10;SIL. 21%.&#10;&#10;2.25 years.&#10;No SIL. 58%.&#10;SIL. 22%.&#10;&#10;2.5 years.&#10;No SIL. 59%.&#10;SIL. 24%.&#10;&#10;2.75 years.&#10;No SIL. 61%.&#10;SIL. 25%.&#10;&#10;3 years.&#10;No SIL. 62%.&#10;SIL. 27%.&#10;&#10;3.25 years.&#10;No SIL. 64%.&#10;SIL. 30%.&#10;&#10;3.5 years.&#10;No SIL. 66%.&#10;SIL. 34%.&#10;&#10;3.75 years.&#10;No SIL. 69%.&#10;SIL. 38%.&#10;&#10;4 years.&#10;No SIL. 71%.&#10;SIL.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articipant source&#10;Participant source component. New. 0%.&#10;Commonwealth. 10%.&#10;State. 36%.&#10;&#10;Calendar quarter&#10;&#10;September 2018. &#10;Quarterly component. 0%.&#10;Financial Year average. 1%&#10;&#10;December 2018. &#10;Quarterly component. 1%.&#10;Financial Year average. 1%&#10;&#10;March 2019. &#10;Quarterly component. -3%.&#10;Financial Year average. 1%&#10;&#10;June 2019. &#10;Quarterly component. 6%.&#10;Financial Year average. 1%&#10;&#10;September 2019. &#10;Quarterly component. 16%.&#10;Financial Year average. 18%&#10;&#10;December 2019. &#10;Quarterly component. 17%.&#10;Financial Year average. 18%&#10;&#10;March 2020. &#10;Quarterly component. 13%.&#10;Financial Year average. 18%&#10;&#10;June 2020. &#10;Quarterly component. 24%.&#10;Financial Year average. 18%&#10;&#10;September 2020. &#10;Quarterly component. 29%.&#10;Financial Year average. 31%&#10;&#10;December 2020. &#10;Quarterly component. 26%.&#10;Financial Year average. 31%&#10;&#10;March 2021. &#10;Quarterly component. 27%.&#10;Financial Year average. 31%&#10;&#10;June 2021. &#10;Quarterly component. 40%.&#10;Financial Year average. 31%&#10;&#10;Duration since entering scheme&#10;Number of years since scheme entry. 0.25 years.&#10;No SIL. 0%.&#10;SIL. 0%.&#10;&#10;0.5 years.&#10;No SIL. 15%.&#10;SIL. 5%.&#10;&#10;0.75 years.&#10;No SIL. 32%.&#10;SIL. 10%.&#10;&#10;1 years.&#10;No SIL. 51%.&#10;SIL. 15%.&#10;&#10;1.25 years.&#10;No SIL. 53%.&#10;SIL. 17%.&#10;&#10;1.5 years.&#10;No SIL. 54%.&#10;SIL. 18%.&#10;&#10;1.75 years.&#10;No SIL. 55%.&#10;SIL. 19%.&#10;&#10;2 years.&#10;No SIL. 57%.&#10;SIL. 21%.&#10;&#10;2.25 years.&#10;No SIL. 58%.&#10;SIL. 22%.&#10;&#10;2.5 years.&#10;No SIL. 59%.&#10;SIL. 24%.&#10;&#10;2.75 years.&#10;No SIL. 61%.&#10;SIL. 25%.&#10;&#10;3 years.&#10;No SIL. 62%.&#10;SIL. 27%.&#10;&#10;3.25 years.&#10;No SIL. 64%.&#10;SIL. 30%.&#10;&#10;3.5 years.&#10;No SIL. 66%.&#10;SIL. 34%.&#10;&#10;3.75 years.&#10;No SIL. 69%.&#10;SIL. 38%.&#10;&#10;4 years.&#10;No SIL. 71%.&#10;SIL. 42%."/>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5657455" cy="4786476"/>
                    </a:xfrm>
                    <a:prstGeom prst="rect">
                      <a:avLst/>
                    </a:prstGeom>
                    <a:noFill/>
                    <a:ln>
                      <a:noFill/>
                    </a:ln>
                  </pic:spPr>
                </pic:pic>
              </a:graphicData>
            </a:graphic>
          </wp:inline>
        </w:drawing>
      </w:r>
    </w:p>
    <w:p w14:paraId="1DF63F77" w14:textId="39E2655D" w:rsidR="00821223" w:rsidRDefault="004A11B5" w:rsidP="00A520C9">
      <w:r>
        <w:t xml:space="preserve">The average duration in the </w:t>
      </w:r>
      <w:r w:rsidR="00232FFF">
        <w:t>Scheme</w:t>
      </w:r>
      <w:r>
        <w:t xml:space="preserve"> at 30 June 2021 is </w:t>
      </w:r>
      <w:r w:rsidR="00A730E9">
        <w:t xml:space="preserve">only </w:t>
      </w:r>
      <w:r>
        <w:t xml:space="preserve">about 10 quarters, </w:t>
      </w:r>
      <w:r w:rsidR="00A730E9">
        <w:t xml:space="preserve">which is </w:t>
      </w:r>
      <w:r>
        <w:t xml:space="preserve">likely to increase to 20 quarters by June 2025. Based on the current duration trend alone, we would expect about 10-12% increase in payments, representing a large </w:t>
      </w:r>
      <w:r w:rsidR="00A730E9">
        <w:t xml:space="preserve">proportion </w:t>
      </w:r>
      <w:r>
        <w:t xml:space="preserve">of the existing AFSR inflation allowance. </w:t>
      </w:r>
    </w:p>
    <w:p w14:paraId="010C92E9" w14:textId="77777777" w:rsidR="00FD373D" w:rsidRDefault="00FD373D" w:rsidP="00A520C9"/>
    <w:p w14:paraId="3DBCEE30" w14:textId="77777777" w:rsidR="00FD373D" w:rsidRDefault="00FD373D">
      <w:pPr>
        <w:spacing w:before="0" w:after="160" w:line="259" w:lineRule="auto"/>
        <w:rPr>
          <w:rFonts w:asciiTheme="majorHAnsi" w:eastAsiaTheme="majorEastAsia" w:hAnsiTheme="majorHAnsi" w:cstheme="majorBidi"/>
          <w:color w:val="006EC8" w:themeColor="accent1"/>
          <w:sz w:val="28"/>
          <w:szCs w:val="28"/>
        </w:rPr>
      </w:pPr>
      <w:bookmarkStart w:id="276" w:name="_Toc87700493"/>
      <w:r>
        <w:br w:type="page"/>
      </w:r>
    </w:p>
    <w:p w14:paraId="4630051B" w14:textId="49F94F9A" w:rsidR="004A11B5" w:rsidRDefault="004A11B5" w:rsidP="004A11B5">
      <w:pPr>
        <w:pStyle w:val="Heading2"/>
      </w:pPr>
      <w:bookmarkStart w:id="277" w:name="_Toc88686145"/>
      <w:r>
        <w:t xml:space="preserve">Further analysis on </w:t>
      </w:r>
      <w:r w:rsidR="00232FFF">
        <w:t>Scheme</w:t>
      </w:r>
      <w:r>
        <w:t xml:space="preserve"> payments</w:t>
      </w:r>
      <w:bookmarkEnd w:id="276"/>
      <w:bookmarkEnd w:id="277"/>
    </w:p>
    <w:p w14:paraId="60468578" w14:textId="12336198" w:rsidR="002537FC" w:rsidRDefault="00023E69" w:rsidP="002537FC">
      <w:r>
        <w:t>Core</w:t>
      </w:r>
      <w:r w:rsidR="002537FC" w:rsidRPr="0046524B">
        <w:t xml:space="preserve"> supports</w:t>
      </w:r>
      <w:r w:rsidR="002537FC">
        <w:t xml:space="preserve"> represent the majority of </w:t>
      </w:r>
      <w:r>
        <w:t>overall</w:t>
      </w:r>
      <w:r w:rsidR="002537FC">
        <w:t xml:space="preserve"> supports. Once people have been in the </w:t>
      </w:r>
      <w:r w:rsidR="00232FFF">
        <w:t>Scheme</w:t>
      </w:r>
      <w:r w:rsidR="002537FC">
        <w:t xml:space="preserve"> for more than a year these supports should be fairly stable, however this has not been the case.</w:t>
      </w:r>
      <w:r w:rsidR="00F7219B">
        <w:t xml:space="preserve"> Substantial increases are visible, particularly for participants that </w:t>
      </w:r>
      <w:r w:rsidR="00A730E9">
        <w:t xml:space="preserve">had </w:t>
      </w:r>
      <w:r w:rsidR="00F7219B">
        <w:t xml:space="preserve">lower </w:t>
      </w:r>
      <w:r w:rsidR="00A730E9">
        <w:t xml:space="preserve">costs </w:t>
      </w:r>
      <w:r w:rsidR="00F7219B">
        <w:t>in 2019-20.</w:t>
      </w:r>
      <w:r w:rsidR="002537FC">
        <w:t xml:space="preserve"> </w:t>
      </w:r>
      <w:r w:rsidR="002537FC">
        <w:fldChar w:fldCharType="begin"/>
      </w:r>
      <w:r w:rsidR="002537FC">
        <w:instrText xml:space="preserve"> REF _Ref86937876 \h </w:instrText>
      </w:r>
      <w:r w:rsidR="002537FC">
        <w:fldChar w:fldCharType="separate"/>
      </w:r>
      <w:r w:rsidR="00E6217F">
        <w:t xml:space="preserve">Figure </w:t>
      </w:r>
      <w:r w:rsidR="00E6217F">
        <w:rPr>
          <w:noProof/>
        </w:rPr>
        <w:t>7</w:t>
      </w:r>
      <w:r w:rsidR="00E6217F">
        <w:t>.</w:t>
      </w:r>
      <w:r w:rsidR="00E6217F">
        <w:rPr>
          <w:noProof/>
        </w:rPr>
        <w:t>6</w:t>
      </w:r>
      <w:r w:rsidR="002537FC">
        <w:fldChar w:fldCharType="end"/>
      </w:r>
      <w:r w:rsidR="002537FC">
        <w:t xml:space="preserve"> shows the contribution to the increase in supports relative to the amount received in 2019-20. </w:t>
      </w:r>
    </w:p>
    <w:p w14:paraId="6EFAE721" w14:textId="3E6EEE8E" w:rsidR="002537FC" w:rsidRDefault="006B2A3C" w:rsidP="002537FC">
      <w:pPr>
        <w:pStyle w:val="Caption"/>
      </w:pPr>
      <w:bookmarkStart w:id="278" w:name="_Ref86937876"/>
      <w:r>
        <w:rPr>
          <w:noProof/>
        </w:rPr>
        <mc:AlternateContent>
          <mc:Choice Requires="wps">
            <w:drawing>
              <wp:anchor distT="0" distB="0" distL="114300" distR="114300" simplePos="0" relativeHeight="251667456" behindDoc="0" locked="0" layoutInCell="1" allowOverlap="1" wp14:anchorId="5155C9F8" wp14:editId="480F8150">
                <wp:simplePos x="0" y="0"/>
                <wp:positionH relativeFrom="column">
                  <wp:posOffset>700405</wp:posOffset>
                </wp:positionH>
                <wp:positionV relativeFrom="paragraph">
                  <wp:posOffset>230505</wp:posOffset>
                </wp:positionV>
                <wp:extent cx="4957445" cy="353060"/>
                <wp:effectExtent l="0" t="0" r="0" b="8890"/>
                <wp:wrapNone/>
                <wp:docPr id="10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744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50950" w14:textId="77777777" w:rsidR="002537FC" w:rsidRPr="0046524B" w:rsidRDefault="002537FC" w:rsidP="002537FC">
                            <w:pPr>
                              <w:rPr>
                                <w:b/>
                                <w:bCs/>
                                <w:lang w:val="en-US"/>
                              </w:rPr>
                            </w:pPr>
                            <w:r w:rsidRPr="0046524B">
                              <w:rPr>
                                <w:b/>
                                <w:bCs/>
                                <w:lang w:val="en-US"/>
                              </w:rPr>
                              <w:t>Non-SIL participants</w:t>
                            </w:r>
                            <w:r>
                              <w:rPr>
                                <w:b/>
                                <w:bCs/>
                                <w:lang w:val="en-US"/>
                              </w:rPr>
                              <w:t xml:space="preserve">                                                                            SIL participants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55C9F8" id="Rectangle 2" o:spid="_x0000_s1029" alt="&quot;&quot;" style="position:absolute;margin-left:55.15pt;margin-top:18.15pt;width:390.35pt;height:27.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" filled="f" stroked="f">
                <v:textbox>
                  <w:txbxContent>
                    <w:p w14:paraId="73750950" w14:textId="77777777" w:rsidR="002537FC" w:rsidRPr="0046524B" w:rsidRDefault="002537FC" w:rsidP="002537FC">
                      <w:pPr>
                        <w:rPr>
                          <w:b/>
                          <w:bCs/>
                          <w:lang w:val="en-US"/>
                        </w:rPr>
                      </w:pPr>
                      <w:r w:rsidRPr="0046524B">
                        <w:rPr>
                          <w:b/>
                          <w:bCs/>
                          <w:lang w:val="en-US"/>
                        </w:rPr>
                        <w:t>Non-SIL participants</w:t>
                      </w:r>
                      <w:r>
                        <w:rPr>
                          <w:b/>
                          <w:bCs/>
                          <w:lang w:val="en-US"/>
                        </w:rPr>
                        <w:t xml:space="preserve">                                                                            SIL participants</w:t>
                      </w:r>
                    </w:p>
                  </w:txbxContent>
                </v:textbox>
              </v:rect>
            </w:pict>
          </mc:Fallback>
        </mc:AlternateContent>
      </w:r>
      <w:r w:rsidR="002537FC">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6</w:t>
      </w:r>
      <w:r w:rsidR="009366CE">
        <w:fldChar w:fldCharType="end"/>
      </w:r>
      <w:bookmarkEnd w:id="278"/>
      <w:r w:rsidR="002537FC">
        <w:t xml:space="preserve"> – Increase in </w:t>
      </w:r>
      <w:r w:rsidR="004A11B5">
        <w:t xml:space="preserve">Core </w:t>
      </w:r>
      <w:r w:rsidR="002537FC">
        <w:t>payments relative to the proportion of participants</w:t>
      </w:r>
    </w:p>
    <w:p w14:paraId="2A81D2B4" w14:textId="424854DD" w:rsidR="002537FC" w:rsidRDefault="00A730E9" w:rsidP="002537FC">
      <w:r>
        <w:rPr>
          <w:noProof/>
        </w:rPr>
        <mc:AlternateContent>
          <mc:Choice Requires="wps">
            <w:drawing>
              <wp:anchor distT="0" distB="0" distL="114300" distR="114300" simplePos="0" relativeHeight="251674624" behindDoc="0" locked="0" layoutInCell="1" allowOverlap="1" wp14:anchorId="633216B8" wp14:editId="7AA53F7A">
                <wp:simplePos x="0" y="0"/>
                <wp:positionH relativeFrom="column">
                  <wp:posOffset>3399156</wp:posOffset>
                </wp:positionH>
                <wp:positionV relativeFrom="paragraph">
                  <wp:posOffset>1028065</wp:posOffset>
                </wp:positionV>
                <wp:extent cx="331470" cy="395605"/>
                <wp:effectExtent l="0" t="0" r="49530" b="61595"/>
                <wp:wrapNone/>
                <wp:docPr id="107" name="AutoShap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395605"/>
                        </a:xfrm>
                        <a:prstGeom prst="straightConnector1">
                          <a:avLst/>
                        </a:prstGeom>
                        <a:noFill/>
                        <a:ln w="9525">
                          <a:solidFill>
                            <a:schemeClr val="accent5">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E29E80" id="AutoShape 9" o:spid="_x0000_s1026" type="#_x0000_t32" alt="&quot;&quot;" style="position:absolute;margin-left:267.65pt;margin-top:80.95pt;width:26.1pt;height:3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" strokecolor="#ff1452 [3208]">
                <v:stroke endarrow="block"/>
              </v:shape>
            </w:pict>
          </mc:Fallback>
        </mc:AlternateContent>
      </w:r>
      <w:r>
        <w:rPr>
          <w:noProof/>
        </w:rPr>
        <mc:AlternateContent>
          <mc:Choice Requires="wps">
            <w:drawing>
              <wp:anchor distT="0" distB="0" distL="114300" distR="114300" simplePos="0" relativeHeight="251672576" behindDoc="0" locked="0" layoutInCell="1" allowOverlap="1" wp14:anchorId="40A31F69" wp14:editId="5F2DC9D8">
                <wp:simplePos x="0" y="0"/>
                <wp:positionH relativeFrom="column">
                  <wp:posOffset>979170</wp:posOffset>
                </wp:positionH>
                <wp:positionV relativeFrom="paragraph">
                  <wp:posOffset>661670</wp:posOffset>
                </wp:positionV>
                <wp:extent cx="481330" cy="240665"/>
                <wp:effectExtent l="38100" t="0" r="13970" b="64135"/>
                <wp:wrapNone/>
                <wp:docPr id="105" name="AutoShap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1330" cy="240665"/>
                        </a:xfrm>
                        <a:prstGeom prst="straightConnector1">
                          <a:avLst/>
                        </a:prstGeom>
                        <a:noFill/>
                        <a:ln w="9525">
                          <a:solidFill>
                            <a:schemeClr val="accent5">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234F60" id="AutoShape 7" o:spid="_x0000_s1026" type="#_x0000_t32" alt="&quot;&quot;" style="position:absolute;margin-left:77.1pt;margin-top:52.1pt;width:37.9pt;height:18.9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" strokecolor="#ff1452 [3208]">
                <v:stroke endarrow="block"/>
              </v:shape>
            </w:pict>
          </mc:Fallback>
        </mc:AlternateContent>
      </w:r>
      <w:r>
        <w:rPr>
          <w:noProof/>
        </w:rPr>
        <mc:AlternateContent>
          <mc:Choice Requires="wps">
            <w:drawing>
              <wp:anchor distT="0" distB="0" distL="114300" distR="114300" simplePos="0" relativeHeight="251670528" behindDoc="0" locked="0" layoutInCell="1" allowOverlap="1" wp14:anchorId="7EC08EB6" wp14:editId="5B336EC8">
                <wp:simplePos x="0" y="0"/>
                <wp:positionH relativeFrom="column">
                  <wp:posOffset>4326890</wp:posOffset>
                </wp:positionH>
                <wp:positionV relativeFrom="paragraph">
                  <wp:posOffset>614045</wp:posOffset>
                </wp:positionV>
                <wp:extent cx="313055" cy="433070"/>
                <wp:effectExtent l="0" t="0" r="10795" b="24130"/>
                <wp:wrapNone/>
                <wp:docPr id="103" name="Oval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 cy="433070"/>
                        </a:xfrm>
                        <a:prstGeom prst="ellipse">
                          <a:avLst/>
                        </a:prstGeom>
                        <a:noFill/>
                        <a:ln w="12700">
                          <a:solidFill>
                            <a:schemeClr val="accent5">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52DB39" id="Oval 5" o:spid="_x0000_s1026" alt="&quot;&quot;" style="position:absolute;margin-left:340.7pt;margin-top:48.35pt;width:24.65pt;height:34.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" filled="f" strokecolor="#ff1452 [3208]" strokeweight="1pt"/>
            </w:pict>
          </mc:Fallback>
        </mc:AlternateContent>
      </w:r>
      <w:r>
        <w:rPr>
          <w:noProof/>
        </w:rPr>
        <mc:AlternateContent>
          <mc:Choice Requires="wps">
            <w:drawing>
              <wp:anchor distT="0" distB="0" distL="114300" distR="114300" simplePos="0" relativeHeight="251668480" behindDoc="0" locked="0" layoutInCell="1" allowOverlap="1" wp14:anchorId="120D3429" wp14:editId="30201E34">
                <wp:simplePos x="0" y="0"/>
                <wp:positionH relativeFrom="column">
                  <wp:posOffset>637540</wp:posOffset>
                </wp:positionH>
                <wp:positionV relativeFrom="paragraph">
                  <wp:posOffset>702310</wp:posOffset>
                </wp:positionV>
                <wp:extent cx="313055" cy="433070"/>
                <wp:effectExtent l="0" t="0" r="10795" b="24130"/>
                <wp:wrapNone/>
                <wp:docPr id="37" name="Oval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 cy="433070"/>
                        </a:xfrm>
                        <a:prstGeom prst="ellipse">
                          <a:avLst/>
                        </a:prstGeom>
                        <a:noFill/>
                        <a:ln w="12700">
                          <a:solidFill>
                            <a:schemeClr val="accent5">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6A5980" id="Oval 3" o:spid="_x0000_s1026" alt="&quot;&quot;" style="position:absolute;margin-left:50.2pt;margin-top:55.3pt;width:24.65pt;height:34.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" filled="f" strokecolor="#ff1452 [3208]" strokeweight="1pt"/>
            </w:pict>
          </mc:Fallback>
        </mc:AlternateContent>
      </w:r>
      <w:r>
        <w:rPr>
          <w:noProof/>
        </w:rPr>
        <mc:AlternateContent>
          <mc:Choice Requires="wps">
            <w:drawing>
              <wp:anchor distT="0" distB="0" distL="114300" distR="114300" simplePos="0" relativeHeight="251669504" behindDoc="0" locked="0" layoutInCell="1" allowOverlap="1" wp14:anchorId="3C2FD50D" wp14:editId="46F13F8F">
                <wp:simplePos x="0" y="0"/>
                <wp:positionH relativeFrom="column">
                  <wp:posOffset>3693795</wp:posOffset>
                </wp:positionH>
                <wp:positionV relativeFrom="paragraph">
                  <wp:posOffset>1327785</wp:posOffset>
                </wp:positionV>
                <wp:extent cx="313055" cy="433070"/>
                <wp:effectExtent l="0" t="0" r="10795" b="24130"/>
                <wp:wrapNone/>
                <wp:docPr id="54" name="Oval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 cy="433070"/>
                        </a:xfrm>
                        <a:prstGeom prst="ellipse">
                          <a:avLst/>
                        </a:prstGeom>
                        <a:noFill/>
                        <a:ln w="12700">
                          <a:solidFill>
                            <a:schemeClr val="accent5">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F2D949" id="Oval 4" o:spid="_x0000_s1026" alt="&quot;&quot;" style="position:absolute;margin-left:290.85pt;margin-top:104.55pt;width:24.65pt;height:34.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" filled="f" strokecolor="#ff1452 [3208]" strokeweight="1pt"/>
            </w:pict>
          </mc:Fallback>
        </mc:AlternateContent>
      </w:r>
      <w:r w:rsidR="006B2A3C">
        <w:rPr>
          <w:noProof/>
        </w:rPr>
        <mc:AlternateContent>
          <mc:Choice Requires="wps">
            <w:drawing>
              <wp:anchor distT="0" distB="0" distL="114300" distR="114300" simplePos="0" relativeHeight="251673600" behindDoc="0" locked="0" layoutInCell="1" allowOverlap="1" wp14:anchorId="139E72B4" wp14:editId="7E48B914">
                <wp:simplePos x="0" y="0"/>
                <wp:positionH relativeFrom="column">
                  <wp:posOffset>3731895</wp:posOffset>
                </wp:positionH>
                <wp:positionV relativeFrom="paragraph">
                  <wp:posOffset>737235</wp:posOffset>
                </wp:positionV>
                <wp:extent cx="569595" cy="168275"/>
                <wp:effectExtent l="7620" t="13335" r="32385" b="56515"/>
                <wp:wrapNone/>
                <wp:docPr id="106" name="AutoShap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 cy="168275"/>
                        </a:xfrm>
                        <a:prstGeom prst="straightConnector1">
                          <a:avLst/>
                        </a:prstGeom>
                        <a:noFill/>
                        <a:ln w="9525">
                          <a:solidFill>
                            <a:schemeClr val="accent5">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85F35B" id="AutoShape 8" o:spid="_x0000_s1026" type="#_x0000_t32" alt="&quot;&quot;" style="position:absolute;margin-left:293.85pt;margin-top:58.05pt;width:44.85pt;height:1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" strokecolor="#ff1452 [3208]">
                <v:stroke endarrow="block"/>
              </v:shape>
            </w:pict>
          </mc:Fallback>
        </mc:AlternateContent>
      </w:r>
      <w:r w:rsidR="006B2A3C">
        <w:rPr>
          <w:noProof/>
        </w:rPr>
        <mc:AlternateContent>
          <mc:Choice Requires="wps">
            <w:drawing>
              <wp:anchor distT="0" distB="0" distL="114300" distR="114300" simplePos="0" relativeHeight="251671552" behindDoc="0" locked="0" layoutInCell="1" allowOverlap="1" wp14:anchorId="4CF8C594" wp14:editId="15E0BD1F">
                <wp:simplePos x="0" y="0"/>
                <wp:positionH relativeFrom="column">
                  <wp:posOffset>1470025</wp:posOffset>
                </wp:positionH>
                <wp:positionV relativeFrom="paragraph">
                  <wp:posOffset>496570</wp:posOffset>
                </wp:positionV>
                <wp:extent cx="2261870" cy="529590"/>
                <wp:effectExtent l="12700" t="10795" r="11430" b="12065"/>
                <wp:wrapNone/>
                <wp:docPr id="104"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1870" cy="529590"/>
                        </a:xfrm>
                        <a:prstGeom prst="rect">
                          <a:avLst/>
                        </a:prstGeom>
                        <a:noFill/>
                        <a:ln w="9525" cap="rnd">
                          <a:solidFill>
                            <a:schemeClr val="accent5">
                              <a:lumMod val="100000"/>
                              <a:lumOff val="0"/>
                            </a:schemeClr>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6BB579BB" w14:textId="77777777" w:rsidR="002537FC" w:rsidRPr="003A645A" w:rsidRDefault="002537FC" w:rsidP="002537FC">
                            <w:pPr>
                              <w:jc w:val="center"/>
                              <w:rPr>
                                <w:color w:val="FF0000"/>
                                <w:sz w:val="20"/>
                                <w:szCs w:val="20"/>
                                <w:lang w:val="en-US"/>
                              </w:rPr>
                            </w:pPr>
                            <w:r w:rsidRPr="003A645A">
                              <w:rPr>
                                <w:color w:val="FF0000"/>
                                <w:sz w:val="20"/>
                                <w:szCs w:val="20"/>
                                <w:lang w:val="en-US"/>
                              </w:rPr>
                              <w:t>Cohorts where the increase exceeded the share of 2019-20 payments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8C594" id="Rectangle 6" o:spid="_x0000_s1030" alt="&quot;&quot;" style="position:absolute;margin-left:115.75pt;margin-top:39.1pt;width:178.1pt;height:4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" filled="f" strokecolor="#ff1452 [3208]">
                <v:stroke dashstyle="1 1" endcap="round"/>
                <v:textbox>
                  <w:txbxContent>
                    <w:p w14:paraId="6BB579BB" w14:textId="77777777" w:rsidR="002537FC" w:rsidRPr="003A645A" w:rsidRDefault="002537FC" w:rsidP="002537FC">
                      <w:pPr>
                        <w:jc w:val="center"/>
                        <w:rPr>
                          <w:color w:val="FF0000"/>
                          <w:sz w:val="20"/>
                          <w:szCs w:val="20"/>
                          <w:lang w:val="en-US"/>
                        </w:rPr>
                      </w:pPr>
                      <w:r w:rsidRPr="003A645A">
                        <w:rPr>
                          <w:color w:val="FF0000"/>
                          <w:sz w:val="20"/>
                          <w:szCs w:val="20"/>
                          <w:lang w:val="en-US"/>
                        </w:rPr>
                        <w:t>Cohorts where the increase exceeded the share of 2019-20 payments</w:t>
                      </w:r>
                    </w:p>
                  </w:txbxContent>
                </v:textbox>
              </v:rect>
            </w:pict>
          </mc:Fallback>
        </mc:AlternateContent>
      </w:r>
      <w:r w:rsidR="002537FC">
        <w:rPr>
          <w:noProof/>
        </w:rPr>
        <w:drawing>
          <wp:inline distT="0" distB="0" distL="0" distR="0" wp14:anchorId="314C4D17" wp14:editId="7958BA0B">
            <wp:extent cx="5955269" cy="2676525"/>
            <wp:effectExtent l="0" t="0" r="7620" b="0"/>
            <wp:docPr id="76" name="Graphic 76" descr="Non-SIL&#10;&#10;Payments during 2019-2020. $0 to $50K.&#10;% of participants. 84%. &#10;% of payments in 2019-20. 34%. &#10;% of total $ increase. 52%.&#10;&#10;$50K to $200K.&#10;% of participants. 14%. &#10;% of payments in 2019-20. 49%. &#10;% of total $ increase. 37%.&#10;&#10;$200K to $500K.&#10;% of participants. 1%. &#10;% of payments in 2019-20. 14%. &#10;% of total $ increase. 10%.&#10;&#10;$500K+.&#10;% of participants. 0%. &#10;% of payments in 2019-20. 3%. &#10;% of total $ increase. 1%.&#10;&#10;SIL&#10;Payments during 2019-2020. $0 to $50K.&#10;% of participants. 3%. &#10;% of payments in 2019-20. 0%. &#10;% of total $ increase. 21%.&#10;&#10;$50K to $200K.&#10;% of participants. 21%. &#10;% of payments in 2019-20. 11%. &#10;% of total $ increase. 62%.&#10;&#10;$200K to $500K.&#10;% of participants. 71%. &#10;% of payments in 2019-20. 75%. &#10;% of total $ increase. 30%.&#10;&#10;$500K+.&#10;% of participants. 6%. &#10;% of payments in 2019-20. 14%. &#10;% of total $ increas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Graphic 76" descr="Non-SIL&#10;&#10;Payments during 2019-2020. $0 to $50K.&#10;% of participants. 84%. &#10;% of payments in 2019-20. 34%. &#10;% of total $ increase. 52%.&#10;&#10;$50K to $200K.&#10;% of participants. 14%. &#10;% of payments in 2019-20. 49%. &#10;% of total $ increase. 37%.&#10;&#10;$200K to $500K.&#10;% of participants. 1%. &#10;% of payments in 2019-20. 14%. &#10;% of total $ increase. 10%.&#10;&#10;$500K+.&#10;% of participants. 0%. &#10;% of payments in 2019-20. 3%. &#10;% of total $ increase. 1%.&#10;&#10;SIL&#10;Payments during 2019-2020. $0 to $50K.&#10;% of participants. 3%. &#10;% of payments in 2019-20. 0%. &#10;% of total $ increase. 21%.&#10;&#10;$50K to $200K.&#10;% of participants. 21%. &#10;% of payments in 2019-20. 11%. &#10;% of total $ increase. 62%.&#10;&#10;$200K to $500K.&#10;% of participants. 71%. &#10;% of payments in 2019-20. 75%. &#10;% of total $ increase. 30%.&#10;&#10;$500K+.&#10;% of participants. 6%. &#10;% of payments in 2019-20. 14%. &#10;% of total $ increase. -13%."/>
                    <pic:cNvPicPr/>
                  </pic:nvPicPr>
                  <pic:blipFill>
                    <a:blip r:embed="rId117">
                      <a:extLst>
                        <a:ext uri="{96DAC541-7B7A-43D3-8B79-37D633B846F1}">
                          <asvg:svgBlip xmlns:asvg="http://schemas.microsoft.com/office/drawing/2016/SVG/main" r:embed="rId118"/>
                        </a:ext>
                      </a:extLst>
                    </a:blip>
                    <a:stretch>
                      <a:fillRect/>
                    </a:stretch>
                  </pic:blipFill>
                  <pic:spPr>
                    <a:xfrm>
                      <a:off x="0" y="0"/>
                      <a:ext cx="5957707" cy="2677621"/>
                    </a:xfrm>
                    <a:prstGeom prst="rect">
                      <a:avLst/>
                    </a:prstGeom>
                  </pic:spPr>
                </pic:pic>
              </a:graphicData>
            </a:graphic>
          </wp:inline>
        </w:drawing>
      </w:r>
    </w:p>
    <w:p w14:paraId="4BB6B0A5" w14:textId="40D2DEC7" w:rsidR="004A11B5" w:rsidRDefault="004A11B5" w:rsidP="004A11B5">
      <w:pPr>
        <w:pStyle w:val="Tablenotesorsource"/>
      </w:pPr>
      <w:r>
        <w:t xml:space="preserve">Note: Figure excludes recent joiners to the </w:t>
      </w:r>
      <w:r w:rsidR="00232FFF">
        <w:t>Scheme</w:t>
      </w:r>
      <w:r>
        <w:t xml:space="preserve"> and people who have transitioned to or from SIL over the past year – these would be expected to result in large changes in support needs.</w:t>
      </w:r>
    </w:p>
    <w:p w14:paraId="517D04A7" w14:textId="4D5ADFAB" w:rsidR="002537FC" w:rsidRDefault="002537FC" w:rsidP="002537FC">
      <w:r>
        <w:fldChar w:fldCharType="begin"/>
      </w:r>
      <w:r>
        <w:instrText xml:space="preserve"> REF _Ref86937876 \h </w:instrText>
      </w:r>
      <w:r>
        <w:fldChar w:fldCharType="separate"/>
      </w:r>
      <w:r w:rsidR="00E6217F">
        <w:t xml:space="preserve">Figure </w:t>
      </w:r>
      <w:r w:rsidR="00E6217F">
        <w:rPr>
          <w:noProof/>
        </w:rPr>
        <w:t>7</w:t>
      </w:r>
      <w:r w:rsidR="00E6217F">
        <w:t>.</w:t>
      </w:r>
      <w:r w:rsidR="00E6217F">
        <w:rPr>
          <w:noProof/>
        </w:rPr>
        <w:t>6</w:t>
      </w:r>
      <w:r>
        <w:fldChar w:fldCharType="end"/>
      </w:r>
      <w:r>
        <w:t xml:space="preserve"> shows the proportion of participants and their share of payments during 2019-20 by size group, split between non-SIL and SIL. If each person had the same increase in dollar terms</w:t>
      </w:r>
      <w:r w:rsidR="00A730E9">
        <w:t>,</w:t>
      </w:r>
      <w:r>
        <w:t xml:space="preserve"> then the share of the increase would match the participant number (dark blue) column, whereas if each person had the same percentage increase the share of the increase would match the participant payments (light blue) column. </w:t>
      </w:r>
    </w:p>
    <w:p w14:paraId="39139BE9" w14:textId="77777777" w:rsidR="00E6217F" w:rsidRPr="00E6217F" w:rsidRDefault="002537FC" w:rsidP="00E6217F">
      <w:pPr>
        <w:rPr>
          <w:iCs/>
          <w:szCs w:val="18"/>
        </w:rPr>
      </w:pPr>
      <w:r>
        <w:t xml:space="preserve">Over the past year for both non-SIL and SIL participants the increase (yellow column) was weighted towards lower cost participants with those already receiving higher amounts in 2019-20 having </w:t>
      </w:r>
      <w:r w:rsidR="00A730E9">
        <w:t xml:space="preserve">smaller </w:t>
      </w:r>
      <w:r>
        <w:t>increase</w:t>
      </w:r>
      <w:r w:rsidR="00A730E9">
        <w:t>s</w:t>
      </w:r>
      <w:r>
        <w:t>, or in the case for the very high cost SIL participants</w:t>
      </w:r>
      <w:r w:rsidR="007F7049">
        <w:t>,</w:t>
      </w:r>
      <w:r>
        <w:t xml:space="preserve"> some reductions. This pattern is typical of what we would expect as those who spent less in 2019-20 are converging to some degree with </w:t>
      </w:r>
      <w:r w:rsidR="007F7049">
        <w:t xml:space="preserve">what </w:t>
      </w:r>
      <w:r>
        <w:t xml:space="preserve">other </w:t>
      </w:r>
      <w:r w:rsidR="00ED2FC8">
        <w:t>participants</w:t>
      </w:r>
      <w:r>
        <w:t xml:space="preserve"> spend. This could arise through either higher utilisation or increases in plans</w:t>
      </w:r>
      <w:r w:rsidR="00A730E9">
        <w:t>,</w:t>
      </w:r>
      <w:r>
        <w:t xml:space="preserve"> and is especially evident for SIL participants, although significant variation remains at an individual level.</w:t>
      </w:r>
      <w:r w:rsidRPr="00C647E4">
        <w:fldChar w:fldCharType="begin"/>
      </w:r>
      <w:r w:rsidRPr="00C647E4">
        <w:instrText xml:space="preserve"> REF  _Ref87002020 \h  \* MERGEFORMAT </w:instrText>
      </w:r>
      <w:r w:rsidRPr="00C647E4">
        <w:fldChar w:fldCharType="separate"/>
      </w:r>
    </w:p>
    <w:p w14:paraId="5B72630F" w14:textId="272E1472" w:rsidR="002537FC" w:rsidRPr="006B5236" w:rsidRDefault="00E6217F" w:rsidP="002537FC">
      <w:r w:rsidRPr="00E6217F">
        <w:rPr>
          <w:iCs/>
          <w:szCs w:val="18"/>
        </w:rPr>
        <w:t>Figure</w:t>
      </w:r>
      <w:r w:rsidRPr="00E6217F">
        <w:rPr>
          <w:iCs/>
          <w:noProof/>
          <w:szCs w:val="18"/>
        </w:rPr>
        <w:t xml:space="preserve"> 7.7</w:t>
      </w:r>
      <w:r w:rsidR="002537FC" w:rsidRPr="00C647E4">
        <w:fldChar w:fldCharType="end"/>
      </w:r>
      <w:r w:rsidR="002537FC" w:rsidRPr="00C647E4">
        <w:t xml:space="preserve"> </w:t>
      </w:r>
      <w:r w:rsidR="002537FC">
        <w:t>shows similar information but looking at the size of the changes in individuals’ payments over the past year. It shows that 1</w:t>
      </w:r>
      <w:r w:rsidR="006B5236">
        <w:t>1</w:t>
      </w:r>
      <w:r w:rsidR="002537FC">
        <w:t>% of non-SIL participants had reductions in supports of at least $5,000 which represented 2</w:t>
      </w:r>
      <w:r w:rsidR="00A326C6">
        <w:t>4</w:t>
      </w:r>
      <w:r w:rsidR="002537FC">
        <w:t>% of payments during 2019-20 and resulted in savings of $2</w:t>
      </w:r>
      <w:r w:rsidR="00A326C6">
        <w:t>94</w:t>
      </w:r>
      <w:r w:rsidR="002537FC">
        <w:t xml:space="preserve">M. There is a significant group of participants who had minimal changes in supports, noting that many of these people had no funded supports in either of the past two years. The largest contributor to growth in payments over the past year was the 7% of participants who had increases of between $30,000 and $200,000 each, which </w:t>
      </w:r>
      <w:r w:rsidR="002537FC" w:rsidRPr="006B5236">
        <w:t xml:space="preserve">resulted in an overall increase of more than $600M. </w:t>
      </w:r>
    </w:p>
    <w:p w14:paraId="4E4F233F" w14:textId="5C160E7A" w:rsidR="002537FC" w:rsidRPr="00FF614C" w:rsidRDefault="002537FC" w:rsidP="002537FC">
      <w:r w:rsidRPr="006B5236">
        <w:t>In total 2</w:t>
      </w:r>
      <w:r w:rsidR="00A326C6" w:rsidRPr="006B5236">
        <w:t>9</w:t>
      </w:r>
      <w:r w:rsidRPr="006B5236">
        <w:t xml:space="preserve">% of non-SIL participants had increases of more than $5,000 totalling </w:t>
      </w:r>
      <w:r w:rsidR="006B5236" w:rsidRPr="006B5236">
        <w:t xml:space="preserve">around </w:t>
      </w:r>
      <w:r w:rsidRPr="006B5236">
        <w:t>$1.</w:t>
      </w:r>
      <w:r w:rsidR="006B5236" w:rsidRPr="006B5236">
        <w:t>3</w:t>
      </w:r>
      <w:r w:rsidRPr="006B5236">
        <w:t>B. This</w:t>
      </w:r>
      <w:r>
        <w:t xml:space="preserve"> equates to an average increase </w:t>
      </w:r>
      <w:r w:rsidRPr="006B5236">
        <w:t>of $30,000 each or 6</w:t>
      </w:r>
      <w:r w:rsidR="006B5236" w:rsidRPr="006B5236">
        <w:t>1</w:t>
      </w:r>
      <w:r w:rsidRPr="006B5236">
        <w:t>%</w:t>
      </w:r>
      <w:r>
        <w:t xml:space="preserve"> compared to the amounts they received in 2019-20.</w:t>
      </w:r>
    </w:p>
    <w:p w14:paraId="4D07F7D6" w14:textId="3D528867" w:rsidR="002537FC" w:rsidRDefault="002537FC" w:rsidP="002537FC">
      <w:r>
        <w:t>For SIL participants the changes were more evenly spread. In aggregate</w:t>
      </w:r>
      <w:r w:rsidR="00DE001A">
        <w:t>,</w:t>
      </w:r>
      <w:r>
        <w:t xml:space="preserve"> changes of less than $30,000 were minimal with decreases roughly offsetting increases. For changes which exceeded $30,000, 1</w:t>
      </w:r>
      <w:r w:rsidR="00AB12E8">
        <w:t>9</w:t>
      </w:r>
      <w:r>
        <w:t xml:space="preserve">% of participants had reductions of this size, averaging </w:t>
      </w:r>
      <w:r w:rsidRPr="001C2F30">
        <w:t>$</w:t>
      </w:r>
      <w:r w:rsidR="001C2F30" w:rsidRPr="001C2F30">
        <w:t>86</w:t>
      </w:r>
      <w:r w:rsidRPr="001C2F30">
        <w:t xml:space="preserve">,000 </w:t>
      </w:r>
      <w:r>
        <w:t>compared to 28% of participants who averaged an increase of $12</w:t>
      </w:r>
      <w:r w:rsidR="001838B4">
        <w:t>4</w:t>
      </w:r>
      <w:r>
        <w:t xml:space="preserve">,000 which was about </w:t>
      </w:r>
      <w:r w:rsidR="001838B4">
        <w:t>48</w:t>
      </w:r>
      <w:r>
        <w:t xml:space="preserve">% more than they received in 2019-20. </w:t>
      </w:r>
    </w:p>
    <w:p w14:paraId="3AFBBD7E" w14:textId="053BAAF5" w:rsidR="001C02A0" w:rsidRDefault="001C02A0">
      <w:pPr>
        <w:spacing w:before="0" w:after="160" w:line="259" w:lineRule="auto"/>
        <w:rPr>
          <w:iCs/>
          <w:color w:val="006EC8" w:themeColor="accent1"/>
          <w:szCs w:val="18"/>
        </w:rPr>
      </w:pPr>
      <w:bookmarkStart w:id="279" w:name="_Ref87002020"/>
    </w:p>
    <w:p w14:paraId="59F13F05" w14:textId="4F0A94A6" w:rsidR="002537FC" w:rsidRPr="00FF614C" w:rsidRDefault="002537FC" w:rsidP="002537FC">
      <w:pPr>
        <w:keepNext/>
        <w:rPr>
          <w:iCs/>
          <w:color w:val="006EC8" w:themeColor="accent1"/>
          <w:szCs w:val="18"/>
        </w:rPr>
      </w:pPr>
      <w:r w:rsidRPr="00FF614C">
        <w:rPr>
          <w:iCs/>
          <w:color w:val="006EC8" w:themeColor="accent1"/>
          <w:szCs w:val="18"/>
        </w:rPr>
        <w:t xml:space="preserve">Figure </w:t>
      </w:r>
      <w:r w:rsidR="009366CE">
        <w:rPr>
          <w:iCs/>
          <w:color w:val="006EC8" w:themeColor="accent1"/>
          <w:szCs w:val="18"/>
        </w:rPr>
        <w:fldChar w:fldCharType="begin"/>
      </w:r>
      <w:r w:rsidR="009366CE">
        <w:rPr>
          <w:iCs/>
          <w:color w:val="006EC8" w:themeColor="accent1"/>
          <w:szCs w:val="18"/>
        </w:rPr>
        <w:instrText xml:space="preserve"> STYLEREF 1 \s </w:instrText>
      </w:r>
      <w:r w:rsidR="009366CE">
        <w:rPr>
          <w:iCs/>
          <w:color w:val="006EC8" w:themeColor="accent1"/>
          <w:szCs w:val="18"/>
        </w:rPr>
        <w:fldChar w:fldCharType="separate"/>
      </w:r>
      <w:r w:rsidR="00E6217F">
        <w:rPr>
          <w:iCs/>
          <w:noProof/>
          <w:color w:val="006EC8" w:themeColor="accent1"/>
          <w:szCs w:val="18"/>
        </w:rPr>
        <w:t>7</w:t>
      </w:r>
      <w:r w:rsidR="009366CE">
        <w:rPr>
          <w:iCs/>
          <w:color w:val="006EC8" w:themeColor="accent1"/>
          <w:szCs w:val="18"/>
        </w:rPr>
        <w:fldChar w:fldCharType="end"/>
      </w:r>
      <w:r w:rsidR="009366CE">
        <w:rPr>
          <w:iCs/>
          <w:color w:val="006EC8" w:themeColor="accent1"/>
          <w:szCs w:val="18"/>
        </w:rPr>
        <w:t>.</w:t>
      </w:r>
      <w:r w:rsidR="009366CE">
        <w:rPr>
          <w:iCs/>
          <w:color w:val="006EC8" w:themeColor="accent1"/>
          <w:szCs w:val="18"/>
        </w:rPr>
        <w:fldChar w:fldCharType="begin"/>
      </w:r>
      <w:r w:rsidR="009366CE">
        <w:rPr>
          <w:iCs/>
          <w:color w:val="006EC8" w:themeColor="accent1"/>
          <w:szCs w:val="18"/>
        </w:rPr>
        <w:instrText xml:space="preserve"> SEQ Figure \* ARABIC \s 1 </w:instrText>
      </w:r>
      <w:r w:rsidR="009366CE">
        <w:rPr>
          <w:iCs/>
          <w:color w:val="006EC8" w:themeColor="accent1"/>
          <w:szCs w:val="18"/>
        </w:rPr>
        <w:fldChar w:fldCharType="separate"/>
      </w:r>
      <w:r w:rsidR="00E6217F">
        <w:rPr>
          <w:iCs/>
          <w:noProof/>
          <w:color w:val="006EC8" w:themeColor="accent1"/>
          <w:szCs w:val="18"/>
        </w:rPr>
        <w:t>7</w:t>
      </w:r>
      <w:r w:rsidR="009366CE">
        <w:rPr>
          <w:iCs/>
          <w:color w:val="006EC8" w:themeColor="accent1"/>
          <w:szCs w:val="18"/>
        </w:rPr>
        <w:fldChar w:fldCharType="end"/>
      </w:r>
      <w:bookmarkEnd w:id="279"/>
      <w:r w:rsidRPr="00FF614C">
        <w:rPr>
          <w:iCs/>
          <w:color w:val="006EC8" w:themeColor="accent1"/>
          <w:szCs w:val="18"/>
        </w:rPr>
        <w:t xml:space="preserve"> – </w:t>
      </w:r>
      <w:r>
        <w:rPr>
          <w:iCs/>
          <w:color w:val="006EC8" w:themeColor="accent1"/>
          <w:szCs w:val="18"/>
        </w:rPr>
        <w:t xml:space="preserve">Distribution of changes in </w:t>
      </w:r>
      <w:r w:rsidR="00F7219B">
        <w:rPr>
          <w:iCs/>
          <w:color w:val="006EC8" w:themeColor="accent1"/>
          <w:szCs w:val="18"/>
        </w:rPr>
        <w:t xml:space="preserve">Core </w:t>
      </w:r>
      <w:r>
        <w:rPr>
          <w:iCs/>
          <w:color w:val="006EC8" w:themeColor="accent1"/>
          <w:szCs w:val="18"/>
        </w:rPr>
        <w:t>payments during 2020-21</w:t>
      </w:r>
    </w:p>
    <w:p w14:paraId="50AB6D76" w14:textId="3E17F91A" w:rsidR="002A44FB" w:rsidRDefault="001365C2" w:rsidP="00A520C9">
      <w:r w:rsidRPr="001365C2">
        <w:rPr>
          <w:noProof/>
        </w:rPr>
        <w:drawing>
          <wp:inline distT="0" distB="0" distL="0" distR="0" wp14:anchorId="060B64D4" wp14:editId="590DA1A5">
            <wp:extent cx="5976620" cy="2761615"/>
            <wp:effectExtent l="0" t="0" r="5080" b="635"/>
            <wp:docPr id="129" name="Picture 129" descr="Non-SIL participants&#10;&#10;Change in payments during 2020 - 2021. More than -$200K.&#10;% of participants. 0%.&#10;% of 2019-20 payments. 0%. &#10;Contribution to change in total payments. -8,429,363.&#10;&#10;&#10;-$200K to -$30K.&#10;% of participants. 1%.&#10;% of 2019-20 payments. 7%. &#10;Contribution to change in total payments. -117,418,350.&#10;&#10;&#10;-$30K to -$5K.&#10;% of participants. 9%.&#10;% of 2019-20 payments. 17%. &#10;Contribution to change in total payments. -168,388,417.&#10;&#10;&#10;-$5K to $5K.&#10;% of participants. 60%.&#10;% of 2019-20 payments. 23%. &#10;Contribution to change in total payments. 15,749,205.&#10;&#10;&#10;$5K to $30K.&#10;% of participants. 22%.&#10;% of 2019-20 payments. 28%. &#10;Contribution to change in total payments. 432,136,132.&#10;&#10;&#10;$30K to $200K.&#10;% of participants. 7%.&#10;% of 2019-20 payments. 21%. &#10;Contribution to change in total payments. 643,574,604.&#10;&#10;&#10;More than $200K.&#10;% of participants. 0%.&#10;% of 2019-20 payments. 3%. &#10;Contribution to change in total payments. 220,488,079.&#10;&#10;&#10;SIL participants&#10;&#10;Change in payments during 2020 - 2021. More than -$200K.&#10;% of participants. 1%.&#10;% of 2019-20 payments. 3%. &#10;Contribution to change in total payments. -54,824,510.&#10;&#10;&#10;-$200K to -$30K.&#10;% of participants. 18%.&#10;% of 2019-20 payments. 22%. &#10;Contribution to change in total payments. -180,438,211.&#10;&#10;&#10;-$30K to -$5K.&#10;% of participants. 19%.&#10;% of 2019-20 payments. 18%. &#10;Contribution to change in total payments. -41,571,191.&#10;&#10;&#10;-$5K to $5K.&#10;% of participants. 12%.&#10;% of 2019-20 payments. 11%. &#10;Contribution to change in total payments. 225,147.&#10;&#10;&#10;$5K to $30K.&#10;% of participants. 22%.&#10;% of 2019-20 payments. 20%. &#10;Contribution to change in total payments. 49,199,845.&#10;&#10;&#10;$30K to $200K.&#10;% of participants. 23%.&#10;% of 2019-20 payments. 22%. &#10;Contribution to change in total payments. 258,286,287.&#10;&#10;&#10;More than $200K.&#10;% of participants. 5%.&#10;% of 2019-20 payments. 4%. &#10;Contribution to change in total payments. 224,99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Non-SIL participants&#10;&#10;Change in payments during 2020 - 2021. More than -$200K.&#10;% of participants. 0%.&#10;% of 2019-20 payments. 0%. &#10;Contribution to change in total payments. -8,429,363.&#10;&#10;&#10;-$200K to -$30K.&#10;% of participants. 1%.&#10;% of 2019-20 payments. 7%. &#10;Contribution to change in total payments. -117,418,350.&#10;&#10;&#10;-$30K to -$5K.&#10;% of participants. 9%.&#10;% of 2019-20 payments. 17%. &#10;Contribution to change in total payments. -168,388,417.&#10;&#10;&#10;-$5K to $5K.&#10;% of participants. 60%.&#10;% of 2019-20 payments. 23%. &#10;Contribution to change in total payments. 15,749,205.&#10;&#10;&#10;$5K to $30K.&#10;% of participants. 22%.&#10;% of 2019-20 payments. 28%. &#10;Contribution to change in total payments. 432,136,132.&#10;&#10;&#10;$30K to $200K.&#10;% of participants. 7%.&#10;% of 2019-20 payments. 21%. &#10;Contribution to change in total payments. 643,574,604.&#10;&#10;&#10;More than $200K.&#10;% of participants. 0%.&#10;% of 2019-20 payments. 3%. &#10;Contribution to change in total payments. 220,488,079.&#10;&#10;&#10;SIL participants&#10;&#10;Change in payments during 2020 - 2021. More than -$200K.&#10;% of participants. 1%.&#10;% of 2019-20 payments. 3%. &#10;Contribution to change in total payments. -54,824,510.&#10;&#10;&#10;-$200K to -$30K.&#10;% of participants. 18%.&#10;% of 2019-20 payments. 22%. &#10;Contribution to change in total payments. -180,438,211.&#10;&#10;&#10;-$30K to -$5K.&#10;% of participants. 19%.&#10;% of 2019-20 payments. 18%. &#10;Contribution to change in total payments. -41,571,191.&#10;&#10;&#10;-$5K to $5K.&#10;% of participants. 12%.&#10;% of 2019-20 payments. 11%. &#10;Contribution to change in total payments. 225,147.&#10;&#10;&#10;$5K to $30K.&#10;% of participants. 22%.&#10;% of 2019-20 payments. 20%. &#10;Contribution to change in total payments. 49,199,845.&#10;&#10;&#10;$30K to $200K.&#10;% of participants. 23%.&#10;% of 2019-20 payments. 22%. &#10;Contribution to change in total payments. 258,286,287.&#10;&#10;&#10;More than $200K.&#10;% of participants. 5%.&#10;% of 2019-20 payments. 4%. &#10;Contribution to change in total payments. 224,994,672."/>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5976620" cy="2761615"/>
                    </a:xfrm>
                    <a:prstGeom prst="rect">
                      <a:avLst/>
                    </a:prstGeom>
                    <a:noFill/>
                    <a:ln>
                      <a:noFill/>
                    </a:ln>
                  </pic:spPr>
                </pic:pic>
              </a:graphicData>
            </a:graphic>
          </wp:inline>
        </w:drawing>
      </w:r>
    </w:p>
    <w:p w14:paraId="28D93795" w14:textId="733A01AA" w:rsidR="004A11B5" w:rsidRDefault="004A11B5" w:rsidP="004A11B5">
      <w:pPr>
        <w:pStyle w:val="Heading2"/>
      </w:pPr>
      <w:bookmarkStart w:id="280" w:name="_Ref87624847"/>
      <w:bookmarkStart w:id="281" w:name="_Toc87700494"/>
      <w:bookmarkStart w:id="282" w:name="_Toc88686146"/>
      <w:bookmarkStart w:id="283" w:name="_Toc83997785"/>
      <w:r>
        <w:t>Packages and utilisation</w:t>
      </w:r>
      <w:bookmarkEnd w:id="280"/>
      <w:bookmarkEnd w:id="281"/>
      <w:bookmarkEnd w:id="282"/>
    </w:p>
    <w:p w14:paraId="28BA64AC" w14:textId="562D317C" w:rsidR="004A11B5" w:rsidRDefault="004A11B5" w:rsidP="00BD2246">
      <w:r>
        <w:t xml:space="preserve">For much of the past two years </w:t>
      </w:r>
      <w:r w:rsidR="00A730E9">
        <w:t xml:space="preserve">average </w:t>
      </w:r>
      <w:r>
        <w:t>packages have increased rapidly, in line with the increase in payments. This pattern has changed in 2020-21, where payments continued to increase but packages have stabilised. This increase</w:t>
      </w:r>
      <w:r w:rsidR="00A730E9">
        <w:t>d</w:t>
      </w:r>
      <w:r>
        <w:t xml:space="preserve"> the plan utilisation rate</w:t>
      </w:r>
      <w:r w:rsidR="00A730E9">
        <w:t xml:space="preserve"> to </w:t>
      </w:r>
      <w:r w:rsidR="00BD2246">
        <w:t>over 8</w:t>
      </w:r>
      <w:r w:rsidR="003C5D3D">
        <w:t>2</w:t>
      </w:r>
      <w:r w:rsidR="00BD2246">
        <w:t>% in the June 2021 quarter</w:t>
      </w:r>
      <w:r w:rsidR="003C5D3D">
        <w:t xml:space="preserve"> (79% after spreading residential aged care across the year)</w:t>
      </w:r>
      <w:r w:rsidR="00BD2246">
        <w:t xml:space="preserve"> with </w:t>
      </w:r>
      <w:r>
        <w:t xml:space="preserve">utilisation </w:t>
      </w:r>
      <w:r w:rsidR="00BD2246">
        <w:t xml:space="preserve">over the whole year being </w:t>
      </w:r>
      <w:r>
        <w:t>74%</w:t>
      </w:r>
      <w:r>
        <w:rPr>
          <w:rStyle w:val="FootnoteReference"/>
        </w:rPr>
        <w:footnoteReference w:id="22"/>
      </w:r>
      <w:r>
        <w:t xml:space="preserve">. </w:t>
      </w:r>
    </w:p>
    <w:p w14:paraId="11B4EA5C" w14:textId="7476DA29" w:rsidR="004A11B5" w:rsidRDefault="004A11B5" w:rsidP="00BD2246">
      <w:pPr>
        <w:pStyle w:val="Caption"/>
        <w:spacing w:after="0"/>
      </w:pPr>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8</w:t>
      </w:r>
      <w:r w:rsidR="009366CE">
        <w:fldChar w:fldCharType="end"/>
      </w:r>
      <w:r>
        <w:t xml:space="preserve"> – Quarterly payments, plan and utilisation rate</w:t>
      </w:r>
    </w:p>
    <w:p w14:paraId="648F9706" w14:textId="0B83C3B8" w:rsidR="004A11B5" w:rsidRDefault="00BF419E" w:rsidP="00BD2246">
      <w:pPr>
        <w:spacing w:before="0" w:after="0"/>
      </w:pPr>
      <w:r>
        <w:rPr>
          <w:noProof/>
        </w:rPr>
        <w:drawing>
          <wp:inline distT="0" distB="0" distL="0" distR="0" wp14:anchorId="544B1C22" wp14:editId="65149275">
            <wp:extent cx="5753100" cy="2800350"/>
            <wp:effectExtent l="0" t="0" r="0" b="0"/>
            <wp:docPr id="44" name="Graphic 44" descr="September 2017. &#10;Payments (annualised). ($K), LHS. 34.&#10;Average plan (annualised). ($K), LHS. 51. &#10;Utilisation, RHS. 67%.&#10;&#10;&#10;December 2017. &#10;Payments (annualised), LHS. 36.&#10;Average plan (annualised), LHS. 55. &#10;Utilisation, RHS. 64%.&#10;&#10;&#10;March 2018. &#10;Payments (annualised), LHS. 37.&#10;Average plan (annualised), LHS. 55. &#10;Utilisation, RHS. 67%.&#10;&#10;&#10;June 2018. &#10;Payments (annualised), LHS. 37.&#10;Average plan (annualised), LHS. 56. &#10;Utilisation, RHS. 67%.&#10;&#10;&#10;September 2018. &#10;Payments (annualised), LHS. 39.&#10;Average plan (annualised), LHS. 58. &#10;Utilisation, RHS. 67%.&#10;&#10;&#10;December 2018. &#10;Payments (annualised), LHS. 40.&#10;Average plan (annualised), LHS. 59. &#10;Utilisation, RHS. 67%.&#10;&#10;&#10;March 2019. &#10;Payments (annualised), LHS. 40.&#10;Average plan (annualised), LHS. 61. &#10;Utilisation, RHS. 66%.&#10;&#10;&#10;June 2019. &#10;Payments (annualised), LHS. 42.&#10;Average plan (annualised), LHS. 66. &#10;Utilisation, RHS. 64%.&#10;&#10;&#10;September 2019. &#10;Payments (annualised), LHS. 50.&#10;Average plan (annualised), LHS. 68. &#10;Utilisation, RHS. 74%.&#10;&#10;&#10;December 2019. &#10;Payments (annualised), LHS. 49.&#10;Average plan (annualised), LHS. 69. &#10;Utilisation, RHS. 72%.&#10;&#10;&#10;March 2020. &#10;Payments (annualised), LHS. 48.&#10;Average plan (annualised), LHS. 71. &#10;Utilisation, RHS. 68%.&#10;&#10;&#10;June 2020. &#10;Payments (annualised), LHS. 49.&#10;Average plan (annualised), LHS. 74. &#10;Utilisation, RHS. 66%.&#10;&#10;&#10;September 2020. &#10;Payments (annualised), LHS. 54.&#10;Average plan (annualised), LHS. 75. &#10;Utilisation, RHS. 71%.&#10;&#10;&#10;December 2020. &#10;Payments (annualised), LHS. 52.&#10;Average plan (annualised), LHS. 74. &#10;Utilisation, RHS. 70%.&#10;&#10;&#10;March 2021. &#10;Payments (annualised), LHS. 52.&#10;Average plan (annualised), LHS. 71. &#10;Utilisation, RHS. 74%.&#10;&#10;&#10;June 2021. &#10;Payments (annualised), LHS. 55.&#10;Average plan (annualised), LHS. 69. &#10;Utilisation, RH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44" descr="September 2017. &#10;Payments (annualised). ($K), LHS. 34.&#10;Average plan (annualised). ($K), LHS. 51. &#10;Utilisation, RHS. 67%.&#10;&#10;&#10;December 2017. &#10;Payments (annualised), LHS. 36.&#10;Average plan (annualised), LHS. 55. &#10;Utilisation, RHS. 64%.&#10;&#10;&#10;March 2018. &#10;Payments (annualised), LHS. 37.&#10;Average plan (annualised), LHS. 55. &#10;Utilisation, RHS. 67%.&#10;&#10;&#10;June 2018. &#10;Payments (annualised), LHS. 37.&#10;Average plan (annualised), LHS. 56. &#10;Utilisation, RHS. 67%.&#10;&#10;&#10;September 2018. &#10;Payments (annualised), LHS. 39.&#10;Average plan (annualised), LHS. 58. &#10;Utilisation, RHS. 67%.&#10;&#10;&#10;December 2018. &#10;Payments (annualised), LHS. 40.&#10;Average plan (annualised), LHS. 59. &#10;Utilisation, RHS. 67%.&#10;&#10;&#10;March 2019. &#10;Payments (annualised), LHS. 40.&#10;Average plan (annualised), LHS. 61. &#10;Utilisation, RHS. 66%.&#10;&#10;&#10;June 2019. &#10;Payments (annualised), LHS. 42.&#10;Average plan (annualised), LHS. 66. &#10;Utilisation, RHS. 64%.&#10;&#10;&#10;September 2019. &#10;Payments (annualised), LHS. 50.&#10;Average plan (annualised), LHS. 68. &#10;Utilisation, RHS. 74%.&#10;&#10;&#10;December 2019. &#10;Payments (annualised), LHS. 49.&#10;Average plan (annualised), LHS. 69. &#10;Utilisation, RHS. 72%.&#10;&#10;&#10;March 2020. &#10;Payments (annualised), LHS. 48.&#10;Average plan (annualised), LHS. 71. &#10;Utilisation, RHS. 68%.&#10;&#10;&#10;June 2020. &#10;Payments (annualised), LHS. 49.&#10;Average plan (annualised), LHS. 74. &#10;Utilisation, RHS. 66%.&#10;&#10;&#10;September 2020. &#10;Payments (annualised), LHS. 54.&#10;Average plan (annualised), LHS. 75. &#10;Utilisation, RHS. 71%.&#10;&#10;&#10;December 2020. &#10;Payments (annualised), LHS. 52.&#10;Average plan (annualised), LHS. 74. &#10;Utilisation, RHS. 70%.&#10;&#10;&#10;March 2021. &#10;Payments (annualised), LHS. 52.&#10;Average plan (annualised), LHS. 71. &#10;Utilisation, RHS. 74%.&#10;&#10;&#10;June 2021. &#10;Payments (annualised), LHS. 55.&#10;Average plan (annualised), LHS. 69. &#10;Utilisation, RHS. 79%."/>
                    <pic:cNvPicPr/>
                  </pic:nvPicPr>
                  <pic:blipFill>
                    <a:blip r:embed="rId33">
                      <a:extLst>
                        <a:ext uri="{96DAC541-7B7A-43D3-8B79-37D633B846F1}">
                          <asvg:svgBlip xmlns:asvg="http://schemas.microsoft.com/office/drawing/2016/SVG/main" r:embed="rId34"/>
                        </a:ext>
                      </a:extLst>
                    </a:blip>
                    <a:stretch>
                      <a:fillRect/>
                    </a:stretch>
                  </pic:blipFill>
                  <pic:spPr>
                    <a:xfrm>
                      <a:off x="0" y="0"/>
                      <a:ext cx="5753100" cy="2800350"/>
                    </a:xfrm>
                    <a:prstGeom prst="rect">
                      <a:avLst/>
                    </a:prstGeom>
                  </pic:spPr>
                </pic:pic>
              </a:graphicData>
            </a:graphic>
          </wp:inline>
        </w:drawing>
      </w:r>
    </w:p>
    <w:p w14:paraId="58F83239" w14:textId="4FD9F1FB" w:rsidR="007D045D" w:rsidRDefault="007D045D" w:rsidP="007D045D">
      <w:pPr>
        <w:pStyle w:val="Tablenotesorsource"/>
      </w:pPr>
      <w:r>
        <w:t>Note: Quarterly payments have been seasonally adjusted.</w:t>
      </w:r>
    </w:p>
    <w:p w14:paraId="73A1A595" w14:textId="748A548E" w:rsidR="004A11B5" w:rsidRDefault="004A11B5" w:rsidP="004A11B5">
      <w:r>
        <w:t xml:space="preserve">Utilisation rates vary across the </w:t>
      </w:r>
      <w:r w:rsidR="00232FFF">
        <w:t>Scheme</w:t>
      </w:r>
      <w:r>
        <w:t xml:space="preserve">. Non-SIL utilisation was only 68% for the 2020-21 year, compared to 89% for SIL. For </w:t>
      </w:r>
      <w:r w:rsidR="000A3F39">
        <w:t xml:space="preserve">the </w:t>
      </w:r>
      <w:r>
        <w:t xml:space="preserve">non-SIL component this implies </w:t>
      </w:r>
      <w:r w:rsidR="00BD2246">
        <w:t xml:space="preserve">that </w:t>
      </w:r>
      <w:r>
        <w:t xml:space="preserve">payments could increase by 48% without breaching the current committed support total. </w:t>
      </w:r>
      <w:r w:rsidR="00BD2246">
        <w:t>In total</w:t>
      </w:r>
      <w:r w:rsidR="003C5D3D">
        <w:t>, from the June quarter,</w:t>
      </w:r>
      <w:r w:rsidR="00BD2246">
        <w:t xml:space="preserve"> the gap between payments and plan (i.e. a utilisation rate of 100%) is </w:t>
      </w:r>
      <w:r w:rsidR="003C5D3D">
        <w:t xml:space="preserve">about </w:t>
      </w:r>
      <w:r w:rsidR="00BD2246" w:rsidRPr="003C5D3D">
        <w:t>$</w:t>
      </w:r>
      <w:r w:rsidR="003721C9" w:rsidRPr="003C5D3D">
        <w:t>7</w:t>
      </w:r>
      <w:r w:rsidR="00BD2246" w:rsidRPr="003C5D3D">
        <w:t>B</w:t>
      </w:r>
      <w:r w:rsidR="00BD2246">
        <w:t xml:space="preserve">. </w:t>
      </w:r>
      <w:r>
        <w:t xml:space="preserve">Even after dividing into </w:t>
      </w:r>
      <w:r w:rsidR="003C5D3D">
        <w:t xml:space="preserve">non-SIL and SIL </w:t>
      </w:r>
      <w:r>
        <w:t>groups, utilisation rates vary markedly, as shown in the figure below.</w:t>
      </w:r>
    </w:p>
    <w:p w14:paraId="1B5A2E42" w14:textId="5B7E7923" w:rsidR="004A11B5" w:rsidRDefault="004A11B5" w:rsidP="004A11B5">
      <w:pPr>
        <w:pStyle w:val="Caption"/>
      </w:pPr>
      <w:bookmarkStart w:id="284" w:name="_Ref88598572"/>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9</w:t>
      </w:r>
      <w:r w:rsidR="009366CE">
        <w:fldChar w:fldCharType="end"/>
      </w:r>
      <w:bookmarkEnd w:id="284"/>
      <w:r>
        <w:t xml:space="preserve"> – Distribution of 2020-21 utilisation rates</w:t>
      </w:r>
      <w:r>
        <w:rPr>
          <w:rStyle w:val="FootnoteReference"/>
        </w:rPr>
        <w:footnoteReference w:id="23"/>
      </w:r>
      <w:r>
        <w:t xml:space="preserve"> by SIL status and annual plan amount for some key subgroups</w:t>
      </w:r>
    </w:p>
    <w:p w14:paraId="6DAD4775" w14:textId="77777777" w:rsidR="004A11B5" w:rsidRDefault="004A11B5" w:rsidP="004A11B5">
      <w:r w:rsidRPr="00A14E3B">
        <w:rPr>
          <w:noProof/>
        </w:rPr>
        <w:drawing>
          <wp:inline distT="0" distB="0" distL="0" distR="0" wp14:anchorId="55AA0930" wp14:editId="18CEE4DE">
            <wp:extent cx="5097439" cy="4243894"/>
            <wp:effectExtent l="0" t="0" r="0" b="0"/>
            <wp:docPr id="83" name="Picture 83" descr="Utilisation over 2020 - 2021. 0%-5%.&#10;Non-SIL, 10k-50k. Number of people 12,876.&#10;Non-SIL, 50k-100k. 1,290. &#10;SIL, 100k-300k. 21.&#10;SIL, 300k-500k. 7.&#10;&#10;&#10;5%-10%.&#10;Non-SIL, 10k-50k. Number of people. 6,714.&#10;Non-SIL, 50k-100k. 1,158. &#10;SIL, 100k-300k. 22.&#10;SIL, 300k-500k. 10.&#10;&#10;&#10;10%-15%.&#10;Non-SIL, 10k-50k. Number of people. 7,425.&#10;Non-SIL, 50k-100k. 1,540. &#10;SIL, 100k-300k. 19.&#10;SIL, 300k-500k. 11.&#10;&#10;&#10;15%-20%.&#10;Non-SIL, 10k-50k. Number of people. 8,123.&#10;Non-SIL, 50k-100k. 1,950. &#10;SIL, 100k-300k. 25.&#10;SIL, 300k-500k. 9.&#10;&#10;&#10;20%-25%.&#10;Non-SIL, 10k-50k. Number of people. 8,904.&#10;Non-SIL, 50k-100k. 2,345. &#10;SIL, 100k-300k. 33.&#10;SIL, 300k-500k. 9.&#10;&#10;&#10;25%-30%.&#10;Non-SIL, 10k-50k. Number of people. 9,795.&#10;Non-SIL, 50k-100k. 2,814. &#10;SIL, 100k-300k. 34.&#10;SIL, 300k-500k. 15.&#10;&#10;&#10;30%-35%.&#10;Non-SIL, 10k-50k. Number of people. 10,932.&#10;Non-SIL, 50k-100k. 3,169. &#10;SIL, 100k-300k. 49.&#10;SIL, 300k-500k. 19.&#10;&#10;&#10;35%-40%.&#10;Non-SIL, 10k-50k. Number of people. 11,721.&#10;Non-SIL, 50k-100k. 3,479. &#10;SIL, 100k-300k. 50.&#10;SIL, 300k-500k. 29.&#10;&#10;&#10;40%-45%.&#10;Non-SIL, 10k-50k. Number of people. 12,154.&#10;Non-SIL, 50k-100k. 3,833. &#10;SIL, 100k-300k. 83.&#10;SIL, 300k-500k. 41.&#10;&#10;&#10;45%-50%.&#10;Non-SIL, 10k-50k. Number of people. 12,647.&#10;Non-SIL, 50k-100k. 4,137. &#10;SIL, 100k-300k. 72.&#10;SIL, 300k-500k. 60.&#10;&#10;&#10;50%-55%.&#10;Non-SIL, 10k-50k. Number of people. 12,951.&#10;Non-SIL, 50k-100k. 4,465. &#10;SIL, 100k-300k. 115.&#10;SIL, 300k-500k. 87.&#10;&#10;&#10;55%-60%.&#10;Non-SIL, 10k-50k. Number of people. 13,156.&#10;Non-SIL, 50k-100k. 4,441. &#10;SIL, 100k-300k. 162.&#10;SIL, 300k-500k. 125.&#10;&#10;&#10;60%-65%.&#10;Non-SIL, 10k-50k. Number of people. 12,673.&#10;Non-SIL, 50k-100k. 4,562. &#10;SIL, 100k-300k. 213.&#10;SIL, 300k-500k. 215.&#10;&#10;&#10;65%-70%.&#10;Non-SIL, 10k-50k. Number of people. 12,479.&#10;Non-SIL, 50k-100k. 4,692. &#10;SIL, 100k-300k. 373.&#10;SIL, 300k-500k. 325.&#10;&#10;&#10;70%-75%.&#10;Non-SIL, 10k-50k. Number of people. 11,600.&#10;Non-SIL, 50k-100k. 4,580. &#10;SIL, 100k-300k. 551.&#10;SIL, 300k-500k. 561.&#10;&#10;&#10;75%-80%.&#10;Non-SIL, 10k-50k. Number of people. 10,849.&#10;Non-SIL, 50k-100k. 4,350. &#10;SIL, 100k-300k. 799.&#10;SIL, 300k-500k. 878.&#10;&#10;&#10;80%-85%.&#10;Non-SIL, 10k-50k. Number of people. 9,872.&#10;Non-SIL, 50k-100k. 4,135. &#10;SIL, 100k-300k. 1,307.&#10;SIL, 300k-500k. 1,452.&#10;&#10;&#10;85%-90%.&#10;Non-SIL, 10k-50k. Number of people. 8,716.&#10;Non-SIL, 50k-100k. 3,649. &#10;SIL, 100k-300k. 1,694.&#10;SIL, 300k-500k. 2,048.&#10;&#10;&#10;90%-95%.&#10;Non-SIL, 10k-50k. Number of people. 7,498.&#10;Non-SIL, 50k-100k. 3,123. &#10;SIL, 100k-300k. 1,593.&#10;SIL, 300k-500k. 2,089.&#10;&#10;&#10;95%-100%.&#10;Non-SIL, 10k-50k. Number of people. 37,940.&#10;Non-SIL, 50k-100k. 9,857. &#10;SIL, 100k-300k. 3,163.&#10;SIL, 300k-500k.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Utilisation over 2020 - 2021. 0%-5%.&#10;Non-SIL, 10k-50k. Number of people 12,876.&#10;Non-SIL, 50k-100k. 1,290. &#10;SIL, 100k-300k. 21.&#10;SIL, 300k-500k. 7.&#10;&#10;&#10;5%-10%.&#10;Non-SIL, 10k-50k. Number of people. 6,714.&#10;Non-SIL, 50k-100k. 1,158. &#10;SIL, 100k-300k. 22.&#10;SIL, 300k-500k. 10.&#10;&#10;&#10;10%-15%.&#10;Non-SIL, 10k-50k. Number of people. 7,425.&#10;Non-SIL, 50k-100k. 1,540. &#10;SIL, 100k-300k. 19.&#10;SIL, 300k-500k. 11.&#10;&#10;&#10;15%-20%.&#10;Non-SIL, 10k-50k. Number of people. 8,123.&#10;Non-SIL, 50k-100k. 1,950. &#10;SIL, 100k-300k. 25.&#10;SIL, 300k-500k. 9.&#10;&#10;&#10;20%-25%.&#10;Non-SIL, 10k-50k. Number of people. 8,904.&#10;Non-SIL, 50k-100k. 2,345. &#10;SIL, 100k-300k. 33.&#10;SIL, 300k-500k. 9.&#10;&#10;&#10;25%-30%.&#10;Non-SIL, 10k-50k. Number of people. 9,795.&#10;Non-SIL, 50k-100k. 2,814. &#10;SIL, 100k-300k. 34.&#10;SIL, 300k-500k. 15.&#10;&#10;&#10;30%-35%.&#10;Non-SIL, 10k-50k. Number of people. 10,932.&#10;Non-SIL, 50k-100k. 3,169. &#10;SIL, 100k-300k. 49.&#10;SIL, 300k-500k. 19.&#10;&#10;&#10;35%-40%.&#10;Non-SIL, 10k-50k. Number of people. 11,721.&#10;Non-SIL, 50k-100k. 3,479. &#10;SIL, 100k-300k. 50.&#10;SIL, 300k-500k. 29.&#10;&#10;&#10;40%-45%.&#10;Non-SIL, 10k-50k. Number of people. 12,154.&#10;Non-SIL, 50k-100k. 3,833. &#10;SIL, 100k-300k. 83.&#10;SIL, 300k-500k. 41.&#10;&#10;&#10;45%-50%.&#10;Non-SIL, 10k-50k. Number of people. 12,647.&#10;Non-SIL, 50k-100k. 4,137. &#10;SIL, 100k-300k. 72.&#10;SIL, 300k-500k. 60.&#10;&#10;&#10;50%-55%.&#10;Non-SIL, 10k-50k. Number of people. 12,951.&#10;Non-SIL, 50k-100k. 4,465. &#10;SIL, 100k-300k. 115.&#10;SIL, 300k-500k. 87.&#10;&#10;&#10;55%-60%.&#10;Non-SIL, 10k-50k. Number of people. 13,156.&#10;Non-SIL, 50k-100k. 4,441. &#10;SIL, 100k-300k. 162.&#10;SIL, 300k-500k. 125.&#10;&#10;&#10;60%-65%.&#10;Non-SIL, 10k-50k. Number of people. 12,673.&#10;Non-SIL, 50k-100k. 4,562. &#10;SIL, 100k-300k. 213.&#10;SIL, 300k-500k. 215.&#10;&#10;&#10;65%-70%.&#10;Non-SIL, 10k-50k. Number of people. 12,479.&#10;Non-SIL, 50k-100k. 4,692. &#10;SIL, 100k-300k. 373.&#10;SIL, 300k-500k. 325.&#10;&#10;&#10;70%-75%.&#10;Non-SIL, 10k-50k. Number of people. 11,600.&#10;Non-SIL, 50k-100k. 4,580. &#10;SIL, 100k-300k. 551.&#10;SIL, 300k-500k. 561.&#10;&#10;&#10;75%-80%.&#10;Non-SIL, 10k-50k. Number of people. 10,849.&#10;Non-SIL, 50k-100k. 4,350. &#10;SIL, 100k-300k. 799.&#10;SIL, 300k-500k. 878.&#10;&#10;&#10;80%-85%.&#10;Non-SIL, 10k-50k. Number of people. 9,872.&#10;Non-SIL, 50k-100k. 4,135. &#10;SIL, 100k-300k. 1,307.&#10;SIL, 300k-500k. 1,452.&#10;&#10;&#10;85%-90%.&#10;Non-SIL, 10k-50k. Number of people. 8,716.&#10;Non-SIL, 50k-100k. 3,649. &#10;SIL, 100k-300k. 1,694.&#10;SIL, 300k-500k. 2,048.&#10;&#10;&#10;90%-95%.&#10;Non-SIL, 10k-50k. Number of people. 7,498.&#10;Non-SIL, 50k-100k. 3,123. &#10;SIL, 100k-300k. 1,593.&#10;SIL, 300k-500k. 2,089.&#10;&#10;&#10;95%-100%.&#10;Non-SIL, 10k-50k. Number of people. 37,940.&#10;Non-SIL, 50k-100k. 9,857. &#10;SIL, 100k-300k. 3,163.&#10;SIL, 300k-500k. 2,428."/>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5099205" cy="4245364"/>
                    </a:xfrm>
                    <a:prstGeom prst="rect">
                      <a:avLst/>
                    </a:prstGeom>
                    <a:noFill/>
                    <a:ln>
                      <a:noFill/>
                    </a:ln>
                  </pic:spPr>
                </pic:pic>
              </a:graphicData>
            </a:graphic>
          </wp:inline>
        </w:drawing>
      </w:r>
    </w:p>
    <w:p w14:paraId="7C9FE9D8" w14:textId="6686C2FB" w:rsidR="004A11B5" w:rsidRDefault="004A11B5" w:rsidP="004A11B5">
      <w:r>
        <w:t xml:space="preserve">As </w:t>
      </w:r>
      <w:r w:rsidR="00FD74BC" w:rsidRPr="00555120">
        <w:t>shown</w:t>
      </w:r>
      <w:r w:rsidRPr="00555120">
        <w:t xml:space="preserve"> in </w:t>
      </w:r>
      <w:r w:rsidR="00FD74BC" w:rsidRPr="00555120">
        <w:fldChar w:fldCharType="begin"/>
      </w:r>
      <w:r w:rsidR="00FD74BC" w:rsidRPr="00555120">
        <w:instrText xml:space="preserve"> REF _Ref87536922 \h  \* MERGEFORMAT </w:instrText>
      </w:r>
      <w:r w:rsidR="00FD74BC" w:rsidRPr="00555120">
        <w:fldChar w:fldCharType="separate"/>
      </w:r>
      <w:r w:rsidR="00E6217F" w:rsidRPr="002057E9">
        <w:t xml:space="preserve">Figure </w:t>
      </w:r>
      <w:r w:rsidR="00E6217F">
        <w:rPr>
          <w:noProof/>
        </w:rPr>
        <w:t>3</w:t>
      </w:r>
      <w:r w:rsidR="00E6217F" w:rsidRPr="002057E9">
        <w:rPr>
          <w:noProof/>
        </w:rPr>
        <w:t>.</w:t>
      </w:r>
      <w:r w:rsidR="00E6217F">
        <w:rPr>
          <w:noProof/>
        </w:rPr>
        <w:t>11</w:t>
      </w:r>
      <w:r w:rsidR="00FD74BC" w:rsidRPr="00555120">
        <w:fldChar w:fldCharType="end"/>
      </w:r>
      <w:r w:rsidRPr="00555120">
        <w:t>, plan increases</w:t>
      </w:r>
      <w:r>
        <w:t xml:space="preserve"> largely halted in the latter part of 20</w:t>
      </w:r>
      <w:r w:rsidR="00BD2246">
        <w:t>20-</w:t>
      </w:r>
      <w:r>
        <w:t>21. Within this trend we note:</w:t>
      </w:r>
    </w:p>
    <w:p w14:paraId="1DDB0E63" w14:textId="59A0F728" w:rsidR="004A11B5" w:rsidRDefault="004A11B5" w:rsidP="004A11B5">
      <w:pPr>
        <w:pStyle w:val="Bullet1"/>
      </w:pPr>
      <w:r>
        <w:t xml:space="preserve">Of the three broad payment categories, committed supports for capital items has been most dramatically affected, as shown in </w:t>
      </w:r>
      <w:r w:rsidR="00951232">
        <w:rPr>
          <w:highlight w:val="yellow"/>
        </w:rPr>
        <w:fldChar w:fldCharType="begin"/>
      </w:r>
      <w:r w:rsidR="00951232">
        <w:instrText xml:space="preserve"> REF _Ref87599410 \h </w:instrText>
      </w:r>
      <w:r w:rsidR="00951232">
        <w:rPr>
          <w:highlight w:val="yellow"/>
        </w:rPr>
      </w:r>
      <w:r w:rsidR="00951232">
        <w:rPr>
          <w:highlight w:val="yellow"/>
        </w:rPr>
        <w:fldChar w:fldCharType="separate"/>
      </w:r>
      <w:r w:rsidR="00E6217F">
        <w:t xml:space="preserve">Figure </w:t>
      </w:r>
      <w:r w:rsidR="00E6217F">
        <w:rPr>
          <w:noProof/>
        </w:rPr>
        <w:t>7</w:t>
      </w:r>
      <w:r w:rsidR="00E6217F">
        <w:t>.</w:t>
      </w:r>
      <w:r w:rsidR="00E6217F">
        <w:rPr>
          <w:noProof/>
        </w:rPr>
        <w:t>10</w:t>
      </w:r>
      <w:r w:rsidR="00951232">
        <w:rPr>
          <w:highlight w:val="yellow"/>
        </w:rPr>
        <w:fldChar w:fldCharType="end"/>
      </w:r>
      <w:r w:rsidR="009616B4">
        <w:t xml:space="preserve">. </w:t>
      </w:r>
      <w:r>
        <w:t>After peak</w:t>
      </w:r>
      <w:r w:rsidR="00FD74BC">
        <w:t>ing</w:t>
      </w:r>
      <w:r>
        <w:t xml:space="preserve"> </w:t>
      </w:r>
      <w:r w:rsidR="00FD74BC">
        <w:t xml:space="preserve">with </w:t>
      </w:r>
      <w:r>
        <w:t xml:space="preserve">average increases </w:t>
      </w:r>
      <w:r w:rsidR="00951232">
        <w:t xml:space="preserve">in excess of 30% in </w:t>
      </w:r>
      <w:r>
        <w:t xml:space="preserve">late 2019, average reductions </w:t>
      </w:r>
      <w:r w:rsidR="00951232">
        <w:t xml:space="preserve">in capital plans </w:t>
      </w:r>
      <w:r>
        <w:t xml:space="preserve">have been </w:t>
      </w:r>
      <w:r w:rsidR="001365C2">
        <w:t>about 20</w:t>
      </w:r>
      <w:r>
        <w:t>% in the second half of 2020-21. This perhaps reflects that capital spending is more discretiona</w:t>
      </w:r>
      <w:r w:rsidR="00951232">
        <w:t>ry</w:t>
      </w:r>
      <w:r>
        <w:t xml:space="preserve"> than core supports</w:t>
      </w:r>
      <w:r w:rsidR="00951232">
        <w:t>, or it could be partly due to COVID-related impacts</w:t>
      </w:r>
      <w:r>
        <w:t xml:space="preserve">, </w:t>
      </w:r>
      <w:r w:rsidR="00951232">
        <w:t xml:space="preserve">both of which </w:t>
      </w:r>
      <w:r>
        <w:t>ha</w:t>
      </w:r>
      <w:r w:rsidR="00951232">
        <w:t>ve</w:t>
      </w:r>
      <w:r>
        <w:t xml:space="preserve"> implications for sustainability.</w:t>
      </w:r>
      <w:r w:rsidR="001365C2">
        <w:t xml:space="preserve"> </w:t>
      </w:r>
      <w:r w:rsidR="00DD0D5D">
        <w:t>Another possible explanation is that one-off initial capital spending permanently subsides; but there is little evidence of this for longer-duration clients prior to 2020-21.</w:t>
      </w:r>
    </w:p>
    <w:p w14:paraId="77C3BCCF" w14:textId="6D145A93" w:rsidR="004A11B5" w:rsidRDefault="004A11B5" w:rsidP="004A11B5">
      <w:pPr>
        <w:pStyle w:val="Bullet1"/>
      </w:pPr>
      <w:r>
        <w:t xml:space="preserve">Decreases have been largest for people whose previous plan had the lowest utilisation. We estimate that people </w:t>
      </w:r>
      <w:r w:rsidR="00951232">
        <w:t xml:space="preserve">who </w:t>
      </w:r>
      <w:r>
        <w:t>had a prior utilisation rate below 40% saw a reduction 7 percentage points greater than those with prior utilisation of above 40%. This means that the impact of flattened plan growth will be smaller than the aggregate number suggests, since the plans with the largest reductions are less likely to approach the 100% utilisation limit.</w:t>
      </w:r>
    </w:p>
    <w:p w14:paraId="2B2F5107" w14:textId="77777777" w:rsidR="004A11B5" w:rsidRDefault="004A11B5" w:rsidP="004A11B5">
      <w:pPr>
        <w:pStyle w:val="Bullet1"/>
      </w:pPr>
      <w:r>
        <w:t xml:space="preserve">Results are relatively uniform across states and territories, with markedly slowed plan growth in all jurisdictions. </w:t>
      </w:r>
    </w:p>
    <w:p w14:paraId="51444EE3" w14:textId="77777777" w:rsidR="004A11B5" w:rsidRPr="00E07015" w:rsidRDefault="004A11B5" w:rsidP="004A11B5">
      <w:pPr>
        <w:pStyle w:val="Bullet1"/>
      </w:pPr>
      <w:r>
        <w:t xml:space="preserve">Changes for first review plans are about 5 percentage points higher than later reviews in the second half of 2020-21 (and indeed are higher across the whole time series). </w:t>
      </w:r>
    </w:p>
    <w:p w14:paraId="44933008" w14:textId="456D51BB" w:rsidR="004A11B5" w:rsidRPr="00DD7CEF" w:rsidRDefault="004A11B5" w:rsidP="004A11B5">
      <w:pPr>
        <w:pStyle w:val="Bullet1"/>
      </w:pPr>
      <w:r>
        <w:t xml:space="preserve">After excluding SIL, </w:t>
      </w:r>
      <w:r w:rsidR="003C5D3D">
        <w:t>r</w:t>
      </w:r>
      <w:r>
        <w:t>eductions appear a little larger for the Hearing Impairment, Spinal Cord Injury and Other Physical disability groups.</w:t>
      </w:r>
    </w:p>
    <w:p w14:paraId="598AA059" w14:textId="01EE0CB7" w:rsidR="004A11B5" w:rsidRDefault="004A11B5" w:rsidP="004A11B5">
      <w:pPr>
        <w:pStyle w:val="Caption"/>
      </w:pPr>
      <w:bookmarkStart w:id="285" w:name="_Ref87599410"/>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10</w:t>
      </w:r>
      <w:r w:rsidR="009366CE">
        <w:fldChar w:fldCharType="end"/>
      </w:r>
      <w:bookmarkEnd w:id="285"/>
      <w:r>
        <w:t xml:space="preserve"> – Change on previous plan for participants, split by broad payment type</w:t>
      </w:r>
    </w:p>
    <w:p w14:paraId="36365591" w14:textId="7A4CE089" w:rsidR="004A11B5" w:rsidRDefault="0038342F" w:rsidP="004A11B5">
      <w:r w:rsidRPr="0038342F">
        <w:rPr>
          <w:noProof/>
        </w:rPr>
        <w:drawing>
          <wp:inline distT="0" distB="0" distL="0" distR="0" wp14:anchorId="6F0E4E66" wp14:editId="6C4FC1C0">
            <wp:extent cx="4072255" cy="2817495"/>
            <wp:effectExtent l="0" t="0" r="4445" b="1905"/>
            <wp:docPr id="23" name="Picture 23" descr="July 2018.&#10;Total Change on previous plan. 17%. &#10;Core. 20%.&#10;Capacity building. 7%.&#10;Capital. 19%.&#10;&#10;&#10;August 2018.&#10;Total Change on previous plan. 12%. &#10;Core. 14%.&#10;Capacity building. 6%.&#10;Capital. 4%.&#10;&#10;September 2018.&#10;Total Change on previous plan. 10%. &#10;Core. 13%.&#10;Capacity building. 3%.&#10;Capital. -4%.&#10;&#10;October 2018.&#10;Total Change on previous plan. 10%. &#10;Core. 14%.&#10;Capacity building. 2%.&#10;Capital. -7%.&#10;&#10;November 2018.&#10;Total Change on previous plan. 8%. &#10;Core. 10%.&#10;Capacity building. 3%.&#10;Capital. 2%.&#10;&#10;December 2018.&#10;Total Change on previous plan. 14%. &#10;Core. 17%.&#10;Capacity building. 5%.&#10;Capital. 4%.&#10;&#10;January 2019.&#10;Total Change on previous plan. 18%. &#10;Core. 21%.&#10;Capacity building. 7%.&#10;Capital. 5%.&#10;&#10;February 2019.&#10;Total Change on previous plan. 21%. &#10;Core. 25%.&#10;Capacity building. 9%.&#10;Capital. 13%.&#10;&#10;March 2019.&#10;Total Change on previous plan. 19%. &#10;Core. 22%.&#10;Capacity building. 9%.&#10;Capital. 14%.&#10;&#10;April 2019.&#10;Total Change on previous plan. 22%. &#10;Core. 25%.&#10;Capacity building. 10%.&#10;Capital. 28%.&#10;&#10;May 2019.&#10;Total Change on previous plan. 24%. &#10;Core. 26%.&#10;Capacity building. 12%.&#10;Capital. 37%.&#10;&#10;June 2019.&#10;Total Change on previous plan. 22%. &#10;Core. 24%.&#10;Capacity building. 14%.&#10;Capital. 38%.&#10;&#10;July 2019.&#10;Total Change on previous plan. 18%. &#10;Core. 18%.&#10;Capacity building. 13%.&#10;Capital. 36%.&#10;&#10;August 2019.&#10;Total Change on previous plan. 20%. &#10;Core. 20%.&#10;Capacity building. 14%.&#10;Capital. 37%.&#10;&#10;September 2019.&#10;Total Change on previous plan. 19%. &#10;Core. 19%.&#10;Capacity building. 14%.&#10;Capital. 43%.&#10;&#10;October 2019.&#10;Total Change on previous plan. 21%. &#10;Core. 21%.&#10;Capacity building. 16%.&#10;Capital. 44%.&#10;&#10;November 2019.&#10;Total Change on previous plan. 22%. &#10;Core. 22%.&#10;Capacity building. 18%.&#10;Capital. 55%.&#10;&#10;December 2019.&#10;Total Change on previous plan. 24%. &#10;Core. 23%.&#10;Capacity building. 20%.&#10;Capital. 61%.&#10;&#10;January 2020.&#10;Total Change on previous plan. 24%. &#10;Core. 23%.&#10;Capacity building. 21%.&#10;Capital. 44%.&#10;&#10;February 2020.&#10;Total Change on previous plan. 25%. &#10;Core. 24%.&#10;Capacity building. 23%.&#10;Capital. 44%.&#10;&#10;March 2020.&#10;Total Change on previous plan. 24%. &#10;Core. 24%.&#10;Capacity building. 22%.&#10;Capital. 37%.&#10;&#10;April 2020.&#10;Total Change on previous plan. 23%. &#10;Core. 23%.&#10;Capacity building. 21%.&#10;Capital. 34%.&#10;&#10;May 2020.&#10;Total Change on previous plan. 20%. &#10;Core. 20%.&#10;Capacity building. 15%.&#10;Capital. 33%.&#10;&#10;June 2020.&#10;Total Change on previous plan. 13%. &#10;Core. 15%.&#10;Capacity building. 9%.&#10;Capital. 14%.&#10;&#10;July 2020.&#10;Total Change on previous plan. 10%. &#10;Core. 12%.&#10;Capacity building. 3%.&#10;Capital. 16%.&#10;&#10;August 2020.&#10;Total Change on previous plan. 9%. &#10;Core. 10%.&#10;Capacity building. 3%.&#10;Capital. 12%.&#10;&#10;September 2020.&#10;Total Change on previous plan. 6%. &#10;Core. 8%.&#10;Capacity building. 0%.&#10;Capital. 7%.&#10;&#10;October 2020.&#10;Total Change on previous plan. 2%. &#10;Core. 3%.&#10;Capacity building. -1%.&#10;Capital. 3%.&#10;&#10;November 2020.&#10;Total Change on previous plan. 1%. &#10;Core. 2%.&#10;Capacity building. -1%.&#10;Capital. -1%.&#10;&#10;December 2020.&#10;Total Change on previous plan. 1%. &#10;Core. 2%.&#10;Capacity building. -1%.&#10;Capital. -7%.&#10;&#10;January 2021.&#10;Total Change on previous plan. -1%. &#10;Core. 0%.&#10;Capacity building. -4%.&#10;Capital. -2%.&#10;&#10;February 2021.&#10;Total Change on previous plan. -1%. &#10;Core. 1%.&#10;Capacity building. -5%.&#10;Capital. -13%.&#10;&#10;March 2021.&#10;Total Change on previous plan. -3%. &#10;Core. 0%.&#10;Capacity building. -7%.&#10;Capital. -22%.&#10;&#10;April 2021.&#10;Total Change on previous plan. -2%. &#10;Core. 1%.&#10;Capacity building. -6%.&#10;Capital. -26%.&#10;&#10;May 2021.&#10;Total Change on previous plan. -3%. &#10;Core. -1%.&#10;Capacity building. -5%.&#10;Capital. -21%.&#10;&#10;June 2021.&#10;Total Change on previous plan. -4%. &#10;Core. -2%.&#10;Capacity building. -4%.&#10;Capital.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July 2018.&#10;Total Change on previous plan. 17%. &#10;Core. 20%.&#10;Capacity building. 7%.&#10;Capital. 19%.&#10;&#10;&#10;August 2018.&#10;Total Change on previous plan. 12%. &#10;Core. 14%.&#10;Capacity building. 6%.&#10;Capital. 4%.&#10;&#10;September 2018.&#10;Total Change on previous plan. 10%. &#10;Core. 13%.&#10;Capacity building. 3%.&#10;Capital. -4%.&#10;&#10;October 2018.&#10;Total Change on previous plan. 10%. &#10;Core. 14%.&#10;Capacity building. 2%.&#10;Capital. -7%.&#10;&#10;November 2018.&#10;Total Change on previous plan. 8%. &#10;Core. 10%.&#10;Capacity building. 3%.&#10;Capital. 2%.&#10;&#10;December 2018.&#10;Total Change on previous plan. 14%. &#10;Core. 17%.&#10;Capacity building. 5%.&#10;Capital. 4%.&#10;&#10;January 2019.&#10;Total Change on previous plan. 18%. &#10;Core. 21%.&#10;Capacity building. 7%.&#10;Capital. 5%.&#10;&#10;February 2019.&#10;Total Change on previous plan. 21%. &#10;Core. 25%.&#10;Capacity building. 9%.&#10;Capital. 13%.&#10;&#10;March 2019.&#10;Total Change on previous plan. 19%. &#10;Core. 22%.&#10;Capacity building. 9%.&#10;Capital. 14%.&#10;&#10;April 2019.&#10;Total Change on previous plan. 22%. &#10;Core. 25%.&#10;Capacity building. 10%.&#10;Capital. 28%.&#10;&#10;May 2019.&#10;Total Change on previous plan. 24%. &#10;Core. 26%.&#10;Capacity building. 12%.&#10;Capital. 37%.&#10;&#10;June 2019.&#10;Total Change on previous plan. 22%. &#10;Core. 24%.&#10;Capacity building. 14%.&#10;Capital. 38%.&#10;&#10;July 2019.&#10;Total Change on previous plan. 18%. &#10;Core. 18%.&#10;Capacity building. 13%.&#10;Capital. 36%.&#10;&#10;August 2019.&#10;Total Change on previous plan. 20%. &#10;Core. 20%.&#10;Capacity building. 14%.&#10;Capital. 37%.&#10;&#10;September 2019.&#10;Total Change on previous plan. 19%. &#10;Core. 19%.&#10;Capacity building. 14%.&#10;Capital. 43%.&#10;&#10;October 2019.&#10;Total Change on previous plan. 21%. &#10;Core. 21%.&#10;Capacity building. 16%.&#10;Capital. 44%.&#10;&#10;November 2019.&#10;Total Change on previous plan. 22%. &#10;Core. 22%.&#10;Capacity building. 18%.&#10;Capital. 55%.&#10;&#10;December 2019.&#10;Total Change on previous plan. 24%. &#10;Core. 23%.&#10;Capacity building. 20%.&#10;Capital. 61%.&#10;&#10;January 2020.&#10;Total Change on previous plan. 24%. &#10;Core. 23%.&#10;Capacity building. 21%.&#10;Capital. 44%.&#10;&#10;February 2020.&#10;Total Change on previous plan. 25%. &#10;Core. 24%.&#10;Capacity building. 23%.&#10;Capital. 44%.&#10;&#10;March 2020.&#10;Total Change on previous plan. 24%. &#10;Core. 24%.&#10;Capacity building. 22%.&#10;Capital. 37%.&#10;&#10;April 2020.&#10;Total Change on previous plan. 23%. &#10;Core. 23%.&#10;Capacity building. 21%.&#10;Capital. 34%.&#10;&#10;May 2020.&#10;Total Change on previous plan. 20%. &#10;Core. 20%.&#10;Capacity building. 15%.&#10;Capital. 33%.&#10;&#10;June 2020.&#10;Total Change on previous plan. 13%. &#10;Core. 15%.&#10;Capacity building. 9%.&#10;Capital. 14%.&#10;&#10;July 2020.&#10;Total Change on previous plan. 10%. &#10;Core. 12%.&#10;Capacity building. 3%.&#10;Capital. 16%.&#10;&#10;August 2020.&#10;Total Change on previous plan. 9%. &#10;Core. 10%.&#10;Capacity building. 3%.&#10;Capital. 12%.&#10;&#10;September 2020.&#10;Total Change on previous plan. 6%. &#10;Core. 8%.&#10;Capacity building. 0%.&#10;Capital. 7%.&#10;&#10;October 2020.&#10;Total Change on previous plan. 2%. &#10;Core. 3%.&#10;Capacity building. -1%.&#10;Capital. 3%.&#10;&#10;November 2020.&#10;Total Change on previous plan. 1%. &#10;Core. 2%.&#10;Capacity building. -1%.&#10;Capital. -1%.&#10;&#10;December 2020.&#10;Total Change on previous plan. 1%. &#10;Core. 2%.&#10;Capacity building. -1%.&#10;Capital. -7%.&#10;&#10;January 2021.&#10;Total Change on previous plan. -1%. &#10;Core. 0%.&#10;Capacity building. -4%.&#10;Capital. -2%.&#10;&#10;February 2021.&#10;Total Change on previous plan. -1%. &#10;Core. 1%.&#10;Capacity building. -5%.&#10;Capital. -13%.&#10;&#10;March 2021.&#10;Total Change on previous plan. -3%. &#10;Core. 0%.&#10;Capacity building. -7%.&#10;Capital. -22%.&#10;&#10;April 2021.&#10;Total Change on previous plan. -2%. &#10;Core. 1%.&#10;Capacity building. -6%.&#10;Capital. -26%.&#10;&#10;May 2021.&#10;Total Change on previous plan. -3%. &#10;Core. -1%.&#10;Capacity building. -5%.&#10;Capital. -21%.&#10;&#10;June 2021.&#10;Total Change on previous plan. -4%. &#10;Core. -2%.&#10;Capacity building. -4%.&#10;Capital. -20%."/>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4072255" cy="2817495"/>
                    </a:xfrm>
                    <a:prstGeom prst="rect">
                      <a:avLst/>
                    </a:prstGeom>
                    <a:noFill/>
                    <a:ln>
                      <a:noFill/>
                    </a:ln>
                  </pic:spPr>
                </pic:pic>
              </a:graphicData>
            </a:graphic>
          </wp:inline>
        </w:drawing>
      </w:r>
    </w:p>
    <w:p w14:paraId="710C6402" w14:textId="09E07DCA" w:rsidR="0038342F" w:rsidRDefault="0038342F" w:rsidP="0038342F">
      <w:pPr>
        <w:pStyle w:val="Tablenotesorsource"/>
      </w:pPr>
      <w:r>
        <w:t xml:space="preserve">Note: Figures are similar to, but </w:t>
      </w:r>
      <w:r w:rsidR="003C5D3D">
        <w:t>d</w:t>
      </w:r>
      <w:r>
        <w:t xml:space="preserve">on’t exactly match, those provided </w:t>
      </w:r>
      <w:r w:rsidR="003C5D3D">
        <w:t>in</w:t>
      </w:r>
      <w:r>
        <w:t xml:space="preserve"> Figure 70 in the NDIS September 2021 quarterly report due to slight differences in rules applied to compare successive plans</w:t>
      </w:r>
      <w:r w:rsidR="00DB7B8C">
        <w:t xml:space="preserve">. Specifically, NDIS business rules exclude plan auto-extensions and additional checks to exclude revoked </w:t>
      </w:r>
      <w:r w:rsidR="002B4625">
        <w:t xml:space="preserve">or pending </w:t>
      </w:r>
      <w:r w:rsidR="00DB7B8C">
        <w:t>plans.</w:t>
      </w:r>
      <w:r w:rsidR="00B03AF2">
        <w:t xml:space="preserve"> NDIS estimates of capital changes are materially higher in Mar-21 and Jun-21 quarters, closer to zero.</w:t>
      </w:r>
    </w:p>
    <w:p w14:paraId="5D7D7058" w14:textId="1CC1133C" w:rsidR="004A11B5" w:rsidRDefault="003C5D3D" w:rsidP="004A11B5">
      <w:r>
        <w:t>A</w:t>
      </w:r>
      <w:r w:rsidR="004A11B5">
        <w:t xml:space="preserve"> further risk </w:t>
      </w:r>
      <w:r>
        <w:t xml:space="preserve">is </w:t>
      </w:r>
      <w:r w:rsidR="004A11B5">
        <w:t>if it becomes wid</w:t>
      </w:r>
      <w:r>
        <w:t>e</w:t>
      </w:r>
      <w:r w:rsidR="004A11B5">
        <w:t xml:space="preserve">ly believed that package decreases are more likely for people who underspent their package the previous year. This </w:t>
      </w:r>
      <w:r w:rsidR="00EE7D46">
        <w:t xml:space="preserve">could </w:t>
      </w:r>
      <w:r w:rsidR="004A11B5">
        <w:t xml:space="preserve">potentially create a behavioural response where people attempt to </w:t>
      </w:r>
      <w:r>
        <w:t xml:space="preserve">fully utilise </w:t>
      </w:r>
      <w:r w:rsidR="004A11B5">
        <w:t xml:space="preserve">their packages, using more services </w:t>
      </w:r>
      <w:r>
        <w:t>than</w:t>
      </w:r>
      <w:r w:rsidR="004A11B5">
        <w:t xml:space="preserve"> they would otherwise do, in order to reduce the risk of subsequent plan reductions. </w:t>
      </w:r>
    </w:p>
    <w:p w14:paraId="1F62F0F6" w14:textId="71D325A3" w:rsidR="00A520C9" w:rsidRPr="009518F0" w:rsidRDefault="00A520C9" w:rsidP="00A520C9">
      <w:pPr>
        <w:pStyle w:val="Heading2"/>
      </w:pPr>
      <w:bookmarkStart w:id="286" w:name="_Ref87515800"/>
      <w:bookmarkStart w:id="287" w:name="_Toc87700495"/>
      <w:bookmarkStart w:id="288" w:name="_Toc88686147"/>
      <w:r>
        <w:t>Typical support packages</w:t>
      </w:r>
      <w:bookmarkEnd w:id="283"/>
      <w:bookmarkEnd w:id="286"/>
      <w:bookmarkEnd w:id="287"/>
      <w:bookmarkEnd w:id="288"/>
    </w:p>
    <w:p w14:paraId="0F8FF967" w14:textId="120D4171" w:rsidR="00F7219B" w:rsidRDefault="00F7219B" w:rsidP="00F7219B">
      <w:r>
        <w:t>While most of our analysis focuses on payments and costs</w:t>
      </w:r>
      <w:r w:rsidR="00BF419E">
        <w:t xml:space="preserve">, the role of packages and how they </w:t>
      </w:r>
      <w:r w:rsidR="00CF34E2">
        <w:t xml:space="preserve">affect </w:t>
      </w:r>
      <w:r w:rsidR="00232FFF">
        <w:t>Scheme</w:t>
      </w:r>
      <w:r w:rsidR="00CF34E2">
        <w:t xml:space="preserve"> costs </w:t>
      </w:r>
      <w:r w:rsidR="00BF419E">
        <w:t xml:space="preserve">is </w:t>
      </w:r>
      <w:r w:rsidR="003301EC">
        <w:t xml:space="preserve">also </w:t>
      </w:r>
      <w:r w:rsidR="00BF419E">
        <w:t>important</w:t>
      </w:r>
      <w:r>
        <w:t>. The planning process and the interaction between committed supports and typical support packages (TSP) is one of the main operational levers available to the NDIS. TSPs are an intermediate estimate of plan costs that reflect some of the circumstances of the individual such as level of informal care being provided.</w:t>
      </w:r>
    </w:p>
    <w:p w14:paraId="215F95F3" w14:textId="4B4D9E5C" w:rsidR="00F7219B" w:rsidRDefault="00F7219B" w:rsidP="00F7219B">
      <w:pPr>
        <w:pStyle w:val="Caption"/>
      </w:pPr>
      <w:bookmarkStart w:id="289" w:name="_Ref87361721"/>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11</w:t>
      </w:r>
      <w:r w:rsidR="009366CE">
        <w:fldChar w:fldCharType="end"/>
      </w:r>
      <w:bookmarkEnd w:id="289"/>
      <w:r>
        <w:t xml:space="preserve"> – Simplified view of the planning process </w:t>
      </w:r>
    </w:p>
    <w:p w14:paraId="6B084139" w14:textId="31436C84" w:rsidR="00F7219B" w:rsidRDefault="00BF419E" w:rsidP="00F7219B">
      <w:r w:rsidRPr="005C2C45">
        <w:rPr>
          <w:noProof/>
        </w:rPr>
        <w:drawing>
          <wp:inline distT="0" distB="0" distL="0" distR="0" wp14:anchorId="02A6C0A6" wp14:editId="3EA180BD">
            <wp:extent cx="5976620" cy="1673860"/>
            <wp:effectExtent l="0" t="0" r="5080" b="2540"/>
            <wp:docPr id="74" name="Picture 74" descr="Functional capacity assessment (e.g. WHODAS score).&#10;&#10;Reference package. Age band. Disability type. Severity group.&#10;&#10;Guided questionnaires related to needs across domains such as daily activities. Adjustments made depending on level of sustainable informal, community or mainstream supports.&#10;&#10;TSP. Largely unique to individual.&#10;&#10;Final tailored allocations of committed supports based on discussions with participant and/or carer.&#10;&#10;Committed supports. Unique to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Functional capacity assessment (e.g. WHODAS score).&#10;&#10;Reference package. Age band. Disability type. Severity group.&#10;&#10;Guided questionnaires related to needs across domains such as daily activities. Adjustments made depending on level of sustainable informal, community or mainstream supports.&#10;&#10;TSP. Largely unique to individual.&#10;&#10;Final tailored allocations of committed supports based on discussions with participant and/or carer.&#10;&#10;Committed supports. Unique to individual"/>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5976620" cy="1673860"/>
                    </a:xfrm>
                    <a:prstGeom prst="rect">
                      <a:avLst/>
                    </a:prstGeom>
                    <a:noFill/>
                    <a:ln>
                      <a:noFill/>
                    </a:ln>
                  </pic:spPr>
                </pic:pic>
              </a:graphicData>
            </a:graphic>
          </wp:inline>
        </w:drawing>
      </w:r>
    </w:p>
    <w:p w14:paraId="36BB1F85" w14:textId="3EE5DA94" w:rsidR="00F7219B" w:rsidRDefault="00F7219B" w:rsidP="00F7219B">
      <w:r>
        <w:t xml:space="preserve">As </w:t>
      </w:r>
      <w:r w:rsidR="00C9417A">
        <w:t xml:space="preserve">shown in </w:t>
      </w:r>
      <w:r w:rsidR="00C9417A" w:rsidRPr="00DD0D5D">
        <w:fldChar w:fldCharType="begin"/>
      </w:r>
      <w:r w:rsidR="00C9417A" w:rsidRPr="00DD0D5D">
        <w:instrText xml:space="preserve"> REF _Ref86942313 \h </w:instrText>
      </w:r>
      <w:r w:rsidR="00DD0D5D">
        <w:instrText xml:space="preserve"> \* MERGEFORMAT </w:instrText>
      </w:r>
      <w:r w:rsidR="00C9417A" w:rsidRPr="00DD0D5D">
        <w:fldChar w:fldCharType="separate"/>
      </w:r>
      <w:r w:rsidR="00E6217F">
        <w:t xml:space="preserve">Figure </w:t>
      </w:r>
      <w:r w:rsidR="00E6217F">
        <w:rPr>
          <w:noProof/>
        </w:rPr>
        <w:t>4.14</w:t>
      </w:r>
      <w:r w:rsidR="00C9417A" w:rsidRPr="00DD0D5D">
        <w:fldChar w:fldCharType="end"/>
      </w:r>
      <w:r w:rsidRPr="00DD0D5D">
        <w:t xml:space="preserve">, there is considerable variability of supports within cohorts. We can see this ‘fanning out’ </w:t>
      </w:r>
      <w:r w:rsidR="00C9417A" w:rsidRPr="00DD0D5D">
        <w:t xml:space="preserve">emerge </w:t>
      </w:r>
      <w:r w:rsidRPr="00DD0D5D">
        <w:t xml:space="preserve">in the planning process, as illustrated in </w:t>
      </w:r>
      <w:r w:rsidRPr="00DD0D5D">
        <w:fldChar w:fldCharType="begin"/>
      </w:r>
      <w:r w:rsidRPr="00DD0D5D">
        <w:instrText xml:space="preserve"> REF _Ref87347794 \h </w:instrText>
      </w:r>
      <w:r w:rsidR="00DD0D5D">
        <w:instrText xml:space="preserve"> \* MERGEFORMAT </w:instrText>
      </w:r>
      <w:r w:rsidRPr="00DD0D5D">
        <w:fldChar w:fldCharType="separate"/>
      </w:r>
      <w:r w:rsidR="00E6217F">
        <w:t xml:space="preserve">Figure </w:t>
      </w:r>
      <w:r w:rsidR="00E6217F">
        <w:rPr>
          <w:noProof/>
        </w:rPr>
        <w:t>7.12</w:t>
      </w:r>
      <w:r w:rsidRPr="00DD0D5D">
        <w:fldChar w:fldCharType="end"/>
      </w:r>
      <w:r w:rsidRPr="00DD0D5D">
        <w:t xml:space="preserve"> for two cohorts. Each person in the cohort has the same reference package. For the psychosocial cohort 90% of TSPs lie </w:t>
      </w:r>
      <w:r w:rsidR="00B265B6" w:rsidRPr="00DD0D5D">
        <w:t xml:space="preserve">between </w:t>
      </w:r>
      <w:r w:rsidR="00C9417A" w:rsidRPr="00DD0D5D">
        <w:t>$</w:t>
      </w:r>
      <w:r w:rsidR="00B265B6" w:rsidRPr="00DD0D5D">
        <w:t>2</w:t>
      </w:r>
      <w:r w:rsidR="00DD0D5D" w:rsidRPr="00DD0D5D">
        <w:t>3</w:t>
      </w:r>
      <w:r w:rsidR="002837F4" w:rsidRPr="00DD0D5D">
        <w:t>K</w:t>
      </w:r>
      <w:r w:rsidR="00B265B6" w:rsidRPr="00DD0D5D">
        <w:t xml:space="preserve"> and </w:t>
      </w:r>
      <w:r w:rsidR="00C9417A" w:rsidRPr="00DD0D5D">
        <w:t>$5</w:t>
      </w:r>
      <w:r w:rsidR="00DD0D5D" w:rsidRPr="00DD0D5D">
        <w:t>8</w:t>
      </w:r>
      <w:r w:rsidR="002837F4" w:rsidRPr="00DD0D5D">
        <w:t>K</w:t>
      </w:r>
      <w:r w:rsidR="00B265B6" w:rsidRPr="00DD0D5D">
        <w:t>, this $3</w:t>
      </w:r>
      <w:r w:rsidR="00DD0D5D" w:rsidRPr="00DD0D5D">
        <w:t>5</w:t>
      </w:r>
      <w:r w:rsidR="002837F4" w:rsidRPr="00DD0D5D">
        <w:t>K</w:t>
      </w:r>
      <w:r w:rsidR="00B265B6" w:rsidRPr="00DD0D5D">
        <w:t xml:space="preserve"> </w:t>
      </w:r>
      <w:r w:rsidR="002837F4" w:rsidRPr="00DD0D5D">
        <w:t xml:space="preserve">range </w:t>
      </w:r>
      <w:r w:rsidR="00B265B6" w:rsidRPr="00DD0D5D">
        <w:t xml:space="preserve">is equivalent to about </w:t>
      </w:r>
      <w:r w:rsidRPr="00DD0D5D">
        <w:t xml:space="preserve">80% of the </w:t>
      </w:r>
      <w:r w:rsidR="00B265B6" w:rsidRPr="00DD0D5D">
        <w:t>$43</w:t>
      </w:r>
      <w:r w:rsidR="002837F4" w:rsidRPr="00DD0D5D">
        <w:t>K</w:t>
      </w:r>
      <w:r w:rsidR="00B265B6" w:rsidRPr="00DD0D5D">
        <w:t xml:space="preserve"> </w:t>
      </w:r>
      <w:r w:rsidRPr="00DD0D5D">
        <w:t xml:space="preserve">reference package. This doubles when looking at </w:t>
      </w:r>
      <w:r w:rsidR="00B265B6" w:rsidRPr="00DD0D5D">
        <w:t xml:space="preserve">the range of </w:t>
      </w:r>
      <w:r w:rsidRPr="00DD0D5D">
        <w:t>committed supports. Similar</w:t>
      </w:r>
      <w:r w:rsidR="002837F4" w:rsidRPr="00DD0D5D">
        <w:t>ly</w:t>
      </w:r>
      <w:r w:rsidRPr="00DD0D5D">
        <w:t xml:space="preserve"> for the autism group</w:t>
      </w:r>
      <w:r w:rsidR="00A53F92">
        <w:t>,</w:t>
      </w:r>
      <w:r w:rsidRPr="00DD0D5D">
        <w:t xml:space="preserve"> the width of the 90% band for TSPs is</w:t>
      </w:r>
      <w:r w:rsidR="002837F4" w:rsidRPr="00DD0D5D">
        <w:t xml:space="preserve"> $1</w:t>
      </w:r>
      <w:r w:rsidR="00DD0D5D" w:rsidRPr="00DD0D5D">
        <w:t>9</w:t>
      </w:r>
      <w:r w:rsidR="002837F4" w:rsidRPr="00DD0D5D">
        <w:t>K</w:t>
      </w:r>
      <w:r w:rsidRPr="00DD0D5D">
        <w:t xml:space="preserve"> </w:t>
      </w:r>
      <w:r w:rsidR="002837F4" w:rsidRPr="00DD0D5D">
        <w:t xml:space="preserve">which is </w:t>
      </w:r>
      <w:r w:rsidRPr="00DD0D5D">
        <w:t>130% of the reference</w:t>
      </w:r>
      <w:r>
        <w:t xml:space="preserve"> package, with committed supports double. </w:t>
      </w:r>
    </w:p>
    <w:p w14:paraId="6CF15E54" w14:textId="6707A595" w:rsidR="00F7219B" w:rsidRDefault="00F7219B" w:rsidP="00F7219B">
      <w:pPr>
        <w:pStyle w:val="Caption"/>
      </w:pPr>
      <w:bookmarkStart w:id="290" w:name="_Ref87347794"/>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12</w:t>
      </w:r>
      <w:r w:rsidR="009366CE">
        <w:fldChar w:fldCharType="end"/>
      </w:r>
      <w:bookmarkEnd w:id="290"/>
      <w:r>
        <w:t xml:space="preserve"> – Relationship between reference packages, TSPs and committed supports</w:t>
      </w:r>
    </w:p>
    <w:p w14:paraId="02BCB9CD" w14:textId="7C2DD52C" w:rsidR="00F7219B" w:rsidRDefault="00B813A0" w:rsidP="00F7219B">
      <w:r>
        <w:rPr>
          <w:noProof/>
        </w:rPr>
        <w:drawing>
          <wp:inline distT="0" distB="0" distL="0" distR="0" wp14:anchorId="0557EE07" wp14:editId="1A5BCE9E">
            <wp:extent cx="5976620" cy="3052445"/>
            <wp:effectExtent l="0" t="0" r="5080" b="0"/>
            <wp:docPr id="153" name="Graphic 153" descr="Psychosocial, age 45-54, Middle severity band&#10;&#10;Reference.&#10;5th percentile. 43,531.&#10;25th percentile. 43,531.&#10;Mean. 43,531.&#10;75th percentile. 43,531.&#10;95th percentile. 43,531.&#10;&#10;TSP.&#10;5th percentile. 23,141.&#10;25th percentile. 38,745.&#10;Mean. 43,635.&#10;75th percentile. 50,106.&#10;95th percentile. 57,820.&#10;&#10;Actual package.&#10;5th percentile. 12,915.&#10;25th percentile. 30,950.&#10;Mean. 57,939.&#10;75th percentile. 54,570.&#10;95th percentile. 89,624.&#10;&#10;&#10;Autism, age 7-14, Second-lowest severity band&#10;&#10;Reference.&#10;5th percentile. 14,287.&#10;25th percentile. 1,900.&#10;Mean. 6,588.&#10;75th percentile. 14,287.&#10;95th percentile. 8,562.&#10;&#10;TSP.&#10;5th percentile. 10,954.&#10;25th percentile. 14,287.&#10;Mean. 11,881.&#10;75th percentile. 18,936.&#10;95th percentile. 14,287.&#10;&#10;Actual package.&#10;5th percentile. 14,479.&#10;25th percentile. 20,423.&#10;Mean. 14,287.&#10;75th percentile. 20,530.&#10;95th percentile. 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phic 153" descr="Psychosocial, age 45-54, Middle severity band&#10;&#10;Reference.&#10;5th percentile. 43,531.&#10;25th percentile. 43,531.&#10;Mean. 43,531.&#10;75th percentile. 43,531.&#10;95th percentile. 43,531.&#10;&#10;TSP.&#10;5th percentile. 23,141.&#10;25th percentile. 38,745.&#10;Mean. 43,635.&#10;75th percentile. 50,106.&#10;95th percentile. 57,820.&#10;&#10;Actual package.&#10;5th percentile. 12,915.&#10;25th percentile. 30,950.&#10;Mean. 57,939.&#10;75th percentile. 54,570.&#10;95th percentile. 89,624.&#10;&#10;&#10;Autism, age 7-14, Second-lowest severity band&#10;&#10;Reference.&#10;5th percentile. 14,287.&#10;25th percentile. 1,900.&#10;Mean. 6,588.&#10;75th percentile. 14,287.&#10;95th percentile. 8,562.&#10;&#10;TSP.&#10;5th percentile. 10,954.&#10;25th percentile. 14,287.&#10;Mean. 11,881.&#10;75th percentile. 18,936.&#10;95th percentile. 14,287.&#10;&#10;Actual package.&#10;5th percentile. 14,479.&#10;25th percentile. 20,423.&#10;Mean. 14,287.&#10;75th percentile. 20,530.&#10;95th percentile. 45,953."/>
                    <pic:cNvPicPr/>
                  </pic:nvPicPr>
                  <pic:blipFill>
                    <a:blip r:embed="rId123" cstate="print">
                      <a:extLst>
                        <a:ext uri="{28A0092B-C50C-407E-A947-70E740481C1C}">
                          <a14:useLocalDpi xmlns:a14="http://schemas.microsoft.com/office/drawing/2010/main"/>
                        </a:ext>
                        <a:ext uri="{96DAC541-7B7A-43D3-8B79-37D633B846F1}">
                          <asvg:svgBlip xmlns:asvg="http://schemas.microsoft.com/office/drawing/2016/SVG/main" r:embed="rId124"/>
                        </a:ext>
                      </a:extLst>
                    </a:blip>
                    <a:stretch>
                      <a:fillRect/>
                    </a:stretch>
                  </pic:blipFill>
                  <pic:spPr>
                    <a:xfrm>
                      <a:off x="0" y="0"/>
                      <a:ext cx="5976620" cy="3052445"/>
                    </a:xfrm>
                    <a:prstGeom prst="rect">
                      <a:avLst/>
                    </a:prstGeom>
                  </pic:spPr>
                </pic:pic>
              </a:graphicData>
            </a:graphic>
          </wp:inline>
        </w:drawing>
      </w:r>
    </w:p>
    <w:p w14:paraId="1D309590" w14:textId="5F988D7C" w:rsidR="00F7219B" w:rsidRDefault="00F7219B" w:rsidP="00F7219B">
      <w:r>
        <w:t>This fanning out reflects a large variation between TSP and committed supports. Ratios are shown in the figure below for different ranges of TSP. We understand that there is an additional approval process required for packages more than 10% higher than a TSP, a ‘cliff’ is visible at 1.1 in both the charts, reflecting some likely behavioural factors in the approval process.</w:t>
      </w:r>
    </w:p>
    <w:p w14:paraId="7A78AA21" w14:textId="4094A79E" w:rsidR="00F77E90" w:rsidRDefault="00F77E90" w:rsidP="00F7219B">
      <w:r>
        <w:t xml:space="preserve">Committed supports as a ratio of TSP tend to be higher in NSW and Queensland, and lower in Victoria and Western Australia. </w:t>
      </w:r>
    </w:p>
    <w:p w14:paraId="6BE66F9B" w14:textId="0AD19289" w:rsidR="00F7219B" w:rsidRDefault="00F7219B" w:rsidP="00F7219B">
      <w:pPr>
        <w:pStyle w:val="Caption"/>
      </w:pPr>
      <w:bookmarkStart w:id="291" w:name="_Ref87361819"/>
      <w:r>
        <w:t xml:space="preserve">Figure </w:t>
      </w:r>
      <w:r w:rsidR="009366CE">
        <w:fldChar w:fldCharType="begin"/>
      </w:r>
      <w:r w:rsidR="009366CE">
        <w:instrText xml:space="preserve"> STYLEREF 1 \s </w:instrText>
      </w:r>
      <w:r w:rsidR="009366CE">
        <w:fldChar w:fldCharType="separate"/>
      </w:r>
      <w:r w:rsidR="00E6217F">
        <w:rPr>
          <w:noProof/>
        </w:rPr>
        <w:t>7</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13</w:t>
      </w:r>
      <w:r w:rsidR="009366CE">
        <w:fldChar w:fldCharType="end"/>
      </w:r>
      <w:bookmarkEnd w:id="291"/>
      <w:r>
        <w:t xml:space="preserve"> – Ratio of committed supports to TSP</w:t>
      </w:r>
    </w:p>
    <w:p w14:paraId="02548A4B" w14:textId="77777777" w:rsidR="00F7219B" w:rsidRDefault="00F7219B" w:rsidP="00F7219B">
      <w:r w:rsidRPr="007E4E9A">
        <w:rPr>
          <w:noProof/>
        </w:rPr>
        <w:drawing>
          <wp:inline distT="0" distB="0" distL="0" distR="0" wp14:anchorId="05117500" wp14:editId="324D7BAF">
            <wp:extent cx="5976620" cy="2573655"/>
            <wp:effectExtent l="0" t="0" r="0" b="0"/>
            <wp:docPr id="89" name="Picture 89" descr="20k to 50k TSP&#10;&#10;Ratio of committed supports to TSP. Ratio 0.0Ratio 0. Relative number 183.&#10;Ratio 0.02. Relative number 38.&#10;Ratio 0.04. Relative number 50.&#10;Ratio 0.06. Relative number 83.&#10;Ratio 0.08. Relative number 75.&#10;Ratio 0.1Ratio 0. Relative number 82.&#10;Ratio 0.12. Relative number 110.&#10;Ratio 0.14. Relative number 143.&#10;Ratio 0.16. Relative number 139.&#10;Ratio 0.18. Relative number 191.&#10;Ratio 0.20. Relative number 194.&#10;Ratio 0.22. Relative number 245.&#10;Ratio 0.24. Relative number 253.&#10;Ratio 0.26. Relative number 306.&#10;Ratio 0.28. Relative number 356.&#10;Ratio 0.30. Relative number 378.&#10;Ratio 0.32. Relative number 428.&#10;Ratio 0.34. Relative number 456.&#10;Ratio 0.36. Relative number 507.&#10;Ratio 0.38. Relative number 598.&#10;Ratio 0.40. Relative number 556.&#10;Ratio 0.42. Relative number 612.&#10;Ratio 0.44. Relative number 646.&#10;Ratio 0.46. Relative number 749.&#10;Ratio 0.48. Relative number 763.&#10;Ratio 0.50. Relative number 764.&#10;Ratio 0.52. Relative number 871.&#10;Ratio 0.54. Relative number 931.&#10;Ratio 0.56. Relative number 930.&#10;Ratio 0.58. Relative number 930.&#10;Ratio 0.60. Relative number 972.&#10;Ratio 0.62. Relative number 1,042.&#10;Ratio 0.64. Relative number 1,069.&#10;Ratio 0.66. Relative number 1,141.&#10;Ratio 0.68. Relative number 1,193.&#10;Ratio 0.70. Relative number 1,194.&#10;Ratio 0.72. Relative number 1,273.&#10;Ratio 0.74. Relative number 1,316.&#10;Ratio 0.76. Relative number 1,351.&#10;Ratio 0.78. Relative number 1,328.&#10;Ratio 0.80. Relative number 1,383.&#10;Ratio 0.82. Relative number 1,421.&#10;Ratio 0.84. Relative number 1,472.&#10;Ratio 0.86. Relative number 1,467.&#10;Ratio 0.88. Relative number 1,588.&#10;Ratio 0.90. Relative number 1,522.&#10;Ratio 0.92. Relative number 1,783.&#10;Ratio 0.94. Relative number 1,806.&#10;Ratio 0.96. Relative number 1,895.&#10;Ratio 0.98. Relative number 2,055.&#10;Ratio 1.00. Relative number 2,114.&#10;Ratio 1.02. Relative number 2,126.&#10;Ratio 1.04. Relative number 2,058.&#10;Ratio 1.06. Relative number 2,099.&#10;Ratio 1.08. Relative number 1,998.&#10;Ratio 1.10. Relative number 1,882.&#10;Ratio 1.12. Relative number 1,525.&#10;Ratio 1.14. Relative number 1,317.&#10;Ratio 1.16. Relative number 1,271.&#10;Ratio 1.18. Relative number 1,109.&#10;Ratio 1.20. Relative number 1,072.&#10;Ratio 1.22. Relative number 925.&#10;Ratio 1.24. Relative number 867.&#10;Ratio 1.26. Relative number 899.&#10;Ratio 1.28. Relative number 834.&#10;Ratio 1.30. Relative number 783.&#10;Ratio 1.32. Relative number 721.&#10;Ratio 1.34. Relative number 783.&#10;Ratio 1.36. Relative number 665.&#10;Ratio 1.38. Relative number 714.&#10;Ratio 1.40. Relative number 613.&#10;Ratio 1.42. Relative number 640.&#10;Ratio 1.44. Relative number 606.&#10;Ratio 1.46. Relative number 577.&#10;Ratio 1.48. Relative number 560.&#10;Ratio 1.50. Relative number 560.&#10;Ratio 1.52. Relative number 512.&#10;Ratio 1.54. Relative number 471.&#10;Ratio 1.56. Relative number 476.&#10;Ratio 1.58. Relative number 472.&#10;Ratio 1.60. Relative number 472.&#10;Ratio 1.62. Relative number 459.&#10;Ratio 1.64. Relative number 434.&#10;Ratio 1.66. Relative number 404.&#10;Ratio 1.68. Relative number 413.&#10;Ratio 1.70. Relative number 401.&#10;Ratio 1.72. Relative number 361.&#10;Ratio 1.74. Relative number 314.&#10;Ratio 1.76. Relative number 394.&#10;Ratio 1.78. Relative number 323.&#10;Ratio 1.80. Relative number 354.&#10;Ratio 1.82. Relative number 321.&#10;Ratio 1.84. Relative number 326.&#10;Ratio 1.86. Relative number 278.&#10;Ratio 1.88. Relative number 271.&#10;Ratio 1.90. Relative number 280.&#10;Ratio 1.92. Relative number 250.&#10;Ratio 1.94. Relative number 260.&#10;Ratio 1.96. Relative number 248.&#10;Ratio 1.98. Relative number 270.&#10;Ratio 2.00. Relative number 12,331.&#10;&#10;&#10;&#10;100k to 200k TSP&#10;&#10;Ratio of committed supports to TSP. Ratio 0.0Ratio 0. Relative number 61.&#10;Ratio 0.02. Relative number 36.&#10;Ratio 0.04. Relative number 57.&#10;Ratio 0.06. Relative number 88.&#10;Ratio 0.08. Relative number 130.&#10;Ratio 0.1Ratio 0. Relative number 183.&#10;Ratio 0.12. Relative number 285.&#10;Ratio 0.14. Relative number 389.&#10;Ratio 0.16. Relative number 519.&#10;Ratio 0.18. Relative number 707.&#10;Ratio 0.20. Relative number 894.&#10;Ratio 0.22. Relative number 1,030.&#10;Ratio 0.24. Relative number 1,245.&#10;Ratio 0.26. Relative number 1,426.&#10;Ratio 0.28. Relative number 1,542.&#10;Ratio 0.30. Relative number 1,628.&#10;Ratio 0.32. Relative number 1,729.&#10;Ratio 0.34. Relative number 1,846.&#10;Ratio 0.36. Relative number 1,965.&#10;Ratio 0.38. Relative number 2,000.&#10;Ratio 0.40. Relative number 2,015.&#10;Ratio 0.42. Relative number 1,902.&#10;Ratio 0.44. Relative number 1,963.&#10;Ratio 0.46. Relative number 1,954.&#10;Ratio 0.48. Relative number 1,969.&#10;Ratio 0.50. Relative number 2,077.&#10;Ratio 0.52. Relative number 1,998.&#10;Ratio 0.54. Relative number 1,956.&#10;Ratio 0.56. Relative number 1,873.&#10;Ratio 0.58. Relative number 1,844.&#10;Ratio 0.60. Relative number 1,727.&#10;Ratio 0.62. Relative number 1,733.&#10;Ratio 0.64. Relative number 1,824.&#10;Ratio 0.66. Relative number 1,710.&#10;Ratio 0.68. Relative number 1,733.&#10;Ratio 0.70. Relative number 1,797.&#10;Ratio 0.72. Relative number 1,694.&#10;Ratio 0.74. Relative number 1,662.&#10;Ratio 0.76. Relative number 1,688.&#10;Ratio 0.78. Relative number 1,637.&#10;Ratio 0.80. Relative number 1,577.&#10;Ratio 0.82. Relative number 1,612.&#10;Ratio 0.84. Relative number 1,521.&#10;Ratio 0.86. Relative number 1,426.&#10;Ratio 0.88. Relative number 1,428.&#10;Ratio 0.90. Relative number 1,343.&#10;Ratio 0.92. Relative number 1,394.&#10;Ratio 0.94. Relative number 1,342.&#10;Ratio 0.96. Relative number 1,314.&#10;Ratio 0.98. Relative number 1,352.&#10;Ratio 1.00. Relative number 1,347.&#10;Ratio 1.02. Relative number 1,174.&#10;Ratio 1.04. Relative number 1,155.&#10;Ratio 1.06. Relative number 1,105.&#10;Ratio 1.08. Relative number 1,007.&#10;Ratio 1.10. Relative number 860.&#10;Ratio 1.12. Relative number 711.&#10;Ratio 1.14. Relative number 677.&#10;Ratio 1.16. Relative number 641.&#10;Ratio 1.18. Relative number 583.&#10;Ratio 1.20. Relative number 522.&#10;Ratio 1.22. Relative number 491.&#10;Ratio 1.24. Relative number 529.&#10;Ratio 1.26. Relative number 464.&#10;Ratio 1.28. Relative number 466.&#10;Ratio 1.30. Relative number 459.&#10;Ratio 1.32. Relative number 446.&#10;Ratio 1.34. Relative number 432.&#10;Ratio 1.36. Relative number 449.&#10;Ratio 1.38. Relative number 364.&#10;Ratio 1.40. Relative number 402.&#10;Ratio 1.42. Relative number 390.&#10;Ratio 1.44. Relative number 378.&#10;Ratio 1.46. Relative number 393.&#10;Ratio 1.48. Relative number 390.&#10;Ratio 1.50. Relative number 347.&#10;Ratio 1.52. Relative number 376.&#10;Ratio 1.54. Relative number 374.&#10;Ratio 1.56. Relative number 338.&#10;Ratio 1.58. Relative number 349.&#10;Ratio 1.60. Relative number 322.&#10;Ratio 1.62. Relative number 312.&#10;Ratio 1.64. Relative number 341.&#10;Ratio 1.66. Relative number 298.&#10;Ratio 1.68. Relative number 321.&#10;Ratio 1.70. Relative number 311.&#10;Ratio 1.72. Relative number 317.&#10;Ratio 1.74. Relative number 321.&#10;Ratio 1.76. Relative number 283.&#10;Ratio 1.78. Relative number 250.&#10;Ratio 1.80. Relative number 269.&#10;Ratio 1.82. Relative number 281.&#10;Ratio 1.84. Relative number 290.&#10;Ratio 1.86. Relative number 281.&#10;Ratio 1.88. Relative number 254.&#10;Ratio 1.90. Relative number 265.&#10;Ratio 1.92. Relative number 235.&#10;Ratio 1.94. Relative number 250.&#10;Ratio 1.96. Relative number 238.&#10;Ratio 1.98. Relative number 215.&#10;Ratio 2.00. Relative number 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20k to 50k TSP&#10;&#10;Ratio of committed supports to TSP. Ratio 0.0Ratio 0. Relative number 183.&#10;Ratio 0.02. Relative number 38.&#10;Ratio 0.04. Relative number 50.&#10;Ratio 0.06. Relative number 83.&#10;Ratio 0.08. Relative number 75.&#10;Ratio 0.1Ratio 0. Relative number 82.&#10;Ratio 0.12. Relative number 110.&#10;Ratio 0.14. Relative number 143.&#10;Ratio 0.16. Relative number 139.&#10;Ratio 0.18. Relative number 191.&#10;Ratio 0.20. Relative number 194.&#10;Ratio 0.22. Relative number 245.&#10;Ratio 0.24. Relative number 253.&#10;Ratio 0.26. Relative number 306.&#10;Ratio 0.28. Relative number 356.&#10;Ratio 0.30. Relative number 378.&#10;Ratio 0.32. Relative number 428.&#10;Ratio 0.34. Relative number 456.&#10;Ratio 0.36. Relative number 507.&#10;Ratio 0.38. Relative number 598.&#10;Ratio 0.40. Relative number 556.&#10;Ratio 0.42. Relative number 612.&#10;Ratio 0.44. Relative number 646.&#10;Ratio 0.46. Relative number 749.&#10;Ratio 0.48. Relative number 763.&#10;Ratio 0.50. Relative number 764.&#10;Ratio 0.52. Relative number 871.&#10;Ratio 0.54. Relative number 931.&#10;Ratio 0.56. Relative number 930.&#10;Ratio 0.58. Relative number 930.&#10;Ratio 0.60. Relative number 972.&#10;Ratio 0.62. Relative number 1,042.&#10;Ratio 0.64. Relative number 1,069.&#10;Ratio 0.66. Relative number 1,141.&#10;Ratio 0.68. Relative number 1,193.&#10;Ratio 0.70. Relative number 1,194.&#10;Ratio 0.72. Relative number 1,273.&#10;Ratio 0.74. Relative number 1,316.&#10;Ratio 0.76. Relative number 1,351.&#10;Ratio 0.78. Relative number 1,328.&#10;Ratio 0.80. Relative number 1,383.&#10;Ratio 0.82. Relative number 1,421.&#10;Ratio 0.84. Relative number 1,472.&#10;Ratio 0.86. Relative number 1,467.&#10;Ratio 0.88. Relative number 1,588.&#10;Ratio 0.90. Relative number 1,522.&#10;Ratio 0.92. Relative number 1,783.&#10;Ratio 0.94. Relative number 1,806.&#10;Ratio 0.96. Relative number 1,895.&#10;Ratio 0.98. Relative number 2,055.&#10;Ratio 1.00. Relative number 2,114.&#10;Ratio 1.02. Relative number 2,126.&#10;Ratio 1.04. Relative number 2,058.&#10;Ratio 1.06. Relative number 2,099.&#10;Ratio 1.08. Relative number 1,998.&#10;Ratio 1.10. Relative number 1,882.&#10;Ratio 1.12. Relative number 1,525.&#10;Ratio 1.14. Relative number 1,317.&#10;Ratio 1.16. Relative number 1,271.&#10;Ratio 1.18. Relative number 1,109.&#10;Ratio 1.20. Relative number 1,072.&#10;Ratio 1.22. Relative number 925.&#10;Ratio 1.24. Relative number 867.&#10;Ratio 1.26. Relative number 899.&#10;Ratio 1.28. Relative number 834.&#10;Ratio 1.30. Relative number 783.&#10;Ratio 1.32. Relative number 721.&#10;Ratio 1.34. Relative number 783.&#10;Ratio 1.36. Relative number 665.&#10;Ratio 1.38. Relative number 714.&#10;Ratio 1.40. Relative number 613.&#10;Ratio 1.42. Relative number 640.&#10;Ratio 1.44. Relative number 606.&#10;Ratio 1.46. Relative number 577.&#10;Ratio 1.48. Relative number 560.&#10;Ratio 1.50. Relative number 560.&#10;Ratio 1.52. Relative number 512.&#10;Ratio 1.54. Relative number 471.&#10;Ratio 1.56. Relative number 476.&#10;Ratio 1.58. Relative number 472.&#10;Ratio 1.60. Relative number 472.&#10;Ratio 1.62. Relative number 459.&#10;Ratio 1.64. Relative number 434.&#10;Ratio 1.66. Relative number 404.&#10;Ratio 1.68. Relative number 413.&#10;Ratio 1.70. Relative number 401.&#10;Ratio 1.72. Relative number 361.&#10;Ratio 1.74. Relative number 314.&#10;Ratio 1.76. Relative number 394.&#10;Ratio 1.78. Relative number 323.&#10;Ratio 1.80. Relative number 354.&#10;Ratio 1.82. Relative number 321.&#10;Ratio 1.84. Relative number 326.&#10;Ratio 1.86. Relative number 278.&#10;Ratio 1.88. Relative number 271.&#10;Ratio 1.90. Relative number 280.&#10;Ratio 1.92. Relative number 250.&#10;Ratio 1.94. Relative number 260.&#10;Ratio 1.96. Relative number 248.&#10;Ratio 1.98. Relative number 270.&#10;Ratio 2.00. Relative number 12,331.&#10;&#10;&#10;&#10;100k to 200k TSP&#10;&#10;Ratio of committed supports to TSP. Ratio 0.0Ratio 0. Relative number 61.&#10;Ratio 0.02. Relative number 36.&#10;Ratio 0.04. Relative number 57.&#10;Ratio 0.06. Relative number 88.&#10;Ratio 0.08. Relative number 130.&#10;Ratio 0.1Ratio 0. Relative number 183.&#10;Ratio 0.12. Relative number 285.&#10;Ratio 0.14. Relative number 389.&#10;Ratio 0.16. Relative number 519.&#10;Ratio 0.18. Relative number 707.&#10;Ratio 0.20. Relative number 894.&#10;Ratio 0.22. Relative number 1,030.&#10;Ratio 0.24. Relative number 1,245.&#10;Ratio 0.26. Relative number 1,426.&#10;Ratio 0.28. Relative number 1,542.&#10;Ratio 0.30. Relative number 1,628.&#10;Ratio 0.32. Relative number 1,729.&#10;Ratio 0.34. Relative number 1,846.&#10;Ratio 0.36. Relative number 1,965.&#10;Ratio 0.38. Relative number 2,000.&#10;Ratio 0.40. Relative number 2,015.&#10;Ratio 0.42. Relative number 1,902.&#10;Ratio 0.44. Relative number 1,963.&#10;Ratio 0.46. Relative number 1,954.&#10;Ratio 0.48. Relative number 1,969.&#10;Ratio 0.50. Relative number 2,077.&#10;Ratio 0.52. Relative number 1,998.&#10;Ratio 0.54. Relative number 1,956.&#10;Ratio 0.56. Relative number 1,873.&#10;Ratio 0.58. Relative number 1,844.&#10;Ratio 0.60. Relative number 1,727.&#10;Ratio 0.62. Relative number 1,733.&#10;Ratio 0.64. Relative number 1,824.&#10;Ratio 0.66. Relative number 1,710.&#10;Ratio 0.68. Relative number 1,733.&#10;Ratio 0.70. Relative number 1,797.&#10;Ratio 0.72. Relative number 1,694.&#10;Ratio 0.74. Relative number 1,662.&#10;Ratio 0.76. Relative number 1,688.&#10;Ratio 0.78. Relative number 1,637.&#10;Ratio 0.80. Relative number 1,577.&#10;Ratio 0.82. Relative number 1,612.&#10;Ratio 0.84. Relative number 1,521.&#10;Ratio 0.86. Relative number 1,426.&#10;Ratio 0.88. Relative number 1,428.&#10;Ratio 0.90. Relative number 1,343.&#10;Ratio 0.92. Relative number 1,394.&#10;Ratio 0.94. Relative number 1,342.&#10;Ratio 0.96. Relative number 1,314.&#10;Ratio 0.98. Relative number 1,352.&#10;Ratio 1.00. Relative number 1,347.&#10;Ratio 1.02. Relative number 1,174.&#10;Ratio 1.04. Relative number 1,155.&#10;Ratio 1.06. Relative number 1,105.&#10;Ratio 1.08. Relative number 1,007.&#10;Ratio 1.10. Relative number 860.&#10;Ratio 1.12. Relative number 711.&#10;Ratio 1.14. Relative number 677.&#10;Ratio 1.16. Relative number 641.&#10;Ratio 1.18. Relative number 583.&#10;Ratio 1.20. Relative number 522.&#10;Ratio 1.22. Relative number 491.&#10;Ratio 1.24. Relative number 529.&#10;Ratio 1.26. Relative number 464.&#10;Ratio 1.28. Relative number 466.&#10;Ratio 1.30. Relative number 459.&#10;Ratio 1.32. Relative number 446.&#10;Ratio 1.34. Relative number 432.&#10;Ratio 1.36. Relative number 449.&#10;Ratio 1.38. Relative number 364.&#10;Ratio 1.40. Relative number 402.&#10;Ratio 1.42. Relative number 390.&#10;Ratio 1.44. Relative number 378.&#10;Ratio 1.46. Relative number 393.&#10;Ratio 1.48. Relative number 390.&#10;Ratio 1.50. Relative number 347.&#10;Ratio 1.52. Relative number 376.&#10;Ratio 1.54. Relative number 374.&#10;Ratio 1.56. Relative number 338.&#10;Ratio 1.58. Relative number 349.&#10;Ratio 1.60. Relative number 322.&#10;Ratio 1.62. Relative number 312.&#10;Ratio 1.64. Relative number 341.&#10;Ratio 1.66. Relative number 298.&#10;Ratio 1.68. Relative number 321.&#10;Ratio 1.70. Relative number 311.&#10;Ratio 1.72. Relative number 317.&#10;Ratio 1.74. Relative number 321.&#10;Ratio 1.76. Relative number 283.&#10;Ratio 1.78. Relative number 250.&#10;Ratio 1.80. Relative number 269.&#10;Ratio 1.82. Relative number 281.&#10;Ratio 1.84. Relative number 290.&#10;Ratio 1.86. Relative number 281.&#10;Ratio 1.88. Relative number 254.&#10;Ratio 1.90. Relative number 265.&#10;Ratio 1.92. Relative number 235.&#10;Ratio 1.94. Relative number 250.&#10;Ratio 1.96. Relative number 238.&#10;Ratio 1.98. Relative number 215.&#10;Ratio 2.00. Relative number 8,58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976620" cy="2573655"/>
                    </a:xfrm>
                    <a:prstGeom prst="rect">
                      <a:avLst/>
                    </a:prstGeom>
                    <a:noFill/>
                    <a:ln>
                      <a:noFill/>
                    </a:ln>
                  </pic:spPr>
                </pic:pic>
              </a:graphicData>
            </a:graphic>
          </wp:inline>
        </w:drawing>
      </w:r>
    </w:p>
    <w:p w14:paraId="004A11D4" w14:textId="41F1561A" w:rsidR="00F7219B" w:rsidRDefault="00F7219B" w:rsidP="00F7219B">
      <w:r>
        <w:t xml:space="preserve">In understanding longitudinal changes over time, we can track increases in both </w:t>
      </w:r>
      <w:r w:rsidR="002837F4">
        <w:t>c</w:t>
      </w:r>
      <w:r>
        <w:t xml:space="preserve">ommitted supports and the related TSPs. The aggregate results are shown in </w:t>
      </w:r>
      <w:r>
        <w:fldChar w:fldCharType="begin"/>
      </w:r>
      <w:r>
        <w:instrText xml:space="preserve"> REF _Ref87360556 \h </w:instrText>
      </w:r>
      <w:r>
        <w:fldChar w:fldCharType="separate"/>
      </w:r>
      <w:r w:rsidR="00E6217F">
        <w:t xml:space="preserve">Table </w:t>
      </w:r>
      <w:r w:rsidR="00E6217F">
        <w:rPr>
          <w:noProof/>
        </w:rPr>
        <w:t>7</w:t>
      </w:r>
      <w:r w:rsidR="00E6217F">
        <w:t>.</w:t>
      </w:r>
      <w:r w:rsidR="00E6217F">
        <w:rPr>
          <w:noProof/>
        </w:rPr>
        <w:t>4</w:t>
      </w:r>
      <w:r>
        <w:fldChar w:fldCharType="end"/>
      </w:r>
      <w:r>
        <w:t>. It shows that substantial increases in committed supports in 2019 and 2020 ha</w:t>
      </w:r>
      <w:r w:rsidR="002837F4">
        <w:t>ve</w:t>
      </w:r>
      <w:r>
        <w:t xml:space="preserve"> been largely mirrored by substantial increases in the average TSP. </w:t>
      </w:r>
    </w:p>
    <w:p w14:paraId="2989F570" w14:textId="450690D7" w:rsidR="00F7219B" w:rsidRDefault="00F7219B" w:rsidP="00F7219B">
      <w:pPr>
        <w:pStyle w:val="Caption"/>
      </w:pPr>
      <w:bookmarkStart w:id="292" w:name="_Ref87360556"/>
      <w:r>
        <w:t xml:space="preserve">Table </w:t>
      </w:r>
      <w:r w:rsidR="007F6BE8">
        <w:fldChar w:fldCharType="begin"/>
      </w:r>
      <w:r w:rsidR="007F6BE8">
        <w:instrText xml:space="preserve"> STYLEREF 1 \s </w:instrText>
      </w:r>
      <w:r w:rsidR="007F6BE8">
        <w:fldChar w:fldCharType="separate"/>
      </w:r>
      <w:r w:rsidR="00E6217F">
        <w:rPr>
          <w:noProof/>
        </w:rPr>
        <w:t>7</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4</w:t>
      </w:r>
      <w:r w:rsidR="007F6BE8">
        <w:fldChar w:fldCharType="end"/>
      </w:r>
      <w:bookmarkEnd w:id="292"/>
      <w:r>
        <w:t xml:space="preserve"> – Increase in value of Committed plans and TSPs at 30 June each year, for those participants that had plans in force a year earlier. Dollar-weighted</w:t>
      </w:r>
    </w:p>
    <w:tbl>
      <w:tblPr>
        <w:tblStyle w:val="TFBlue"/>
        <w:tblW w:w="0" w:type="auto"/>
        <w:tblLook w:val="04A0" w:firstRow="1" w:lastRow="0" w:firstColumn="1" w:lastColumn="0" w:noHBand="0" w:noVBand="1"/>
      </w:tblPr>
      <w:tblGrid>
        <w:gridCol w:w="2407"/>
        <w:gridCol w:w="962"/>
        <w:gridCol w:w="1134"/>
        <w:gridCol w:w="1134"/>
      </w:tblGrid>
      <w:tr w:rsidR="00F7219B" w14:paraId="272BA2C9" w14:textId="77777777" w:rsidTr="00582ECF">
        <w:trPr>
          <w:cnfStyle w:val="100000000000" w:firstRow="1" w:lastRow="0" w:firstColumn="0" w:lastColumn="0" w:oddVBand="0" w:evenVBand="0" w:oddHBand="0" w:evenHBand="0" w:firstRowFirstColumn="0" w:firstRowLastColumn="0" w:lastRowFirstColumn="0" w:lastRowLastColumn="0"/>
        </w:trPr>
        <w:tc>
          <w:tcPr>
            <w:tcW w:w="2407" w:type="dxa"/>
          </w:tcPr>
          <w:p w14:paraId="2C99A075" w14:textId="77777777" w:rsidR="00F7219B" w:rsidRDefault="00F7219B" w:rsidP="00582ECF">
            <w:pPr>
              <w:jc w:val="right"/>
            </w:pPr>
          </w:p>
        </w:tc>
        <w:tc>
          <w:tcPr>
            <w:tcW w:w="962" w:type="dxa"/>
          </w:tcPr>
          <w:p w14:paraId="1CAD6905" w14:textId="77777777" w:rsidR="00F7219B" w:rsidRDefault="00F7219B" w:rsidP="00582ECF">
            <w:pPr>
              <w:jc w:val="right"/>
            </w:pPr>
            <w:r w:rsidRPr="00616EAF">
              <w:t>2019</w:t>
            </w:r>
          </w:p>
        </w:tc>
        <w:tc>
          <w:tcPr>
            <w:tcW w:w="1134" w:type="dxa"/>
          </w:tcPr>
          <w:p w14:paraId="43A2A75A" w14:textId="77777777" w:rsidR="00F7219B" w:rsidRDefault="00F7219B" w:rsidP="00582ECF">
            <w:pPr>
              <w:jc w:val="right"/>
            </w:pPr>
            <w:r w:rsidRPr="00616EAF">
              <w:t>2020</w:t>
            </w:r>
          </w:p>
        </w:tc>
        <w:tc>
          <w:tcPr>
            <w:tcW w:w="1134" w:type="dxa"/>
          </w:tcPr>
          <w:p w14:paraId="51FB0CEC" w14:textId="77777777" w:rsidR="00F7219B" w:rsidRDefault="00F7219B" w:rsidP="00582ECF">
            <w:pPr>
              <w:jc w:val="right"/>
            </w:pPr>
            <w:r w:rsidRPr="00616EAF">
              <w:t>2021</w:t>
            </w:r>
          </w:p>
        </w:tc>
      </w:tr>
      <w:tr w:rsidR="00F7219B" w14:paraId="2B14961B" w14:textId="77777777" w:rsidTr="00582ECF">
        <w:trPr>
          <w:cnfStyle w:val="000000100000" w:firstRow="0" w:lastRow="0" w:firstColumn="0" w:lastColumn="0" w:oddVBand="0" w:evenVBand="0" w:oddHBand="1" w:evenHBand="0" w:firstRowFirstColumn="0" w:firstRowLastColumn="0" w:lastRowFirstColumn="0" w:lastRowLastColumn="0"/>
        </w:trPr>
        <w:tc>
          <w:tcPr>
            <w:tcW w:w="2407" w:type="dxa"/>
          </w:tcPr>
          <w:p w14:paraId="5010C5D2" w14:textId="77777777" w:rsidR="00F7219B" w:rsidRDefault="00F7219B" w:rsidP="00582ECF">
            <w:pPr>
              <w:pStyle w:val="Tabletext"/>
            </w:pPr>
            <w:r w:rsidRPr="00616EAF">
              <w:t>TSP</w:t>
            </w:r>
          </w:p>
        </w:tc>
        <w:tc>
          <w:tcPr>
            <w:tcW w:w="962" w:type="dxa"/>
          </w:tcPr>
          <w:p w14:paraId="2E81EA19" w14:textId="77777777" w:rsidR="00F7219B" w:rsidRDefault="00F7219B" w:rsidP="00582ECF">
            <w:pPr>
              <w:pStyle w:val="Tablenumbers"/>
            </w:pPr>
            <w:r w:rsidRPr="00616EAF">
              <w:t>12%</w:t>
            </w:r>
          </w:p>
        </w:tc>
        <w:tc>
          <w:tcPr>
            <w:tcW w:w="1134" w:type="dxa"/>
          </w:tcPr>
          <w:p w14:paraId="48FE8EA2" w14:textId="77777777" w:rsidR="00F7219B" w:rsidRDefault="00F7219B" w:rsidP="00582ECF">
            <w:pPr>
              <w:pStyle w:val="Tablenumbers"/>
            </w:pPr>
            <w:r w:rsidRPr="00616EAF">
              <w:t>10%</w:t>
            </w:r>
          </w:p>
        </w:tc>
        <w:tc>
          <w:tcPr>
            <w:tcW w:w="1134" w:type="dxa"/>
          </w:tcPr>
          <w:p w14:paraId="68B2B69D" w14:textId="77777777" w:rsidR="00F7219B" w:rsidRDefault="00F7219B" w:rsidP="00582ECF">
            <w:pPr>
              <w:pStyle w:val="Tablenumbers"/>
            </w:pPr>
            <w:r w:rsidRPr="00616EAF">
              <w:t>6%</w:t>
            </w:r>
          </w:p>
        </w:tc>
      </w:tr>
      <w:tr w:rsidR="00F7219B" w14:paraId="1496EF61" w14:textId="77777777" w:rsidTr="00582ECF">
        <w:tc>
          <w:tcPr>
            <w:tcW w:w="2407" w:type="dxa"/>
          </w:tcPr>
          <w:p w14:paraId="4FCF40F5" w14:textId="77777777" w:rsidR="00F7219B" w:rsidRDefault="00F7219B" w:rsidP="00582ECF">
            <w:pPr>
              <w:pStyle w:val="Tabletext"/>
            </w:pPr>
            <w:r w:rsidRPr="00616EAF">
              <w:t>Committed supports</w:t>
            </w:r>
          </w:p>
        </w:tc>
        <w:tc>
          <w:tcPr>
            <w:tcW w:w="962" w:type="dxa"/>
          </w:tcPr>
          <w:p w14:paraId="5CFBC4DA" w14:textId="77777777" w:rsidR="00F7219B" w:rsidRDefault="00F7219B" w:rsidP="00582ECF">
            <w:pPr>
              <w:pStyle w:val="Tablenumbers"/>
            </w:pPr>
            <w:r w:rsidRPr="00616EAF">
              <w:t>19%</w:t>
            </w:r>
          </w:p>
        </w:tc>
        <w:tc>
          <w:tcPr>
            <w:tcW w:w="1134" w:type="dxa"/>
          </w:tcPr>
          <w:p w14:paraId="41BBD4D5" w14:textId="77777777" w:rsidR="00F7219B" w:rsidRDefault="00F7219B" w:rsidP="00582ECF">
            <w:pPr>
              <w:pStyle w:val="Tablenumbers"/>
            </w:pPr>
            <w:r w:rsidRPr="00616EAF">
              <w:t>26%</w:t>
            </w:r>
          </w:p>
        </w:tc>
        <w:tc>
          <w:tcPr>
            <w:tcW w:w="1134" w:type="dxa"/>
          </w:tcPr>
          <w:p w14:paraId="5DE0CFF6" w14:textId="77777777" w:rsidR="00F7219B" w:rsidRDefault="00F7219B" w:rsidP="00582ECF">
            <w:pPr>
              <w:pStyle w:val="Tablenumbers"/>
            </w:pPr>
            <w:r w:rsidRPr="00616EAF">
              <w:t>2%</w:t>
            </w:r>
          </w:p>
        </w:tc>
      </w:tr>
    </w:tbl>
    <w:p w14:paraId="7D6A1C00" w14:textId="09F79CE5" w:rsidR="00F7219B" w:rsidRDefault="00F7219B" w:rsidP="00F7219B">
      <w:r>
        <w:t xml:space="preserve">We return to differences in </w:t>
      </w:r>
      <w:r w:rsidRPr="00DD0D5D">
        <w:t xml:space="preserve">increases in </w:t>
      </w:r>
      <w:r w:rsidR="002837F4" w:rsidRPr="00DD0D5D">
        <w:t>S</w:t>
      </w:r>
      <w:r w:rsidRPr="00DD0D5D">
        <w:t xml:space="preserve">ection </w:t>
      </w:r>
      <w:r w:rsidR="00DD0D5D" w:rsidRPr="00DD0D5D">
        <w:fldChar w:fldCharType="begin"/>
      </w:r>
      <w:r w:rsidR="00DD0D5D" w:rsidRPr="00DD0D5D">
        <w:instrText xml:space="preserve"> REF _Ref87650907 \r \h </w:instrText>
      </w:r>
      <w:r w:rsidR="00DD0D5D">
        <w:instrText xml:space="preserve"> \* MERGEFORMAT </w:instrText>
      </w:r>
      <w:r w:rsidR="00DD0D5D" w:rsidRPr="00DD0D5D">
        <w:fldChar w:fldCharType="separate"/>
      </w:r>
      <w:r w:rsidR="00E6217F">
        <w:t>8</w:t>
      </w:r>
      <w:r w:rsidR="00DD0D5D" w:rsidRPr="00DD0D5D">
        <w:fldChar w:fldCharType="end"/>
      </w:r>
      <w:r w:rsidRPr="00DD0D5D">
        <w:t xml:space="preserve"> whe</w:t>
      </w:r>
      <w:r w:rsidR="00FA5B9A" w:rsidRPr="00DD0D5D">
        <w:t>re</w:t>
      </w:r>
      <w:r w:rsidRPr="00DD0D5D">
        <w:t xml:space="preserve"> we discuss </w:t>
      </w:r>
      <w:r w:rsidR="002837F4" w:rsidRPr="00DD0D5D">
        <w:t xml:space="preserve">consistency but </w:t>
      </w:r>
      <w:r w:rsidR="00091668">
        <w:t>it is</w:t>
      </w:r>
      <w:r w:rsidR="002837F4" w:rsidRPr="00DD0D5D">
        <w:t xml:space="preserve"> clear that there are large variations in </w:t>
      </w:r>
      <w:r w:rsidRPr="00DD0D5D">
        <w:t>TSPs</w:t>
      </w:r>
      <w:r w:rsidR="002837F4" w:rsidRPr="00DD0D5D">
        <w:t>.</w:t>
      </w:r>
      <w:r w:rsidR="00FA5B9A" w:rsidRPr="00DD0D5D">
        <w:t xml:space="preserve"> It is less cl</w:t>
      </w:r>
      <w:r w:rsidR="00FA5B9A">
        <w:t>ear the degree to which differences in TSPs reflect differences in needs compared to differences in decision making.</w:t>
      </w:r>
    </w:p>
    <w:p w14:paraId="6AC11BF1" w14:textId="77777777" w:rsidR="00F7219B" w:rsidRDefault="00F7219B" w:rsidP="00F7219B">
      <w:r>
        <w:t>On the aggregate results:</w:t>
      </w:r>
    </w:p>
    <w:p w14:paraId="0D59D4C8" w14:textId="7D680AC5" w:rsidR="00F7219B" w:rsidRDefault="00F7219B" w:rsidP="00F7219B">
      <w:pPr>
        <w:pStyle w:val="Bullet1"/>
      </w:pPr>
      <w:r>
        <w:t xml:space="preserve">Significant increases in TSPs over time come from both increases in the underlying reference packages (as people move to a lower level of function – see Section </w:t>
      </w:r>
      <w:r w:rsidR="002D0617">
        <w:rPr>
          <w:highlight w:val="yellow"/>
        </w:rPr>
        <w:fldChar w:fldCharType="begin"/>
      </w:r>
      <w:r w:rsidR="002D0617">
        <w:instrText xml:space="preserve"> REF _Ref87650961 \r \h </w:instrText>
      </w:r>
      <w:r w:rsidR="002D0617">
        <w:rPr>
          <w:highlight w:val="yellow"/>
        </w:rPr>
      </w:r>
      <w:r w:rsidR="002D0617">
        <w:rPr>
          <w:highlight w:val="yellow"/>
        </w:rPr>
        <w:fldChar w:fldCharType="separate"/>
      </w:r>
      <w:r w:rsidR="00E6217F">
        <w:t>3.3</w:t>
      </w:r>
      <w:r w:rsidR="002D0617">
        <w:rPr>
          <w:highlight w:val="yellow"/>
        </w:rPr>
        <w:fldChar w:fldCharType="end"/>
      </w:r>
      <w:r>
        <w:t>) and the responses to the guided questions around support needs. For example</w:t>
      </w:r>
      <w:r w:rsidR="002837F4">
        <w:t>,</w:t>
      </w:r>
      <w:r>
        <w:t xml:space="preserve"> </w:t>
      </w:r>
      <w:r w:rsidR="002837F4">
        <w:t>t</w:t>
      </w:r>
      <w:r>
        <w:t xml:space="preserve">he </w:t>
      </w:r>
      <w:r w:rsidR="002D0617">
        <w:t>S</w:t>
      </w:r>
      <w:r>
        <w:t xml:space="preserve">cheme </w:t>
      </w:r>
      <w:r w:rsidR="002D0617">
        <w:t>A</w:t>
      </w:r>
      <w:r>
        <w:t>ctuary has shared information showing the decline in informal supports being claimed over time, which will have the impact of increasing the TSP.</w:t>
      </w:r>
      <w:r w:rsidR="00F3657B">
        <w:t xml:space="preserve"> Some transfer from informal to formal support is might to be reasonable to expect over time, so some of this pattern may reflect genuine changes in circumstance.</w:t>
      </w:r>
    </w:p>
    <w:p w14:paraId="4A44A32B" w14:textId="77777777" w:rsidR="00F7219B" w:rsidRDefault="00F7219B" w:rsidP="00F7219B">
      <w:pPr>
        <w:pStyle w:val="Bullet1"/>
      </w:pPr>
      <w:r>
        <w:t xml:space="preserve">A very large proportion of packages sit above TSPs. The average plan is 15% above that of TSPs. Some of this will be expected (for example, participants with SIL will have specific costs that may not be fully reflected in a TSP), but it does suggest a gap between the ‘norm’ implied by a TSP and the supports deemed appropriate for many participants. </w:t>
      </w:r>
    </w:p>
    <w:p w14:paraId="46349066" w14:textId="4EFE0D19" w:rsidR="00F7219B" w:rsidRDefault="00F7219B" w:rsidP="00F7219B">
      <w:pPr>
        <w:pStyle w:val="Bullet1"/>
      </w:pPr>
      <w:r>
        <w:t xml:space="preserve">Behavioural aspects appear to be present. Often the planner is performing all stages of </w:t>
      </w:r>
      <w:r>
        <w:fldChar w:fldCharType="begin"/>
      </w:r>
      <w:r>
        <w:instrText xml:space="preserve"> REF _Ref87361721 \h </w:instrText>
      </w:r>
      <w:r>
        <w:fldChar w:fldCharType="separate"/>
      </w:r>
      <w:r w:rsidR="00E6217F">
        <w:t xml:space="preserve">Figure </w:t>
      </w:r>
      <w:r w:rsidR="00E6217F">
        <w:rPr>
          <w:noProof/>
        </w:rPr>
        <w:t>7</w:t>
      </w:r>
      <w:r w:rsidR="00E6217F">
        <w:t>.</w:t>
      </w:r>
      <w:r w:rsidR="00E6217F">
        <w:rPr>
          <w:noProof/>
        </w:rPr>
        <w:t>11</w:t>
      </w:r>
      <w:r>
        <w:fldChar w:fldCharType="end"/>
      </w:r>
      <w:r>
        <w:t>, including the assessment of disability severity. So</w:t>
      </w:r>
      <w:r w:rsidR="00FA5B9A">
        <w:t>,</w:t>
      </w:r>
      <w:r>
        <w:t xml:space="preserve"> </w:t>
      </w:r>
      <w:r w:rsidR="00FA5B9A">
        <w:t xml:space="preserve">information </w:t>
      </w:r>
      <w:r>
        <w:t xml:space="preserve">that </w:t>
      </w:r>
      <w:r w:rsidR="00FA5B9A">
        <w:t xml:space="preserve">can </w:t>
      </w:r>
      <w:r>
        <w:t xml:space="preserve">change the early stages of the process provides a greater range of options for committed supports. </w:t>
      </w:r>
    </w:p>
    <w:p w14:paraId="6994627B" w14:textId="15DA3300" w:rsidR="00F7219B" w:rsidRPr="00C635DD" w:rsidRDefault="00F7219B" w:rsidP="00F7219B">
      <w:pPr>
        <w:pStyle w:val="Bullet1"/>
      </w:pPr>
      <w:r>
        <w:t xml:space="preserve">Some reversion behaviour appears present in the data too. For example, for people with a reference package between $10,000 and $20,000, a substantial </w:t>
      </w:r>
      <w:r w:rsidR="003301EC">
        <w:t>proportion</w:t>
      </w:r>
      <w:r>
        <w:t xml:space="preserve"> </w:t>
      </w:r>
      <w:r w:rsidR="00ED2FC8">
        <w:t xml:space="preserve">of packages </w:t>
      </w:r>
      <w:r>
        <w:t xml:space="preserve">have a TSP that is 70% or less </w:t>
      </w:r>
      <w:r w:rsidR="00BF419E">
        <w:t xml:space="preserve">as a fraction </w:t>
      </w:r>
      <w:r>
        <w:t xml:space="preserve">of the reference package. Of these, the average TSP is $5,300 but the average committed supports are $16,300, </w:t>
      </w:r>
      <w:r w:rsidR="00BF419E">
        <w:t xml:space="preserve">which is </w:t>
      </w:r>
      <w:r>
        <w:t xml:space="preserve">above the reference package average. This is shown in </w:t>
      </w:r>
      <w:r w:rsidR="00DB7B8C">
        <w:fldChar w:fldCharType="begin"/>
      </w:r>
      <w:r w:rsidR="00DB7B8C">
        <w:instrText xml:space="preserve"> REF _Ref87911596 \h </w:instrText>
      </w:r>
      <w:r w:rsidR="00DB7B8C">
        <w:fldChar w:fldCharType="separate"/>
      </w:r>
      <w:r w:rsidR="00E6217F">
        <w:t xml:space="preserve">Table </w:t>
      </w:r>
      <w:r w:rsidR="00E6217F">
        <w:rPr>
          <w:noProof/>
        </w:rPr>
        <w:t>7</w:t>
      </w:r>
      <w:r w:rsidR="00E6217F">
        <w:t>.</w:t>
      </w:r>
      <w:r w:rsidR="00E6217F">
        <w:rPr>
          <w:noProof/>
        </w:rPr>
        <w:t>5</w:t>
      </w:r>
      <w:r w:rsidR="00DB7B8C">
        <w:fldChar w:fldCharType="end"/>
      </w:r>
      <w:r>
        <w:t xml:space="preserve">. It suggests (at least at an aggregate level) that the process of establishing a relatively low TSP does not necessarily translate into a correspondingly low plan. </w:t>
      </w:r>
    </w:p>
    <w:p w14:paraId="7C93092F" w14:textId="45883E42" w:rsidR="00F7219B" w:rsidRDefault="00F7219B" w:rsidP="00F7219B">
      <w:pPr>
        <w:pStyle w:val="Caption"/>
      </w:pPr>
      <w:bookmarkStart w:id="293" w:name="_Ref87911596"/>
      <w:r>
        <w:t xml:space="preserve">Table </w:t>
      </w:r>
      <w:r w:rsidR="007F6BE8">
        <w:fldChar w:fldCharType="begin"/>
      </w:r>
      <w:r w:rsidR="007F6BE8">
        <w:instrText xml:space="preserve"> STYLEREF 1 \s </w:instrText>
      </w:r>
      <w:r w:rsidR="007F6BE8">
        <w:fldChar w:fldCharType="separate"/>
      </w:r>
      <w:r w:rsidR="00E6217F">
        <w:rPr>
          <w:noProof/>
        </w:rPr>
        <w:t>7</w:t>
      </w:r>
      <w:r w:rsidR="007F6BE8">
        <w:fldChar w:fldCharType="end"/>
      </w:r>
      <w:r w:rsidR="007F6BE8">
        <w:t>.</w:t>
      </w:r>
      <w:r w:rsidR="007F6BE8">
        <w:fldChar w:fldCharType="begin"/>
      </w:r>
      <w:r w:rsidR="007F6BE8">
        <w:instrText xml:space="preserve"> SEQ Table \* ARABIC \s 1 </w:instrText>
      </w:r>
      <w:r w:rsidR="007F6BE8">
        <w:fldChar w:fldCharType="separate"/>
      </w:r>
      <w:r w:rsidR="00E6217F">
        <w:rPr>
          <w:noProof/>
        </w:rPr>
        <w:t>5</w:t>
      </w:r>
      <w:r w:rsidR="007F6BE8">
        <w:fldChar w:fldCharType="end"/>
      </w:r>
      <w:bookmarkEnd w:id="293"/>
      <w:r>
        <w:t xml:space="preserve"> – </w:t>
      </w:r>
      <w:r w:rsidRPr="002E139A">
        <w:t>Committed supports for people with low and high levels of TSP relative to the reference package</w:t>
      </w:r>
      <w:r>
        <w:t>. For all participants at 30 June 2021 with a reference package between $10,000 and $20,000.</w:t>
      </w:r>
    </w:p>
    <w:tbl>
      <w:tblPr>
        <w:tblStyle w:val="TFBlue"/>
        <w:tblW w:w="8647" w:type="dxa"/>
        <w:tblLook w:val="04A0" w:firstRow="1" w:lastRow="0" w:firstColumn="1" w:lastColumn="0" w:noHBand="0" w:noVBand="1"/>
      </w:tblPr>
      <w:tblGrid>
        <w:gridCol w:w="2660"/>
        <w:gridCol w:w="1309"/>
        <w:gridCol w:w="1560"/>
        <w:gridCol w:w="1559"/>
        <w:gridCol w:w="1559"/>
      </w:tblGrid>
      <w:tr w:rsidR="00F7219B" w14:paraId="2577D98D" w14:textId="77777777" w:rsidTr="00555120">
        <w:trPr>
          <w:cnfStyle w:val="100000000000" w:firstRow="1" w:lastRow="0" w:firstColumn="0" w:lastColumn="0" w:oddVBand="0" w:evenVBand="0" w:oddHBand="0" w:evenHBand="0" w:firstRowFirstColumn="0" w:firstRowLastColumn="0" w:lastRowFirstColumn="0" w:lastRowLastColumn="0"/>
        </w:trPr>
        <w:tc>
          <w:tcPr>
            <w:tcW w:w="2660" w:type="dxa"/>
          </w:tcPr>
          <w:p w14:paraId="2FD43D9F" w14:textId="77777777" w:rsidR="00F7219B" w:rsidRDefault="00F7219B" w:rsidP="00582ECF">
            <w:pPr>
              <w:pStyle w:val="Tabletext"/>
            </w:pPr>
          </w:p>
        </w:tc>
        <w:tc>
          <w:tcPr>
            <w:tcW w:w="1309" w:type="dxa"/>
          </w:tcPr>
          <w:p w14:paraId="7C4CC5D0" w14:textId="77777777" w:rsidR="00F7219B" w:rsidRDefault="00F7219B" w:rsidP="00555120">
            <w:pPr>
              <w:pStyle w:val="Tabletext"/>
              <w:jc w:val="right"/>
            </w:pPr>
            <w:r w:rsidRPr="00A034E3">
              <w:t>Number</w:t>
            </w:r>
          </w:p>
        </w:tc>
        <w:tc>
          <w:tcPr>
            <w:tcW w:w="1560" w:type="dxa"/>
          </w:tcPr>
          <w:p w14:paraId="284DC097" w14:textId="77777777" w:rsidR="00F7219B" w:rsidRDefault="00F7219B" w:rsidP="00555120">
            <w:pPr>
              <w:pStyle w:val="Tabletext"/>
              <w:jc w:val="right"/>
            </w:pPr>
            <w:r w:rsidRPr="00A034E3">
              <w:t>Avg ref</w:t>
            </w:r>
            <w:r>
              <w:t>.</w:t>
            </w:r>
            <w:r w:rsidRPr="00A034E3">
              <w:t xml:space="preserve"> package</w:t>
            </w:r>
          </w:p>
        </w:tc>
        <w:tc>
          <w:tcPr>
            <w:tcW w:w="1559" w:type="dxa"/>
          </w:tcPr>
          <w:p w14:paraId="49E2166E" w14:textId="77777777" w:rsidR="00F7219B" w:rsidRDefault="00F7219B" w:rsidP="00555120">
            <w:pPr>
              <w:pStyle w:val="Tabletext"/>
              <w:jc w:val="right"/>
            </w:pPr>
            <w:r w:rsidRPr="00A034E3">
              <w:t>Avg TSP</w:t>
            </w:r>
          </w:p>
        </w:tc>
        <w:tc>
          <w:tcPr>
            <w:tcW w:w="1559" w:type="dxa"/>
          </w:tcPr>
          <w:p w14:paraId="01834EEF" w14:textId="77777777" w:rsidR="00F7219B" w:rsidRDefault="00F7219B" w:rsidP="00555120">
            <w:pPr>
              <w:pStyle w:val="Tabletext"/>
              <w:jc w:val="right"/>
            </w:pPr>
            <w:r w:rsidRPr="00A034E3">
              <w:t>Avg commi</w:t>
            </w:r>
            <w:r>
              <w:t>t</w:t>
            </w:r>
            <w:r w:rsidRPr="00A034E3">
              <w:t>ted supports</w:t>
            </w:r>
          </w:p>
        </w:tc>
      </w:tr>
      <w:tr w:rsidR="00F7219B" w14:paraId="2DD652DA" w14:textId="77777777" w:rsidTr="00555120">
        <w:trPr>
          <w:cnfStyle w:val="000000100000" w:firstRow="0" w:lastRow="0" w:firstColumn="0" w:lastColumn="0" w:oddVBand="0" w:evenVBand="0" w:oddHBand="1" w:evenHBand="0" w:firstRowFirstColumn="0" w:firstRowLastColumn="0" w:lastRowFirstColumn="0" w:lastRowLastColumn="0"/>
        </w:trPr>
        <w:tc>
          <w:tcPr>
            <w:tcW w:w="2660" w:type="dxa"/>
          </w:tcPr>
          <w:p w14:paraId="01E1CEF1" w14:textId="77777777" w:rsidR="00F7219B" w:rsidRDefault="00F7219B" w:rsidP="00582ECF">
            <w:pPr>
              <w:pStyle w:val="Tabletext"/>
            </w:pPr>
            <w:r w:rsidRPr="00A034E3">
              <w:t xml:space="preserve">TSP &lt; 70% of </w:t>
            </w:r>
            <w:r>
              <w:t>r</w:t>
            </w:r>
            <w:r w:rsidRPr="00A034E3">
              <w:t>ef</w:t>
            </w:r>
            <w:r>
              <w:t>.</w:t>
            </w:r>
            <w:r w:rsidRPr="00A034E3">
              <w:t xml:space="preserve"> package</w:t>
            </w:r>
          </w:p>
        </w:tc>
        <w:tc>
          <w:tcPr>
            <w:tcW w:w="1309" w:type="dxa"/>
          </w:tcPr>
          <w:p w14:paraId="4ECCB4ED" w14:textId="77777777" w:rsidR="00F7219B" w:rsidRDefault="00F7219B" w:rsidP="00582ECF">
            <w:pPr>
              <w:pStyle w:val="Tablenumbers"/>
            </w:pPr>
            <w:r w:rsidRPr="00A034E3">
              <w:t>52,500</w:t>
            </w:r>
          </w:p>
        </w:tc>
        <w:tc>
          <w:tcPr>
            <w:tcW w:w="1560" w:type="dxa"/>
          </w:tcPr>
          <w:p w14:paraId="1E45C13B" w14:textId="77777777" w:rsidR="00F7219B" w:rsidRDefault="00F7219B" w:rsidP="00582ECF">
            <w:pPr>
              <w:pStyle w:val="Tablenumbers"/>
            </w:pPr>
            <w:r>
              <w:t>$</w:t>
            </w:r>
            <w:r w:rsidRPr="00A034E3">
              <w:t>14,200</w:t>
            </w:r>
          </w:p>
        </w:tc>
        <w:tc>
          <w:tcPr>
            <w:tcW w:w="1559" w:type="dxa"/>
          </w:tcPr>
          <w:p w14:paraId="7512AE0D" w14:textId="77777777" w:rsidR="00F7219B" w:rsidRDefault="00F7219B" w:rsidP="00582ECF">
            <w:pPr>
              <w:pStyle w:val="Tablenumbers"/>
            </w:pPr>
            <w:r>
              <w:t>$</w:t>
            </w:r>
            <w:r w:rsidRPr="00A034E3">
              <w:t>5,300</w:t>
            </w:r>
          </w:p>
        </w:tc>
        <w:tc>
          <w:tcPr>
            <w:tcW w:w="1559" w:type="dxa"/>
          </w:tcPr>
          <w:p w14:paraId="68AC1CB6" w14:textId="77777777" w:rsidR="00F7219B" w:rsidRDefault="00F7219B" w:rsidP="00582ECF">
            <w:pPr>
              <w:pStyle w:val="Tablenumbers"/>
            </w:pPr>
            <w:r>
              <w:t>$</w:t>
            </w:r>
            <w:r w:rsidRPr="00A034E3">
              <w:t>16,300</w:t>
            </w:r>
          </w:p>
        </w:tc>
      </w:tr>
      <w:tr w:rsidR="00F7219B" w14:paraId="31387141" w14:textId="77777777" w:rsidTr="00555120">
        <w:tc>
          <w:tcPr>
            <w:tcW w:w="2660" w:type="dxa"/>
          </w:tcPr>
          <w:p w14:paraId="12353BC8" w14:textId="77777777" w:rsidR="00F7219B" w:rsidRDefault="00F7219B" w:rsidP="00582ECF">
            <w:pPr>
              <w:pStyle w:val="Tabletext"/>
            </w:pPr>
            <w:r w:rsidRPr="00A034E3">
              <w:t>TSP between 70% and 130% of ref</w:t>
            </w:r>
            <w:r>
              <w:t>.</w:t>
            </w:r>
            <w:r w:rsidRPr="00A034E3">
              <w:t xml:space="preserve"> package</w:t>
            </w:r>
          </w:p>
        </w:tc>
        <w:tc>
          <w:tcPr>
            <w:tcW w:w="1309" w:type="dxa"/>
          </w:tcPr>
          <w:p w14:paraId="1F431F2E" w14:textId="77777777" w:rsidR="00F7219B" w:rsidRDefault="00F7219B" w:rsidP="00582ECF">
            <w:pPr>
              <w:pStyle w:val="Tablenumbers"/>
            </w:pPr>
            <w:r w:rsidRPr="00A034E3">
              <w:t>45,100</w:t>
            </w:r>
          </w:p>
        </w:tc>
        <w:tc>
          <w:tcPr>
            <w:tcW w:w="1560" w:type="dxa"/>
          </w:tcPr>
          <w:p w14:paraId="6D0FF20A" w14:textId="77777777" w:rsidR="00F7219B" w:rsidRDefault="00F7219B" w:rsidP="00582ECF">
            <w:pPr>
              <w:pStyle w:val="Tablenumbers"/>
            </w:pPr>
            <w:r>
              <w:t>$</w:t>
            </w:r>
            <w:r w:rsidRPr="00A034E3">
              <w:t>14,200</w:t>
            </w:r>
          </w:p>
        </w:tc>
        <w:tc>
          <w:tcPr>
            <w:tcW w:w="1559" w:type="dxa"/>
          </w:tcPr>
          <w:p w14:paraId="17C54AAB" w14:textId="77777777" w:rsidR="00F7219B" w:rsidRDefault="00F7219B" w:rsidP="00582ECF">
            <w:pPr>
              <w:pStyle w:val="Tablenumbers"/>
            </w:pPr>
            <w:r>
              <w:t>$</w:t>
            </w:r>
            <w:r w:rsidRPr="00A034E3">
              <w:t>13,700</w:t>
            </w:r>
          </w:p>
        </w:tc>
        <w:tc>
          <w:tcPr>
            <w:tcW w:w="1559" w:type="dxa"/>
          </w:tcPr>
          <w:p w14:paraId="06CE3E4B" w14:textId="77777777" w:rsidR="00F7219B" w:rsidRDefault="00F7219B" w:rsidP="00582ECF">
            <w:pPr>
              <w:pStyle w:val="Tablenumbers"/>
            </w:pPr>
            <w:r>
              <w:t>$</w:t>
            </w:r>
            <w:r w:rsidRPr="00A034E3">
              <w:t>19,100</w:t>
            </w:r>
          </w:p>
        </w:tc>
      </w:tr>
      <w:tr w:rsidR="00F7219B" w14:paraId="5C04E4C7" w14:textId="77777777" w:rsidTr="00555120">
        <w:trPr>
          <w:cnfStyle w:val="000000100000" w:firstRow="0" w:lastRow="0" w:firstColumn="0" w:lastColumn="0" w:oddVBand="0" w:evenVBand="0" w:oddHBand="1" w:evenHBand="0" w:firstRowFirstColumn="0" w:firstRowLastColumn="0" w:lastRowFirstColumn="0" w:lastRowLastColumn="0"/>
        </w:trPr>
        <w:tc>
          <w:tcPr>
            <w:tcW w:w="2660" w:type="dxa"/>
          </w:tcPr>
          <w:p w14:paraId="5D5D9251" w14:textId="77777777" w:rsidR="00F7219B" w:rsidRDefault="00F7219B" w:rsidP="00582ECF">
            <w:pPr>
              <w:pStyle w:val="Tabletext"/>
            </w:pPr>
            <w:r w:rsidRPr="00A034E3">
              <w:t>TSP &gt;130% of ref</w:t>
            </w:r>
            <w:r>
              <w:t>.</w:t>
            </w:r>
            <w:r w:rsidRPr="00A034E3">
              <w:t xml:space="preserve"> package</w:t>
            </w:r>
          </w:p>
        </w:tc>
        <w:tc>
          <w:tcPr>
            <w:tcW w:w="1309" w:type="dxa"/>
          </w:tcPr>
          <w:p w14:paraId="69C3271B" w14:textId="77777777" w:rsidR="00F7219B" w:rsidRDefault="00F7219B" w:rsidP="00582ECF">
            <w:pPr>
              <w:pStyle w:val="Tablenumbers"/>
            </w:pPr>
            <w:r w:rsidRPr="00A034E3">
              <w:t>45,100</w:t>
            </w:r>
          </w:p>
        </w:tc>
        <w:tc>
          <w:tcPr>
            <w:tcW w:w="1560" w:type="dxa"/>
          </w:tcPr>
          <w:p w14:paraId="7EC03668" w14:textId="77777777" w:rsidR="00F7219B" w:rsidRDefault="00F7219B" w:rsidP="00582ECF">
            <w:pPr>
              <w:pStyle w:val="Tablenumbers"/>
            </w:pPr>
            <w:r>
              <w:t>$</w:t>
            </w:r>
            <w:r w:rsidRPr="00A034E3">
              <w:t>13,900</w:t>
            </w:r>
          </w:p>
        </w:tc>
        <w:tc>
          <w:tcPr>
            <w:tcW w:w="1559" w:type="dxa"/>
          </w:tcPr>
          <w:p w14:paraId="2EF440CC" w14:textId="77777777" w:rsidR="00F7219B" w:rsidRDefault="00F7219B" w:rsidP="00582ECF">
            <w:pPr>
              <w:pStyle w:val="Tablenumbers"/>
            </w:pPr>
            <w:r>
              <w:t>$</w:t>
            </w:r>
            <w:r w:rsidRPr="00A034E3">
              <w:t>60,400</w:t>
            </w:r>
          </w:p>
        </w:tc>
        <w:tc>
          <w:tcPr>
            <w:tcW w:w="1559" w:type="dxa"/>
          </w:tcPr>
          <w:p w14:paraId="6B66A640" w14:textId="77777777" w:rsidR="00F7219B" w:rsidRDefault="00F7219B" w:rsidP="00582ECF">
            <w:pPr>
              <w:pStyle w:val="Tablenumbers"/>
            </w:pPr>
            <w:r>
              <w:t>$</w:t>
            </w:r>
            <w:r w:rsidRPr="00A034E3">
              <w:t>75,900</w:t>
            </w:r>
          </w:p>
        </w:tc>
      </w:tr>
    </w:tbl>
    <w:p w14:paraId="595DF8E3" w14:textId="294BB22C" w:rsidR="00647041" w:rsidRPr="002D0617" w:rsidRDefault="00647041" w:rsidP="00A520C9">
      <w:pPr>
        <w:pStyle w:val="Heading2"/>
      </w:pPr>
      <w:bookmarkStart w:id="294" w:name="_Ref87654590"/>
      <w:bookmarkStart w:id="295" w:name="_Toc87700496"/>
      <w:bookmarkStart w:id="296" w:name="_Toc88686148"/>
      <w:bookmarkStart w:id="297" w:name="_Toc83997786"/>
      <w:bookmarkStart w:id="298" w:name="_Ref87548696"/>
      <w:r w:rsidRPr="002D0617">
        <w:t>Trends for participants over age 65</w:t>
      </w:r>
      <w:bookmarkEnd w:id="294"/>
      <w:bookmarkEnd w:id="295"/>
      <w:bookmarkEnd w:id="296"/>
    </w:p>
    <w:p w14:paraId="57FEF8AE" w14:textId="1F5A36AB" w:rsidR="00647041" w:rsidRDefault="007E20FD" w:rsidP="00647041">
      <w:r>
        <w:t xml:space="preserve">The two tables below summarise the number and cost of participants aged 65 and above. </w:t>
      </w:r>
      <w:r w:rsidR="007C4D5E">
        <w:t xml:space="preserve">People above this age cannot enter the </w:t>
      </w:r>
      <w:r w:rsidR="00232FFF">
        <w:t>Scheme</w:t>
      </w:r>
      <w:r w:rsidR="007C4D5E">
        <w:t xml:space="preserve"> – it is driven by people in the </w:t>
      </w:r>
      <w:r w:rsidR="00232FFF">
        <w:t>Scheme</w:t>
      </w:r>
      <w:r w:rsidR="007C4D5E">
        <w:t xml:space="preserve"> before age 65 aging into the older age group. </w:t>
      </w:r>
    </w:p>
    <w:p w14:paraId="723960CE" w14:textId="28C336EE" w:rsidR="007C4D5E" w:rsidRDefault="007C4D5E" w:rsidP="00647041">
      <w:r>
        <w:t xml:space="preserve">Numbers are expected to grow, both in absolute terms and as a fraction of the total. This is to be expected since the aging-in process accumulates over time. In the 2020-21 AFSR numbers are expected to increase from 3.7% to 7.6% by 2029-30. Payments are forecast to grow from 6.5% to 13.6%. </w:t>
      </w:r>
    </w:p>
    <w:p w14:paraId="641F07A0" w14:textId="53333636" w:rsidR="007C4D5E" w:rsidRDefault="007C4D5E" w:rsidP="00647041">
      <w:r>
        <w:t xml:space="preserve">The model structure is </w:t>
      </w:r>
      <w:r w:rsidR="00162233">
        <w:t xml:space="preserve">a </w:t>
      </w:r>
      <w:r>
        <w:t>reasonable way to reflect the growing number of people in the older age bracket, since individual age cohorts are pushed through each age as part of the model. Similarly</w:t>
      </w:r>
      <w:r w:rsidR="00F30F13">
        <w:t>,</w:t>
      </w:r>
      <w:r>
        <w:t xml:space="preserve"> the estimates of cost appear reasonable; they are subject to slightly greater uncertainty since payment levels do not ‘follow’ participants as they move age bands (see Appendix </w:t>
      </w:r>
      <w:r w:rsidR="00C92373">
        <w:fldChar w:fldCharType="begin"/>
      </w:r>
      <w:r w:rsidR="00C92373">
        <w:instrText xml:space="preserve"> REF _Ref87630807 \r \h </w:instrText>
      </w:r>
      <w:r w:rsidR="00C92373">
        <w:fldChar w:fldCharType="separate"/>
      </w:r>
      <w:r w:rsidR="00E6217F">
        <w:t>B.2</w:t>
      </w:r>
      <w:r w:rsidR="00C92373">
        <w:fldChar w:fldCharType="end"/>
      </w:r>
      <w:r w:rsidR="00C92373">
        <w:t>).</w:t>
      </w:r>
      <w:r>
        <w:t xml:space="preserve"> </w:t>
      </w:r>
    </w:p>
    <w:p w14:paraId="32813A8E" w14:textId="4D0DE1C1" w:rsidR="007E20FD" w:rsidRDefault="007E20FD" w:rsidP="007E20FD">
      <w:pPr>
        <w:pStyle w:val="Caption"/>
      </w:pPr>
      <w:r>
        <w:t xml:space="preserve">Table </w:t>
      </w:r>
      <w:r>
        <w:fldChar w:fldCharType="begin"/>
      </w:r>
      <w:r>
        <w:instrText xml:space="preserve"> STYLEREF 1 \s </w:instrText>
      </w:r>
      <w:r>
        <w:fldChar w:fldCharType="separate"/>
      </w:r>
      <w:r w:rsidR="00E6217F">
        <w:rPr>
          <w:noProof/>
        </w:rPr>
        <w:t>7</w:t>
      </w:r>
      <w:r>
        <w:fldChar w:fldCharType="end"/>
      </w:r>
      <w:r>
        <w:t>.</w:t>
      </w:r>
      <w:r>
        <w:fldChar w:fldCharType="begin"/>
      </w:r>
      <w:r>
        <w:instrText xml:space="preserve"> SEQ Table \* ARABIC \s 1 </w:instrText>
      </w:r>
      <w:r>
        <w:fldChar w:fldCharType="separate"/>
      </w:r>
      <w:r w:rsidR="00E6217F">
        <w:rPr>
          <w:noProof/>
        </w:rPr>
        <w:t>6</w:t>
      </w:r>
      <w:r>
        <w:fldChar w:fldCharType="end"/>
      </w:r>
      <w:r>
        <w:t xml:space="preserve"> – Future participant numbers (end of year), split by age</w:t>
      </w:r>
    </w:p>
    <w:tbl>
      <w:tblPr>
        <w:tblStyle w:val="TFBlue"/>
        <w:tblW w:w="0" w:type="auto"/>
        <w:tblLook w:val="04A0" w:firstRow="1" w:lastRow="0" w:firstColumn="1" w:lastColumn="0" w:noHBand="0" w:noVBand="1"/>
      </w:tblPr>
      <w:tblGrid>
        <w:gridCol w:w="1337"/>
        <w:gridCol w:w="1382"/>
        <w:gridCol w:w="1379"/>
        <w:gridCol w:w="1377"/>
        <w:gridCol w:w="1375"/>
        <w:gridCol w:w="1388"/>
        <w:gridCol w:w="1174"/>
      </w:tblGrid>
      <w:tr w:rsidR="007C4D5E" w14:paraId="4FE2534E" w14:textId="09F0FB77" w:rsidTr="00A57350">
        <w:trPr>
          <w:cnfStyle w:val="100000000000" w:firstRow="1" w:lastRow="0" w:firstColumn="0" w:lastColumn="0" w:oddVBand="0" w:evenVBand="0" w:oddHBand="0" w:evenHBand="0" w:firstRowFirstColumn="0" w:firstRowLastColumn="0" w:lastRowFirstColumn="0" w:lastRowLastColumn="0"/>
        </w:trPr>
        <w:tc>
          <w:tcPr>
            <w:tcW w:w="1337" w:type="dxa"/>
            <w:tcBorders>
              <w:right w:val="single" w:sz="4" w:space="0" w:color="006EC8" w:themeColor="accent1"/>
            </w:tcBorders>
          </w:tcPr>
          <w:p w14:paraId="0717CB63" w14:textId="6071C428" w:rsidR="007C4D5E" w:rsidRPr="007E20FD" w:rsidRDefault="007C4D5E" w:rsidP="007C4D5E">
            <w:pPr>
              <w:rPr>
                <w:szCs w:val="21"/>
              </w:rPr>
            </w:pPr>
            <w:r w:rsidRPr="007E20FD">
              <w:rPr>
                <w:rFonts w:ascii="Blanco" w:hAnsi="Blanco"/>
                <w:color w:val="231F20"/>
                <w:szCs w:val="21"/>
              </w:rPr>
              <w:t>Age group</w:t>
            </w:r>
          </w:p>
        </w:tc>
        <w:tc>
          <w:tcPr>
            <w:tcW w:w="1382" w:type="dxa"/>
            <w:tcBorders>
              <w:left w:val="single" w:sz="4" w:space="0" w:color="006EC8" w:themeColor="accent1"/>
            </w:tcBorders>
          </w:tcPr>
          <w:p w14:paraId="36E243F2" w14:textId="077F25C6" w:rsidR="007C4D5E" w:rsidRPr="007E20FD" w:rsidRDefault="007C4D5E" w:rsidP="007C4D5E">
            <w:pPr>
              <w:pStyle w:val="Tablenumbers"/>
            </w:pPr>
            <w:r w:rsidRPr="007E20FD">
              <w:t>2020-21</w:t>
            </w:r>
          </w:p>
        </w:tc>
        <w:tc>
          <w:tcPr>
            <w:tcW w:w="1379" w:type="dxa"/>
          </w:tcPr>
          <w:p w14:paraId="2155707C" w14:textId="33D8DE58" w:rsidR="007C4D5E" w:rsidRPr="007E20FD" w:rsidRDefault="007C4D5E" w:rsidP="007C4D5E">
            <w:pPr>
              <w:pStyle w:val="Tablenumbers"/>
            </w:pPr>
            <w:r w:rsidRPr="007E20FD">
              <w:t>2021-22</w:t>
            </w:r>
          </w:p>
        </w:tc>
        <w:tc>
          <w:tcPr>
            <w:tcW w:w="1377" w:type="dxa"/>
          </w:tcPr>
          <w:p w14:paraId="65C90928" w14:textId="21D69F67" w:rsidR="007C4D5E" w:rsidRPr="007E20FD" w:rsidRDefault="007C4D5E" w:rsidP="007C4D5E">
            <w:pPr>
              <w:pStyle w:val="Tablenumbers"/>
            </w:pPr>
            <w:r w:rsidRPr="007E20FD">
              <w:t>2022-23</w:t>
            </w:r>
          </w:p>
        </w:tc>
        <w:tc>
          <w:tcPr>
            <w:tcW w:w="1375" w:type="dxa"/>
          </w:tcPr>
          <w:p w14:paraId="6C7121A4" w14:textId="41ADE632" w:rsidR="007C4D5E" w:rsidRPr="007E20FD" w:rsidRDefault="007C4D5E" w:rsidP="007C4D5E">
            <w:pPr>
              <w:pStyle w:val="Tablenumbers"/>
            </w:pPr>
            <w:r w:rsidRPr="007E20FD">
              <w:t>2023-24</w:t>
            </w:r>
          </w:p>
        </w:tc>
        <w:tc>
          <w:tcPr>
            <w:tcW w:w="1388" w:type="dxa"/>
            <w:tcBorders>
              <w:right w:val="single" w:sz="4" w:space="0" w:color="006EC8" w:themeColor="accent1"/>
            </w:tcBorders>
          </w:tcPr>
          <w:p w14:paraId="4B246FD0" w14:textId="4764D359" w:rsidR="007C4D5E" w:rsidRPr="007E20FD" w:rsidRDefault="007C4D5E" w:rsidP="007C4D5E">
            <w:pPr>
              <w:pStyle w:val="Tablenumbers"/>
            </w:pPr>
            <w:r w:rsidRPr="007E20FD">
              <w:t>2024-25</w:t>
            </w:r>
          </w:p>
        </w:tc>
        <w:tc>
          <w:tcPr>
            <w:tcW w:w="1174" w:type="dxa"/>
            <w:tcBorders>
              <w:left w:val="single" w:sz="4" w:space="0" w:color="006EC8" w:themeColor="accent1"/>
            </w:tcBorders>
          </w:tcPr>
          <w:p w14:paraId="7CEBC33E" w14:textId="5DB1E72B" w:rsidR="007C4D5E" w:rsidRPr="007E20FD" w:rsidRDefault="007C4D5E" w:rsidP="007C4D5E">
            <w:pPr>
              <w:pStyle w:val="Tablenumbers"/>
            </w:pPr>
            <w:r w:rsidRPr="00CF351E">
              <w:t>2029-30</w:t>
            </w:r>
          </w:p>
        </w:tc>
      </w:tr>
      <w:tr w:rsidR="007C4D5E" w14:paraId="031F4817" w14:textId="7BAE1882" w:rsidTr="00A57350">
        <w:trPr>
          <w:cnfStyle w:val="000000100000" w:firstRow="0" w:lastRow="0" w:firstColumn="0" w:lastColumn="0" w:oddVBand="0" w:evenVBand="0" w:oddHBand="1" w:evenHBand="0" w:firstRowFirstColumn="0" w:firstRowLastColumn="0" w:lastRowFirstColumn="0" w:lastRowLastColumn="0"/>
        </w:trPr>
        <w:tc>
          <w:tcPr>
            <w:tcW w:w="1337" w:type="dxa"/>
            <w:tcBorders>
              <w:right w:val="single" w:sz="4" w:space="0" w:color="006EC8" w:themeColor="accent1"/>
            </w:tcBorders>
            <w:vAlign w:val="bottom"/>
          </w:tcPr>
          <w:p w14:paraId="38A2C1E2" w14:textId="020CC63E" w:rsidR="007C4D5E" w:rsidRPr="007E20FD" w:rsidRDefault="007C4D5E" w:rsidP="007C4D5E">
            <w:pPr>
              <w:pStyle w:val="Tabletext"/>
            </w:pPr>
            <w:r w:rsidRPr="007E20FD">
              <w:t>0-64</w:t>
            </w:r>
          </w:p>
        </w:tc>
        <w:tc>
          <w:tcPr>
            <w:tcW w:w="1382" w:type="dxa"/>
            <w:tcBorders>
              <w:left w:val="single" w:sz="4" w:space="0" w:color="006EC8" w:themeColor="accent1"/>
            </w:tcBorders>
            <w:vAlign w:val="bottom"/>
          </w:tcPr>
          <w:p w14:paraId="56F4E02E" w14:textId="3F1DE1E2" w:rsidR="007C4D5E" w:rsidRPr="007E20FD" w:rsidRDefault="007C4D5E" w:rsidP="007C4D5E">
            <w:pPr>
              <w:pStyle w:val="Tablenumbers"/>
            </w:pPr>
            <w:r w:rsidRPr="007E20FD">
              <w:t>450,038</w:t>
            </w:r>
          </w:p>
        </w:tc>
        <w:tc>
          <w:tcPr>
            <w:tcW w:w="1379" w:type="dxa"/>
            <w:vAlign w:val="bottom"/>
          </w:tcPr>
          <w:p w14:paraId="0B491FD4" w14:textId="786F7F21" w:rsidR="007C4D5E" w:rsidRPr="007E20FD" w:rsidRDefault="007C4D5E" w:rsidP="007C4D5E">
            <w:pPr>
              <w:pStyle w:val="Tablenumbers"/>
            </w:pPr>
            <w:r w:rsidRPr="007E20FD">
              <w:t>508,974</w:t>
            </w:r>
          </w:p>
        </w:tc>
        <w:tc>
          <w:tcPr>
            <w:tcW w:w="1377" w:type="dxa"/>
            <w:vAlign w:val="bottom"/>
          </w:tcPr>
          <w:p w14:paraId="0F56B6B3" w14:textId="686D18A3" w:rsidR="007C4D5E" w:rsidRPr="007E20FD" w:rsidRDefault="007C4D5E" w:rsidP="007C4D5E">
            <w:pPr>
              <w:pStyle w:val="Tablenumbers"/>
            </w:pPr>
            <w:r w:rsidRPr="007E20FD">
              <w:t>559,846</w:t>
            </w:r>
          </w:p>
        </w:tc>
        <w:tc>
          <w:tcPr>
            <w:tcW w:w="1375" w:type="dxa"/>
            <w:vAlign w:val="bottom"/>
          </w:tcPr>
          <w:p w14:paraId="0CABAABA" w14:textId="3C570499" w:rsidR="007C4D5E" w:rsidRPr="007E20FD" w:rsidRDefault="007C4D5E" w:rsidP="007C4D5E">
            <w:pPr>
              <w:pStyle w:val="Tablenumbers"/>
            </w:pPr>
            <w:r w:rsidRPr="007E20FD">
              <w:t>598,491</w:t>
            </w:r>
          </w:p>
        </w:tc>
        <w:tc>
          <w:tcPr>
            <w:tcW w:w="1388" w:type="dxa"/>
            <w:tcBorders>
              <w:right w:val="single" w:sz="4" w:space="0" w:color="006EC8" w:themeColor="accent1"/>
            </w:tcBorders>
            <w:vAlign w:val="bottom"/>
          </w:tcPr>
          <w:p w14:paraId="30C14FCD" w14:textId="7158442F" w:rsidR="007C4D5E" w:rsidRPr="007E20FD" w:rsidRDefault="007C4D5E" w:rsidP="007C4D5E">
            <w:pPr>
              <w:pStyle w:val="Tablenumbers"/>
            </w:pPr>
            <w:r w:rsidRPr="007E20FD">
              <w:t>633,596</w:t>
            </w:r>
          </w:p>
        </w:tc>
        <w:tc>
          <w:tcPr>
            <w:tcW w:w="1174" w:type="dxa"/>
            <w:tcBorders>
              <w:left w:val="single" w:sz="4" w:space="0" w:color="006EC8" w:themeColor="accent1"/>
            </w:tcBorders>
          </w:tcPr>
          <w:p w14:paraId="60EF1E26" w14:textId="0CFE4D04" w:rsidR="007C4D5E" w:rsidRPr="007E20FD" w:rsidRDefault="007C4D5E" w:rsidP="007C4D5E">
            <w:pPr>
              <w:pStyle w:val="Tablenumbers"/>
            </w:pPr>
            <w:r w:rsidRPr="00CF351E">
              <w:t>798,341</w:t>
            </w:r>
          </w:p>
        </w:tc>
      </w:tr>
      <w:tr w:rsidR="007C4D5E" w14:paraId="060AD169" w14:textId="50647970" w:rsidTr="00A57350">
        <w:tc>
          <w:tcPr>
            <w:tcW w:w="1337" w:type="dxa"/>
            <w:tcBorders>
              <w:bottom w:val="single" w:sz="4" w:space="0" w:color="006EC8" w:themeColor="accent1"/>
              <w:right w:val="single" w:sz="4" w:space="0" w:color="006EC8" w:themeColor="accent1"/>
            </w:tcBorders>
            <w:vAlign w:val="bottom"/>
          </w:tcPr>
          <w:p w14:paraId="621D3AF3" w14:textId="623CC0C6" w:rsidR="007C4D5E" w:rsidRPr="007E20FD" w:rsidRDefault="007C4D5E" w:rsidP="007C4D5E">
            <w:pPr>
              <w:pStyle w:val="Tabletext"/>
            </w:pPr>
            <w:r w:rsidRPr="007E20FD">
              <w:t>65+</w:t>
            </w:r>
          </w:p>
        </w:tc>
        <w:tc>
          <w:tcPr>
            <w:tcW w:w="1382" w:type="dxa"/>
            <w:tcBorders>
              <w:left w:val="single" w:sz="4" w:space="0" w:color="006EC8" w:themeColor="accent1"/>
              <w:bottom w:val="single" w:sz="4" w:space="0" w:color="006EC8" w:themeColor="accent1"/>
            </w:tcBorders>
            <w:vAlign w:val="bottom"/>
          </w:tcPr>
          <w:p w14:paraId="166B56A5" w14:textId="4FBC55F4" w:rsidR="007C4D5E" w:rsidRPr="007E20FD" w:rsidRDefault="007C4D5E" w:rsidP="007C4D5E">
            <w:pPr>
              <w:pStyle w:val="Tablenumbers"/>
            </w:pPr>
            <w:r w:rsidRPr="007E20FD">
              <w:t>16,581</w:t>
            </w:r>
          </w:p>
        </w:tc>
        <w:tc>
          <w:tcPr>
            <w:tcW w:w="1379" w:type="dxa"/>
            <w:tcBorders>
              <w:bottom w:val="single" w:sz="4" w:space="0" w:color="006EC8" w:themeColor="accent1"/>
            </w:tcBorders>
            <w:vAlign w:val="bottom"/>
          </w:tcPr>
          <w:p w14:paraId="2EE7C4AB" w14:textId="073A4C4F" w:rsidR="007C4D5E" w:rsidRPr="007E20FD" w:rsidRDefault="007C4D5E" w:rsidP="007C4D5E">
            <w:pPr>
              <w:pStyle w:val="Tablenumbers"/>
            </w:pPr>
            <w:r w:rsidRPr="007E20FD">
              <w:t>21,483</w:t>
            </w:r>
          </w:p>
        </w:tc>
        <w:tc>
          <w:tcPr>
            <w:tcW w:w="1377" w:type="dxa"/>
            <w:tcBorders>
              <w:bottom w:val="single" w:sz="4" w:space="0" w:color="006EC8" w:themeColor="accent1"/>
            </w:tcBorders>
            <w:vAlign w:val="bottom"/>
          </w:tcPr>
          <w:p w14:paraId="0C70ADF7" w14:textId="628E1DEE" w:rsidR="007C4D5E" w:rsidRPr="007E20FD" w:rsidRDefault="007C4D5E" w:rsidP="007C4D5E">
            <w:pPr>
              <w:pStyle w:val="Tablenumbers"/>
            </w:pPr>
            <w:r w:rsidRPr="007E20FD">
              <w:t>26,587</w:t>
            </w:r>
          </w:p>
        </w:tc>
        <w:tc>
          <w:tcPr>
            <w:tcW w:w="1375" w:type="dxa"/>
            <w:tcBorders>
              <w:bottom w:val="single" w:sz="4" w:space="0" w:color="006EC8" w:themeColor="accent1"/>
            </w:tcBorders>
            <w:vAlign w:val="bottom"/>
          </w:tcPr>
          <w:p w14:paraId="59CE880A" w14:textId="011F2C40" w:rsidR="007C4D5E" w:rsidRPr="007E20FD" w:rsidRDefault="007C4D5E" w:rsidP="007C4D5E">
            <w:pPr>
              <w:pStyle w:val="Tablenumbers"/>
            </w:pPr>
            <w:r w:rsidRPr="007E20FD">
              <w:t>31,835</w:t>
            </w:r>
          </w:p>
        </w:tc>
        <w:tc>
          <w:tcPr>
            <w:tcW w:w="1388" w:type="dxa"/>
            <w:tcBorders>
              <w:bottom w:val="single" w:sz="4" w:space="0" w:color="006EC8" w:themeColor="accent1"/>
              <w:right w:val="single" w:sz="4" w:space="0" w:color="006EC8" w:themeColor="accent1"/>
            </w:tcBorders>
            <w:vAlign w:val="bottom"/>
          </w:tcPr>
          <w:p w14:paraId="6345C105" w14:textId="23F13F3C" w:rsidR="007C4D5E" w:rsidRPr="007E20FD" w:rsidRDefault="007C4D5E" w:rsidP="007C4D5E">
            <w:pPr>
              <w:pStyle w:val="Tablenumbers"/>
            </w:pPr>
            <w:r w:rsidRPr="007E20FD">
              <w:t>36,804</w:t>
            </w:r>
          </w:p>
        </w:tc>
        <w:tc>
          <w:tcPr>
            <w:tcW w:w="1174" w:type="dxa"/>
            <w:tcBorders>
              <w:left w:val="single" w:sz="4" w:space="0" w:color="006EC8" w:themeColor="accent1"/>
              <w:bottom w:val="single" w:sz="4" w:space="0" w:color="006EC8" w:themeColor="accent1"/>
            </w:tcBorders>
          </w:tcPr>
          <w:p w14:paraId="39938B2A" w14:textId="12DD579D" w:rsidR="007C4D5E" w:rsidRPr="007E20FD" w:rsidRDefault="007C4D5E" w:rsidP="007C4D5E">
            <w:pPr>
              <w:pStyle w:val="Tablenumbers"/>
            </w:pPr>
            <w:r w:rsidRPr="00CF351E">
              <w:t>60,987</w:t>
            </w:r>
          </w:p>
        </w:tc>
      </w:tr>
      <w:tr w:rsidR="007C4D5E" w14:paraId="100B26BD" w14:textId="6C4E9D0D" w:rsidTr="00A57350">
        <w:trPr>
          <w:cnfStyle w:val="000000100000" w:firstRow="0" w:lastRow="0" w:firstColumn="0" w:lastColumn="0" w:oddVBand="0" w:evenVBand="0" w:oddHBand="1" w:evenHBand="0" w:firstRowFirstColumn="0" w:firstRowLastColumn="0" w:lastRowFirstColumn="0" w:lastRowLastColumn="0"/>
        </w:trPr>
        <w:tc>
          <w:tcPr>
            <w:tcW w:w="1337" w:type="dxa"/>
            <w:tcBorders>
              <w:top w:val="single" w:sz="4" w:space="0" w:color="006EC8" w:themeColor="accent1"/>
              <w:bottom w:val="single" w:sz="4" w:space="0" w:color="006EC8" w:themeColor="accent1"/>
              <w:right w:val="single" w:sz="4" w:space="0" w:color="006EC8" w:themeColor="accent1"/>
            </w:tcBorders>
            <w:vAlign w:val="bottom"/>
          </w:tcPr>
          <w:p w14:paraId="68104E88" w14:textId="7913AC2C" w:rsidR="007C4D5E" w:rsidRPr="007E20FD" w:rsidRDefault="007C4D5E" w:rsidP="007C4D5E">
            <w:pPr>
              <w:pStyle w:val="Tabletext"/>
              <w:rPr>
                <w:b/>
                <w:bCs/>
              </w:rPr>
            </w:pPr>
            <w:r w:rsidRPr="007E20FD">
              <w:rPr>
                <w:b/>
                <w:bCs/>
              </w:rPr>
              <w:t>Total</w:t>
            </w:r>
          </w:p>
        </w:tc>
        <w:tc>
          <w:tcPr>
            <w:tcW w:w="1382" w:type="dxa"/>
            <w:tcBorders>
              <w:top w:val="single" w:sz="4" w:space="0" w:color="006EC8" w:themeColor="accent1"/>
              <w:left w:val="single" w:sz="4" w:space="0" w:color="006EC8" w:themeColor="accent1"/>
              <w:bottom w:val="single" w:sz="4" w:space="0" w:color="006EC8" w:themeColor="accent1"/>
            </w:tcBorders>
            <w:vAlign w:val="bottom"/>
          </w:tcPr>
          <w:p w14:paraId="54A1A9BF" w14:textId="02C1155A" w:rsidR="007C4D5E" w:rsidRPr="007E20FD" w:rsidRDefault="007C4D5E" w:rsidP="007C4D5E">
            <w:pPr>
              <w:pStyle w:val="Tablenumbers"/>
              <w:rPr>
                <w:bCs/>
              </w:rPr>
            </w:pPr>
            <w:r w:rsidRPr="007E20FD">
              <w:rPr>
                <w:bCs/>
              </w:rPr>
              <w:t>466,619</w:t>
            </w:r>
          </w:p>
        </w:tc>
        <w:tc>
          <w:tcPr>
            <w:tcW w:w="1379" w:type="dxa"/>
            <w:tcBorders>
              <w:top w:val="single" w:sz="4" w:space="0" w:color="006EC8" w:themeColor="accent1"/>
              <w:bottom w:val="single" w:sz="4" w:space="0" w:color="006EC8" w:themeColor="accent1"/>
            </w:tcBorders>
            <w:vAlign w:val="bottom"/>
          </w:tcPr>
          <w:p w14:paraId="58F9E545" w14:textId="445CD538" w:rsidR="007C4D5E" w:rsidRPr="007E20FD" w:rsidRDefault="007C4D5E" w:rsidP="007C4D5E">
            <w:pPr>
              <w:pStyle w:val="Tablenumbers"/>
              <w:rPr>
                <w:bCs/>
              </w:rPr>
            </w:pPr>
            <w:r w:rsidRPr="007E20FD">
              <w:rPr>
                <w:bCs/>
              </w:rPr>
              <w:t>530,457</w:t>
            </w:r>
          </w:p>
        </w:tc>
        <w:tc>
          <w:tcPr>
            <w:tcW w:w="1377" w:type="dxa"/>
            <w:tcBorders>
              <w:top w:val="single" w:sz="4" w:space="0" w:color="006EC8" w:themeColor="accent1"/>
              <w:bottom w:val="single" w:sz="4" w:space="0" w:color="006EC8" w:themeColor="accent1"/>
            </w:tcBorders>
            <w:vAlign w:val="bottom"/>
          </w:tcPr>
          <w:p w14:paraId="05DD5C97" w14:textId="386C8FAD" w:rsidR="007C4D5E" w:rsidRPr="007E20FD" w:rsidRDefault="007C4D5E" w:rsidP="007C4D5E">
            <w:pPr>
              <w:pStyle w:val="Tablenumbers"/>
              <w:rPr>
                <w:bCs/>
              </w:rPr>
            </w:pPr>
            <w:r w:rsidRPr="007E20FD">
              <w:rPr>
                <w:bCs/>
              </w:rPr>
              <w:t>586,433</w:t>
            </w:r>
          </w:p>
        </w:tc>
        <w:tc>
          <w:tcPr>
            <w:tcW w:w="1375" w:type="dxa"/>
            <w:tcBorders>
              <w:top w:val="single" w:sz="4" w:space="0" w:color="006EC8" w:themeColor="accent1"/>
              <w:bottom w:val="single" w:sz="4" w:space="0" w:color="006EC8" w:themeColor="accent1"/>
            </w:tcBorders>
            <w:vAlign w:val="bottom"/>
          </w:tcPr>
          <w:p w14:paraId="1835BC23" w14:textId="37D0B185" w:rsidR="007C4D5E" w:rsidRPr="007E20FD" w:rsidRDefault="007C4D5E" w:rsidP="007C4D5E">
            <w:pPr>
              <w:pStyle w:val="Tablenumbers"/>
              <w:rPr>
                <w:bCs/>
              </w:rPr>
            </w:pPr>
            <w:r w:rsidRPr="007E20FD">
              <w:rPr>
                <w:bCs/>
              </w:rPr>
              <w:t>630,327</w:t>
            </w:r>
          </w:p>
        </w:tc>
        <w:tc>
          <w:tcPr>
            <w:tcW w:w="1388" w:type="dxa"/>
            <w:tcBorders>
              <w:top w:val="single" w:sz="4" w:space="0" w:color="006EC8" w:themeColor="accent1"/>
              <w:bottom w:val="single" w:sz="4" w:space="0" w:color="006EC8" w:themeColor="accent1"/>
              <w:right w:val="single" w:sz="4" w:space="0" w:color="006EC8" w:themeColor="accent1"/>
            </w:tcBorders>
            <w:vAlign w:val="bottom"/>
          </w:tcPr>
          <w:p w14:paraId="607F55CB" w14:textId="5C3714B4" w:rsidR="007C4D5E" w:rsidRPr="007E20FD" w:rsidRDefault="007C4D5E" w:rsidP="007C4D5E">
            <w:pPr>
              <w:pStyle w:val="Tablenumbers"/>
              <w:rPr>
                <w:bCs/>
              </w:rPr>
            </w:pPr>
            <w:r w:rsidRPr="007E20FD">
              <w:rPr>
                <w:bCs/>
              </w:rPr>
              <w:t>670,400</w:t>
            </w:r>
          </w:p>
        </w:tc>
        <w:tc>
          <w:tcPr>
            <w:tcW w:w="1174" w:type="dxa"/>
            <w:tcBorders>
              <w:top w:val="single" w:sz="4" w:space="0" w:color="006EC8" w:themeColor="accent1"/>
              <w:left w:val="single" w:sz="4" w:space="0" w:color="006EC8" w:themeColor="accent1"/>
              <w:bottom w:val="single" w:sz="4" w:space="0" w:color="006EC8" w:themeColor="accent1"/>
            </w:tcBorders>
          </w:tcPr>
          <w:p w14:paraId="1EEBF0EA" w14:textId="5076EE9C" w:rsidR="007C4D5E" w:rsidRPr="007E20FD" w:rsidRDefault="007C4D5E" w:rsidP="007C4D5E">
            <w:pPr>
              <w:pStyle w:val="Tablenumbers"/>
              <w:rPr>
                <w:bCs/>
              </w:rPr>
            </w:pPr>
            <w:r w:rsidRPr="00CF351E">
              <w:t>859,328</w:t>
            </w:r>
          </w:p>
        </w:tc>
      </w:tr>
      <w:tr w:rsidR="007C4D5E" w14:paraId="02E1FB90" w14:textId="5C85F7C7" w:rsidTr="00A57350">
        <w:tc>
          <w:tcPr>
            <w:tcW w:w="1337" w:type="dxa"/>
            <w:tcBorders>
              <w:top w:val="single" w:sz="4" w:space="0" w:color="006EC8" w:themeColor="accent1"/>
              <w:right w:val="single" w:sz="4" w:space="0" w:color="006EC8" w:themeColor="accent1"/>
            </w:tcBorders>
            <w:vAlign w:val="bottom"/>
          </w:tcPr>
          <w:p w14:paraId="16D9D9E9" w14:textId="482231FB" w:rsidR="007C4D5E" w:rsidRPr="007E20FD" w:rsidRDefault="007C4D5E" w:rsidP="007C4D5E">
            <w:pPr>
              <w:pStyle w:val="Tabletext"/>
              <w:rPr>
                <w:b/>
                <w:bCs/>
              </w:rPr>
            </w:pPr>
            <w:r w:rsidRPr="007E20FD">
              <w:rPr>
                <w:b/>
                <w:bCs/>
              </w:rPr>
              <w:t>% &gt;65+</w:t>
            </w:r>
          </w:p>
        </w:tc>
        <w:tc>
          <w:tcPr>
            <w:tcW w:w="1382" w:type="dxa"/>
            <w:tcBorders>
              <w:top w:val="single" w:sz="4" w:space="0" w:color="006EC8" w:themeColor="accent1"/>
              <w:left w:val="single" w:sz="4" w:space="0" w:color="006EC8" w:themeColor="accent1"/>
            </w:tcBorders>
            <w:vAlign w:val="bottom"/>
          </w:tcPr>
          <w:p w14:paraId="3E896A6E" w14:textId="62E435EF" w:rsidR="007C4D5E" w:rsidRPr="007E20FD" w:rsidRDefault="007C4D5E" w:rsidP="007C4D5E">
            <w:pPr>
              <w:pStyle w:val="Tablenumbers"/>
              <w:rPr>
                <w:bCs/>
              </w:rPr>
            </w:pPr>
            <w:r w:rsidRPr="007E20FD">
              <w:rPr>
                <w:bCs/>
              </w:rPr>
              <w:t>3.7%</w:t>
            </w:r>
          </w:p>
        </w:tc>
        <w:tc>
          <w:tcPr>
            <w:tcW w:w="1379" w:type="dxa"/>
            <w:tcBorders>
              <w:top w:val="single" w:sz="4" w:space="0" w:color="006EC8" w:themeColor="accent1"/>
            </w:tcBorders>
            <w:vAlign w:val="bottom"/>
          </w:tcPr>
          <w:p w14:paraId="38C4CCF0" w14:textId="67F6042A" w:rsidR="007C4D5E" w:rsidRPr="007E20FD" w:rsidRDefault="007C4D5E" w:rsidP="007C4D5E">
            <w:pPr>
              <w:pStyle w:val="Tablenumbers"/>
              <w:rPr>
                <w:bCs/>
              </w:rPr>
            </w:pPr>
            <w:r w:rsidRPr="007E20FD">
              <w:rPr>
                <w:bCs/>
              </w:rPr>
              <w:t>4.2%</w:t>
            </w:r>
          </w:p>
        </w:tc>
        <w:tc>
          <w:tcPr>
            <w:tcW w:w="1377" w:type="dxa"/>
            <w:tcBorders>
              <w:top w:val="single" w:sz="4" w:space="0" w:color="006EC8" w:themeColor="accent1"/>
            </w:tcBorders>
            <w:vAlign w:val="bottom"/>
          </w:tcPr>
          <w:p w14:paraId="70F6D7E5" w14:textId="640AA023" w:rsidR="007C4D5E" w:rsidRPr="007E20FD" w:rsidRDefault="007C4D5E" w:rsidP="007C4D5E">
            <w:pPr>
              <w:pStyle w:val="Tablenumbers"/>
              <w:rPr>
                <w:bCs/>
              </w:rPr>
            </w:pPr>
            <w:r w:rsidRPr="007E20FD">
              <w:rPr>
                <w:bCs/>
              </w:rPr>
              <w:t>4.7%</w:t>
            </w:r>
          </w:p>
        </w:tc>
        <w:tc>
          <w:tcPr>
            <w:tcW w:w="1375" w:type="dxa"/>
            <w:tcBorders>
              <w:top w:val="single" w:sz="4" w:space="0" w:color="006EC8" w:themeColor="accent1"/>
            </w:tcBorders>
            <w:vAlign w:val="bottom"/>
          </w:tcPr>
          <w:p w14:paraId="48C55BAF" w14:textId="06AE599A" w:rsidR="007C4D5E" w:rsidRPr="007E20FD" w:rsidRDefault="007C4D5E" w:rsidP="007C4D5E">
            <w:pPr>
              <w:pStyle w:val="Tablenumbers"/>
              <w:rPr>
                <w:bCs/>
              </w:rPr>
            </w:pPr>
            <w:r w:rsidRPr="007E20FD">
              <w:rPr>
                <w:bCs/>
              </w:rPr>
              <w:t>5.3%</w:t>
            </w:r>
          </w:p>
        </w:tc>
        <w:tc>
          <w:tcPr>
            <w:tcW w:w="1388" w:type="dxa"/>
            <w:tcBorders>
              <w:top w:val="single" w:sz="4" w:space="0" w:color="006EC8" w:themeColor="accent1"/>
              <w:right w:val="single" w:sz="4" w:space="0" w:color="006EC8" w:themeColor="accent1"/>
            </w:tcBorders>
            <w:vAlign w:val="bottom"/>
          </w:tcPr>
          <w:p w14:paraId="565B2D34" w14:textId="69B01839" w:rsidR="007C4D5E" w:rsidRPr="007E20FD" w:rsidRDefault="007C4D5E" w:rsidP="007C4D5E">
            <w:pPr>
              <w:pStyle w:val="Tablenumbers"/>
              <w:rPr>
                <w:bCs/>
              </w:rPr>
            </w:pPr>
            <w:r w:rsidRPr="007E20FD">
              <w:rPr>
                <w:bCs/>
              </w:rPr>
              <w:t>5.8%</w:t>
            </w:r>
          </w:p>
        </w:tc>
        <w:tc>
          <w:tcPr>
            <w:tcW w:w="1174" w:type="dxa"/>
            <w:tcBorders>
              <w:top w:val="single" w:sz="4" w:space="0" w:color="006EC8" w:themeColor="accent1"/>
              <w:left w:val="single" w:sz="4" w:space="0" w:color="006EC8" w:themeColor="accent1"/>
            </w:tcBorders>
          </w:tcPr>
          <w:p w14:paraId="1A7F8508" w14:textId="7DACC8EF" w:rsidR="007C4D5E" w:rsidRPr="007E20FD" w:rsidRDefault="007C4D5E" w:rsidP="007C4D5E">
            <w:pPr>
              <w:pStyle w:val="Tablenumbers"/>
              <w:rPr>
                <w:bCs/>
              </w:rPr>
            </w:pPr>
            <w:r w:rsidRPr="00CF351E">
              <w:t>7.6%</w:t>
            </w:r>
          </w:p>
        </w:tc>
      </w:tr>
    </w:tbl>
    <w:p w14:paraId="54C3A63B" w14:textId="220F4F8D" w:rsidR="007E20FD" w:rsidRDefault="007E20FD" w:rsidP="007E20FD">
      <w:pPr>
        <w:pStyle w:val="Caption"/>
      </w:pPr>
      <w:r>
        <w:t xml:space="preserve">Table </w:t>
      </w:r>
      <w:r>
        <w:fldChar w:fldCharType="begin"/>
      </w:r>
      <w:r>
        <w:instrText xml:space="preserve"> STYLEREF 1 \s </w:instrText>
      </w:r>
      <w:r>
        <w:fldChar w:fldCharType="separate"/>
      </w:r>
      <w:r w:rsidR="00E6217F">
        <w:rPr>
          <w:noProof/>
        </w:rPr>
        <w:t>7</w:t>
      </w:r>
      <w:r>
        <w:fldChar w:fldCharType="end"/>
      </w:r>
      <w:r>
        <w:t>.</w:t>
      </w:r>
      <w:r>
        <w:fldChar w:fldCharType="begin"/>
      </w:r>
      <w:r>
        <w:instrText xml:space="preserve"> SEQ Table \* ARABIC \s 1 </w:instrText>
      </w:r>
      <w:r>
        <w:fldChar w:fldCharType="separate"/>
      </w:r>
      <w:r w:rsidR="00E6217F">
        <w:rPr>
          <w:noProof/>
        </w:rPr>
        <w:t>7</w:t>
      </w:r>
      <w:r>
        <w:fldChar w:fldCharType="end"/>
      </w:r>
      <w:r>
        <w:t xml:space="preserve"> – Future participant costs (cash basis) split by age, $B</w:t>
      </w:r>
    </w:p>
    <w:tbl>
      <w:tblPr>
        <w:tblStyle w:val="TFBlue"/>
        <w:tblW w:w="0" w:type="auto"/>
        <w:tblLook w:val="04A0" w:firstRow="1" w:lastRow="0" w:firstColumn="1" w:lastColumn="0" w:noHBand="0" w:noVBand="1"/>
      </w:tblPr>
      <w:tblGrid>
        <w:gridCol w:w="1371"/>
        <w:gridCol w:w="1365"/>
        <w:gridCol w:w="1359"/>
        <w:gridCol w:w="1361"/>
        <w:gridCol w:w="1361"/>
        <w:gridCol w:w="1364"/>
        <w:gridCol w:w="1231"/>
      </w:tblGrid>
      <w:tr w:rsidR="007C4D5E" w:rsidRPr="007E20FD" w14:paraId="2C0A0777" w14:textId="194EC890" w:rsidTr="00A57350">
        <w:trPr>
          <w:cnfStyle w:val="100000000000" w:firstRow="1" w:lastRow="0" w:firstColumn="0" w:lastColumn="0" w:oddVBand="0" w:evenVBand="0" w:oddHBand="0" w:evenHBand="0" w:firstRowFirstColumn="0" w:firstRowLastColumn="0" w:lastRowFirstColumn="0" w:lastRowLastColumn="0"/>
        </w:trPr>
        <w:tc>
          <w:tcPr>
            <w:tcW w:w="1371" w:type="dxa"/>
            <w:tcBorders>
              <w:right w:val="single" w:sz="4" w:space="0" w:color="006EC8" w:themeColor="accent1"/>
            </w:tcBorders>
          </w:tcPr>
          <w:p w14:paraId="51C5A8A5" w14:textId="77777777" w:rsidR="007C4D5E" w:rsidRPr="007E20FD" w:rsidRDefault="007C4D5E" w:rsidP="007C4D5E">
            <w:pPr>
              <w:rPr>
                <w:szCs w:val="21"/>
              </w:rPr>
            </w:pPr>
            <w:r w:rsidRPr="007E20FD">
              <w:rPr>
                <w:rFonts w:ascii="Blanco" w:hAnsi="Blanco"/>
                <w:color w:val="231F20"/>
                <w:szCs w:val="21"/>
              </w:rPr>
              <w:t>Age group</w:t>
            </w:r>
          </w:p>
        </w:tc>
        <w:tc>
          <w:tcPr>
            <w:tcW w:w="1365" w:type="dxa"/>
            <w:tcBorders>
              <w:left w:val="single" w:sz="4" w:space="0" w:color="006EC8" w:themeColor="accent1"/>
            </w:tcBorders>
          </w:tcPr>
          <w:p w14:paraId="26E39856" w14:textId="77777777" w:rsidR="007C4D5E" w:rsidRPr="007E20FD" w:rsidRDefault="007C4D5E" w:rsidP="007C4D5E">
            <w:pPr>
              <w:pStyle w:val="Tablenumbers"/>
            </w:pPr>
            <w:r w:rsidRPr="007E20FD">
              <w:t>2020-21</w:t>
            </w:r>
          </w:p>
        </w:tc>
        <w:tc>
          <w:tcPr>
            <w:tcW w:w="1359" w:type="dxa"/>
          </w:tcPr>
          <w:p w14:paraId="0457DF48" w14:textId="77777777" w:rsidR="007C4D5E" w:rsidRPr="007E20FD" w:rsidRDefault="007C4D5E" w:rsidP="007C4D5E">
            <w:pPr>
              <w:pStyle w:val="Tablenumbers"/>
            </w:pPr>
            <w:r w:rsidRPr="007E20FD">
              <w:t>2021-22</w:t>
            </w:r>
          </w:p>
        </w:tc>
        <w:tc>
          <w:tcPr>
            <w:tcW w:w="1361" w:type="dxa"/>
          </w:tcPr>
          <w:p w14:paraId="3A1D7DEF" w14:textId="77777777" w:rsidR="007C4D5E" w:rsidRPr="007E20FD" w:rsidRDefault="007C4D5E" w:rsidP="007C4D5E">
            <w:pPr>
              <w:pStyle w:val="Tablenumbers"/>
            </w:pPr>
            <w:r w:rsidRPr="007E20FD">
              <w:t>2022-23</w:t>
            </w:r>
          </w:p>
        </w:tc>
        <w:tc>
          <w:tcPr>
            <w:tcW w:w="1361" w:type="dxa"/>
          </w:tcPr>
          <w:p w14:paraId="18751D2F" w14:textId="77777777" w:rsidR="007C4D5E" w:rsidRPr="007E20FD" w:rsidRDefault="007C4D5E" w:rsidP="007C4D5E">
            <w:pPr>
              <w:pStyle w:val="Tablenumbers"/>
            </w:pPr>
            <w:r w:rsidRPr="007E20FD">
              <w:t>2023-24</w:t>
            </w:r>
          </w:p>
        </w:tc>
        <w:tc>
          <w:tcPr>
            <w:tcW w:w="1364" w:type="dxa"/>
            <w:tcBorders>
              <w:right w:val="single" w:sz="4" w:space="0" w:color="006EC8" w:themeColor="accent1"/>
            </w:tcBorders>
          </w:tcPr>
          <w:p w14:paraId="5FED4201" w14:textId="77777777" w:rsidR="007C4D5E" w:rsidRPr="007E20FD" w:rsidRDefault="007C4D5E" w:rsidP="007C4D5E">
            <w:pPr>
              <w:pStyle w:val="Tablenumbers"/>
            </w:pPr>
            <w:r w:rsidRPr="007E20FD">
              <w:t>2024-25</w:t>
            </w:r>
          </w:p>
        </w:tc>
        <w:tc>
          <w:tcPr>
            <w:tcW w:w="1231" w:type="dxa"/>
            <w:tcBorders>
              <w:left w:val="single" w:sz="4" w:space="0" w:color="006EC8" w:themeColor="accent1"/>
            </w:tcBorders>
          </w:tcPr>
          <w:p w14:paraId="7E70F913" w14:textId="7C57BA35" w:rsidR="007C4D5E" w:rsidRPr="007E20FD" w:rsidRDefault="007C4D5E" w:rsidP="007C4D5E">
            <w:pPr>
              <w:pStyle w:val="Tablenumbers"/>
            </w:pPr>
            <w:r w:rsidRPr="003E2998">
              <w:t>2029-30</w:t>
            </w:r>
          </w:p>
        </w:tc>
      </w:tr>
      <w:tr w:rsidR="007C4D5E" w:rsidRPr="007E20FD" w14:paraId="5ED12EEE" w14:textId="4F105A05" w:rsidTr="00A57350">
        <w:trPr>
          <w:cnfStyle w:val="000000100000" w:firstRow="0" w:lastRow="0" w:firstColumn="0" w:lastColumn="0" w:oddVBand="0" w:evenVBand="0" w:oddHBand="1" w:evenHBand="0" w:firstRowFirstColumn="0" w:firstRowLastColumn="0" w:lastRowFirstColumn="0" w:lastRowLastColumn="0"/>
        </w:trPr>
        <w:tc>
          <w:tcPr>
            <w:tcW w:w="1371" w:type="dxa"/>
            <w:tcBorders>
              <w:right w:val="single" w:sz="4" w:space="0" w:color="006EC8" w:themeColor="accent1"/>
            </w:tcBorders>
            <w:vAlign w:val="bottom"/>
          </w:tcPr>
          <w:p w14:paraId="17CD37AD" w14:textId="77777777" w:rsidR="007C4D5E" w:rsidRPr="007E20FD" w:rsidRDefault="007C4D5E" w:rsidP="007C4D5E">
            <w:pPr>
              <w:pStyle w:val="Tabletext"/>
            </w:pPr>
            <w:r w:rsidRPr="007E20FD">
              <w:t>0-64</w:t>
            </w:r>
          </w:p>
        </w:tc>
        <w:tc>
          <w:tcPr>
            <w:tcW w:w="1365" w:type="dxa"/>
            <w:tcBorders>
              <w:left w:val="single" w:sz="4" w:space="0" w:color="006EC8" w:themeColor="accent1"/>
            </w:tcBorders>
          </w:tcPr>
          <w:p w14:paraId="36DD9A5A" w14:textId="194B85F5" w:rsidR="007C4D5E" w:rsidRPr="007E20FD" w:rsidRDefault="007C4D5E" w:rsidP="007C4D5E">
            <w:pPr>
              <w:pStyle w:val="Tablenumbers"/>
            </w:pPr>
            <w:r w:rsidRPr="00083F00">
              <w:t>21.9</w:t>
            </w:r>
          </w:p>
        </w:tc>
        <w:tc>
          <w:tcPr>
            <w:tcW w:w="1359" w:type="dxa"/>
          </w:tcPr>
          <w:p w14:paraId="6E773281" w14:textId="2C229A26" w:rsidR="007C4D5E" w:rsidRPr="007E20FD" w:rsidRDefault="007C4D5E" w:rsidP="007C4D5E">
            <w:pPr>
              <w:pStyle w:val="Tablenumbers"/>
            </w:pPr>
            <w:r w:rsidRPr="00083F00">
              <w:t>27.0</w:t>
            </w:r>
          </w:p>
        </w:tc>
        <w:tc>
          <w:tcPr>
            <w:tcW w:w="1361" w:type="dxa"/>
          </w:tcPr>
          <w:p w14:paraId="6DD96776" w14:textId="46C369C2" w:rsidR="007C4D5E" w:rsidRPr="007E20FD" w:rsidRDefault="007C4D5E" w:rsidP="007C4D5E">
            <w:pPr>
              <w:pStyle w:val="Tablenumbers"/>
            </w:pPr>
            <w:r w:rsidRPr="00083F00">
              <w:t>31.0</w:t>
            </w:r>
          </w:p>
        </w:tc>
        <w:tc>
          <w:tcPr>
            <w:tcW w:w="1361" w:type="dxa"/>
          </w:tcPr>
          <w:p w14:paraId="48630996" w14:textId="5D11C4D0" w:rsidR="007C4D5E" w:rsidRPr="007E20FD" w:rsidRDefault="007C4D5E" w:rsidP="007C4D5E">
            <w:pPr>
              <w:pStyle w:val="Tablenumbers"/>
            </w:pPr>
            <w:r w:rsidRPr="00083F00">
              <w:t>34.3</w:t>
            </w:r>
          </w:p>
        </w:tc>
        <w:tc>
          <w:tcPr>
            <w:tcW w:w="1364" w:type="dxa"/>
            <w:tcBorders>
              <w:right w:val="single" w:sz="4" w:space="0" w:color="006EC8" w:themeColor="accent1"/>
            </w:tcBorders>
          </w:tcPr>
          <w:p w14:paraId="1A7392BD" w14:textId="70E645EC" w:rsidR="007C4D5E" w:rsidRPr="007E20FD" w:rsidRDefault="007C4D5E" w:rsidP="007C4D5E">
            <w:pPr>
              <w:pStyle w:val="Tablenumbers"/>
            </w:pPr>
            <w:r w:rsidRPr="00083F00">
              <w:t>37.1</w:t>
            </w:r>
          </w:p>
        </w:tc>
        <w:tc>
          <w:tcPr>
            <w:tcW w:w="1231" w:type="dxa"/>
            <w:tcBorders>
              <w:left w:val="single" w:sz="4" w:space="0" w:color="006EC8" w:themeColor="accent1"/>
            </w:tcBorders>
          </w:tcPr>
          <w:p w14:paraId="415A3F11" w14:textId="4C8F7140" w:rsidR="007C4D5E" w:rsidRPr="00083F00" w:rsidRDefault="007C4D5E" w:rsidP="007C4D5E">
            <w:pPr>
              <w:pStyle w:val="Tablenumbers"/>
            </w:pPr>
            <w:r w:rsidRPr="003E2998">
              <w:t>51.5</w:t>
            </w:r>
          </w:p>
        </w:tc>
      </w:tr>
      <w:tr w:rsidR="007C4D5E" w:rsidRPr="007E20FD" w14:paraId="53BBECAC" w14:textId="3E32536E" w:rsidTr="00A57350">
        <w:tc>
          <w:tcPr>
            <w:tcW w:w="1371" w:type="dxa"/>
            <w:tcBorders>
              <w:bottom w:val="single" w:sz="4" w:space="0" w:color="006EC8" w:themeColor="accent1"/>
              <w:right w:val="single" w:sz="4" w:space="0" w:color="006EC8" w:themeColor="accent1"/>
            </w:tcBorders>
            <w:vAlign w:val="bottom"/>
          </w:tcPr>
          <w:p w14:paraId="1A024B3D" w14:textId="77777777" w:rsidR="007C4D5E" w:rsidRPr="007E20FD" w:rsidRDefault="007C4D5E" w:rsidP="007C4D5E">
            <w:pPr>
              <w:pStyle w:val="Tabletext"/>
            </w:pPr>
            <w:r w:rsidRPr="007E20FD">
              <w:t>65+</w:t>
            </w:r>
          </w:p>
        </w:tc>
        <w:tc>
          <w:tcPr>
            <w:tcW w:w="1365" w:type="dxa"/>
            <w:tcBorders>
              <w:left w:val="single" w:sz="4" w:space="0" w:color="006EC8" w:themeColor="accent1"/>
              <w:bottom w:val="single" w:sz="4" w:space="0" w:color="006EC8" w:themeColor="accent1"/>
            </w:tcBorders>
          </w:tcPr>
          <w:p w14:paraId="650D106A" w14:textId="47C6FC1B" w:rsidR="007C4D5E" w:rsidRPr="007E20FD" w:rsidRDefault="007C4D5E" w:rsidP="007C4D5E">
            <w:pPr>
              <w:pStyle w:val="Tablenumbers"/>
            </w:pPr>
            <w:r w:rsidRPr="00083F00">
              <w:t>1.4</w:t>
            </w:r>
          </w:p>
        </w:tc>
        <w:tc>
          <w:tcPr>
            <w:tcW w:w="1359" w:type="dxa"/>
            <w:tcBorders>
              <w:bottom w:val="single" w:sz="4" w:space="0" w:color="006EC8" w:themeColor="accent1"/>
            </w:tcBorders>
          </w:tcPr>
          <w:p w14:paraId="413BA79F" w14:textId="3C8E3C72" w:rsidR="007C4D5E" w:rsidRPr="007E20FD" w:rsidRDefault="007C4D5E" w:rsidP="007C4D5E">
            <w:pPr>
              <w:pStyle w:val="Tablenumbers"/>
            </w:pPr>
            <w:r w:rsidRPr="00083F00">
              <w:t>1.8</w:t>
            </w:r>
          </w:p>
        </w:tc>
        <w:tc>
          <w:tcPr>
            <w:tcW w:w="1361" w:type="dxa"/>
            <w:tcBorders>
              <w:bottom w:val="single" w:sz="4" w:space="0" w:color="006EC8" w:themeColor="accent1"/>
            </w:tcBorders>
          </w:tcPr>
          <w:p w14:paraId="289A54EE" w14:textId="3A2CC9FB" w:rsidR="007C4D5E" w:rsidRPr="007E20FD" w:rsidRDefault="007C4D5E" w:rsidP="007C4D5E">
            <w:pPr>
              <w:pStyle w:val="Tablenumbers"/>
            </w:pPr>
            <w:r w:rsidRPr="00083F00">
              <w:t>2.5</w:t>
            </w:r>
          </w:p>
        </w:tc>
        <w:tc>
          <w:tcPr>
            <w:tcW w:w="1361" w:type="dxa"/>
            <w:tcBorders>
              <w:bottom w:val="single" w:sz="4" w:space="0" w:color="006EC8" w:themeColor="accent1"/>
            </w:tcBorders>
          </w:tcPr>
          <w:p w14:paraId="43B903F4" w14:textId="2F50DBB5" w:rsidR="007C4D5E" w:rsidRPr="007E20FD" w:rsidRDefault="007C4D5E" w:rsidP="007C4D5E">
            <w:pPr>
              <w:pStyle w:val="Tablenumbers"/>
            </w:pPr>
            <w:r w:rsidRPr="00083F00">
              <w:t>3.1</w:t>
            </w:r>
          </w:p>
        </w:tc>
        <w:tc>
          <w:tcPr>
            <w:tcW w:w="1364" w:type="dxa"/>
            <w:tcBorders>
              <w:bottom w:val="single" w:sz="4" w:space="0" w:color="006EC8" w:themeColor="accent1"/>
              <w:right w:val="single" w:sz="4" w:space="0" w:color="006EC8" w:themeColor="accent1"/>
            </w:tcBorders>
          </w:tcPr>
          <w:p w14:paraId="2BD98B26" w14:textId="204F147E" w:rsidR="007C4D5E" w:rsidRPr="007E20FD" w:rsidRDefault="007C4D5E" w:rsidP="007C4D5E">
            <w:pPr>
              <w:pStyle w:val="Tablenumbers"/>
            </w:pPr>
            <w:r w:rsidRPr="00083F00">
              <w:t>3.7</w:t>
            </w:r>
          </w:p>
        </w:tc>
        <w:tc>
          <w:tcPr>
            <w:tcW w:w="1231" w:type="dxa"/>
            <w:tcBorders>
              <w:left w:val="single" w:sz="4" w:space="0" w:color="006EC8" w:themeColor="accent1"/>
              <w:bottom w:val="single" w:sz="4" w:space="0" w:color="006EC8" w:themeColor="accent1"/>
            </w:tcBorders>
          </w:tcPr>
          <w:p w14:paraId="2BB77E26" w14:textId="35F8709A" w:rsidR="007C4D5E" w:rsidRPr="00083F00" w:rsidRDefault="007C4D5E" w:rsidP="007C4D5E">
            <w:pPr>
              <w:pStyle w:val="Tablenumbers"/>
            </w:pPr>
            <w:r w:rsidRPr="003E2998">
              <w:t>7.0</w:t>
            </w:r>
          </w:p>
        </w:tc>
      </w:tr>
      <w:tr w:rsidR="007C4D5E" w:rsidRPr="007E20FD" w14:paraId="3D489E12" w14:textId="396F53D1" w:rsidTr="00A57350">
        <w:trPr>
          <w:cnfStyle w:val="000000100000" w:firstRow="0" w:lastRow="0" w:firstColumn="0" w:lastColumn="0" w:oddVBand="0" w:evenVBand="0" w:oddHBand="1" w:evenHBand="0" w:firstRowFirstColumn="0" w:firstRowLastColumn="0" w:lastRowFirstColumn="0" w:lastRowLastColumn="0"/>
        </w:trPr>
        <w:tc>
          <w:tcPr>
            <w:tcW w:w="1371" w:type="dxa"/>
            <w:tcBorders>
              <w:top w:val="single" w:sz="4" w:space="0" w:color="006EC8" w:themeColor="accent1"/>
              <w:bottom w:val="single" w:sz="4" w:space="0" w:color="006EC8" w:themeColor="accent1"/>
              <w:right w:val="single" w:sz="4" w:space="0" w:color="006EC8" w:themeColor="accent1"/>
            </w:tcBorders>
            <w:vAlign w:val="bottom"/>
          </w:tcPr>
          <w:p w14:paraId="6B736157" w14:textId="77777777" w:rsidR="007C4D5E" w:rsidRPr="007E20FD" w:rsidRDefault="007C4D5E" w:rsidP="007C4D5E">
            <w:pPr>
              <w:pStyle w:val="Tabletext"/>
              <w:rPr>
                <w:b/>
                <w:bCs/>
              </w:rPr>
            </w:pPr>
            <w:r w:rsidRPr="007E20FD">
              <w:rPr>
                <w:b/>
                <w:bCs/>
              </w:rPr>
              <w:t>Total</w:t>
            </w:r>
          </w:p>
        </w:tc>
        <w:tc>
          <w:tcPr>
            <w:tcW w:w="1365" w:type="dxa"/>
            <w:tcBorders>
              <w:top w:val="single" w:sz="4" w:space="0" w:color="006EC8" w:themeColor="accent1"/>
              <w:left w:val="single" w:sz="4" w:space="0" w:color="006EC8" w:themeColor="accent1"/>
              <w:bottom w:val="single" w:sz="4" w:space="0" w:color="006EC8" w:themeColor="accent1"/>
            </w:tcBorders>
          </w:tcPr>
          <w:p w14:paraId="446A4529" w14:textId="566AA5AA" w:rsidR="007C4D5E" w:rsidRPr="007E20FD" w:rsidRDefault="007C4D5E" w:rsidP="007C4D5E">
            <w:pPr>
              <w:pStyle w:val="Tablenumbers"/>
              <w:rPr>
                <w:bCs/>
              </w:rPr>
            </w:pPr>
            <w:r w:rsidRPr="00083F00">
              <w:t>23.3</w:t>
            </w:r>
          </w:p>
        </w:tc>
        <w:tc>
          <w:tcPr>
            <w:tcW w:w="1359" w:type="dxa"/>
            <w:tcBorders>
              <w:top w:val="single" w:sz="4" w:space="0" w:color="006EC8" w:themeColor="accent1"/>
              <w:bottom w:val="single" w:sz="4" w:space="0" w:color="006EC8" w:themeColor="accent1"/>
            </w:tcBorders>
          </w:tcPr>
          <w:p w14:paraId="3BEC07CB" w14:textId="5A6CC20D" w:rsidR="007C4D5E" w:rsidRPr="007E20FD" w:rsidRDefault="007C4D5E" w:rsidP="007C4D5E">
            <w:pPr>
              <w:pStyle w:val="Tablenumbers"/>
              <w:rPr>
                <w:bCs/>
              </w:rPr>
            </w:pPr>
            <w:r w:rsidRPr="00083F00">
              <w:t>28.8</w:t>
            </w:r>
          </w:p>
        </w:tc>
        <w:tc>
          <w:tcPr>
            <w:tcW w:w="1361" w:type="dxa"/>
            <w:tcBorders>
              <w:top w:val="single" w:sz="4" w:space="0" w:color="006EC8" w:themeColor="accent1"/>
              <w:bottom w:val="single" w:sz="4" w:space="0" w:color="006EC8" w:themeColor="accent1"/>
            </w:tcBorders>
          </w:tcPr>
          <w:p w14:paraId="68F3BEAD" w14:textId="2E70C58F" w:rsidR="007C4D5E" w:rsidRPr="007E20FD" w:rsidRDefault="007C4D5E" w:rsidP="007C4D5E">
            <w:pPr>
              <w:pStyle w:val="Tablenumbers"/>
              <w:rPr>
                <w:bCs/>
              </w:rPr>
            </w:pPr>
            <w:r w:rsidRPr="00083F00">
              <w:t>33.4</w:t>
            </w:r>
          </w:p>
        </w:tc>
        <w:tc>
          <w:tcPr>
            <w:tcW w:w="1361" w:type="dxa"/>
            <w:tcBorders>
              <w:top w:val="single" w:sz="4" w:space="0" w:color="006EC8" w:themeColor="accent1"/>
              <w:bottom w:val="single" w:sz="4" w:space="0" w:color="006EC8" w:themeColor="accent1"/>
            </w:tcBorders>
          </w:tcPr>
          <w:p w14:paraId="69E6DB12" w14:textId="3CD49535" w:rsidR="007C4D5E" w:rsidRPr="007E20FD" w:rsidRDefault="007C4D5E" w:rsidP="007C4D5E">
            <w:pPr>
              <w:pStyle w:val="Tablenumbers"/>
              <w:rPr>
                <w:bCs/>
              </w:rPr>
            </w:pPr>
            <w:r w:rsidRPr="00083F00">
              <w:t>37.5</w:t>
            </w:r>
          </w:p>
        </w:tc>
        <w:tc>
          <w:tcPr>
            <w:tcW w:w="1364" w:type="dxa"/>
            <w:tcBorders>
              <w:top w:val="single" w:sz="4" w:space="0" w:color="006EC8" w:themeColor="accent1"/>
              <w:bottom w:val="single" w:sz="4" w:space="0" w:color="006EC8" w:themeColor="accent1"/>
              <w:right w:val="single" w:sz="4" w:space="0" w:color="006EC8" w:themeColor="accent1"/>
            </w:tcBorders>
          </w:tcPr>
          <w:p w14:paraId="586F34C7" w14:textId="65CFDBBA" w:rsidR="007C4D5E" w:rsidRPr="007E20FD" w:rsidRDefault="007C4D5E" w:rsidP="007C4D5E">
            <w:pPr>
              <w:pStyle w:val="Tablenumbers"/>
              <w:rPr>
                <w:bCs/>
              </w:rPr>
            </w:pPr>
            <w:r w:rsidRPr="00083F00">
              <w:t>40.8</w:t>
            </w:r>
          </w:p>
        </w:tc>
        <w:tc>
          <w:tcPr>
            <w:tcW w:w="1231" w:type="dxa"/>
            <w:tcBorders>
              <w:top w:val="single" w:sz="4" w:space="0" w:color="006EC8" w:themeColor="accent1"/>
              <w:left w:val="single" w:sz="4" w:space="0" w:color="006EC8" w:themeColor="accent1"/>
              <w:bottom w:val="single" w:sz="4" w:space="0" w:color="006EC8" w:themeColor="accent1"/>
            </w:tcBorders>
          </w:tcPr>
          <w:p w14:paraId="7EEF54DC" w14:textId="1704A14F" w:rsidR="007C4D5E" w:rsidRPr="00083F00" w:rsidRDefault="007C4D5E" w:rsidP="007C4D5E">
            <w:pPr>
              <w:pStyle w:val="Tablenumbers"/>
            </w:pPr>
            <w:r w:rsidRPr="003E2998">
              <w:t>58.5</w:t>
            </w:r>
          </w:p>
        </w:tc>
      </w:tr>
      <w:tr w:rsidR="007C4D5E" w:rsidRPr="007E20FD" w14:paraId="55377A0F" w14:textId="3E977741" w:rsidTr="00A57350">
        <w:tc>
          <w:tcPr>
            <w:tcW w:w="1371" w:type="dxa"/>
            <w:tcBorders>
              <w:top w:val="single" w:sz="4" w:space="0" w:color="006EC8" w:themeColor="accent1"/>
              <w:right w:val="single" w:sz="4" w:space="0" w:color="006EC8" w:themeColor="accent1"/>
            </w:tcBorders>
            <w:vAlign w:val="bottom"/>
          </w:tcPr>
          <w:p w14:paraId="25E4E1F9" w14:textId="77777777" w:rsidR="007C4D5E" w:rsidRPr="007E20FD" w:rsidRDefault="007C4D5E" w:rsidP="007C4D5E">
            <w:pPr>
              <w:pStyle w:val="Tabletext"/>
              <w:rPr>
                <w:b/>
                <w:bCs/>
              </w:rPr>
            </w:pPr>
            <w:r w:rsidRPr="007E20FD">
              <w:rPr>
                <w:b/>
                <w:bCs/>
              </w:rPr>
              <w:t>% &gt;65+</w:t>
            </w:r>
          </w:p>
        </w:tc>
        <w:tc>
          <w:tcPr>
            <w:tcW w:w="1365" w:type="dxa"/>
            <w:tcBorders>
              <w:top w:val="single" w:sz="4" w:space="0" w:color="006EC8" w:themeColor="accent1"/>
              <w:left w:val="single" w:sz="4" w:space="0" w:color="006EC8" w:themeColor="accent1"/>
            </w:tcBorders>
          </w:tcPr>
          <w:p w14:paraId="58BDC13B" w14:textId="5258E69D" w:rsidR="007C4D5E" w:rsidRPr="007E20FD" w:rsidRDefault="007C4D5E" w:rsidP="007C4D5E">
            <w:pPr>
              <w:pStyle w:val="Tablenumbers"/>
              <w:rPr>
                <w:bCs/>
              </w:rPr>
            </w:pPr>
            <w:r w:rsidRPr="00083F00">
              <w:t>6.5%</w:t>
            </w:r>
          </w:p>
        </w:tc>
        <w:tc>
          <w:tcPr>
            <w:tcW w:w="1359" w:type="dxa"/>
            <w:tcBorders>
              <w:top w:val="single" w:sz="4" w:space="0" w:color="006EC8" w:themeColor="accent1"/>
            </w:tcBorders>
          </w:tcPr>
          <w:p w14:paraId="02AAE1FC" w14:textId="3FFDE788" w:rsidR="007C4D5E" w:rsidRPr="007E20FD" w:rsidRDefault="007C4D5E" w:rsidP="007C4D5E">
            <w:pPr>
              <w:pStyle w:val="Tablenumbers"/>
              <w:rPr>
                <w:bCs/>
              </w:rPr>
            </w:pPr>
            <w:r w:rsidRPr="00083F00">
              <w:t>6.8%</w:t>
            </w:r>
          </w:p>
        </w:tc>
        <w:tc>
          <w:tcPr>
            <w:tcW w:w="1361" w:type="dxa"/>
            <w:tcBorders>
              <w:top w:val="single" w:sz="4" w:space="0" w:color="006EC8" w:themeColor="accent1"/>
            </w:tcBorders>
          </w:tcPr>
          <w:p w14:paraId="70AC2316" w14:textId="6FECCF43" w:rsidR="007C4D5E" w:rsidRPr="007E20FD" w:rsidRDefault="007C4D5E" w:rsidP="007C4D5E">
            <w:pPr>
              <w:pStyle w:val="Tablenumbers"/>
              <w:rPr>
                <w:bCs/>
              </w:rPr>
            </w:pPr>
            <w:r w:rsidRPr="00083F00">
              <w:t>8.0%</w:t>
            </w:r>
          </w:p>
        </w:tc>
        <w:tc>
          <w:tcPr>
            <w:tcW w:w="1361" w:type="dxa"/>
            <w:tcBorders>
              <w:top w:val="single" w:sz="4" w:space="0" w:color="006EC8" w:themeColor="accent1"/>
            </w:tcBorders>
          </w:tcPr>
          <w:p w14:paraId="16CAF916" w14:textId="043F54F0" w:rsidR="007C4D5E" w:rsidRPr="007E20FD" w:rsidRDefault="007C4D5E" w:rsidP="007C4D5E">
            <w:pPr>
              <w:pStyle w:val="Tablenumbers"/>
              <w:rPr>
                <w:bCs/>
              </w:rPr>
            </w:pPr>
            <w:r w:rsidRPr="00083F00">
              <w:t>9.1%</w:t>
            </w:r>
          </w:p>
        </w:tc>
        <w:tc>
          <w:tcPr>
            <w:tcW w:w="1364" w:type="dxa"/>
            <w:tcBorders>
              <w:top w:val="single" w:sz="4" w:space="0" w:color="006EC8" w:themeColor="accent1"/>
              <w:right w:val="single" w:sz="4" w:space="0" w:color="006EC8" w:themeColor="accent1"/>
            </w:tcBorders>
          </w:tcPr>
          <w:p w14:paraId="03C26F60" w14:textId="77378827" w:rsidR="007C4D5E" w:rsidRPr="007E20FD" w:rsidRDefault="007C4D5E" w:rsidP="007C4D5E">
            <w:pPr>
              <w:pStyle w:val="Tablenumbers"/>
              <w:rPr>
                <w:bCs/>
              </w:rPr>
            </w:pPr>
            <w:r w:rsidRPr="00083F00">
              <w:t>10.1%</w:t>
            </w:r>
          </w:p>
        </w:tc>
        <w:tc>
          <w:tcPr>
            <w:tcW w:w="1231" w:type="dxa"/>
            <w:tcBorders>
              <w:top w:val="single" w:sz="4" w:space="0" w:color="006EC8" w:themeColor="accent1"/>
              <w:left w:val="single" w:sz="4" w:space="0" w:color="006EC8" w:themeColor="accent1"/>
            </w:tcBorders>
          </w:tcPr>
          <w:p w14:paraId="53C6D1DA" w14:textId="27AD139D" w:rsidR="007C4D5E" w:rsidRPr="00083F00" w:rsidRDefault="007C4D5E" w:rsidP="007C4D5E">
            <w:pPr>
              <w:pStyle w:val="Tablenumbers"/>
            </w:pPr>
            <w:r w:rsidRPr="003E2998">
              <w:t>13.6%</w:t>
            </w:r>
          </w:p>
        </w:tc>
      </w:tr>
    </w:tbl>
    <w:p w14:paraId="1B8620F0" w14:textId="720588CC" w:rsidR="00A520C9" w:rsidRPr="00CF6AB9" w:rsidRDefault="00A520C9" w:rsidP="00A520C9">
      <w:pPr>
        <w:pStyle w:val="Heading2"/>
      </w:pPr>
      <w:bookmarkStart w:id="299" w:name="_Toc87700497"/>
      <w:bookmarkStart w:id="300" w:name="_Toc88686149"/>
      <w:r w:rsidRPr="00CF6AB9">
        <w:t>Additional scope of the NDIS compared to original design</w:t>
      </w:r>
      <w:bookmarkEnd w:id="297"/>
      <w:bookmarkEnd w:id="298"/>
      <w:bookmarkEnd w:id="299"/>
      <w:bookmarkEnd w:id="300"/>
    </w:p>
    <w:p w14:paraId="0275B5A5" w14:textId="7430FA88" w:rsidR="00CF6AB9" w:rsidRDefault="00CF6AB9" w:rsidP="00CF6AB9">
      <w:r>
        <w:t xml:space="preserve">After the 2017 PC review, as discussed in Section </w:t>
      </w:r>
      <w:r>
        <w:fldChar w:fldCharType="begin"/>
      </w:r>
      <w:r>
        <w:instrText xml:space="preserve"> REF _Ref87621686 \n \h </w:instrText>
      </w:r>
      <w:r>
        <w:fldChar w:fldCharType="separate"/>
      </w:r>
      <w:r w:rsidR="00E6217F">
        <w:t>5</w:t>
      </w:r>
      <w:r>
        <w:fldChar w:fldCharType="end"/>
      </w:r>
      <w:r>
        <w:t>, additional services were funded by the NDIS and costs associated with these services were not allowed for in the PC report. Under the revised projections, payments arising from these additional services will be $2.</w:t>
      </w:r>
      <w:r w:rsidR="002057E9">
        <w:t>3</w:t>
      </w:r>
      <w:r>
        <w:t xml:space="preserve">B in 2024-25 </w:t>
      </w:r>
      <w:r w:rsidR="002057E9">
        <w:t xml:space="preserve">(shown in </w:t>
      </w:r>
      <w:r w:rsidR="002057E9">
        <w:fldChar w:fldCharType="begin"/>
      </w:r>
      <w:r w:rsidR="002057E9">
        <w:instrText xml:space="preserve"> REF _Ref87624933 \h </w:instrText>
      </w:r>
      <w:r w:rsidR="002057E9">
        <w:fldChar w:fldCharType="separate"/>
      </w:r>
      <w:r w:rsidR="00E6217F">
        <w:t xml:space="preserve">Table </w:t>
      </w:r>
      <w:r w:rsidR="00E6217F">
        <w:rPr>
          <w:noProof/>
        </w:rPr>
        <w:t>5</w:t>
      </w:r>
      <w:r w:rsidR="00E6217F">
        <w:t>.</w:t>
      </w:r>
      <w:r w:rsidR="00E6217F">
        <w:rPr>
          <w:noProof/>
        </w:rPr>
        <w:t>1</w:t>
      </w:r>
      <w:r w:rsidR="002057E9">
        <w:fldChar w:fldCharType="end"/>
      </w:r>
      <w:r w:rsidR="002057E9">
        <w:t xml:space="preserve">) </w:t>
      </w:r>
      <w:r>
        <w:t>and $3.0B in 2029-30, representing 5% of overall projected payments. In this section, we discuss the reasonableness of these allowances.</w:t>
      </w:r>
    </w:p>
    <w:p w14:paraId="78C62460" w14:textId="77777777" w:rsidR="00CF6AB9" w:rsidRDefault="00CF6AB9" w:rsidP="00FB20F3">
      <w:pPr>
        <w:pStyle w:val="NNheading3alt2"/>
      </w:pPr>
      <w:r>
        <w:t>National Injury Insurance Scheme (NIIS) offset as not fully operational</w:t>
      </w:r>
    </w:p>
    <w:p w14:paraId="646E61E0" w14:textId="77777777" w:rsidR="00CF6AB9" w:rsidRDefault="00CF6AB9" w:rsidP="00CF6AB9">
      <w:r>
        <w:t xml:space="preserve">The 2017 PC estimates assumed the establishment of a NIIS in each jurisdiction to support people seriously injured in accidents, regardless of the cause. As medical misadventure and general injuries components were not ultimately implemented, costs arising from these injuries would need to be covered by the NDIS for those participants that meet the NDIS eligibility criteria. </w:t>
      </w:r>
    </w:p>
    <w:p w14:paraId="79ADA79D" w14:textId="5A4EB4CE" w:rsidR="00CF6AB9" w:rsidRDefault="00ED2FC8" w:rsidP="00CF6AB9">
      <w:r>
        <w:t>The 2020</w:t>
      </w:r>
      <w:r w:rsidR="00D320CF">
        <w:t>-21 AFSR</w:t>
      </w:r>
      <w:r w:rsidR="00CF6AB9">
        <w:t xml:space="preserve"> estimates that the additional costs arising as a result of the NIIS not being fully implemented are $0.6B and $0.9B in 2024-25 and 2029-30 respectively. These are about half of the total NIIS adjustments used in the 2017 AFSR which are based on observations from the New Zealand Accident Compensation Corporation. Overall, the Scheme Actuary’s projections and the approach adopted are reasonable. </w:t>
      </w:r>
    </w:p>
    <w:p w14:paraId="160418B1" w14:textId="77777777" w:rsidR="00CF6AB9" w:rsidRDefault="00CF6AB9" w:rsidP="00FB20F3">
      <w:pPr>
        <w:pStyle w:val="NNheading3alt2"/>
      </w:pPr>
      <w:r>
        <w:t>Children with developmental delay and school transport</w:t>
      </w:r>
    </w:p>
    <w:p w14:paraId="3633EC15" w14:textId="66861445" w:rsidR="00CF6AB9" w:rsidRPr="00B20107" w:rsidRDefault="00CF6AB9" w:rsidP="00CF6AB9">
      <w:r>
        <w:t xml:space="preserve">The allowance for children with development delay is $0.6B in 2024-25 and $0.8B in 2029-30, while the cost for </w:t>
      </w:r>
      <w:r w:rsidRPr="001B658D">
        <w:t xml:space="preserve">delivering specialist school transport services </w:t>
      </w:r>
      <w:r>
        <w:t>is</w:t>
      </w:r>
      <w:r w:rsidRPr="001B658D">
        <w:t xml:space="preserve"> </w:t>
      </w:r>
      <w:r>
        <w:t xml:space="preserve">projected to be </w:t>
      </w:r>
      <w:r w:rsidRPr="001B658D">
        <w:t xml:space="preserve">$0.4B </w:t>
      </w:r>
      <w:r>
        <w:t xml:space="preserve">in 2024-25 </w:t>
      </w:r>
      <w:r w:rsidRPr="001B658D">
        <w:t>and $0.5B in 2029-30</w:t>
      </w:r>
      <w:r>
        <w:t xml:space="preserve">. Using information provided by the NDIA and from </w:t>
      </w:r>
      <w:r w:rsidRPr="001B658D">
        <w:t xml:space="preserve">the </w:t>
      </w:r>
      <w:r>
        <w:t xml:space="preserve">2011 </w:t>
      </w:r>
      <w:r w:rsidRPr="001B658D">
        <w:t xml:space="preserve">Productivity Commission costing </w:t>
      </w:r>
      <w:r>
        <w:t xml:space="preserve">report, we independently projected payments for these costs and our estimates were very close to </w:t>
      </w:r>
      <w:r w:rsidR="00ED2FC8">
        <w:t>the Scheme</w:t>
      </w:r>
      <w:r>
        <w:t xml:space="preserve"> Actuary’s allowances. </w:t>
      </w:r>
    </w:p>
    <w:p w14:paraId="00F4BACC" w14:textId="77777777" w:rsidR="00CF6AB9" w:rsidRDefault="00CF6AB9" w:rsidP="00FB20F3">
      <w:pPr>
        <w:pStyle w:val="NNheading3alt2"/>
      </w:pPr>
      <w:r>
        <w:t>Personal care in schools</w:t>
      </w:r>
    </w:p>
    <w:p w14:paraId="47AEDD6E" w14:textId="77777777" w:rsidR="00CF6AB9" w:rsidRDefault="00CF6AB9" w:rsidP="00CF6AB9">
      <w:r>
        <w:t>Payments for personal care in schools are expected to be $0.3B in 2024-25 and $0.4B in 2029-30. These estimates are consistent with recent experience and emerging trends.</w:t>
      </w:r>
    </w:p>
    <w:p w14:paraId="1A719D15" w14:textId="77777777" w:rsidR="00CF6AB9" w:rsidRDefault="00CF6AB9" w:rsidP="00FB20F3">
      <w:pPr>
        <w:pStyle w:val="NNheading3alt2"/>
      </w:pPr>
      <w:r>
        <w:t>Disability related health support</w:t>
      </w:r>
    </w:p>
    <w:p w14:paraId="563DB8B9" w14:textId="111BF082" w:rsidR="00A520C9" w:rsidRPr="001733A9" w:rsidRDefault="00CF6AB9" w:rsidP="00A520C9">
      <w:r>
        <w:t>Projected payments for disability</w:t>
      </w:r>
      <w:r w:rsidR="00DD0D8C">
        <w:t>-</w:t>
      </w:r>
      <w:r>
        <w:t xml:space="preserve">related health support are assumed to be approximately 1% of total payments. This is consistent with </w:t>
      </w:r>
      <w:r w:rsidR="00232FFF">
        <w:t>Scheme</w:t>
      </w:r>
      <w:r>
        <w:t xml:space="preserve"> experience over the three years to 30 June </w:t>
      </w:r>
      <w:r w:rsidR="00ED2FC8">
        <w:t>2019.</w:t>
      </w:r>
    </w:p>
    <w:p w14:paraId="18E481D4" w14:textId="39918075" w:rsidR="00A520C9" w:rsidRDefault="00A520C9" w:rsidP="00A520C9">
      <w:pPr>
        <w:pStyle w:val="Heading1"/>
      </w:pPr>
      <w:bookmarkStart w:id="301" w:name="_Toc83997787"/>
      <w:bookmarkStart w:id="302" w:name="_Ref87650907"/>
      <w:bookmarkStart w:id="303" w:name="_Toc87700498"/>
      <w:bookmarkStart w:id="304" w:name="_Ref88176591"/>
      <w:bookmarkStart w:id="305" w:name="_Toc88686150"/>
      <w:r>
        <w:t xml:space="preserve">Consistency across aspects of the </w:t>
      </w:r>
      <w:r w:rsidR="00232FFF">
        <w:t>Scheme</w:t>
      </w:r>
      <w:bookmarkEnd w:id="301"/>
      <w:bookmarkEnd w:id="302"/>
      <w:bookmarkEnd w:id="303"/>
      <w:bookmarkEnd w:id="304"/>
      <w:bookmarkEnd w:id="305"/>
      <w:r>
        <w:t xml:space="preserve"> </w:t>
      </w:r>
      <w:bookmarkEnd w:id="243"/>
      <w:bookmarkEnd w:id="244"/>
    </w:p>
    <w:p w14:paraId="7059D117" w14:textId="697E18E9" w:rsidR="00242A7A" w:rsidRDefault="00242A7A" w:rsidP="00A520C9">
      <w:pPr>
        <w:pStyle w:val="Heading2"/>
      </w:pPr>
      <w:bookmarkStart w:id="306" w:name="_Toc87700499"/>
      <w:bookmarkStart w:id="307" w:name="_Toc88686151"/>
      <w:bookmarkStart w:id="308" w:name="_Toc83997788"/>
      <w:r>
        <w:t>Overall comments on consistency</w:t>
      </w:r>
      <w:bookmarkEnd w:id="306"/>
      <w:bookmarkEnd w:id="307"/>
      <w:r>
        <w:t xml:space="preserve"> </w:t>
      </w:r>
    </w:p>
    <w:p w14:paraId="06DDEC65" w14:textId="77777777" w:rsidR="001F28B3" w:rsidRDefault="001F28B3" w:rsidP="001F28B3">
      <w:r>
        <w:t>The NDIS is characterised by individual-level variability. Much of this is by design; an uncapped suite of tailored supports is supposed to vary to reflect individual circumstances. This contrasts to other government schemes where, subject to eligibility criteria, payments are broadly comparable across participants.</w:t>
      </w:r>
    </w:p>
    <w:p w14:paraId="0AC28848" w14:textId="0FDAC9DD" w:rsidR="001F28B3" w:rsidRDefault="001F28B3" w:rsidP="001F28B3">
      <w:r>
        <w:t xml:space="preserve">The variability in the </w:t>
      </w:r>
      <w:r w:rsidR="00232FFF">
        <w:t>Scheme</w:t>
      </w:r>
      <w:r>
        <w:t xml:space="preserve"> means conclusions based on averages need to be treated with some care. Changes over time might be due to changes </w:t>
      </w:r>
      <w:r w:rsidR="00FA5B9A">
        <w:t xml:space="preserve">in </w:t>
      </w:r>
      <w:r>
        <w:t>participants</w:t>
      </w:r>
      <w:r w:rsidR="00FA5B9A">
        <w:t>’ circumstances</w:t>
      </w:r>
      <w:r>
        <w:t>, or it could be a compositional effect as the mix of participants change.</w:t>
      </w:r>
    </w:p>
    <w:p w14:paraId="63F2DE5D" w14:textId="2A766BAE" w:rsidR="001F28B3" w:rsidRPr="000A589A" w:rsidRDefault="001F28B3" w:rsidP="001F28B3">
      <w:r>
        <w:t xml:space="preserve">A natural question is whether, despite the participant-level variability, there is consistency of decision-making. This can be asked across time (e.g. is it easier to gain access to the NDIS today than two years ago?) and across geography (e.g. do similar people in different areas have substantially different outcomes?). This section explores </w:t>
      </w:r>
      <w:r w:rsidR="00527012">
        <w:t xml:space="preserve">these </w:t>
      </w:r>
      <w:r>
        <w:t xml:space="preserve">aspects of variability. </w:t>
      </w:r>
    </w:p>
    <w:p w14:paraId="115555B8" w14:textId="783DC698" w:rsidR="00A520C9" w:rsidRDefault="00A520C9" w:rsidP="00A520C9">
      <w:pPr>
        <w:pStyle w:val="Heading2"/>
      </w:pPr>
      <w:bookmarkStart w:id="309" w:name="_Toc87700500"/>
      <w:bookmarkStart w:id="310" w:name="_Toc88686152"/>
      <w:r>
        <w:t xml:space="preserve">Variation </w:t>
      </w:r>
      <w:bookmarkEnd w:id="308"/>
      <w:r w:rsidR="001E20F2">
        <w:t>over time</w:t>
      </w:r>
      <w:bookmarkEnd w:id="309"/>
      <w:bookmarkEnd w:id="310"/>
    </w:p>
    <w:p w14:paraId="3893B74C" w14:textId="23CF5C8A" w:rsidR="001E20F2" w:rsidRDefault="001E20F2" w:rsidP="001F28B3">
      <w:r>
        <w:t xml:space="preserve">Assessing consistency over time is hampered by </w:t>
      </w:r>
      <w:r w:rsidR="00FA5B9A">
        <w:t xml:space="preserve">not having an </w:t>
      </w:r>
      <w:r>
        <w:t>establish</w:t>
      </w:r>
      <w:r w:rsidR="00FA5B9A">
        <w:t>ed</w:t>
      </w:r>
      <w:r>
        <w:t xml:space="preserve"> objective baseline for different participants. </w:t>
      </w:r>
      <w:r w:rsidR="00B976C4">
        <w:t>For instance, we cannot easily tell whether the severity ratings for new entrants have remained stable over time; if a cohort entering in 2018 has a similar severity rating as another cohort entering in 2021, but the 2018 cohort has been re-rated to a higher level, we do not have enough information to conclude if there is a difference between the two groups.</w:t>
      </w:r>
    </w:p>
    <w:p w14:paraId="2662DC3F" w14:textId="3C227B5C" w:rsidR="001E20F2" w:rsidRDefault="001E20F2" w:rsidP="001F28B3">
      <w:r>
        <w:t xml:space="preserve">We have already </w:t>
      </w:r>
      <w:r w:rsidR="00FA5B9A">
        <w:t xml:space="preserve">discussed </w:t>
      </w:r>
      <w:r>
        <w:t>in this report:</w:t>
      </w:r>
    </w:p>
    <w:p w14:paraId="5014C2F6" w14:textId="4E2ADAAF" w:rsidR="001E20F2" w:rsidRPr="00B976C4" w:rsidRDefault="001E20F2" w:rsidP="001E20F2">
      <w:pPr>
        <w:pStyle w:val="Bullet1"/>
      </w:pPr>
      <w:r>
        <w:t xml:space="preserve">High rates of transition to higher severity </w:t>
      </w:r>
      <w:r w:rsidRPr="00B976C4">
        <w:t>ratings</w:t>
      </w:r>
      <w:r w:rsidR="00927D59" w:rsidRPr="00B976C4">
        <w:t xml:space="preserve"> (Section </w:t>
      </w:r>
      <w:r w:rsidR="003A45E0">
        <w:fldChar w:fldCharType="begin"/>
      </w:r>
      <w:r w:rsidR="003A45E0">
        <w:instrText xml:space="preserve"> REF _Ref88220410 \r \h </w:instrText>
      </w:r>
      <w:r w:rsidR="003A45E0">
        <w:fldChar w:fldCharType="separate"/>
      </w:r>
      <w:r w:rsidR="00E6217F">
        <w:t>3.2</w:t>
      </w:r>
      <w:r w:rsidR="003A45E0">
        <w:fldChar w:fldCharType="end"/>
      </w:r>
      <w:r w:rsidR="00927D59" w:rsidRPr="00B976C4">
        <w:t>)</w:t>
      </w:r>
      <w:r w:rsidR="000E281E">
        <w:t>. For instance, we see 12% of participants moving to a higher severity band each year, including 30% of people starting in the lowest severity band for autism and intellectual disability (</w:t>
      </w:r>
      <w:r w:rsidR="000E281E">
        <w:fldChar w:fldCharType="begin"/>
      </w:r>
      <w:r w:rsidR="000E281E">
        <w:instrText xml:space="preserve"> REF _Ref83762864 \h </w:instrText>
      </w:r>
      <w:r w:rsidR="000E281E">
        <w:fldChar w:fldCharType="separate"/>
      </w:r>
      <w:r w:rsidR="00E6217F">
        <w:t xml:space="preserve">Figure </w:t>
      </w:r>
      <w:r w:rsidR="00E6217F">
        <w:rPr>
          <w:noProof/>
        </w:rPr>
        <w:t>3</w:t>
      </w:r>
      <w:r w:rsidR="00E6217F">
        <w:t>.</w:t>
      </w:r>
      <w:r w:rsidR="00E6217F">
        <w:rPr>
          <w:noProof/>
        </w:rPr>
        <w:t>5</w:t>
      </w:r>
      <w:r w:rsidR="000E281E">
        <w:fldChar w:fldCharType="end"/>
      </w:r>
      <w:r w:rsidR="000E281E">
        <w:t>).</w:t>
      </w:r>
    </w:p>
    <w:p w14:paraId="04BF439A" w14:textId="7097A412" w:rsidR="001E20F2" w:rsidRPr="00B976C4" w:rsidRDefault="001E20F2" w:rsidP="001E20F2">
      <w:pPr>
        <w:pStyle w:val="Bullet1"/>
      </w:pPr>
      <w:r w:rsidRPr="00B976C4">
        <w:t xml:space="preserve">Substantial increases to Typical Support Packages (TSPs) over time, reflecting both increased severity and </w:t>
      </w:r>
      <w:r w:rsidR="00927D59" w:rsidRPr="00B976C4">
        <w:t xml:space="preserve">increased support needs (such as falling rates of informal support) (Section </w:t>
      </w:r>
      <w:r w:rsidR="00B976C4" w:rsidRPr="00B976C4">
        <w:fldChar w:fldCharType="begin"/>
      </w:r>
      <w:r w:rsidR="00B976C4" w:rsidRPr="00B976C4">
        <w:instrText xml:space="preserve"> REF _Ref87515800 \r \h </w:instrText>
      </w:r>
      <w:r w:rsidR="00B976C4">
        <w:instrText xml:space="preserve"> \* MERGEFORMAT </w:instrText>
      </w:r>
      <w:r w:rsidR="00B976C4" w:rsidRPr="00B976C4">
        <w:fldChar w:fldCharType="separate"/>
      </w:r>
      <w:r w:rsidR="00E6217F">
        <w:t>7.5</w:t>
      </w:r>
      <w:r w:rsidR="00B976C4" w:rsidRPr="00B976C4">
        <w:fldChar w:fldCharType="end"/>
      </w:r>
      <w:r w:rsidR="00927D59" w:rsidRPr="00B976C4">
        <w:t>)</w:t>
      </w:r>
      <w:r w:rsidR="00F3657B">
        <w:t>. TSPs increased 12% in 2018-19 and 10% in 2019-20 for ongoing participants.</w:t>
      </w:r>
    </w:p>
    <w:p w14:paraId="1F79C3D0" w14:textId="787B9AA7" w:rsidR="00821DF2" w:rsidRPr="00B976C4" w:rsidRDefault="00821DF2" w:rsidP="00821DF2">
      <w:pPr>
        <w:pStyle w:val="Bullet1"/>
      </w:pPr>
      <w:r w:rsidRPr="00B976C4">
        <w:t xml:space="preserve">Increases to payments over time, much of it driven by </w:t>
      </w:r>
      <w:r w:rsidR="00527012" w:rsidRPr="00B976C4">
        <w:t>increasing the volume and breadth of supports</w:t>
      </w:r>
      <w:r w:rsidR="00BF419E">
        <w:t xml:space="preserve"> (Section </w:t>
      </w:r>
      <w:r w:rsidR="00BF419E">
        <w:fldChar w:fldCharType="begin"/>
      </w:r>
      <w:r w:rsidR="00BF419E">
        <w:instrText xml:space="preserve"> REF _Ref87543774 \r \h </w:instrText>
      </w:r>
      <w:r w:rsidR="00BF419E">
        <w:fldChar w:fldCharType="separate"/>
      </w:r>
      <w:r w:rsidR="00E6217F">
        <w:t>3.5</w:t>
      </w:r>
      <w:r w:rsidR="00BF419E">
        <w:fldChar w:fldCharType="end"/>
      </w:r>
      <w:r w:rsidR="00BF419E">
        <w:t>)</w:t>
      </w:r>
      <w:r w:rsidR="00527012" w:rsidRPr="00B976C4">
        <w:t xml:space="preserve">. </w:t>
      </w:r>
      <w:r w:rsidR="00F3657B">
        <w:t xml:space="preserve">We estimate that of the </w:t>
      </w:r>
      <w:r w:rsidR="00912B30">
        <w:t>16-percentage</w:t>
      </w:r>
      <w:r w:rsidR="00F3657B">
        <w:t xml:space="preserve"> point increase in costs for ongoing participants in 2020-21, only 2.5 percentage points relate to price effects, with the bulk attributed to supports that were not previously in a participant’s plan.</w:t>
      </w:r>
    </w:p>
    <w:p w14:paraId="334DD72A" w14:textId="20C88593" w:rsidR="00927D59" w:rsidRDefault="005C28E6" w:rsidP="001F28B3">
      <w:r w:rsidRPr="005C28E6">
        <w:t>Increasing volume and breadth of committed supports over time has translated to higher payments and a wider range of support categories being accessed by many participants, even for those whose functional level was unchanged. This may suggest a change in how ‘reasonable and necessary supports’ is being interpreted and how support needs are assessed. Some of this change might be appropriate (e.g. appropriate additional supports that participants were not previously aware of), but we are not in a position to make this assessment using current data</w:t>
      </w:r>
      <w:r w:rsidR="00381C86">
        <w:t xml:space="preserve">. </w:t>
      </w:r>
    </w:p>
    <w:p w14:paraId="46C4284B" w14:textId="046F07D7" w:rsidR="00527012" w:rsidRDefault="00527012" w:rsidP="00527012">
      <w:r>
        <w:t xml:space="preserve">We can also look at access rates to the </w:t>
      </w:r>
      <w:r w:rsidR="00232FFF">
        <w:t>Scheme</w:t>
      </w:r>
      <w:r>
        <w:t xml:space="preserve">. </w:t>
      </w:r>
      <w:r w:rsidR="00F9462A">
        <w:t xml:space="preserve">Access is a combination of the number of applications and </w:t>
      </w:r>
      <w:r w:rsidR="001276AE">
        <w:t xml:space="preserve">the corresponding acceptance rate. </w:t>
      </w:r>
      <w:r w:rsidR="001276AE">
        <w:fldChar w:fldCharType="begin"/>
      </w:r>
      <w:r w:rsidR="001276AE">
        <w:instrText xml:space="preserve"> REF _Ref87435805 \h </w:instrText>
      </w:r>
      <w:r w:rsidR="001276AE">
        <w:fldChar w:fldCharType="separate"/>
      </w:r>
      <w:r w:rsidR="00E6217F">
        <w:t xml:space="preserve">Figure </w:t>
      </w:r>
      <w:r w:rsidR="00E6217F">
        <w:rPr>
          <w:noProof/>
        </w:rPr>
        <w:t>8</w:t>
      </w:r>
      <w:r w:rsidR="00E6217F">
        <w:t>.</w:t>
      </w:r>
      <w:r w:rsidR="00E6217F">
        <w:rPr>
          <w:noProof/>
        </w:rPr>
        <w:t>1</w:t>
      </w:r>
      <w:r w:rsidR="001276AE">
        <w:fldChar w:fldCharType="end"/>
      </w:r>
      <w:r w:rsidR="001276AE">
        <w:t xml:space="preserve"> shows the acceptance rate over time by disability group. Some movement in the curve is natural over time; specifically, we expect the average severity to drop over time (as most ongoing high-severity cases have moved into the </w:t>
      </w:r>
      <w:r w:rsidR="00232FFF">
        <w:t>Scheme</w:t>
      </w:r>
      <w:r w:rsidR="001276AE">
        <w:t xml:space="preserve"> already) which may then lead to a fall in acceptance rates. </w:t>
      </w:r>
      <w:r w:rsidR="00FA5B9A">
        <w:t>T</w:t>
      </w:r>
      <w:r w:rsidR="001276AE">
        <w:t xml:space="preserve">his effect </w:t>
      </w:r>
      <w:r w:rsidR="00FA5B9A">
        <w:t xml:space="preserve">may already be </w:t>
      </w:r>
      <w:r w:rsidR="001276AE">
        <w:t xml:space="preserve">visible in some disability types (e.g. cerebral palsy, intellectual disability). </w:t>
      </w:r>
    </w:p>
    <w:p w14:paraId="3DB23504" w14:textId="6A6343EB" w:rsidR="001276AE" w:rsidRDefault="001276AE" w:rsidP="00527012">
      <w:r>
        <w:t>The acceptance rates for many disability types are very high</w:t>
      </w:r>
      <w:r w:rsidR="00B37F0C">
        <w:t xml:space="preserve"> – above 80% overall</w:t>
      </w:r>
      <w:r w:rsidR="00B37F0C">
        <w:rPr>
          <w:rStyle w:val="FootnoteReference"/>
        </w:rPr>
        <w:footnoteReference w:id="24"/>
      </w:r>
      <w:r>
        <w:t xml:space="preserve">. </w:t>
      </w:r>
      <w:r w:rsidR="00FA5B9A">
        <w:t xml:space="preserve">During 2020 </w:t>
      </w:r>
      <w:r>
        <w:t xml:space="preserve">the acceptance rate for an autism diagnosis was 96%, and developmental delay was 98%. </w:t>
      </w:r>
      <w:r w:rsidR="00527012">
        <w:t>In contrast ‘</w:t>
      </w:r>
      <w:r w:rsidR="00123148">
        <w:t>o</w:t>
      </w:r>
      <w:r w:rsidR="00527012">
        <w:t>ther physical’ and ‘other sensory’ tend to have quite low acceptance rates. The acceptance rate for both autism and developmental delay has increased since 2018</w:t>
      </w:r>
      <w:r w:rsidR="00B37F0C">
        <w:t>, although many of these qualify under automatic eligibility rules</w:t>
      </w:r>
      <w:r w:rsidR="00527012">
        <w:t xml:space="preserve">. While this is not necessarily evidence of drift (caution is needed around potential behavioural patterns in </w:t>
      </w:r>
      <w:r w:rsidR="00123148">
        <w:t xml:space="preserve">deciding to </w:t>
      </w:r>
      <w:r w:rsidR="00527012">
        <w:t xml:space="preserve">apply), it does suggest that if more people choose to </w:t>
      </w:r>
      <w:r w:rsidR="00F23B1D">
        <w:t xml:space="preserve">seek a diagnosis for a mild-severity disability and </w:t>
      </w:r>
      <w:r w:rsidR="00527012">
        <w:t xml:space="preserve">apply for the </w:t>
      </w:r>
      <w:r w:rsidR="00232FFF">
        <w:t>Scheme</w:t>
      </w:r>
      <w:r w:rsidR="00527012">
        <w:t xml:space="preserve">, acceptance rates are sufficiently high that </w:t>
      </w:r>
      <w:r w:rsidR="00F23B1D">
        <w:t xml:space="preserve">this will translate into increased numbers. </w:t>
      </w:r>
    </w:p>
    <w:p w14:paraId="4A1586F7" w14:textId="262A634C" w:rsidR="00E555DB" w:rsidRDefault="00E555DB" w:rsidP="00E555DB">
      <w:pPr>
        <w:pStyle w:val="Caption"/>
      </w:pPr>
      <w:bookmarkStart w:id="311" w:name="_Ref87435805"/>
      <w:r>
        <w:t xml:space="preserve">Figure </w:t>
      </w:r>
      <w:r w:rsidR="009366CE">
        <w:fldChar w:fldCharType="begin"/>
      </w:r>
      <w:r w:rsidR="009366CE">
        <w:instrText xml:space="preserve"> STYLEREF 1 \s </w:instrText>
      </w:r>
      <w:r w:rsidR="009366CE">
        <w:fldChar w:fldCharType="separate"/>
      </w:r>
      <w:r w:rsidR="00E6217F">
        <w:rPr>
          <w:noProof/>
        </w:rPr>
        <w:t>8</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1</w:t>
      </w:r>
      <w:r w:rsidR="009366CE">
        <w:fldChar w:fldCharType="end"/>
      </w:r>
      <w:bookmarkEnd w:id="311"/>
      <w:r>
        <w:t xml:space="preserve"> – Application acceptance rate over time by disability group. Acceptance rate for calendar </w:t>
      </w:r>
      <w:r w:rsidR="008100FC">
        <w:t xml:space="preserve">year </w:t>
      </w:r>
      <w:r>
        <w:t>2020 shown on each chart</w:t>
      </w:r>
    </w:p>
    <w:p w14:paraId="371E18E6" w14:textId="1A0D7BEA" w:rsidR="00E555DB" w:rsidRPr="001F28B3" w:rsidRDefault="00920684" w:rsidP="001F28B3">
      <w:r w:rsidRPr="00920684">
        <w:rPr>
          <w:noProof/>
        </w:rPr>
        <w:drawing>
          <wp:inline distT="0" distB="0" distL="0" distR="0" wp14:anchorId="4DE58C7E" wp14:editId="4820C923">
            <wp:extent cx="5976620" cy="5891530"/>
            <wp:effectExtent l="0" t="0" r="0" b="0"/>
            <wp:docPr id="85" name="Picture 85" descr="ABI&#10;&#10;June 2017. Acceptance Rate. 95%.&#10;September 2017. 95%.&#10;December 2017. 91%.&#10;March 2018. 89%.&#10;June 2018. 90%.&#10;September 2018. 91%.&#10;December 2018. 89%.&#10;March 2019. 92%.&#10;June 2019. 89%.&#10;September 2019. 88%.&#10;December 2019. 89%.&#10;March 2020. 91%.&#10;June 2020. 92%.&#10;September 2020. 88%.&#10;December 2020. 86%.&#10;March 2021. 82%.&#10;June 2021. 40%.&#10;&#10;Autism&#10;June 2017. Acceptance Rate. 98%.&#10;September 2017. 97%.&#10;December 2017. 93%.&#10;March 2018. 92%.&#10;June 2018. 93%.&#10;September 2018. 94%.&#10;December 2018. 95%.&#10;March 2019. 96%.&#10;June 2019. 96%.&#10;September 2019. 96%.&#10;December 2019. 96%.&#10;March 2020. 96%.&#10;June 2020. 97%.&#10;September 2020. 96%.&#10;December 2020. 96%.&#10;March 2021. 94%.&#10;June 2021. 53%.&#10;&#10;Cerebral Palsy&#10;June 2017. Acceptance Rate. 98%.&#10;September 2017. 98%.&#10;December 2017. 96%.&#10;March 2018. 96%.&#10;June 2018. 97%.&#10;September 2018. 95%.&#10;December 2018. 96%.&#10;March 2019. 95%.&#10;June 2019. 94%.&#10;September 2019. 91%.&#10;December 2019. 87%.&#10;March 2020. 91%.&#10;June 2020. 93%.&#10;September 2020. 87%.&#10;December 2020. 89%.&#10;March 2021. 82%.&#10;June 2021. 38%.&#10;&#10;Developmental delay&#10;June 2017. Acceptance Rate. 85%.&#10;September 2017. 87%.&#10;December 2017. 87%.&#10;March 2018. 88%.&#10;June 2018. 93%.&#10;September 2018. 94%.&#10;December 2018. 95%.&#10;March 2019. 95%.&#10;June 2019. 96%.&#10;September 2019. 97%.&#10;December 2019. 97%.&#10;March 2020. 97%.&#10;June 2020. 98%.&#10;September 2020. 98%.&#10;December 2020. 97%.&#10;March 2021. 93%.&#10;June 2021. 51%.&#10;&#10;Down Syndrome&#10;June 2017. Acceptance Rate. 99%.&#10;September 2017. 100%.&#10;December 2017. 99%.&#10;March 2018. 100%.&#10;June 2018. 99%.&#10;September 2018. 99%.&#10;December 2018. 99%.&#10;March 2019. 97%.&#10;June 2019. 99%.&#10;September 2019. 98%.&#10;December 2019. 96%.&#10;March 2020. 98%.&#10;June 2020. 95%.&#10;September 2020. 97%.&#10;December 2020. 94%.&#10;March 2021. 93%.&#10;June 2021. 56%.&#10;&#10;&#10;Hearing impairment&#10;&#10;June 2017. Acceptance Rate. 83%.&#10;September 2017. 73%.&#10;December 2017. 76%.&#10;March 2018. 80%.&#10;June 2018. 82%.&#10;September 2018. 89%.&#10;December 2018. 90%.&#10;March 2019. 89%.&#10;June 2019. 90%.&#10;September 2019. 89%.&#10;December 2019. 88%.&#10;March 2020. 89%.&#10;June 2020. 88%.&#10;September 2020. 84%.&#10;December 2020. 83%.&#10;March 2021. 82%.&#10;June 2021. 50%.&#10;&#10;&#10;Intellectual&#10;June 2017. Acceptance Rate. 97%.&#10;September 2017. 97%.&#10;December 2017. 95%.&#10;March 2018. 92%.&#10;June 2018. 92%.&#10;September 2018. 93%.&#10;December 2018. 94%.&#10;March 2019. 92%.&#10;June 2019. 89%.&#10;September 2019. 88%.&#10;December 2019. 88%.&#10;March 2020. 89%.&#10;June 2020. 90%.&#10;September 2020. 88%.&#10;December 2020. 88%.&#10;March 2021. 82%.&#10;June 2021. 46%.&#10;&#10;Multiple Sclerosis&#10;&#10;June 2017. Acceptance Rate. 93%.&#10;September 2017. 94%.&#10;December 2017. 93%.&#10;March 2018. 88%.&#10;June 2018. 89%.&#10;September 2018. 90%.&#10;December 2018. 86%.&#10;March 2019. 82%.&#10;June 2019. 82%.&#10;September 2019. 81%.&#10;December 2019. 79%.&#10;March 2020. 79%.&#10;June 2020. 81%.&#10;September 2020. 79%.&#10;December 2020. 85%.&#10;March 2021. 72%.&#10;June 2021. 46%.&#10;&#10;Other&#10;&#10;June 2017. Acceptance Rate. 45%.&#10;September 2017. 33%.&#10;December 2017. 38%.&#10;March 2018. 36%.&#10;June 2018. 35%.&#10;September 2018. 44%.&#10;December 2018. 44%.&#10;March 2019. 34%.&#10;June 2019. 36%.&#10;September 2019. 35%.&#10;December 2019. 47%.&#10;March 2020. 50%.&#10;June 2020. 54%.&#10;September 2020. 42%.&#10;December 2020. 38%.&#10;March 2021. 30%.&#10;June 2021. 16%.&#10;&#10;Other Neurological&#10;June 2017. Acceptance Rate. 83%.&#10;September 2017. 85%.&#10;December 2017. 83%.&#10;March 2018. 73%.&#10;June 2018. 73%.&#10;September 2018. 80%.&#10;December 2018. 79%.&#10;March 2019. 77%.&#10;June 2019. 73%.&#10;September 2019. 68%.&#10;December 2019. 71%.&#10;March 2020. 73%.&#10;June 2020. 70%.&#10;September 2020. 73%.&#10;December 2020. 75%.&#10;March 2021. 69%.&#10;June 2021. 39%.&#10;&#10;Other Physical&#10;June 2017. Acceptance Rate. 55%.&#10;September 2017. 50%.&#10;December 2017. 47%.&#10;March 2018. 39%.&#10;June 2018. 43%.&#10;September 2018. 49%.&#10;December 2018. 47%.&#10;March 2019. 43%.&#10;June 2019. 40%.&#10;September 2019. 39%.&#10;December 2019. 44%.&#10;March 2020. 47%.&#10;June 2020. 47%.&#10;September 2020. 39%.&#10;December 2020. 36%.&#10;March 2021. 27%.&#10;June 2021. 13%.&#10;Other Sensory/Speech&#10;June 2017. Acceptance Rate. 57%.&#10;September 2017. 40%.&#10;December 2017. 50%.&#10;March 2018. 38%.&#10;June 2018. 30%.&#10;September 2018. 47%.&#10;December 2018. 43%.&#10;March 2019. 37%.&#10;June 2019. 32%.&#10;September 2019. 32%.&#10;December 2019. 26%.&#10;March 2020. 27%.&#10;June 2020. 27%.&#10;September 2020. 28%.&#10;December 2020. 27%.&#10;March 2021. 12%.&#10;June 2021. 5%.&#10;&#10;Psychosocial&#10;&#10;June 2017. Acceptance Rate. 84%.&#10;September 2017. 84%.&#10;December 2017. 73%.&#10;March 2018. 62%.&#10;June 2018. 65%.&#10;September 2018. 69%.&#10;December 2018. 68%.&#10;March 2019. 74%.&#10;June 2019. 71%.&#10;September 2019. 65%.&#10;December 2019. 71%.&#10;March 2020. 73%.&#10;June 2020. 77%.&#10;September 2020. 73%.&#10;December 2020. 71%.&#10;March 2021. 60%.&#10;June 2021. 29%.&#10;&#10;Spinal Cord Injury&#10;June 2017. Acceptance Rate. 94%.&#10;September 2017. 96%.&#10;December 2017. 92%.&#10;March 2018. 95%.&#10;June 2018. 94%.&#10;September 2018. 94%.&#10;December 2018. 96%.&#10;March 2019. 92%.&#10;June 2019. 91%.&#10;September 2019. 89%.&#10;December 2019. 94%.&#10;March 2020. 90%.&#10;June 2020. 92%.&#10;September 2020. 90%.&#10;December 2020. 91%.&#10;March 2021. 85%.&#10;June 2021. 37%.&#10;&#10;Stroke&#10;&#10;June 2017. Acceptance Rate. 91%.&#10;September 2017. 84%.&#10;December 2017. 89%.&#10;March 2018. 80%.&#10;June 2018. 81%.&#10;September 2018. 82%.&#10;December 2018. 83%.&#10;March 2019. 87%.&#10;June 2019. 81%.&#10;September 2019. 78%.&#10;December 2019. 84%.&#10;March 2020. 80%.&#10;June 2020. 88%.&#10;September 2020. 79%.&#10;December 2020. 81%.&#10;March 2021. 75%.&#10;June 2021. 42%.&#10;&#10;Visual Impairment&#10;June 2017. Acceptance Rate. 92%.&#10;September 2017. 91%.&#10;December 2017. 90%.&#10;March 2018. 86%.&#10;June 2018. 86%.&#10;September 2018. 91%.&#10;December 2018. 91%.&#10;March 2019. 89%.&#10;June 2019. 86%.&#10;September 2019. 84%.&#10;December 2019. 78%.&#10;March 2020. 86%.&#10;June 2020. 77%.&#10;September 2020. 76%.&#10;December 2020. 76%.&#10;March 2021. 67%.&#10;June 2021.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BI&#10;&#10;June 2017. Acceptance Rate. 95%.&#10;September 2017. 95%.&#10;December 2017. 91%.&#10;March 2018. 89%.&#10;June 2018. 90%.&#10;September 2018. 91%.&#10;December 2018. 89%.&#10;March 2019. 92%.&#10;June 2019. 89%.&#10;September 2019. 88%.&#10;December 2019. 89%.&#10;March 2020. 91%.&#10;June 2020. 92%.&#10;September 2020. 88%.&#10;December 2020. 86%.&#10;March 2021. 82%.&#10;June 2021. 40%.&#10;&#10;Autism&#10;June 2017. Acceptance Rate. 98%.&#10;September 2017. 97%.&#10;December 2017. 93%.&#10;March 2018. 92%.&#10;June 2018. 93%.&#10;September 2018. 94%.&#10;December 2018. 95%.&#10;March 2019. 96%.&#10;June 2019. 96%.&#10;September 2019. 96%.&#10;December 2019. 96%.&#10;March 2020. 96%.&#10;June 2020. 97%.&#10;September 2020. 96%.&#10;December 2020. 96%.&#10;March 2021. 94%.&#10;June 2021. 53%.&#10;&#10;Cerebral Palsy&#10;June 2017. Acceptance Rate. 98%.&#10;September 2017. 98%.&#10;December 2017. 96%.&#10;March 2018. 96%.&#10;June 2018. 97%.&#10;September 2018. 95%.&#10;December 2018. 96%.&#10;March 2019. 95%.&#10;June 2019. 94%.&#10;September 2019. 91%.&#10;December 2019. 87%.&#10;March 2020. 91%.&#10;June 2020. 93%.&#10;September 2020. 87%.&#10;December 2020. 89%.&#10;March 2021. 82%.&#10;June 2021. 38%.&#10;&#10;Developmental delay&#10;June 2017. Acceptance Rate. 85%.&#10;September 2017. 87%.&#10;December 2017. 87%.&#10;March 2018. 88%.&#10;June 2018. 93%.&#10;September 2018. 94%.&#10;December 2018. 95%.&#10;March 2019. 95%.&#10;June 2019. 96%.&#10;September 2019. 97%.&#10;December 2019. 97%.&#10;March 2020. 97%.&#10;June 2020. 98%.&#10;September 2020. 98%.&#10;December 2020. 97%.&#10;March 2021. 93%.&#10;June 2021. 51%.&#10;&#10;Down Syndrome&#10;June 2017. Acceptance Rate. 99%.&#10;September 2017. 100%.&#10;December 2017. 99%.&#10;March 2018. 100%.&#10;June 2018. 99%.&#10;September 2018. 99%.&#10;December 2018. 99%.&#10;March 2019. 97%.&#10;June 2019. 99%.&#10;September 2019. 98%.&#10;December 2019. 96%.&#10;March 2020. 98%.&#10;June 2020. 95%.&#10;September 2020. 97%.&#10;December 2020. 94%.&#10;March 2021. 93%.&#10;June 2021. 56%.&#10;&#10;&#10;Hearing impairment&#10;&#10;June 2017. Acceptance Rate. 83%.&#10;September 2017. 73%.&#10;December 2017. 76%.&#10;March 2018. 80%.&#10;June 2018. 82%.&#10;September 2018. 89%.&#10;December 2018. 90%.&#10;March 2019. 89%.&#10;June 2019. 90%.&#10;September 2019. 89%.&#10;December 2019. 88%.&#10;March 2020. 89%.&#10;June 2020. 88%.&#10;September 2020. 84%.&#10;December 2020. 83%.&#10;March 2021. 82%.&#10;June 2021. 50%.&#10;&#10;&#10;Intellectual&#10;June 2017. Acceptance Rate. 97%.&#10;September 2017. 97%.&#10;December 2017. 95%.&#10;March 2018. 92%.&#10;June 2018. 92%.&#10;September 2018. 93%.&#10;December 2018. 94%.&#10;March 2019. 92%.&#10;June 2019. 89%.&#10;September 2019. 88%.&#10;December 2019. 88%.&#10;March 2020. 89%.&#10;June 2020. 90%.&#10;September 2020. 88%.&#10;December 2020. 88%.&#10;March 2021. 82%.&#10;June 2021. 46%.&#10;&#10;Multiple Sclerosis&#10;&#10;June 2017. Acceptance Rate. 93%.&#10;September 2017. 94%.&#10;December 2017. 93%.&#10;March 2018. 88%.&#10;June 2018. 89%.&#10;September 2018. 90%.&#10;December 2018. 86%.&#10;March 2019. 82%.&#10;June 2019. 82%.&#10;September 2019. 81%.&#10;December 2019. 79%.&#10;March 2020. 79%.&#10;June 2020. 81%.&#10;September 2020. 79%.&#10;December 2020. 85%.&#10;March 2021. 72%.&#10;June 2021. 46%.&#10;&#10;Other&#10;&#10;June 2017. Acceptance Rate. 45%.&#10;September 2017. 33%.&#10;December 2017. 38%.&#10;March 2018. 36%.&#10;June 2018. 35%.&#10;September 2018. 44%.&#10;December 2018. 44%.&#10;March 2019. 34%.&#10;June 2019. 36%.&#10;September 2019. 35%.&#10;December 2019. 47%.&#10;March 2020. 50%.&#10;June 2020. 54%.&#10;September 2020. 42%.&#10;December 2020. 38%.&#10;March 2021. 30%.&#10;June 2021. 16%.&#10;&#10;Other Neurological&#10;June 2017. Acceptance Rate. 83%.&#10;September 2017. 85%.&#10;December 2017. 83%.&#10;March 2018. 73%.&#10;June 2018. 73%.&#10;September 2018. 80%.&#10;December 2018. 79%.&#10;March 2019. 77%.&#10;June 2019. 73%.&#10;September 2019. 68%.&#10;December 2019. 71%.&#10;March 2020. 73%.&#10;June 2020. 70%.&#10;September 2020. 73%.&#10;December 2020. 75%.&#10;March 2021. 69%.&#10;June 2021. 39%.&#10;&#10;Other Physical&#10;June 2017. Acceptance Rate. 55%.&#10;September 2017. 50%.&#10;December 2017. 47%.&#10;March 2018. 39%.&#10;June 2018. 43%.&#10;September 2018. 49%.&#10;December 2018. 47%.&#10;March 2019. 43%.&#10;June 2019. 40%.&#10;September 2019. 39%.&#10;December 2019. 44%.&#10;March 2020. 47%.&#10;June 2020. 47%.&#10;September 2020. 39%.&#10;December 2020. 36%.&#10;March 2021. 27%.&#10;June 2021. 13%.&#10;Other Sensory/Speech&#10;June 2017. Acceptance Rate. 57%.&#10;September 2017. 40%.&#10;December 2017. 50%.&#10;March 2018. 38%.&#10;June 2018. 30%.&#10;September 2018. 47%.&#10;December 2018. 43%.&#10;March 2019. 37%.&#10;June 2019. 32%.&#10;September 2019. 32%.&#10;December 2019. 26%.&#10;March 2020. 27%.&#10;June 2020. 27%.&#10;September 2020. 28%.&#10;December 2020. 27%.&#10;March 2021. 12%.&#10;June 2021. 5%.&#10;&#10;Psychosocial&#10;&#10;June 2017. Acceptance Rate. 84%.&#10;September 2017. 84%.&#10;December 2017. 73%.&#10;March 2018. 62%.&#10;June 2018. 65%.&#10;September 2018. 69%.&#10;December 2018. 68%.&#10;March 2019. 74%.&#10;June 2019. 71%.&#10;September 2019. 65%.&#10;December 2019. 71%.&#10;March 2020. 73%.&#10;June 2020. 77%.&#10;September 2020. 73%.&#10;December 2020. 71%.&#10;March 2021. 60%.&#10;June 2021. 29%.&#10;&#10;Spinal Cord Injury&#10;June 2017. Acceptance Rate. 94%.&#10;September 2017. 96%.&#10;December 2017. 92%.&#10;March 2018. 95%.&#10;June 2018. 94%.&#10;September 2018. 94%.&#10;December 2018. 96%.&#10;March 2019. 92%.&#10;June 2019. 91%.&#10;September 2019. 89%.&#10;December 2019. 94%.&#10;March 2020. 90%.&#10;June 2020. 92%.&#10;September 2020. 90%.&#10;December 2020. 91%.&#10;March 2021. 85%.&#10;June 2021. 37%.&#10;&#10;Stroke&#10;&#10;June 2017. Acceptance Rate. 91%.&#10;September 2017. 84%.&#10;December 2017. 89%.&#10;March 2018. 80%.&#10;June 2018. 81%.&#10;September 2018. 82%.&#10;December 2018. 83%.&#10;March 2019. 87%.&#10;June 2019. 81%.&#10;September 2019. 78%.&#10;December 2019. 84%.&#10;March 2020. 80%.&#10;June 2020. 88%.&#10;September 2020. 79%.&#10;December 2020. 81%.&#10;March 2021. 75%.&#10;June 2021. 42%.&#10;&#10;Visual Impairment&#10;June 2017. Acceptance Rate. 92%.&#10;September 2017. 91%.&#10;December 2017. 90%.&#10;March 2018. 86%.&#10;June 2018. 86%.&#10;September 2018. 91%.&#10;December 2018. 91%.&#10;March 2019. 89%.&#10;June 2019. 86%.&#10;September 2019. 84%.&#10;December 2019. 78%.&#10;March 2020. 86%.&#10;June 2020. 77%.&#10;September 2020. 76%.&#10;December 2020. 76%.&#10;March 2021. 67%.&#10;June 2021. 39%."/>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976620" cy="5891530"/>
                    </a:xfrm>
                    <a:prstGeom prst="rect">
                      <a:avLst/>
                    </a:prstGeom>
                    <a:noFill/>
                    <a:ln>
                      <a:noFill/>
                    </a:ln>
                  </pic:spPr>
                </pic:pic>
              </a:graphicData>
            </a:graphic>
          </wp:inline>
        </w:drawing>
      </w:r>
    </w:p>
    <w:p w14:paraId="7BC7F079" w14:textId="77777777" w:rsidR="00A520C9" w:rsidRDefault="00A520C9" w:rsidP="00A520C9">
      <w:pPr>
        <w:pStyle w:val="Heading2"/>
      </w:pPr>
      <w:bookmarkStart w:id="312" w:name="_Toc83997789"/>
      <w:bookmarkStart w:id="313" w:name="_Toc87700501"/>
      <w:bookmarkStart w:id="314" w:name="_Toc88686153"/>
      <w:r>
        <w:t>Variation in cost across geographical regions</w:t>
      </w:r>
      <w:bookmarkEnd w:id="312"/>
      <w:bookmarkEnd w:id="313"/>
      <w:bookmarkEnd w:id="314"/>
    </w:p>
    <w:p w14:paraId="7D4A5EE4" w14:textId="1C0539BA" w:rsidR="006D681A" w:rsidRDefault="004E6038" w:rsidP="00A520C9">
      <w:r>
        <w:t>We have looked at various geographic splits and found that much of the variation is explained by socioeconomic status and remoteness. For this section we have looked at Statistical Area 4 (SA4) regions</w:t>
      </w:r>
      <w:r w:rsidR="007778B3">
        <w:t>:</w:t>
      </w:r>
      <w:r>
        <w:t xml:space="preserve"> these divide Australian into about 90 regions, each with about 100,000 to 500,000 people. We also separate capital cities from other regional areas, although we note that further results could be reported for very remote regions.</w:t>
      </w:r>
      <w:r w:rsidR="00FF1A73">
        <w:t xml:space="preserve"> </w:t>
      </w:r>
      <w:r w:rsidR="006D681A">
        <w:t xml:space="preserve">We have used the ABS’s Socio-Economic Indexes for Areas (SEIFA) index of relative advantage and disadvantage for comparing regional socioeconomic effects. </w:t>
      </w:r>
    </w:p>
    <w:p w14:paraId="7451975A" w14:textId="093FAF3B" w:rsidR="00CC7AC1" w:rsidRDefault="00CC7AC1" w:rsidP="00CC7AC1">
      <w:pPr>
        <w:pStyle w:val="Caption"/>
      </w:pPr>
      <w:bookmarkStart w:id="315" w:name="_Ref87428825"/>
      <w:r>
        <w:t xml:space="preserve">Figure </w:t>
      </w:r>
      <w:r w:rsidR="009366CE">
        <w:fldChar w:fldCharType="begin"/>
      </w:r>
      <w:r w:rsidR="009366CE">
        <w:instrText xml:space="preserve"> STYLEREF 1 \s </w:instrText>
      </w:r>
      <w:r w:rsidR="009366CE">
        <w:fldChar w:fldCharType="separate"/>
      </w:r>
      <w:r w:rsidR="00E6217F">
        <w:rPr>
          <w:noProof/>
        </w:rPr>
        <w:t>8</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2</w:t>
      </w:r>
      <w:r w:rsidR="009366CE">
        <w:fldChar w:fldCharType="end"/>
      </w:r>
      <w:bookmarkEnd w:id="315"/>
      <w:r>
        <w:t xml:space="preserve"> – </w:t>
      </w:r>
      <w:r w:rsidR="00AA6148">
        <w:t xml:space="preserve">Application rate (as a percentage of population) and </w:t>
      </w:r>
      <w:r w:rsidR="00232FFF">
        <w:t>Scheme</w:t>
      </w:r>
      <w:r w:rsidR="00AA6148">
        <w:t xml:space="preserve"> acceptance rate, by SEIFA and location type</w:t>
      </w:r>
    </w:p>
    <w:p w14:paraId="6514C323" w14:textId="72B5D73F" w:rsidR="004E6038" w:rsidRDefault="004E6038" w:rsidP="00A520C9">
      <w:r w:rsidRPr="004E6038">
        <w:rPr>
          <w:noProof/>
        </w:rPr>
        <w:drawing>
          <wp:inline distT="0" distB="0" distL="0" distR="0" wp14:anchorId="37D338A4" wp14:editId="678686EB">
            <wp:extent cx="5625781" cy="2417197"/>
            <wp:effectExtent l="0" t="0" r="0" b="2540"/>
            <wp:docPr id="22" name="Picture 22" descr="Application rate&#10;&#10;SEIFA. 985.8721. Capital cities. 3.4%. Other. -.&#10;975.2479. -. 3.90%.&#10;951.0714. -. 3.70%.&#10;936.5421. -. 3.90%.&#10;924.3353. -. 4.60%.&#10;949.7504. -. 4.40%.&#10;987.3039. -. 3.40%.&#10;921.505. - 4.40%.&#10;951.663. -. 3.90%.&#10;940.3023. -.  3.70%.&#10;984.8085. -.  4.40%.&#10;956.6805. -.  3.70%.&#10;954.1671. -.  3.60%.&#10;968.6823. -.  3.90%.&#10;1118.856. 1.8%. -. &#10;993.4372. 3.1%. -. &#10;1083.0645. 1.6%. -. &#10;1121.913. 1.4%. -. &#10;992.9947. 2.3%. -. &#10;1089.7926. 1.6%. -. &#10;1145.4035. 1.4%. -. &#10;1119.9651. 1.6%. -. &#10;985.7162. 3.6%. -. &#10;1000.2734. 3.7%. -. &#10;997.5309. 2.6%. -. &#10;1103.5684. 1.8%. -. &#10;943.8789. 3.0%. -. &#10;1087.5104. 2.1%. -. &#10;960.658. -.  4.10%.&#10;969.0624. -.  4.50%.&#10;991.8083. -.  4.30%.&#10;962.7809. -.  3.80%.&#10;944.7907. -.  4.10%.&#10;1080.2882. 1.9%. -. &#10;1094.5219. 1.9%. -. &#10;1092.3109. 2.0%. -. &#10;1015.4052. 3.0%. -. &#10;977.6821. 3.5%. -. &#10;1035.0218. 3.0%. -. &#10;992.6491. 2.7%. -. &#10;982.0746. 3.3%. -. &#10;998.0439. -.  3.60%.&#10;932.6525. -.  4.30%.&#10;937.0528. -.  4.20%.&#10;957.149. -.  3.90%.&#10;1024.4246. 2.8%. -. &#10;1035.12. 2.5%. -. &#10;1049.9441. 2.2%. -. &#10;1100.5978. 2.0%. -. &#10;1103.1244. 1.8%. -. &#10;953.1298. -.  2.80%.&#10;941.9798. -.  3.50%.&#10;956.8768. -.  3.90%.&#10;1009.8556. -.  2.40%.&#10;944.1005. -.  3.80%.&#10;944.9121. -.  3.30%.&#10;964.8872. -.  3.20%.&#10;938.5281. -.  3.90%.&#10;1032.2781. -.  2.70%.&#10;907.5272. -.  2.60%.&#10;999.0836. -.  2.70%.&#10;976.3137. -.  4.10%.&#10;965.1116. -.  3.90%.&#10;901.4139. -.  4.80%.&#10;1053.0955. 2.5%. -. &#10;929.6058. 4.6%. -. &#10;996.0342. 3.7%. -. &#10;970.3114. 3.5%. -. &#10;935.5115. -.  3.60%.&#10;911.5573. -.  3.70%.&#10;926.024. -.  3.50%.&#10;972.8824. -.  2.70%.&#10;956.3858. -.  2.70%.&#10;1118.8118. -.  1.50%.&#10;1008.7096. 2.9%. -. &#10;1039.4718. 2.0%. -. &#10;1012.5152. 2.2%. -. &#10;1027.8339. 2.3%. -. &#10;964.6287. -.  2.40%.&#10;962.6232. -.  2.00%.&#10;957.2625. -.  2.20%.&#10;968.3581. 3.0%. -. &#10;930.7652. -.  3.40%.&#10;930.3256. -.  2.50%.&#10;907.6198. -.  3.70%.&#10;1049.2528. 3.1%. -. &#10;849.2682. -.  3.30%.&#10;1090.0431. 3.3%. -. &#10;&#10;&#10;Scheme acceptance rate&#10;&#10;SEIFA. 985.8721. Capital cities. 60%. Other. -.&#10;975.2479. -. 63%.&#10;951.0714 -. 59%.&#10;936.5421. -. 61%.&#10;924.3353. -. 51%.&#10;949.7504. -. 66%.&#10;987.3039. -. 59%.&#10;921.505. -. 62%.&#10;951.663. -. 61%.&#10;940.3023. -. 60%.&#10;984.8085. -. 68%.&#10;956.6805. -. 63%.&#10;954.1671. -. 60%.&#10;968.6823. -. 56%.&#10;1118.856. 70%. -.&#10;993.4372. 64%. -.&#10;1083.065. 59%. -.&#10;1121.913. 64%. -.&#10;992.9947. 62%. -.&#10;1089.793. 66%. -.&#10;1145.404. 69%. -.&#10;1119.965. 69%. -.&#10;985.7162. 64%. -.&#10;1000.273. 65%. -.&#10;997.5309. 62%. -.&#10;1103.568. 71%. -.&#10;943.8789. 62%. -.&#10;1087.51. 66%. -.&#10;960.658. -. 63%.&#10;969.0624. -. 65%.&#10;991.8083. -. 69%.&#10;962.7809. -. 63%.&#10;944.7907. -. 60%.&#10;1080.288. 57%. -.&#10;1094.522. 68%. -.&#10;1092.311. 65%. -.&#10;1015.405. 63%. -.&#10;977.6821. 59%. -.&#10;1035.022. 68%. -.&#10;992.6491. 61%. -.&#10;982.0746. 59%. -.&#10;998.0439. -. 62%.&#10;932.6525. -. 57%.&#10;937.0528. -. 60%.&#10;957.149. -. 66%.&#10;1024.425. 64%. -.&#10;1035.12. 62%. -.&#10;1049.944. 62%. -.&#10;1100.598. 67%. -.&#10;1103.124. 59%. -.&#10;953.1298. -. 59%.&#10;941.9798. -. 56%.&#10;956.8768. -. 59%.&#10;1009.856. -. 62%.&#10;944.1005. -. 60%.&#10;944.9121. -. 58%.&#10;964.8872. -. 59%.&#10;938.5281. -. 60%.&#10;1032.278. -. 63%.&#10;907.5272. -. 50%.&#10;999.0836. -. 62%.&#10;976.3137. -. 63%.&#10;965.1116. -. 61%.&#10;901.4139. -. 57%.&#10;1053.096. 68%. -.&#10;929.6058. 67%. -.&#10;996.0342. 68%. -.&#10;970.3114. 65%. -.&#10;935.5115. -. 63%.&#10;911.5573. -. 59%.&#10;926.024. -. 64%.&#10;972.8824. -. 69%.&#10;956.3858. -. 63%.&#10;1118.812. -. 69%.&#10;1008.71. 70%. -.&#10;1039.472. 68%. -.&#10;1012.515. 69%. -.&#10;1027.834. 69%. -.&#10;964.6287. -. 61%.&#10;962.6232. -. 64%.&#10;957.2625. -. 59%.&#10;968.3581. 65%. -.&#10;930.7652. -. 63%.&#10;930.3256. -. 55%.&#10;907.6198. -. 62%.&#10;1049.253. 55%. -.&#10;849.2682. -. 55%.&#10;1090.043. 6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pplication rate&#10;&#10;SEIFA. 985.8721. Capital cities. 3.4%. Other. -.&#10;975.2479. -. 3.90%.&#10;951.0714. -. 3.70%.&#10;936.5421. -. 3.90%.&#10;924.3353. -. 4.60%.&#10;949.7504. -. 4.40%.&#10;987.3039. -. 3.40%.&#10;921.505. - 4.40%.&#10;951.663. -. 3.90%.&#10;940.3023. -.  3.70%.&#10;984.8085. -.  4.40%.&#10;956.6805. -.  3.70%.&#10;954.1671. -.  3.60%.&#10;968.6823. -.  3.90%.&#10;1118.856. 1.8%. -. &#10;993.4372. 3.1%. -. &#10;1083.0645. 1.6%. -. &#10;1121.913. 1.4%. -. &#10;992.9947. 2.3%. -. &#10;1089.7926. 1.6%. -. &#10;1145.4035. 1.4%. -. &#10;1119.9651. 1.6%. -. &#10;985.7162. 3.6%. -. &#10;1000.2734. 3.7%. -. &#10;997.5309. 2.6%. -. &#10;1103.5684. 1.8%. -. &#10;943.8789. 3.0%. -. &#10;1087.5104. 2.1%. -. &#10;960.658. -.  4.10%.&#10;969.0624. -.  4.50%.&#10;991.8083. -.  4.30%.&#10;962.7809. -.  3.80%.&#10;944.7907. -.  4.10%.&#10;1080.2882. 1.9%. -. &#10;1094.5219. 1.9%. -. &#10;1092.3109. 2.0%. -. &#10;1015.4052. 3.0%. -. &#10;977.6821. 3.5%. -. &#10;1035.0218. 3.0%. -. &#10;992.6491. 2.7%. -. &#10;982.0746. 3.3%. -. &#10;998.0439. -.  3.60%.&#10;932.6525. -.  4.30%.&#10;937.0528. -.  4.20%.&#10;957.149. -.  3.90%.&#10;1024.4246. 2.8%. -. &#10;1035.12. 2.5%. -. &#10;1049.9441. 2.2%. -. &#10;1100.5978. 2.0%. -. &#10;1103.1244. 1.8%. -. &#10;953.1298. -.  2.80%.&#10;941.9798. -.  3.50%.&#10;956.8768. -.  3.90%.&#10;1009.8556. -.  2.40%.&#10;944.1005. -.  3.80%.&#10;944.9121. -.  3.30%.&#10;964.8872. -.  3.20%.&#10;938.5281. -.  3.90%.&#10;1032.2781. -.  2.70%.&#10;907.5272. -.  2.60%.&#10;999.0836. -.  2.70%.&#10;976.3137. -.  4.10%.&#10;965.1116. -.  3.90%.&#10;901.4139. -.  4.80%.&#10;1053.0955. 2.5%. -. &#10;929.6058. 4.6%. -. &#10;996.0342. 3.7%. -. &#10;970.3114. 3.5%. -. &#10;935.5115. -.  3.60%.&#10;911.5573. -.  3.70%.&#10;926.024. -.  3.50%.&#10;972.8824. -.  2.70%.&#10;956.3858. -.  2.70%.&#10;1118.8118. -.  1.50%.&#10;1008.7096. 2.9%. -. &#10;1039.4718. 2.0%. -. &#10;1012.5152. 2.2%. -. &#10;1027.8339. 2.3%. -. &#10;964.6287. -.  2.40%.&#10;962.6232. -.  2.00%.&#10;957.2625. -.  2.20%.&#10;968.3581. 3.0%. -. &#10;930.7652. -.  3.40%.&#10;930.3256. -.  2.50%.&#10;907.6198. -.  3.70%.&#10;1049.2528. 3.1%. -. &#10;849.2682. -.  3.30%.&#10;1090.0431. 3.3%. -. &#10;&#10;&#10;Scheme acceptance rate&#10;&#10;SEIFA. 985.8721. Capital cities. 60%. Other. -.&#10;975.2479. -. 63%.&#10;951.0714 -. 59%.&#10;936.5421. -. 61%.&#10;924.3353. -. 51%.&#10;949.7504. -. 66%.&#10;987.3039. -. 59%.&#10;921.505. -. 62%.&#10;951.663. -. 61%.&#10;940.3023. -. 60%.&#10;984.8085. -. 68%.&#10;956.6805. -. 63%.&#10;954.1671. -. 60%.&#10;968.6823. -. 56%.&#10;1118.856. 70%. -.&#10;993.4372. 64%. -.&#10;1083.065. 59%. -.&#10;1121.913. 64%. -.&#10;992.9947. 62%. -.&#10;1089.793. 66%. -.&#10;1145.404. 69%. -.&#10;1119.965. 69%. -.&#10;985.7162. 64%. -.&#10;1000.273. 65%. -.&#10;997.5309. 62%. -.&#10;1103.568. 71%. -.&#10;943.8789. 62%. -.&#10;1087.51. 66%. -.&#10;960.658. -. 63%.&#10;969.0624. -. 65%.&#10;991.8083. -. 69%.&#10;962.7809. -. 63%.&#10;944.7907. -. 60%.&#10;1080.288. 57%. -.&#10;1094.522. 68%. -.&#10;1092.311. 65%. -.&#10;1015.405. 63%. -.&#10;977.6821. 59%. -.&#10;1035.022. 68%. -.&#10;992.6491. 61%. -.&#10;982.0746. 59%. -.&#10;998.0439. -. 62%.&#10;932.6525. -. 57%.&#10;937.0528. -. 60%.&#10;957.149. -. 66%.&#10;1024.425. 64%. -.&#10;1035.12. 62%. -.&#10;1049.944. 62%. -.&#10;1100.598. 67%. -.&#10;1103.124. 59%. -.&#10;953.1298. -. 59%.&#10;941.9798. -. 56%.&#10;956.8768. -. 59%.&#10;1009.856. -. 62%.&#10;944.1005. -. 60%.&#10;944.9121. -. 58%.&#10;964.8872. -. 59%.&#10;938.5281. -. 60%.&#10;1032.278. -. 63%.&#10;907.5272. -. 50%.&#10;999.0836. -. 62%.&#10;976.3137. -. 63%.&#10;965.1116. -. 61%.&#10;901.4139. -. 57%.&#10;1053.096. 68%. -.&#10;929.6058. 67%. -.&#10;996.0342. 68%. -.&#10;970.3114. 65%. -.&#10;935.5115. -. 63%.&#10;911.5573. -. 59%.&#10;926.024. -. 64%.&#10;972.8824. -. 69%.&#10;956.3858. -. 63%.&#10;1118.812. -. 69%.&#10;1008.71. 70%. -.&#10;1039.472. 68%. -.&#10;1012.515. 69%. -.&#10;1027.834. 69%. -.&#10;964.6287. -. 61%.&#10;962.6232. -. 64%.&#10;957.2625. -. 59%.&#10;968.3581. 65%. -.&#10;930.7652. -. 63%.&#10;930.3256. -. 55%.&#10;907.6198. -. 62%.&#10;1049.253. 55%. -.&#10;849.2682. -. 55%.&#10;1090.043. 67%. -."/>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5629578" cy="2418828"/>
                    </a:xfrm>
                    <a:prstGeom prst="rect">
                      <a:avLst/>
                    </a:prstGeom>
                    <a:noFill/>
                    <a:ln>
                      <a:noFill/>
                    </a:ln>
                  </pic:spPr>
                </pic:pic>
              </a:graphicData>
            </a:graphic>
          </wp:inline>
        </w:drawing>
      </w:r>
    </w:p>
    <w:p w14:paraId="418C82BB" w14:textId="12B52236" w:rsidR="00D94905" w:rsidRDefault="00AA6148" w:rsidP="00A520C9">
      <w:r>
        <w:fldChar w:fldCharType="begin"/>
      </w:r>
      <w:r>
        <w:instrText xml:space="preserve"> REF _Ref87428825 \h </w:instrText>
      </w:r>
      <w:r>
        <w:fldChar w:fldCharType="separate"/>
      </w:r>
      <w:r w:rsidR="00E6217F">
        <w:t xml:space="preserve">Figure </w:t>
      </w:r>
      <w:r w:rsidR="00E6217F">
        <w:rPr>
          <w:noProof/>
        </w:rPr>
        <w:t>8</w:t>
      </w:r>
      <w:r w:rsidR="00E6217F">
        <w:t>.</w:t>
      </w:r>
      <w:r w:rsidR="00E6217F">
        <w:rPr>
          <w:noProof/>
        </w:rPr>
        <w:t>2</w:t>
      </w:r>
      <w:r>
        <w:fldChar w:fldCharType="end"/>
      </w:r>
      <w:r>
        <w:t xml:space="preserve"> indicates a strong relationship between </w:t>
      </w:r>
      <w:r w:rsidR="006D681A">
        <w:t xml:space="preserve">the </w:t>
      </w:r>
      <w:r>
        <w:t xml:space="preserve">socioeconomic </w:t>
      </w:r>
      <w:r w:rsidR="006D681A">
        <w:t xml:space="preserve">status of an area and the rate of application to the NDIS. </w:t>
      </w:r>
      <w:r w:rsidR="00FC71FA">
        <w:t>Generally, p</w:t>
      </w:r>
      <w:r w:rsidR="006D681A">
        <w:t xml:space="preserve">eople with a disability are more likely to have low incomes, </w:t>
      </w:r>
      <w:r w:rsidR="00990973">
        <w:t xml:space="preserve">which is consistent with the figure. There may also be behavioural effects; those with lower financial means may have less ability to fund supports privately and have a greater economic incentive to access the </w:t>
      </w:r>
      <w:r w:rsidR="00232FFF">
        <w:t>Scheme</w:t>
      </w:r>
      <w:r w:rsidR="00990973">
        <w:t xml:space="preserve">. </w:t>
      </w:r>
      <w:r w:rsidR="006D681A">
        <w:t>It also indicates that areas outside capital cities, which tend to have lower socioeconomic ratings</w:t>
      </w:r>
      <w:r w:rsidR="005711C1">
        <w:t>,</w:t>
      </w:r>
      <w:r w:rsidR="006D681A">
        <w:t xml:space="preserve"> have higher rates of application. </w:t>
      </w:r>
      <w:r w:rsidR="00CB5047">
        <w:t>Trends appear consistent across different types of disability.</w:t>
      </w:r>
    </w:p>
    <w:p w14:paraId="5C1AC4DE" w14:textId="187B3B79" w:rsidR="006D681A" w:rsidRDefault="006D681A" w:rsidP="00A520C9">
      <w:r>
        <w:t xml:space="preserve">Acceptance rates tend to be negatively correlated with access request rates; higher rates are </w:t>
      </w:r>
      <w:r w:rsidR="00990973">
        <w:t xml:space="preserve">seen in higher socioeconomic areas, which in turn have lower application rates. </w:t>
      </w:r>
    </w:p>
    <w:p w14:paraId="39C56536" w14:textId="5CA153AE" w:rsidR="00990973" w:rsidRDefault="00990973" w:rsidP="00A520C9">
      <w:bookmarkStart w:id="316" w:name="_Hlk88494268"/>
      <w:r>
        <w:t xml:space="preserve">In contrast, average plan sizes do not appear to systematically vary </w:t>
      </w:r>
      <w:r w:rsidR="007E7711">
        <w:t xml:space="preserve">for most regions </w:t>
      </w:r>
      <w:r>
        <w:t>by SEIFA score or capital/regional area</w:t>
      </w:r>
      <w:r w:rsidR="00FC71FA">
        <w:t>s</w:t>
      </w:r>
      <w:r w:rsidR="001276AE">
        <w:t>; this is shown in the figure below.</w:t>
      </w:r>
      <w:r w:rsidR="00D01E7E">
        <w:t xml:space="preserve"> The NDIS has previously found a small to moderate </w:t>
      </w:r>
      <w:r w:rsidR="00FF1A73">
        <w:t xml:space="preserve">relationship between the </w:t>
      </w:r>
      <w:r w:rsidR="00D01E7E">
        <w:t xml:space="preserve">socioeconomic </w:t>
      </w:r>
      <w:r w:rsidR="00FF1A73">
        <w:t xml:space="preserve">rating of a </w:t>
      </w:r>
      <w:r w:rsidR="00D01E7E">
        <w:t xml:space="preserve">region </w:t>
      </w:r>
      <w:r w:rsidR="00FF1A73">
        <w:t xml:space="preserve">and </w:t>
      </w:r>
      <w:r w:rsidR="00D01E7E">
        <w:t>plan size</w:t>
      </w:r>
      <w:r w:rsidR="00D01E7E">
        <w:rPr>
          <w:rStyle w:val="FootnoteReference"/>
        </w:rPr>
        <w:footnoteReference w:id="25"/>
      </w:r>
      <w:r w:rsidR="00FF1A73">
        <w:t>.</w:t>
      </w:r>
      <w:r w:rsidR="00D01E7E">
        <w:t xml:space="preserve"> </w:t>
      </w:r>
      <w:r w:rsidR="00FF1A73">
        <w:t>T</w:t>
      </w:r>
      <w:r w:rsidR="00D01E7E">
        <w:t xml:space="preserve">he </w:t>
      </w:r>
      <w:r w:rsidR="00FF1A73">
        <w:t xml:space="preserve">work found the </w:t>
      </w:r>
      <w:r w:rsidR="00D01E7E">
        <w:t>top socioeconomic decile has plan</w:t>
      </w:r>
      <w:r w:rsidR="00757831">
        <w:t xml:space="preserve"> amounts</w:t>
      </w:r>
      <w:r w:rsidR="00D01E7E">
        <w:t xml:space="preserve"> 7% higher than the broader population</w:t>
      </w:r>
      <w:r w:rsidR="00FF1A73">
        <w:t>, with little trend in other deciles</w:t>
      </w:r>
      <w:r w:rsidR="00D01E7E">
        <w:t>. We find a similar effect (</w:t>
      </w:r>
      <w:r w:rsidR="00757831">
        <w:t xml:space="preserve">a higher average </w:t>
      </w:r>
      <w:r w:rsidR="00D01E7E">
        <w:t xml:space="preserve">for the cluster of 15 SA4 regions above </w:t>
      </w:r>
      <w:r w:rsidR="00757831">
        <w:t xml:space="preserve">a SEIFA score of </w:t>
      </w:r>
      <w:r w:rsidR="00D01E7E">
        <w:t xml:space="preserve">1065 in </w:t>
      </w:r>
      <w:r w:rsidR="00B7264E">
        <w:fldChar w:fldCharType="begin"/>
      </w:r>
      <w:r w:rsidR="00B7264E">
        <w:instrText xml:space="preserve"> REF _Ref88495175 \h </w:instrText>
      </w:r>
      <w:r w:rsidR="00B7264E">
        <w:fldChar w:fldCharType="separate"/>
      </w:r>
      <w:r w:rsidR="00E6217F">
        <w:t xml:space="preserve">Figure </w:t>
      </w:r>
      <w:r w:rsidR="00E6217F">
        <w:rPr>
          <w:noProof/>
        </w:rPr>
        <w:t>8</w:t>
      </w:r>
      <w:r w:rsidR="00E6217F">
        <w:t>.</w:t>
      </w:r>
      <w:r w:rsidR="00E6217F">
        <w:rPr>
          <w:noProof/>
        </w:rPr>
        <w:t>3</w:t>
      </w:r>
      <w:r w:rsidR="00B7264E">
        <w:fldChar w:fldCharType="end"/>
      </w:r>
      <w:r w:rsidR="00D01E7E">
        <w:t>)</w:t>
      </w:r>
      <w:r w:rsidR="00A63EEE">
        <w:t xml:space="preserve">, but note the effect is small relative to the broader SA4-level variation. </w:t>
      </w:r>
    </w:p>
    <w:p w14:paraId="620C04B8" w14:textId="00F60C89" w:rsidR="00A63EEE" w:rsidRDefault="00A63EEE" w:rsidP="00A520C9">
      <w:r>
        <w:t xml:space="preserve">We have </w:t>
      </w:r>
      <w:r w:rsidR="00FF1A73">
        <w:t xml:space="preserve">also </w:t>
      </w:r>
      <w:r>
        <w:t xml:space="preserve">tested the influence of regional socioeconomic scores in the multivariate testing described in Section </w:t>
      </w:r>
      <w:r>
        <w:fldChar w:fldCharType="begin"/>
      </w:r>
      <w:r>
        <w:instrText xml:space="preserve"> REF _Ref88493746 \r \h </w:instrText>
      </w:r>
      <w:r>
        <w:fldChar w:fldCharType="separate"/>
      </w:r>
      <w:r w:rsidR="00E6217F">
        <w:t>7.2</w:t>
      </w:r>
      <w:r>
        <w:fldChar w:fldCharType="end"/>
      </w:r>
      <w:r>
        <w:t>, which controls for factors such</w:t>
      </w:r>
      <w:r w:rsidR="00064C3A">
        <w:t xml:space="preserve"> </w:t>
      </w:r>
      <w:r>
        <w:t>as age, duration, disability type and severity. It confirms:</w:t>
      </w:r>
    </w:p>
    <w:p w14:paraId="0FA08208" w14:textId="66ACE6AC" w:rsidR="00A63EEE" w:rsidRDefault="00A63EEE" w:rsidP="00AB5EBA">
      <w:pPr>
        <w:pStyle w:val="Bullet1"/>
        <w:spacing w:before="60" w:after="60"/>
        <w:ind w:left="357" w:hanging="357"/>
      </w:pPr>
      <w:r>
        <w:t xml:space="preserve">A material effect (but small compared to some other effects) for </w:t>
      </w:r>
      <w:r w:rsidRPr="00B7264E">
        <w:rPr>
          <w:b/>
          <w:bCs/>
        </w:rPr>
        <w:t>payments</w:t>
      </w:r>
      <w:r>
        <w:t xml:space="preserve">. </w:t>
      </w:r>
      <w:r w:rsidR="001E3729">
        <w:t xml:space="preserve">On average, </w:t>
      </w:r>
      <w:r>
        <w:t>100 SEIFA points add</w:t>
      </w:r>
      <w:r w:rsidR="001E3729">
        <w:t>s</w:t>
      </w:r>
      <w:r>
        <w:t xml:space="preserve"> 7% to average payments. For $55k of spend</w:t>
      </w:r>
      <w:r w:rsidR="00064C3A">
        <w:t>ing</w:t>
      </w:r>
      <w:r>
        <w:t xml:space="preserve"> this equates to $3,800 in additional annual payments. </w:t>
      </w:r>
    </w:p>
    <w:p w14:paraId="49A58591" w14:textId="6E78B8E7" w:rsidR="00A63EEE" w:rsidRDefault="00A63EEE" w:rsidP="00AB5EBA">
      <w:pPr>
        <w:pStyle w:val="Bullet1"/>
        <w:spacing w:before="60" w:after="60"/>
        <w:ind w:left="357" w:hanging="357"/>
      </w:pPr>
      <w:r>
        <w:t>A small (but still statistical</w:t>
      </w:r>
      <w:r w:rsidR="00064C3A">
        <w:t>ly</w:t>
      </w:r>
      <w:r>
        <w:t xml:space="preserve"> significant</w:t>
      </w:r>
      <w:r w:rsidR="00FF1A73">
        <w:t>)</w:t>
      </w:r>
      <w:r>
        <w:t xml:space="preserve"> effect for </w:t>
      </w:r>
      <w:r w:rsidRPr="00B7264E">
        <w:rPr>
          <w:b/>
          <w:bCs/>
        </w:rPr>
        <w:t>committed supports</w:t>
      </w:r>
      <w:r>
        <w:t xml:space="preserve">. </w:t>
      </w:r>
      <w:r w:rsidR="00FF1A73">
        <w:t xml:space="preserve">On average, </w:t>
      </w:r>
      <w:r>
        <w:t>100 SEIFA points adds 0.4% to committed supports. For an $80k plan, this equates to $300 in additional supports.</w:t>
      </w:r>
    </w:p>
    <w:p w14:paraId="561AA30C" w14:textId="49F831FA" w:rsidR="00990973" w:rsidRDefault="00990973" w:rsidP="00990973">
      <w:pPr>
        <w:pStyle w:val="Caption"/>
      </w:pPr>
      <w:bookmarkStart w:id="317" w:name="_Ref88495175"/>
      <w:bookmarkEnd w:id="316"/>
      <w:r>
        <w:t xml:space="preserve">Figure </w:t>
      </w:r>
      <w:r w:rsidR="009366CE">
        <w:fldChar w:fldCharType="begin"/>
      </w:r>
      <w:r w:rsidR="009366CE">
        <w:instrText xml:space="preserve"> STYLEREF 1 \s </w:instrText>
      </w:r>
      <w:r w:rsidR="009366CE">
        <w:fldChar w:fldCharType="separate"/>
      </w:r>
      <w:r w:rsidR="00E6217F">
        <w:rPr>
          <w:noProof/>
        </w:rPr>
        <w:t>8</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3</w:t>
      </w:r>
      <w:r w:rsidR="009366CE">
        <w:fldChar w:fldCharType="end"/>
      </w:r>
      <w:bookmarkEnd w:id="317"/>
      <w:r>
        <w:t xml:space="preserve"> – Average package size at 30 June 2021 </w:t>
      </w:r>
    </w:p>
    <w:p w14:paraId="56D541F8" w14:textId="0DABCE41" w:rsidR="00C72C36" w:rsidRDefault="006B4B83" w:rsidP="00A520C9">
      <w:r w:rsidRPr="006B4B83">
        <w:rPr>
          <w:noProof/>
        </w:rPr>
        <w:drawing>
          <wp:inline distT="0" distB="0" distL="0" distR="0" wp14:anchorId="5BD9684A" wp14:editId="0FDE9530">
            <wp:extent cx="3288786" cy="2813050"/>
            <wp:effectExtent l="0" t="0" r="6985" b="6350"/>
            <wp:docPr id="137" name="Picture 137" descr="SEIFA. 985.8721. Capital cities. 64,549. Other. -.&#10;975.2479. -. 67,621.&#10;951.0714. -. 82,305.&#10;936.5421. -. 78,831.&#10;924.3353. -. 78,881.&#10;949.7504. -. 67,987.&#10;987.3039. -. 79,739.&#10;921.505. -. 77,245.&#10;951.663. -. 72,744.&#10;940.3023. -. 68,726.&#10;984.8085. -. 84,696.&#10;956.6805. -. 80,110.&#10;954.1671. -. 72,637.&#10;968.6823. -. 72,388.&#10;1118.856. 85,770. -.&#10;993.4372. 68,300. -.&#10;1083.065. 73,675. -.&#10;1121.913. 74,361. -.&#10;992.9947. 75,965. -.&#10;1089.793. 80,063. -.&#10;1145.404. 75,702. -.&#10;1119.965. 92,163. -.&#10;985.7162. 64,216. -.&#10;1000.273. 74,356. -.&#10;997.5309. 83,857. -.&#10;1103.568. 107,846. -.&#10;943.8789. 68,887. -.&#10;1087.51. 81,657. -.&#10;960.658. -. 65,028.&#10;969.0624. -. 58,699.&#10;991.8083. -. 64,483.&#10;962.7809. -. 57,324.&#10;944.7907. -. 63,233.&#10;1080.288. 74,404. -.&#10;1094.522. 85,216. -.&#10;1092.311. 85,498. -.&#10;1015.405. 68,203. -.&#10;977.6821. 58,336. -.&#10;1035.022. 73,636. -.&#10;992.6491. 71,107. -.&#10;982.0746. 61,822. -.&#10;998.0439. -. 76,342.&#10;932.6525. -. 72,234.&#10;937.0528. -. 66,557.&#10;957.149. -. 71,020.&#10;1024.425. 86,402. -.&#10;1035.12. 90,210. -.&#10;1049.944. 85,003. -.&#10;1100.598. 86,885. -.&#10;1103.124. 87,661. -.&#10;953.1298. -. 95,736.&#10;941.9798. -. 62,517.&#10;956.8768. -. 72,710.&#10;1009.856. -. 78,945.&#10;944.1005. -. 79,521.&#10;944.9121. -. 83,073.&#10;964.8872. -. 69,473.&#10;938.5281. -. 91,041.&#10;1032.278. -. 78,597.&#10;907.5272. -. 64,551.&#10;999.0836. -. 91,364.&#10;976.3137. -. 96,890.&#10;965.1116. -. 80,431.&#10;901.4139. -. 79,959.&#10;1053.096. 78,959. -.&#10;929.6058. 66,831. -.&#10;996.0342. 78,221. -.&#10;970.3114. 75,374. -.&#10;935.5115. -. 56,514.&#10;911.5573. -. 78,387.&#10;926.024. -. 72,443.&#10;972.8824. -. 64,439.&#10;956.3858. -. 79,365.&#10;1118.812. -. 88,822.&#10;1008.71. 81,207. -.&#10;1039.472. 80,647. -.&#10;1012.515. 76,233. -.&#10;1027.834. 69,273. -.&#10;964.6287. -. 65,448.&#10;962.6232. -. 83,834.&#10;957.2625. -. 74,136.&#10;968.3581. 94,548. -.&#10;930.7652. -. 87,859.&#10;930.3256. -. 55,376.&#10;907.6198. -. 87,104.&#10;1049.253. 127,606. -.&#10;849.2682. -. 162,362.&#10;1090.043. 67,4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SEIFA. 985.8721. Capital cities. 64,549. Other. -.&#10;975.2479. -. 67,621.&#10;951.0714. -. 82,305.&#10;936.5421. -. 78,831.&#10;924.3353. -. 78,881.&#10;949.7504. -. 67,987.&#10;987.3039. -. 79,739.&#10;921.505. -. 77,245.&#10;951.663. -. 72,744.&#10;940.3023. -. 68,726.&#10;984.8085. -. 84,696.&#10;956.6805. -. 80,110.&#10;954.1671. -. 72,637.&#10;968.6823. -. 72,388.&#10;1118.856. 85,770. -.&#10;993.4372. 68,300. -.&#10;1083.065. 73,675. -.&#10;1121.913. 74,361. -.&#10;992.9947. 75,965. -.&#10;1089.793. 80,063. -.&#10;1145.404. 75,702. -.&#10;1119.965. 92,163. -.&#10;985.7162. 64,216. -.&#10;1000.273. 74,356. -.&#10;997.5309. 83,857. -.&#10;1103.568. 107,846. -.&#10;943.8789. 68,887. -.&#10;1087.51. 81,657. -.&#10;960.658. -. 65,028.&#10;969.0624. -. 58,699.&#10;991.8083. -. 64,483.&#10;962.7809. -. 57,324.&#10;944.7907. -. 63,233.&#10;1080.288. 74,404. -.&#10;1094.522. 85,216. -.&#10;1092.311. 85,498. -.&#10;1015.405. 68,203. -.&#10;977.6821. 58,336. -.&#10;1035.022. 73,636. -.&#10;992.6491. 71,107. -.&#10;982.0746. 61,822. -.&#10;998.0439. -. 76,342.&#10;932.6525. -. 72,234.&#10;937.0528. -. 66,557.&#10;957.149. -. 71,020.&#10;1024.425. 86,402. -.&#10;1035.12. 90,210. -.&#10;1049.944. 85,003. -.&#10;1100.598. 86,885. -.&#10;1103.124. 87,661. -.&#10;953.1298. -. 95,736.&#10;941.9798. -. 62,517.&#10;956.8768. -. 72,710.&#10;1009.856. -. 78,945.&#10;944.1005. -. 79,521.&#10;944.9121. -. 83,073.&#10;964.8872. -. 69,473.&#10;938.5281. -. 91,041.&#10;1032.278. -. 78,597.&#10;907.5272. -. 64,551.&#10;999.0836. -. 91,364.&#10;976.3137. -. 96,890.&#10;965.1116. -. 80,431.&#10;901.4139. -. 79,959.&#10;1053.096. 78,959. -.&#10;929.6058. 66,831. -.&#10;996.0342. 78,221. -.&#10;970.3114. 75,374. -.&#10;935.5115. -. 56,514.&#10;911.5573. -. 78,387.&#10;926.024. -. 72,443.&#10;972.8824. -. 64,439.&#10;956.3858. -. 79,365.&#10;1118.812. -. 88,822.&#10;1008.71. 81,207. -.&#10;1039.472. 80,647. -.&#10;1012.515. 76,233. -.&#10;1027.834. 69,273. -.&#10;964.6287. -. 65,448.&#10;962.6232. -. 83,834.&#10;957.2625. -. 74,136.&#10;968.3581. 94,548. -.&#10;930.7652. -. 87,859.&#10;930.3256. -. 55,376.&#10;907.6198. -. 87,104.&#10;1049.253. 127,606. -.&#10;849.2682. -. 162,362.&#10;1090.043. 67,490. -."/>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3292699" cy="2816397"/>
                    </a:xfrm>
                    <a:prstGeom prst="rect">
                      <a:avLst/>
                    </a:prstGeom>
                    <a:noFill/>
                    <a:ln>
                      <a:noFill/>
                    </a:ln>
                  </pic:spPr>
                </pic:pic>
              </a:graphicData>
            </a:graphic>
          </wp:inline>
        </w:drawing>
      </w:r>
    </w:p>
    <w:p w14:paraId="6A09FCD5" w14:textId="652D8766" w:rsidR="00EC2A38" w:rsidRDefault="0000064B" w:rsidP="00EC2A38">
      <w:r>
        <w:t xml:space="preserve">Plan utilisation varies hugely at an individual level (see </w:t>
      </w:r>
      <w:r>
        <w:fldChar w:fldCharType="begin"/>
      </w:r>
      <w:r>
        <w:instrText xml:space="preserve"> REF _Ref88598572 \h </w:instrText>
      </w:r>
      <w:r>
        <w:fldChar w:fldCharType="separate"/>
      </w:r>
      <w:r w:rsidR="00E6217F">
        <w:t xml:space="preserve">Figure </w:t>
      </w:r>
      <w:r w:rsidR="00E6217F">
        <w:rPr>
          <w:noProof/>
        </w:rPr>
        <w:t>7</w:t>
      </w:r>
      <w:r w:rsidR="00E6217F">
        <w:t>.</w:t>
      </w:r>
      <w:r w:rsidR="00E6217F">
        <w:rPr>
          <w:noProof/>
        </w:rPr>
        <w:t>9</w:t>
      </w:r>
      <w:r>
        <w:fldChar w:fldCharType="end"/>
      </w:r>
      <w:r>
        <w:t xml:space="preserve"> and surrounding discussion). At a geographic level, p</w:t>
      </w:r>
      <w:r w:rsidR="00D4410A">
        <w:t xml:space="preserve">lan utilisation </w:t>
      </w:r>
      <w:r>
        <w:t>sees significant variation</w:t>
      </w:r>
      <w:r w:rsidR="00D4410A">
        <w:t xml:space="preserve"> by remoteness</w:t>
      </w:r>
      <w:r w:rsidR="001276AE">
        <w:t xml:space="preserve"> (with some implied variation by SEIFA score as a result)</w:t>
      </w:r>
      <w:r>
        <w:t>.</w:t>
      </w:r>
      <w:r w:rsidR="00D4410A">
        <w:t xml:space="preserve"> </w:t>
      </w:r>
      <w:r>
        <w:t>C</w:t>
      </w:r>
      <w:r w:rsidR="00D4410A">
        <w:t xml:space="preserve">apital cities generally have </w:t>
      </w:r>
      <w:r w:rsidR="00CC7AC1">
        <w:t xml:space="preserve">higher </w:t>
      </w:r>
      <w:r w:rsidR="00D94905">
        <w:t>utilisation</w:t>
      </w:r>
      <w:r w:rsidR="00CC7AC1">
        <w:t xml:space="preserve"> than regional</w:t>
      </w:r>
      <w:r w:rsidR="00EC2A38">
        <w:t xml:space="preserve"> and remote</w:t>
      </w:r>
      <w:r w:rsidR="00CC7AC1">
        <w:t xml:space="preserve"> areas. Access to services is an obvious possibility for the difference.</w:t>
      </w:r>
      <w:r w:rsidR="00D94905">
        <w:t xml:space="preserve"> Prices for services may also have a role; in regions with higher provider prices </w:t>
      </w:r>
      <w:r w:rsidR="00BF419E">
        <w:t xml:space="preserve">it </w:t>
      </w:r>
      <w:r w:rsidR="00D94905">
        <w:t>may be easier to reach higher levels of utilisation</w:t>
      </w:r>
      <w:r w:rsidR="00CA511A">
        <w:t xml:space="preserve"> (although there are some regional variations allowed for in the NDIS price guides)</w:t>
      </w:r>
      <w:r w:rsidR="00D94905">
        <w:t xml:space="preserve">. </w:t>
      </w:r>
    </w:p>
    <w:p w14:paraId="7C4CD210" w14:textId="4156A50C" w:rsidR="00EC2A38" w:rsidRDefault="00440653" w:rsidP="00EC2A38">
      <w:r>
        <w:fldChar w:fldCharType="begin"/>
      </w:r>
      <w:r>
        <w:instrText xml:space="preserve"> REF _Ref87534699 \h </w:instrText>
      </w:r>
      <w:r>
        <w:fldChar w:fldCharType="separate"/>
      </w:r>
      <w:r w:rsidR="00E6217F">
        <w:t xml:space="preserve">Figure </w:t>
      </w:r>
      <w:r w:rsidR="00E6217F">
        <w:rPr>
          <w:noProof/>
        </w:rPr>
        <w:t>8</w:t>
      </w:r>
      <w:r w:rsidR="00E6217F">
        <w:t>.</w:t>
      </w:r>
      <w:r w:rsidR="00E6217F">
        <w:rPr>
          <w:noProof/>
        </w:rPr>
        <w:t>4</w:t>
      </w:r>
      <w:r>
        <w:fldChar w:fldCharType="end"/>
      </w:r>
      <w:r>
        <w:t xml:space="preserve"> shows plan utilisation for 2020-21 by remoteness. </w:t>
      </w:r>
      <w:r w:rsidR="00EC2A38">
        <w:t>In 2020-21, plan utilisation for major cities</w:t>
      </w:r>
      <w:r>
        <w:t xml:space="preserve"> (MMM</w:t>
      </w:r>
      <w:r>
        <w:rPr>
          <w:rStyle w:val="FootnoteReference"/>
        </w:rPr>
        <w:footnoteReference w:id="26"/>
      </w:r>
      <w:r>
        <w:t xml:space="preserve"> 1 and 2)</w:t>
      </w:r>
      <w:r w:rsidR="00EC2A38">
        <w:t xml:space="preserve"> was 3</w:t>
      </w:r>
      <w:r w:rsidR="00BF419E" w:rsidRPr="00BF419E">
        <w:t xml:space="preserve"> </w:t>
      </w:r>
      <w:r w:rsidR="00BF419E">
        <w:t>percentage points</w:t>
      </w:r>
      <w:r w:rsidR="00EC2A38">
        <w:t xml:space="preserve"> </w:t>
      </w:r>
      <w:r w:rsidR="00BF419E">
        <w:t xml:space="preserve">higher </w:t>
      </w:r>
      <w:r w:rsidR="00EC2A38">
        <w:t xml:space="preserve">than </w:t>
      </w:r>
      <w:r>
        <w:t xml:space="preserve">for </w:t>
      </w:r>
      <w:r w:rsidR="00EC2A38">
        <w:t>regional</w:t>
      </w:r>
      <w:r>
        <w:t xml:space="preserve"> area (MMM 3 to 5)</w:t>
      </w:r>
      <w:r w:rsidR="00EC2A38">
        <w:t xml:space="preserve"> </w:t>
      </w:r>
      <w:r>
        <w:t xml:space="preserve">and 14 </w:t>
      </w:r>
      <w:r w:rsidR="008F0C56">
        <w:t xml:space="preserve">percentage points </w:t>
      </w:r>
      <w:r>
        <w:t xml:space="preserve">higher than for </w:t>
      </w:r>
      <w:r w:rsidR="00EC2A38">
        <w:t xml:space="preserve">remote </w:t>
      </w:r>
      <w:r>
        <w:t>(MMM 6 and 7)</w:t>
      </w:r>
      <w:r w:rsidR="00EC2A38">
        <w:t xml:space="preserve">. If utilisation for regional and remote areas were going to rise to the same level as major cities, this would result </w:t>
      </w:r>
      <w:r w:rsidR="008F0C56">
        <w:t xml:space="preserve">in </w:t>
      </w:r>
      <w:r w:rsidR="00EC2A38">
        <w:t xml:space="preserve">a 2% (or $394M) increase in overall payments. </w:t>
      </w:r>
      <w:r>
        <w:t>Despite having the lowest utilisation</w:t>
      </w:r>
      <w:r w:rsidR="00EC31AE">
        <w:t>,</w:t>
      </w:r>
      <w:r>
        <w:t xml:space="preserve"> remote areas had </w:t>
      </w:r>
      <w:r w:rsidR="008F0C56">
        <w:t xml:space="preserve">relatively </w:t>
      </w:r>
      <w:r>
        <w:t>high average plan amounts which likely reflects higher prices being charged in these areas. Participants in regional areas had the lowest average plan and payment amounts, noting that this has not been adjusted for potential differences in the age and disability mix of participants.</w:t>
      </w:r>
    </w:p>
    <w:p w14:paraId="2A23B004" w14:textId="119F9DDF" w:rsidR="00EC2A38" w:rsidRDefault="00EC2A38" w:rsidP="00440653">
      <w:pPr>
        <w:pStyle w:val="Caption"/>
        <w:spacing w:after="0"/>
      </w:pPr>
      <w:bookmarkStart w:id="318" w:name="_Ref87534699"/>
      <w:bookmarkStart w:id="319" w:name="_Ref87534601"/>
      <w:r>
        <w:t xml:space="preserve">Figure </w:t>
      </w:r>
      <w:r>
        <w:fldChar w:fldCharType="begin"/>
      </w:r>
      <w:r>
        <w:instrText xml:space="preserve"> STYLEREF 1 \s </w:instrText>
      </w:r>
      <w:r>
        <w:fldChar w:fldCharType="separate"/>
      </w:r>
      <w:r w:rsidR="00E6217F">
        <w:rPr>
          <w:noProof/>
        </w:rPr>
        <w:t>8</w:t>
      </w:r>
      <w:r>
        <w:fldChar w:fldCharType="end"/>
      </w:r>
      <w:r>
        <w:t>.</w:t>
      </w:r>
      <w:r>
        <w:fldChar w:fldCharType="begin"/>
      </w:r>
      <w:r>
        <w:instrText xml:space="preserve"> SEQ Figure \* ARABIC \s 1 </w:instrText>
      </w:r>
      <w:r>
        <w:fldChar w:fldCharType="separate"/>
      </w:r>
      <w:r w:rsidR="00E6217F">
        <w:rPr>
          <w:noProof/>
        </w:rPr>
        <w:t>4</w:t>
      </w:r>
      <w:r>
        <w:fldChar w:fldCharType="end"/>
      </w:r>
      <w:bookmarkEnd w:id="318"/>
      <w:r>
        <w:t xml:space="preserve"> – Plan utilisation for 2020-21 by remoteness</w:t>
      </w:r>
      <w:bookmarkEnd w:id="319"/>
      <w:r>
        <w:t xml:space="preserve"> </w:t>
      </w:r>
    </w:p>
    <w:p w14:paraId="450F6E7E" w14:textId="184A20B3" w:rsidR="004E6038" w:rsidRDefault="006B4B83" w:rsidP="00440653">
      <w:pPr>
        <w:spacing w:before="0" w:after="0"/>
      </w:pPr>
      <w:r w:rsidRPr="006B4B83">
        <w:rPr>
          <w:noProof/>
        </w:rPr>
        <w:drawing>
          <wp:inline distT="0" distB="0" distL="0" distR="0" wp14:anchorId="0196B479" wp14:editId="48DFD9D8">
            <wp:extent cx="4332912" cy="2451100"/>
            <wp:effectExtent l="0" t="0" r="0" b="6350"/>
            <wp:docPr id="138" name="Picture 138" descr="Major Cities. &#10;Number of participants (RHS). 262,282. &#10;Utilisation rate (LHS). 77.5%.&#10;&#10;Regional. &#10;Number of participants (RHS). 118,117. &#10;Utilisation rate (LHS). 73.8%.&#10;&#10;Remote. &#10;Number of participants (RHS). 5,458. &#10;Utilisation rate (LHS).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Major Cities. &#10;Number of participants (RHS). 262,282. &#10;Utilisation rate (LHS). 77.5%.&#10;&#10;Regional. &#10;Number of participants (RHS). 118,117. &#10;Utilisation rate (LHS). 73.8%.&#10;&#10;Remote. &#10;Number of participants (RHS). 5,458. &#10;Utilisation rate (LHS). 63.1%."/>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4334411" cy="2451948"/>
                    </a:xfrm>
                    <a:prstGeom prst="rect">
                      <a:avLst/>
                    </a:prstGeom>
                    <a:noFill/>
                    <a:ln>
                      <a:noFill/>
                    </a:ln>
                  </pic:spPr>
                </pic:pic>
              </a:graphicData>
            </a:graphic>
          </wp:inline>
        </w:drawing>
      </w:r>
    </w:p>
    <w:p w14:paraId="361C6A5B" w14:textId="77777777" w:rsidR="00CC7AC1" w:rsidRDefault="00CC7AC1" w:rsidP="00A520C9"/>
    <w:p w14:paraId="7B5FD61E" w14:textId="0E32D673" w:rsidR="00CC7AC1" w:rsidRDefault="00CC7AC1" w:rsidP="00CC7AC1">
      <w:pPr>
        <w:pStyle w:val="Caption"/>
      </w:pPr>
      <w:r>
        <w:t xml:space="preserve">Figure </w:t>
      </w:r>
      <w:r w:rsidR="009366CE">
        <w:fldChar w:fldCharType="begin"/>
      </w:r>
      <w:r w:rsidR="009366CE">
        <w:instrText xml:space="preserve"> STYLEREF 1 \s </w:instrText>
      </w:r>
      <w:r w:rsidR="009366CE">
        <w:fldChar w:fldCharType="separate"/>
      </w:r>
      <w:r w:rsidR="00E6217F">
        <w:rPr>
          <w:noProof/>
        </w:rPr>
        <w:t>8</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5</w:t>
      </w:r>
      <w:r w:rsidR="009366CE">
        <w:fldChar w:fldCharType="end"/>
      </w:r>
      <w:r>
        <w:t xml:space="preserve"> – </w:t>
      </w:r>
      <w:r w:rsidR="0000064B">
        <w:t>Average utilisation by SA4 region</w:t>
      </w:r>
    </w:p>
    <w:p w14:paraId="45DDC916" w14:textId="2E9F0849" w:rsidR="004E6038" w:rsidRDefault="004E6038" w:rsidP="00A520C9">
      <w:r w:rsidRPr="004E6038">
        <w:rPr>
          <w:noProof/>
        </w:rPr>
        <w:drawing>
          <wp:anchor distT="0" distB="0" distL="114300" distR="114300" simplePos="0" relativeHeight="251654144" behindDoc="0" locked="0" layoutInCell="1" allowOverlap="1" wp14:anchorId="37842C37" wp14:editId="7855B4CA">
            <wp:simplePos x="0" y="0"/>
            <wp:positionH relativeFrom="column">
              <wp:posOffset>-635</wp:posOffset>
            </wp:positionH>
            <wp:positionV relativeFrom="paragraph">
              <wp:posOffset>3718769</wp:posOffset>
            </wp:positionV>
            <wp:extent cx="1123950" cy="1504950"/>
            <wp:effectExtent l="0" t="0" r="0" b="0"/>
            <wp:wrapNone/>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pic:nvPicPr>
                  <pic:blipFill>
                    <a:blip r:embed="rId130"/>
                    <a:stretch>
                      <a:fillRect/>
                    </a:stretch>
                  </pic:blipFill>
                  <pic:spPr>
                    <a:xfrm>
                      <a:off x="0" y="0"/>
                      <a:ext cx="1123950" cy="1504950"/>
                    </a:xfrm>
                    <a:prstGeom prst="rect">
                      <a:avLst/>
                    </a:prstGeom>
                  </pic:spPr>
                </pic:pic>
              </a:graphicData>
            </a:graphic>
          </wp:anchor>
        </w:drawing>
      </w:r>
      <w:r w:rsidRPr="004E6038">
        <w:rPr>
          <w:noProof/>
        </w:rPr>
        <w:drawing>
          <wp:inline distT="0" distB="0" distL="0" distR="0" wp14:anchorId="6D83D024" wp14:editId="29C3FDED">
            <wp:extent cx="5976620" cy="5234305"/>
            <wp:effectExtent l="0" t="0" r="0" b="9525"/>
            <wp:docPr id="42" name="Picture 42" descr="SA4 code. 101. SA4 region name. Capital Region. Utilisation. 68%.&#10;SA4 code. 102. SA4 region name. Central Coast. Utilisation. 75%.&#10;SA4 code. 103. SA4 region name. Central West. Utilisation. 64%.&#10;SA4 code. 104. SA4 region name. Coffs Harbour - Grafton. Utilisation. 71%.&#10;SA4 code. 105. SA4 region name. Far West and Orana. Utilisation. 59%.&#10;SA4 code. 106. SA4 region name. Hunter Valley exc Newcastle. Utilisation. 70%.&#10;SA4 code. 107. SA4 region name. Illawarra. Utilisation. 75%.&#10;SA4 code. 108. SA4 region name. Mid North Coast. Utilisation. 70%.&#10;SA4 code. 109. SA4 region name. Murray. Utilisation. 70%.&#10;SA4 code. 110. SA4 region name. New England and North West. Utilisation. 70%.&#10;SA4 code. 111. SA4 region name. Newcastle and Lake Macquarie. Utilisation. 71%.&#10;SA4 code. 112. SA4 region name. Richmond - Tweed. Utilisation. 76%.&#10;SA4 code. 113. SA4 region name. Riverina. Utilisation. 70%.&#10;SA4 code. 114. SA4 region name. Southern Highlands and Shoalhaven. Utilisation. 69%.&#10;SA4 code. 115. SA4 region name. Sydney - Baulkham Hills and Hawkesbury. Utilisation. 77%.&#10;SA4 code. 116. SA4 region name. Sydney - Blacktown. Utilisation. 80%.&#10;SA4 code. 117. SA4 region name. Sydney - City and Inner South. Utilisation. 74%.&#10;SA4 code. 118. SA4 region name. Sydney - Eastern Suburbs. Utilisation. 74%.&#10;SA4 code. 119. SA4 region name. Sydney - Inner South West. Utilisation. 84%.&#10;SA4 code. 120. SA4 region name. Sydney - Inner West. Utilisation. 78%.&#10;SA4 code. 121. SA4 region name. Sydney - North Sydney and Hornsby. Utilisation. 75%.&#10;SA4 code. 122. SA4 region name. Sydney - Northern Beaches. Utilisation. 74%.&#10;SA4 code. 123. SA4 region name. Sydney - Outer South West. Utilisation. 78%.&#10;SA4 code. 124. SA4 region name. Sydney - Outer West and Blue Mountains. Utilisation. 73%.&#10;SA4 code. 125. SA4 region name. Sydney - Parramatta. Utilisation. 81%.&#10;SA4 code. 126. SA4 region name. Sydney - Ryde. Utilisation. 75%.&#10;SA4 code. 127. SA4 region name. Sydney - South West. Utilisation. 85%.&#10;SA4 code. 128. SA4 region name. Sydney - Sutherland. Utilisation. 77%.&#10;SA4 code. 201. SA4 region name. Ballarat. Utilisation. 66%.&#10;SA4 code. 202. SA4 region name. Bendigo. Utilisation. 66%.&#10;SA4 code. 203. SA4 region name. Geelong. Utilisation. 67%.&#10;SA4 code. 204. SA4 region name. Hume. Utilisation. 62%.&#10;SA4 code. 205. SA4 region name. Latrobe - Gippsland. Utilisation. 64%.&#10;SA4 code. 206. SA4 region name. Melbourne - Inner. Utilisation. 66%.&#10;SA4 code. 207. SA4 region name. Melbourne - Inner East. Utilisation. 67%.&#10;SA4 code. 208. SA4 region name. Melbourne - Inner South. Utilisation. 68%.&#10;SA4 code. 209. SA4 region name. Melbourne - North East. Utilisation. 69%.&#10;SA4 code. 210. SA4 region name. Melbourne - North West. Utilisation. 72%.&#10;SA4 code. 211. SA4 region name. Melbourne - Outer East. Utilisation. 65%.&#10;SA4 code. 212. SA4 region name. Melbourne - South East. Utilisation. 70%.&#10;SA4 code. 213. SA4 region name. Melbourne - West. Utilisation. 68%.&#10;SA4 code. 214. SA4 region name. Mornington Peninsula. Utilisation. 65%.&#10;SA4 code. 215. SA4 region name. North West. Utilisation. 59%.&#10;SA4 code. 216. SA4 region name. Shepparton. Utilisation. 63%.&#10;SA4 code. 217. SA4 region name. Warrnambool and South West. Utilisation. 66%.&#10;SA4 code. 301. SA4 region name. Brisbane - East. Utilisation. 74%.&#10;SA4 code. 302. SA4 region name. Brisbane - North. Utilisation. 74%.&#10;SA4 code. 303. SA4 region name. Brisbane - South. Utilisation. 74%.&#10;SA4 code. 304. SA4 region name. Brisbane - West. Utilisation. 72%.&#10;SA4 code. 305. SA4 region name. Brisbane Inner City. Utilisation. 70%.&#10;SA4 code. 306. SA4 region name. Cairns. Utilisation. 69%.&#10;SA4 code. 307. SA4 region name. Darling Downs - Maranoa. Utilisation. 66%.&#10;SA4 code. 308. SA4 region name. Central Queensland. Utilisation. 63%.&#10;SA4 code. 309. SA4 region name. Gold Coast. Utilisation. 75%.&#10;SA4 code. 310. SA4 region name. Ipswich. Utilisation. 69%.&#10;SA4 code. 311. SA4 region name. Logan - Beaudesert. Utilisation. 73%.&#10;SA4 code. 312. SA4 region name. Mackay - Isaac - Whitsunday. Utilisation. 69%.&#10;SA4 code. 313. SA4 region name. Moreton Bay - North. Utilisation. 70%.&#10;SA4 code. 314. SA4 region name. Moreton Bay - South. Utilisation. 70%.&#10;SA4 code. 315. SA4 region name. Queensland - Outback. Utilisation. 55%.&#10;SA4 code. 316. SA4 region name. Sunshine Coast. Utilisation. 74%.&#10;SA4 code. 317. SA4 region name. Toowoomba. Utilisation. 69%.&#10;SA4 code. 318. SA4 region name. Townsville. Utilisation. 69%.&#10;SA4 code. 319. SA4 region name. Wide Bay. Utilisation. 69%.&#10;SA4 code. 401. SA4 region name. Adelaide - Central and Hills. Utilisation. 67%.&#10;SA4 code. 402. SA4 region name. Adelaide - North. Utilisation. 68%.&#10;SA4 code. 403. SA4 region name. Adelaide - South. Utilisation. 66%.&#10;SA4 code. 404. SA4 region name. Adelaide - West. Utilisation. 69%.&#10;SA4 code. 405. SA4 region name. Barossa - Yorke - Mid North. Utilisation. 65%.&#10;SA4 code. 406. SA4 region name. South Australia - Outback. Utilisation. 51%.&#10;SA4 code. 407. SA4 region name. South Australia - South East. Utilisation. 60%.&#10;SA4 code. 501. SA4 region name. Bunbury. Utilisation. 70%.&#10;SA4 code. 502. SA4 region name. Mandurah. Utilisation. 70%.&#10;SA4 code. 503. SA4 region name. Perth - Inner. Utilisation. 66%.&#10;SA4 code. 504. SA4 region name. Perth - North East. Utilisation. 69%.&#10;SA4 code. 505. SA4 region name. Perth - North West. Utilisation. 67%.&#10;SA4 code. 506. SA4 region name. Perth - South East. Utilisation. 68%.&#10;SA4 code. 507. SA4 region name. Perth - South West. Utilisation. 69%.&#10;SA4 code. 509. SA4 region name. Western Australia - Wheat Belt. Utilisation. 60%.&#10;SA4 code. 510. SA4 region name. Western Australia - Outback (North). Utilisation. 55%.&#10;SA4 code. 511. SA4 region name. Western Australia - Outback (South). Utilisation. 57%.&#10;SA4 code. 601. SA4 region name. Hobart. Utilisation. 69%.&#10;SA4 code. 602. SA4 region name. Launceston and North East. Utilisation. 66%.&#10;SA4 code. 603. SA4 region name. South East. Utilisation. 64%.&#10;SA4 code. 604. SA4 region name. West and North West. Utilisation. 67%.&#10;SA4 code. 701. SA4 region name. Darwin. Utilisation. 72%.&#10;SA4 code. 702. SA4 region name. Northern Territory - Outback. Utilisation. 55%.&#10;SA4 code. 801. SA4 region name. Australian Capital Territory. Utilisatio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A4 code. 101. SA4 region name. Capital Region. Utilisation. 68%.&#10;SA4 code. 102. SA4 region name. Central Coast. Utilisation. 75%.&#10;SA4 code. 103. SA4 region name. Central West. Utilisation. 64%.&#10;SA4 code. 104. SA4 region name. Coffs Harbour - Grafton. Utilisation. 71%.&#10;SA4 code. 105. SA4 region name. Far West and Orana. Utilisation. 59%.&#10;SA4 code. 106. SA4 region name. Hunter Valley exc Newcastle. Utilisation. 70%.&#10;SA4 code. 107. SA4 region name. Illawarra. Utilisation. 75%.&#10;SA4 code. 108. SA4 region name. Mid North Coast. Utilisation. 70%.&#10;SA4 code. 109. SA4 region name. Murray. Utilisation. 70%.&#10;SA4 code. 110. SA4 region name. New England and North West. Utilisation. 70%.&#10;SA4 code. 111. SA4 region name. Newcastle and Lake Macquarie. Utilisation. 71%.&#10;SA4 code. 112. SA4 region name. Richmond - Tweed. Utilisation. 76%.&#10;SA4 code. 113. SA4 region name. Riverina. Utilisation. 70%.&#10;SA4 code. 114. SA4 region name. Southern Highlands and Shoalhaven. Utilisation. 69%.&#10;SA4 code. 115. SA4 region name. Sydney - Baulkham Hills and Hawkesbury. Utilisation. 77%.&#10;SA4 code. 116. SA4 region name. Sydney - Blacktown. Utilisation. 80%.&#10;SA4 code. 117. SA4 region name. Sydney - City and Inner South. Utilisation. 74%.&#10;SA4 code. 118. SA4 region name. Sydney - Eastern Suburbs. Utilisation. 74%.&#10;SA4 code. 119. SA4 region name. Sydney - Inner South West. Utilisation. 84%.&#10;SA4 code. 120. SA4 region name. Sydney - Inner West. Utilisation. 78%.&#10;SA4 code. 121. SA4 region name. Sydney - North Sydney and Hornsby. Utilisation. 75%.&#10;SA4 code. 122. SA4 region name. Sydney - Northern Beaches. Utilisation. 74%.&#10;SA4 code. 123. SA4 region name. Sydney - Outer South West. Utilisation. 78%.&#10;SA4 code. 124. SA4 region name. Sydney - Outer West and Blue Mountains. Utilisation. 73%.&#10;SA4 code. 125. SA4 region name. Sydney - Parramatta. Utilisation. 81%.&#10;SA4 code. 126. SA4 region name. Sydney - Ryde. Utilisation. 75%.&#10;SA4 code. 127. SA4 region name. Sydney - South West. Utilisation. 85%.&#10;SA4 code. 128. SA4 region name. Sydney - Sutherland. Utilisation. 77%.&#10;SA4 code. 201. SA4 region name. Ballarat. Utilisation. 66%.&#10;SA4 code. 202. SA4 region name. Bendigo. Utilisation. 66%.&#10;SA4 code. 203. SA4 region name. Geelong. Utilisation. 67%.&#10;SA4 code. 204. SA4 region name. Hume. Utilisation. 62%.&#10;SA4 code. 205. SA4 region name. Latrobe - Gippsland. Utilisation. 64%.&#10;SA4 code. 206. SA4 region name. Melbourne - Inner. Utilisation. 66%.&#10;SA4 code. 207. SA4 region name. Melbourne - Inner East. Utilisation. 67%.&#10;SA4 code. 208. SA4 region name. Melbourne - Inner South. Utilisation. 68%.&#10;SA4 code. 209. SA4 region name. Melbourne - North East. Utilisation. 69%.&#10;SA4 code. 210. SA4 region name. Melbourne - North West. Utilisation. 72%.&#10;SA4 code. 211. SA4 region name. Melbourne - Outer East. Utilisation. 65%.&#10;SA4 code. 212. SA4 region name. Melbourne - South East. Utilisation. 70%.&#10;SA4 code. 213. SA4 region name. Melbourne - West. Utilisation. 68%.&#10;SA4 code. 214. SA4 region name. Mornington Peninsula. Utilisation. 65%.&#10;SA4 code. 215. SA4 region name. North West. Utilisation. 59%.&#10;SA4 code. 216. SA4 region name. Shepparton. Utilisation. 63%.&#10;SA4 code. 217. SA4 region name. Warrnambool and South West. Utilisation. 66%.&#10;SA4 code. 301. SA4 region name. Brisbane - East. Utilisation. 74%.&#10;SA4 code. 302. SA4 region name. Brisbane - North. Utilisation. 74%.&#10;SA4 code. 303. SA4 region name. Brisbane - South. Utilisation. 74%.&#10;SA4 code. 304. SA4 region name. Brisbane - West. Utilisation. 72%.&#10;SA4 code. 305. SA4 region name. Brisbane Inner City. Utilisation. 70%.&#10;SA4 code. 306. SA4 region name. Cairns. Utilisation. 69%.&#10;SA4 code. 307. SA4 region name. Darling Downs - Maranoa. Utilisation. 66%.&#10;SA4 code. 308. SA4 region name. Central Queensland. Utilisation. 63%.&#10;SA4 code. 309. SA4 region name. Gold Coast. Utilisation. 75%.&#10;SA4 code. 310. SA4 region name. Ipswich. Utilisation. 69%.&#10;SA4 code. 311. SA4 region name. Logan - Beaudesert. Utilisation. 73%.&#10;SA4 code. 312. SA4 region name. Mackay - Isaac - Whitsunday. Utilisation. 69%.&#10;SA4 code. 313. SA4 region name. Moreton Bay - North. Utilisation. 70%.&#10;SA4 code. 314. SA4 region name. Moreton Bay - South. Utilisation. 70%.&#10;SA4 code. 315. SA4 region name. Queensland - Outback. Utilisation. 55%.&#10;SA4 code. 316. SA4 region name. Sunshine Coast. Utilisation. 74%.&#10;SA4 code. 317. SA4 region name. Toowoomba. Utilisation. 69%.&#10;SA4 code. 318. SA4 region name. Townsville. Utilisation. 69%.&#10;SA4 code. 319. SA4 region name. Wide Bay. Utilisation. 69%.&#10;SA4 code. 401. SA4 region name. Adelaide - Central and Hills. Utilisation. 67%.&#10;SA4 code. 402. SA4 region name. Adelaide - North. Utilisation. 68%.&#10;SA4 code. 403. SA4 region name. Adelaide - South. Utilisation. 66%.&#10;SA4 code. 404. SA4 region name. Adelaide - West. Utilisation. 69%.&#10;SA4 code. 405. SA4 region name. Barossa - Yorke - Mid North. Utilisation. 65%.&#10;SA4 code. 406. SA4 region name. South Australia - Outback. Utilisation. 51%.&#10;SA4 code. 407. SA4 region name. South Australia - South East. Utilisation. 60%.&#10;SA4 code. 501. SA4 region name. Bunbury. Utilisation. 70%.&#10;SA4 code. 502. SA4 region name. Mandurah. Utilisation. 70%.&#10;SA4 code. 503. SA4 region name. Perth - Inner. Utilisation. 66%.&#10;SA4 code. 504. SA4 region name. Perth - North East. Utilisation. 69%.&#10;SA4 code. 505. SA4 region name. Perth - North West. Utilisation. 67%.&#10;SA4 code. 506. SA4 region name. Perth - South East. Utilisation. 68%.&#10;SA4 code. 507. SA4 region name. Perth - South West. Utilisation. 69%.&#10;SA4 code. 509. SA4 region name. Western Australia - Wheat Belt. Utilisation. 60%.&#10;SA4 code. 510. SA4 region name. Western Australia - Outback (North). Utilisation. 55%.&#10;SA4 code. 511. SA4 region name. Western Australia - Outback (South). Utilisation. 57%.&#10;SA4 code. 601. SA4 region name. Hobart. Utilisation. 69%.&#10;SA4 code. 602. SA4 region name. Launceston and North East. Utilisation. 66%.&#10;SA4 code. 603. SA4 region name. South East. Utilisation. 64%.&#10;SA4 code. 604. SA4 region name. West and North West. Utilisation. 67%.&#10;SA4 code. 701. SA4 region name. Darwin. Utilisation. 72%.&#10;SA4 code. 702. SA4 region name. Northern Territory - Outback. Utilisation. 55%.&#10;SA4 code. 801. SA4 region name. Australian Capital Territory. Utilisation. 73%."/>
                    <pic:cNvPicPr/>
                  </pic:nvPicPr>
                  <pic:blipFill>
                    <a:blip r:embed="rId131"/>
                    <a:stretch>
                      <a:fillRect/>
                    </a:stretch>
                  </pic:blipFill>
                  <pic:spPr>
                    <a:xfrm>
                      <a:off x="0" y="0"/>
                      <a:ext cx="5976620" cy="5234305"/>
                    </a:xfrm>
                    <a:prstGeom prst="rect">
                      <a:avLst/>
                    </a:prstGeom>
                  </pic:spPr>
                </pic:pic>
              </a:graphicData>
            </a:graphic>
          </wp:inline>
        </w:drawing>
      </w:r>
      <w:r w:rsidRPr="004E6038">
        <w:rPr>
          <w:noProof/>
        </w:rPr>
        <w:t xml:space="preserve"> </w:t>
      </w:r>
    </w:p>
    <w:p w14:paraId="6F0752BF" w14:textId="68D74840" w:rsidR="00A520C9" w:rsidRDefault="00A520C9" w:rsidP="00A520C9">
      <w:pPr>
        <w:pStyle w:val="Heading2"/>
      </w:pPr>
      <w:bookmarkStart w:id="320" w:name="_Toc83997790"/>
      <w:bookmarkStart w:id="321" w:name="_Toc87700502"/>
      <w:bookmarkStart w:id="322" w:name="_Toc88686154"/>
      <w:r>
        <w:t>Variation across package review outcomes</w:t>
      </w:r>
      <w:bookmarkEnd w:id="320"/>
      <w:bookmarkEnd w:id="321"/>
      <w:bookmarkEnd w:id="322"/>
    </w:p>
    <w:p w14:paraId="25FBAA79" w14:textId="7840189E" w:rsidR="002E004A" w:rsidRDefault="002E004A" w:rsidP="002E004A">
      <w:r>
        <w:t>There is significant variation in plan amounts over time</w:t>
      </w:r>
      <w:r w:rsidR="00024698">
        <w:t xml:space="preserve">. Some of this relates to the increases and changing inclusions seen over time (see </w:t>
      </w:r>
      <w:r w:rsidR="002D7FA2">
        <w:t xml:space="preserve">for example </w:t>
      </w:r>
      <w:r w:rsidR="002D7FA2">
        <w:fldChar w:fldCharType="begin"/>
      </w:r>
      <w:r w:rsidR="002D7FA2">
        <w:instrText xml:space="preserve"> REF _Ref87536362 \h </w:instrText>
      </w:r>
      <w:r w:rsidR="002D7FA2">
        <w:fldChar w:fldCharType="separate"/>
      </w:r>
      <w:r w:rsidR="00E6217F">
        <w:t xml:space="preserve">Figure </w:t>
      </w:r>
      <w:r w:rsidR="00E6217F">
        <w:rPr>
          <w:noProof/>
        </w:rPr>
        <w:t>3</w:t>
      </w:r>
      <w:r w:rsidR="00E6217F">
        <w:t>.</w:t>
      </w:r>
      <w:r w:rsidR="00E6217F">
        <w:rPr>
          <w:noProof/>
        </w:rPr>
        <w:t>10</w:t>
      </w:r>
      <w:r w:rsidR="002D7FA2">
        <w:fldChar w:fldCharType="end"/>
      </w:r>
      <w:r w:rsidR="002D7FA2">
        <w:t xml:space="preserve">  in section </w:t>
      </w:r>
      <w:r w:rsidR="002D7FA2" w:rsidRPr="002D7FA2">
        <w:fldChar w:fldCharType="begin"/>
      </w:r>
      <w:r w:rsidR="002D7FA2" w:rsidRPr="002D7FA2">
        <w:instrText xml:space="preserve"> REF _Ref87543774 \r \h </w:instrText>
      </w:r>
      <w:r w:rsidR="002D7FA2">
        <w:instrText xml:space="preserve"> \* MERGEFORMAT </w:instrText>
      </w:r>
      <w:r w:rsidR="002D7FA2" w:rsidRPr="002D7FA2">
        <w:fldChar w:fldCharType="separate"/>
      </w:r>
      <w:r w:rsidR="00E6217F">
        <w:t>3.5</w:t>
      </w:r>
      <w:r w:rsidR="002D7FA2" w:rsidRPr="002D7FA2">
        <w:fldChar w:fldCharType="end"/>
      </w:r>
      <w:r w:rsidR="00024698" w:rsidRPr="002D7FA2">
        <w:t xml:space="preserve">). But beyond the aggregate trends there is significant variation at the individual level too. </w:t>
      </w:r>
      <w:r w:rsidR="005D634C" w:rsidRPr="002D7FA2">
        <w:t xml:space="preserve">Changes </w:t>
      </w:r>
      <w:r w:rsidR="00024698" w:rsidRPr="002D7FA2">
        <w:t xml:space="preserve">in 2020-21 are </w:t>
      </w:r>
      <w:r w:rsidR="005D634C" w:rsidRPr="002D7FA2">
        <w:t>shown below, split between Core, Capacity Building and Capital.</w:t>
      </w:r>
      <w:r w:rsidR="005D634C">
        <w:t xml:space="preserve"> </w:t>
      </w:r>
    </w:p>
    <w:p w14:paraId="23B865F4" w14:textId="10F5CDCF" w:rsidR="005D634C" w:rsidRDefault="005D634C" w:rsidP="005D634C">
      <w:pPr>
        <w:pStyle w:val="Bullet1"/>
      </w:pPr>
      <w:r>
        <w:t>The largest variability (in terms of lowest correlation over time) is the Capital component; this makes sense, given it often has a significant one-off investment component.</w:t>
      </w:r>
    </w:p>
    <w:p w14:paraId="40E52D2E" w14:textId="30204328" w:rsidR="005D634C" w:rsidRDefault="005D634C" w:rsidP="005D634C">
      <w:pPr>
        <w:pStyle w:val="Bullet1"/>
      </w:pPr>
      <w:r>
        <w:t xml:space="preserve">Capacity building components vary significantly, particularly </w:t>
      </w:r>
      <w:r w:rsidR="00A8154A">
        <w:t>for people with larger capacity building amounts allocated in a particular year.</w:t>
      </w:r>
    </w:p>
    <w:p w14:paraId="1F5DD386" w14:textId="1DCC7673" w:rsidR="005D634C" w:rsidRPr="005D634C" w:rsidRDefault="00A8154A" w:rsidP="005D634C">
      <w:pPr>
        <w:pStyle w:val="Bullet1"/>
      </w:pPr>
      <w:r>
        <w:t>Core payments show the most stability. About 20% of people have a change in the core supports of at least $20,000 on plan review.</w:t>
      </w:r>
    </w:p>
    <w:p w14:paraId="6D99E4EE" w14:textId="77777777" w:rsidR="005D634C" w:rsidRPr="005D634C" w:rsidRDefault="005D634C" w:rsidP="005D634C"/>
    <w:p w14:paraId="6748F60D" w14:textId="38C3BCF0" w:rsidR="00024698" w:rsidRDefault="00024698" w:rsidP="00024698">
      <w:pPr>
        <w:pStyle w:val="Caption"/>
      </w:pPr>
      <w:r>
        <w:t xml:space="preserve">Figure </w:t>
      </w:r>
      <w:r w:rsidR="009366CE">
        <w:fldChar w:fldCharType="begin"/>
      </w:r>
      <w:r w:rsidR="009366CE">
        <w:instrText xml:space="preserve"> STYLEREF 1 \s </w:instrText>
      </w:r>
      <w:r w:rsidR="009366CE">
        <w:fldChar w:fldCharType="separate"/>
      </w:r>
      <w:r w:rsidR="00E6217F">
        <w:rPr>
          <w:noProof/>
        </w:rPr>
        <w:t>8</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6</w:t>
      </w:r>
      <w:r w:rsidR="009366CE">
        <w:fldChar w:fldCharType="end"/>
      </w:r>
      <w:r>
        <w:t xml:space="preserve"> – Change in supports between successive plan changes, 2020-21</w:t>
      </w:r>
    </w:p>
    <w:p w14:paraId="77E45F83" w14:textId="066D8D20" w:rsidR="002E004A" w:rsidRDefault="00024698" w:rsidP="00A520C9">
      <w:r>
        <w:rPr>
          <w:noProof/>
        </w:rPr>
        <w:drawing>
          <wp:inline distT="0" distB="0" distL="0" distR="0" wp14:anchorId="053363D4" wp14:editId="25F8BB3A">
            <wp:extent cx="6018663" cy="1960835"/>
            <wp:effectExtent l="0" t="0" r="0" b="0"/>
            <wp:docPr id="92" name="Picture 92" descr="Core.&#10;Correlation = 0.86.&#10;&#10;CB.&#10;Correlation = 0.71.&#10;&#10;Capital&#10;Correlation =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ore.&#10;Correlation = 0.86.&#10;&#10;CB.&#10;Correlation = 0.71.&#10;&#10;Capital&#10;Correlation = 0.36"/>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6043352" cy="1968878"/>
                    </a:xfrm>
                    <a:prstGeom prst="rect">
                      <a:avLst/>
                    </a:prstGeom>
                    <a:noFill/>
                  </pic:spPr>
                </pic:pic>
              </a:graphicData>
            </a:graphic>
          </wp:inline>
        </w:drawing>
      </w:r>
    </w:p>
    <w:p w14:paraId="5656D3C5" w14:textId="5AE7563E" w:rsidR="00821223" w:rsidRDefault="00C41D5A" w:rsidP="00A520C9">
      <w:r>
        <w:t xml:space="preserve">Another dimension of package reviews is planner-level variability; it may be the case that some planners tend to favour higher or lower packages for certain groups of people. Our data does not have a planner ID and so we have not undertaken this analysis. We understand that the NDIS has examined this question in 2018 and found reasonable levels of planner-level variation. </w:t>
      </w:r>
    </w:p>
    <w:p w14:paraId="02EA22FD" w14:textId="768C20DC" w:rsidR="00821223" w:rsidRDefault="00D4410A" w:rsidP="00A520C9">
      <w:r>
        <w:t>Much of the variation in packages translates into payments too</w:t>
      </w:r>
      <w:r w:rsidR="00A8154A">
        <w:t>, where variation can be even greater</w:t>
      </w:r>
      <w:r>
        <w:t xml:space="preserve">. </w:t>
      </w:r>
      <w:r w:rsidR="001C13F1">
        <w:t xml:space="preserve">This is shown in </w:t>
      </w:r>
      <w:r w:rsidR="001C13F1">
        <w:fldChar w:fldCharType="begin"/>
      </w:r>
      <w:r w:rsidR="001C13F1">
        <w:instrText xml:space="preserve"> REF _Ref86942313 \h </w:instrText>
      </w:r>
      <w:r w:rsidR="001C13F1">
        <w:fldChar w:fldCharType="separate"/>
      </w:r>
      <w:r w:rsidR="00E6217F">
        <w:t xml:space="preserve">Figure </w:t>
      </w:r>
      <w:r w:rsidR="00E6217F">
        <w:rPr>
          <w:noProof/>
        </w:rPr>
        <w:t>4</w:t>
      </w:r>
      <w:r w:rsidR="00E6217F">
        <w:t>.</w:t>
      </w:r>
      <w:r w:rsidR="00E6217F">
        <w:rPr>
          <w:noProof/>
        </w:rPr>
        <w:t>14</w:t>
      </w:r>
      <w:r w:rsidR="001C13F1">
        <w:fldChar w:fldCharType="end"/>
      </w:r>
      <w:r w:rsidR="001C13F1">
        <w:t xml:space="preserve">, where the </w:t>
      </w:r>
      <w:r>
        <w:t xml:space="preserve">boxplot </w:t>
      </w:r>
      <w:r w:rsidR="001C13F1">
        <w:t xml:space="preserve">demonstrates </w:t>
      </w:r>
      <w:r>
        <w:t xml:space="preserve">the significant variation of payments within groups. </w:t>
      </w:r>
    </w:p>
    <w:p w14:paraId="0136F7D3" w14:textId="730FDC18" w:rsidR="00BC641D" w:rsidRPr="00C56539" w:rsidRDefault="00BC641D" w:rsidP="00BC641D">
      <w:pPr>
        <w:pStyle w:val="Heading2"/>
      </w:pPr>
      <w:bookmarkStart w:id="323" w:name="_Toc87700503"/>
      <w:bookmarkStart w:id="324" w:name="_Toc88686155"/>
      <w:r w:rsidRPr="00C56539">
        <w:t xml:space="preserve">Variation </w:t>
      </w:r>
      <w:r>
        <w:t>in utilisation by type of</w:t>
      </w:r>
      <w:r w:rsidRPr="00C56539">
        <w:t xml:space="preserve"> plan management</w:t>
      </w:r>
      <w:bookmarkEnd w:id="323"/>
      <w:bookmarkEnd w:id="324"/>
      <w:r w:rsidRPr="00C56539">
        <w:t xml:space="preserve"> </w:t>
      </w:r>
    </w:p>
    <w:p w14:paraId="2A30644F" w14:textId="15B9DB5F" w:rsidR="00BC641D" w:rsidRDefault="00BC641D" w:rsidP="00BC641D">
      <w:pPr>
        <w:rPr>
          <w:rFonts w:eastAsia="Times New Roman"/>
          <w:lang w:val="en-US"/>
        </w:rPr>
      </w:pPr>
      <w:r>
        <w:t xml:space="preserve">We have examined utilisation across plan management methods. The analysis focused on active participants aged over 35 who had the same type of plan management throughout 2020-21, thereby removing potential differences between adults and children and impacts arising from a change in management. In 2020-21, nearly 60% of non-SIL participants have their funds managed by plan managers and around 26% were agency managed. As shown in </w:t>
      </w:r>
      <w:r>
        <w:fldChar w:fldCharType="begin"/>
      </w:r>
      <w:r>
        <w:instrText xml:space="preserve"> REF _Ref87604443 \h </w:instrText>
      </w:r>
      <w:r>
        <w:fldChar w:fldCharType="separate"/>
      </w:r>
      <w:r w:rsidR="00E6217F">
        <w:t xml:space="preserve">Figure </w:t>
      </w:r>
      <w:r w:rsidR="00E6217F">
        <w:rPr>
          <w:noProof/>
        </w:rPr>
        <w:t>8</w:t>
      </w:r>
      <w:r w:rsidR="00E6217F">
        <w:t>.</w:t>
      </w:r>
      <w:r w:rsidR="00E6217F">
        <w:rPr>
          <w:noProof/>
        </w:rPr>
        <w:t>7</w:t>
      </w:r>
      <w:r>
        <w:fldChar w:fldCharType="end"/>
      </w:r>
      <w:r>
        <w:t xml:space="preserve">, plan utilisation </w:t>
      </w:r>
      <w:r>
        <w:rPr>
          <w:rFonts w:eastAsia="Times New Roman"/>
          <w:lang w:val="en-US"/>
        </w:rPr>
        <w:t>was similar across all management methods.</w:t>
      </w:r>
    </w:p>
    <w:p w14:paraId="1D84EBAA" w14:textId="264AFF9F" w:rsidR="00BC641D" w:rsidRDefault="00BC641D" w:rsidP="00BC641D">
      <w:r>
        <w:fldChar w:fldCharType="begin"/>
      </w:r>
      <w:r>
        <w:instrText xml:space="preserve"> REF _Ref87604443 \h </w:instrText>
      </w:r>
      <w:r>
        <w:fldChar w:fldCharType="separate"/>
      </w:r>
      <w:r w:rsidR="00E6217F">
        <w:t xml:space="preserve">Figure </w:t>
      </w:r>
      <w:r w:rsidR="00E6217F">
        <w:rPr>
          <w:noProof/>
        </w:rPr>
        <w:t>8</w:t>
      </w:r>
      <w:r w:rsidR="00E6217F">
        <w:t>.</w:t>
      </w:r>
      <w:r w:rsidR="00E6217F">
        <w:rPr>
          <w:noProof/>
        </w:rPr>
        <w:t>7</w:t>
      </w:r>
      <w:r>
        <w:fldChar w:fldCharType="end"/>
      </w:r>
      <w:r>
        <w:t xml:space="preserve"> shows plan utilisation for 2020-21 by plan management method.</w:t>
      </w:r>
    </w:p>
    <w:p w14:paraId="0F519EBE" w14:textId="7A7D0F44" w:rsidR="00BC641D" w:rsidRPr="00EF0A54" w:rsidRDefault="00BC641D" w:rsidP="00BC641D">
      <w:pPr>
        <w:pStyle w:val="Caption"/>
      </w:pPr>
      <w:bookmarkStart w:id="325" w:name="_Ref87604443"/>
      <w:r>
        <w:t xml:space="preserve">Figure </w:t>
      </w:r>
      <w:r>
        <w:fldChar w:fldCharType="begin"/>
      </w:r>
      <w:r>
        <w:instrText xml:space="preserve"> STYLEREF 1 \s </w:instrText>
      </w:r>
      <w:r>
        <w:fldChar w:fldCharType="separate"/>
      </w:r>
      <w:r w:rsidR="00E6217F">
        <w:rPr>
          <w:noProof/>
        </w:rPr>
        <w:t>8</w:t>
      </w:r>
      <w:r>
        <w:fldChar w:fldCharType="end"/>
      </w:r>
      <w:r>
        <w:t>.</w:t>
      </w:r>
      <w:r>
        <w:fldChar w:fldCharType="begin"/>
      </w:r>
      <w:r>
        <w:instrText xml:space="preserve"> SEQ Figure \* ARABIC \s 1 </w:instrText>
      </w:r>
      <w:r>
        <w:fldChar w:fldCharType="separate"/>
      </w:r>
      <w:r w:rsidR="00E6217F">
        <w:rPr>
          <w:noProof/>
        </w:rPr>
        <w:t>7</w:t>
      </w:r>
      <w:r>
        <w:fldChar w:fldCharType="end"/>
      </w:r>
      <w:bookmarkEnd w:id="325"/>
      <w:r>
        <w:t xml:space="preserve"> – Plan utilisation for 2020-21 by plan management method </w:t>
      </w:r>
    </w:p>
    <w:p w14:paraId="66FE1C20" w14:textId="4943AB86" w:rsidR="00D4410A" w:rsidRDefault="00BC641D" w:rsidP="00BC641D">
      <w:r w:rsidRPr="00D90C4A">
        <w:rPr>
          <w:noProof/>
        </w:rPr>
        <w:t xml:space="preserve"> </w:t>
      </w:r>
      <w:r>
        <w:rPr>
          <w:noProof/>
        </w:rPr>
        <w:drawing>
          <wp:inline distT="0" distB="0" distL="0" distR="0" wp14:anchorId="44181EFA" wp14:editId="07837FB1">
            <wp:extent cx="4657725" cy="2962275"/>
            <wp:effectExtent l="0" t="0" r="9525" b="9525"/>
            <wp:docPr id="6" name="Graphic 6" descr="Plan amounts. $0 to $50K.&#10;Agency Managed. Utilisation Rate. 56%.&#10;Plan Managed Partly. 60%.&#10;Self Managed Fully. 56%.&#10;Self Managed Partly. 53%.&#10;&#10;$50K to $100K.&#10;Agency Managed. Utilisation Rate. 62%.&#10;Plan Managed Partly. 64%.&#10;Self Managed Fully. 63%.&#10;Self Managed Partly. 56%.&#10;&#10;$100K to $200K.&#10;Agency Managed. Utilisation Rate. 74%.&#10;Plan Managed Partly. 72%.&#10;Self Managed Fully. 71%.&#10;Self Managed Partly. 67%.&#10;&#10;$200K+.&#10;Agency Managed. Utilisation Rate. 82%.&#10;Plan Managed Partly. 81%.&#10;Self Managed Fully. 84%.&#10;Self Managed Partly.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Plan amounts. $0 to $50K.&#10;Agency Managed. Utilisation Rate. 56%.&#10;Plan Managed Partly. 60%.&#10;Self Managed Fully. 56%.&#10;Self Managed Partly. 53%.&#10;&#10;$50K to $100K.&#10;Agency Managed. Utilisation Rate. 62%.&#10;Plan Managed Partly. 64%.&#10;Self Managed Fully. 63%.&#10;Self Managed Partly. 56%.&#10;&#10;$100K to $200K.&#10;Agency Managed. Utilisation Rate. 74%.&#10;Plan Managed Partly. 72%.&#10;Self Managed Fully. 71%.&#10;Self Managed Partly. 67%.&#10;&#10;$200K+.&#10;Agency Managed. Utilisation Rate. 82%.&#10;Plan Managed Partly. 81%.&#10;Self Managed Fully. 84%.&#10;Self Managed Partly. 78%."/>
                    <pic:cNvPicPr/>
                  </pic:nvPicPr>
                  <pic:blipFill>
                    <a:blip r:embed="rId133">
                      <a:extLst>
                        <a:ext uri="{96DAC541-7B7A-43D3-8B79-37D633B846F1}">
                          <asvg:svgBlip xmlns:asvg="http://schemas.microsoft.com/office/drawing/2016/SVG/main" r:embed="rId134"/>
                        </a:ext>
                      </a:extLst>
                    </a:blip>
                    <a:stretch>
                      <a:fillRect/>
                    </a:stretch>
                  </pic:blipFill>
                  <pic:spPr>
                    <a:xfrm>
                      <a:off x="0" y="0"/>
                      <a:ext cx="4657725" cy="2962275"/>
                    </a:xfrm>
                    <a:prstGeom prst="rect">
                      <a:avLst/>
                    </a:prstGeom>
                  </pic:spPr>
                </pic:pic>
              </a:graphicData>
            </a:graphic>
          </wp:inline>
        </w:drawing>
      </w:r>
    </w:p>
    <w:p w14:paraId="538873D6" w14:textId="77777777" w:rsidR="00CD1A99" w:rsidRDefault="00CD1A99" w:rsidP="00D91B36">
      <w:pPr>
        <w:pStyle w:val="Heading1"/>
      </w:pPr>
      <w:bookmarkStart w:id="326" w:name="_Ref87480034"/>
      <w:bookmarkStart w:id="327" w:name="_Toc87700504"/>
      <w:bookmarkStart w:id="328" w:name="_Toc88686156"/>
      <w:r>
        <w:t>Implications</w:t>
      </w:r>
      <w:bookmarkEnd w:id="326"/>
      <w:bookmarkEnd w:id="327"/>
      <w:bookmarkEnd w:id="328"/>
    </w:p>
    <w:p w14:paraId="03BF33F9" w14:textId="2A3A1E06" w:rsidR="001F28B3" w:rsidRDefault="00485F4E" w:rsidP="00CD1A99">
      <w:pPr>
        <w:pStyle w:val="Heading2"/>
      </w:pPr>
      <w:bookmarkStart w:id="329" w:name="_Toc88686157"/>
      <w:bookmarkStart w:id="330" w:name="_Toc87700505"/>
      <w:r>
        <w:t>Key c</w:t>
      </w:r>
      <w:r w:rsidR="001F28B3">
        <w:t>onsiderations</w:t>
      </w:r>
      <w:bookmarkEnd w:id="329"/>
      <w:r w:rsidR="001F28B3">
        <w:t xml:space="preserve"> </w:t>
      </w:r>
      <w:bookmarkEnd w:id="330"/>
    </w:p>
    <w:p w14:paraId="3850ED40" w14:textId="5B950FBB" w:rsidR="00247844" w:rsidRPr="00247844" w:rsidRDefault="00795A4E" w:rsidP="00247844">
      <w:r>
        <w:t>Although this</w:t>
      </w:r>
      <w:r w:rsidR="00247844">
        <w:t xml:space="preserve"> report does not attempt to make policy recommendations that go beyond what we can see in the data, we take this opportunity to highlight a few areas that we believe are relevant to the question of long-term </w:t>
      </w:r>
      <w:r w:rsidR="00232FFF">
        <w:t>Scheme</w:t>
      </w:r>
      <w:r w:rsidR="00247844">
        <w:t xml:space="preserve"> costs. </w:t>
      </w:r>
    </w:p>
    <w:p w14:paraId="43451AAD" w14:textId="1E12E3CD" w:rsidR="001F28B3" w:rsidRDefault="00CC7AC1" w:rsidP="00D4410A">
      <w:pPr>
        <w:pStyle w:val="Heading3"/>
      </w:pPr>
      <w:r>
        <w:t>The value of o</w:t>
      </w:r>
      <w:r w:rsidR="00D4410A">
        <w:t>bjective data</w:t>
      </w:r>
    </w:p>
    <w:p w14:paraId="134EA1D6" w14:textId="0C70873B" w:rsidR="00375312" w:rsidRDefault="00D4410A" w:rsidP="00D4410A">
      <w:r>
        <w:t xml:space="preserve">A key limitation of our work, and </w:t>
      </w:r>
      <w:r w:rsidR="00375312">
        <w:t xml:space="preserve">one echoed in comments by </w:t>
      </w:r>
      <w:r>
        <w:t xml:space="preserve">the Scheme Actuary, is that </w:t>
      </w:r>
      <w:r w:rsidR="00375312">
        <w:t xml:space="preserve">it is hard to comment on aspects of the </w:t>
      </w:r>
      <w:r w:rsidR="00232FFF">
        <w:t>Scheme</w:t>
      </w:r>
      <w:r w:rsidR="00375312">
        <w:t xml:space="preserve"> on the ‘shifting sand’ that is the current data collection. Much of this is related to reliable assessment</w:t>
      </w:r>
      <w:r w:rsidR="004A64D1">
        <w:t>s</w:t>
      </w:r>
      <w:r w:rsidR="00375312">
        <w:t xml:space="preserve"> of functional </w:t>
      </w:r>
      <w:r w:rsidR="004A64D1">
        <w:t>capacity over time</w:t>
      </w:r>
      <w:r w:rsidR="00375312">
        <w:t>.</w:t>
      </w:r>
    </w:p>
    <w:p w14:paraId="00A379B9" w14:textId="554DDC87" w:rsidR="00375312" w:rsidRDefault="00512430" w:rsidP="00375312">
      <w:pPr>
        <w:pStyle w:val="Bullet1"/>
      </w:pPr>
      <w:r>
        <w:t xml:space="preserve">Much of the cost escalation seen per participant over time could be justified if the apparent deterioration observable in the data (see for </w:t>
      </w:r>
      <w:r w:rsidRPr="00404142">
        <w:t xml:space="preserve">example the rates of movement in </w:t>
      </w:r>
      <w:r w:rsidR="00404142" w:rsidRPr="00404142">
        <w:fldChar w:fldCharType="begin"/>
      </w:r>
      <w:r w:rsidR="00404142" w:rsidRPr="00404142">
        <w:instrText xml:space="preserve"> REF _Ref83762864 \h </w:instrText>
      </w:r>
      <w:r w:rsidR="00404142">
        <w:instrText xml:space="preserve"> \* MERGEFORMAT </w:instrText>
      </w:r>
      <w:r w:rsidR="00404142" w:rsidRPr="00404142">
        <w:fldChar w:fldCharType="separate"/>
      </w:r>
      <w:r w:rsidR="00E6217F">
        <w:t xml:space="preserve">Figure </w:t>
      </w:r>
      <w:r w:rsidR="00E6217F">
        <w:rPr>
          <w:noProof/>
        </w:rPr>
        <w:t>3.5</w:t>
      </w:r>
      <w:r w:rsidR="00404142" w:rsidRPr="00404142">
        <w:fldChar w:fldCharType="end"/>
      </w:r>
      <w:r w:rsidR="00404142" w:rsidRPr="00404142">
        <w:t>, p</w:t>
      </w:r>
      <w:r w:rsidR="00404142" w:rsidRPr="00404142">
        <w:fldChar w:fldCharType="begin"/>
      </w:r>
      <w:r w:rsidR="00404142" w:rsidRPr="00404142">
        <w:instrText xml:space="preserve"> PAGEREF _Ref87652376 \h </w:instrText>
      </w:r>
      <w:r w:rsidR="00404142" w:rsidRPr="00404142">
        <w:fldChar w:fldCharType="separate"/>
      </w:r>
      <w:r w:rsidR="00E6217F">
        <w:rPr>
          <w:noProof/>
        </w:rPr>
        <w:t>15</w:t>
      </w:r>
      <w:r w:rsidR="00404142" w:rsidRPr="00404142">
        <w:fldChar w:fldCharType="end"/>
      </w:r>
      <w:r w:rsidRPr="00404142">
        <w:t>) was legitimate. However, if the movement is m</w:t>
      </w:r>
      <w:r>
        <w:t xml:space="preserve">ore due </w:t>
      </w:r>
      <w:r w:rsidR="00404142">
        <w:t xml:space="preserve">behavioural effects in </w:t>
      </w:r>
      <w:r>
        <w:t>the planning process</w:t>
      </w:r>
      <w:r w:rsidR="000C5C48">
        <w:t>,</w:t>
      </w:r>
      <w:r>
        <w:t xml:space="preserve"> then there is reduced ability to judge whether supports are appropriate.</w:t>
      </w:r>
    </w:p>
    <w:p w14:paraId="5AEDE318" w14:textId="642873B5" w:rsidR="00512430" w:rsidRDefault="00512430" w:rsidP="00375312">
      <w:pPr>
        <w:pStyle w:val="Bullet1"/>
      </w:pPr>
      <w:r>
        <w:t xml:space="preserve">Similarly, the average level of payments at entry into the </w:t>
      </w:r>
      <w:r w:rsidR="00232FFF">
        <w:t>Scheme</w:t>
      </w:r>
      <w:r>
        <w:t>, after allow</w:t>
      </w:r>
      <w:r w:rsidR="000C5C48">
        <w:t>ing</w:t>
      </w:r>
      <w:r>
        <w:t xml:space="preserve"> </w:t>
      </w:r>
      <w:r w:rsidR="000C5C48">
        <w:t xml:space="preserve">for </w:t>
      </w:r>
      <w:r w:rsidR="00232FFF">
        <w:t>Scheme</w:t>
      </w:r>
      <w:r>
        <w:t xml:space="preserve">-wide cost escalation, does not look unreasonable. However, </w:t>
      </w:r>
      <w:r w:rsidR="0081568E">
        <w:t xml:space="preserve">if there has been drift in severity assessment this may also represent </w:t>
      </w:r>
      <w:r w:rsidR="000C5C48">
        <w:t xml:space="preserve">an </w:t>
      </w:r>
      <w:r w:rsidR="0081568E">
        <w:t>upward drift in supports.</w:t>
      </w:r>
    </w:p>
    <w:p w14:paraId="3EA332D0" w14:textId="19A05937" w:rsidR="00375312" w:rsidRDefault="007F6BE8" w:rsidP="00375312">
      <w:pPr>
        <w:pStyle w:val="Bullet1"/>
      </w:pPr>
      <w:r>
        <w:t xml:space="preserve">Tying severity and supports to outcomes (e.g. employment and community participation) requires estimation of a baseline counterfactual rate. This is difficult if initial severity is uncertain. </w:t>
      </w:r>
    </w:p>
    <w:p w14:paraId="76F9BF9C" w14:textId="7517E84D" w:rsidR="00D4410A" w:rsidRDefault="007F6BE8" w:rsidP="00D4410A">
      <w:r>
        <w:t xml:space="preserve">We support the collection of more robust objective data on functional capacity and </w:t>
      </w:r>
      <w:r w:rsidR="00817C12">
        <w:t xml:space="preserve">participant </w:t>
      </w:r>
      <w:r>
        <w:t>support</w:t>
      </w:r>
      <w:r w:rsidR="00817C12">
        <w:t xml:space="preserve"> needs. Ultimately this is needed to ensure consistency in the provision of reasonable and necessary supports over time.</w:t>
      </w:r>
    </w:p>
    <w:p w14:paraId="1C8781D4" w14:textId="510C34BE" w:rsidR="00C72C36" w:rsidRDefault="00370A8A" w:rsidP="00C72C36">
      <w:pPr>
        <w:pStyle w:val="Heading3"/>
      </w:pPr>
      <w:r>
        <w:t xml:space="preserve">Entry into the </w:t>
      </w:r>
      <w:r w:rsidR="00232FFF">
        <w:t>Scheme</w:t>
      </w:r>
      <w:r w:rsidR="00245C10">
        <w:t xml:space="preserve"> and </w:t>
      </w:r>
      <w:r w:rsidR="00232FFF">
        <w:t>Scheme</w:t>
      </w:r>
      <w:r w:rsidR="00245C10">
        <w:t xml:space="preserve"> numbers</w:t>
      </w:r>
    </w:p>
    <w:p w14:paraId="6D9E2BCF" w14:textId="6B20D77C" w:rsidR="00370A8A" w:rsidRDefault="000C5C48" w:rsidP="00370A8A">
      <w:r>
        <w:t>Half</w:t>
      </w:r>
      <w:r w:rsidR="00DF0812">
        <w:t xml:space="preserve"> of </w:t>
      </w:r>
      <w:r w:rsidR="00232FFF">
        <w:t>Scheme</w:t>
      </w:r>
      <w:r w:rsidR="00DF0812">
        <w:t xml:space="preserve"> entrants in 2020-21 were children with autism or developmental delay</w:t>
      </w:r>
      <w:r w:rsidR="002B1836">
        <w:rPr>
          <w:rStyle w:val="FootnoteReference"/>
        </w:rPr>
        <w:footnoteReference w:id="27"/>
      </w:r>
      <w:r w:rsidR="0081568E">
        <w:t xml:space="preserve"> – 40,000 in total</w:t>
      </w:r>
      <w:r w:rsidR="00DF0812">
        <w:t xml:space="preserve">. </w:t>
      </w:r>
      <w:r w:rsidR="0081568E">
        <w:t xml:space="preserve">This compares to a long-run assumption of 20,000 in the 2018-19 AFSR, which was also </w:t>
      </w:r>
      <w:r w:rsidR="002B1836">
        <w:t xml:space="preserve">twinned </w:t>
      </w:r>
      <w:r w:rsidR="0081568E">
        <w:t>by a much higher rate of exits.</w:t>
      </w:r>
      <w:r w:rsidR="002B1836">
        <w:t xml:space="preserve"> Many of these entrants are joining under early intervention rules. </w:t>
      </w:r>
    </w:p>
    <w:p w14:paraId="2BC8AF21" w14:textId="5EADC32A" w:rsidR="002B1836" w:rsidRDefault="002B1836" w:rsidP="00370A8A">
      <w:r>
        <w:t xml:space="preserve">This will significantly change the nature of the population over time, away from the </w:t>
      </w:r>
      <w:r w:rsidR="00CA2A67">
        <w:t xml:space="preserve">original </w:t>
      </w:r>
      <w:r w:rsidR="007F6BE8">
        <w:t>expectations</w:t>
      </w:r>
      <w:r w:rsidR="00CA2A67">
        <w:t xml:space="preserve"> of the </w:t>
      </w:r>
      <w:r w:rsidR="00232FFF">
        <w:t>Scheme</w:t>
      </w:r>
      <w:r w:rsidR="00CA2A67">
        <w:t xml:space="preserve">. For instance, 2015 research on the inclusion of developmental delay estimated </w:t>
      </w:r>
      <w:r w:rsidR="000C5C48">
        <w:t xml:space="preserve">an additional </w:t>
      </w:r>
      <w:r w:rsidR="00CA2A67">
        <w:t>11,600 children</w:t>
      </w:r>
      <w:r w:rsidR="000C5C48">
        <w:t xml:space="preserve"> annually</w:t>
      </w:r>
      <w:r w:rsidR="00CA2A67">
        <w:t xml:space="preserve"> with a cost of $155</w:t>
      </w:r>
      <w:r w:rsidR="000C5C48">
        <w:t>M</w:t>
      </w:r>
      <w:r w:rsidR="00CD1A99">
        <w:rPr>
          <w:rStyle w:val="FootnoteReference"/>
        </w:rPr>
        <w:footnoteReference w:id="28"/>
      </w:r>
      <w:r w:rsidR="00CA2A67">
        <w:t xml:space="preserve">. </w:t>
      </w:r>
      <w:r w:rsidR="00EF7D37">
        <w:t>Current numbers are three times as large.</w:t>
      </w:r>
      <w:r w:rsidR="00245C10">
        <w:t xml:space="preserve"> More generally, overall 2025 </w:t>
      </w:r>
      <w:r w:rsidR="00232FFF">
        <w:t>Scheme</w:t>
      </w:r>
      <w:r w:rsidR="00245C10">
        <w:t xml:space="preserve"> numbers are comparable to the Productivity Commission 2011 estimates for older Australians</w:t>
      </w:r>
      <w:r w:rsidR="00ED2FC8">
        <w:t>,</w:t>
      </w:r>
      <w:r w:rsidR="00245C10">
        <w:t xml:space="preserve"> but twice as high for the 0-14 age group. </w:t>
      </w:r>
    </w:p>
    <w:p w14:paraId="62DE4575" w14:textId="3E02B0EB" w:rsidR="00245C10" w:rsidRDefault="007F6BE8" w:rsidP="007F6BE8">
      <w:pPr>
        <w:pStyle w:val="Caption"/>
      </w:pPr>
      <w:r>
        <w:t xml:space="preserve">Table </w:t>
      </w:r>
      <w:r>
        <w:fldChar w:fldCharType="begin"/>
      </w:r>
      <w:r>
        <w:instrText xml:space="preserve"> STYLEREF 1 \s </w:instrText>
      </w:r>
      <w:r>
        <w:fldChar w:fldCharType="separate"/>
      </w:r>
      <w:r w:rsidR="00E6217F">
        <w:rPr>
          <w:noProof/>
        </w:rPr>
        <w:t>9</w:t>
      </w:r>
      <w:r>
        <w:fldChar w:fldCharType="end"/>
      </w:r>
      <w:r>
        <w:t>.</w:t>
      </w:r>
      <w:r>
        <w:fldChar w:fldCharType="begin"/>
      </w:r>
      <w:r>
        <w:instrText xml:space="preserve"> SEQ Table \* ARABIC \s 1 </w:instrText>
      </w:r>
      <w:r>
        <w:fldChar w:fldCharType="separate"/>
      </w:r>
      <w:r w:rsidR="00E6217F">
        <w:rPr>
          <w:noProof/>
        </w:rPr>
        <w:t>1</w:t>
      </w:r>
      <w:r>
        <w:fldChar w:fldCharType="end"/>
      </w:r>
      <w:r>
        <w:t xml:space="preserve"> </w:t>
      </w:r>
      <w:r w:rsidR="001C13F1">
        <w:t xml:space="preserve">– </w:t>
      </w:r>
      <w:r>
        <w:t>Comparison of Productivity Commission 2011 estimates of participant numbers to actual and projected NDIS numbers</w:t>
      </w:r>
    </w:p>
    <w:tbl>
      <w:tblPr>
        <w:tblStyle w:val="TFBlue"/>
        <w:tblW w:w="8470" w:type="dxa"/>
        <w:tblLook w:val="04A0" w:firstRow="1" w:lastRow="0" w:firstColumn="1" w:lastColumn="0" w:noHBand="0" w:noVBand="1"/>
      </w:tblPr>
      <w:tblGrid>
        <w:gridCol w:w="3085"/>
        <w:gridCol w:w="1077"/>
        <w:gridCol w:w="1077"/>
        <w:gridCol w:w="1077"/>
        <w:gridCol w:w="1077"/>
        <w:gridCol w:w="1077"/>
      </w:tblGrid>
      <w:tr w:rsidR="00245C10" w14:paraId="22757A5F" w14:textId="77777777" w:rsidTr="00245C10">
        <w:trPr>
          <w:cnfStyle w:val="100000000000" w:firstRow="1" w:lastRow="0" w:firstColumn="0" w:lastColumn="0" w:oddVBand="0" w:evenVBand="0" w:oddHBand="0" w:evenHBand="0" w:firstRowFirstColumn="0" w:firstRowLastColumn="0" w:lastRowFirstColumn="0" w:lastRowLastColumn="0"/>
        </w:trPr>
        <w:tc>
          <w:tcPr>
            <w:tcW w:w="3085" w:type="dxa"/>
          </w:tcPr>
          <w:p w14:paraId="4CB27C45" w14:textId="77777777" w:rsidR="00245C10" w:rsidRDefault="00245C10" w:rsidP="00FD373D">
            <w:pPr>
              <w:keepNext/>
            </w:pPr>
          </w:p>
        </w:tc>
        <w:tc>
          <w:tcPr>
            <w:tcW w:w="1077" w:type="dxa"/>
          </w:tcPr>
          <w:p w14:paraId="76565195" w14:textId="734059F6" w:rsidR="00245C10" w:rsidRDefault="00245C10" w:rsidP="00FD373D">
            <w:pPr>
              <w:keepNext/>
              <w:jc w:val="center"/>
            </w:pPr>
            <w:r w:rsidRPr="001C2AB9">
              <w:t>0-14</w:t>
            </w:r>
          </w:p>
        </w:tc>
        <w:tc>
          <w:tcPr>
            <w:tcW w:w="1077" w:type="dxa"/>
          </w:tcPr>
          <w:p w14:paraId="6884BE42" w14:textId="06C83306" w:rsidR="00245C10" w:rsidRDefault="00245C10" w:rsidP="00FD373D">
            <w:pPr>
              <w:keepNext/>
              <w:jc w:val="center"/>
            </w:pPr>
            <w:r w:rsidRPr="001C2AB9">
              <w:t>15-49</w:t>
            </w:r>
          </w:p>
        </w:tc>
        <w:tc>
          <w:tcPr>
            <w:tcW w:w="1077" w:type="dxa"/>
          </w:tcPr>
          <w:p w14:paraId="4783D101" w14:textId="495A1C02" w:rsidR="00245C10" w:rsidRDefault="00245C10" w:rsidP="00FD373D">
            <w:pPr>
              <w:keepNext/>
              <w:jc w:val="center"/>
            </w:pPr>
            <w:r w:rsidRPr="001C2AB9">
              <w:t>50-65</w:t>
            </w:r>
          </w:p>
        </w:tc>
        <w:tc>
          <w:tcPr>
            <w:tcW w:w="1077" w:type="dxa"/>
          </w:tcPr>
          <w:p w14:paraId="26F5E3D7" w14:textId="20F166B9" w:rsidR="00245C10" w:rsidRDefault="00245C10" w:rsidP="00FD373D">
            <w:pPr>
              <w:keepNext/>
              <w:jc w:val="center"/>
            </w:pPr>
            <w:r w:rsidRPr="001C2AB9">
              <w:t>65+</w:t>
            </w:r>
          </w:p>
        </w:tc>
        <w:tc>
          <w:tcPr>
            <w:tcW w:w="1077" w:type="dxa"/>
          </w:tcPr>
          <w:p w14:paraId="423265BA" w14:textId="67FE938F" w:rsidR="00245C10" w:rsidRDefault="00245C10" w:rsidP="00FD373D">
            <w:pPr>
              <w:keepNext/>
              <w:jc w:val="center"/>
            </w:pPr>
            <w:r w:rsidRPr="001C2AB9">
              <w:t>Total</w:t>
            </w:r>
          </w:p>
        </w:tc>
      </w:tr>
      <w:tr w:rsidR="00245C10" w14:paraId="62F32FA3" w14:textId="77777777" w:rsidTr="00245C10">
        <w:trPr>
          <w:cnfStyle w:val="000000100000" w:firstRow="0" w:lastRow="0" w:firstColumn="0" w:lastColumn="0" w:oddVBand="0" w:evenVBand="0" w:oddHBand="1" w:evenHBand="0" w:firstRowFirstColumn="0" w:firstRowLastColumn="0" w:lastRowFirstColumn="0" w:lastRowLastColumn="0"/>
        </w:trPr>
        <w:tc>
          <w:tcPr>
            <w:tcW w:w="3085" w:type="dxa"/>
          </w:tcPr>
          <w:p w14:paraId="0FE45446" w14:textId="2C6FB250" w:rsidR="00245C10" w:rsidRDefault="00245C10" w:rsidP="00FD373D">
            <w:pPr>
              <w:pStyle w:val="Tabletext"/>
              <w:keepNext/>
            </w:pPr>
            <w:r w:rsidRPr="001C2AB9">
              <w:t>PC 2011</w:t>
            </w:r>
          </w:p>
        </w:tc>
        <w:tc>
          <w:tcPr>
            <w:tcW w:w="1077" w:type="dxa"/>
          </w:tcPr>
          <w:p w14:paraId="4581B907" w14:textId="541866FA" w:rsidR="00245C10" w:rsidRDefault="00245C10" w:rsidP="00FD373D">
            <w:pPr>
              <w:pStyle w:val="Tablenumbers"/>
              <w:keepNext/>
            </w:pPr>
            <w:r w:rsidRPr="001C2AB9">
              <w:t>120,960</w:t>
            </w:r>
          </w:p>
        </w:tc>
        <w:tc>
          <w:tcPr>
            <w:tcW w:w="1077" w:type="dxa"/>
          </w:tcPr>
          <w:p w14:paraId="1CA412D8" w14:textId="47335C56" w:rsidR="00245C10" w:rsidRDefault="00245C10" w:rsidP="00FD373D">
            <w:pPr>
              <w:pStyle w:val="Tablenumbers"/>
              <w:keepNext/>
            </w:pPr>
            <w:r w:rsidRPr="001C2AB9">
              <w:t>196,750</w:t>
            </w:r>
          </w:p>
        </w:tc>
        <w:tc>
          <w:tcPr>
            <w:tcW w:w="1077" w:type="dxa"/>
          </w:tcPr>
          <w:p w14:paraId="5D739F04" w14:textId="186A2F14" w:rsidR="00245C10" w:rsidRDefault="00245C10" w:rsidP="00FD373D">
            <w:pPr>
              <w:pStyle w:val="Tablenumbers"/>
              <w:keepNext/>
            </w:pPr>
            <w:r w:rsidRPr="001C2AB9">
              <w:t>93,540</w:t>
            </w:r>
          </w:p>
        </w:tc>
        <w:tc>
          <w:tcPr>
            <w:tcW w:w="1077" w:type="dxa"/>
          </w:tcPr>
          <w:p w14:paraId="37A83F49" w14:textId="3C9CD1F5" w:rsidR="00245C10" w:rsidRDefault="00245C10" w:rsidP="00FD373D">
            <w:pPr>
              <w:pStyle w:val="Tablenumbers"/>
              <w:keepNext/>
            </w:pPr>
            <w:r w:rsidRPr="001C2AB9">
              <w:t>n/a</w:t>
            </w:r>
          </w:p>
        </w:tc>
        <w:tc>
          <w:tcPr>
            <w:tcW w:w="1077" w:type="dxa"/>
          </w:tcPr>
          <w:p w14:paraId="4C909D66" w14:textId="672F669D" w:rsidR="00245C10" w:rsidRDefault="00245C10" w:rsidP="00FD373D">
            <w:pPr>
              <w:pStyle w:val="Tablenumbers"/>
              <w:keepNext/>
            </w:pPr>
            <w:r w:rsidRPr="001C2AB9">
              <w:t>411,250</w:t>
            </w:r>
          </w:p>
        </w:tc>
      </w:tr>
      <w:tr w:rsidR="00245C10" w14:paraId="4AFE3859" w14:textId="77777777" w:rsidTr="00245C10">
        <w:tc>
          <w:tcPr>
            <w:tcW w:w="3085" w:type="dxa"/>
            <w:tcBorders>
              <w:bottom w:val="single" w:sz="4" w:space="0" w:color="006EC8" w:themeColor="accent1"/>
            </w:tcBorders>
          </w:tcPr>
          <w:p w14:paraId="26777B66" w14:textId="2080813C" w:rsidR="00245C10" w:rsidRDefault="00245C10" w:rsidP="00FD373D">
            <w:pPr>
              <w:pStyle w:val="Tabletext"/>
              <w:keepNext/>
            </w:pPr>
            <w:r w:rsidRPr="001C2AB9">
              <w:t>PC 2011, +17% pop adjusted</w:t>
            </w:r>
          </w:p>
        </w:tc>
        <w:tc>
          <w:tcPr>
            <w:tcW w:w="1077" w:type="dxa"/>
            <w:tcBorders>
              <w:bottom w:val="single" w:sz="4" w:space="0" w:color="006EC8" w:themeColor="accent1"/>
            </w:tcBorders>
          </w:tcPr>
          <w:p w14:paraId="50C5C335" w14:textId="7CEA995C" w:rsidR="00245C10" w:rsidRDefault="00245C10" w:rsidP="00FD373D">
            <w:pPr>
              <w:pStyle w:val="Tablenumbers"/>
              <w:keepNext/>
            </w:pPr>
            <w:r w:rsidRPr="001C2AB9">
              <w:t>141,523</w:t>
            </w:r>
          </w:p>
        </w:tc>
        <w:tc>
          <w:tcPr>
            <w:tcW w:w="1077" w:type="dxa"/>
            <w:tcBorders>
              <w:bottom w:val="single" w:sz="4" w:space="0" w:color="006EC8" w:themeColor="accent1"/>
            </w:tcBorders>
          </w:tcPr>
          <w:p w14:paraId="4DDEA936" w14:textId="4F0A51F6" w:rsidR="00245C10" w:rsidRDefault="00245C10" w:rsidP="00FD373D">
            <w:pPr>
              <w:pStyle w:val="Tablenumbers"/>
              <w:keepNext/>
            </w:pPr>
            <w:r w:rsidRPr="001C2AB9">
              <w:t>230,198</w:t>
            </w:r>
          </w:p>
        </w:tc>
        <w:tc>
          <w:tcPr>
            <w:tcW w:w="1077" w:type="dxa"/>
            <w:tcBorders>
              <w:bottom w:val="single" w:sz="4" w:space="0" w:color="006EC8" w:themeColor="accent1"/>
            </w:tcBorders>
          </w:tcPr>
          <w:p w14:paraId="720E581A" w14:textId="59F727CD" w:rsidR="00245C10" w:rsidRDefault="00245C10" w:rsidP="00FD373D">
            <w:pPr>
              <w:pStyle w:val="Tablenumbers"/>
              <w:keepNext/>
            </w:pPr>
            <w:r w:rsidRPr="001C2AB9">
              <w:t>109,442</w:t>
            </w:r>
          </w:p>
        </w:tc>
        <w:tc>
          <w:tcPr>
            <w:tcW w:w="1077" w:type="dxa"/>
            <w:tcBorders>
              <w:bottom w:val="single" w:sz="4" w:space="0" w:color="006EC8" w:themeColor="accent1"/>
            </w:tcBorders>
          </w:tcPr>
          <w:p w14:paraId="2B56D555" w14:textId="79BED0B7" w:rsidR="00245C10" w:rsidRDefault="00245C10" w:rsidP="00FD373D">
            <w:pPr>
              <w:pStyle w:val="Tablenumbers"/>
              <w:keepNext/>
            </w:pPr>
            <w:r w:rsidRPr="001C2AB9">
              <w:t>n/a</w:t>
            </w:r>
          </w:p>
        </w:tc>
        <w:tc>
          <w:tcPr>
            <w:tcW w:w="1077" w:type="dxa"/>
            <w:tcBorders>
              <w:bottom w:val="single" w:sz="4" w:space="0" w:color="006EC8" w:themeColor="accent1"/>
            </w:tcBorders>
          </w:tcPr>
          <w:p w14:paraId="3D42E955" w14:textId="2859F63E" w:rsidR="00245C10" w:rsidRDefault="00245C10" w:rsidP="00FD373D">
            <w:pPr>
              <w:pStyle w:val="Tablenumbers"/>
              <w:keepNext/>
            </w:pPr>
            <w:r w:rsidRPr="001C2AB9">
              <w:t>481,163</w:t>
            </w:r>
          </w:p>
        </w:tc>
      </w:tr>
      <w:tr w:rsidR="00245C10" w14:paraId="177775F6" w14:textId="77777777" w:rsidTr="00245C10">
        <w:trPr>
          <w:cnfStyle w:val="000000100000" w:firstRow="0" w:lastRow="0" w:firstColumn="0" w:lastColumn="0" w:oddVBand="0" w:evenVBand="0" w:oddHBand="1" w:evenHBand="0" w:firstRowFirstColumn="0" w:firstRowLastColumn="0" w:lastRowFirstColumn="0" w:lastRowLastColumn="0"/>
        </w:trPr>
        <w:tc>
          <w:tcPr>
            <w:tcW w:w="3085" w:type="dxa"/>
            <w:tcBorders>
              <w:top w:val="single" w:sz="4" w:space="0" w:color="006EC8" w:themeColor="accent1"/>
            </w:tcBorders>
          </w:tcPr>
          <w:p w14:paraId="15C47957" w14:textId="1E486272" w:rsidR="00245C10" w:rsidRDefault="00245C10" w:rsidP="00FD373D">
            <w:pPr>
              <w:pStyle w:val="Tabletext"/>
              <w:keepNext/>
            </w:pPr>
            <w:r w:rsidRPr="001C2AB9">
              <w:t>Participants in June 2021 quarter</w:t>
            </w:r>
          </w:p>
        </w:tc>
        <w:tc>
          <w:tcPr>
            <w:tcW w:w="1077" w:type="dxa"/>
            <w:tcBorders>
              <w:top w:val="single" w:sz="4" w:space="0" w:color="006EC8" w:themeColor="accent1"/>
            </w:tcBorders>
          </w:tcPr>
          <w:p w14:paraId="2D6FAB44" w14:textId="59F5728C" w:rsidR="00245C10" w:rsidRDefault="00245C10" w:rsidP="00FD373D">
            <w:pPr>
              <w:pStyle w:val="Tablenumbers"/>
              <w:keepNext/>
            </w:pPr>
            <w:r w:rsidRPr="001C2AB9">
              <w:t>192,870</w:t>
            </w:r>
          </w:p>
        </w:tc>
        <w:tc>
          <w:tcPr>
            <w:tcW w:w="1077" w:type="dxa"/>
            <w:tcBorders>
              <w:top w:val="single" w:sz="4" w:space="0" w:color="006EC8" w:themeColor="accent1"/>
            </w:tcBorders>
          </w:tcPr>
          <w:p w14:paraId="300A0D12" w14:textId="38385B79" w:rsidR="00245C10" w:rsidRDefault="00245C10" w:rsidP="00FD373D">
            <w:pPr>
              <w:pStyle w:val="Tablenumbers"/>
              <w:keepNext/>
            </w:pPr>
            <w:r w:rsidRPr="001C2AB9">
              <w:t>176,547</w:t>
            </w:r>
          </w:p>
        </w:tc>
        <w:tc>
          <w:tcPr>
            <w:tcW w:w="1077" w:type="dxa"/>
            <w:tcBorders>
              <w:top w:val="single" w:sz="4" w:space="0" w:color="006EC8" w:themeColor="accent1"/>
            </w:tcBorders>
          </w:tcPr>
          <w:p w14:paraId="0CA43C51" w14:textId="6519F909" w:rsidR="00245C10" w:rsidRDefault="00245C10" w:rsidP="00FD373D">
            <w:pPr>
              <w:pStyle w:val="Tablenumbers"/>
              <w:keepNext/>
            </w:pPr>
            <w:r w:rsidRPr="001C2AB9">
              <w:t>80,621</w:t>
            </w:r>
          </w:p>
        </w:tc>
        <w:tc>
          <w:tcPr>
            <w:tcW w:w="1077" w:type="dxa"/>
            <w:tcBorders>
              <w:top w:val="single" w:sz="4" w:space="0" w:color="006EC8" w:themeColor="accent1"/>
            </w:tcBorders>
          </w:tcPr>
          <w:p w14:paraId="13AA9B90" w14:textId="3073C46F" w:rsidR="00245C10" w:rsidRDefault="00245C10" w:rsidP="00FD373D">
            <w:pPr>
              <w:pStyle w:val="Tablenumbers"/>
              <w:keepNext/>
            </w:pPr>
            <w:r w:rsidRPr="001C2AB9">
              <w:t>16,581</w:t>
            </w:r>
          </w:p>
        </w:tc>
        <w:tc>
          <w:tcPr>
            <w:tcW w:w="1077" w:type="dxa"/>
            <w:tcBorders>
              <w:top w:val="single" w:sz="4" w:space="0" w:color="006EC8" w:themeColor="accent1"/>
            </w:tcBorders>
          </w:tcPr>
          <w:p w14:paraId="131E9644" w14:textId="64439AF5" w:rsidR="00245C10" w:rsidRDefault="00245C10" w:rsidP="00FD373D">
            <w:pPr>
              <w:pStyle w:val="Tablenumbers"/>
              <w:keepNext/>
            </w:pPr>
            <w:r w:rsidRPr="001C2AB9">
              <w:t>466,619</w:t>
            </w:r>
          </w:p>
        </w:tc>
      </w:tr>
      <w:tr w:rsidR="00245C10" w14:paraId="7B31C0E0" w14:textId="77777777" w:rsidTr="00245C10">
        <w:tc>
          <w:tcPr>
            <w:tcW w:w="3085" w:type="dxa"/>
            <w:tcBorders>
              <w:bottom w:val="single" w:sz="4" w:space="0" w:color="006EC8" w:themeColor="accent1"/>
            </w:tcBorders>
          </w:tcPr>
          <w:p w14:paraId="5CF52E3D" w14:textId="109C9188" w:rsidR="00245C10" w:rsidRDefault="00245C10" w:rsidP="00FD373D">
            <w:pPr>
              <w:pStyle w:val="Tabletext"/>
              <w:keepNext/>
            </w:pPr>
            <w:r w:rsidRPr="001C2AB9">
              <w:t>Ratio to PC</w:t>
            </w:r>
          </w:p>
        </w:tc>
        <w:tc>
          <w:tcPr>
            <w:tcW w:w="1077" w:type="dxa"/>
            <w:tcBorders>
              <w:bottom w:val="single" w:sz="4" w:space="0" w:color="006EC8" w:themeColor="accent1"/>
            </w:tcBorders>
          </w:tcPr>
          <w:p w14:paraId="44FBCC20" w14:textId="6187D0CA" w:rsidR="00245C10" w:rsidRDefault="00245C10" w:rsidP="00FD373D">
            <w:pPr>
              <w:pStyle w:val="Tablenumbers"/>
              <w:keepNext/>
            </w:pPr>
            <w:r w:rsidRPr="001C2AB9">
              <w:t>136%</w:t>
            </w:r>
          </w:p>
        </w:tc>
        <w:tc>
          <w:tcPr>
            <w:tcW w:w="1077" w:type="dxa"/>
            <w:tcBorders>
              <w:bottom w:val="single" w:sz="4" w:space="0" w:color="006EC8" w:themeColor="accent1"/>
            </w:tcBorders>
          </w:tcPr>
          <w:p w14:paraId="0AD2CC08" w14:textId="3261D30A" w:rsidR="00245C10" w:rsidRDefault="00245C10" w:rsidP="00FD373D">
            <w:pPr>
              <w:pStyle w:val="Tablenumbers"/>
              <w:keepNext/>
            </w:pPr>
            <w:r w:rsidRPr="001C2AB9">
              <w:t>77%</w:t>
            </w:r>
          </w:p>
        </w:tc>
        <w:tc>
          <w:tcPr>
            <w:tcW w:w="1077" w:type="dxa"/>
            <w:tcBorders>
              <w:bottom w:val="single" w:sz="4" w:space="0" w:color="006EC8" w:themeColor="accent1"/>
            </w:tcBorders>
          </w:tcPr>
          <w:p w14:paraId="53EA11AB" w14:textId="6DE9F18F" w:rsidR="00245C10" w:rsidRDefault="00245C10" w:rsidP="00FD373D">
            <w:pPr>
              <w:pStyle w:val="Tablenumbers"/>
              <w:keepNext/>
            </w:pPr>
            <w:r w:rsidRPr="001C2AB9">
              <w:t>74%</w:t>
            </w:r>
          </w:p>
        </w:tc>
        <w:tc>
          <w:tcPr>
            <w:tcW w:w="1077" w:type="dxa"/>
            <w:tcBorders>
              <w:bottom w:val="single" w:sz="4" w:space="0" w:color="006EC8" w:themeColor="accent1"/>
            </w:tcBorders>
          </w:tcPr>
          <w:p w14:paraId="55B4A0E4" w14:textId="77777777" w:rsidR="00245C10" w:rsidRDefault="00245C10" w:rsidP="00FD373D">
            <w:pPr>
              <w:pStyle w:val="Tablenumbers"/>
              <w:keepNext/>
            </w:pPr>
          </w:p>
        </w:tc>
        <w:tc>
          <w:tcPr>
            <w:tcW w:w="1077" w:type="dxa"/>
            <w:tcBorders>
              <w:bottom w:val="single" w:sz="4" w:space="0" w:color="006EC8" w:themeColor="accent1"/>
            </w:tcBorders>
          </w:tcPr>
          <w:p w14:paraId="0D8D2785" w14:textId="42E4ED5D" w:rsidR="00245C10" w:rsidRDefault="00245C10" w:rsidP="00FD373D">
            <w:pPr>
              <w:pStyle w:val="Tablenumbers"/>
              <w:keepNext/>
            </w:pPr>
            <w:r w:rsidRPr="001C2AB9">
              <w:t>97%</w:t>
            </w:r>
          </w:p>
        </w:tc>
      </w:tr>
      <w:tr w:rsidR="00245C10" w14:paraId="65627B30" w14:textId="77777777" w:rsidTr="00245C10">
        <w:trPr>
          <w:cnfStyle w:val="000000100000" w:firstRow="0" w:lastRow="0" w:firstColumn="0" w:lastColumn="0" w:oddVBand="0" w:evenVBand="0" w:oddHBand="1" w:evenHBand="0" w:firstRowFirstColumn="0" w:firstRowLastColumn="0" w:lastRowFirstColumn="0" w:lastRowLastColumn="0"/>
        </w:trPr>
        <w:tc>
          <w:tcPr>
            <w:tcW w:w="3085" w:type="dxa"/>
            <w:tcBorders>
              <w:top w:val="single" w:sz="4" w:space="0" w:color="006EC8" w:themeColor="accent1"/>
            </w:tcBorders>
          </w:tcPr>
          <w:p w14:paraId="3EC14DFB" w14:textId="6372F0B5" w:rsidR="00245C10" w:rsidRDefault="00245C10" w:rsidP="00FD373D">
            <w:pPr>
              <w:pStyle w:val="Tabletext"/>
              <w:keepNext/>
            </w:pPr>
            <w:r w:rsidRPr="001C2AB9">
              <w:t>Participants in June 2025</w:t>
            </w:r>
          </w:p>
        </w:tc>
        <w:tc>
          <w:tcPr>
            <w:tcW w:w="1077" w:type="dxa"/>
            <w:tcBorders>
              <w:top w:val="single" w:sz="4" w:space="0" w:color="006EC8" w:themeColor="accent1"/>
            </w:tcBorders>
          </w:tcPr>
          <w:p w14:paraId="18D972B9" w14:textId="4B894D7C" w:rsidR="00245C10" w:rsidRDefault="00245C10" w:rsidP="00FD373D">
            <w:pPr>
              <w:pStyle w:val="Tablenumbers"/>
              <w:keepNext/>
            </w:pPr>
            <w:r w:rsidRPr="001C2AB9">
              <w:t>275,599</w:t>
            </w:r>
          </w:p>
        </w:tc>
        <w:tc>
          <w:tcPr>
            <w:tcW w:w="1077" w:type="dxa"/>
            <w:tcBorders>
              <w:top w:val="single" w:sz="4" w:space="0" w:color="006EC8" w:themeColor="accent1"/>
            </w:tcBorders>
          </w:tcPr>
          <w:p w14:paraId="6912E332" w14:textId="6D6E5FF1" w:rsidR="00245C10" w:rsidRDefault="00245C10" w:rsidP="00FD373D">
            <w:pPr>
              <w:pStyle w:val="Tablenumbers"/>
              <w:keepNext/>
            </w:pPr>
            <w:r w:rsidRPr="001C2AB9">
              <w:t>256,182</w:t>
            </w:r>
          </w:p>
        </w:tc>
        <w:tc>
          <w:tcPr>
            <w:tcW w:w="1077" w:type="dxa"/>
            <w:tcBorders>
              <w:top w:val="single" w:sz="4" w:space="0" w:color="006EC8" w:themeColor="accent1"/>
            </w:tcBorders>
          </w:tcPr>
          <w:p w14:paraId="14A2D3A7" w14:textId="3E638ED8" w:rsidR="00245C10" w:rsidRDefault="00245C10" w:rsidP="00FD373D">
            <w:pPr>
              <w:pStyle w:val="Tablenumbers"/>
              <w:keepNext/>
            </w:pPr>
            <w:r w:rsidRPr="001C2AB9">
              <w:t>101,816</w:t>
            </w:r>
          </w:p>
        </w:tc>
        <w:tc>
          <w:tcPr>
            <w:tcW w:w="1077" w:type="dxa"/>
            <w:tcBorders>
              <w:top w:val="single" w:sz="4" w:space="0" w:color="006EC8" w:themeColor="accent1"/>
            </w:tcBorders>
          </w:tcPr>
          <w:p w14:paraId="459E6304" w14:textId="0C6BDCB3" w:rsidR="00245C10" w:rsidRDefault="00245C10" w:rsidP="00FD373D">
            <w:pPr>
              <w:pStyle w:val="Tablenumbers"/>
              <w:keepNext/>
            </w:pPr>
            <w:r w:rsidRPr="001C2AB9">
              <w:t>36,804</w:t>
            </w:r>
          </w:p>
        </w:tc>
        <w:tc>
          <w:tcPr>
            <w:tcW w:w="1077" w:type="dxa"/>
            <w:tcBorders>
              <w:top w:val="single" w:sz="4" w:space="0" w:color="006EC8" w:themeColor="accent1"/>
            </w:tcBorders>
          </w:tcPr>
          <w:p w14:paraId="684976E1" w14:textId="20FE658B" w:rsidR="00245C10" w:rsidRDefault="00245C10" w:rsidP="00FD373D">
            <w:pPr>
              <w:pStyle w:val="Tablenumbers"/>
              <w:keepNext/>
            </w:pPr>
            <w:r w:rsidRPr="001C2AB9">
              <w:t>670,401</w:t>
            </w:r>
          </w:p>
        </w:tc>
      </w:tr>
      <w:tr w:rsidR="00245C10" w14:paraId="7BEFB3A0" w14:textId="77777777" w:rsidTr="00245C10">
        <w:tc>
          <w:tcPr>
            <w:tcW w:w="3085" w:type="dxa"/>
          </w:tcPr>
          <w:p w14:paraId="0E1CDE65" w14:textId="5A8A46E8" w:rsidR="00245C10" w:rsidRDefault="00245C10" w:rsidP="00FD373D">
            <w:pPr>
              <w:pStyle w:val="Tabletext"/>
              <w:keepNext/>
            </w:pPr>
            <w:r w:rsidRPr="001C2AB9">
              <w:t>Ratio to PC</w:t>
            </w:r>
          </w:p>
        </w:tc>
        <w:tc>
          <w:tcPr>
            <w:tcW w:w="1077" w:type="dxa"/>
          </w:tcPr>
          <w:p w14:paraId="048C8922" w14:textId="05CF2214" w:rsidR="00245C10" w:rsidRDefault="00245C10" w:rsidP="00FD373D">
            <w:pPr>
              <w:pStyle w:val="Tablenumbers"/>
              <w:keepNext/>
            </w:pPr>
            <w:r w:rsidRPr="001C2AB9">
              <w:t>195%</w:t>
            </w:r>
          </w:p>
        </w:tc>
        <w:tc>
          <w:tcPr>
            <w:tcW w:w="1077" w:type="dxa"/>
          </w:tcPr>
          <w:p w14:paraId="1E7598EC" w14:textId="765B0D0A" w:rsidR="00245C10" w:rsidRDefault="00245C10" w:rsidP="00FD373D">
            <w:pPr>
              <w:pStyle w:val="Tablenumbers"/>
              <w:keepNext/>
            </w:pPr>
            <w:r w:rsidRPr="001C2AB9">
              <w:t>111%</w:t>
            </w:r>
          </w:p>
        </w:tc>
        <w:tc>
          <w:tcPr>
            <w:tcW w:w="1077" w:type="dxa"/>
          </w:tcPr>
          <w:p w14:paraId="207858B9" w14:textId="1E10262E" w:rsidR="00245C10" w:rsidRDefault="00245C10" w:rsidP="00FD373D">
            <w:pPr>
              <w:pStyle w:val="Tablenumbers"/>
              <w:keepNext/>
            </w:pPr>
            <w:r w:rsidRPr="001C2AB9">
              <w:t>93%</w:t>
            </w:r>
          </w:p>
        </w:tc>
        <w:tc>
          <w:tcPr>
            <w:tcW w:w="1077" w:type="dxa"/>
          </w:tcPr>
          <w:p w14:paraId="43F07385" w14:textId="77777777" w:rsidR="00245C10" w:rsidRDefault="00245C10" w:rsidP="00FD373D">
            <w:pPr>
              <w:pStyle w:val="Tablenumbers"/>
              <w:keepNext/>
            </w:pPr>
          </w:p>
        </w:tc>
        <w:tc>
          <w:tcPr>
            <w:tcW w:w="1077" w:type="dxa"/>
          </w:tcPr>
          <w:p w14:paraId="7A8C85A3" w14:textId="6C957BC3" w:rsidR="00245C10" w:rsidRDefault="00245C10" w:rsidP="00FD373D">
            <w:pPr>
              <w:pStyle w:val="Tablenumbers"/>
              <w:keepNext/>
            </w:pPr>
            <w:r w:rsidRPr="001C2AB9">
              <w:t>139%</w:t>
            </w:r>
          </w:p>
        </w:tc>
      </w:tr>
    </w:tbl>
    <w:p w14:paraId="625DE1EA" w14:textId="05B53139" w:rsidR="00245C10" w:rsidRDefault="00245C10" w:rsidP="00370A8A">
      <w:r>
        <w:t xml:space="preserve">The original NDIS costing did not foresee the high number of child entrants into the </w:t>
      </w:r>
      <w:r w:rsidR="00232FFF">
        <w:t>Scheme</w:t>
      </w:r>
      <w:r>
        <w:t xml:space="preserve">. Further, it </w:t>
      </w:r>
      <w:r w:rsidR="00817C12">
        <w:t xml:space="preserve">was </w:t>
      </w:r>
      <w:r>
        <w:t xml:space="preserve">implicitly assumed many of these </w:t>
      </w:r>
      <w:r w:rsidR="00817C12">
        <w:t xml:space="preserve">people </w:t>
      </w:r>
      <w:r>
        <w:t xml:space="preserve">would exit the </w:t>
      </w:r>
      <w:r w:rsidR="00232FFF">
        <w:t>Scheme</w:t>
      </w:r>
      <w:r>
        <w:t xml:space="preserve">, since the SDAC 2009 (on which participant estimates were based) had lower prevalence rates for autism in older age groups, whereas we do not see the corresponding exits. </w:t>
      </w:r>
    </w:p>
    <w:p w14:paraId="18082042" w14:textId="70D6C258" w:rsidR="00245C10" w:rsidRPr="00370A8A" w:rsidRDefault="00485F4E" w:rsidP="00370A8A">
      <w:r>
        <w:t xml:space="preserve">There is a natural question </w:t>
      </w:r>
      <w:r w:rsidR="00135394">
        <w:t xml:space="preserve">as to </w:t>
      </w:r>
      <w:r w:rsidR="00245C10">
        <w:t>whe</w:t>
      </w:r>
      <w:r w:rsidR="007F6BE8">
        <w:t>t</w:t>
      </w:r>
      <w:r w:rsidR="00245C10">
        <w:t xml:space="preserve">her the increased scope of the NDIS for children </w:t>
      </w:r>
      <w:r w:rsidR="004A64D1" w:rsidRPr="006E0E47">
        <w:t xml:space="preserve">compared to the original design </w:t>
      </w:r>
      <w:r w:rsidR="00245C10">
        <w:t>is consistent with the</w:t>
      </w:r>
      <w:r w:rsidR="004A64D1">
        <w:t xml:space="preserve"> </w:t>
      </w:r>
      <w:r w:rsidR="004A64D1" w:rsidRPr="006E0E47">
        <w:t>current</w:t>
      </w:r>
      <w:r w:rsidR="00245C10">
        <w:t xml:space="preserve"> intent of the </w:t>
      </w:r>
      <w:r w:rsidR="00232FFF">
        <w:t>Scheme</w:t>
      </w:r>
      <w:r w:rsidR="00245C10">
        <w:t xml:space="preserve"> (noting that more recent SDAC surveys recognise higher rates of autism), which in turn </w:t>
      </w:r>
      <w:r w:rsidR="007F6BE8">
        <w:t>has direct cost implications.</w:t>
      </w:r>
    </w:p>
    <w:p w14:paraId="79392B2D" w14:textId="7F22DE56" w:rsidR="00CC7AC1" w:rsidRDefault="00C72C36" w:rsidP="00CC7AC1">
      <w:pPr>
        <w:pStyle w:val="Heading3"/>
      </w:pPr>
      <w:r>
        <w:t>The planning stage</w:t>
      </w:r>
    </w:p>
    <w:p w14:paraId="77B872E3" w14:textId="6AD57346" w:rsidR="00C72C36" w:rsidRDefault="007F6BE8" w:rsidP="00C72C36">
      <w:r>
        <w:t xml:space="preserve">While this report is not focused on the operational realities of planning, we note that the planning process will have direct implications for package sizes and spending. </w:t>
      </w:r>
    </w:p>
    <w:p w14:paraId="19B44323" w14:textId="65D48A71" w:rsidR="007F6BE8" w:rsidRDefault="00F30C4F" w:rsidP="007F6BE8">
      <w:pPr>
        <w:pStyle w:val="Bullet1"/>
      </w:pPr>
      <w:r w:rsidRPr="00F30C4F">
        <w:t>Individual planners are responsible for multiple steps in the planning process including updating the disability severity rating, assessing the typical support package amount, and assessing required mainstream and informal supports, ultimately leading to the final committed support package</w:t>
      </w:r>
      <w:r w:rsidR="00B53A05">
        <w:t xml:space="preserve">. </w:t>
      </w:r>
      <w:r w:rsidRPr="00F30C4F">
        <w:t>This creates efficiency but reduces the level of cross-checking as to why the packages are changing and the justification for those changes. The link between higher severity and higher packages suggests the planning process has contributed to some of the recent joint trends in increasing severity and committed supports</w:t>
      </w:r>
      <w:r w:rsidR="00D1584E">
        <w:t xml:space="preserve">. </w:t>
      </w:r>
    </w:p>
    <w:p w14:paraId="286A29D5" w14:textId="16F6A781" w:rsidR="007F6BE8" w:rsidRDefault="007F6BE8" w:rsidP="00B53A05">
      <w:pPr>
        <w:pStyle w:val="Bullet1"/>
      </w:pPr>
      <w:r>
        <w:t xml:space="preserve">Previous </w:t>
      </w:r>
      <w:r w:rsidR="00247844">
        <w:t xml:space="preserve">NDIA </w:t>
      </w:r>
      <w:r>
        <w:t>work</w:t>
      </w:r>
      <w:r w:rsidR="00B53A05">
        <w:rPr>
          <w:rStyle w:val="FootnoteReference"/>
        </w:rPr>
        <w:footnoteReference w:id="29"/>
      </w:r>
      <w:r>
        <w:t xml:space="preserve"> has identified slightly larger </w:t>
      </w:r>
      <w:r w:rsidR="00B53A05">
        <w:t xml:space="preserve">rates of recorded severity increase when a generic assessment tool (such as WHODAS) was used, rather than specific tools. While there will be compositional effects that may contribute to the differences, improving consistency of assessment is a potential response. </w:t>
      </w:r>
    </w:p>
    <w:p w14:paraId="0F84CE51" w14:textId="541724B4" w:rsidR="00247844" w:rsidRDefault="00247844" w:rsidP="00247844">
      <w:pPr>
        <w:pStyle w:val="Bullet1"/>
      </w:pPr>
      <w:r>
        <w:t xml:space="preserve">We understand the current IT system makes it difficult for planners to directly compare participant information </w:t>
      </w:r>
      <w:r w:rsidR="00044764">
        <w:t xml:space="preserve">(e.g. plans and question responses) </w:t>
      </w:r>
      <w:r>
        <w:t>from the previous year</w:t>
      </w:r>
      <w:r w:rsidR="00044764">
        <w:t xml:space="preserve">. This may increase variability in assessment and </w:t>
      </w:r>
      <w:r w:rsidR="008F69FE">
        <w:t>TSPs.</w:t>
      </w:r>
    </w:p>
    <w:p w14:paraId="291F8760" w14:textId="69C2E25F" w:rsidR="00247844" w:rsidRPr="00247844" w:rsidRDefault="008F69FE" w:rsidP="00247844">
      <w:r>
        <w:t xml:space="preserve">Such operational elements could be considered by the </w:t>
      </w:r>
      <w:r w:rsidR="00485F4E">
        <w:t>NDIS and its governing partners</w:t>
      </w:r>
      <w:r>
        <w:t xml:space="preserve">. </w:t>
      </w:r>
    </w:p>
    <w:p w14:paraId="60D8A9A3" w14:textId="7A31F7B5" w:rsidR="00512430" w:rsidRDefault="00CD1A99" w:rsidP="00D4410A">
      <w:pPr>
        <w:pStyle w:val="Heading3"/>
      </w:pPr>
      <w:r>
        <w:t xml:space="preserve">The benefits of </w:t>
      </w:r>
      <w:r w:rsidR="00836C35">
        <w:t xml:space="preserve">investment and </w:t>
      </w:r>
      <w:r>
        <w:t>early intervention</w:t>
      </w:r>
    </w:p>
    <w:p w14:paraId="6C0DF010" w14:textId="5E1735C3" w:rsidR="00836C35" w:rsidRDefault="00836C35" w:rsidP="00836C35">
      <w:r>
        <w:t>The NDIS insurance principles state that:</w:t>
      </w:r>
    </w:p>
    <w:tbl>
      <w:tblPr>
        <w:tblStyle w:val="TFBlue"/>
        <w:tblW w:w="0" w:type="auto"/>
        <w:tblLook w:val="04A0" w:firstRow="1" w:lastRow="0" w:firstColumn="1" w:lastColumn="0" w:noHBand="0" w:noVBand="1"/>
      </w:tblPr>
      <w:tblGrid>
        <w:gridCol w:w="9412"/>
      </w:tblGrid>
      <w:tr w:rsidR="00836C35" w:rsidRPr="00137FBA" w14:paraId="55A359EE" w14:textId="77777777" w:rsidTr="00137FBA">
        <w:trPr>
          <w:cnfStyle w:val="100000000000" w:firstRow="1" w:lastRow="0" w:firstColumn="0" w:lastColumn="0" w:oddVBand="0" w:evenVBand="0" w:oddHBand="0" w:evenHBand="0" w:firstRowFirstColumn="0" w:firstRowLastColumn="0" w:lastRowFirstColumn="0" w:lastRowLastColumn="0"/>
        </w:trPr>
        <w:tc>
          <w:tcPr>
            <w:tcW w:w="9628" w:type="dxa"/>
            <w:tcBorders>
              <w:top w:val="nil"/>
              <w:bottom w:val="nil"/>
            </w:tcBorders>
            <w:shd w:val="clear" w:color="auto" w:fill="E1F1FF"/>
          </w:tcPr>
          <w:p w14:paraId="5A5A4F5C" w14:textId="694D42E3" w:rsidR="00836C35" w:rsidRPr="00137FBA" w:rsidRDefault="00836C35" w:rsidP="00836C35">
            <w:pPr>
              <w:rPr>
                <w:b w:val="0"/>
                <w:bCs/>
                <w:i/>
                <w:iCs/>
              </w:rPr>
            </w:pPr>
            <w:r w:rsidRPr="00137FBA">
              <w:rPr>
                <w:b w:val="0"/>
                <w:bCs/>
                <w:i/>
                <w:iCs/>
              </w:rPr>
              <w:t>The NDIS takes a lifetime approach (i.e. seeks to minimise support costs over a participant</w:t>
            </w:r>
            <w:r w:rsidR="000C5C48" w:rsidRPr="00137FBA">
              <w:rPr>
                <w:b w:val="0"/>
                <w:bCs/>
                <w:i/>
                <w:iCs/>
              </w:rPr>
              <w:t>’</w:t>
            </w:r>
            <w:r w:rsidRPr="00137FBA">
              <w:rPr>
                <w:b w:val="0"/>
                <w:bCs/>
                <w:i/>
                <w:iCs/>
              </w:rPr>
              <w:t>s lifetime) by investing in people early to build their capacity to help them pursue their goals and aspirations resulting in greater outcomes later in life</w:t>
            </w:r>
          </w:p>
        </w:tc>
      </w:tr>
    </w:tbl>
    <w:p w14:paraId="2DBD0281" w14:textId="540BF154" w:rsidR="00836C35" w:rsidRPr="00836C35" w:rsidRDefault="00836C35" w:rsidP="00836C35">
      <w:r>
        <w:t>Similarly, the earlier intervention requirements of from Section 25 of the</w:t>
      </w:r>
      <w:r w:rsidRPr="00836C35">
        <w:t xml:space="preserve"> </w:t>
      </w:r>
      <w:r w:rsidRPr="00836C35">
        <w:rPr>
          <w:i/>
          <w:iCs/>
        </w:rPr>
        <w:t>National Disability Insurance Scheme Act 2013</w:t>
      </w:r>
      <w:r>
        <w:rPr>
          <w:i/>
          <w:iCs/>
        </w:rPr>
        <w:t xml:space="preserve"> </w:t>
      </w:r>
      <w:r w:rsidRPr="00836C35">
        <w:t>states that</w:t>
      </w:r>
      <w:r>
        <w:rPr>
          <w:i/>
          <w:iCs/>
        </w:rPr>
        <w:t xml:space="preserve"> </w:t>
      </w:r>
      <w:r>
        <w:t>one criter</w:t>
      </w:r>
      <w:r w:rsidR="000C5C48">
        <w:t>ion</w:t>
      </w:r>
      <w:r>
        <w:t xml:space="preserve"> for entry is</w:t>
      </w:r>
      <w:r w:rsidR="000C5C48">
        <w:t>:</w:t>
      </w:r>
      <w:r>
        <w:t xml:space="preserve"> </w:t>
      </w:r>
    </w:p>
    <w:tbl>
      <w:tblPr>
        <w:tblStyle w:val="TFBlue"/>
        <w:tblW w:w="0" w:type="auto"/>
        <w:tblLook w:val="04A0" w:firstRow="1" w:lastRow="0" w:firstColumn="1" w:lastColumn="0" w:noHBand="0" w:noVBand="1"/>
      </w:tblPr>
      <w:tblGrid>
        <w:gridCol w:w="9412"/>
      </w:tblGrid>
      <w:tr w:rsidR="00836C35" w:rsidRPr="00137FBA" w14:paraId="69ECBE8B" w14:textId="77777777" w:rsidTr="00137FBA">
        <w:trPr>
          <w:cnfStyle w:val="100000000000" w:firstRow="1" w:lastRow="0" w:firstColumn="0" w:lastColumn="0" w:oddVBand="0" w:evenVBand="0" w:oddHBand="0" w:evenHBand="0" w:firstRowFirstColumn="0" w:firstRowLastColumn="0" w:lastRowFirstColumn="0" w:lastRowLastColumn="0"/>
        </w:trPr>
        <w:tc>
          <w:tcPr>
            <w:tcW w:w="9628" w:type="dxa"/>
            <w:tcBorders>
              <w:top w:val="nil"/>
              <w:bottom w:val="nil"/>
            </w:tcBorders>
            <w:shd w:val="clear" w:color="auto" w:fill="E1F1FF"/>
          </w:tcPr>
          <w:p w14:paraId="26857BD7" w14:textId="7845B6A3" w:rsidR="00836C35" w:rsidRPr="00137FBA" w:rsidRDefault="00836C35" w:rsidP="00582ECF">
            <w:pPr>
              <w:rPr>
                <w:b w:val="0"/>
                <w:bCs/>
                <w:i/>
                <w:iCs/>
              </w:rPr>
            </w:pPr>
            <w:r w:rsidRPr="00137FBA">
              <w:rPr>
                <w:b w:val="0"/>
                <w:bCs/>
                <w:i/>
                <w:iCs/>
              </w:rPr>
              <w:t>the CEO is satisfied that provision of early intervention supports for the person is likely to benefit the person by reducing the person's future needs for supports in relation to disability</w:t>
            </w:r>
          </w:p>
        </w:tc>
      </w:tr>
    </w:tbl>
    <w:p w14:paraId="2DC6BE5F" w14:textId="37C8B817" w:rsidR="00DA0E2A" w:rsidRDefault="00836C35" w:rsidP="00DA0E2A">
      <w:r>
        <w:t xml:space="preserve">However, </w:t>
      </w:r>
      <w:r w:rsidR="00DA0E2A">
        <w:t>w</w:t>
      </w:r>
      <w:r>
        <w:t xml:space="preserve">hile there is </w:t>
      </w:r>
      <w:r w:rsidR="00DA0E2A">
        <w:t xml:space="preserve">a large </w:t>
      </w:r>
      <w:r>
        <w:t xml:space="preserve">amount of variability </w:t>
      </w:r>
      <w:r w:rsidR="00DA0E2A">
        <w:t xml:space="preserve">in longitudinal payments across </w:t>
      </w:r>
      <w:r w:rsidR="008F0C56">
        <w:t xml:space="preserve">the </w:t>
      </w:r>
      <w:r w:rsidR="00232FFF">
        <w:t>Scheme</w:t>
      </w:r>
      <w:r>
        <w:t xml:space="preserve">, </w:t>
      </w:r>
      <w:r w:rsidR="00DA0E2A">
        <w:t xml:space="preserve">we have found </w:t>
      </w:r>
      <w:r>
        <w:t>little obvious evidence of increased supports leading to reductions in needs in subsequent years</w:t>
      </w:r>
      <w:r w:rsidR="00F30C4F">
        <w:t>, although</w:t>
      </w:r>
      <w:r w:rsidR="00F30C4F" w:rsidRPr="001E28D2">
        <w:t xml:space="preserve"> it </w:t>
      </w:r>
      <w:r w:rsidR="00F30C4F">
        <w:t xml:space="preserve">may be </w:t>
      </w:r>
      <w:r w:rsidR="00F30C4F" w:rsidRPr="001E28D2">
        <w:t xml:space="preserve">too early to </w:t>
      </w:r>
      <w:r w:rsidR="00F30C4F">
        <w:t xml:space="preserve">expect to see </w:t>
      </w:r>
      <w:r w:rsidR="00F30C4F" w:rsidRPr="001E28D2">
        <w:t>such reductions</w:t>
      </w:r>
      <w:r w:rsidR="00DA0E2A">
        <w:t>.</w:t>
      </w:r>
    </w:p>
    <w:p w14:paraId="01B5933E" w14:textId="2033FE47" w:rsidR="00247844" w:rsidRDefault="00DA0E2A" w:rsidP="00DA0E2A">
      <w:r>
        <w:t xml:space="preserve">Further, the process by which such future savings could be measured and assessed is unclear, even when more data accumulates. </w:t>
      </w:r>
      <w:r w:rsidR="00293A74">
        <w:t xml:space="preserve">While some outcomes are tracked (e.g. rates of employment), </w:t>
      </w:r>
      <w:r w:rsidR="004E6151">
        <w:t xml:space="preserve">other </w:t>
      </w:r>
      <w:r w:rsidR="00293A74">
        <w:t xml:space="preserve">outcomes are potentially more subjective (e.g. achieving goals for community participation) and it is difficult to tie these to specific interventions. Similarly, decreases in committed supports are difficult to </w:t>
      </w:r>
      <w:r w:rsidR="004E6151">
        <w:t xml:space="preserve">attribute </w:t>
      </w:r>
      <w:r w:rsidR="00293A74">
        <w:t xml:space="preserve">to </w:t>
      </w:r>
      <w:r w:rsidR="004E6151">
        <w:t xml:space="preserve">earlier </w:t>
      </w:r>
      <w:r w:rsidR="00293A74">
        <w:t xml:space="preserve">upfront spending. </w:t>
      </w:r>
      <w:r w:rsidR="00D76744">
        <w:t>Work to better understand the effectiveness of early intervention and capacity building in the NDIS would be valuable</w:t>
      </w:r>
      <w:r>
        <w:t>.</w:t>
      </w:r>
    </w:p>
    <w:p w14:paraId="71EBCA2C" w14:textId="74734BEC" w:rsidR="00836C35" w:rsidRPr="00836C35" w:rsidRDefault="00485F4E" w:rsidP="00DA0E2A">
      <w:r>
        <w:t xml:space="preserve">One implication is </w:t>
      </w:r>
      <w:r w:rsidR="00247844">
        <w:t>to consider if measurement of this investment dynamic needs attention</w:t>
      </w:r>
      <w:r w:rsidR="005B303D">
        <w:t xml:space="preserve"> and that costs are being correctly attributed to support categories</w:t>
      </w:r>
      <w:r w:rsidR="00247844">
        <w:t>.</w:t>
      </w:r>
    </w:p>
    <w:p w14:paraId="5BAC8CA7" w14:textId="6C8F79A7" w:rsidR="00D4410A" w:rsidRDefault="00247844" w:rsidP="00D4410A">
      <w:pPr>
        <w:pStyle w:val="Heading3"/>
      </w:pPr>
      <w:r>
        <w:t>Scheme exits</w:t>
      </w:r>
    </w:p>
    <w:p w14:paraId="573AE34B" w14:textId="04E18339" w:rsidR="00247844" w:rsidRDefault="00247844" w:rsidP="00247844">
      <w:r>
        <w:t xml:space="preserve">Another dynamic, consistent with </w:t>
      </w:r>
      <w:r w:rsidR="008F69FE">
        <w:t xml:space="preserve">the idea of </w:t>
      </w:r>
      <w:r>
        <w:t xml:space="preserve">early intervention, </w:t>
      </w:r>
      <w:r w:rsidR="008F69FE">
        <w:t xml:space="preserve">is that </w:t>
      </w:r>
      <w:r w:rsidR="00503B34">
        <w:t xml:space="preserve">many </w:t>
      </w:r>
      <w:r w:rsidR="008F69FE">
        <w:t xml:space="preserve">people would exit from the </w:t>
      </w:r>
      <w:r w:rsidR="00232FFF">
        <w:t>Scheme</w:t>
      </w:r>
      <w:r w:rsidR="008F69FE">
        <w:t xml:space="preserve">. </w:t>
      </w:r>
    </w:p>
    <w:p w14:paraId="5778C2FE" w14:textId="05AEAB6F" w:rsidR="009366CE" w:rsidRDefault="00D76744" w:rsidP="00247844">
      <w:r w:rsidRPr="00F74101">
        <w:t>The</w:t>
      </w:r>
      <w:r>
        <w:t xml:space="preserve">re is a question as to </w:t>
      </w:r>
      <w:r w:rsidR="009366CE">
        <w:t xml:space="preserve">whether the current level of exit is appropriate – </w:t>
      </w:r>
      <w:r w:rsidR="00F74101">
        <w:t xml:space="preserve">in particular, </w:t>
      </w:r>
      <w:r w:rsidR="009366CE">
        <w:t xml:space="preserve">that </w:t>
      </w:r>
      <w:r w:rsidR="005B303D">
        <w:t xml:space="preserve">most </w:t>
      </w:r>
      <w:r w:rsidR="009366CE">
        <w:t xml:space="preserve">children entering under early intervention remain in the </w:t>
      </w:r>
      <w:r w:rsidR="00232FFF">
        <w:t>Scheme</w:t>
      </w:r>
      <w:r w:rsidR="009366CE">
        <w:t xml:space="preserve"> for an extended period of time. </w:t>
      </w:r>
    </w:p>
    <w:p w14:paraId="15F2685C" w14:textId="32EA2D77" w:rsidR="009366CE" w:rsidRDefault="009366CE" w:rsidP="00247844">
      <w:r>
        <w:t xml:space="preserve">We note that faster exits are possible. The ACT early in the </w:t>
      </w:r>
      <w:r w:rsidR="00232FFF">
        <w:t>Scheme</w:t>
      </w:r>
      <w:r>
        <w:t xml:space="preserve"> (2018 and 2019) saw an exit rate five times higher than the national average for children with </w:t>
      </w:r>
      <w:r w:rsidR="005B303D">
        <w:t xml:space="preserve">developmental </w:t>
      </w:r>
      <w:r>
        <w:t xml:space="preserve">delay, as shown below. We understand this reflected an explicit </w:t>
      </w:r>
      <w:r w:rsidR="00F74101">
        <w:t>‘</w:t>
      </w:r>
      <w:r>
        <w:t>transition out</w:t>
      </w:r>
      <w:r w:rsidR="00F74101">
        <w:t>’</w:t>
      </w:r>
      <w:r>
        <w:t xml:space="preserve"> policy.</w:t>
      </w:r>
    </w:p>
    <w:p w14:paraId="3898305F" w14:textId="6ABF6EB9" w:rsidR="009366CE" w:rsidRDefault="009366CE" w:rsidP="00B813A0">
      <w:pPr>
        <w:pStyle w:val="Caption"/>
      </w:pPr>
      <w:r>
        <w:t xml:space="preserve">Figure </w:t>
      </w:r>
      <w:r>
        <w:fldChar w:fldCharType="begin"/>
      </w:r>
      <w:r>
        <w:instrText xml:space="preserve"> STYLEREF 1 \s </w:instrText>
      </w:r>
      <w:r>
        <w:fldChar w:fldCharType="separate"/>
      </w:r>
      <w:r w:rsidR="00E6217F">
        <w:rPr>
          <w:noProof/>
        </w:rPr>
        <w:t>9</w:t>
      </w:r>
      <w:r>
        <w:fldChar w:fldCharType="end"/>
      </w:r>
      <w:r>
        <w:t>.</w:t>
      </w:r>
      <w:r>
        <w:fldChar w:fldCharType="begin"/>
      </w:r>
      <w:r>
        <w:instrText xml:space="preserve"> SEQ Figure \* ARABIC \s 1 </w:instrText>
      </w:r>
      <w:r>
        <w:fldChar w:fldCharType="separate"/>
      </w:r>
      <w:r w:rsidR="00E6217F">
        <w:rPr>
          <w:noProof/>
        </w:rPr>
        <w:t>1</w:t>
      </w:r>
      <w:r>
        <w:fldChar w:fldCharType="end"/>
      </w:r>
      <w:r>
        <w:t xml:space="preserve"> </w:t>
      </w:r>
      <w:r w:rsidR="001C13F1">
        <w:t xml:space="preserve">– </w:t>
      </w:r>
      <w:r>
        <w:t>Exits under the code ‘</w:t>
      </w:r>
      <w:r w:rsidRPr="009366CE">
        <w:t>Early Intervention and Disability Not Met</w:t>
      </w:r>
      <w:r>
        <w:t xml:space="preserve">’ for children with Developmental delay, ACT versus all Australia </w:t>
      </w:r>
    </w:p>
    <w:p w14:paraId="5F735215" w14:textId="46B84423" w:rsidR="00B813A0" w:rsidRDefault="00B813A0" w:rsidP="00247844">
      <w:r>
        <w:rPr>
          <w:noProof/>
        </w:rPr>
        <w:drawing>
          <wp:inline distT="0" distB="0" distL="0" distR="0" wp14:anchorId="261AD459" wp14:editId="61C97DB9">
            <wp:extent cx="4784400" cy="2690590"/>
            <wp:effectExtent l="0" t="0" r="0" b="0"/>
            <wp:docPr id="154" name="Graphic 154" descr="June 2017.&#10;ACT. -.&#10;ACT - average. -.&#10;All. -.&#10;All - average. -.&#10;&#10;September 2017.&#10;ACT. 9%.&#10;ACT - average. -.&#10;All. 2%.&#10;All - average. -.&#10;&#10;December 2017.&#10;ACT. 6%.&#10;ACT - average. 4%.&#10;All. 2%.&#10;All - average. 1%.&#10;&#10;March 2018.&#10;ACT. 15%.&#10;ACT - average. 4%.&#10;All. 1%.&#10;All - average. 1%.&#10;&#10;June 2018.&#10;ACT. 2%.&#10;ACT - average. 4%.&#10;All. 1%.&#10;All - average. 1%.&#10;&#10;September 2018.&#10;ACT. 1%.&#10;ACT - average. 4%.&#10;All. 1%.&#10;All - average. 1%.&#10;&#10;December 2018.&#10;ACT. 4%.&#10;ACT - average. 4%.&#10;All. 1%.&#10;All - average. 1%.&#10;&#10;March 2019.&#10;ACT. 1%.&#10;ACT - average. 4%.&#10;All. 0%.&#10;All - average. 1%.&#10;&#10;June 2019.&#10;ACT. 0%.&#10;ACT - average. -.&#10;All. 0%.&#10;All - average. -.&#10;&#10;September 2019.&#10;ACT. 0%.&#10;ACT - average. -.&#10;All. 0%.&#10;All - average. -.&#10;&#10;December 2019.&#10;ACT. 0%.&#10;ACT - average. -.&#10;All. 0%.&#10;All - average. -.&#10;&#10;March 2020.&#10;ACT. 4%.&#10;ACT - average. -.&#10;All. 1%.&#10;All - average. -.&#10;&#10;June 2020.&#10;ACT. 2%.&#10;ACT - average. -.&#10;All. 1%.&#10;All - average. -.&#10;&#10;September 2020.&#10;ACT. 0%.&#10;ACT - average. -.&#10;All. 0%.&#10;All - average. -.&#10;&#10;December 2020.&#10;ACT. 1%.&#10;ACT - average. -.&#10;All. 0%.&#10;All - average. -.&#10;&#10;March 2021.&#10;ACT. 0%.&#10;ACT - average. -.&#10;All. 1%.&#10;All - average. -.&#10;&#10;June 2021.&#10;ACT. 1%.&#10;ACT - average. -.&#10;All. 1%.&#10;All -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Graphic 154" descr="June 2017.&#10;ACT. -.&#10;ACT - average. -.&#10;All. -.&#10;All - average. -.&#10;&#10;September 2017.&#10;ACT. 9%.&#10;ACT - average. -.&#10;All. 2%.&#10;All - average. -.&#10;&#10;December 2017.&#10;ACT. 6%.&#10;ACT - average. 4%.&#10;All. 2%.&#10;All - average. 1%.&#10;&#10;March 2018.&#10;ACT. 15%.&#10;ACT - average. 4%.&#10;All. 1%.&#10;All - average. 1%.&#10;&#10;June 2018.&#10;ACT. 2%.&#10;ACT - average. 4%.&#10;All. 1%.&#10;All - average. 1%.&#10;&#10;September 2018.&#10;ACT. 1%.&#10;ACT - average. 4%.&#10;All. 1%.&#10;All - average. 1%.&#10;&#10;December 2018.&#10;ACT. 4%.&#10;ACT - average. 4%.&#10;All. 1%.&#10;All - average. 1%.&#10;&#10;March 2019.&#10;ACT. 1%.&#10;ACT - average. 4%.&#10;All. 0%.&#10;All - average. 1%.&#10;&#10;June 2019.&#10;ACT. 0%.&#10;ACT - average. -.&#10;All. 0%.&#10;All - average. -.&#10;&#10;September 2019.&#10;ACT. 0%.&#10;ACT - average. -.&#10;All. 0%.&#10;All - average. -.&#10;&#10;December 2019.&#10;ACT. 0%.&#10;ACT - average. -.&#10;All. 0%.&#10;All - average. -.&#10;&#10;March 2020.&#10;ACT. 4%.&#10;ACT - average. -.&#10;All. 1%.&#10;All - average. -.&#10;&#10;June 2020.&#10;ACT. 2%.&#10;ACT - average. -.&#10;All. 1%.&#10;All - average. -.&#10;&#10;September 2020.&#10;ACT. 0%.&#10;ACT - average. -.&#10;All. 0%.&#10;All - average. -.&#10;&#10;December 2020.&#10;ACT. 1%.&#10;ACT - average. -.&#10;All. 0%.&#10;All - average. -.&#10;&#10;March 2021.&#10;ACT. 0%.&#10;ACT - average. -.&#10;All. 1%.&#10;All - average. -.&#10;&#10;June 2021.&#10;ACT. 1%.&#10;ACT - average. -.&#10;All. 1%.&#10;All - average. -."/>
                    <pic:cNvPicPr/>
                  </pic:nvPicPr>
                  <pic:blipFill>
                    <a:blip r:embed="rId135" cstate="print">
                      <a:extLst>
                        <a:ext uri="{28A0092B-C50C-407E-A947-70E740481C1C}">
                          <a14:useLocalDpi xmlns:a14="http://schemas.microsoft.com/office/drawing/2010/main"/>
                        </a:ext>
                        <a:ext uri="{96DAC541-7B7A-43D3-8B79-37D633B846F1}">
                          <asvg:svgBlip xmlns:asvg="http://schemas.microsoft.com/office/drawing/2016/SVG/main" r:embed="rId136"/>
                        </a:ext>
                      </a:extLst>
                    </a:blip>
                    <a:stretch>
                      <a:fillRect/>
                    </a:stretch>
                  </pic:blipFill>
                  <pic:spPr>
                    <a:xfrm>
                      <a:off x="0" y="0"/>
                      <a:ext cx="4784400" cy="2690590"/>
                    </a:xfrm>
                    <a:prstGeom prst="rect">
                      <a:avLst/>
                    </a:prstGeom>
                  </pic:spPr>
                </pic:pic>
              </a:graphicData>
            </a:graphic>
          </wp:inline>
        </w:drawing>
      </w:r>
    </w:p>
    <w:p w14:paraId="078433F7" w14:textId="77777777" w:rsidR="00B813A0" w:rsidRPr="00247844" w:rsidRDefault="00B813A0" w:rsidP="00247844"/>
    <w:p w14:paraId="1E9A423B" w14:textId="75D1049F" w:rsidR="00DE154C" w:rsidRDefault="001F28B3" w:rsidP="00FD373D">
      <w:pPr>
        <w:pStyle w:val="Heading2"/>
      </w:pPr>
      <w:bookmarkStart w:id="331" w:name="_Toc87700506"/>
      <w:bookmarkStart w:id="332" w:name="_Toc88686158"/>
      <w:r>
        <w:t>Additional work</w:t>
      </w:r>
      <w:bookmarkEnd w:id="331"/>
      <w:bookmarkEnd w:id="332"/>
    </w:p>
    <w:p w14:paraId="6FA3E27A" w14:textId="26D228BA" w:rsidR="00D1584E" w:rsidRDefault="009366CE" w:rsidP="00FD373D">
      <w:pPr>
        <w:pStyle w:val="Heading3"/>
      </w:pPr>
      <w:r>
        <w:t xml:space="preserve">Questions not answerable with the current </w:t>
      </w:r>
      <w:r w:rsidR="00D1584E">
        <w:t xml:space="preserve">data </w:t>
      </w:r>
      <w:r>
        <w:t xml:space="preserve">provided </w:t>
      </w:r>
    </w:p>
    <w:p w14:paraId="7D345B07" w14:textId="0FC47881" w:rsidR="00D1584E" w:rsidRDefault="00D1584E" w:rsidP="00FD373D">
      <w:pPr>
        <w:keepNext/>
      </w:pPr>
      <w:r>
        <w:t xml:space="preserve">Ultimately, </w:t>
      </w:r>
      <w:r w:rsidR="005B303D">
        <w:t xml:space="preserve">the </w:t>
      </w:r>
      <w:r>
        <w:t>payment data cannot assess whether:</w:t>
      </w:r>
    </w:p>
    <w:p w14:paraId="5C950D5C" w14:textId="57F3B90E" w:rsidR="00D1584E" w:rsidRDefault="00D1584E" w:rsidP="00FD373D">
      <w:pPr>
        <w:pStyle w:val="Bullet1"/>
        <w:keepNext/>
      </w:pPr>
      <w:r>
        <w:t>A payment represents good ‘value for money’; the quality of a service delivered is not visible</w:t>
      </w:r>
      <w:r w:rsidR="009366CE">
        <w:t>, nor the rate of non-compliant payments</w:t>
      </w:r>
      <w:r w:rsidR="00F74101">
        <w:t xml:space="preserve"> or the direct benefits flowing from the service</w:t>
      </w:r>
      <w:r w:rsidR="009366CE">
        <w:t xml:space="preserve">. </w:t>
      </w:r>
      <w:r w:rsidR="004C1D75">
        <w:t>Therefore we cannot make any comments on t</w:t>
      </w:r>
      <w:r w:rsidR="004C1D75" w:rsidRPr="006E0E47">
        <w:t>he quality of service</w:t>
      </w:r>
      <w:r w:rsidR="004C1D75">
        <w:t>s</w:t>
      </w:r>
      <w:r w:rsidR="004C1D75" w:rsidRPr="006E0E47">
        <w:t xml:space="preserve"> and the </w:t>
      </w:r>
      <w:r w:rsidR="004C1D75">
        <w:t xml:space="preserve">resulting </w:t>
      </w:r>
      <w:r w:rsidR="004C1D75" w:rsidRPr="006E0E47">
        <w:t xml:space="preserve">benefits gained </w:t>
      </w:r>
      <w:r w:rsidR="004C1D75">
        <w:t>from those services.</w:t>
      </w:r>
    </w:p>
    <w:p w14:paraId="671782EE" w14:textId="5B7BF499" w:rsidR="00D1584E" w:rsidRPr="00D1584E" w:rsidRDefault="00D1584E" w:rsidP="00D1584E">
      <w:pPr>
        <w:pStyle w:val="Bullet1"/>
      </w:pPr>
      <w:r>
        <w:t>An additional support is ‘reasonable and necessary’. As supports have increased, presumably new supports either represent areas where a participant needed a service but previously was not accessing it, or it represents an expansion of what is judged reasonable and necessary. Again, this is not visible to us.</w:t>
      </w:r>
    </w:p>
    <w:p w14:paraId="1DE61B6F" w14:textId="2D0877C6" w:rsidR="00D1584E" w:rsidRDefault="00D76744" w:rsidP="00D1584E">
      <w:r w:rsidRPr="006E0E47">
        <w:t>Additional research, including qualitative work, would be valuable to</w:t>
      </w:r>
      <w:r>
        <w:t xml:space="preserve"> explore these areas</w:t>
      </w:r>
      <w:r w:rsidR="0024448D">
        <w:t>.</w:t>
      </w:r>
    </w:p>
    <w:p w14:paraId="4835C708" w14:textId="34770435" w:rsidR="00D1584E" w:rsidRDefault="00D1584E" w:rsidP="00D1584E">
      <w:pPr>
        <w:pStyle w:val="Heading3"/>
      </w:pPr>
      <w:r>
        <w:t>Further exploration of SDAC</w:t>
      </w:r>
      <w:r w:rsidR="0024448D">
        <w:t xml:space="preserve"> and prevalence </w:t>
      </w:r>
    </w:p>
    <w:p w14:paraId="04682F57" w14:textId="19DD1FC1" w:rsidR="00D1584E" w:rsidRPr="00D1584E" w:rsidRDefault="00D1584E" w:rsidP="00D1584E">
      <w:r>
        <w:t xml:space="preserve">Accessing the SDAC 2019 microdata would </w:t>
      </w:r>
      <w:r w:rsidR="0024448D">
        <w:t xml:space="preserve">potentially </w:t>
      </w:r>
      <w:r>
        <w:t xml:space="preserve">allow better reconciliation of </w:t>
      </w:r>
      <w:r w:rsidR="0024448D">
        <w:t xml:space="preserve">NDIS coverage relative to reported prevalence. Similarly, broader prevalence studies, such as those commissioned by disability group peak bodies, may offer some value in understanding trends in disability visible in the </w:t>
      </w:r>
      <w:r w:rsidR="00232FFF">
        <w:t>Scheme</w:t>
      </w:r>
      <w:r w:rsidR="0024448D">
        <w:t xml:space="preserve"> data. </w:t>
      </w:r>
    </w:p>
    <w:p w14:paraId="64996C0D" w14:textId="77777777" w:rsidR="00A520C9" w:rsidRDefault="00A520C9" w:rsidP="00A52191">
      <w:pPr>
        <w:pStyle w:val="AppendixTitle"/>
      </w:pPr>
      <w:bookmarkStart w:id="333" w:name="_Ref84509592"/>
      <w:bookmarkStart w:id="334" w:name="_Toc87700507"/>
      <w:bookmarkStart w:id="335" w:name="_Toc88686159"/>
      <w:r>
        <w:t>Additional results</w:t>
      </w:r>
      <w:bookmarkEnd w:id="333"/>
      <w:bookmarkEnd w:id="334"/>
      <w:bookmarkEnd w:id="335"/>
    </w:p>
    <w:p w14:paraId="6CD32974" w14:textId="77777777" w:rsidR="00A520C9" w:rsidRDefault="00A520C9" w:rsidP="00A52191">
      <w:pPr>
        <w:pStyle w:val="AppendixSubheading"/>
      </w:pPr>
      <w:bookmarkStart w:id="336" w:name="_Toc87700508"/>
      <w:bookmarkStart w:id="337" w:name="_Toc88686160"/>
      <w:bookmarkStart w:id="338" w:name="_Hlk86826417"/>
      <w:r>
        <w:t>Full participant number backtest results</w:t>
      </w:r>
      <w:bookmarkEnd w:id="336"/>
      <w:bookmarkEnd w:id="337"/>
    </w:p>
    <w:tbl>
      <w:tblPr>
        <w:tblStyle w:val="TFBlue"/>
        <w:tblW w:w="7797" w:type="dxa"/>
        <w:tblLayout w:type="fixed"/>
        <w:tblLook w:val="04A0" w:firstRow="1" w:lastRow="0" w:firstColumn="1" w:lastColumn="0" w:noHBand="0" w:noVBand="1"/>
      </w:tblPr>
      <w:tblGrid>
        <w:gridCol w:w="2456"/>
        <w:gridCol w:w="1780"/>
        <w:gridCol w:w="1780"/>
        <w:gridCol w:w="1781"/>
      </w:tblGrid>
      <w:tr w:rsidR="00A520C9" w:rsidRPr="00490429" w14:paraId="10B689B1" w14:textId="77777777" w:rsidTr="00912E8D">
        <w:trPr>
          <w:cnfStyle w:val="100000000000" w:firstRow="1" w:lastRow="0" w:firstColumn="0" w:lastColumn="0" w:oddVBand="0" w:evenVBand="0" w:oddHBand="0" w:evenHBand="0" w:firstRowFirstColumn="0" w:firstRowLastColumn="0" w:lastRowFirstColumn="0" w:lastRowLastColumn="0"/>
          <w:trHeight w:val="300"/>
        </w:trPr>
        <w:tc>
          <w:tcPr>
            <w:tcW w:w="2456" w:type="dxa"/>
            <w:noWrap/>
            <w:hideMark/>
          </w:tcPr>
          <w:bookmarkEnd w:id="338"/>
          <w:p w14:paraId="63082C03"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Disability group - band</w:t>
            </w:r>
          </w:p>
        </w:tc>
        <w:tc>
          <w:tcPr>
            <w:tcW w:w="1780" w:type="dxa"/>
            <w:noWrap/>
            <w:hideMark/>
          </w:tcPr>
          <w:p w14:paraId="4B8D4F5F" w14:textId="77777777" w:rsidR="00A520C9" w:rsidRPr="00490429" w:rsidRDefault="00A520C9" w:rsidP="00912E8D">
            <w:pPr>
              <w:spacing w:before="0" w:after="0"/>
              <w:jc w:val="center"/>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Back-test predicted numbers at Jun-21 using model structure</w:t>
            </w:r>
          </w:p>
        </w:tc>
        <w:tc>
          <w:tcPr>
            <w:tcW w:w="1780" w:type="dxa"/>
            <w:noWrap/>
            <w:hideMark/>
          </w:tcPr>
          <w:p w14:paraId="072AD904" w14:textId="77777777" w:rsidR="00A520C9" w:rsidRPr="00490429" w:rsidRDefault="00A520C9" w:rsidP="00912E8D">
            <w:pPr>
              <w:spacing w:before="0" w:after="0"/>
              <w:jc w:val="center"/>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Actual population Jun-21</w:t>
            </w:r>
          </w:p>
        </w:tc>
        <w:tc>
          <w:tcPr>
            <w:tcW w:w="1781" w:type="dxa"/>
            <w:noWrap/>
            <w:hideMark/>
          </w:tcPr>
          <w:p w14:paraId="11D41857" w14:textId="77777777" w:rsidR="00A520C9" w:rsidRPr="00490429" w:rsidRDefault="00A520C9" w:rsidP="00912E8D">
            <w:pPr>
              <w:spacing w:before="0" w:after="0"/>
              <w:jc w:val="center"/>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Difference</w:t>
            </w:r>
          </w:p>
        </w:tc>
      </w:tr>
      <w:tr w:rsidR="00A520C9" w:rsidRPr="00490429" w14:paraId="0361A4B9"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45CCF4BC"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ABI_1</w:t>
            </w:r>
          </w:p>
        </w:tc>
        <w:tc>
          <w:tcPr>
            <w:tcW w:w="1780" w:type="dxa"/>
            <w:noWrap/>
            <w:hideMark/>
          </w:tcPr>
          <w:p w14:paraId="62D5BB4B" w14:textId="77777777" w:rsidR="00A520C9" w:rsidRPr="00490429" w:rsidRDefault="00A520C9" w:rsidP="00912E8D">
            <w:pPr>
              <w:tabs>
                <w:tab w:val="left" w:pos="55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417</w:t>
            </w:r>
          </w:p>
        </w:tc>
        <w:tc>
          <w:tcPr>
            <w:tcW w:w="1780" w:type="dxa"/>
            <w:noWrap/>
            <w:hideMark/>
          </w:tcPr>
          <w:p w14:paraId="3C7F14C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323</w:t>
            </w:r>
          </w:p>
        </w:tc>
        <w:tc>
          <w:tcPr>
            <w:tcW w:w="1781" w:type="dxa"/>
            <w:noWrap/>
            <w:hideMark/>
          </w:tcPr>
          <w:p w14:paraId="724CB25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-94</w:t>
            </w:r>
          </w:p>
        </w:tc>
      </w:tr>
      <w:tr w:rsidR="00A520C9" w:rsidRPr="00490429" w14:paraId="12DDB383" w14:textId="77777777" w:rsidTr="00912E8D">
        <w:trPr>
          <w:trHeight w:val="300"/>
        </w:trPr>
        <w:tc>
          <w:tcPr>
            <w:tcW w:w="2456" w:type="dxa"/>
            <w:noWrap/>
            <w:hideMark/>
          </w:tcPr>
          <w:p w14:paraId="53F8F1D9"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ABI_2</w:t>
            </w:r>
          </w:p>
        </w:tc>
        <w:tc>
          <w:tcPr>
            <w:tcW w:w="1780" w:type="dxa"/>
            <w:noWrap/>
            <w:hideMark/>
          </w:tcPr>
          <w:p w14:paraId="1062E4D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1,832</w:t>
            </w:r>
          </w:p>
        </w:tc>
        <w:tc>
          <w:tcPr>
            <w:tcW w:w="1780" w:type="dxa"/>
            <w:noWrap/>
            <w:hideMark/>
          </w:tcPr>
          <w:p w14:paraId="3CF262E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1,307</w:t>
            </w:r>
          </w:p>
        </w:tc>
        <w:tc>
          <w:tcPr>
            <w:tcW w:w="1781" w:type="dxa"/>
            <w:noWrap/>
            <w:hideMark/>
          </w:tcPr>
          <w:p w14:paraId="39C9EED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-525</w:t>
            </w:r>
          </w:p>
        </w:tc>
      </w:tr>
      <w:tr w:rsidR="00A520C9" w:rsidRPr="00490429" w14:paraId="4CE06BFE"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5E3C5B8A"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ABI_3</w:t>
            </w:r>
          </w:p>
        </w:tc>
        <w:tc>
          <w:tcPr>
            <w:tcW w:w="1780" w:type="dxa"/>
            <w:noWrap/>
            <w:hideMark/>
          </w:tcPr>
          <w:p w14:paraId="4C90AAC1"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1,770</w:t>
            </w:r>
          </w:p>
        </w:tc>
        <w:tc>
          <w:tcPr>
            <w:tcW w:w="1780" w:type="dxa"/>
            <w:noWrap/>
            <w:hideMark/>
          </w:tcPr>
          <w:p w14:paraId="64F37DF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1,528</w:t>
            </w:r>
          </w:p>
        </w:tc>
        <w:tc>
          <w:tcPr>
            <w:tcW w:w="1781" w:type="dxa"/>
            <w:noWrap/>
            <w:hideMark/>
          </w:tcPr>
          <w:p w14:paraId="6C351E8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-242</w:t>
            </w:r>
          </w:p>
        </w:tc>
      </w:tr>
      <w:tr w:rsidR="00A520C9" w:rsidRPr="00490429" w14:paraId="57BCA985" w14:textId="77777777" w:rsidTr="00912E8D">
        <w:trPr>
          <w:trHeight w:val="300"/>
        </w:trPr>
        <w:tc>
          <w:tcPr>
            <w:tcW w:w="2456" w:type="dxa"/>
            <w:noWrap/>
            <w:hideMark/>
          </w:tcPr>
          <w:p w14:paraId="589BD866"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ABI_4</w:t>
            </w:r>
          </w:p>
        </w:tc>
        <w:tc>
          <w:tcPr>
            <w:tcW w:w="1780" w:type="dxa"/>
            <w:noWrap/>
            <w:hideMark/>
          </w:tcPr>
          <w:p w14:paraId="6DC994D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455</w:t>
            </w:r>
          </w:p>
        </w:tc>
        <w:tc>
          <w:tcPr>
            <w:tcW w:w="1780" w:type="dxa"/>
            <w:noWrap/>
            <w:hideMark/>
          </w:tcPr>
          <w:p w14:paraId="695F3F5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447</w:t>
            </w:r>
          </w:p>
        </w:tc>
        <w:tc>
          <w:tcPr>
            <w:tcW w:w="1781" w:type="dxa"/>
            <w:noWrap/>
            <w:hideMark/>
          </w:tcPr>
          <w:p w14:paraId="060DBA9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w:t>
            </w:r>
          </w:p>
        </w:tc>
      </w:tr>
      <w:tr w:rsidR="00A520C9" w:rsidRPr="00490429" w14:paraId="4B6044C1"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7BC02BA7"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ABI_5</w:t>
            </w:r>
          </w:p>
        </w:tc>
        <w:tc>
          <w:tcPr>
            <w:tcW w:w="1780" w:type="dxa"/>
            <w:noWrap/>
            <w:hideMark/>
          </w:tcPr>
          <w:p w14:paraId="1657ABC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3,206</w:t>
            </w:r>
          </w:p>
        </w:tc>
        <w:tc>
          <w:tcPr>
            <w:tcW w:w="1780" w:type="dxa"/>
            <w:noWrap/>
            <w:hideMark/>
          </w:tcPr>
          <w:p w14:paraId="3C66439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3,437</w:t>
            </w:r>
          </w:p>
        </w:tc>
        <w:tc>
          <w:tcPr>
            <w:tcW w:w="1781" w:type="dxa"/>
            <w:noWrap/>
            <w:hideMark/>
          </w:tcPr>
          <w:p w14:paraId="3A3CD911"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231</w:t>
            </w:r>
          </w:p>
        </w:tc>
      </w:tr>
      <w:tr w:rsidR="00A520C9" w:rsidRPr="00490429" w14:paraId="356F819F" w14:textId="77777777" w:rsidTr="00912E8D">
        <w:trPr>
          <w:trHeight w:val="300"/>
        </w:trPr>
        <w:tc>
          <w:tcPr>
            <w:tcW w:w="2456" w:type="dxa"/>
            <w:noWrap/>
            <w:hideMark/>
          </w:tcPr>
          <w:p w14:paraId="473A8950"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ABI_6</w:t>
            </w:r>
          </w:p>
        </w:tc>
        <w:tc>
          <w:tcPr>
            <w:tcW w:w="1780" w:type="dxa"/>
            <w:noWrap/>
            <w:hideMark/>
          </w:tcPr>
          <w:p w14:paraId="2BB29CC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5,903</w:t>
            </w:r>
          </w:p>
        </w:tc>
        <w:tc>
          <w:tcPr>
            <w:tcW w:w="1780" w:type="dxa"/>
            <w:noWrap/>
            <w:hideMark/>
          </w:tcPr>
          <w:p w14:paraId="7E363D09"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7,217</w:t>
            </w:r>
          </w:p>
        </w:tc>
        <w:tc>
          <w:tcPr>
            <w:tcW w:w="1781" w:type="dxa"/>
            <w:noWrap/>
            <w:hideMark/>
          </w:tcPr>
          <w:p w14:paraId="01D076F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1,314</w:t>
            </w:r>
          </w:p>
        </w:tc>
      </w:tr>
      <w:tr w:rsidR="00A520C9" w:rsidRPr="00490429" w14:paraId="2A80CF61"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11CC7F97"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ABI_7</w:t>
            </w:r>
          </w:p>
        </w:tc>
        <w:tc>
          <w:tcPr>
            <w:tcW w:w="1780" w:type="dxa"/>
            <w:tcBorders>
              <w:bottom w:val="single" w:sz="4" w:space="0" w:color="006EC8" w:themeColor="accent1"/>
            </w:tcBorders>
            <w:noWrap/>
            <w:hideMark/>
          </w:tcPr>
          <w:p w14:paraId="6D4791A1"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433</w:t>
            </w:r>
          </w:p>
        </w:tc>
        <w:tc>
          <w:tcPr>
            <w:tcW w:w="1780" w:type="dxa"/>
            <w:tcBorders>
              <w:bottom w:val="single" w:sz="4" w:space="0" w:color="006EC8" w:themeColor="accent1"/>
            </w:tcBorders>
            <w:noWrap/>
            <w:hideMark/>
          </w:tcPr>
          <w:p w14:paraId="6DAABC2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657</w:t>
            </w:r>
          </w:p>
        </w:tc>
        <w:tc>
          <w:tcPr>
            <w:tcW w:w="1781" w:type="dxa"/>
            <w:tcBorders>
              <w:bottom w:val="single" w:sz="4" w:space="0" w:color="006EC8" w:themeColor="accent1"/>
            </w:tcBorders>
            <w:noWrap/>
            <w:hideMark/>
          </w:tcPr>
          <w:p w14:paraId="4A012F4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224</w:t>
            </w:r>
          </w:p>
        </w:tc>
      </w:tr>
      <w:tr w:rsidR="00A520C9" w:rsidRPr="00490429" w14:paraId="67139F0E" w14:textId="77777777" w:rsidTr="00912E8D">
        <w:trPr>
          <w:trHeight w:val="300"/>
        </w:trPr>
        <w:tc>
          <w:tcPr>
            <w:tcW w:w="2456" w:type="dxa"/>
            <w:tcBorders>
              <w:top w:val="single" w:sz="4" w:space="0" w:color="006EC8" w:themeColor="accent1"/>
            </w:tcBorders>
            <w:noWrap/>
            <w:hideMark/>
          </w:tcPr>
          <w:p w14:paraId="2AA0825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Autism_1</w:t>
            </w:r>
          </w:p>
        </w:tc>
        <w:tc>
          <w:tcPr>
            <w:tcW w:w="1780" w:type="dxa"/>
            <w:tcBorders>
              <w:top w:val="single" w:sz="4" w:space="0" w:color="006EC8" w:themeColor="accent1"/>
            </w:tcBorders>
            <w:noWrap/>
            <w:hideMark/>
          </w:tcPr>
          <w:p w14:paraId="6AB650F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37,603</w:t>
            </w:r>
          </w:p>
        </w:tc>
        <w:tc>
          <w:tcPr>
            <w:tcW w:w="1780" w:type="dxa"/>
            <w:tcBorders>
              <w:top w:val="single" w:sz="4" w:space="0" w:color="006EC8" w:themeColor="accent1"/>
            </w:tcBorders>
            <w:noWrap/>
            <w:hideMark/>
          </w:tcPr>
          <w:p w14:paraId="6F4C5D5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28,369</w:t>
            </w:r>
          </w:p>
        </w:tc>
        <w:tc>
          <w:tcPr>
            <w:tcW w:w="1781" w:type="dxa"/>
            <w:tcBorders>
              <w:top w:val="single" w:sz="4" w:space="0" w:color="006EC8" w:themeColor="accent1"/>
            </w:tcBorders>
            <w:noWrap/>
            <w:hideMark/>
          </w:tcPr>
          <w:p w14:paraId="5FA564A9"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-9,234</w:t>
            </w:r>
          </w:p>
        </w:tc>
      </w:tr>
      <w:tr w:rsidR="00A520C9" w:rsidRPr="00490429" w14:paraId="2D5D1835"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76C9B8FE"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Autism_2</w:t>
            </w:r>
          </w:p>
        </w:tc>
        <w:tc>
          <w:tcPr>
            <w:tcW w:w="1780" w:type="dxa"/>
            <w:noWrap/>
            <w:hideMark/>
          </w:tcPr>
          <w:p w14:paraId="33CAF17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71,480</w:t>
            </w:r>
          </w:p>
        </w:tc>
        <w:tc>
          <w:tcPr>
            <w:tcW w:w="1780" w:type="dxa"/>
            <w:noWrap/>
            <w:hideMark/>
          </w:tcPr>
          <w:p w14:paraId="0B9E528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85,405</w:t>
            </w:r>
          </w:p>
        </w:tc>
        <w:tc>
          <w:tcPr>
            <w:tcW w:w="1781" w:type="dxa"/>
            <w:noWrap/>
            <w:hideMark/>
          </w:tcPr>
          <w:p w14:paraId="53D1A96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13,925</w:t>
            </w:r>
          </w:p>
        </w:tc>
      </w:tr>
      <w:tr w:rsidR="00A520C9" w:rsidRPr="00490429" w14:paraId="03D34DD1" w14:textId="77777777" w:rsidTr="00912E8D">
        <w:trPr>
          <w:trHeight w:val="300"/>
        </w:trPr>
        <w:tc>
          <w:tcPr>
            <w:tcW w:w="2456" w:type="dxa"/>
            <w:noWrap/>
            <w:hideMark/>
          </w:tcPr>
          <w:p w14:paraId="677674C8"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Autism_3</w:t>
            </w:r>
          </w:p>
        </w:tc>
        <w:tc>
          <w:tcPr>
            <w:tcW w:w="1780" w:type="dxa"/>
            <w:noWrap/>
            <w:hideMark/>
          </w:tcPr>
          <w:p w14:paraId="466AFA1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9,255</w:t>
            </w:r>
          </w:p>
        </w:tc>
        <w:tc>
          <w:tcPr>
            <w:tcW w:w="1780" w:type="dxa"/>
            <w:noWrap/>
            <w:hideMark/>
          </w:tcPr>
          <w:p w14:paraId="1109319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9,370</w:t>
            </w:r>
          </w:p>
        </w:tc>
        <w:tc>
          <w:tcPr>
            <w:tcW w:w="1781" w:type="dxa"/>
            <w:noWrap/>
            <w:hideMark/>
          </w:tcPr>
          <w:p w14:paraId="28C0B45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115</w:t>
            </w:r>
          </w:p>
        </w:tc>
      </w:tr>
      <w:tr w:rsidR="00A520C9" w:rsidRPr="00490429" w14:paraId="1BDFE877"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5C5D0718"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Autism_4</w:t>
            </w:r>
          </w:p>
        </w:tc>
        <w:tc>
          <w:tcPr>
            <w:tcW w:w="1780" w:type="dxa"/>
            <w:tcBorders>
              <w:bottom w:val="single" w:sz="4" w:space="0" w:color="006EC8" w:themeColor="accent1"/>
            </w:tcBorders>
            <w:noWrap/>
            <w:hideMark/>
          </w:tcPr>
          <w:p w14:paraId="77E5F81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19,862</w:t>
            </w:r>
          </w:p>
        </w:tc>
        <w:tc>
          <w:tcPr>
            <w:tcW w:w="1780" w:type="dxa"/>
            <w:tcBorders>
              <w:bottom w:val="single" w:sz="4" w:space="0" w:color="006EC8" w:themeColor="accent1"/>
            </w:tcBorders>
            <w:noWrap/>
            <w:hideMark/>
          </w:tcPr>
          <w:p w14:paraId="4C6B521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28,197</w:t>
            </w:r>
          </w:p>
        </w:tc>
        <w:tc>
          <w:tcPr>
            <w:tcW w:w="1781" w:type="dxa"/>
            <w:tcBorders>
              <w:bottom w:val="single" w:sz="4" w:space="0" w:color="006EC8" w:themeColor="accent1"/>
            </w:tcBorders>
            <w:noWrap/>
            <w:hideMark/>
          </w:tcPr>
          <w:p w14:paraId="4C380335"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8,335</w:t>
            </w:r>
          </w:p>
        </w:tc>
      </w:tr>
      <w:tr w:rsidR="00A520C9" w:rsidRPr="00490429" w14:paraId="407AF00D" w14:textId="77777777" w:rsidTr="00912E8D">
        <w:trPr>
          <w:trHeight w:val="300"/>
        </w:trPr>
        <w:tc>
          <w:tcPr>
            <w:tcW w:w="2456" w:type="dxa"/>
            <w:tcBorders>
              <w:top w:val="single" w:sz="4" w:space="0" w:color="006EC8" w:themeColor="accent1"/>
            </w:tcBorders>
            <w:noWrap/>
            <w:hideMark/>
          </w:tcPr>
          <w:p w14:paraId="77E5D965"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Cerebral Palsy_1</w:t>
            </w:r>
          </w:p>
        </w:tc>
        <w:tc>
          <w:tcPr>
            <w:tcW w:w="1780" w:type="dxa"/>
            <w:tcBorders>
              <w:top w:val="single" w:sz="4" w:space="0" w:color="006EC8" w:themeColor="accent1"/>
            </w:tcBorders>
            <w:noWrap/>
            <w:hideMark/>
          </w:tcPr>
          <w:p w14:paraId="47D1F26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1,028</w:t>
            </w:r>
          </w:p>
        </w:tc>
        <w:tc>
          <w:tcPr>
            <w:tcW w:w="1780" w:type="dxa"/>
            <w:tcBorders>
              <w:top w:val="single" w:sz="4" w:space="0" w:color="006EC8" w:themeColor="accent1"/>
            </w:tcBorders>
            <w:noWrap/>
            <w:hideMark/>
          </w:tcPr>
          <w:p w14:paraId="5C4E077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1,097</w:t>
            </w:r>
          </w:p>
        </w:tc>
        <w:tc>
          <w:tcPr>
            <w:tcW w:w="1781" w:type="dxa"/>
            <w:tcBorders>
              <w:top w:val="single" w:sz="4" w:space="0" w:color="006EC8" w:themeColor="accent1"/>
            </w:tcBorders>
            <w:noWrap/>
            <w:hideMark/>
          </w:tcPr>
          <w:p w14:paraId="3880CE6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69</w:t>
            </w:r>
          </w:p>
        </w:tc>
      </w:tr>
      <w:tr w:rsidR="00A520C9" w:rsidRPr="00490429" w14:paraId="4F7FB60C"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47580A20"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Cerebral Palsy_2</w:t>
            </w:r>
          </w:p>
        </w:tc>
        <w:tc>
          <w:tcPr>
            <w:tcW w:w="1780" w:type="dxa"/>
            <w:noWrap/>
            <w:hideMark/>
          </w:tcPr>
          <w:p w14:paraId="17893A9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5,572</w:t>
            </w:r>
          </w:p>
        </w:tc>
        <w:tc>
          <w:tcPr>
            <w:tcW w:w="1780" w:type="dxa"/>
            <w:noWrap/>
            <w:hideMark/>
          </w:tcPr>
          <w:p w14:paraId="0699082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4,948</w:t>
            </w:r>
          </w:p>
        </w:tc>
        <w:tc>
          <w:tcPr>
            <w:tcW w:w="1781" w:type="dxa"/>
            <w:noWrap/>
            <w:hideMark/>
          </w:tcPr>
          <w:p w14:paraId="37DA5F1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-624</w:t>
            </w:r>
          </w:p>
        </w:tc>
      </w:tr>
      <w:tr w:rsidR="00A520C9" w:rsidRPr="00490429" w14:paraId="4F2E8CD1" w14:textId="77777777" w:rsidTr="00912E8D">
        <w:trPr>
          <w:trHeight w:val="300"/>
        </w:trPr>
        <w:tc>
          <w:tcPr>
            <w:tcW w:w="2456" w:type="dxa"/>
            <w:noWrap/>
            <w:hideMark/>
          </w:tcPr>
          <w:p w14:paraId="7177D461"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Cerebral Palsy_3</w:t>
            </w:r>
          </w:p>
        </w:tc>
        <w:tc>
          <w:tcPr>
            <w:tcW w:w="1780" w:type="dxa"/>
            <w:noWrap/>
            <w:hideMark/>
          </w:tcPr>
          <w:p w14:paraId="1D1B8E4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2,193</w:t>
            </w:r>
          </w:p>
        </w:tc>
        <w:tc>
          <w:tcPr>
            <w:tcW w:w="1780" w:type="dxa"/>
            <w:noWrap/>
            <w:hideMark/>
          </w:tcPr>
          <w:p w14:paraId="452D987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2,204</w:t>
            </w:r>
          </w:p>
        </w:tc>
        <w:tc>
          <w:tcPr>
            <w:tcW w:w="1781" w:type="dxa"/>
            <w:noWrap/>
            <w:hideMark/>
          </w:tcPr>
          <w:p w14:paraId="013E542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w:t>
            </w:r>
          </w:p>
        </w:tc>
      </w:tr>
      <w:tr w:rsidR="00A520C9" w:rsidRPr="00490429" w14:paraId="71B83922"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47DD206B"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Cerebral Palsy_4</w:t>
            </w:r>
          </w:p>
        </w:tc>
        <w:tc>
          <w:tcPr>
            <w:tcW w:w="1780" w:type="dxa"/>
            <w:tcBorders>
              <w:bottom w:val="single" w:sz="4" w:space="0" w:color="006EC8" w:themeColor="accent1"/>
            </w:tcBorders>
            <w:noWrap/>
            <w:hideMark/>
          </w:tcPr>
          <w:p w14:paraId="09317CC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6,395</w:t>
            </w:r>
          </w:p>
        </w:tc>
        <w:tc>
          <w:tcPr>
            <w:tcW w:w="1780" w:type="dxa"/>
            <w:tcBorders>
              <w:bottom w:val="single" w:sz="4" w:space="0" w:color="006EC8" w:themeColor="accent1"/>
            </w:tcBorders>
            <w:noWrap/>
            <w:hideMark/>
          </w:tcPr>
          <w:p w14:paraId="4A8D3C01"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8,318</w:t>
            </w:r>
          </w:p>
        </w:tc>
        <w:tc>
          <w:tcPr>
            <w:tcW w:w="1781" w:type="dxa"/>
            <w:tcBorders>
              <w:bottom w:val="single" w:sz="4" w:space="0" w:color="006EC8" w:themeColor="accent1"/>
            </w:tcBorders>
            <w:noWrap/>
            <w:hideMark/>
          </w:tcPr>
          <w:p w14:paraId="2743DE69"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1,923</w:t>
            </w:r>
          </w:p>
        </w:tc>
      </w:tr>
      <w:tr w:rsidR="00A520C9" w:rsidRPr="00490429" w14:paraId="73185E98" w14:textId="77777777" w:rsidTr="00912E8D">
        <w:trPr>
          <w:trHeight w:val="300"/>
        </w:trPr>
        <w:tc>
          <w:tcPr>
            <w:tcW w:w="2456" w:type="dxa"/>
            <w:tcBorders>
              <w:top w:val="single" w:sz="4" w:space="0" w:color="006EC8" w:themeColor="accent1"/>
            </w:tcBorders>
            <w:noWrap/>
            <w:hideMark/>
          </w:tcPr>
          <w:p w14:paraId="4374C922"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Hearing Impairment_1</w:t>
            </w:r>
          </w:p>
        </w:tc>
        <w:tc>
          <w:tcPr>
            <w:tcW w:w="1780" w:type="dxa"/>
            <w:tcBorders>
              <w:top w:val="single" w:sz="4" w:space="0" w:color="006EC8" w:themeColor="accent1"/>
            </w:tcBorders>
            <w:noWrap/>
            <w:hideMark/>
          </w:tcPr>
          <w:p w14:paraId="7254F9E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17,639</w:t>
            </w:r>
          </w:p>
        </w:tc>
        <w:tc>
          <w:tcPr>
            <w:tcW w:w="1780" w:type="dxa"/>
            <w:tcBorders>
              <w:top w:val="single" w:sz="4" w:space="0" w:color="006EC8" w:themeColor="accent1"/>
            </w:tcBorders>
            <w:noWrap/>
            <w:hideMark/>
          </w:tcPr>
          <w:p w14:paraId="41035FD1"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17,186</w:t>
            </w:r>
          </w:p>
        </w:tc>
        <w:tc>
          <w:tcPr>
            <w:tcW w:w="1781" w:type="dxa"/>
            <w:tcBorders>
              <w:top w:val="single" w:sz="4" w:space="0" w:color="006EC8" w:themeColor="accent1"/>
            </w:tcBorders>
            <w:noWrap/>
            <w:hideMark/>
          </w:tcPr>
          <w:p w14:paraId="397FB39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-453</w:t>
            </w:r>
          </w:p>
        </w:tc>
      </w:tr>
      <w:tr w:rsidR="00A520C9" w:rsidRPr="00490429" w14:paraId="4B9AB379"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08F1F1C5"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Hearing Impairment_2</w:t>
            </w:r>
          </w:p>
        </w:tc>
        <w:tc>
          <w:tcPr>
            <w:tcW w:w="1780" w:type="dxa"/>
            <w:tcBorders>
              <w:bottom w:val="single" w:sz="4" w:space="0" w:color="006EC8" w:themeColor="accent1"/>
            </w:tcBorders>
            <w:noWrap/>
            <w:hideMark/>
          </w:tcPr>
          <w:p w14:paraId="44D4D27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5,284</w:t>
            </w:r>
          </w:p>
        </w:tc>
        <w:tc>
          <w:tcPr>
            <w:tcW w:w="1780" w:type="dxa"/>
            <w:tcBorders>
              <w:bottom w:val="single" w:sz="4" w:space="0" w:color="006EC8" w:themeColor="accent1"/>
            </w:tcBorders>
            <w:noWrap/>
            <w:hideMark/>
          </w:tcPr>
          <w:p w14:paraId="339B903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5,168</w:t>
            </w:r>
          </w:p>
        </w:tc>
        <w:tc>
          <w:tcPr>
            <w:tcW w:w="1781" w:type="dxa"/>
            <w:tcBorders>
              <w:bottom w:val="single" w:sz="4" w:space="0" w:color="006EC8" w:themeColor="accent1"/>
            </w:tcBorders>
            <w:noWrap/>
            <w:hideMark/>
          </w:tcPr>
          <w:p w14:paraId="71F7D45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-116</w:t>
            </w:r>
          </w:p>
        </w:tc>
      </w:tr>
      <w:tr w:rsidR="00A520C9" w:rsidRPr="00490429" w14:paraId="47464A85" w14:textId="77777777" w:rsidTr="00912E8D">
        <w:trPr>
          <w:trHeight w:val="300"/>
        </w:trPr>
        <w:tc>
          <w:tcPr>
            <w:tcW w:w="2456" w:type="dxa"/>
            <w:tcBorders>
              <w:top w:val="single" w:sz="4" w:space="0" w:color="006EC8" w:themeColor="accent1"/>
            </w:tcBorders>
            <w:noWrap/>
            <w:hideMark/>
          </w:tcPr>
          <w:p w14:paraId="08E41216"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Intellectual Disability_1</w:t>
            </w:r>
          </w:p>
        </w:tc>
        <w:tc>
          <w:tcPr>
            <w:tcW w:w="1780" w:type="dxa"/>
            <w:tcBorders>
              <w:top w:val="single" w:sz="4" w:space="0" w:color="006EC8" w:themeColor="accent1"/>
            </w:tcBorders>
            <w:noWrap/>
            <w:hideMark/>
          </w:tcPr>
          <w:p w14:paraId="3096836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24,245</w:t>
            </w:r>
          </w:p>
        </w:tc>
        <w:tc>
          <w:tcPr>
            <w:tcW w:w="1780" w:type="dxa"/>
            <w:tcBorders>
              <w:top w:val="single" w:sz="4" w:space="0" w:color="006EC8" w:themeColor="accent1"/>
            </w:tcBorders>
            <w:noWrap/>
            <w:hideMark/>
          </w:tcPr>
          <w:p w14:paraId="193BBCB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16,431</w:t>
            </w:r>
          </w:p>
        </w:tc>
        <w:tc>
          <w:tcPr>
            <w:tcW w:w="1781" w:type="dxa"/>
            <w:tcBorders>
              <w:top w:val="single" w:sz="4" w:space="0" w:color="006EC8" w:themeColor="accent1"/>
            </w:tcBorders>
            <w:noWrap/>
            <w:hideMark/>
          </w:tcPr>
          <w:p w14:paraId="23C492F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-7,814</w:t>
            </w:r>
          </w:p>
        </w:tc>
      </w:tr>
      <w:tr w:rsidR="00A520C9" w:rsidRPr="00490429" w14:paraId="0C4E2D2A"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6EA5ACC7"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Intellectual Disability_2</w:t>
            </w:r>
          </w:p>
        </w:tc>
        <w:tc>
          <w:tcPr>
            <w:tcW w:w="1780" w:type="dxa"/>
            <w:noWrap/>
            <w:hideMark/>
          </w:tcPr>
          <w:p w14:paraId="64E22DA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31,315</w:t>
            </w:r>
          </w:p>
        </w:tc>
        <w:tc>
          <w:tcPr>
            <w:tcW w:w="1780" w:type="dxa"/>
            <w:noWrap/>
            <w:hideMark/>
          </w:tcPr>
          <w:p w14:paraId="53FF288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29,171</w:t>
            </w:r>
          </w:p>
        </w:tc>
        <w:tc>
          <w:tcPr>
            <w:tcW w:w="1781" w:type="dxa"/>
            <w:noWrap/>
            <w:hideMark/>
          </w:tcPr>
          <w:p w14:paraId="7EC2A55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-2,144</w:t>
            </w:r>
          </w:p>
        </w:tc>
      </w:tr>
      <w:tr w:rsidR="00A520C9" w:rsidRPr="00490429" w14:paraId="207FA325" w14:textId="77777777" w:rsidTr="00912E8D">
        <w:trPr>
          <w:trHeight w:val="300"/>
        </w:trPr>
        <w:tc>
          <w:tcPr>
            <w:tcW w:w="2456" w:type="dxa"/>
            <w:noWrap/>
            <w:hideMark/>
          </w:tcPr>
          <w:p w14:paraId="2E27520A"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Intellectual Disability_3</w:t>
            </w:r>
          </w:p>
        </w:tc>
        <w:tc>
          <w:tcPr>
            <w:tcW w:w="1780" w:type="dxa"/>
            <w:noWrap/>
            <w:hideMark/>
          </w:tcPr>
          <w:p w14:paraId="358322C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19,553</w:t>
            </w:r>
          </w:p>
        </w:tc>
        <w:tc>
          <w:tcPr>
            <w:tcW w:w="1780" w:type="dxa"/>
            <w:noWrap/>
            <w:hideMark/>
          </w:tcPr>
          <w:p w14:paraId="02DACBC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21,908</w:t>
            </w:r>
          </w:p>
        </w:tc>
        <w:tc>
          <w:tcPr>
            <w:tcW w:w="1781" w:type="dxa"/>
            <w:noWrap/>
            <w:hideMark/>
          </w:tcPr>
          <w:p w14:paraId="1EC902D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2,355</w:t>
            </w:r>
          </w:p>
        </w:tc>
      </w:tr>
      <w:tr w:rsidR="00A520C9" w:rsidRPr="00490429" w14:paraId="4F2174A0"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5BA2782A"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Intellectual Disability_4</w:t>
            </w:r>
          </w:p>
        </w:tc>
        <w:tc>
          <w:tcPr>
            <w:tcW w:w="1780" w:type="dxa"/>
            <w:tcBorders>
              <w:bottom w:val="single" w:sz="4" w:space="0" w:color="006EC8" w:themeColor="accent1"/>
            </w:tcBorders>
            <w:noWrap/>
            <w:hideMark/>
          </w:tcPr>
          <w:p w14:paraId="02E8C62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19,272</w:t>
            </w:r>
          </w:p>
        </w:tc>
        <w:tc>
          <w:tcPr>
            <w:tcW w:w="1780" w:type="dxa"/>
            <w:tcBorders>
              <w:bottom w:val="single" w:sz="4" w:space="0" w:color="006EC8" w:themeColor="accent1"/>
            </w:tcBorders>
            <w:noWrap/>
            <w:hideMark/>
          </w:tcPr>
          <w:p w14:paraId="37070A1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23,726</w:t>
            </w:r>
          </w:p>
        </w:tc>
        <w:tc>
          <w:tcPr>
            <w:tcW w:w="1781" w:type="dxa"/>
            <w:tcBorders>
              <w:bottom w:val="single" w:sz="4" w:space="0" w:color="006EC8" w:themeColor="accent1"/>
            </w:tcBorders>
            <w:noWrap/>
            <w:hideMark/>
          </w:tcPr>
          <w:p w14:paraId="241B874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4,454</w:t>
            </w:r>
          </w:p>
        </w:tc>
      </w:tr>
      <w:tr w:rsidR="00A520C9" w:rsidRPr="00490429" w14:paraId="3D32A2F6" w14:textId="77777777" w:rsidTr="00912E8D">
        <w:trPr>
          <w:trHeight w:val="300"/>
        </w:trPr>
        <w:tc>
          <w:tcPr>
            <w:tcW w:w="2456" w:type="dxa"/>
            <w:tcBorders>
              <w:top w:val="single" w:sz="4" w:space="0" w:color="006EC8" w:themeColor="accent1"/>
            </w:tcBorders>
            <w:noWrap/>
            <w:hideMark/>
          </w:tcPr>
          <w:p w14:paraId="5184030D"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Multiple Sclerosis_1</w:t>
            </w:r>
          </w:p>
        </w:tc>
        <w:tc>
          <w:tcPr>
            <w:tcW w:w="1780" w:type="dxa"/>
            <w:tcBorders>
              <w:top w:val="single" w:sz="4" w:space="0" w:color="006EC8" w:themeColor="accent1"/>
            </w:tcBorders>
            <w:noWrap/>
            <w:hideMark/>
          </w:tcPr>
          <w:p w14:paraId="5075FD4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29</w:t>
            </w:r>
          </w:p>
        </w:tc>
        <w:tc>
          <w:tcPr>
            <w:tcW w:w="1780" w:type="dxa"/>
            <w:tcBorders>
              <w:top w:val="single" w:sz="4" w:space="0" w:color="006EC8" w:themeColor="accent1"/>
            </w:tcBorders>
            <w:noWrap/>
            <w:hideMark/>
          </w:tcPr>
          <w:p w14:paraId="5981D0A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w:t>
            </w:r>
          </w:p>
        </w:tc>
        <w:tc>
          <w:tcPr>
            <w:tcW w:w="1781" w:type="dxa"/>
            <w:tcBorders>
              <w:top w:val="single" w:sz="4" w:space="0" w:color="006EC8" w:themeColor="accent1"/>
            </w:tcBorders>
            <w:noWrap/>
            <w:hideMark/>
          </w:tcPr>
          <w:p w14:paraId="642D696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w:t>
            </w:r>
          </w:p>
        </w:tc>
      </w:tr>
      <w:tr w:rsidR="00A520C9" w:rsidRPr="00490429" w14:paraId="31B846A5"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5AA296D3"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Multiple Sclerosis_2</w:t>
            </w:r>
          </w:p>
        </w:tc>
        <w:tc>
          <w:tcPr>
            <w:tcW w:w="1780" w:type="dxa"/>
            <w:noWrap/>
            <w:hideMark/>
          </w:tcPr>
          <w:p w14:paraId="2A81063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1,021</w:t>
            </w:r>
          </w:p>
        </w:tc>
        <w:tc>
          <w:tcPr>
            <w:tcW w:w="1780" w:type="dxa"/>
            <w:noWrap/>
            <w:hideMark/>
          </w:tcPr>
          <w:p w14:paraId="32D8B64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844</w:t>
            </w:r>
          </w:p>
        </w:tc>
        <w:tc>
          <w:tcPr>
            <w:tcW w:w="1781" w:type="dxa"/>
            <w:noWrap/>
            <w:hideMark/>
          </w:tcPr>
          <w:p w14:paraId="3ED5F8D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-177</w:t>
            </w:r>
          </w:p>
        </w:tc>
      </w:tr>
      <w:tr w:rsidR="00A520C9" w:rsidRPr="00490429" w14:paraId="69229B35" w14:textId="77777777" w:rsidTr="00912E8D">
        <w:trPr>
          <w:trHeight w:val="300"/>
        </w:trPr>
        <w:tc>
          <w:tcPr>
            <w:tcW w:w="2456" w:type="dxa"/>
            <w:noWrap/>
            <w:hideMark/>
          </w:tcPr>
          <w:p w14:paraId="057AE90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Multiple Sclerosis_3</w:t>
            </w:r>
          </w:p>
        </w:tc>
        <w:tc>
          <w:tcPr>
            <w:tcW w:w="1780" w:type="dxa"/>
            <w:noWrap/>
            <w:hideMark/>
          </w:tcPr>
          <w:p w14:paraId="574B9201"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1,681</w:t>
            </w:r>
          </w:p>
        </w:tc>
        <w:tc>
          <w:tcPr>
            <w:tcW w:w="1780" w:type="dxa"/>
            <w:noWrap/>
            <w:hideMark/>
          </w:tcPr>
          <w:p w14:paraId="092D1AF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1,438</w:t>
            </w:r>
          </w:p>
        </w:tc>
        <w:tc>
          <w:tcPr>
            <w:tcW w:w="1781" w:type="dxa"/>
            <w:noWrap/>
            <w:hideMark/>
          </w:tcPr>
          <w:p w14:paraId="2271219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-243</w:t>
            </w:r>
          </w:p>
        </w:tc>
      </w:tr>
      <w:tr w:rsidR="00A520C9" w:rsidRPr="00490429" w14:paraId="0AC5C87E"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6FA93C08"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Multiple Sclerosis_4</w:t>
            </w:r>
          </w:p>
        </w:tc>
        <w:tc>
          <w:tcPr>
            <w:tcW w:w="1780" w:type="dxa"/>
            <w:noWrap/>
            <w:hideMark/>
          </w:tcPr>
          <w:p w14:paraId="4A7101C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1,462</w:t>
            </w:r>
          </w:p>
        </w:tc>
        <w:tc>
          <w:tcPr>
            <w:tcW w:w="1780" w:type="dxa"/>
            <w:noWrap/>
            <w:hideMark/>
          </w:tcPr>
          <w:p w14:paraId="6C5F224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1,480</w:t>
            </w:r>
          </w:p>
        </w:tc>
        <w:tc>
          <w:tcPr>
            <w:tcW w:w="1781" w:type="dxa"/>
            <w:noWrap/>
            <w:hideMark/>
          </w:tcPr>
          <w:p w14:paraId="18B249C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w:t>
            </w:r>
          </w:p>
        </w:tc>
      </w:tr>
      <w:tr w:rsidR="00A520C9" w:rsidRPr="00490429" w14:paraId="7403587D" w14:textId="77777777" w:rsidTr="00912E8D">
        <w:trPr>
          <w:trHeight w:val="300"/>
        </w:trPr>
        <w:tc>
          <w:tcPr>
            <w:tcW w:w="2456" w:type="dxa"/>
            <w:noWrap/>
            <w:hideMark/>
          </w:tcPr>
          <w:p w14:paraId="60A931C9"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Multiple Sclerosis_5</w:t>
            </w:r>
          </w:p>
        </w:tc>
        <w:tc>
          <w:tcPr>
            <w:tcW w:w="1780" w:type="dxa"/>
            <w:noWrap/>
            <w:hideMark/>
          </w:tcPr>
          <w:p w14:paraId="55E7C5B5"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1,737</w:t>
            </w:r>
          </w:p>
        </w:tc>
        <w:tc>
          <w:tcPr>
            <w:tcW w:w="1780" w:type="dxa"/>
            <w:noWrap/>
            <w:hideMark/>
          </w:tcPr>
          <w:p w14:paraId="37989AD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1,878</w:t>
            </w:r>
          </w:p>
        </w:tc>
        <w:tc>
          <w:tcPr>
            <w:tcW w:w="1781" w:type="dxa"/>
            <w:noWrap/>
            <w:hideMark/>
          </w:tcPr>
          <w:p w14:paraId="74797ED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141</w:t>
            </w:r>
          </w:p>
        </w:tc>
      </w:tr>
      <w:tr w:rsidR="00A520C9" w:rsidRPr="00490429" w14:paraId="51100721"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3F66ACB8"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Multiple Sclerosis_6</w:t>
            </w:r>
          </w:p>
        </w:tc>
        <w:tc>
          <w:tcPr>
            <w:tcW w:w="1780" w:type="dxa"/>
            <w:tcBorders>
              <w:bottom w:val="single" w:sz="4" w:space="0" w:color="006EC8" w:themeColor="accent1"/>
            </w:tcBorders>
            <w:noWrap/>
            <w:hideMark/>
          </w:tcPr>
          <w:p w14:paraId="60FCEBA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2,202</w:t>
            </w:r>
          </w:p>
        </w:tc>
        <w:tc>
          <w:tcPr>
            <w:tcW w:w="1780" w:type="dxa"/>
            <w:tcBorders>
              <w:bottom w:val="single" w:sz="4" w:space="0" w:color="006EC8" w:themeColor="accent1"/>
            </w:tcBorders>
            <w:noWrap/>
            <w:hideMark/>
          </w:tcPr>
          <w:p w14:paraId="61EA4E1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2,869</w:t>
            </w:r>
          </w:p>
        </w:tc>
        <w:tc>
          <w:tcPr>
            <w:tcW w:w="1781" w:type="dxa"/>
            <w:tcBorders>
              <w:bottom w:val="single" w:sz="4" w:space="0" w:color="006EC8" w:themeColor="accent1"/>
            </w:tcBorders>
            <w:noWrap/>
            <w:hideMark/>
          </w:tcPr>
          <w:p w14:paraId="74C1FCE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667</w:t>
            </w:r>
          </w:p>
        </w:tc>
      </w:tr>
      <w:tr w:rsidR="00A520C9" w:rsidRPr="00490429" w14:paraId="12547E2E" w14:textId="77777777" w:rsidTr="00912E8D">
        <w:trPr>
          <w:trHeight w:val="300"/>
        </w:trPr>
        <w:tc>
          <w:tcPr>
            <w:tcW w:w="2456" w:type="dxa"/>
            <w:tcBorders>
              <w:top w:val="single" w:sz="4" w:space="0" w:color="006EC8" w:themeColor="accent1"/>
            </w:tcBorders>
            <w:noWrap/>
            <w:hideMark/>
          </w:tcPr>
          <w:p w14:paraId="6EEE5554"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Developmental delay_1</w:t>
            </w:r>
          </w:p>
        </w:tc>
        <w:tc>
          <w:tcPr>
            <w:tcW w:w="1780" w:type="dxa"/>
            <w:tcBorders>
              <w:top w:val="single" w:sz="4" w:space="0" w:color="006EC8" w:themeColor="accent1"/>
            </w:tcBorders>
            <w:noWrap/>
            <w:hideMark/>
          </w:tcPr>
          <w:p w14:paraId="484C574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53,905</w:t>
            </w:r>
          </w:p>
        </w:tc>
        <w:tc>
          <w:tcPr>
            <w:tcW w:w="1780" w:type="dxa"/>
            <w:tcBorders>
              <w:top w:val="single" w:sz="4" w:space="0" w:color="006EC8" w:themeColor="accent1"/>
            </w:tcBorders>
            <w:noWrap/>
            <w:hideMark/>
          </w:tcPr>
          <w:p w14:paraId="33BCF7A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46,000</w:t>
            </w:r>
          </w:p>
        </w:tc>
        <w:tc>
          <w:tcPr>
            <w:tcW w:w="1781" w:type="dxa"/>
            <w:tcBorders>
              <w:top w:val="single" w:sz="4" w:space="0" w:color="006EC8" w:themeColor="accent1"/>
            </w:tcBorders>
            <w:noWrap/>
            <w:hideMark/>
          </w:tcPr>
          <w:p w14:paraId="7376096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-7,905</w:t>
            </w:r>
          </w:p>
        </w:tc>
      </w:tr>
      <w:tr w:rsidR="00A520C9" w:rsidRPr="00490429" w14:paraId="39BCD1E7"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4E796D9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Developmental delay_2</w:t>
            </w:r>
          </w:p>
        </w:tc>
        <w:tc>
          <w:tcPr>
            <w:tcW w:w="1780" w:type="dxa"/>
            <w:tcBorders>
              <w:bottom w:val="single" w:sz="4" w:space="0" w:color="006EC8" w:themeColor="accent1"/>
            </w:tcBorders>
            <w:noWrap/>
            <w:hideMark/>
          </w:tcPr>
          <w:p w14:paraId="236F4E7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1,518</w:t>
            </w:r>
          </w:p>
        </w:tc>
        <w:tc>
          <w:tcPr>
            <w:tcW w:w="1780" w:type="dxa"/>
            <w:tcBorders>
              <w:bottom w:val="single" w:sz="4" w:space="0" w:color="006EC8" w:themeColor="accent1"/>
            </w:tcBorders>
            <w:noWrap/>
            <w:hideMark/>
          </w:tcPr>
          <w:p w14:paraId="0022260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1,172</w:t>
            </w:r>
          </w:p>
        </w:tc>
        <w:tc>
          <w:tcPr>
            <w:tcW w:w="1781" w:type="dxa"/>
            <w:tcBorders>
              <w:bottom w:val="single" w:sz="4" w:space="0" w:color="006EC8" w:themeColor="accent1"/>
            </w:tcBorders>
            <w:noWrap/>
            <w:hideMark/>
          </w:tcPr>
          <w:p w14:paraId="391A1C4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-346</w:t>
            </w:r>
          </w:p>
        </w:tc>
      </w:tr>
      <w:tr w:rsidR="00A520C9" w:rsidRPr="00490429" w14:paraId="42DDE2E5" w14:textId="77777777" w:rsidTr="00912E8D">
        <w:trPr>
          <w:trHeight w:val="300"/>
        </w:trPr>
        <w:tc>
          <w:tcPr>
            <w:tcW w:w="2456" w:type="dxa"/>
            <w:tcBorders>
              <w:top w:val="single" w:sz="4" w:space="0" w:color="006EC8" w:themeColor="accent1"/>
              <w:bottom w:val="single" w:sz="4" w:space="0" w:color="006EC8" w:themeColor="accent1"/>
            </w:tcBorders>
            <w:noWrap/>
            <w:hideMark/>
          </w:tcPr>
          <w:p w14:paraId="1BCD4C8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Other_1</w:t>
            </w:r>
          </w:p>
        </w:tc>
        <w:tc>
          <w:tcPr>
            <w:tcW w:w="1780" w:type="dxa"/>
            <w:tcBorders>
              <w:top w:val="single" w:sz="4" w:space="0" w:color="006EC8" w:themeColor="accent1"/>
              <w:bottom w:val="single" w:sz="4" w:space="0" w:color="006EC8" w:themeColor="accent1"/>
            </w:tcBorders>
            <w:noWrap/>
            <w:hideMark/>
          </w:tcPr>
          <w:p w14:paraId="2DFEC1E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2,815</w:t>
            </w:r>
          </w:p>
        </w:tc>
        <w:tc>
          <w:tcPr>
            <w:tcW w:w="1780" w:type="dxa"/>
            <w:tcBorders>
              <w:top w:val="single" w:sz="4" w:space="0" w:color="006EC8" w:themeColor="accent1"/>
              <w:bottom w:val="single" w:sz="4" w:space="0" w:color="006EC8" w:themeColor="accent1"/>
            </w:tcBorders>
            <w:noWrap/>
            <w:hideMark/>
          </w:tcPr>
          <w:p w14:paraId="2162488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3,758</w:t>
            </w:r>
          </w:p>
        </w:tc>
        <w:tc>
          <w:tcPr>
            <w:tcW w:w="1781" w:type="dxa"/>
            <w:tcBorders>
              <w:top w:val="single" w:sz="4" w:space="0" w:color="006EC8" w:themeColor="accent1"/>
              <w:bottom w:val="single" w:sz="4" w:space="0" w:color="006EC8" w:themeColor="accent1"/>
            </w:tcBorders>
            <w:noWrap/>
            <w:hideMark/>
          </w:tcPr>
          <w:p w14:paraId="528491E5"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943</w:t>
            </w:r>
          </w:p>
        </w:tc>
      </w:tr>
      <w:tr w:rsidR="00A520C9" w:rsidRPr="00490429" w14:paraId="0EBEB9D9"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top w:val="single" w:sz="4" w:space="0" w:color="006EC8" w:themeColor="accent1"/>
            </w:tcBorders>
            <w:noWrap/>
            <w:hideMark/>
          </w:tcPr>
          <w:p w14:paraId="555649D3"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Neurological_1</w:t>
            </w:r>
          </w:p>
        </w:tc>
        <w:tc>
          <w:tcPr>
            <w:tcW w:w="1780" w:type="dxa"/>
            <w:tcBorders>
              <w:top w:val="single" w:sz="4" w:space="0" w:color="006EC8" w:themeColor="accent1"/>
            </w:tcBorders>
            <w:noWrap/>
            <w:hideMark/>
          </w:tcPr>
          <w:p w14:paraId="6A5B0D4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6,936</w:t>
            </w:r>
          </w:p>
        </w:tc>
        <w:tc>
          <w:tcPr>
            <w:tcW w:w="1780" w:type="dxa"/>
            <w:tcBorders>
              <w:top w:val="single" w:sz="4" w:space="0" w:color="006EC8" w:themeColor="accent1"/>
            </w:tcBorders>
            <w:noWrap/>
            <w:hideMark/>
          </w:tcPr>
          <w:p w14:paraId="421A212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4,751</w:t>
            </w:r>
          </w:p>
        </w:tc>
        <w:tc>
          <w:tcPr>
            <w:tcW w:w="1781" w:type="dxa"/>
            <w:tcBorders>
              <w:top w:val="single" w:sz="4" w:space="0" w:color="006EC8" w:themeColor="accent1"/>
            </w:tcBorders>
            <w:noWrap/>
            <w:hideMark/>
          </w:tcPr>
          <w:p w14:paraId="7F76E1B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-2,185</w:t>
            </w:r>
          </w:p>
        </w:tc>
      </w:tr>
      <w:tr w:rsidR="00A520C9" w:rsidRPr="00490429" w14:paraId="1526BF61" w14:textId="77777777" w:rsidTr="00912E8D">
        <w:trPr>
          <w:trHeight w:val="300"/>
        </w:trPr>
        <w:tc>
          <w:tcPr>
            <w:tcW w:w="2456" w:type="dxa"/>
            <w:noWrap/>
            <w:hideMark/>
          </w:tcPr>
          <w:p w14:paraId="45EC777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Neurological_2</w:t>
            </w:r>
          </w:p>
        </w:tc>
        <w:tc>
          <w:tcPr>
            <w:tcW w:w="1780" w:type="dxa"/>
            <w:noWrap/>
            <w:hideMark/>
          </w:tcPr>
          <w:p w14:paraId="1BB12FC9" w14:textId="77777777" w:rsidR="00A520C9" w:rsidRPr="00490429" w:rsidRDefault="00A520C9" w:rsidP="00912E8D">
            <w:pPr>
              <w:tabs>
                <w:tab w:val="left" w:pos="55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4,806</w:t>
            </w:r>
          </w:p>
        </w:tc>
        <w:tc>
          <w:tcPr>
            <w:tcW w:w="1780" w:type="dxa"/>
            <w:noWrap/>
            <w:hideMark/>
          </w:tcPr>
          <w:p w14:paraId="7782F40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4,312</w:t>
            </w:r>
          </w:p>
        </w:tc>
        <w:tc>
          <w:tcPr>
            <w:tcW w:w="1781" w:type="dxa"/>
            <w:noWrap/>
            <w:hideMark/>
          </w:tcPr>
          <w:p w14:paraId="75D8B1B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-494</w:t>
            </w:r>
          </w:p>
        </w:tc>
      </w:tr>
      <w:tr w:rsidR="00A520C9" w:rsidRPr="00490429" w14:paraId="0B811447"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0A88B67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Neurological_3</w:t>
            </w:r>
          </w:p>
        </w:tc>
        <w:tc>
          <w:tcPr>
            <w:tcW w:w="1780" w:type="dxa"/>
            <w:tcBorders>
              <w:bottom w:val="single" w:sz="4" w:space="0" w:color="006EC8" w:themeColor="accent1"/>
            </w:tcBorders>
            <w:noWrap/>
            <w:hideMark/>
          </w:tcPr>
          <w:p w14:paraId="39CDD9D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7,904</w:t>
            </w:r>
          </w:p>
        </w:tc>
        <w:tc>
          <w:tcPr>
            <w:tcW w:w="1780" w:type="dxa"/>
            <w:tcBorders>
              <w:bottom w:val="single" w:sz="4" w:space="0" w:color="006EC8" w:themeColor="accent1"/>
            </w:tcBorders>
            <w:noWrap/>
            <w:hideMark/>
          </w:tcPr>
          <w:p w14:paraId="292ACD5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10,429</w:t>
            </w:r>
          </w:p>
        </w:tc>
        <w:tc>
          <w:tcPr>
            <w:tcW w:w="1781" w:type="dxa"/>
            <w:tcBorders>
              <w:bottom w:val="single" w:sz="4" w:space="0" w:color="006EC8" w:themeColor="accent1"/>
            </w:tcBorders>
            <w:noWrap/>
            <w:hideMark/>
          </w:tcPr>
          <w:p w14:paraId="6A138FD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2,525</w:t>
            </w:r>
          </w:p>
        </w:tc>
      </w:tr>
      <w:tr w:rsidR="00A520C9" w:rsidRPr="00490429" w14:paraId="5A0F3372" w14:textId="77777777" w:rsidTr="00912E8D">
        <w:trPr>
          <w:trHeight w:val="300"/>
        </w:trPr>
        <w:tc>
          <w:tcPr>
            <w:tcW w:w="2456" w:type="dxa"/>
            <w:tcBorders>
              <w:top w:val="single" w:sz="4" w:space="0" w:color="006EC8" w:themeColor="accent1"/>
            </w:tcBorders>
            <w:noWrap/>
            <w:hideMark/>
          </w:tcPr>
          <w:p w14:paraId="71F3A8FA"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Physical_1</w:t>
            </w:r>
          </w:p>
        </w:tc>
        <w:tc>
          <w:tcPr>
            <w:tcW w:w="1780" w:type="dxa"/>
            <w:tcBorders>
              <w:top w:val="single" w:sz="4" w:space="0" w:color="006EC8" w:themeColor="accent1"/>
            </w:tcBorders>
            <w:noWrap/>
            <w:hideMark/>
          </w:tcPr>
          <w:p w14:paraId="2BA6801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9,755</w:t>
            </w:r>
          </w:p>
        </w:tc>
        <w:tc>
          <w:tcPr>
            <w:tcW w:w="1780" w:type="dxa"/>
            <w:tcBorders>
              <w:top w:val="single" w:sz="4" w:space="0" w:color="006EC8" w:themeColor="accent1"/>
            </w:tcBorders>
            <w:noWrap/>
            <w:hideMark/>
          </w:tcPr>
          <w:p w14:paraId="2D8C191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7,882</w:t>
            </w:r>
          </w:p>
        </w:tc>
        <w:tc>
          <w:tcPr>
            <w:tcW w:w="1781" w:type="dxa"/>
            <w:tcBorders>
              <w:top w:val="single" w:sz="4" w:space="0" w:color="006EC8" w:themeColor="accent1"/>
            </w:tcBorders>
            <w:noWrap/>
            <w:hideMark/>
          </w:tcPr>
          <w:p w14:paraId="72AC60E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-1,873</w:t>
            </w:r>
          </w:p>
        </w:tc>
      </w:tr>
      <w:tr w:rsidR="00A520C9" w:rsidRPr="00490429" w14:paraId="66C8CCA8"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1435840B"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Physical_2</w:t>
            </w:r>
          </w:p>
        </w:tc>
        <w:tc>
          <w:tcPr>
            <w:tcW w:w="1780" w:type="dxa"/>
            <w:noWrap/>
            <w:hideMark/>
          </w:tcPr>
          <w:p w14:paraId="6417557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5,009</w:t>
            </w:r>
          </w:p>
        </w:tc>
        <w:tc>
          <w:tcPr>
            <w:tcW w:w="1780" w:type="dxa"/>
            <w:noWrap/>
            <w:hideMark/>
          </w:tcPr>
          <w:p w14:paraId="6E377EC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4,627</w:t>
            </w:r>
          </w:p>
        </w:tc>
        <w:tc>
          <w:tcPr>
            <w:tcW w:w="1781" w:type="dxa"/>
            <w:noWrap/>
            <w:hideMark/>
          </w:tcPr>
          <w:p w14:paraId="6207F82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-382</w:t>
            </w:r>
          </w:p>
        </w:tc>
      </w:tr>
      <w:tr w:rsidR="00A520C9" w:rsidRPr="00490429" w14:paraId="4EF5A1F7" w14:textId="77777777" w:rsidTr="00912E8D">
        <w:trPr>
          <w:trHeight w:val="300"/>
        </w:trPr>
        <w:tc>
          <w:tcPr>
            <w:tcW w:w="2456" w:type="dxa"/>
            <w:tcBorders>
              <w:bottom w:val="single" w:sz="4" w:space="0" w:color="006EC8" w:themeColor="accent1"/>
            </w:tcBorders>
            <w:noWrap/>
            <w:hideMark/>
          </w:tcPr>
          <w:p w14:paraId="406041F7"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Physical_3</w:t>
            </w:r>
          </w:p>
        </w:tc>
        <w:tc>
          <w:tcPr>
            <w:tcW w:w="1780" w:type="dxa"/>
            <w:tcBorders>
              <w:bottom w:val="single" w:sz="4" w:space="0" w:color="006EC8" w:themeColor="accent1"/>
            </w:tcBorders>
            <w:noWrap/>
            <w:hideMark/>
          </w:tcPr>
          <w:p w14:paraId="47CF810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5,628</w:t>
            </w:r>
          </w:p>
        </w:tc>
        <w:tc>
          <w:tcPr>
            <w:tcW w:w="1780" w:type="dxa"/>
            <w:tcBorders>
              <w:bottom w:val="single" w:sz="4" w:space="0" w:color="006EC8" w:themeColor="accent1"/>
            </w:tcBorders>
            <w:noWrap/>
            <w:hideMark/>
          </w:tcPr>
          <w:p w14:paraId="7E95399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6,098</w:t>
            </w:r>
          </w:p>
        </w:tc>
        <w:tc>
          <w:tcPr>
            <w:tcW w:w="1781" w:type="dxa"/>
            <w:tcBorders>
              <w:bottom w:val="single" w:sz="4" w:space="0" w:color="006EC8" w:themeColor="accent1"/>
            </w:tcBorders>
            <w:noWrap/>
            <w:hideMark/>
          </w:tcPr>
          <w:p w14:paraId="3DCF261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470</w:t>
            </w:r>
          </w:p>
        </w:tc>
      </w:tr>
      <w:tr w:rsidR="00A520C9" w:rsidRPr="00490429" w14:paraId="694F7FC3"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top w:val="single" w:sz="4" w:space="0" w:color="006EC8" w:themeColor="accent1"/>
            </w:tcBorders>
            <w:noWrap/>
            <w:hideMark/>
          </w:tcPr>
          <w:p w14:paraId="4053577F"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Other Sensory/Speech_1</w:t>
            </w:r>
          </w:p>
        </w:tc>
        <w:tc>
          <w:tcPr>
            <w:tcW w:w="1780" w:type="dxa"/>
            <w:tcBorders>
              <w:top w:val="single" w:sz="4" w:space="0" w:color="006EC8" w:themeColor="accent1"/>
            </w:tcBorders>
            <w:noWrap/>
            <w:hideMark/>
          </w:tcPr>
          <w:p w14:paraId="58508A0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3,676</w:t>
            </w:r>
          </w:p>
        </w:tc>
        <w:tc>
          <w:tcPr>
            <w:tcW w:w="1780" w:type="dxa"/>
            <w:tcBorders>
              <w:top w:val="single" w:sz="4" w:space="0" w:color="006EC8" w:themeColor="accent1"/>
            </w:tcBorders>
            <w:noWrap/>
            <w:hideMark/>
          </w:tcPr>
          <w:p w14:paraId="24CB7DF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2,755</w:t>
            </w:r>
          </w:p>
        </w:tc>
        <w:tc>
          <w:tcPr>
            <w:tcW w:w="1781" w:type="dxa"/>
            <w:tcBorders>
              <w:top w:val="single" w:sz="4" w:space="0" w:color="006EC8" w:themeColor="accent1"/>
            </w:tcBorders>
            <w:noWrap/>
            <w:hideMark/>
          </w:tcPr>
          <w:p w14:paraId="2DAD382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-921</w:t>
            </w:r>
          </w:p>
        </w:tc>
      </w:tr>
      <w:tr w:rsidR="00A520C9" w:rsidRPr="00490429" w14:paraId="2A2A7EA0" w14:textId="77777777" w:rsidTr="00912E8D">
        <w:trPr>
          <w:trHeight w:val="300"/>
        </w:trPr>
        <w:tc>
          <w:tcPr>
            <w:tcW w:w="2456" w:type="dxa"/>
            <w:noWrap/>
            <w:hideMark/>
          </w:tcPr>
          <w:p w14:paraId="29E54F02"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Psychosocial disability_1</w:t>
            </w:r>
          </w:p>
        </w:tc>
        <w:tc>
          <w:tcPr>
            <w:tcW w:w="1780" w:type="dxa"/>
            <w:noWrap/>
            <w:hideMark/>
          </w:tcPr>
          <w:p w14:paraId="5D14BA2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81</w:t>
            </w:r>
          </w:p>
        </w:tc>
        <w:tc>
          <w:tcPr>
            <w:tcW w:w="1780" w:type="dxa"/>
            <w:noWrap/>
            <w:hideMark/>
          </w:tcPr>
          <w:p w14:paraId="7F36F78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96</w:t>
            </w:r>
          </w:p>
        </w:tc>
        <w:tc>
          <w:tcPr>
            <w:tcW w:w="1781" w:type="dxa"/>
            <w:noWrap/>
            <w:hideMark/>
          </w:tcPr>
          <w:p w14:paraId="7AC31C8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15</w:t>
            </w:r>
          </w:p>
        </w:tc>
      </w:tr>
      <w:tr w:rsidR="00A520C9" w:rsidRPr="00490429" w14:paraId="79843081"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3B488549"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Psychosocial disability_2</w:t>
            </w:r>
          </w:p>
        </w:tc>
        <w:tc>
          <w:tcPr>
            <w:tcW w:w="1780" w:type="dxa"/>
            <w:noWrap/>
            <w:hideMark/>
          </w:tcPr>
          <w:p w14:paraId="682E0E1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11,118</w:t>
            </w:r>
          </w:p>
        </w:tc>
        <w:tc>
          <w:tcPr>
            <w:tcW w:w="1780" w:type="dxa"/>
            <w:noWrap/>
            <w:hideMark/>
          </w:tcPr>
          <w:p w14:paraId="49DFA0F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8,443</w:t>
            </w:r>
          </w:p>
        </w:tc>
        <w:tc>
          <w:tcPr>
            <w:tcW w:w="1781" w:type="dxa"/>
            <w:noWrap/>
            <w:hideMark/>
          </w:tcPr>
          <w:p w14:paraId="232FBD7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-2,675</w:t>
            </w:r>
          </w:p>
        </w:tc>
      </w:tr>
      <w:tr w:rsidR="00A520C9" w:rsidRPr="00490429" w14:paraId="2F79577A" w14:textId="77777777" w:rsidTr="00912E8D">
        <w:trPr>
          <w:trHeight w:val="300"/>
        </w:trPr>
        <w:tc>
          <w:tcPr>
            <w:tcW w:w="2456" w:type="dxa"/>
            <w:noWrap/>
            <w:hideMark/>
          </w:tcPr>
          <w:p w14:paraId="5F45C07E"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Psychosocial disability_3</w:t>
            </w:r>
          </w:p>
        </w:tc>
        <w:tc>
          <w:tcPr>
            <w:tcW w:w="1780" w:type="dxa"/>
            <w:noWrap/>
            <w:hideMark/>
          </w:tcPr>
          <w:p w14:paraId="11F696E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9,983</w:t>
            </w:r>
          </w:p>
        </w:tc>
        <w:tc>
          <w:tcPr>
            <w:tcW w:w="1780" w:type="dxa"/>
            <w:noWrap/>
            <w:hideMark/>
          </w:tcPr>
          <w:p w14:paraId="3C0758A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9,920</w:t>
            </w:r>
          </w:p>
        </w:tc>
        <w:tc>
          <w:tcPr>
            <w:tcW w:w="1781" w:type="dxa"/>
            <w:noWrap/>
            <w:hideMark/>
          </w:tcPr>
          <w:p w14:paraId="00E01459"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-63</w:t>
            </w:r>
          </w:p>
        </w:tc>
      </w:tr>
      <w:tr w:rsidR="00A520C9" w:rsidRPr="00490429" w14:paraId="56259AC0"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5D1D9F30"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Psychosocial disability_4</w:t>
            </w:r>
          </w:p>
        </w:tc>
        <w:tc>
          <w:tcPr>
            <w:tcW w:w="1780" w:type="dxa"/>
            <w:noWrap/>
            <w:hideMark/>
          </w:tcPr>
          <w:p w14:paraId="5470DEC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13,249</w:t>
            </w:r>
          </w:p>
        </w:tc>
        <w:tc>
          <w:tcPr>
            <w:tcW w:w="1780" w:type="dxa"/>
            <w:noWrap/>
            <w:hideMark/>
          </w:tcPr>
          <w:p w14:paraId="09201EE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15,092</w:t>
            </w:r>
          </w:p>
        </w:tc>
        <w:tc>
          <w:tcPr>
            <w:tcW w:w="1781" w:type="dxa"/>
            <w:noWrap/>
            <w:hideMark/>
          </w:tcPr>
          <w:p w14:paraId="304EB29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1,843</w:t>
            </w:r>
          </w:p>
        </w:tc>
      </w:tr>
      <w:tr w:rsidR="00A520C9" w:rsidRPr="00490429" w14:paraId="1D365EE9" w14:textId="77777777" w:rsidTr="00912E8D">
        <w:trPr>
          <w:trHeight w:val="300"/>
        </w:trPr>
        <w:tc>
          <w:tcPr>
            <w:tcW w:w="2456" w:type="dxa"/>
            <w:tcBorders>
              <w:bottom w:val="single" w:sz="4" w:space="0" w:color="006EC8" w:themeColor="accent1"/>
            </w:tcBorders>
            <w:noWrap/>
            <w:hideMark/>
          </w:tcPr>
          <w:p w14:paraId="7BAEA06C"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Psychosocial disability_5</w:t>
            </w:r>
          </w:p>
        </w:tc>
        <w:tc>
          <w:tcPr>
            <w:tcW w:w="1780" w:type="dxa"/>
            <w:tcBorders>
              <w:bottom w:val="single" w:sz="4" w:space="0" w:color="006EC8" w:themeColor="accent1"/>
            </w:tcBorders>
            <w:noWrap/>
            <w:hideMark/>
          </w:tcPr>
          <w:p w14:paraId="754D45E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12,255</w:t>
            </w:r>
          </w:p>
        </w:tc>
        <w:tc>
          <w:tcPr>
            <w:tcW w:w="1780" w:type="dxa"/>
            <w:tcBorders>
              <w:bottom w:val="single" w:sz="4" w:space="0" w:color="006EC8" w:themeColor="accent1"/>
            </w:tcBorders>
            <w:noWrap/>
            <w:hideMark/>
          </w:tcPr>
          <w:p w14:paraId="30803DC9"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14,878</w:t>
            </w:r>
          </w:p>
        </w:tc>
        <w:tc>
          <w:tcPr>
            <w:tcW w:w="1781" w:type="dxa"/>
            <w:tcBorders>
              <w:bottom w:val="single" w:sz="4" w:space="0" w:color="006EC8" w:themeColor="accent1"/>
            </w:tcBorders>
            <w:noWrap/>
            <w:hideMark/>
          </w:tcPr>
          <w:p w14:paraId="42CF13C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2,623</w:t>
            </w:r>
          </w:p>
        </w:tc>
      </w:tr>
      <w:tr w:rsidR="00A520C9" w:rsidRPr="00490429" w14:paraId="019EF9D9"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top w:val="single" w:sz="4" w:space="0" w:color="006EC8" w:themeColor="accent1"/>
            </w:tcBorders>
            <w:noWrap/>
            <w:hideMark/>
          </w:tcPr>
          <w:p w14:paraId="49E3CB2A"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Injury_1</w:t>
            </w:r>
          </w:p>
        </w:tc>
        <w:tc>
          <w:tcPr>
            <w:tcW w:w="1780" w:type="dxa"/>
            <w:tcBorders>
              <w:top w:val="single" w:sz="4" w:space="0" w:color="006EC8" w:themeColor="accent1"/>
            </w:tcBorders>
            <w:noWrap/>
            <w:hideMark/>
          </w:tcPr>
          <w:p w14:paraId="42F5DEC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482</w:t>
            </w:r>
          </w:p>
        </w:tc>
        <w:tc>
          <w:tcPr>
            <w:tcW w:w="1780" w:type="dxa"/>
            <w:tcBorders>
              <w:top w:val="single" w:sz="4" w:space="0" w:color="006EC8" w:themeColor="accent1"/>
            </w:tcBorders>
            <w:noWrap/>
            <w:hideMark/>
          </w:tcPr>
          <w:p w14:paraId="6D704DE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487</w:t>
            </w:r>
          </w:p>
        </w:tc>
        <w:tc>
          <w:tcPr>
            <w:tcW w:w="1781" w:type="dxa"/>
            <w:tcBorders>
              <w:top w:val="single" w:sz="4" w:space="0" w:color="006EC8" w:themeColor="accent1"/>
            </w:tcBorders>
            <w:noWrap/>
            <w:hideMark/>
          </w:tcPr>
          <w:p w14:paraId="086ABB45"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w:t>
            </w:r>
          </w:p>
        </w:tc>
      </w:tr>
      <w:tr w:rsidR="00A520C9" w:rsidRPr="00490429" w14:paraId="0DF36397" w14:textId="77777777" w:rsidTr="00912E8D">
        <w:trPr>
          <w:trHeight w:val="300"/>
        </w:trPr>
        <w:tc>
          <w:tcPr>
            <w:tcW w:w="2456" w:type="dxa"/>
            <w:noWrap/>
            <w:hideMark/>
          </w:tcPr>
          <w:p w14:paraId="4AE39AA6"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Injury_2</w:t>
            </w:r>
          </w:p>
        </w:tc>
        <w:tc>
          <w:tcPr>
            <w:tcW w:w="1780" w:type="dxa"/>
            <w:noWrap/>
            <w:hideMark/>
          </w:tcPr>
          <w:p w14:paraId="18B0C19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324</w:t>
            </w:r>
          </w:p>
        </w:tc>
        <w:tc>
          <w:tcPr>
            <w:tcW w:w="1780" w:type="dxa"/>
            <w:noWrap/>
            <w:hideMark/>
          </w:tcPr>
          <w:p w14:paraId="4FFEFF9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239</w:t>
            </w:r>
          </w:p>
        </w:tc>
        <w:tc>
          <w:tcPr>
            <w:tcW w:w="1781" w:type="dxa"/>
            <w:noWrap/>
            <w:hideMark/>
          </w:tcPr>
          <w:p w14:paraId="04A01FD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-85</w:t>
            </w:r>
          </w:p>
        </w:tc>
      </w:tr>
      <w:tr w:rsidR="00A520C9" w:rsidRPr="00490429" w14:paraId="6E6A531B"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4D404676"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Injury_3</w:t>
            </w:r>
          </w:p>
        </w:tc>
        <w:tc>
          <w:tcPr>
            <w:tcW w:w="1780" w:type="dxa"/>
            <w:noWrap/>
            <w:hideMark/>
          </w:tcPr>
          <w:p w14:paraId="35DBF5F5"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700</w:t>
            </w:r>
          </w:p>
        </w:tc>
        <w:tc>
          <w:tcPr>
            <w:tcW w:w="1780" w:type="dxa"/>
            <w:noWrap/>
            <w:hideMark/>
          </w:tcPr>
          <w:p w14:paraId="527790B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690</w:t>
            </w:r>
          </w:p>
        </w:tc>
        <w:tc>
          <w:tcPr>
            <w:tcW w:w="1781" w:type="dxa"/>
            <w:noWrap/>
            <w:hideMark/>
          </w:tcPr>
          <w:p w14:paraId="4FF7BF14"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w:t>
            </w:r>
          </w:p>
        </w:tc>
      </w:tr>
      <w:tr w:rsidR="00A520C9" w:rsidRPr="00490429" w14:paraId="27345296" w14:textId="77777777" w:rsidTr="00912E8D">
        <w:trPr>
          <w:trHeight w:val="300"/>
        </w:trPr>
        <w:tc>
          <w:tcPr>
            <w:tcW w:w="2456" w:type="dxa"/>
            <w:noWrap/>
            <w:hideMark/>
          </w:tcPr>
          <w:p w14:paraId="000321C8"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Injury_4</w:t>
            </w:r>
          </w:p>
        </w:tc>
        <w:tc>
          <w:tcPr>
            <w:tcW w:w="1780" w:type="dxa"/>
            <w:noWrap/>
            <w:hideMark/>
          </w:tcPr>
          <w:p w14:paraId="1333A996"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317</w:t>
            </w:r>
          </w:p>
        </w:tc>
        <w:tc>
          <w:tcPr>
            <w:tcW w:w="1780" w:type="dxa"/>
            <w:noWrap/>
            <w:hideMark/>
          </w:tcPr>
          <w:p w14:paraId="3FFD8E4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391</w:t>
            </w:r>
          </w:p>
        </w:tc>
        <w:tc>
          <w:tcPr>
            <w:tcW w:w="1781" w:type="dxa"/>
            <w:noWrap/>
            <w:hideMark/>
          </w:tcPr>
          <w:p w14:paraId="7D46FBB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74</w:t>
            </w:r>
          </w:p>
        </w:tc>
      </w:tr>
      <w:tr w:rsidR="00A520C9" w:rsidRPr="00490429" w14:paraId="257D90A4"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1D50FE90"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Injury_5</w:t>
            </w:r>
          </w:p>
        </w:tc>
        <w:tc>
          <w:tcPr>
            <w:tcW w:w="1780" w:type="dxa"/>
            <w:noWrap/>
            <w:hideMark/>
          </w:tcPr>
          <w:p w14:paraId="4742AB6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1,329</w:t>
            </w:r>
          </w:p>
        </w:tc>
        <w:tc>
          <w:tcPr>
            <w:tcW w:w="1780" w:type="dxa"/>
            <w:noWrap/>
            <w:hideMark/>
          </w:tcPr>
          <w:p w14:paraId="63B5BCF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1,432</w:t>
            </w:r>
          </w:p>
        </w:tc>
        <w:tc>
          <w:tcPr>
            <w:tcW w:w="1781" w:type="dxa"/>
            <w:noWrap/>
            <w:hideMark/>
          </w:tcPr>
          <w:p w14:paraId="4E1F6549"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103</w:t>
            </w:r>
          </w:p>
        </w:tc>
      </w:tr>
      <w:tr w:rsidR="00A520C9" w:rsidRPr="00490429" w14:paraId="3F18F29B" w14:textId="77777777" w:rsidTr="00912E8D">
        <w:trPr>
          <w:trHeight w:val="300"/>
        </w:trPr>
        <w:tc>
          <w:tcPr>
            <w:tcW w:w="2456" w:type="dxa"/>
            <w:noWrap/>
            <w:hideMark/>
          </w:tcPr>
          <w:p w14:paraId="5D22A55D"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Injury_6</w:t>
            </w:r>
          </w:p>
        </w:tc>
        <w:tc>
          <w:tcPr>
            <w:tcW w:w="1780" w:type="dxa"/>
            <w:noWrap/>
            <w:hideMark/>
          </w:tcPr>
          <w:p w14:paraId="152ECD0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890</w:t>
            </w:r>
          </w:p>
        </w:tc>
        <w:tc>
          <w:tcPr>
            <w:tcW w:w="1780" w:type="dxa"/>
            <w:noWrap/>
            <w:hideMark/>
          </w:tcPr>
          <w:p w14:paraId="3F7D7DFC"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1,005</w:t>
            </w:r>
          </w:p>
        </w:tc>
        <w:tc>
          <w:tcPr>
            <w:tcW w:w="1781" w:type="dxa"/>
            <w:noWrap/>
            <w:hideMark/>
          </w:tcPr>
          <w:p w14:paraId="4C56F59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115</w:t>
            </w:r>
          </w:p>
        </w:tc>
      </w:tr>
      <w:tr w:rsidR="00A520C9" w:rsidRPr="00490429" w14:paraId="58C9F577"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3B200019"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Injury_7</w:t>
            </w:r>
          </w:p>
        </w:tc>
        <w:tc>
          <w:tcPr>
            <w:tcW w:w="1780" w:type="dxa"/>
            <w:noWrap/>
            <w:hideMark/>
          </w:tcPr>
          <w:p w14:paraId="55B0861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170</w:t>
            </w:r>
          </w:p>
        </w:tc>
        <w:tc>
          <w:tcPr>
            <w:tcW w:w="1780" w:type="dxa"/>
            <w:noWrap/>
            <w:hideMark/>
          </w:tcPr>
          <w:p w14:paraId="7015E7D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222</w:t>
            </w:r>
          </w:p>
        </w:tc>
        <w:tc>
          <w:tcPr>
            <w:tcW w:w="1781" w:type="dxa"/>
            <w:noWrap/>
            <w:hideMark/>
          </w:tcPr>
          <w:p w14:paraId="136D079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52</w:t>
            </w:r>
          </w:p>
        </w:tc>
      </w:tr>
      <w:tr w:rsidR="00A520C9" w:rsidRPr="00490429" w14:paraId="3EE54768" w14:textId="77777777" w:rsidTr="00912E8D">
        <w:trPr>
          <w:trHeight w:val="300"/>
        </w:trPr>
        <w:tc>
          <w:tcPr>
            <w:tcW w:w="2456" w:type="dxa"/>
            <w:noWrap/>
            <w:hideMark/>
          </w:tcPr>
          <w:p w14:paraId="56DAB17E"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Injury_8</w:t>
            </w:r>
          </w:p>
        </w:tc>
        <w:tc>
          <w:tcPr>
            <w:tcW w:w="1780" w:type="dxa"/>
            <w:noWrap/>
            <w:hideMark/>
          </w:tcPr>
          <w:p w14:paraId="1ED811C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430</w:t>
            </w:r>
          </w:p>
        </w:tc>
        <w:tc>
          <w:tcPr>
            <w:tcW w:w="1780" w:type="dxa"/>
            <w:noWrap/>
            <w:hideMark/>
          </w:tcPr>
          <w:p w14:paraId="622DF0E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549</w:t>
            </w:r>
          </w:p>
        </w:tc>
        <w:tc>
          <w:tcPr>
            <w:tcW w:w="1781" w:type="dxa"/>
            <w:noWrap/>
            <w:hideMark/>
          </w:tcPr>
          <w:p w14:paraId="1780AFC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119</w:t>
            </w:r>
          </w:p>
        </w:tc>
      </w:tr>
      <w:tr w:rsidR="00A520C9" w:rsidRPr="00490429" w14:paraId="39072AA6"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7CF124E3"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Spinal Cord Injury_9</w:t>
            </w:r>
          </w:p>
        </w:tc>
        <w:tc>
          <w:tcPr>
            <w:tcW w:w="1780" w:type="dxa"/>
            <w:tcBorders>
              <w:bottom w:val="single" w:sz="4" w:space="0" w:color="006EC8" w:themeColor="accent1"/>
            </w:tcBorders>
            <w:noWrap/>
            <w:hideMark/>
          </w:tcPr>
          <w:p w14:paraId="4A211CF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94</w:t>
            </w:r>
          </w:p>
        </w:tc>
        <w:tc>
          <w:tcPr>
            <w:tcW w:w="1780" w:type="dxa"/>
            <w:tcBorders>
              <w:bottom w:val="single" w:sz="4" w:space="0" w:color="006EC8" w:themeColor="accent1"/>
            </w:tcBorders>
            <w:noWrap/>
            <w:hideMark/>
          </w:tcPr>
          <w:p w14:paraId="7360026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119</w:t>
            </w:r>
          </w:p>
        </w:tc>
        <w:tc>
          <w:tcPr>
            <w:tcW w:w="1781" w:type="dxa"/>
            <w:tcBorders>
              <w:bottom w:val="single" w:sz="4" w:space="0" w:color="006EC8" w:themeColor="accent1"/>
            </w:tcBorders>
            <w:noWrap/>
            <w:hideMark/>
          </w:tcPr>
          <w:p w14:paraId="4549BDE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25</w:t>
            </w:r>
          </w:p>
        </w:tc>
      </w:tr>
      <w:tr w:rsidR="00A520C9" w:rsidRPr="00490429" w14:paraId="3F9A4042" w14:textId="77777777" w:rsidTr="00912E8D">
        <w:trPr>
          <w:trHeight w:val="300"/>
        </w:trPr>
        <w:tc>
          <w:tcPr>
            <w:tcW w:w="2456" w:type="dxa"/>
            <w:tcBorders>
              <w:top w:val="single" w:sz="4" w:space="0" w:color="006EC8" w:themeColor="accent1"/>
            </w:tcBorders>
            <w:noWrap/>
            <w:hideMark/>
          </w:tcPr>
          <w:p w14:paraId="62FBF313"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Stroke_1</w:t>
            </w:r>
          </w:p>
        </w:tc>
        <w:tc>
          <w:tcPr>
            <w:tcW w:w="1780" w:type="dxa"/>
            <w:tcBorders>
              <w:top w:val="single" w:sz="4" w:space="0" w:color="006EC8" w:themeColor="accent1"/>
            </w:tcBorders>
            <w:noWrap/>
            <w:hideMark/>
          </w:tcPr>
          <w:p w14:paraId="76A918C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99</w:t>
            </w:r>
          </w:p>
        </w:tc>
        <w:tc>
          <w:tcPr>
            <w:tcW w:w="1780" w:type="dxa"/>
            <w:tcBorders>
              <w:top w:val="single" w:sz="4" w:space="0" w:color="006EC8" w:themeColor="accent1"/>
            </w:tcBorders>
            <w:noWrap/>
            <w:hideMark/>
          </w:tcPr>
          <w:p w14:paraId="5027CA2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76</w:t>
            </w:r>
          </w:p>
        </w:tc>
        <w:tc>
          <w:tcPr>
            <w:tcW w:w="1781" w:type="dxa"/>
            <w:tcBorders>
              <w:top w:val="single" w:sz="4" w:space="0" w:color="006EC8" w:themeColor="accent1"/>
            </w:tcBorders>
            <w:noWrap/>
            <w:hideMark/>
          </w:tcPr>
          <w:p w14:paraId="218327CA"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-23</w:t>
            </w:r>
          </w:p>
        </w:tc>
      </w:tr>
      <w:tr w:rsidR="00A520C9" w:rsidRPr="00490429" w14:paraId="5C51C537"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1B9FEF95"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Stroke_2</w:t>
            </w:r>
          </w:p>
        </w:tc>
        <w:tc>
          <w:tcPr>
            <w:tcW w:w="1780" w:type="dxa"/>
            <w:noWrap/>
            <w:hideMark/>
          </w:tcPr>
          <w:p w14:paraId="61B6E52B"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1,464</w:t>
            </w:r>
          </w:p>
        </w:tc>
        <w:tc>
          <w:tcPr>
            <w:tcW w:w="1780" w:type="dxa"/>
            <w:noWrap/>
            <w:hideMark/>
          </w:tcPr>
          <w:p w14:paraId="40828BB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1,389</w:t>
            </w:r>
          </w:p>
        </w:tc>
        <w:tc>
          <w:tcPr>
            <w:tcW w:w="1781" w:type="dxa"/>
            <w:noWrap/>
            <w:hideMark/>
          </w:tcPr>
          <w:p w14:paraId="6B37F22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-75</w:t>
            </w:r>
          </w:p>
        </w:tc>
      </w:tr>
      <w:tr w:rsidR="00A520C9" w:rsidRPr="00490429" w14:paraId="612E50A3" w14:textId="77777777" w:rsidTr="00912E8D">
        <w:trPr>
          <w:trHeight w:val="300"/>
        </w:trPr>
        <w:tc>
          <w:tcPr>
            <w:tcW w:w="2456" w:type="dxa"/>
            <w:noWrap/>
            <w:hideMark/>
          </w:tcPr>
          <w:p w14:paraId="4807C358"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Stroke_3</w:t>
            </w:r>
          </w:p>
        </w:tc>
        <w:tc>
          <w:tcPr>
            <w:tcW w:w="1780" w:type="dxa"/>
            <w:noWrap/>
            <w:hideMark/>
          </w:tcPr>
          <w:p w14:paraId="6CDDE42D"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4,291</w:t>
            </w:r>
          </w:p>
        </w:tc>
        <w:tc>
          <w:tcPr>
            <w:tcW w:w="1780" w:type="dxa"/>
            <w:noWrap/>
            <w:hideMark/>
          </w:tcPr>
          <w:p w14:paraId="1787910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4,718</w:t>
            </w:r>
          </w:p>
        </w:tc>
        <w:tc>
          <w:tcPr>
            <w:tcW w:w="1781" w:type="dxa"/>
            <w:noWrap/>
            <w:hideMark/>
          </w:tcPr>
          <w:p w14:paraId="46D47F8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427</w:t>
            </w:r>
          </w:p>
        </w:tc>
      </w:tr>
      <w:tr w:rsidR="00A520C9" w:rsidRPr="00490429" w14:paraId="17A3F3D1"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tcBorders>
              <w:bottom w:val="single" w:sz="4" w:space="0" w:color="006EC8" w:themeColor="accent1"/>
            </w:tcBorders>
            <w:noWrap/>
            <w:hideMark/>
          </w:tcPr>
          <w:p w14:paraId="48D86630"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Stroke_4</w:t>
            </w:r>
          </w:p>
        </w:tc>
        <w:tc>
          <w:tcPr>
            <w:tcW w:w="1780" w:type="dxa"/>
            <w:tcBorders>
              <w:bottom w:val="single" w:sz="4" w:space="0" w:color="006EC8" w:themeColor="accent1"/>
            </w:tcBorders>
            <w:noWrap/>
            <w:hideMark/>
          </w:tcPr>
          <w:p w14:paraId="30D52BA3"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590</w:t>
            </w:r>
          </w:p>
        </w:tc>
        <w:tc>
          <w:tcPr>
            <w:tcW w:w="1780" w:type="dxa"/>
            <w:tcBorders>
              <w:bottom w:val="single" w:sz="4" w:space="0" w:color="006EC8" w:themeColor="accent1"/>
            </w:tcBorders>
            <w:noWrap/>
            <w:hideMark/>
          </w:tcPr>
          <w:p w14:paraId="7CF7CAC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771</w:t>
            </w:r>
          </w:p>
        </w:tc>
        <w:tc>
          <w:tcPr>
            <w:tcW w:w="1781" w:type="dxa"/>
            <w:tcBorders>
              <w:bottom w:val="single" w:sz="4" w:space="0" w:color="006EC8" w:themeColor="accent1"/>
            </w:tcBorders>
            <w:noWrap/>
            <w:hideMark/>
          </w:tcPr>
          <w:p w14:paraId="492B27D5"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181</w:t>
            </w:r>
          </w:p>
        </w:tc>
      </w:tr>
      <w:tr w:rsidR="00A520C9" w:rsidRPr="00490429" w14:paraId="35C7045C" w14:textId="77777777" w:rsidTr="00912E8D">
        <w:trPr>
          <w:trHeight w:val="300"/>
        </w:trPr>
        <w:tc>
          <w:tcPr>
            <w:tcW w:w="2456" w:type="dxa"/>
            <w:tcBorders>
              <w:top w:val="single" w:sz="4" w:space="0" w:color="006EC8" w:themeColor="accent1"/>
            </w:tcBorders>
            <w:noWrap/>
            <w:hideMark/>
          </w:tcPr>
          <w:p w14:paraId="07CD5FD0"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Visual Impairment_1</w:t>
            </w:r>
          </w:p>
        </w:tc>
        <w:tc>
          <w:tcPr>
            <w:tcW w:w="1780" w:type="dxa"/>
            <w:tcBorders>
              <w:top w:val="single" w:sz="4" w:space="0" w:color="006EC8" w:themeColor="accent1"/>
            </w:tcBorders>
            <w:noWrap/>
            <w:hideMark/>
          </w:tcPr>
          <w:p w14:paraId="6CE15B98"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4,576</w:t>
            </w:r>
          </w:p>
        </w:tc>
        <w:tc>
          <w:tcPr>
            <w:tcW w:w="1780" w:type="dxa"/>
            <w:tcBorders>
              <w:top w:val="single" w:sz="4" w:space="0" w:color="006EC8" w:themeColor="accent1"/>
            </w:tcBorders>
            <w:noWrap/>
            <w:hideMark/>
          </w:tcPr>
          <w:p w14:paraId="1C83B66E"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4,038</w:t>
            </w:r>
          </w:p>
        </w:tc>
        <w:tc>
          <w:tcPr>
            <w:tcW w:w="1781" w:type="dxa"/>
            <w:tcBorders>
              <w:top w:val="single" w:sz="4" w:space="0" w:color="006EC8" w:themeColor="accent1"/>
            </w:tcBorders>
            <w:noWrap/>
            <w:hideMark/>
          </w:tcPr>
          <w:p w14:paraId="03FA5622"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-538</w:t>
            </w:r>
          </w:p>
        </w:tc>
      </w:tr>
      <w:tr w:rsidR="00A520C9" w:rsidRPr="00490429" w14:paraId="2EC6AA40" w14:textId="77777777" w:rsidTr="00912E8D">
        <w:trPr>
          <w:cnfStyle w:val="000000100000" w:firstRow="0" w:lastRow="0" w:firstColumn="0" w:lastColumn="0" w:oddVBand="0" w:evenVBand="0" w:oddHBand="1" w:evenHBand="0" w:firstRowFirstColumn="0" w:firstRowLastColumn="0" w:lastRowFirstColumn="0" w:lastRowLastColumn="0"/>
          <w:trHeight w:val="300"/>
        </w:trPr>
        <w:tc>
          <w:tcPr>
            <w:tcW w:w="2456" w:type="dxa"/>
            <w:noWrap/>
            <w:hideMark/>
          </w:tcPr>
          <w:p w14:paraId="2EFF0521" w14:textId="77777777" w:rsidR="00A520C9" w:rsidRPr="00490429" w:rsidRDefault="00A520C9" w:rsidP="00DA0930">
            <w:pPr>
              <w:spacing w:before="0" w:after="0"/>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Visual Impairment_2</w:t>
            </w:r>
          </w:p>
        </w:tc>
        <w:tc>
          <w:tcPr>
            <w:tcW w:w="1780" w:type="dxa"/>
            <w:noWrap/>
            <w:hideMark/>
          </w:tcPr>
          <w:p w14:paraId="08749650"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5,036</w:t>
            </w:r>
          </w:p>
        </w:tc>
        <w:tc>
          <w:tcPr>
            <w:tcW w:w="1780" w:type="dxa"/>
            <w:noWrap/>
            <w:hideMark/>
          </w:tcPr>
          <w:p w14:paraId="7BB72DEF"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5,018</w:t>
            </w:r>
          </w:p>
        </w:tc>
        <w:tc>
          <w:tcPr>
            <w:tcW w:w="1781" w:type="dxa"/>
            <w:noWrap/>
            <w:hideMark/>
          </w:tcPr>
          <w:p w14:paraId="3D6A36D7" w14:textId="77777777" w:rsidR="00A520C9" w:rsidRPr="00490429" w:rsidRDefault="00A520C9" w:rsidP="00912E8D">
            <w:pPr>
              <w:tabs>
                <w:tab w:val="left" w:pos="964"/>
              </w:tabs>
              <w:spacing w:before="0" w:after="0"/>
              <w:ind w:right="429"/>
              <w:jc w:val="right"/>
              <w:rPr>
                <w:rFonts w:asciiTheme="majorHAnsi" w:eastAsia="Times New Roman" w:hAnsiTheme="majorHAnsi" w:cs="Calibri"/>
                <w:color w:val="231F20"/>
                <w:sz w:val="18"/>
                <w:szCs w:val="18"/>
                <w:lang w:val="en-AU" w:eastAsia="en-AU"/>
              </w:rPr>
            </w:pPr>
            <w:r w:rsidRPr="00490429">
              <w:rPr>
                <w:rFonts w:asciiTheme="majorHAnsi" w:eastAsia="Times New Roman" w:hAnsiTheme="majorHAnsi" w:cs="Calibri"/>
                <w:color w:val="231F20"/>
                <w:sz w:val="18"/>
                <w:szCs w:val="18"/>
                <w:lang w:val="en-AU" w:eastAsia="en-AU"/>
              </w:rPr>
              <w:t>-18</w:t>
            </w:r>
          </w:p>
        </w:tc>
      </w:tr>
      <w:bookmarkEnd w:id="24"/>
      <w:bookmarkEnd w:id="25"/>
    </w:tbl>
    <w:p w14:paraId="73E4D3EB" w14:textId="77777777" w:rsidR="00D21F56" w:rsidRPr="00AB1908" w:rsidRDefault="00D21F56" w:rsidP="00D338B8"/>
    <w:p w14:paraId="2CA2C7A6" w14:textId="4DBC6A9E" w:rsidR="00992AF6" w:rsidRDefault="00E30167" w:rsidP="00A52191">
      <w:pPr>
        <w:pStyle w:val="AppendixTitle"/>
      </w:pPr>
      <w:bookmarkStart w:id="339" w:name="_Ref87533930"/>
      <w:bookmarkStart w:id="340" w:name="_Toc87700509"/>
      <w:bookmarkStart w:id="341" w:name="_Toc88686161"/>
      <w:r>
        <w:t>Further discussion of AFSR model structur</w:t>
      </w:r>
      <w:r w:rsidR="009F2C4F">
        <w:t>al</w:t>
      </w:r>
      <w:r>
        <w:t xml:space="preserve"> elements</w:t>
      </w:r>
      <w:bookmarkStart w:id="342" w:name="_Hlk86826445"/>
      <w:bookmarkEnd w:id="339"/>
      <w:bookmarkEnd w:id="340"/>
      <w:bookmarkEnd w:id="341"/>
    </w:p>
    <w:bookmarkEnd w:id="342"/>
    <w:p w14:paraId="7DEE06F1" w14:textId="77777777" w:rsidR="00E30167" w:rsidRPr="00204CD2" w:rsidRDefault="00E30167" w:rsidP="00E30167">
      <w:r>
        <w:t>Other structural items discussed here are issues that affect aspects of the projection, but where the overall impact is either immaterial or unknown.</w:t>
      </w:r>
    </w:p>
    <w:p w14:paraId="793DEA46" w14:textId="6E2CFF30" w:rsidR="002A6936" w:rsidRDefault="00582017" w:rsidP="00A52191">
      <w:pPr>
        <w:pStyle w:val="AppendixSubheading"/>
      </w:pPr>
      <w:bookmarkStart w:id="343" w:name="_Toc87700510"/>
      <w:bookmarkStart w:id="344" w:name="_Toc88686162"/>
      <w:r w:rsidRPr="00582017">
        <w:t>Superimposed inflation (and total cost escalation) assumptions do not vary by disability type</w:t>
      </w:r>
      <w:bookmarkEnd w:id="343"/>
      <w:bookmarkEnd w:id="344"/>
      <w:r w:rsidRPr="00582017">
        <w:t xml:space="preserve"> </w:t>
      </w:r>
    </w:p>
    <w:p w14:paraId="30DF58E9" w14:textId="6CEA2C6B" w:rsidR="002A6936" w:rsidRDefault="00582017" w:rsidP="002A6936">
      <w:r>
        <w:t xml:space="preserve">Superimposed inflation assumptions are set by payment category. However, much of the recent </w:t>
      </w:r>
      <w:r w:rsidR="00131CDF">
        <w:t>increases are not price related and so cost escalation is more likely to vary by disability type. The figure below shows the relationship between 20</w:t>
      </w:r>
      <w:r w:rsidR="005B303D">
        <w:t>19-</w:t>
      </w:r>
      <w:r w:rsidR="00131CDF">
        <w:t>20 and 20</w:t>
      </w:r>
      <w:r w:rsidR="005B303D">
        <w:t>20-</w:t>
      </w:r>
      <w:r w:rsidR="00131CDF">
        <w:t>21 cost escalation by disability type. The correlation implies there’s some consistency in the variation and</w:t>
      </w:r>
      <w:r w:rsidR="00065EFF">
        <w:t xml:space="preserve"> it</w:t>
      </w:r>
      <w:r w:rsidR="00131CDF">
        <w:t xml:space="preserve"> may be reasonable to assume that some disability types (e.g. psychosocial) will grow faster in costs than average.</w:t>
      </w:r>
    </w:p>
    <w:p w14:paraId="024BE091" w14:textId="13AE504B" w:rsidR="00582017" w:rsidRPr="00261658" w:rsidRDefault="00582017" w:rsidP="00261658">
      <w:pPr>
        <w:pStyle w:val="Caption"/>
      </w:pPr>
      <w:r w:rsidRPr="00261658">
        <w:t xml:space="preserve">Figure </w:t>
      </w:r>
      <w:r w:rsidRPr="00261658">
        <w:fldChar w:fldCharType="begin"/>
      </w:r>
      <w:r w:rsidRPr="00261658">
        <w:instrText xml:space="preserve"> STYLEREF 5 \s </w:instrText>
      </w:r>
      <w:r w:rsidRPr="00261658">
        <w:fldChar w:fldCharType="separate"/>
      </w:r>
      <w:r w:rsidR="00E6217F">
        <w:rPr>
          <w:noProof/>
        </w:rPr>
        <w:t>B</w:t>
      </w:r>
      <w:r w:rsidRPr="00261658">
        <w:fldChar w:fldCharType="end"/>
      </w:r>
      <w:r w:rsidRPr="00261658">
        <w:t>.</w:t>
      </w:r>
      <w:r w:rsidRPr="00261658">
        <w:fldChar w:fldCharType="begin"/>
      </w:r>
      <w:r w:rsidRPr="00261658">
        <w:instrText xml:space="preserve"> SEQ Figure_Apx \* ARABIC \s 5 </w:instrText>
      </w:r>
      <w:r w:rsidRPr="00261658">
        <w:fldChar w:fldCharType="separate"/>
      </w:r>
      <w:r w:rsidR="00E6217F">
        <w:rPr>
          <w:noProof/>
        </w:rPr>
        <w:t>1</w:t>
      </w:r>
      <w:r w:rsidRPr="00261658">
        <w:fldChar w:fldCharType="end"/>
      </w:r>
      <w:r w:rsidRPr="00261658">
        <w:t xml:space="preserve"> </w:t>
      </w:r>
      <w:r>
        <w:t xml:space="preserve">– Annual cost escalation by disability type, excluding SIL. </w:t>
      </w:r>
    </w:p>
    <w:p w14:paraId="6706CFFD" w14:textId="522E8351" w:rsidR="00582017" w:rsidRDefault="00582017" w:rsidP="002A6936">
      <w:r w:rsidRPr="00582017">
        <w:rPr>
          <w:noProof/>
        </w:rPr>
        <w:drawing>
          <wp:inline distT="0" distB="0" distL="0" distR="0" wp14:anchorId="37BC30F7" wp14:editId="4DA19183">
            <wp:extent cx="4518561" cy="3456797"/>
            <wp:effectExtent l="0" t="0" r="0" b="0"/>
            <wp:docPr id="35" name="Picture 35" descr="Disability ABI.&#10;2020. 36%. &#10;2021. 23%.&#10;&#10;Autism.&#10;2020. 23%&#10;2021. 23%.&#10;&#10;Cerebral Palsy.&#10;2020. 27%.&#10;2021. 17%&#10;&#10;Developmental Delay.&#10;2020. 12%&#10;2021. 17%.&#10;&#10;Hearing Impairment.&#10;2020. 21%.&#10;2021. 5%.&#10;&#10;Intellectual Disability.&#10;2020. 22%&#10;2021. 20%&#10;&#10;Multiple Sclerosis.&#10;2020. 40%.&#10;2021. 22%.&#10;&#10;Other.&#10;2020. 35%.&#10;2021. 31%&#10;&#10;Other Neurological&#10;2020. 47%&#10;2021. 26%&#10;&#10;Other Physical.&#10;2020. 29%&#10;2021. 16%&#10;&#10;Other Sensory/Speech&#10;2020. -1%.&#10;2021. 8%.&#10;&#10;Psychosocial disability.&#10;2020. 32%.&#10;2021. 29%.&#10;&#10;Spinal Cord Injury.&#10;2020. 29%.&#10;2021. 16%.&#10;&#10;Stroke.&#10;2020. 48%.&#10;2021. 20%.&#10;&#10;Visual Impairment.&#10;2020. 26%.&#10;2021.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sability ABI.&#10;2020. 36%. &#10;2021. 23%.&#10;&#10;Autism.&#10;2020. 23%&#10;2021. 23%.&#10;&#10;Cerebral Palsy.&#10;2020. 27%.&#10;2021. 17%&#10;&#10;Developmental Delay.&#10;2020. 12%&#10;2021. 17%.&#10;&#10;Hearing Impairment.&#10;2020. 21%.&#10;2021. 5%.&#10;&#10;Intellectual Disability.&#10;2020. 22%&#10;2021. 20%&#10;&#10;Multiple Sclerosis.&#10;2020. 40%.&#10;2021. 22%.&#10;&#10;Other.&#10;2020. 35%.&#10;2021. 31%&#10;&#10;Other Neurological&#10;2020. 47%&#10;2021. 26%&#10;&#10;Other Physical.&#10;2020. 29%&#10;2021. 16%&#10;&#10;Other Sensory/Speech&#10;2020. -1%.&#10;2021. 8%.&#10;&#10;Psychosocial disability.&#10;2020. 32%.&#10;2021. 29%.&#10;&#10;Spinal Cord Injury.&#10;2020. 29%.&#10;2021. 16%.&#10;&#10;Stroke.&#10;2020. 48%.&#10;2021. 20%.&#10;&#10;Visual Impairment.&#10;2020. 26%.&#10;2021. 21%"/>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4519833" cy="3457770"/>
                    </a:xfrm>
                    <a:prstGeom prst="rect">
                      <a:avLst/>
                    </a:prstGeom>
                    <a:noFill/>
                    <a:ln>
                      <a:noFill/>
                    </a:ln>
                  </pic:spPr>
                </pic:pic>
              </a:graphicData>
            </a:graphic>
          </wp:inline>
        </w:drawing>
      </w:r>
    </w:p>
    <w:p w14:paraId="5D709430" w14:textId="27D77C9C" w:rsidR="00582017" w:rsidRPr="002A6936" w:rsidRDefault="00582017" w:rsidP="00582017">
      <w:pPr>
        <w:pStyle w:val="Tablenotesorsource"/>
      </w:pPr>
      <w:r>
        <w:t>Note: Escalation calculated as percentage increase in payments for people in</w:t>
      </w:r>
      <w:r w:rsidR="00232FFF">
        <w:t xml:space="preserve"> the</w:t>
      </w:r>
      <w:r>
        <w:t xml:space="preserve"> </w:t>
      </w:r>
      <w:r w:rsidR="00232FFF">
        <w:t>Scheme</w:t>
      </w:r>
      <w:r>
        <w:t xml:space="preserve"> both years and entering six months previous. So the 2021 y-axis calculates those entering before December 2018 and in the </w:t>
      </w:r>
      <w:r w:rsidR="00232FFF">
        <w:t>Scheme</w:t>
      </w:r>
      <w:r>
        <w:t xml:space="preserve"> for all of 2019/20 and 2020/21.</w:t>
      </w:r>
      <w:r w:rsidR="00131CDF">
        <w:tab/>
      </w:r>
    </w:p>
    <w:p w14:paraId="2D3AE392" w14:textId="77777777" w:rsidR="003B6D26" w:rsidRDefault="003B6D26">
      <w:pPr>
        <w:spacing w:before="0" w:after="160" w:line="259" w:lineRule="auto"/>
        <w:rPr>
          <w:rFonts w:asciiTheme="majorHAnsi" w:eastAsiaTheme="majorEastAsia" w:hAnsiTheme="majorHAnsi" w:cstheme="majorBidi"/>
          <w:noProof/>
          <w:color w:val="006EC8" w:themeColor="accent1"/>
          <w:sz w:val="28"/>
          <w:szCs w:val="28"/>
        </w:rPr>
      </w:pPr>
      <w:r>
        <w:br w:type="page"/>
      </w:r>
    </w:p>
    <w:p w14:paraId="573B6911" w14:textId="46753A6B" w:rsidR="009F2C4F" w:rsidRDefault="009F2C4F" w:rsidP="00A52191">
      <w:pPr>
        <w:pStyle w:val="AppendixSubheading"/>
      </w:pPr>
      <w:bookmarkStart w:id="345" w:name="_Ref87630807"/>
      <w:bookmarkStart w:id="346" w:name="_Toc87700511"/>
      <w:bookmarkStart w:id="347" w:name="_Toc88686163"/>
      <w:r>
        <w:t>Future a</w:t>
      </w:r>
      <w:r w:rsidRPr="00882A56">
        <w:t xml:space="preserve">verage payment size </w:t>
      </w:r>
      <w:r w:rsidRPr="00975E37">
        <w:t>based on disability, function and age</w:t>
      </w:r>
      <w:bookmarkEnd w:id="345"/>
      <w:bookmarkEnd w:id="346"/>
      <w:bookmarkEnd w:id="347"/>
    </w:p>
    <w:p w14:paraId="1D3A83D3" w14:textId="1388AEFD" w:rsidR="009F2C4F" w:rsidRDefault="009F2C4F" w:rsidP="009F2C4F">
      <w:r>
        <w:t xml:space="preserve">Payments are defined by the average of that cell – as people move through age </w:t>
      </w:r>
      <w:r w:rsidR="00ED2FC8">
        <w:t>bands,</w:t>
      </w:r>
      <w:r>
        <w:t xml:space="preserve"> they have the corresponding assumption applied. The projected payments do not consider participants’ current support levels nor how long they have been in the </w:t>
      </w:r>
      <w:r w:rsidR="00232FFF">
        <w:t>Scheme</w:t>
      </w:r>
      <w:r>
        <w:t>, which could be important drivers of future payments.</w:t>
      </w:r>
    </w:p>
    <w:p w14:paraId="68DFF68A" w14:textId="0FDF4AA2" w:rsidR="009F2C4F" w:rsidRDefault="009F2C4F" w:rsidP="009F2C4F">
      <w:r>
        <w:t>For many supports, payment assumptions have been set to flat across age bands. However</w:t>
      </w:r>
      <w:r w:rsidR="005B303D">
        <w:t>,</w:t>
      </w:r>
      <w:r>
        <w:t xml:space="preserve"> in some cases higher age bands have lower assumed average costs. For example, the lowest-function group for ‘Other neurological’ (non-SIL) have costs of $156</w:t>
      </w:r>
      <w:r w:rsidR="005B303D">
        <w:t>K</w:t>
      </w:r>
      <w:r>
        <w:t xml:space="preserve"> in the 19-24 age group, falling to $</w:t>
      </w:r>
      <w:r w:rsidR="005B303D">
        <w:t xml:space="preserve">111K </w:t>
      </w:r>
      <w:r>
        <w:t xml:space="preserve">at age 45-54. In such cases the model assumes that participant costs will decrease as they age, although some of this will be negated by the superimposed inflation assumptions. Selected disability types are shown in </w:t>
      </w:r>
      <w:r>
        <w:fldChar w:fldCharType="begin"/>
      </w:r>
      <w:r>
        <w:instrText xml:space="preserve"> REF _Ref83109312 \h </w:instrText>
      </w:r>
      <w:r>
        <w:fldChar w:fldCharType="separate"/>
      </w:r>
      <w:r w:rsidR="00E6217F">
        <w:t xml:space="preserve">Figure </w:t>
      </w:r>
      <w:r w:rsidR="00E6217F">
        <w:rPr>
          <w:noProof/>
        </w:rPr>
        <w:t>B</w:t>
      </w:r>
      <w:r w:rsidR="00E6217F">
        <w:t>.</w:t>
      </w:r>
      <w:r w:rsidR="00E6217F">
        <w:rPr>
          <w:noProof/>
        </w:rPr>
        <w:t>2</w:t>
      </w:r>
      <w:r>
        <w:fldChar w:fldCharType="end"/>
      </w:r>
    </w:p>
    <w:p w14:paraId="2C9AFF37" w14:textId="1E878407" w:rsidR="009F2C4F" w:rsidRDefault="009F2C4F" w:rsidP="00252D1B">
      <w:pPr>
        <w:pStyle w:val="Caption"/>
      </w:pPr>
      <w:bookmarkStart w:id="348" w:name="_Ref83109312"/>
      <w:r>
        <w:t xml:space="preserve">Figure </w:t>
      </w:r>
      <w:r w:rsidR="009366CE">
        <w:fldChar w:fldCharType="begin"/>
      </w:r>
      <w:r w:rsidR="009366CE">
        <w:instrText xml:space="preserve"> STYLEREF </w:instrText>
      </w:r>
      <w:r w:rsidR="003B6D26">
        <w:instrText>5</w:instrText>
      </w:r>
      <w:r w:rsidR="009366CE">
        <w:instrText xml:space="preserve"> \s </w:instrText>
      </w:r>
      <w:r w:rsidR="009366CE">
        <w:fldChar w:fldCharType="separate"/>
      </w:r>
      <w:r w:rsidR="00E6217F">
        <w:rPr>
          <w:noProof/>
        </w:rPr>
        <w:t>B</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2</w:t>
      </w:r>
      <w:r w:rsidR="009366CE">
        <w:fldChar w:fldCharType="end"/>
      </w:r>
      <w:bookmarkEnd w:id="348"/>
      <w:r>
        <w:t xml:space="preserve"> – Starting average costs assumptions for selected disability types, illustrating decreasing average payment assumptions with age</w:t>
      </w:r>
    </w:p>
    <w:p w14:paraId="09FE6AE1" w14:textId="5419598A" w:rsidR="00252D1B" w:rsidRDefault="00252D1B" w:rsidP="009F2C4F">
      <w:r>
        <w:rPr>
          <w:noProof/>
        </w:rPr>
        <w:drawing>
          <wp:inline distT="0" distB="0" distL="0" distR="0" wp14:anchorId="6B8CF59F" wp14:editId="270F393C">
            <wp:extent cx="5976620" cy="2326640"/>
            <wp:effectExtent l="0" t="0" r="5080" b="0"/>
            <wp:docPr id="155" name="Graphic 155" descr="Non-SIL&#10;&#10;0 to 6.&#10;ABI, lowest function. Payment per year, June 2021 starting assumption ($000). 218,369.&#10;Cerebral Palsy, lowest function. 90,987.&#10;Other Neurological, lowest function. 123,848.&#10;Psychosocial disability, lowest function. 11,356.&#10;&#10;&#10;7 to 14.&#10;ABI, lowest function. 236,309.&#10;Cerebral Palsy, lowest function. 111,762.&#10;Other Neurological, lowest function. 120,685.&#10;Psychosocial disability, lowest function. 51,373.&#10;&#10;&#10;15 to 18.&#10;ABI, lowest function. 257,972.&#10;Cerebral Palsy, lowest function. 159,477.&#10;Other Neurological, lowest function. 128,646.&#10;Psychosocial disability, lowest function. 60,592.&#10;&#10;&#10;19 to 24.&#10;ABI, lowest function. 240,051.&#10;Cerebral Palsy, lowest function. 175,203.&#10;Other Neurological, lowest function. 155,720.&#10;Psychosocial disability, lowest function. 68,977.&#10;&#10;&#10;25 to 34.&#10;ABI, lowest function. 237,479.&#10;Cerebral Palsy, lowest function. 166,623.&#10;Other Neurological, lowest function. 153,111.&#10;Psychosocial disability, lowest function. 67,313.&#10;&#10;&#10;35 to 44.&#10;ABI, lowest function. 237,294.&#10;Cerebral Palsy, lowest function. 166,903.&#10;Other Neurological, lowest function. 153,240.&#10;Psychosocial disability, lowest function. 67,313.&#10;&#10;&#10;45 to 54.&#10;ABI, lowest function. 227,320.&#10;Cerebral Palsy, lowest function. 149,332.&#10;Other Neurological, lowest function. 110,700.&#10;Psychosocial disability, lowest function. 67,128.&#10;&#10;&#10;55 to 64.&#10;ABI, lowest function. 227,320.&#10;Cerebral Palsy, lowest function. 148,737.&#10;Other Neurological, lowest function. 110,194.&#10;Psychosocial disability, lowest function. 67,128.&#10;&#10;&#10;65+.&#10;ABI, lowest function. 227,320.&#10;Cerebral Palsy, lowest function. 148,221.&#10;Other Neurological, lowest function. 109,449.&#10;Psychosocial disability, lowest function. 67,128.&#10;&#10;&#10;SIL&#10;&#10;0 to 6.&#10;ABI, lowest function. Payment per year, June 2021 starting assumption ($000).  500,647.&#10;Cerebral Palsy, lowest function. 504,002.&#10;Other Neurological, lowest function. 498,310.&#10;Psychosocial disability, lowest function. 411,516.&#10;&#10;&#10;7 to 14.&#10;ABI, lowest function. 500,647.&#10;Cerebral Palsy, lowest function. 504,002.&#10;Other Neurological, lowest function. 498,310.&#10;Psychosocial disability, lowest function. 411,516.&#10;&#10;&#10;15 to 18.&#10;ABI, lowest function. 500,647.&#10;Cerebral Palsy, lowest function. 504,002.&#10;Other Neurological, lowest function. 498,310.&#10;Psychosocial disability, lowest function. 411,516.&#10;&#10;&#10;19 to 24.&#10;ABI, lowest function. 500,647.&#10;Cerebral Palsy, lowest function. 504,002.&#10;Other Neurological, lowest function. 498,310.&#10;Psychosocial disability, lowest function. 411,516.&#10;&#10;&#10;25 to 34.&#10;ABI, lowest function. 433,716.&#10;Cerebral Palsy, lowest function. 435,689.&#10;Other Neurological, lowest function. 428,794.&#10;Psychosocial disability, lowest function. 352,898.&#10;&#10;&#10;35 to 44.&#10;ABI, lowest function. 383,268.&#10;Cerebral Palsy, lowest function. 394,935.&#10;Other Neurological, lowest function. 383,043.&#10;Psychosocial disability, lowest function. 323,999.&#10;&#10;&#10;45 to 54.&#10;ABI, lowest function. 377,403.&#10;Cerebral Palsy, lowest function. 385,937.&#10;Other Neurological, lowest function. 381,594.&#10;Psychosocial disability, lowest function. 304,948.&#10;&#10;&#10;55 to 64.&#10;ABI, lowest function. 373,041.&#10;Cerebral Palsy, lowest function. 382,687.&#10;Other Neurological, lowest function. 372,976.&#10;Psychosocial disability, lowest function. 298,086.&#10;&#10;&#10;65+.&#10;ABI, lowest function. 364,492.&#10;Cerebral Palsy, lowest function. 382,687.&#10;Other Neurological, lowest function. 372,976.&#10;Psychosocial disability, lowest function. 29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Graphic 155" descr="Non-SIL&#10;&#10;0 to 6.&#10;ABI, lowest function. Payment per year, June 2021 starting assumption ($000). 218,369.&#10;Cerebral Palsy, lowest function. 90,987.&#10;Other Neurological, lowest function. 123,848.&#10;Psychosocial disability, lowest function. 11,356.&#10;&#10;&#10;7 to 14.&#10;ABI, lowest function. 236,309.&#10;Cerebral Palsy, lowest function. 111,762.&#10;Other Neurological, lowest function. 120,685.&#10;Psychosocial disability, lowest function. 51,373.&#10;&#10;&#10;15 to 18.&#10;ABI, lowest function. 257,972.&#10;Cerebral Palsy, lowest function. 159,477.&#10;Other Neurological, lowest function. 128,646.&#10;Psychosocial disability, lowest function. 60,592.&#10;&#10;&#10;19 to 24.&#10;ABI, lowest function. 240,051.&#10;Cerebral Palsy, lowest function. 175,203.&#10;Other Neurological, lowest function. 155,720.&#10;Psychosocial disability, lowest function. 68,977.&#10;&#10;&#10;25 to 34.&#10;ABI, lowest function. 237,479.&#10;Cerebral Palsy, lowest function. 166,623.&#10;Other Neurological, lowest function. 153,111.&#10;Psychosocial disability, lowest function. 67,313.&#10;&#10;&#10;35 to 44.&#10;ABI, lowest function. 237,294.&#10;Cerebral Palsy, lowest function. 166,903.&#10;Other Neurological, lowest function. 153,240.&#10;Psychosocial disability, lowest function. 67,313.&#10;&#10;&#10;45 to 54.&#10;ABI, lowest function. 227,320.&#10;Cerebral Palsy, lowest function. 149,332.&#10;Other Neurological, lowest function. 110,700.&#10;Psychosocial disability, lowest function. 67,128.&#10;&#10;&#10;55 to 64.&#10;ABI, lowest function. 227,320.&#10;Cerebral Palsy, lowest function. 148,737.&#10;Other Neurological, lowest function. 110,194.&#10;Psychosocial disability, lowest function. 67,128.&#10;&#10;&#10;65+.&#10;ABI, lowest function. 227,320.&#10;Cerebral Palsy, lowest function. 148,221.&#10;Other Neurological, lowest function. 109,449.&#10;Psychosocial disability, lowest function. 67,128.&#10;&#10;&#10;SIL&#10;&#10;0 to 6.&#10;ABI, lowest function. Payment per year, June 2021 starting assumption ($000).  500,647.&#10;Cerebral Palsy, lowest function. 504,002.&#10;Other Neurological, lowest function. 498,310.&#10;Psychosocial disability, lowest function. 411,516.&#10;&#10;&#10;7 to 14.&#10;ABI, lowest function. 500,647.&#10;Cerebral Palsy, lowest function. 504,002.&#10;Other Neurological, lowest function. 498,310.&#10;Psychosocial disability, lowest function. 411,516.&#10;&#10;&#10;15 to 18.&#10;ABI, lowest function. 500,647.&#10;Cerebral Palsy, lowest function. 504,002.&#10;Other Neurological, lowest function. 498,310.&#10;Psychosocial disability, lowest function. 411,516.&#10;&#10;&#10;19 to 24.&#10;ABI, lowest function. 500,647.&#10;Cerebral Palsy, lowest function. 504,002.&#10;Other Neurological, lowest function. 498,310.&#10;Psychosocial disability, lowest function. 411,516.&#10;&#10;&#10;25 to 34.&#10;ABI, lowest function. 433,716.&#10;Cerebral Palsy, lowest function. 435,689.&#10;Other Neurological, lowest function. 428,794.&#10;Psychosocial disability, lowest function. 352,898.&#10;&#10;&#10;35 to 44.&#10;ABI, lowest function. 383,268.&#10;Cerebral Palsy, lowest function. 394,935.&#10;Other Neurological, lowest function. 383,043.&#10;Psychosocial disability, lowest function. 323,999.&#10;&#10;&#10;45 to 54.&#10;ABI, lowest function. 377,403.&#10;Cerebral Palsy, lowest function. 385,937.&#10;Other Neurological, lowest function. 381,594.&#10;Psychosocial disability, lowest function. 304,948.&#10;&#10;&#10;55 to 64.&#10;ABI, lowest function. 373,041.&#10;Cerebral Palsy, lowest function. 382,687.&#10;Other Neurological, lowest function. 372,976.&#10;Psychosocial disability, lowest function. 298,086.&#10;&#10;&#10;65+.&#10;ABI, lowest function. 364,492.&#10;Cerebral Palsy, lowest function. 382,687.&#10;Other Neurological, lowest function. 372,976.&#10;Psychosocial disability, lowest function. 298,086."/>
                    <pic:cNvPicPr/>
                  </pic:nvPicPr>
                  <pic:blipFill>
                    <a:blip r:embed="rId138" cstate="print">
                      <a:extLst>
                        <a:ext uri="{28A0092B-C50C-407E-A947-70E740481C1C}">
                          <a14:useLocalDpi xmlns:a14="http://schemas.microsoft.com/office/drawing/2010/main"/>
                        </a:ext>
                        <a:ext uri="{96DAC541-7B7A-43D3-8B79-37D633B846F1}">
                          <asvg:svgBlip xmlns:asvg="http://schemas.microsoft.com/office/drawing/2016/SVG/main" r:embed="rId139"/>
                        </a:ext>
                      </a:extLst>
                    </a:blip>
                    <a:stretch>
                      <a:fillRect/>
                    </a:stretch>
                  </pic:blipFill>
                  <pic:spPr>
                    <a:xfrm>
                      <a:off x="0" y="0"/>
                      <a:ext cx="5976620" cy="2326640"/>
                    </a:xfrm>
                    <a:prstGeom prst="rect">
                      <a:avLst/>
                    </a:prstGeom>
                  </pic:spPr>
                </pic:pic>
              </a:graphicData>
            </a:graphic>
          </wp:inline>
        </w:drawing>
      </w:r>
    </w:p>
    <w:p w14:paraId="513DA58A" w14:textId="77777777" w:rsidR="009F2C4F" w:rsidRDefault="009F2C4F" w:rsidP="009F2C4F">
      <w:pPr>
        <w:pStyle w:val="Tablenotesorsource"/>
      </w:pPr>
      <w:r>
        <w:t>Note: The figure combines all payment types. We note for the No SIL group that the decreases are primarily in the Capacity Building and Capital components (Core costs are flat with care).</w:t>
      </w:r>
    </w:p>
    <w:p w14:paraId="450480B1" w14:textId="703BCD83" w:rsidR="009F2C4F" w:rsidRDefault="009F2C4F" w:rsidP="009F2C4F">
      <w:r>
        <w:t>There may be some reasons why payment levels could decrease over time. For instance, behaviours of concern may decrease with age and require less intensive care</w:t>
      </w:r>
      <w:r w:rsidR="00065EFF">
        <w:t>,</w:t>
      </w:r>
      <w:r>
        <w:t xml:space="preserve"> and Capacity Building supports may be less relevant at older ages. Conversely, effects such as declining health status may drive increases in supports over time. For some payment types, the best predictor of future costs will be participants’ current level of support plus potentially an allowance for growth. Current trends indicate that longitudinal payments are increasing rather than decreasing. Some of this effect is incorporated into the superimposed inflation assumptions, but it is potentially optimistic to assume material decreases in packages and payments. </w:t>
      </w:r>
    </w:p>
    <w:p w14:paraId="3A0ABE95" w14:textId="4A016E4A" w:rsidR="00404142" w:rsidRDefault="00404142" w:rsidP="009F2C4F">
      <w:r>
        <w:t>Longitudinal changes to payments represent an alternative guide to trends over time.</w:t>
      </w:r>
    </w:p>
    <w:p w14:paraId="00F4507B" w14:textId="2626B154" w:rsidR="009F2C4F" w:rsidRDefault="009F2C4F" w:rsidP="00A52191">
      <w:pPr>
        <w:pStyle w:val="AppendixSubheading"/>
      </w:pPr>
      <w:bookmarkStart w:id="349" w:name="_Toc87700512"/>
      <w:bookmarkStart w:id="350" w:name="_Toc88686164"/>
      <w:r>
        <w:t>Partial allowance for transitions between disability groups</w:t>
      </w:r>
      <w:bookmarkEnd w:id="349"/>
      <w:bookmarkEnd w:id="350"/>
      <w:r w:rsidRPr="00841ADD">
        <w:t xml:space="preserve"> </w:t>
      </w:r>
      <w:r>
        <w:t xml:space="preserve"> </w:t>
      </w:r>
    </w:p>
    <w:p w14:paraId="37C03622" w14:textId="507C7F40" w:rsidR="009F2C4F" w:rsidRDefault="009F2C4F" w:rsidP="009F2C4F">
      <w:r>
        <w:t xml:space="preserve">The model has some explicit assumptions for the transition from </w:t>
      </w:r>
      <w:r w:rsidR="005B303D">
        <w:t>d</w:t>
      </w:r>
      <w:r>
        <w:t xml:space="preserve">evelopmental delay to both autism and intellectual disability groups. These are the largest two transitions in the data (about 6,000 people moving in 2020-21). </w:t>
      </w:r>
    </w:p>
    <w:p w14:paraId="63E979B6" w14:textId="77777777" w:rsidR="009F2C4F" w:rsidRDefault="009F2C4F" w:rsidP="009F2C4F">
      <w:r>
        <w:t>The next three largest transitions are:</w:t>
      </w:r>
    </w:p>
    <w:p w14:paraId="0EEF2BBD" w14:textId="77777777" w:rsidR="009F2C4F" w:rsidRDefault="009F2C4F" w:rsidP="009F2C4F">
      <w:pPr>
        <w:pStyle w:val="Bullet1"/>
        <w:keepNext/>
        <w:spacing w:before="60" w:after="60"/>
        <w:ind w:left="357" w:hanging="357"/>
      </w:pPr>
      <w:r>
        <w:t>Intellectual disability to autism</w:t>
      </w:r>
    </w:p>
    <w:p w14:paraId="086DA55D" w14:textId="77777777" w:rsidR="009F2C4F" w:rsidRDefault="009F2C4F" w:rsidP="009F2C4F">
      <w:pPr>
        <w:pStyle w:val="Bullet1"/>
        <w:keepNext/>
        <w:spacing w:before="60" w:after="60"/>
        <w:ind w:left="357" w:hanging="357"/>
      </w:pPr>
      <w:r>
        <w:t>Autism to Intellectual disability</w:t>
      </w:r>
    </w:p>
    <w:p w14:paraId="716DA0FF" w14:textId="77777777" w:rsidR="009F2C4F" w:rsidRPr="00BC3609" w:rsidRDefault="009F2C4F" w:rsidP="009F2C4F">
      <w:pPr>
        <w:pStyle w:val="Bullet1"/>
        <w:spacing w:before="60" w:after="60"/>
        <w:ind w:left="357" w:hanging="357"/>
      </w:pPr>
      <w:r>
        <w:t>Intellectual disability to p</w:t>
      </w:r>
      <w:r w:rsidRPr="00BC3609">
        <w:t>sychosocial disability</w:t>
      </w:r>
      <w:r>
        <w:t>.</w:t>
      </w:r>
    </w:p>
    <w:p w14:paraId="15C64A07" w14:textId="1B9B0F0F" w:rsidR="009F2C4F" w:rsidRPr="00BC3609" w:rsidRDefault="009F2C4F" w:rsidP="009F2C4F">
      <w:r>
        <w:t>These represent 1,600 movements in 2020-21. We have not done an analysis of changes to package and costs at transition, but any impact is likely to be relatively small.</w:t>
      </w:r>
    </w:p>
    <w:p w14:paraId="1F7CB365" w14:textId="3F6C3373" w:rsidR="00E30167" w:rsidRDefault="00E30167" w:rsidP="00A52191">
      <w:pPr>
        <w:pStyle w:val="AppendixSubheading"/>
      </w:pPr>
      <w:bookmarkStart w:id="351" w:name="_Toc87700513"/>
      <w:bookmarkStart w:id="352" w:name="_Toc88686165"/>
      <w:r w:rsidRPr="00882A56">
        <w:t>Unusual projected age distributions for some cohorts</w:t>
      </w:r>
      <w:bookmarkEnd w:id="351"/>
      <w:bookmarkEnd w:id="352"/>
    </w:p>
    <w:p w14:paraId="0DFAEDBB" w14:textId="269D8459" w:rsidR="00E30167" w:rsidRDefault="00E30167" w:rsidP="00E30167">
      <w:r>
        <w:t xml:space="preserve">The participant projection is an ‘input-output’ model, which assumes a distribution of people coming in (age, gender, disability-severity) and </w:t>
      </w:r>
      <w:r w:rsidR="00BC1697">
        <w:t xml:space="preserve">a </w:t>
      </w:r>
      <w:r>
        <w:t xml:space="preserve">similar rate of exit (mortality and other exits). </w:t>
      </w:r>
    </w:p>
    <w:p w14:paraId="6E7ECFB6" w14:textId="781D3F05" w:rsidR="00E30167" w:rsidRDefault="00E30167" w:rsidP="00E30167">
      <w:r>
        <w:t xml:space="preserve">In some cases where the entry distribution has been moving rapidly, a fixed distribution of entries and exits can lead to slightly anomalous results. For example, </w:t>
      </w:r>
      <w:r w:rsidR="00F9624B">
        <w:t xml:space="preserve">in </w:t>
      </w:r>
      <w:r>
        <w:t>the ‘Autism 3 male’ group (the second-lowest functional group level), the current distribution of people is centred on age 14 to 18.</w:t>
      </w:r>
    </w:p>
    <w:p w14:paraId="11F35C7A" w14:textId="77777777" w:rsidR="00E30167" w:rsidRDefault="00E30167" w:rsidP="00E30167">
      <w:r>
        <w:t>Rolling the assumed numbers, age distribution and progression assumptions together, the model predicts that this group will look very different in ten years’ time:</w:t>
      </w:r>
    </w:p>
    <w:p w14:paraId="402F6267" w14:textId="4EB6D577" w:rsidR="00E30167" w:rsidRDefault="00E30167" w:rsidP="00E30167">
      <w:pPr>
        <w:pStyle w:val="Bullet1"/>
      </w:pPr>
      <w:r>
        <w:t xml:space="preserve">The peak will have shifted to be centred on </w:t>
      </w:r>
      <w:r w:rsidR="00ED2FC8">
        <w:t>24–28-year-olds</w:t>
      </w:r>
    </w:p>
    <w:p w14:paraId="74DED817" w14:textId="544A492D" w:rsidR="00E30167" w:rsidRDefault="00E30167" w:rsidP="00E30167">
      <w:pPr>
        <w:pStyle w:val="Bullet1"/>
      </w:pPr>
      <w:r>
        <w:t>The number of people with autism in this function group</w:t>
      </w:r>
      <w:r w:rsidR="00E169EB">
        <w:t>,</w:t>
      </w:r>
      <w:r>
        <w:t xml:space="preserve"> male aged 14-18</w:t>
      </w:r>
      <w:r w:rsidR="00E169EB">
        <w:t>,</w:t>
      </w:r>
      <w:r>
        <w:t xml:space="preserve"> will fall by 50% </w:t>
      </w:r>
    </w:p>
    <w:p w14:paraId="2414DFEC" w14:textId="77777777" w:rsidR="00E30167" w:rsidRDefault="00E30167" w:rsidP="00E30167">
      <w:pPr>
        <w:pStyle w:val="Bullet1"/>
      </w:pPr>
      <w:r>
        <w:t>A new, lower subpeak will be centred on ages 10-12.</w:t>
      </w:r>
    </w:p>
    <w:p w14:paraId="4FDF140F" w14:textId="248153C6" w:rsidR="00E30167" w:rsidRDefault="00E30167" w:rsidP="00E30167">
      <w:pPr>
        <w:pStyle w:val="Caption"/>
      </w:pPr>
      <w:r>
        <w:t xml:space="preserve">Figure </w:t>
      </w:r>
      <w:r w:rsidR="009366CE">
        <w:fldChar w:fldCharType="begin"/>
      </w:r>
      <w:r w:rsidR="009366CE">
        <w:instrText xml:space="preserve"> STYLEREF </w:instrText>
      </w:r>
      <w:r w:rsidR="003B6D26">
        <w:instrText>5</w:instrText>
      </w:r>
      <w:r w:rsidR="009366CE">
        <w:instrText xml:space="preserve"> \s </w:instrText>
      </w:r>
      <w:r w:rsidR="009366CE">
        <w:fldChar w:fldCharType="separate"/>
      </w:r>
      <w:r w:rsidR="00E6217F">
        <w:rPr>
          <w:noProof/>
        </w:rPr>
        <w:t>B</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3</w:t>
      </w:r>
      <w:r w:rsidR="009366CE">
        <w:fldChar w:fldCharType="end"/>
      </w:r>
      <w:r>
        <w:t xml:space="preserve"> – Current and 10-year projection of number of people by age for people in the male autism second-lowest function group</w:t>
      </w:r>
    </w:p>
    <w:p w14:paraId="3C116D8C" w14:textId="77777777" w:rsidR="00E30167" w:rsidRDefault="00E30167" w:rsidP="00E30167">
      <w:r w:rsidRPr="00686CC0">
        <w:rPr>
          <w:noProof/>
        </w:rPr>
        <w:drawing>
          <wp:inline distT="0" distB="0" distL="0" distR="0" wp14:anchorId="323C4B70" wp14:editId="56C6D5B0">
            <wp:extent cx="4858247" cy="2850873"/>
            <wp:effectExtent l="0" t="0" r="0" b="6985"/>
            <wp:docPr id="70" name="Picture 70" descr="Age 0.&#10;2021. Number of participants. 0.&#10;2031. Number of participants. 0.&#10;&#10;Age 1.&#10;2021. 0.&#10;2031. 10.&#10;&#10;Age 2.&#10;2021. 0.&#10;2031. 31.&#10;&#10;Age 3.&#10;2021. 16.&#10;2031. 65.&#10;&#10;Age 4.&#10;2021. 43.&#10;2031. 108.&#10;&#10;Age 5.&#10;2021. 43.&#10;2031. 138.&#10;&#10;Age 6.&#10;2021. 70.&#10;2031. 167.&#10;&#10;Age 7.&#10;2021. 74.&#10;2031. 226.&#10;&#10;Age 8.&#10;2021. 71.&#10;2031. 262.&#10;&#10;Age 9.&#10;2021. 154.&#10;2031. 276.&#10;&#10;Age 10.&#10;2021. 245.&#10;2031. 286.&#10;&#10;Age 11.&#10;2021. 314.&#10;2031. 283.&#10;&#10;Age 12.&#10;2021. 323.&#10;2031. 266.&#10;&#10;Age 13.&#10;2021. 374.&#10;2031. 255.&#10;&#10;Age 14.&#10;2021. 445.&#10;2031. 252.&#10;&#10;Age 15.&#10;2021. 463.&#10;2031. 230.&#10;&#10;Age 16.&#10;2021. 427.&#10;2031. 240.&#10;&#10;Age 17.&#10;2021. 445.&#10;2031. 195.&#10;&#10;Age 18.&#10;2021. 430.&#10;2031. 163.&#10;&#10;Age 19.&#10;2021. 325.&#10;2031. 231.&#10;&#10;Age 20.&#10;2021. 320.&#10;2031. 310.&#10;&#10;Age 21.&#10;2021. 301.&#10;2031. 372.&#10;&#10;Age 22.&#10;2021. 265.&#10;2031. 376.&#10;&#10;Age 23.&#10;2021. 220.&#10;2031. 420.&#10;&#10;Age 24.&#10;2021. 197.&#10;2031. 482.&#10;&#10;Age 25.&#10;2021. 170.&#10;2031. 492.&#10;&#10;Age 26.&#10;2021. 159.&#10;2031. 448.&#10;&#10;Age 27.&#10;2021. 106.&#10;2031. 453.&#10;&#10;Age 28.&#10;2021. 119.&#10;2031. 430.&#10;&#10;Age 29.&#10;2021. 99.&#10;2031. 326.&#10;&#10;Age 30.&#10;2021. 104.&#10;2031. 319.&#10;&#10;Age 31.&#10;2021. 82.&#10;2031. 299.&#10;&#10;Age 32.&#10;2021. 73.&#10;2031. 264.&#10;&#10;Age 33.&#10;2021. 84.&#10;2031. 221.&#10;&#10;Age 34.&#10;2021. 49.&#10;2031. 197.&#10;&#10;Age 35.&#10;2021. 52.&#10;2031. 170.&#10;&#10;Age 36.&#10;2021. 53.&#10;2031. 159.&#10;&#10;Age 37.&#10;2021. 38.&#10;2031. 108.&#10;&#10;Age 38.&#10;2021. 42.&#10;2031. 120.&#10;&#10;Age 39.&#10;2021. 37.&#10;2031. 101.&#10;&#10;Age 40.&#10;2021. 32.&#10;2031. 105.&#10;&#10;Age 41.&#10;2021. 28.&#10;2031. 84.&#10;&#10;Age 42.&#10;2021. 26.&#10;2031. 75.&#10;&#10;Age 43.&#10;2021. 18.&#10;2031. 85.&#10;&#10;Age 44.&#10;2021. 15.&#10;2031. 51.&#10;&#10;Age 45.&#10;2021. 20.&#10;2031. 54.&#10;&#10;Age 46.&#10;2021. 25.&#10;2031. 55.&#10;&#10;Age 47.&#10;2021. 19.&#10;2031. 40.&#10;&#10;Age 48.&#10;2021. 13.&#10;2031. 44.&#10;&#10;Age 49.&#10;2021. 16.&#10;2031.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ge 0.&#10;2021. Number of participants. 0.&#10;2031. Number of participants. 0.&#10;&#10;Age 1.&#10;2021. 0.&#10;2031. 10.&#10;&#10;Age 2.&#10;2021. 0.&#10;2031. 31.&#10;&#10;Age 3.&#10;2021. 16.&#10;2031. 65.&#10;&#10;Age 4.&#10;2021. 43.&#10;2031. 108.&#10;&#10;Age 5.&#10;2021. 43.&#10;2031. 138.&#10;&#10;Age 6.&#10;2021. 70.&#10;2031. 167.&#10;&#10;Age 7.&#10;2021. 74.&#10;2031. 226.&#10;&#10;Age 8.&#10;2021. 71.&#10;2031. 262.&#10;&#10;Age 9.&#10;2021. 154.&#10;2031. 276.&#10;&#10;Age 10.&#10;2021. 245.&#10;2031. 286.&#10;&#10;Age 11.&#10;2021. 314.&#10;2031. 283.&#10;&#10;Age 12.&#10;2021. 323.&#10;2031. 266.&#10;&#10;Age 13.&#10;2021. 374.&#10;2031. 255.&#10;&#10;Age 14.&#10;2021. 445.&#10;2031. 252.&#10;&#10;Age 15.&#10;2021. 463.&#10;2031. 230.&#10;&#10;Age 16.&#10;2021. 427.&#10;2031. 240.&#10;&#10;Age 17.&#10;2021. 445.&#10;2031. 195.&#10;&#10;Age 18.&#10;2021. 430.&#10;2031. 163.&#10;&#10;Age 19.&#10;2021. 325.&#10;2031. 231.&#10;&#10;Age 20.&#10;2021. 320.&#10;2031. 310.&#10;&#10;Age 21.&#10;2021. 301.&#10;2031. 372.&#10;&#10;Age 22.&#10;2021. 265.&#10;2031. 376.&#10;&#10;Age 23.&#10;2021. 220.&#10;2031. 420.&#10;&#10;Age 24.&#10;2021. 197.&#10;2031. 482.&#10;&#10;Age 25.&#10;2021. 170.&#10;2031. 492.&#10;&#10;Age 26.&#10;2021. 159.&#10;2031. 448.&#10;&#10;Age 27.&#10;2021. 106.&#10;2031. 453.&#10;&#10;Age 28.&#10;2021. 119.&#10;2031. 430.&#10;&#10;Age 29.&#10;2021. 99.&#10;2031. 326.&#10;&#10;Age 30.&#10;2021. 104.&#10;2031. 319.&#10;&#10;Age 31.&#10;2021. 82.&#10;2031. 299.&#10;&#10;Age 32.&#10;2021. 73.&#10;2031. 264.&#10;&#10;Age 33.&#10;2021. 84.&#10;2031. 221.&#10;&#10;Age 34.&#10;2021. 49.&#10;2031. 197.&#10;&#10;Age 35.&#10;2021. 52.&#10;2031. 170.&#10;&#10;Age 36.&#10;2021. 53.&#10;2031. 159.&#10;&#10;Age 37.&#10;2021. 38.&#10;2031. 108.&#10;&#10;Age 38.&#10;2021. 42.&#10;2031. 120.&#10;&#10;Age 39.&#10;2021. 37.&#10;2031. 101.&#10;&#10;Age 40.&#10;2021. 32.&#10;2031. 105.&#10;&#10;Age 41.&#10;2021. 28.&#10;2031. 84.&#10;&#10;Age 42.&#10;2021. 26.&#10;2031. 75.&#10;&#10;Age 43.&#10;2021. 18.&#10;2031. 85.&#10;&#10;Age 44.&#10;2021. 15.&#10;2031. 51.&#10;&#10;Age 45.&#10;2021. 20.&#10;2031. 54.&#10;&#10;Age 46.&#10;2021. 25.&#10;2031. 55.&#10;&#10;Age 47.&#10;2021. 19.&#10;2031. 40.&#10;&#10;Age 48.&#10;2021. 13.&#10;2031. 44.&#10;&#10;Age 49.&#10;2021. 16.&#10;2031. 39."/>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4862187" cy="2853185"/>
                    </a:xfrm>
                    <a:prstGeom prst="rect">
                      <a:avLst/>
                    </a:prstGeom>
                    <a:noFill/>
                    <a:ln>
                      <a:noFill/>
                    </a:ln>
                  </pic:spPr>
                </pic:pic>
              </a:graphicData>
            </a:graphic>
          </wp:inline>
        </w:drawing>
      </w:r>
    </w:p>
    <w:p w14:paraId="03A4757F" w14:textId="22EFC75E" w:rsidR="00E30167" w:rsidRPr="00962C85" w:rsidRDefault="00E30167" w:rsidP="00E30167">
      <w:r>
        <w:t xml:space="preserve">We regard the distribution as slightly unrealistic, since it effectively projects a large decrease in the age band that is currently most prevalent. However, rectifying this in an input-output model is </w:t>
      </w:r>
      <w:r w:rsidR="00BC1697">
        <w:t>difficult</w:t>
      </w:r>
      <w:r>
        <w:t xml:space="preserve">, since it involves modifying inflow assumptions in a way that recovers sensible distributions once projected. It also has implications for the future size of the group; for the peak to remain at ages 14-18, significantly more entries </w:t>
      </w:r>
      <w:r w:rsidR="00BC1697">
        <w:t xml:space="preserve">would </w:t>
      </w:r>
      <w:r>
        <w:t>need to be projected.</w:t>
      </w:r>
    </w:p>
    <w:p w14:paraId="573C3040" w14:textId="4BAF1952" w:rsidR="00E30167" w:rsidRDefault="00E30167" w:rsidP="00E30167">
      <w:r>
        <w:t xml:space="preserve">We also note that many other disability subgroups produce more stable </w:t>
      </w:r>
      <w:r w:rsidR="00ED2FC8">
        <w:t>projections or</w:t>
      </w:r>
      <w:r>
        <w:t xml:space="preserve"> have less </w:t>
      </w:r>
      <w:r w:rsidR="00BC1697">
        <w:t xml:space="preserve">drastic </w:t>
      </w:r>
      <w:r>
        <w:t xml:space="preserve">changes in distribution. And potential underestimates in some groups may be balanced out by other subgroups. For example, one of the ‘Other Neurological Conditions’ subgroups is shown in </w:t>
      </w:r>
      <w:r>
        <w:fldChar w:fldCharType="begin"/>
      </w:r>
      <w:r>
        <w:instrText xml:space="preserve"> REF _Ref83823830 \h </w:instrText>
      </w:r>
      <w:r>
        <w:fldChar w:fldCharType="separate"/>
      </w:r>
      <w:r w:rsidR="00E6217F">
        <w:t xml:space="preserve">Figure </w:t>
      </w:r>
      <w:r w:rsidR="00E6217F">
        <w:rPr>
          <w:noProof/>
        </w:rPr>
        <w:t>B</w:t>
      </w:r>
      <w:r w:rsidR="00E6217F">
        <w:t>.</w:t>
      </w:r>
      <w:r w:rsidR="00E6217F">
        <w:rPr>
          <w:noProof/>
        </w:rPr>
        <w:t>4</w:t>
      </w:r>
      <w:r>
        <w:fldChar w:fldCharType="end"/>
      </w:r>
      <w:r>
        <w:t>. This has some peak movements, and some strong increases for older people (65% increase in the 55-64 group over 10 years, driven by newer entrants).</w:t>
      </w:r>
    </w:p>
    <w:p w14:paraId="3B13DA0C" w14:textId="5A00FC8E" w:rsidR="00E30167" w:rsidRDefault="00E30167" w:rsidP="00E30167">
      <w:pPr>
        <w:pStyle w:val="Caption"/>
      </w:pPr>
      <w:bookmarkStart w:id="353" w:name="_Ref83823830"/>
      <w:r>
        <w:t xml:space="preserve">Figure </w:t>
      </w:r>
      <w:r w:rsidR="009366CE">
        <w:fldChar w:fldCharType="begin"/>
      </w:r>
      <w:r w:rsidR="009366CE">
        <w:instrText xml:space="preserve"> STYLEREF </w:instrText>
      </w:r>
      <w:r w:rsidR="003B6D26">
        <w:instrText>5</w:instrText>
      </w:r>
      <w:r w:rsidR="009366CE">
        <w:instrText xml:space="preserve"> \s </w:instrText>
      </w:r>
      <w:r w:rsidR="009366CE">
        <w:fldChar w:fldCharType="separate"/>
      </w:r>
      <w:r w:rsidR="00E6217F">
        <w:rPr>
          <w:noProof/>
        </w:rPr>
        <w:t>B</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4</w:t>
      </w:r>
      <w:r w:rsidR="009366CE">
        <w:fldChar w:fldCharType="end"/>
      </w:r>
      <w:bookmarkEnd w:id="353"/>
      <w:r>
        <w:t xml:space="preserve"> – Current and 10-year projection of number of people by age for people in the male second-lowest function group, for ‘Other neurological condition’</w:t>
      </w:r>
    </w:p>
    <w:p w14:paraId="03A0CD30" w14:textId="77777777" w:rsidR="00E30167" w:rsidRDefault="00E30167" w:rsidP="00E30167">
      <w:r w:rsidRPr="00686CC0">
        <w:rPr>
          <w:noProof/>
        </w:rPr>
        <w:drawing>
          <wp:inline distT="0" distB="0" distL="0" distR="0" wp14:anchorId="42BB3FD4" wp14:editId="391EA20E">
            <wp:extent cx="4738978" cy="2780884"/>
            <wp:effectExtent l="0" t="0" r="5080" b="635"/>
            <wp:docPr id="71" name="Picture 71" descr="Age 0.&#10;2021. Number of participants. 0.&#10;2031. Number of participants. 5.&#10;&#10;Age 1.&#10;2021. 1.&#10;2031. 9.&#10;&#10;Age 2.&#10;2021. 0.&#10;2031. 13.&#10;&#10;Age 3.&#10;2021. 3.&#10;2031. 16.&#10;&#10;Age 4.&#10;2021. 12.&#10;2031. 19.&#10;&#10;Age 5.&#10;2021. 9.&#10;2031. 22.&#10;&#10;Age 6.&#10;2021. 7.&#10;2031. 25.&#10;&#10;Age 7.&#10;2021. 4.&#10;2031. 27.&#10;&#10;Age 8.&#10;2021. 20.&#10;2031. 29.&#10;&#10;Age 9.&#10;2021. 33.&#10;2031. 31.&#10;&#10;Age 10.&#10;2021. 24.&#10;2031. 29.&#10;&#10;Age 11.&#10;2021. 45.&#10;2031. 28.&#10;&#10;Age 12.&#10;2021. 38.&#10;2031. 26.&#10;&#10;Age 13.&#10;2021. 63.&#10;2031. 27.&#10;&#10;Age 14.&#10;2021. 43.&#10;2031. 34.&#10;&#10;Age 15.&#10;2021. 63.&#10;2031. 31.&#10;&#10;Age 16.&#10;2021. 58.&#10;2031. 28.&#10;&#10;Age 17.&#10;2021. 53.&#10;2031. 25.&#10;&#10;Age 18.&#10;2021. 39.&#10;2031. 39.&#10;&#10;Age 19.&#10;2021. 19.&#10;2031. 51.&#10;&#10;Age 20.&#10;2021. 21.&#10;2031. 42.&#10;&#10;Age 21.&#10;2021. 25.&#10;2031. 60.&#10;&#10;Age 22.&#10;2021. 18.&#10;2031. 53.&#10;&#10;Age 23.&#10;2021. 19.&#10;2031. 75.&#10;&#10;Age 24.&#10;2021. 16.&#10;2031. 56.&#10;&#10;Age 25.&#10;2021. 15.&#10;2031. 74.&#10;&#10;Age 26.&#10;2021. 16.&#10;2031. 68.&#10;&#10;Age 27.&#10;2021. 17.&#10;2031. 63.&#10;&#10;Age 28.&#10;2021. 11.&#10;2031. 50.&#10;&#10;Age 29.&#10;2021. 14.&#10;2031. 32.&#10;&#10;Age 30.&#10;2021. 16.&#10;2031. 33.&#10;&#10;Age 31.&#10;2021. 12.&#10;2031. 36.&#10;&#10;Age 32.&#10;2021. 15.&#10;2031. 29.&#10;&#10;Age 33.&#10;2021. 17.&#10;2031. 29.&#10;&#10;Age 34.&#10;2021. 16.&#10;2031. 25.&#10;&#10;Age 35.&#10;2021. 16.&#10;2031. 23.&#10;&#10;Age 36.&#10;2021. 20.&#10;2031. 24.&#10;&#10;Age 37.&#10;2021. 17.&#10;2031. 24.&#10;&#10;Age 38.&#10;2021. 15.&#10;2031. 19.&#10;&#10;Age 39.&#10;2021. 17.&#10;2031. 21.&#10;&#10;Age 40.&#10;2021. 13.&#10;2031. 23.&#10;&#10;Age 41.&#10;2021. 20.&#10;2031. 20.&#10;&#10;Age 42.&#10;2021. 22.&#10;2031. 23.&#10;&#10;Age 43.&#10;2021. 16.&#10;2031. 25.&#10;&#10;Age 44.&#10;2021. 11.&#10;2031. 26.&#10;&#10;Age 45.&#10;2021. 36.&#10;2031. 28.&#10;&#10;Age 46.&#10;2021. 23.&#10;2031. 33.&#10;&#10;Age 47.&#10;2021. 39.&#10;2031. 33.&#10;&#10;Age 48.&#10;2021. 40.&#10;2031. 35.&#10;&#10;Age 49.&#10;2021. 25.&#10;2031. 40.&#10;&#10;Age 50.&#10;2021. 32.&#10;2031. 41.&#10;&#10;Age 51.&#10;2021. 46.&#10;2031. 51.&#10;&#10;Age 52.&#10;2021. 42.&#10;2031. 58.&#10;&#10;Age 53.&#10;2021. 37.&#10;2031. 60.&#10;&#10;Age 54.&#10;2021. 38.&#10;2031. 65.&#10;&#10;Age 55.&#10;2021. 47.&#10;2031. 89.&#10;&#10;Age 56.&#10;2021. 45.&#10;2031. 90.&#10;&#10;Age 57.&#10;2021. 70.&#10;2031. 110.&#10;&#10;Age 58.&#10;2021. 73.&#10;2031. 122.&#10;&#10;Age 59.&#10;2021. 73.&#10;2031. 125.&#10;&#10;Age 60.&#10;2021. 76.&#10;2031. 144.&#10;&#10;Age 61.&#10;2021. 78.&#10;2031. 168.&#10;&#10;Age 62.&#10;2021. 97.&#10;2031. 182.&#10;&#10;Age 63.&#10;2021. 111.&#10;2031. 197.&#10;&#10;Age 64.&#10;2021. 120.&#10;2031. 217.&#10;&#10;Age 65.&#10;2021. 130.&#10;2031.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ge 0.&#10;2021. Number of participants. 0.&#10;2031. Number of participants. 5.&#10;&#10;Age 1.&#10;2021. 1.&#10;2031. 9.&#10;&#10;Age 2.&#10;2021. 0.&#10;2031. 13.&#10;&#10;Age 3.&#10;2021. 3.&#10;2031. 16.&#10;&#10;Age 4.&#10;2021. 12.&#10;2031. 19.&#10;&#10;Age 5.&#10;2021. 9.&#10;2031. 22.&#10;&#10;Age 6.&#10;2021. 7.&#10;2031. 25.&#10;&#10;Age 7.&#10;2021. 4.&#10;2031. 27.&#10;&#10;Age 8.&#10;2021. 20.&#10;2031. 29.&#10;&#10;Age 9.&#10;2021. 33.&#10;2031. 31.&#10;&#10;Age 10.&#10;2021. 24.&#10;2031. 29.&#10;&#10;Age 11.&#10;2021. 45.&#10;2031. 28.&#10;&#10;Age 12.&#10;2021. 38.&#10;2031. 26.&#10;&#10;Age 13.&#10;2021. 63.&#10;2031. 27.&#10;&#10;Age 14.&#10;2021. 43.&#10;2031. 34.&#10;&#10;Age 15.&#10;2021. 63.&#10;2031. 31.&#10;&#10;Age 16.&#10;2021. 58.&#10;2031. 28.&#10;&#10;Age 17.&#10;2021. 53.&#10;2031. 25.&#10;&#10;Age 18.&#10;2021. 39.&#10;2031. 39.&#10;&#10;Age 19.&#10;2021. 19.&#10;2031. 51.&#10;&#10;Age 20.&#10;2021. 21.&#10;2031. 42.&#10;&#10;Age 21.&#10;2021. 25.&#10;2031. 60.&#10;&#10;Age 22.&#10;2021. 18.&#10;2031. 53.&#10;&#10;Age 23.&#10;2021. 19.&#10;2031. 75.&#10;&#10;Age 24.&#10;2021. 16.&#10;2031. 56.&#10;&#10;Age 25.&#10;2021. 15.&#10;2031. 74.&#10;&#10;Age 26.&#10;2021. 16.&#10;2031. 68.&#10;&#10;Age 27.&#10;2021. 17.&#10;2031. 63.&#10;&#10;Age 28.&#10;2021. 11.&#10;2031. 50.&#10;&#10;Age 29.&#10;2021. 14.&#10;2031. 32.&#10;&#10;Age 30.&#10;2021. 16.&#10;2031. 33.&#10;&#10;Age 31.&#10;2021. 12.&#10;2031. 36.&#10;&#10;Age 32.&#10;2021. 15.&#10;2031. 29.&#10;&#10;Age 33.&#10;2021. 17.&#10;2031. 29.&#10;&#10;Age 34.&#10;2021. 16.&#10;2031. 25.&#10;&#10;Age 35.&#10;2021. 16.&#10;2031. 23.&#10;&#10;Age 36.&#10;2021. 20.&#10;2031. 24.&#10;&#10;Age 37.&#10;2021. 17.&#10;2031. 24.&#10;&#10;Age 38.&#10;2021. 15.&#10;2031. 19.&#10;&#10;Age 39.&#10;2021. 17.&#10;2031. 21.&#10;&#10;Age 40.&#10;2021. 13.&#10;2031. 23.&#10;&#10;Age 41.&#10;2021. 20.&#10;2031. 20.&#10;&#10;Age 42.&#10;2021. 22.&#10;2031. 23.&#10;&#10;Age 43.&#10;2021. 16.&#10;2031. 25.&#10;&#10;Age 44.&#10;2021. 11.&#10;2031. 26.&#10;&#10;Age 45.&#10;2021. 36.&#10;2031. 28.&#10;&#10;Age 46.&#10;2021. 23.&#10;2031. 33.&#10;&#10;Age 47.&#10;2021. 39.&#10;2031. 33.&#10;&#10;Age 48.&#10;2021. 40.&#10;2031. 35.&#10;&#10;Age 49.&#10;2021. 25.&#10;2031. 40.&#10;&#10;Age 50.&#10;2021. 32.&#10;2031. 41.&#10;&#10;Age 51.&#10;2021. 46.&#10;2031. 51.&#10;&#10;Age 52.&#10;2021. 42.&#10;2031. 58.&#10;&#10;Age 53.&#10;2021. 37.&#10;2031. 60.&#10;&#10;Age 54.&#10;2021. 38.&#10;2031. 65.&#10;&#10;Age 55.&#10;2021. 47.&#10;2031. 89.&#10;&#10;Age 56.&#10;2021. 45.&#10;2031. 90.&#10;&#10;Age 57.&#10;2021. 70.&#10;2031. 110.&#10;&#10;Age 58.&#10;2021. 73.&#10;2031. 122.&#10;&#10;Age 59.&#10;2021. 73.&#10;2031. 125.&#10;&#10;Age 60.&#10;2021. 76.&#10;2031. 144.&#10;&#10;Age 61.&#10;2021. 78.&#10;2031. 168.&#10;&#10;Age 62.&#10;2021. 97.&#10;2031. 182.&#10;&#10;Age 63.&#10;2021. 111.&#10;2031. 197.&#10;&#10;Age 64.&#10;2021. 120.&#10;2031. 217.&#10;&#10;Age 65.&#10;2021. 130.&#10;2031. 219."/>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4745470" cy="2784693"/>
                    </a:xfrm>
                    <a:prstGeom prst="rect">
                      <a:avLst/>
                    </a:prstGeom>
                    <a:noFill/>
                    <a:ln>
                      <a:noFill/>
                    </a:ln>
                  </pic:spPr>
                </pic:pic>
              </a:graphicData>
            </a:graphic>
          </wp:inline>
        </w:drawing>
      </w:r>
      <w:r>
        <w:t xml:space="preserve"> </w:t>
      </w:r>
    </w:p>
    <w:p w14:paraId="4AEC6136" w14:textId="2A4F9065" w:rsidR="00E30167" w:rsidRDefault="00E30167" w:rsidP="00A52191">
      <w:pPr>
        <w:pStyle w:val="AppendixSubheading"/>
      </w:pPr>
      <w:bookmarkStart w:id="354" w:name="_Ref83553792"/>
      <w:bookmarkStart w:id="355" w:name="_Toc87700514"/>
      <w:bookmarkStart w:id="356" w:name="_Toc88686166"/>
      <w:r>
        <w:t>SIL status does not follow participants</w:t>
      </w:r>
      <w:bookmarkEnd w:id="354"/>
      <w:bookmarkEnd w:id="355"/>
      <w:bookmarkEnd w:id="356"/>
    </w:p>
    <w:p w14:paraId="695A25FD" w14:textId="713AB3F5" w:rsidR="00E30167" w:rsidRDefault="00E30167" w:rsidP="00E30167">
      <w:r>
        <w:t>As with payment size, SIL usage rates do not follow participants, rather a rate is applied for each disability, severity and age combination. Rates are then assumed to largely remain flat over the next 9 years – this compares to a 16% increase in rates assumed in the December 2020 interim review, a marked slowdown.</w:t>
      </w:r>
    </w:p>
    <w:p w14:paraId="42703ECA" w14:textId="77777777" w:rsidR="00E30167" w:rsidRDefault="00E30167" w:rsidP="00E30167">
      <w:r>
        <w:t>Since the assumptions are tied to modelling cells rather than people, trends have the potential to be separate to natural development; some groups may be over, others under. To illustrate one of the more extreme examples, the assumed rates and forecast numbers for the highest severity group for ‘Other Neurological’ group is shown below.</w:t>
      </w:r>
    </w:p>
    <w:p w14:paraId="6725AA17" w14:textId="6A7E309B" w:rsidR="00E30167" w:rsidRDefault="00E30167" w:rsidP="00E30167">
      <w:pPr>
        <w:pStyle w:val="Caption"/>
      </w:pPr>
      <w:r>
        <w:t xml:space="preserve">Figure </w:t>
      </w:r>
      <w:r w:rsidR="009366CE">
        <w:fldChar w:fldCharType="begin"/>
      </w:r>
      <w:r w:rsidR="009366CE">
        <w:instrText xml:space="preserve"> STYLEREF </w:instrText>
      </w:r>
      <w:r w:rsidR="003B6D26">
        <w:instrText>5</w:instrText>
      </w:r>
      <w:r w:rsidR="009366CE">
        <w:instrText xml:space="preserve"> \s </w:instrText>
      </w:r>
      <w:r w:rsidR="009366CE">
        <w:fldChar w:fldCharType="separate"/>
      </w:r>
      <w:r w:rsidR="00E6217F">
        <w:rPr>
          <w:noProof/>
        </w:rPr>
        <w:t>B</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5</w:t>
      </w:r>
      <w:r w:rsidR="009366CE">
        <w:fldChar w:fldCharType="end"/>
      </w:r>
      <w:r>
        <w:t xml:space="preserve"> – Proportion of people assumed to be in SIL, for most severe Other Neurological group</w:t>
      </w:r>
    </w:p>
    <w:p w14:paraId="2AFB24F9" w14:textId="77777777" w:rsidR="00E30167" w:rsidRDefault="00E30167" w:rsidP="00E30167">
      <w:r w:rsidRPr="00483D0A">
        <w:rPr>
          <w:noProof/>
        </w:rPr>
        <w:drawing>
          <wp:inline distT="0" distB="0" distL="0" distR="0" wp14:anchorId="3F6C8890" wp14:editId="37318A6B">
            <wp:extent cx="5555615" cy="2156460"/>
            <wp:effectExtent l="0" t="0" r="6985" b="0"/>
            <wp:docPr id="73" name="Picture 73" descr="Assumed rate of SIL within group&#10;Age. 0 to 6. % in SIL. 0.0%.&#10;&#10;Age. 7 to 14. % in SIL. 0.4%.&#10;&#10;Age. 15 to 18. % in SIL. 1.7%.&#10;&#10;Age. 19 to 24. % in SIL. 6.2%.&#10;&#10;Age. 25 to 34. % in SIL. 12.3%.&#10;&#10;Age. 35 to 44. % in SIL. 14.1%.&#10;&#10;Age. 45 to 54. % in SIL. 12.1%.&#10;&#10;Age. 55 to 64. % in SIL. 7.7%.&#10;&#10;Age. 65+. % in SIL. 4.6%.&#10;&#10;Current &amp; projected number of people&#10;&#10;&#10;Age. 0 to 6. &#10;Current people accessing SIL. 2021. 0.&#10;Project number of people accessing SIL. 2031. 0.&#10;&#10;Age. 7 to 14. &#10;2021 1.&#10;2031. 2.&#10;&#10;Age. 15 to 18.&#10;2021 4.&#10;2031. 3.&#10;&#10;Age. 19 to 24. &#10;2021 27.&#10;2031. 24.&#10;&#10;Age. 25 to 34.&#10;2021 74.&#10;2031. 94.&#10;&#10;Age. 35 to 44.&#10;2021 109.&#10;2031. 101.&#10;&#10;Age. 45 to 54.&#10;2021 180.&#10;2031. 143.&#10;&#10;Age. 55 to 64. &#10;2021 302.&#10;2031. 235.&#10;&#10;Age. 65+. &#10;2021 84.&#10;2031.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ssumed rate of SIL within group&#10;Age. 0 to 6. % in SIL. 0.0%.&#10;&#10;Age. 7 to 14. % in SIL. 0.4%.&#10;&#10;Age. 15 to 18. % in SIL. 1.7%.&#10;&#10;Age. 19 to 24. % in SIL. 6.2%.&#10;&#10;Age. 25 to 34. % in SIL. 12.3%.&#10;&#10;Age. 35 to 44. % in SIL. 14.1%.&#10;&#10;Age. 45 to 54. % in SIL. 12.1%.&#10;&#10;Age. 55 to 64. % in SIL. 7.7%.&#10;&#10;Age. 65+. % in SIL. 4.6%.&#10;&#10;Current &amp; projected number of people&#10;&#10;&#10;Age. 0 to 6. &#10;Current people accessing SIL. 2021. 0.&#10;Project number of people accessing SIL. 2031. 0.&#10;&#10;Age. 7 to 14. &#10;2021 1.&#10;2031. 2.&#10;&#10;Age. 15 to 18.&#10;2021 4.&#10;2031. 3.&#10;&#10;Age. 19 to 24. &#10;2021 27.&#10;2031. 24.&#10;&#10;Age. 25 to 34.&#10;2021 74.&#10;2031. 94.&#10;&#10;Age. 35 to 44.&#10;2021 109.&#10;2031. 101.&#10;&#10;Age. 45 to 54.&#10;2021 180.&#10;2031. 143.&#10;&#10;Age. 55 to 64. &#10;2021 302.&#10;2031. 235.&#10;&#10;Age. 65+. &#10;2021 84.&#10;2031. 146."/>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5555615" cy="2156460"/>
                    </a:xfrm>
                    <a:prstGeom prst="rect">
                      <a:avLst/>
                    </a:prstGeom>
                    <a:noFill/>
                    <a:ln>
                      <a:noFill/>
                    </a:ln>
                  </pic:spPr>
                </pic:pic>
              </a:graphicData>
            </a:graphic>
          </wp:inline>
        </w:drawing>
      </w:r>
    </w:p>
    <w:p w14:paraId="7FC63E84" w14:textId="4A90F9ED" w:rsidR="00E30167" w:rsidRDefault="00E30167" w:rsidP="00E30167">
      <w:r>
        <w:t xml:space="preserve">We estimate that about 300 of 4,000 people in the 55-64 age group are in SIL. In 10 years’ time (2031), the model projects that most of this group will have aged into the 65+ group (some will have died or left the </w:t>
      </w:r>
      <w:r w:rsidR="00232FFF">
        <w:t>Scheme</w:t>
      </w:r>
      <w:r>
        <w:t>), but only 145 people are projected to be in SIL. This assumes a large exit rate from SIL for the group over time, which is potentially unrealistic. Conversely</w:t>
      </w:r>
      <w:r w:rsidR="00235E8A">
        <w:t>,</w:t>
      </w:r>
      <w:r>
        <w:t xml:space="preserve"> the model forecasts fewer people aged under 65 to be in SIL in 10 years’ time.</w:t>
      </w:r>
    </w:p>
    <w:p w14:paraId="604D50F0" w14:textId="09FCF016" w:rsidR="003B6D26" w:rsidRDefault="00E30167" w:rsidP="00636FA6">
      <w:pPr>
        <w:rPr>
          <w:rFonts w:asciiTheme="majorHAnsi" w:eastAsiaTheme="majorEastAsia" w:hAnsiTheme="majorHAnsi" w:cstheme="majorBidi"/>
          <w:noProof/>
          <w:color w:val="006EC8" w:themeColor="accent1"/>
          <w:sz w:val="28"/>
          <w:szCs w:val="28"/>
        </w:rPr>
      </w:pPr>
      <w:r>
        <w:t xml:space="preserve">Alternative models that model transitions into, and out of, SIL, may yield substantially different estimates. </w:t>
      </w:r>
      <w:r w:rsidR="003B6D26">
        <w:br w:type="page"/>
      </w:r>
    </w:p>
    <w:p w14:paraId="4600D04B" w14:textId="5331D093" w:rsidR="00E30167" w:rsidRDefault="00E30167" w:rsidP="00A52191">
      <w:pPr>
        <w:pStyle w:val="AppendixSubheading"/>
      </w:pPr>
      <w:bookmarkStart w:id="357" w:name="_Toc87700515"/>
      <w:bookmarkStart w:id="358" w:name="_Toc88686167"/>
      <w:r>
        <w:t>Large variation in costs within modelled groups</w:t>
      </w:r>
      <w:bookmarkEnd w:id="357"/>
      <w:bookmarkEnd w:id="358"/>
    </w:p>
    <w:p w14:paraId="2843A3A4" w14:textId="77777777" w:rsidR="00E30167" w:rsidRDefault="00E30167" w:rsidP="00E30167">
      <w:r>
        <w:t xml:space="preserve">Part of the purpose of segmentation in an actuarial model is to group together cohorts that have similar payment characteristics and will see similar trends over time. </w:t>
      </w:r>
    </w:p>
    <w:p w14:paraId="45E98E9D" w14:textId="77777777" w:rsidR="00E30167" w:rsidRDefault="00E30167" w:rsidP="00E30167">
      <w:r>
        <w:t>This is challenging for the NDIS population, since:</w:t>
      </w:r>
    </w:p>
    <w:p w14:paraId="2C10F42E" w14:textId="77777777" w:rsidR="00E30167" w:rsidRPr="00577F6A" w:rsidRDefault="00E30167" w:rsidP="00E30167">
      <w:pPr>
        <w:pStyle w:val="Bullet1"/>
      </w:pPr>
      <w:r>
        <w:t>The concept of individualised plans means that packages are not standardised. Other factors such as informal supports and access to mainstream services will affect packages.</w:t>
      </w:r>
    </w:p>
    <w:p w14:paraId="217445B4" w14:textId="77777777" w:rsidR="00E30167" w:rsidRPr="00577F6A" w:rsidRDefault="00E30167" w:rsidP="00E30167">
      <w:pPr>
        <w:pStyle w:val="Bullet1"/>
      </w:pPr>
      <w:r>
        <w:t xml:space="preserve">Costs vary significantly year-to-year at an individual level, reflecting specific spending on items such as assistive technology or other capital spending. </w:t>
      </w:r>
    </w:p>
    <w:p w14:paraId="04A2DEB0" w14:textId="4B977554" w:rsidR="00E30167" w:rsidRDefault="00E30167" w:rsidP="00E30167">
      <w:r>
        <w:t xml:space="preserve">To illustrate the variability, </w:t>
      </w:r>
      <w:r>
        <w:fldChar w:fldCharType="begin"/>
      </w:r>
      <w:r>
        <w:instrText xml:space="preserve"> REF _Ref83235140 \h </w:instrText>
      </w:r>
      <w:r>
        <w:fldChar w:fldCharType="separate"/>
      </w:r>
      <w:r w:rsidR="00E6217F">
        <w:t xml:space="preserve">Figure </w:t>
      </w:r>
      <w:r w:rsidR="00E6217F">
        <w:rPr>
          <w:noProof/>
        </w:rPr>
        <w:t>B</w:t>
      </w:r>
      <w:r w:rsidR="00E6217F">
        <w:t>.</w:t>
      </w:r>
      <w:r w:rsidR="00E6217F">
        <w:rPr>
          <w:noProof/>
        </w:rPr>
        <w:t>6</w:t>
      </w:r>
      <w:r>
        <w:fldChar w:fldCharType="end"/>
      </w:r>
      <w:r>
        <w:t>, shows the variation in 2020-21 daily activity payments for one specific group.</w:t>
      </w:r>
      <w:r w:rsidRPr="00577F6A">
        <w:t xml:space="preserve"> </w:t>
      </w:r>
      <w:r>
        <w:t xml:space="preserve">This is based on participants who entered the </w:t>
      </w:r>
      <w:r w:rsidR="00232FFF">
        <w:t>Scheme</w:t>
      </w:r>
      <w:r>
        <w:t xml:space="preserve"> prior </w:t>
      </w:r>
      <w:r w:rsidR="00235E8A">
        <w:t xml:space="preserve">to </w:t>
      </w:r>
      <w:r>
        <w:t xml:space="preserve">1 January 2020 and who were active as at 30 June 2021. As shown in </w:t>
      </w:r>
      <w:r>
        <w:fldChar w:fldCharType="begin"/>
      </w:r>
      <w:r>
        <w:instrText xml:space="preserve"> REF _Ref83235140 \h </w:instrText>
      </w:r>
      <w:r>
        <w:fldChar w:fldCharType="separate"/>
      </w:r>
      <w:r w:rsidR="00E6217F">
        <w:t xml:space="preserve">Figure </w:t>
      </w:r>
      <w:r w:rsidR="00E6217F">
        <w:rPr>
          <w:noProof/>
        </w:rPr>
        <w:t>B</w:t>
      </w:r>
      <w:r w:rsidR="00E6217F">
        <w:t>.</w:t>
      </w:r>
      <w:r w:rsidR="00E6217F">
        <w:rPr>
          <w:noProof/>
        </w:rPr>
        <w:t>6</w:t>
      </w:r>
      <w:r>
        <w:fldChar w:fldCharType="end"/>
      </w:r>
      <w:r>
        <w:t xml:space="preserve">, there is a wide range of supports even for people with the same disability and age profile, including more than 10% </w:t>
      </w:r>
      <w:r w:rsidR="00235E8A">
        <w:t xml:space="preserve">who did </w:t>
      </w:r>
      <w:r>
        <w:t>not receiv</w:t>
      </w:r>
      <w:r w:rsidR="00235E8A">
        <w:t>e</w:t>
      </w:r>
      <w:r>
        <w:t xml:space="preserve"> any funded Daily Activity supports, while others received more than $</w:t>
      </w:r>
      <w:r w:rsidR="00235E8A">
        <w:t>850K</w:t>
      </w:r>
      <w:r>
        <w:t>.</w:t>
      </w:r>
    </w:p>
    <w:p w14:paraId="7745C6AC" w14:textId="5494D745" w:rsidR="00E30167" w:rsidRDefault="00E30167" w:rsidP="00E30167">
      <w:pPr>
        <w:pStyle w:val="Caption"/>
      </w:pPr>
      <w:bookmarkStart w:id="359" w:name="_Ref83235140"/>
      <w:r>
        <w:t xml:space="preserve">Figure </w:t>
      </w:r>
      <w:r w:rsidR="009366CE">
        <w:fldChar w:fldCharType="begin"/>
      </w:r>
      <w:r w:rsidR="009366CE">
        <w:instrText xml:space="preserve"> STYLEREF </w:instrText>
      </w:r>
      <w:r w:rsidR="003B6D26">
        <w:instrText>5</w:instrText>
      </w:r>
      <w:r w:rsidR="009366CE">
        <w:instrText xml:space="preserve"> \s </w:instrText>
      </w:r>
      <w:r w:rsidR="009366CE">
        <w:fldChar w:fldCharType="separate"/>
      </w:r>
      <w:r w:rsidR="00E6217F">
        <w:rPr>
          <w:noProof/>
        </w:rPr>
        <w:t>B</w:t>
      </w:r>
      <w:r w:rsidR="009366CE">
        <w:fldChar w:fldCharType="end"/>
      </w:r>
      <w:r w:rsidR="009366CE">
        <w:t>.</w:t>
      </w:r>
      <w:r w:rsidR="009366CE">
        <w:fldChar w:fldCharType="begin"/>
      </w:r>
      <w:r w:rsidR="009366CE">
        <w:instrText xml:space="preserve"> SEQ Figure \* ARABIC \s 1 </w:instrText>
      </w:r>
      <w:r w:rsidR="009366CE">
        <w:fldChar w:fldCharType="separate"/>
      </w:r>
      <w:r w:rsidR="00E6217F">
        <w:rPr>
          <w:noProof/>
        </w:rPr>
        <w:t>6</w:t>
      </w:r>
      <w:r w:rsidR="009366CE">
        <w:fldChar w:fldCharType="end"/>
      </w:r>
      <w:bookmarkEnd w:id="359"/>
      <w:r>
        <w:t xml:space="preserve"> – Variation in Daily Activity payments for participants with a Level 4 Intellectual Disability aged 35-44 who are not in SIL</w:t>
      </w:r>
    </w:p>
    <w:p w14:paraId="4AE3B24A" w14:textId="77777777" w:rsidR="00E30167" w:rsidRDefault="00E30167" w:rsidP="00E30167">
      <w:r>
        <w:rPr>
          <w:noProof/>
        </w:rPr>
        <w:drawing>
          <wp:inline distT="0" distB="0" distL="0" distR="0" wp14:anchorId="796D31FB" wp14:editId="1C097CFD">
            <wp:extent cx="5514975" cy="3314700"/>
            <wp:effectExtent l="0" t="0" r="9525" b="0"/>
            <wp:docPr id="43" name="Graphic 43" descr="Decile. 1.&#10;Average cost in 2020-21. 0. &#10;Average plan budget in 2020-21. 24,426. &#10;Assumed average cost. 52,832.&#10;&#10;Decile. 2.&#10;Average cost in 2020-21. 673. &#10;Average plan budget in 2020-21. 27,765. &#10;Assumed average cost. 52,832.&#10;&#10;Decile. 3.&#10;Average cost in 2020-21. 3,561. &#10;Average plan budget in 2020-21. 30,535. &#10;Assumed average cost. 52,832.&#10;&#10;Decile. 4.&#10;Average cost in 2020-21. 9,476. &#10;Average plan budget in 2020-21. 34,460. &#10;Assumed average cost. 52,832.&#10;&#10;Decile. 5.&#10;Average cost in 2020-21. 18,530. &#10;Average plan budget in 2020-21. 38,899. &#10;Assumed average cost. 52,832.&#10;&#10;Decile. 6.&#10;Average cost in 2020-21. 29,343. &#10;Average plan budget in 2020-21. 50,454. &#10;Assumed average cost. 52,832.&#10;&#10;Decile. 7.&#10;Average cost in 2020-21. 43,671. &#10;Average plan budget in 2020-21. 60,214. &#10;Assumed average cost. 52,832.&#10;&#10;Decile. 8.&#10;Average cost in 2020-21. 64,826. &#10;Average plan budget in 2020-21. 75,413. &#10;Assumed average cost. 52,832.&#10;&#10;Decile. 9.&#10;Average cost in 2020-21. 106,774. &#10;Average plan budget in 2020-21. 106,774. &#10;Assumed average cost. 52,832.&#10;&#10;Decile. 10.&#10;Average cost in 2020-21. 250,813. &#10;Average plan budget in 2020-21. 250,813. &#10;Assumed average cost. 5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phic 43" descr="Decile. 1.&#10;Average cost in 2020-21. 0. &#10;Average plan budget in 2020-21. 24,426. &#10;Assumed average cost. 52,832.&#10;&#10;Decile. 2.&#10;Average cost in 2020-21. 673. &#10;Average plan budget in 2020-21. 27,765. &#10;Assumed average cost. 52,832.&#10;&#10;Decile. 3.&#10;Average cost in 2020-21. 3,561. &#10;Average plan budget in 2020-21. 30,535. &#10;Assumed average cost. 52,832.&#10;&#10;Decile. 4.&#10;Average cost in 2020-21. 9,476. &#10;Average plan budget in 2020-21. 34,460. &#10;Assumed average cost. 52,832.&#10;&#10;Decile. 5.&#10;Average cost in 2020-21. 18,530. &#10;Average plan budget in 2020-21. 38,899. &#10;Assumed average cost. 52,832.&#10;&#10;Decile. 6.&#10;Average cost in 2020-21. 29,343. &#10;Average plan budget in 2020-21. 50,454. &#10;Assumed average cost. 52,832.&#10;&#10;Decile. 7.&#10;Average cost in 2020-21. 43,671. &#10;Average plan budget in 2020-21. 60,214. &#10;Assumed average cost. 52,832.&#10;&#10;Decile. 8.&#10;Average cost in 2020-21. 64,826. &#10;Average plan budget in 2020-21. 75,413. &#10;Assumed average cost. 52,832.&#10;&#10;Decile. 9.&#10;Average cost in 2020-21. 106,774. &#10;Average plan budget in 2020-21. 106,774. &#10;Assumed average cost. 52,832.&#10;&#10;Decile. 10.&#10;Average cost in 2020-21. 250,813. &#10;Average plan budget in 2020-21. 250,813. &#10;Assumed average cost. 52,832."/>
                    <pic:cNvPicPr/>
                  </pic:nvPicPr>
                  <pic:blipFill>
                    <a:blip r:embed="rId143">
                      <a:extLst>
                        <a:ext uri="{96DAC541-7B7A-43D3-8B79-37D633B846F1}">
                          <asvg:svgBlip xmlns:asvg="http://schemas.microsoft.com/office/drawing/2016/SVG/main" r:embed="rId144"/>
                        </a:ext>
                      </a:extLst>
                    </a:blip>
                    <a:stretch>
                      <a:fillRect/>
                    </a:stretch>
                  </pic:blipFill>
                  <pic:spPr>
                    <a:xfrm>
                      <a:off x="0" y="0"/>
                      <a:ext cx="5514975" cy="3314700"/>
                    </a:xfrm>
                    <a:prstGeom prst="rect">
                      <a:avLst/>
                    </a:prstGeom>
                  </pic:spPr>
                </pic:pic>
              </a:graphicData>
            </a:graphic>
          </wp:inline>
        </w:drawing>
      </w:r>
    </w:p>
    <w:p w14:paraId="1C3B99D3" w14:textId="77777777" w:rsidR="00E30167" w:rsidRPr="005060EF" w:rsidRDefault="00E30167" w:rsidP="00E30167">
      <w:pPr>
        <w:pStyle w:val="Tablenotesorsource"/>
      </w:pPr>
      <w:r w:rsidRPr="005060EF">
        <w:t>Note: Data quality issues related to SIL status may mean</w:t>
      </w:r>
      <w:r>
        <w:t xml:space="preserve"> the</w:t>
      </w:r>
      <w:r w:rsidRPr="005060EF">
        <w:t xml:space="preserve"> figure includes some people who receive some SIL support over the year. The broad conclusion around variability remains.</w:t>
      </w:r>
    </w:p>
    <w:p w14:paraId="3588FE6F" w14:textId="77777777" w:rsidR="00E30167" w:rsidRDefault="00E30167" w:rsidP="00E30167">
      <w:r>
        <w:t>This level of variability makes setting assumptions more difficult, since there will be different cost drivers at each part of the cost spectrum. The chart also highlights that high-cost participants are using most, if not all, of their plan budgets. In contrast, people in the lowest four deciles are each spending about $25K less than their plans permit, and</w:t>
      </w:r>
      <w:r w:rsidRPr="00B8288B">
        <w:t xml:space="preserve"> </w:t>
      </w:r>
      <w:r>
        <w:t>therefore they have significant scope for higher utilisation in the future.</w:t>
      </w:r>
    </w:p>
    <w:p w14:paraId="30563415" w14:textId="77777777" w:rsidR="003B6D26" w:rsidRDefault="003B6D26">
      <w:pPr>
        <w:spacing w:before="0" w:after="160" w:line="259" w:lineRule="auto"/>
        <w:rPr>
          <w:rFonts w:asciiTheme="majorHAnsi" w:eastAsiaTheme="majorEastAsia" w:hAnsiTheme="majorHAnsi" w:cstheme="majorBidi"/>
          <w:noProof/>
          <w:color w:val="006EC8" w:themeColor="accent1"/>
          <w:sz w:val="28"/>
          <w:szCs w:val="28"/>
        </w:rPr>
      </w:pPr>
      <w:r>
        <w:br w:type="page"/>
      </w:r>
    </w:p>
    <w:p w14:paraId="6395A670" w14:textId="4A5D2B3A" w:rsidR="00E30167" w:rsidRDefault="00E30167" w:rsidP="00A52191">
      <w:pPr>
        <w:pStyle w:val="AppendixSubheading"/>
      </w:pPr>
      <w:bookmarkStart w:id="360" w:name="_Toc87700516"/>
      <w:bookmarkStart w:id="361" w:name="_Toc88686168"/>
      <w:r>
        <w:t>No link between TSPs, plan and payments</w:t>
      </w:r>
      <w:bookmarkEnd w:id="360"/>
      <w:bookmarkEnd w:id="361"/>
    </w:p>
    <w:p w14:paraId="7F1F06C7" w14:textId="16AA7F30" w:rsidR="00E30167" w:rsidRDefault="00E30167" w:rsidP="00E30167">
      <w:r>
        <w:t>In most AFSR models both payments and committed supports are estimated and projected separately, with subsequent checks on implied utilisation trends. In 2021 committed supports are not projected.</w:t>
      </w:r>
    </w:p>
    <w:p w14:paraId="6453F64E" w14:textId="52780792" w:rsidR="00E30167" w:rsidRDefault="00737192" w:rsidP="00E30167">
      <w:r>
        <w:t xml:space="preserve">We </w:t>
      </w:r>
      <w:r w:rsidR="00E30167">
        <w:t>believe this is a reasonable approach since it allows more direct focus on payments, however,</w:t>
      </w:r>
      <w:r w:rsidR="008F0C56">
        <w:t xml:space="preserve"> it does mean that</w:t>
      </w:r>
      <w:r w:rsidR="00E30167">
        <w:t xml:space="preserve"> policy interventions that apply at a package planning level will not directly flow into spending projections. While there could be benefits in having the model incorporate committed support information, during a period where plan and utilisation rates are changing rapidly their inclusion may not end up improving the accuracy of projections and could add complexity by having more assumptions. Nonetheless, monitoring committed support and utilisation trends are important in understanding </w:t>
      </w:r>
      <w:r w:rsidR="00232FFF">
        <w:t>Scheme</w:t>
      </w:r>
      <w:r w:rsidR="00E30167">
        <w:t xml:space="preserve"> experience, and should experience start to stabilise then changes in these factors will become good predictors of changes in future payments.</w:t>
      </w:r>
    </w:p>
    <w:p w14:paraId="29A36597" w14:textId="5A58C0D4" w:rsidR="0028350E" w:rsidRDefault="00E30167" w:rsidP="00B47BE3">
      <w:pPr>
        <w:spacing w:before="0" w:after="160" w:line="259" w:lineRule="auto"/>
      </w:pPr>
      <w:r>
        <w:t xml:space="preserve"> </w:t>
      </w:r>
    </w:p>
    <w:p w14:paraId="7C7D0CD2" w14:textId="77777777" w:rsidR="0028350E" w:rsidRDefault="0028350E" w:rsidP="0028350E">
      <w:pPr>
        <w:sectPr w:rsidR="0028350E" w:rsidSect="00436B04">
          <w:headerReference w:type="even" r:id="rId145"/>
          <w:headerReference w:type="default" r:id="rId146"/>
          <w:footerReference w:type="default" r:id="rId147"/>
          <w:headerReference w:type="first" r:id="rId148"/>
          <w:pgSz w:w="11906" w:h="16838" w:code="9"/>
          <w:pgMar w:top="1418" w:right="1247" w:bottom="1418" w:left="1247" w:header="709" w:footer="454" w:gutter="0"/>
          <w:cols w:space="708"/>
          <w:docGrid w:linePitch="360"/>
        </w:sectPr>
      </w:pPr>
    </w:p>
    <w:p w14:paraId="6461D29E" w14:textId="77777777" w:rsidR="0028350E" w:rsidRDefault="0028350E" w:rsidP="00A52191">
      <w:pPr>
        <w:pStyle w:val="AppendixTitle"/>
      </w:pPr>
      <w:bookmarkStart w:id="362" w:name="_Toc87700517"/>
      <w:bookmarkStart w:id="363" w:name="_Toc88686169"/>
      <w:r>
        <w:t>Further results from steady state analysis</w:t>
      </w:r>
      <w:bookmarkEnd w:id="362"/>
      <w:bookmarkEnd w:id="363"/>
    </w:p>
    <w:p w14:paraId="17D9DAD5" w14:textId="77777777" w:rsidR="0028350E" w:rsidRDefault="0028350E" w:rsidP="00A52191">
      <w:pPr>
        <w:pStyle w:val="AppendixH3"/>
      </w:pPr>
      <w:r w:rsidRPr="009E1993">
        <w:t>Flows of participant numbers in and out of disability types, for participants aged 0-6</w:t>
      </w:r>
    </w:p>
    <w:tbl>
      <w:tblPr>
        <w:tblW w:w="14547" w:type="dxa"/>
        <w:tblInd w:w="108" w:type="dxa"/>
        <w:tblLook w:val="04A0" w:firstRow="1" w:lastRow="0" w:firstColumn="1" w:lastColumn="0" w:noHBand="0" w:noVBand="1"/>
      </w:tblPr>
      <w:tblGrid>
        <w:gridCol w:w="1985"/>
        <w:gridCol w:w="884"/>
        <w:gridCol w:w="1026"/>
        <w:gridCol w:w="851"/>
        <w:gridCol w:w="992"/>
        <w:gridCol w:w="850"/>
        <w:gridCol w:w="1051"/>
        <w:gridCol w:w="869"/>
        <w:gridCol w:w="708"/>
        <w:gridCol w:w="1011"/>
        <w:gridCol w:w="973"/>
        <w:gridCol w:w="1354"/>
        <w:gridCol w:w="1001"/>
        <w:gridCol w:w="992"/>
      </w:tblGrid>
      <w:tr w:rsidR="0028350E" w:rsidRPr="007364B1" w14:paraId="2411B3B5"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1BACD248"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500BD0C6"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1026" w:type="dxa"/>
            <w:tcBorders>
              <w:top w:val="single" w:sz="4" w:space="0" w:color="auto"/>
              <w:left w:val="nil"/>
              <w:bottom w:val="single" w:sz="4" w:space="0" w:color="auto"/>
              <w:right w:val="nil"/>
            </w:tcBorders>
            <w:shd w:val="clear" w:color="auto" w:fill="auto"/>
            <w:vAlign w:val="bottom"/>
            <w:hideMark/>
          </w:tcPr>
          <w:p w14:paraId="705513BE"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0AE35BBC"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4F42EA93"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552DFAD8" w14:textId="07E38C44"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w:t>
            </w:r>
            <w:r w:rsidR="00ED2FC8" w:rsidRPr="007364B1">
              <w:rPr>
                <w:rFonts w:ascii="Blanco" w:eastAsia="Times New Roman" w:hAnsi="Blanco" w:cs="Times New Roman"/>
                <w:b/>
                <w:bCs/>
                <w:color w:val="231F20"/>
                <w:sz w:val="18"/>
                <w:szCs w:val="18"/>
                <w:lang w:val="en-AU" w:eastAsia="en-AU"/>
              </w:rPr>
              <w:t>4-year</w:t>
            </w:r>
            <w:r w:rsidRPr="007364B1">
              <w:rPr>
                <w:rFonts w:ascii="Blanco" w:eastAsia="Times New Roman" w:hAnsi="Blanco" w:cs="Times New Roman"/>
                <w:b/>
                <w:bCs/>
                <w:color w:val="231F20"/>
                <w:sz w:val="18"/>
                <w:szCs w:val="18"/>
                <w:lang w:val="en-AU" w:eastAsia="en-AU"/>
              </w:rPr>
              <w:t xml:space="preserve"> proj avg)</w:t>
            </w:r>
          </w:p>
        </w:tc>
        <w:tc>
          <w:tcPr>
            <w:tcW w:w="1051" w:type="dxa"/>
            <w:tcBorders>
              <w:top w:val="single" w:sz="4" w:space="0" w:color="auto"/>
              <w:left w:val="nil"/>
              <w:bottom w:val="single" w:sz="4" w:space="0" w:color="auto"/>
              <w:right w:val="nil"/>
            </w:tcBorders>
            <w:shd w:val="clear" w:color="auto" w:fill="auto"/>
            <w:vAlign w:val="bottom"/>
            <w:hideMark/>
          </w:tcPr>
          <w:p w14:paraId="5FFD0A75"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09870A1E"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08" w:type="dxa"/>
            <w:tcBorders>
              <w:top w:val="single" w:sz="4" w:space="0" w:color="auto"/>
              <w:left w:val="nil"/>
              <w:bottom w:val="single" w:sz="4" w:space="0" w:color="auto"/>
              <w:right w:val="nil"/>
            </w:tcBorders>
            <w:shd w:val="clear" w:color="auto" w:fill="auto"/>
            <w:vAlign w:val="bottom"/>
            <w:hideMark/>
          </w:tcPr>
          <w:p w14:paraId="1C9BCBAF" w14:textId="16A5E352"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w:t>
            </w:r>
            <w:r w:rsidR="00ED2FC8" w:rsidRPr="007364B1">
              <w:rPr>
                <w:rFonts w:ascii="Blanco" w:eastAsia="Times New Roman" w:hAnsi="Blanco" w:cs="Times New Roman"/>
                <w:b/>
                <w:bCs/>
                <w:color w:val="231F20"/>
                <w:sz w:val="18"/>
                <w:szCs w:val="18"/>
                <w:lang w:val="en-AU" w:eastAsia="en-AU"/>
              </w:rPr>
              <w:t>4-year</w:t>
            </w:r>
            <w:r w:rsidRPr="007364B1">
              <w:rPr>
                <w:rFonts w:ascii="Blanco" w:eastAsia="Times New Roman" w:hAnsi="Blanco" w:cs="Times New Roman"/>
                <w:b/>
                <w:bCs/>
                <w:color w:val="231F20"/>
                <w:sz w:val="18"/>
                <w:szCs w:val="18"/>
                <w:lang w:val="en-AU" w:eastAsia="en-AU"/>
              </w:rPr>
              <w:t xml:space="preserve"> proj)</w:t>
            </w:r>
          </w:p>
        </w:tc>
        <w:tc>
          <w:tcPr>
            <w:tcW w:w="1011" w:type="dxa"/>
            <w:tcBorders>
              <w:top w:val="single" w:sz="4" w:space="0" w:color="auto"/>
              <w:left w:val="nil"/>
              <w:bottom w:val="single" w:sz="4" w:space="0" w:color="auto"/>
              <w:right w:val="nil"/>
            </w:tcBorders>
            <w:shd w:val="clear" w:color="auto" w:fill="auto"/>
            <w:vAlign w:val="bottom"/>
            <w:hideMark/>
          </w:tcPr>
          <w:p w14:paraId="1FE1C78D"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33B130EF" w14:textId="31DD2C8A" w:rsidR="0028350E" w:rsidRPr="007364B1" w:rsidRDefault="00AA33F9" w:rsidP="002A2ED9">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28350E"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2FAF09F5" w14:textId="642CA5BC" w:rsidR="0028350E" w:rsidRPr="007364B1" w:rsidRDefault="00AA33F9" w:rsidP="002A2ED9">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28350E"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691DBA44"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347FC0BC" w14:textId="77777777" w:rsidR="0028350E" w:rsidRPr="007364B1" w:rsidRDefault="0028350E" w:rsidP="002A2ED9">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7B7500C9" w14:textId="77777777" w:rsidTr="00AA33F9">
        <w:trPr>
          <w:trHeight w:val="360"/>
        </w:trPr>
        <w:tc>
          <w:tcPr>
            <w:tcW w:w="1985" w:type="dxa"/>
            <w:tcBorders>
              <w:top w:val="nil"/>
              <w:left w:val="nil"/>
              <w:bottom w:val="nil"/>
              <w:right w:val="nil"/>
            </w:tcBorders>
            <w:shd w:val="clear" w:color="auto" w:fill="auto"/>
            <w:noWrap/>
            <w:vAlign w:val="bottom"/>
            <w:hideMark/>
          </w:tcPr>
          <w:p w14:paraId="5627DE3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5284344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135</w:t>
            </w:r>
          </w:p>
        </w:tc>
        <w:tc>
          <w:tcPr>
            <w:tcW w:w="1026" w:type="dxa"/>
            <w:tcBorders>
              <w:top w:val="nil"/>
              <w:left w:val="nil"/>
              <w:bottom w:val="nil"/>
              <w:right w:val="nil"/>
            </w:tcBorders>
            <w:shd w:val="clear" w:color="auto" w:fill="auto"/>
            <w:noWrap/>
            <w:vAlign w:val="center"/>
            <w:hideMark/>
          </w:tcPr>
          <w:p w14:paraId="34D5606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98</w:t>
            </w:r>
          </w:p>
        </w:tc>
        <w:tc>
          <w:tcPr>
            <w:tcW w:w="851" w:type="dxa"/>
            <w:tcBorders>
              <w:top w:val="nil"/>
              <w:left w:val="nil"/>
              <w:bottom w:val="nil"/>
              <w:right w:val="nil"/>
            </w:tcBorders>
            <w:shd w:val="clear" w:color="000000" w:fill="FCFCFF"/>
            <w:noWrap/>
            <w:vAlign w:val="center"/>
            <w:hideMark/>
          </w:tcPr>
          <w:p w14:paraId="78E0317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-27%</w:t>
            </w:r>
          </w:p>
        </w:tc>
        <w:tc>
          <w:tcPr>
            <w:tcW w:w="992" w:type="dxa"/>
            <w:tcBorders>
              <w:top w:val="nil"/>
              <w:left w:val="nil"/>
              <w:bottom w:val="nil"/>
              <w:right w:val="nil"/>
            </w:tcBorders>
            <w:shd w:val="clear" w:color="auto" w:fill="auto"/>
            <w:noWrap/>
            <w:vAlign w:val="center"/>
            <w:hideMark/>
          </w:tcPr>
          <w:p w14:paraId="4BD7CC6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88</w:t>
            </w:r>
          </w:p>
        </w:tc>
        <w:tc>
          <w:tcPr>
            <w:tcW w:w="850" w:type="dxa"/>
            <w:tcBorders>
              <w:top w:val="nil"/>
              <w:left w:val="nil"/>
              <w:bottom w:val="nil"/>
              <w:right w:val="nil"/>
            </w:tcBorders>
            <w:shd w:val="clear" w:color="auto" w:fill="auto"/>
            <w:noWrap/>
            <w:vAlign w:val="center"/>
            <w:hideMark/>
          </w:tcPr>
          <w:p w14:paraId="30CA2BA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33</w:t>
            </w:r>
          </w:p>
        </w:tc>
        <w:tc>
          <w:tcPr>
            <w:tcW w:w="1051" w:type="dxa"/>
            <w:tcBorders>
              <w:top w:val="nil"/>
              <w:left w:val="nil"/>
              <w:bottom w:val="nil"/>
              <w:right w:val="nil"/>
            </w:tcBorders>
            <w:shd w:val="clear" w:color="auto" w:fill="auto"/>
            <w:noWrap/>
            <w:vAlign w:val="center"/>
            <w:hideMark/>
          </w:tcPr>
          <w:p w14:paraId="56FA103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524C162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34</w:t>
            </w:r>
          </w:p>
        </w:tc>
        <w:tc>
          <w:tcPr>
            <w:tcW w:w="708" w:type="dxa"/>
            <w:tcBorders>
              <w:top w:val="nil"/>
              <w:left w:val="nil"/>
              <w:bottom w:val="nil"/>
              <w:right w:val="nil"/>
            </w:tcBorders>
            <w:shd w:val="clear" w:color="auto" w:fill="auto"/>
            <w:noWrap/>
            <w:vAlign w:val="center"/>
            <w:hideMark/>
          </w:tcPr>
          <w:p w14:paraId="4BFB5ED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057140A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4CB3B5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25</w:t>
            </w:r>
          </w:p>
        </w:tc>
        <w:tc>
          <w:tcPr>
            <w:tcW w:w="1354" w:type="dxa"/>
            <w:tcBorders>
              <w:top w:val="nil"/>
              <w:left w:val="nil"/>
              <w:bottom w:val="nil"/>
              <w:right w:val="nil"/>
            </w:tcBorders>
            <w:shd w:val="clear" w:color="auto" w:fill="auto"/>
            <w:noWrap/>
            <w:vAlign w:val="center"/>
            <w:hideMark/>
          </w:tcPr>
          <w:p w14:paraId="63B124B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38</w:t>
            </w:r>
          </w:p>
        </w:tc>
        <w:tc>
          <w:tcPr>
            <w:tcW w:w="1001" w:type="dxa"/>
            <w:tcBorders>
              <w:top w:val="nil"/>
              <w:left w:val="nil"/>
              <w:bottom w:val="nil"/>
              <w:right w:val="nil"/>
            </w:tcBorders>
            <w:shd w:val="clear" w:color="auto" w:fill="auto"/>
            <w:noWrap/>
            <w:vAlign w:val="center"/>
            <w:hideMark/>
          </w:tcPr>
          <w:p w14:paraId="1DD9863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66%</w:t>
            </w:r>
          </w:p>
        </w:tc>
        <w:tc>
          <w:tcPr>
            <w:tcW w:w="992" w:type="dxa"/>
            <w:tcBorders>
              <w:top w:val="nil"/>
              <w:left w:val="nil"/>
              <w:bottom w:val="nil"/>
              <w:right w:val="nil"/>
            </w:tcBorders>
            <w:shd w:val="clear" w:color="000000" w:fill="6F99CD"/>
            <w:noWrap/>
            <w:vAlign w:val="center"/>
            <w:hideMark/>
          </w:tcPr>
          <w:p w14:paraId="3CFE1B9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73%</w:t>
            </w:r>
          </w:p>
        </w:tc>
      </w:tr>
      <w:tr w:rsidR="0028350E" w:rsidRPr="007364B1" w14:paraId="040BC436" w14:textId="77777777" w:rsidTr="00AA33F9">
        <w:trPr>
          <w:trHeight w:val="360"/>
        </w:trPr>
        <w:tc>
          <w:tcPr>
            <w:tcW w:w="1985" w:type="dxa"/>
            <w:tcBorders>
              <w:top w:val="nil"/>
              <w:left w:val="nil"/>
              <w:bottom w:val="nil"/>
              <w:right w:val="nil"/>
            </w:tcBorders>
            <w:shd w:val="clear" w:color="auto" w:fill="auto"/>
            <w:noWrap/>
            <w:vAlign w:val="bottom"/>
            <w:hideMark/>
          </w:tcPr>
          <w:p w14:paraId="52AC212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30815C1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20,788</w:t>
            </w:r>
          </w:p>
        </w:tc>
        <w:tc>
          <w:tcPr>
            <w:tcW w:w="1026" w:type="dxa"/>
            <w:tcBorders>
              <w:top w:val="nil"/>
              <w:left w:val="nil"/>
              <w:bottom w:val="nil"/>
              <w:right w:val="nil"/>
            </w:tcBorders>
            <w:shd w:val="clear" w:color="auto" w:fill="auto"/>
            <w:noWrap/>
            <w:vAlign w:val="center"/>
            <w:hideMark/>
          </w:tcPr>
          <w:p w14:paraId="6DB6C6A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23,752</w:t>
            </w:r>
          </w:p>
        </w:tc>
        <w:tc>
          <w:tcPr>
            <w:tcW w:w="851" w:type="dxa"/>
            <w:tcBorders>
              <w:top w:val="nil"/>
              <w:left w:val="nil"/>
              <w:bottom w:val="nil"/>
              <w:right w:val="nil"/>
            </w:tcBorders>
            <w:shd w:val="clear" w:color="000000" w:fill="FCE8EB"/>
            <w:noWrap/>
            <w:vAlign w:val="center"/>
            <w:hideMark/>
          </w:tcPr>
          <w:p w14:paraId="17EFEEE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+14%</w:t>
            </w:r>
          </w:p>
        </w:tc>
        <w:tc>
          <w:tcPr>
            <w:tcW w:w="992" w:type="dxa"/>
            <w:tcBorders>
              <w:top w:val="nil"/>
              <w:left w:val="nil"/>
              <w:bottom w:val="nil"/>
              <w:right w:val="nil"/>
            </w:tcBorders>
            <w:shd w:val="clear" w:color="auto" w:fill="auto"/>
            <w:noWrap/>
            <w:vAlign w:val="center"/>
            <w:hideMark/>
          </w:tcPr>
          <w:p w14:paraId="6AABEB1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27,216</w:t>
            </w:r>
          </w:p>
        </w:tc>
        <w:tc>
          <w:tcPr>
            <w:tcW w:w="850" w:type="dxa"/>
            <w:tcBorders>
              <w:top w:val="nil"/>
              <w:left w:val="nil"/>
              <w:bottom w:val="nil"/>
              <w:right w:val="nil"/>
            </w:tcBorders>
            <w:shd w:val="clear" w:color="auto" w:fill="auto"/>
            <w:noWrap/>
            <w:vAlign w:val="center"/>
            <w:hideMark/>
          </w:tcPr>
          <w:p w14:paraId="60673B9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8,103</w:t>
            </w:r>
          </w:p>
        </w:tc>
        <w:tc>
          <w:tcPr>
            <w:tcW w:w="1051" w:type="dxa"/>
            <w:tcBorders>
              <w:top w:val="nil"/>
              <w:left w:val="nil"/>
              <w:bottom w:val="nil"/>
              <w:right w:val="nil"/>
            </w:tcBorders>
            <w:shd w:val="clear" w:color="auto" w:fill="auto"/>
            <w:noWrap/>
            <w:vAlign w:val="center"/>
            <w:hideMark/>
          </w:tcPr>
          <w:p w14:paraId="7365959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68</w:t>
            </w:r>
          </w:p>
        </w:tc>
        <w:tc>
          <w:tcPr>
            <w:tcW w:w="869" w:type="dxa"/>
            <w:tcBorders>
              <w:top w:val="nil"/>
              <w:left w:val="nil"/>
              <w:bottom w:val="nil"/>
              <w:right w:val="nil"/>
            </w:tcBorders>
            <w:shd w:val="clear" w:color="auto" w:fill="auto"/>
            <w:noWrap/>
            <w:vAlign w:val="center"/>
            <w:hideMark/>
          </w:tcPr>
          <w:p w14:paraId="1B29F47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8,170</w:t>
            </w:r>
          </w:p>
        </w:tc>
        <w:tc>
          <w:tcPr>
            <w:tcW w:w="708" w:type="dxa"/>
            <w:tcBorders>
              <w:top w:val="nil"/>
              <w:left w:val="nil"/>
              <w:bottom w:val="nil"/>
              <w:right w:val="nil"/>
            </w:tcBorders>
            <w:shd w:val="clear" w:color="auto" w:fill="auto"/>
            <w:noWrap/>
            <w:vAlign w:val="center"/>
            <w:hideMark/>
          </w:tcPr>
          <w:p w14:paraId="33935A4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36FC589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4,667</w:t>
            </w:r>
          </w:p>
        </w:tc>
        <w:tc>
          <w:tcPr>
            <w:tcW w:w="973" w:type="dxa"/>
            <w:tcBorders>
              <w:top w:val="nil"/>
              <w:left w:val="nil"/>
              <w:bottom w:val="nil"/>
              <w:right w:val="nil"/>
            </w:tcBorders>
            <w:shd w:val="clear" w:color="auto" w:fill="auto"/>
            <w:noWrap/>
            <w:vAlign w:val="center"/>
            <w:hideMark/>
          </w:tcPr>
          <w:p w14:paraId="09DECB0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4,235</w:t>
            </w:r>
          </w:p>
        </w:tc>
        <w:tc>
          <w:tcPr>
            <w:tcW w:w="1354" w:type="dxa"/>
            <w:tcBorders>
              <w:top w:val="nil"/>
              <w:left w:val="nil"/>
              <w:bottom w:val="nil"/>
              <w:right w:val="nil"/>
            </w:tcBorders>
            <w:shd w:val="clear" w:color="auto" w:fill="auto"/>
            <w:noWrap/>
            <w:vAlign w:val="center"/>
            <w:hideMark/>
          </w:tcPr>
          <w:p w14:paraId="431EC9C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4,616</w:t>
            </w:r>
          </w:p>
        </w:tc>
        <w:tc>
          <w:tcPr>
            <w:tcW w:w="1001" w:type="dxa"/>
            <w:tcBorders>
              <w:top w:val="nil"/>
              <w:left w:val="nil"/>
              <w:bottom w:val="nil"/>
              <w:right w:val="nil"/>
            </w:tcBorders>
            <w:shd w:val="clear" w:color="auto" w:fill="auto"/>
            <w:noWrap/>
            <w:vAlign w:val="center"/>
            <w:hideMark/>
          </w:tcPr>
          <w:p w14:paraId="0F2F4D5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92%</w:t>
            </w:r>
          </w:p>
        </w:tc>
        <w:tc>
          <w:tcPr>
            <w:tcW w:w="992" w:type="dxa"/>
            <w:tcBorders>
              <w:top w:val="nil"/>
              <w:left w:val="nil"/>
              <w:bottom w:val="nil"/>
              <w:right w:val="nil"/>
            </w:tcBorders>
            <w:shd w:val="clear" w:color="000000" w:fill="DFE8F5"/>
            <w:noWrap/>
            <w:vAlign w:val="center"/>
            <w:hideMark/>
          </w:tcPr>
          <w:p w14:paraId="24B6634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109%</w:t>
            </w:r>
          </w:p>
        </w:tc>
      </w:tr>
      <w:tr w:rsidR="0028350E" w:rsidRPr="007364B1" w14:paraId="374E7F61" w14:textId="77777777" w:rsidTr="00AA33F9">
        <w:trPr>
          <w:trHeight w:val="360"/>
        </w:trPr>
        <w:tc>
          <w:tcPr>
            <w:tcW w:w="1985" w:type="dxa"/>
            <w:tcBorders>
              <w:top w:val="nil"/>
              <w:left w:val="nil"/>
              <w:bottom w:val="nil"/>
              <w:right w:val="nil"/>
            </w:tcBorders>
            <w:shd w:val="clear" w:color="auto" w:fill="auto"/>
            <w:noWrap/>
            <w:vAlign w:val="bottom"/>
            <w:hideMark/>
          </w:tcPr>
          <w:p w14:paraId="5272F32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1EE801F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1,903</w:t>
            </w:r>
          </w:p>
        </w:tc>
        <w:tc>
          <w:tcPr>
            <w:tcW w:w="1026" w:type="dxa"/>
            <w:tcBorders>
              <w:top w:val="nil"/>
              <w:left w:val="nil"/>
              <w:bottom w:val="nil"/>
              <w:right w:val="nil"/>
            </w:tcBorders>
            <w:shd w:val="clear" w:color="auto" w:fill="auto"/>
            <w:noWrap/>
            <w:vAlign w:val="center"/>
            <w:hideMark/>
          </w:tcPr>
          <w:p w14:paraId="459FCA1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1,950</w:t>
            </w:r>
          </w:p>
        </w:tc>
        <w:tc>
          <w:tcPr>
            <w:tcW w:w="851" w:type="dxa"/>
            <w:tcBorders>
              <w:top w:val="nil"/>
              <w:left w:val="nil"/>
              <w:bottom w:val="nil"/>
              <w:right w:val="nil"/>
            </w:tcBorders>
            <w:shd w:val="clear" w:color="000000" w:fill="FCEEF1"/>
            <w:noWrap/>
            <w:vAlign w:val="center"/>
            <w:hideMark/>
          </w:tcPr>
          <w:p w14:paraId="1E1926D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w:t>
            </w:r>
          </w:p>
        </w:tc>
        <w:tc>
          <w:tcPr>
            <w:tcW w:w="992" w:type="dxa"/>
            <w:tcBorders>
              <w:top w:val="nil"/>
              <w:left w:val="nil"/>
              <w:bottom w:val="nil"/>
              <w:right w:val="nil"/>
            </w:tcBorders>
            <w:shd w:val="clear" w:color="auto" w:fill="auto"/>
            <w:noWrap/>
            <w:vAlign w:val="center"/>
            <w:hideMark/>
          </w:tcPr>
          <w:p w14:paraId="45F3759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2,060</w:t>
            </w:r>
          </w:p>
        </w:tc>
        <w:tc>
          <w:tcPr>
            <w:tcW w:w="850" w:type="dxa"/>
            <w:tcBorders>
              <w:top w:val="nil"/>
              <w:left w:val="nil"/>
              <w:bottom w:val="nil"/>
              <w:right w:val="nil"/>
            </w:tcBorders>
            <w:shd w:val="clear" w:color="auto" w:fill="auto"/>
            <w:noWrap/>
            <w:vAlign w:val="center"/>
            <w:hideMark/>
          </w:tcPr>
          <w:p w14:paraId="27F4301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445</w:t>
            </w:r>
          </w:p>
        </w:tc>
        <w:tc>
          <w:tcPr>
            <w:tcW w:w="1051" w:type="dxa"/>
            <w:tcBorders>
              <w:top w:val="nil"/>
              <w:left w:val="nil"/>
              <w:bottom w:val="nil"/>
              <w:right w:val="nil"/>
            </w:tcBorders>
            <w:shd w:val="clear" w:color="auto" w:fill="auto"/>
            <w:noWrap/>
            <w:vAlign w:val="center"/>
            <w:hideMark/>
          </w:tcPr>
          <w:p w14:paraId="5DE6190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w:t>
            </w:r>
          </w:p>
        </w:tc>
        <w:tc>
          <w:tcPr>
            <w:tcW w:w="869" w:type="dxa"/>
            <w:tcBorders>
              <w:top w:val="nil"/>
              <w:left w:val="nil"/>
              <w:bottom w:val="nil"/>
              <w:right w:val="nil"/>
            </w:tcBorders>
            <w:shd w:val="clear" w:color="auto" w:fill="auto"/>
            <w:noWrap/>
            <w:vAlign w:val="center"/>
            <w:hideMark/>
          </w:tcPr>
          <w:p w14:paraId="5F5B1B9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453</w:t>
            </w:r>
          </w:p>
        </w:tc>
        <w:tc>
          <w:tcPr>
            <w:tcW w:w="708" w:type="dxa"/>
            <w:tcBorders>
              <w:top w:val="nil"/>
              <w:left w:val="nil"/>
              <w:bottom w:val="nil"/>
              <w:right w:val="nil"/>
            </w:tcBorders>
            <w:shd w:val="clear" w:color="auto" w:fill="auto"/>
            <w:noWrap/>
            <w:vAlign w:val="center"/>
            <w:hideMark/>
          </w:tcPr>
          <w:p w14:paraId="453EB8A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123F23C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B4D6BB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464</w:t>
            </w:r>
          </w:p>
        </w:tc>
        <w:tc>
          <w:tcPr>
            <w:tcW w:w="1354" w:type="dxa"/>
            <w:tcBorders>
              <w:top w:val="nil"/>
              <w:left w:val="nil"/>
              <w:bottom w:val="nil"/>
              <w:right w:val="nil"/>
            </w:tcBorders>
            <w:shd w:val="clear" w:color="auto" w:fill="auto"/>
            <w:noWrap/>
            <w:vAlign w:val="center"/>
            <w:hideMark/>
          </w:tcPr>
          <w:p w14:paraId="0429B86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238</w:t>
            </w:r>
          </w:p>
        </w:tc>
        <w:tc>
          <w:tcPr>
            <w:tcW w:w="1001" w:type="dxa"/>
            <w:tcBorders>
              <w:top w:val="nil"/>
              <w:left w:val="nil"/>
              <w:bottom w:val="nil"/>
              <w:right w:val="nil"/>
            </w:tcBorders>
            <w:shd w:val="clear" w:color="auto" w:fill="auto"/>
            <w:noWrap/>
            <w:vAlign w:val="center"/>
            <w:hideMark/>
          </w:tcPr>
          <w:p w14:paraId="4F93088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195%</w:t>
            </w:r>
          </w:p>
        </w:tc>
        <w:tc>
          <w:tcPr>
            <w:tcW w:w="992" w:type="dxa"/>
            <w:tcBorders>
              <w:top w:val="nil"/>
              <w:left w:val="nil"/>
              <w:bottom w:val="nil"/>
              <w:right w:val="nil"/>
            </w:tcBorders>
            <w:shd w:val="clear" w:color="000000" w:fill="CBDAEE"/>
            <w:noWrap/>
            <w:vAlign w:val="center"/>
            <w:hideMark/>
          </w:tcPr>
          <w:p w14:paraId="56B9F73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102%</w:t>
            </w:r>
          </w:p>
        </w:tc>
      </w:tr>
      <w:tr w:rsidR="0028350E" w:rsidRPr="007364B1" w14:paraId="7177A222" w14:textId="77777777" w:rsidTr="00AA33F9">
        <w:trPr>
          <w:trHeight w:val="360"/>
        </w:trPr>
        <w:tc>
          <w:tcPr>
            <w:tcW w:w="1985" w:type="dxa"/>
            <w:tcBorders>
              <w:top w:val="nil"/>
              <w:left w:val="nil"/>
              <w:bottom w:val="nil"/>
              <w:right w:val="nil"/>
            </w:tcBorders>
            <w:shd w:val="clear" w:color="auto" w:fill="auto"/>
            <w:noWrap/>
            <w:vAlign w:val="bottom"/>
            <w:hideMark/>
          </w:tcPr>
          <w:p w14:paraId="59798A1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26B4B7F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3,760</w:t>
            </w:r>
          </w:p>
        </w:tc>
        <w:tc>
          <w:tcPr>
            <w:tcW w:w="1026" w:type="dxa"/>
            <w:tcBorders>
              <w:top w:val="nil"/>
              <w:left w:val="nil"/>
              <w:bottom w:val="nil"/>
              <w:right w:val="nil"/>
            </w:tcBorders>
            <w:shd w:val="clear" w:color="auto" w:fill="auto"/>
            <w:noWrap/>
            <w:vAlign w:val="center"/>
            <w:hideMark/>
          </w:tcPr>
          <w:p w14:paraId="7E01ECA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5,065</w:t>
            </w:r>
          </w:p>
        </w:tc>
        <w:tc>
          <w:tcPr>
            <w:tcW w:w="851" w:type="dxa"/>
            <w:tcBorders>
              <w:top w:val="nil"/>
              <w:left w:val="nil"/>
              <w:bottom w:val="nil"/>
              <w:right w:val="nil"/>
            </w:tcBorders>
            <w:shd w:val="clear" w:color="000000" w:fill="FCDEE0"/>
            <w:noWrap/>
            <w:vAlign w:val="center"/>
            <w:hideMark/>
          </w:tcPr>
          <w:p w14:paraId="2AE164F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+35%</w:t>
            </w:r>
          </w:p>
        </w:tc>
        <w:tc>
          <w:tcPr>
            <w:tcW w:w="992" w:type="dxa"/>
            <w:tcBorders>
              <w:top w:val="nil"/>
              <w:left w:val="nil"/>
              <w:bottom w:val="nil"/>
              <w:right w:val="nil"/>
            </w:tcBorders>
            <w:shd w:val="clear" w:color="auto" w:fill="auto"/>
            <w:noWrap/>
            <w:vAlign w:val="center"/>
            <w:hideMark/>
          </w:tcPr>
          <w:p w14:paraId="23EA3F1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5,889</w:t>
            </w:r>
          </w:p>
        </w:tc>
        <w:tc>
          <w:tcPr>
            <w:tcW w:w="850" w:type="dxa"/>
            <w:tcBorders>
              <w:top w:val="nil"/>
              <w:left w:val="nil"/>
              <w:bottom w:val="nil"/>
              <w:right w:val="nil"/>
            </w:tcBorders>
            <w:shd w:val="clear" w:color="auto" w:fill="auto"/>
            <w:noWrap/>
            <w:vAlign w:val="center"/>
            <w:hideMark/>
          </w:tcPr>
          <w:p w14:paraId="6C83A23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660</w:t>
            </w:r>
          </w:p>
        </w:tc>
        <w:tc>
          <w:tcPr>
            <w:tcW w:w="1051" w:type="dxa"/>
            <w:tcBorders>
              <w:top w:val="nil"/>
              <w:left w:val="nil"/>
              <w:bottom w:val="nil"/>
              <w:right w:val="nil"/>
            </w:tcBorders>
            <w:shd w:val="clear" w:color="auto" w:fill="auto"/>
            <w:noWrap/>
            <w:vAlign w:val="center"/>
            <w:hideMark/>
          </w:tcPr>
          <w:p w14:paraId="10F2BC5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32</w:t>
            </w:r>
          </w:p>
        </w:tc>
        <w:tc>
          <w:tcPr>
            <w:tcW w:w="869" w:type="dxa"/>
            <w:tcBorders>
              <w:top w:val="nil"/>
              <w:left w:val="nil"/>
              <w:bottom w:val="nil"/>
              <w:right w:val="nil"/>
            </w:tcBorders>
            <w:shd w:val="clear" w:color="auto" w:fill="auto"/>
            <w:noWrap/>
            <w:vAlign w:val="center"/>
            <w:hideMark/>
          </w:tcPr>
          <w:p w14:paraId="4B2F736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692</w:t>
            </w:r>
          </w:p>
        </w:tc>
        <w:tc>
          <w:tcPr>
            <w:tcW w:w="708" w:type="dxa"/>
            <w:tcBorders>
              <w:top w:val="nil"/>
              <w:left w:val="nil"/>
              <w:bottom w:val="nil"/>
              <w:right w:val="nil"/>
            </w:tcBorders>
            <w:shd w:val="clear" w:color="auto" w:fill="auto"/>
            <w:noWrap/>
            <w:vAlign w:val="center"/>
            <w:hideMark/>
          </w:tcPr>
          <w:p w14:paraId="7669FEB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5B5CBDD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FEADBF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1,017</w:t>
            </w:r>
          </w:p>
        </w:tc>
        <w:tc>
          <w:tcPr>
            <w:tcW w:w="1354" w:type="dxa"/>
            <w:tcBorders>
              <w:top w:val="nil"/>
              <w:left w:val="nil"/>
              <w:bottom w:val="nil"/>
              <w:right w:val="nil"/>
            </w:tcBorders>
            <w:shd w:val="clear" w:color="auto" w:fill="auto"/>
            <w:noWrap/>
            <w:vAlign w:val="center"/>
            <w:hideMark/>
          </w:tcPr>
          <w:p w14:paraId="4005287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766</w:t>
            </w:r>
          </w:p>
        </w:tc>
        <w:tc>
          <w:tcPr>
            <w:tcW w:w="1001" w:type="dxa"/>
            <w:tcBorders>
              <w:top w:val="nil"/>
              <w:left w:val="nil"/>
              <w:bottom w:val="nil"/>
              <w:right w:val="nil"/>
            </w:tcBorders>
            <w:shd w:val="clear" w:color="auto" w:fill="auto"/>
            <w:noWrap/>
            <w:vAlign w:val="center"/>
            <w:hideMark/>
          </w:tcPr>
          <w:p w14:paraId="20EE044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133%</w:t>
            </w:r>
          </w:p>
        </w:tc>
        <w:tc>
          <w:tcPr>
            <w:tcW w:w="992" w:type="dxa"/>
            <w:tcBorders>
              <w:top w:val="nil"/>
              <w:left w:val="nil"/>
              <w:bottom w:val="nil"/>
              <w:right w:val="nil"/>
            </w:tcBorders>
            <w:shd w:val="clear" w:color="000000" w:fill="F9898B"/>
            <w:noWrap/>
            <w:vAlign w:val="center"/>
            <w:hideMark/>
          </w:tcPr>
          <w:p w14:paraId="662696E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147%</w:t>
            </w:r>
          </w:p>
        </w:tc>
      </w:tr>
      <w:tr w:rsidR="0028350E" w:rsidRPr="007364B1" w14:paraId="33B526B6" w14:textId="77777777" w:rsidTr="00AA33F9">
        <w:trPr>
          <w:trHeight w:val="360"/>
        </w:trPr>
        <w:tc>
          <w:tcPr>
            <w:tcW w:w="1985" w:type="dxa"/>
            <w:tcBorders>
              <w:top w:val="nil"/>
              <w:left w:val="nil"/>
              <w:bottom w:val="nil"/>
              <w:right w:val="nil"/>
            </w:tcBorders>
            <w:shd w:val="clear" w:color="auto" w:fill="auto"/>
            <w:noWrap/>
            <w:vAlign w:val="bottom"/>
            <w:hideMark/>
          </w:tcPr>
          <w:p w14:paraId="1593F57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683D1E5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3,561</w:t>
            </w:r>
          </w:p>
        </w:tc>
        <w:tc>
          <w:tcPr>
            <w:tcW w:w="1026" w:type="dxa"/>
            <w:tcBorders>
              <w:top w:val="nil"/>
              <w:left w:val="nil"/>
              <w:bottom w:val="nil"/>
              <w:right w:val="nil"/>
            </w:tcBorders>
            <w:shd w:val="clear" w:color="auto" w:fill="auto"/>
            <w:noWrap/>
            <w:vAlign w:val="center"/>
            <w:hideMark/>
          </w:tcPr>
          <w:p w14:paraId="0BC2B5D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4,437</w:t>
            </w:r>
          </w:p>
        </w:tc>
        <w:tc>
          <w:tcPr>
            <w:tcW w:w="851" w:type="dxa"/>
            <w:tcBorders>
              <w:top w:val="nil"/>
              <w:left w:val="nil"/>
              <w:bottom w:val="nil"/>
              <w:right w:val="nil"/>
            </w:tcBorders>
            <w:shd w:val="clear" w:color="000000" w:fill="FCE3E5"/>
            <w:noWrap/>
            <w:vAlign w:val="center"/>
            <w:hideMark/>
          </w:tcPr>
          <w:p w14:paraId="47C6F41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+25%</w:t>
            </w:r>
          </w:p>
        </w:tc>
        <w:tc>
          <w:tcPr>
            <w:tcW w:w="992" w:type="dxa"/>
            <w:tcBorders>
              <w:top w:val="nil"/>
              <w:left w:val="nil"/>
              <w:bottom w:val="nil"/>
              <w:right w:val="nil"/>
            </w:tcBorders>
            <w:shd w:val="clear" w:color="auto" w:fill="auto"/>
            <w:noWrap/>
            <w:vAlign w:val="center"/>
            <w:hideMark/>
          </w:tcPr>
          <w:p w14:paraId="368DE66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5,041</w:t>
            </w:r>
          </w:p>
        </w:tc>
        <w:tc>
          <w:tcPr>
            <w:tcW w:w="850" w:type="dxa"/>
            <w:tcBorders>
              <w:top w:val="nil"/>
              <w:left w:val="nil"/>
              <w:bottom w:val="nil"/>
              <w:right w:val="nil"/>
            </w:tcBorders>
            <w:shd w:val="clear" w:color="auto" w:fill="auto"/>
            <w:noWrap/>
            <w:vAlign w:val="center"/>
            <w:hideMark/>
          </w:tcPr>
          <w:p w14:paraId="7CCDAA8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1,150</w:t>
            </w:r>
          </w:p>
        </w:tc>
        <w:tc>
          <w:tcPr>
            <w:tcW w:w="1051" w:type="dxa"/>
            <w:tcBorders>
              <w:top w:val="nil"/>
              <w:left w:val="nil"/>
              <w:bottom w:val="nil"/>
              <w:right w:val="nil"/>
            </w:tcBorders>
            <w:shd w:val="clear" w:color="auto" w:fill="auto"/>
            <w:noWrap/>
            <w:vAlign w:val="center"/>
            <w:hideMark/>
          </w:tcPr>
          <w:p w14:paraId="7914E3F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40</w:t>
            </w:r>
          </w:p>
        </w:tc>
        <w:tc>
          <w:tcPr>
            <w:tcW w:w="869" w:type="dxa"/>
            <w:tcBorders>
              <w:top w:val="nil"/>
              <w:left w:val="nil"/>
              <w:bottom w:val="nil"/>
              <w:right w:val="nil"/>
            </w:tcBorders>
            <w:shd w:val="clear" w:color="auto" w:fill="auto"/>
            <w:noWrap/>
            <w:vAlign w:val="center"/>
            <w:hideMark/>
          </w:tcPr>
          <w:p w14:paraId="3179BD8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1,190</w:t>
            </w:r>
          </w:p>
        </w:tc>
        <w:tc>
          <w:tcPr>
            <w:tcW w:w="708" w:type="dxa"/>
            <w:tcBorders>
              <w:top w:val="nil"/>
              <w:left w:val="nil"/>
              <w:bottom w:val="nil"/>
              <w:right w:val="nil"/>
            </w:tcBorders>
            <w:shd w:val="clear" w:color="auto" w:fill="auto"/>
            <w:noWrap/>
            <w:vAlign w:val="center"/>
            <w:hideMark/>
          </w:tcPr>
          <w:p w14:paraId="26683B8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07BFB9C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871</w:t>
            </w:r>
          </w:p>
        </w:tc>
        <w:tc>
          <w:tcPr>
            <w:tcW w:w="973" w:type="dxa"/>
            <w:tcBorders>
              <w:top w:val="nil"/>
              <w:left w:val="nil"/>
              <w:bottom w:val="nil"/>
              <w:right w:val="nil"/>
            </w:tcBorders>
            <w:shd w:val="clear" w:color="auto" w:fill="auto"/>
            <w:noWrap/>
            <w:vAlign w:val="center"/>
            <w:hideMark/>
          </w:tcPr>
          <w:p w14:paraId="6147C39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533</w:t>
            </w:r>
          </w:p>
        </w:tc>
        <w:tc>
          <w:tcPr>
            <w:tcW w:w="1354" w:type="dxa"/>
            <w:tcBorders>
              <w:top w:val="nil"/>
              <w:left w:val="nil"/>
              <w:bottom w:val="nil"/>
              <w:right w:val="nil"/>
            </w:tcBorders>
            <w:shd w:val="clear" w:color="auto" w:fill="auto"/>
            <w:noWrap/>
            <w:vAlign w:val="center"/>
            <w:hideMark/>
          </w:tcPr>
          <w:p w14:paraId="1926603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518</w:t>
            </w:r>
          </w:p>
        </w:tc>
        <w:tc>
          <w:tcPr>
            <w:tcW w:w="1001" w:type="dxa"/>
            <w:tcBorders>
              <w:top w:val="nil"/>
              <w:left w:val="nil"/>
              <w:bottom w:val="nil"/>
              <w:right w:val="nil"/>
            </w:tcBorders>
            <w:shd w:val="clear" w:color="auto" w:fill="auto"/>
            <w:noWrap/>
            <w:vAlign w:val="center"/>
            <w:hideMark/>
          </w:tcPr>
          <w:p w14:paraId="70456C2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103%</w:t>
            </w:r>
          </w:p>
        </w:tc>
        <w:tc>
          <w:tcPr>
            <w:tcW w:w="992" w:type="dxa"/>
            <w:tcBorders>
              <w:top w:val="nil"/>
              <w:left w:val="nil"/>
              <w:bottom w:val="nil"/>
              <w:right w:val="nil"/>
            </w:tcBorders>
            <w:shd w:val="clear" w:color="000000" w:fill="FCFCFF"/>
            <w:noWrap/>
            <w:vAlign w:val="center"/>
            <w:hideMark/>
          </w:tcPr>
          <w:p w14:paraId="3252F60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118%</w:t>
            </w:r>
          </w:p>
        </w:tc>
      </w:tr>
      <w:tr w:rsidR="0028350E" w:rsidRPr="007364B1" w14:paraId="7B87EC8E" w14:textId="77777777" w:rsidTr="00AA33F9">
        <w:trPr>
          <w:trHeight w:val="360"/>
        </w:trPr>
        <w:tc>
          <w:tcPr>
            <w:tcW w:w="1985" w:type="dxa"/>
            <w:tcBorders>
              <w:top w:val="nil"/>
              <w:left w:val="nil"/>
              <w:bottom w:val="nil"/>
              <w:right w:val="nil"/>
            </w:tcBorders>
            <w:shd w:val="clear" w:color="auto" w:fill="auto"/>
            <w:noWrap/>
            <w:vAlign w:val="bottom"/>
            <w:hideMark/>
          </w:tcPr>
          <w:p w14:paraId="479AE87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1CD5CB1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26" w:type="dxa"/>
            <w:tcBorders>
              <w:top w:val="nil"/>
              <w:left w:val="nil"/>
              <w:bottom w:val="nil"/>
              <w:right w:val="nil"/>
            </w:tcBorders>
            <w:shd w:val="clear" w:color="auto" w:fill="auto"/>
            <w:noWrap/>
            <w:vAlign w:val="center"/>
            <w:hideMark/>
          </w:tcPr>
          <w:p w14:paraId="50DE113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851" w:type="dxa"/>
            <w:tcBorders>
              <w:top w:val="nil"/>
              <w:left w:val="nil"/>
              <w:bottom w:val="nil"/>
              <w:right w:val="nil"/>
            </w:tcBorders>
            <w:shd w:val="clear" w:color="auto" w:fill="auto"/>
            <w:noWrap/>
            <w:vAlign w:val="center"/>
            <w:hideMark/>
          </w:tcPr>
          <w:p w14:paraId="72476A9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auto" w:fill="auto"/>
            <w:noWrap/>
            <w:vAlign w:val="center"/>
            <w:hideMark/>
          </w:tcPr>
          <w:p w14:paraId="38D0BCC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3AE718C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4EAF49A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35A8D1E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708" w:type="dxa"/>
            <w:tcBorders>
              <w:top w:val="nil"/>
              <w:left w:val="nil"/>
              <w:bottom w:val="nil"/>
              <w:right w:val="nil"/>
            </w:tcBorders>
            <w:shd w:val="clear" w:color="auto" w:fill="auto"/>
            <w:noWrap/>
            <w:vAlign w:val="center"/>
            <w:hideMark/>
          </w:tcPr>
          <w:p w14:paraId="28893CA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33E95D5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AAE97B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36FE26E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0</w:t>
            </w:r>
          </w:p>
        </w:tc>
        <w:tc>
          <w:tcPr>
            <w:tcW w:w="1001" w:type="dxa"/>
            <w:tcBorders>
              <w:top w:val="nil"/>
              <w:left w:val="nil"/>
              <w:bottom w:val="nil"/>
              <w:right w:val="nil"/>
            </w:tcBorders>
            <w:shd w:val="clear" w:color="auto" w:fill="auto"/>
            <w:noWrap/>
            <w:vAlign w:val="center"/>
            <w:hideMark/>
          </w:tcPr>
          <w:p w14:paraId="4F2788A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FFCEDC"/>
            <w:noWrap/>
            <w:vAlign w:val="center"/>
            <w:hideMark/>
          </w:tcPr>
          <w:p w14:paraId="3AB2E1A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Cambria" w:hAnsi="Cambria" w:cs="Cambria"/>
                <w:color w:val="231F20"/>
                <w:sz w:val="18"/>
                <w:szCs w:val="18"/>
              </w:rPr>
              <w:t> </w:t>
            </w:r>
          </w:p>
        </w:tc>
      </w:tr>
      <w:tr w:rsidR="0028350E" w:rsidRPr="007364B1" w14:paraId="6E2A35C4" w14:textId="77777777" w:rsidTr="00AA33F9">
        <w:trPr>
          <w:trHeight w:val="360"/>
        </w:trPr>
        <w:tc>
          <w:tcPr>
            <w:tcW w:w="1985" w:type="dxa"/>
            <w:tcBorders>
              <w:top w:val="nil"/>
              <w:left w:val="nil"/>
              <w:bottom w:val="nil"/>
              <w:right w:val="nil"/>
            </w:tcBorders>
            <w:shd w:val="clear" w:color="auto" w:fill="auto"/>
            <w:noWrap/>
            <w:vAlign w:val="bottom"/>
            <w:hideMark/>
          </w:tcPr>
          <w:p w14:paraId="288AED7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74C494A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40,149</w:t>
            </w:r>
          </w:p>
        </w:tc>
        <w:tc>
          <w:tcPr>
            <w:tcW w:w="1026" w:type="dxa"/>
            <w:tcBorders>
              <w:top w:val="nil"/>
              <w:left w:val="nil"/>
              <w:bottom w:val="nil"/>
              <w:right w:val="nil"/>
            </w:tcBorders>
            <w:shd w:val="clear" w:color="auto" w:fill="auto"/>
            <w:noWrap/>
            <w:vAlign w:val="center"/>
            <w:hideMark/>
          </w:tcPr>
          <w:p w14:paraId="348844E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70,063</w:t>
            </w:r>
          </w:p>
        </w:tc>
        <w:tc>
          <w:tcPr>
            <w:tcW w:w="851" w:type="dxa"/>
            <w:tcBorders>
              <w:top w:val="nil"/>
              <w:left w:val="nil"/>
              <w:bottom w:val="nil"/>
              <w:right w:val="nil"/>
            </w:tcBorders>
            <w:shd w:val="clear" w:color="000000" w:fill="FBCACC"/>
            <w:noWrap/>
            <w:vAlign w:val="center"/>
            <w:hideMark/>
          </w:tcPr>
          <w:p w14:paraId="6AC92C0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+75%</w:t>
            </w:r>
          </w:p>
        </w:tc>
        <w:tc>
          <w:tcPr>
            <w:tcW w:w="992" w:type="dxa"/>
            <w:tcBorders>
              <w:top w:val="nil"/>
              <w:left w:val="nil"/>
              <w:bottom w:val="nil"/>
              <w:right w:val="nil"/>
            </w:tcBorders>
            <w:shd w:val="clear" w:color="auto" w:fill="auto"/>
            <w:noWrap/>
            <w:vAlign w:val="center"/>
            <w:hideMark/>
          </w:tcPr>
          <w:p w14:paraId="42AA48D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75,645</w:t>
            </w:r>
          </w:p>
        </w:tc>
        <w:tc>
          <w:tcPr>
            <w:tcW w:w="850" w:type="dxa"/>
            <w:tcBorders>
              <w:top w:val="nil"/>
              <w:left w:val="nil"/>
              <w:bottom w:val="nil"/>
              <w:right w:val="nil"/>
            </w:tcBorders>
            <w:shd w:val="clear" w:color="auto" w:fill="auto"/>
            <w:noWrap/>
            <w:vAlign w:val="center"/>
            <w:hideMark/>
          </w:tcPr>
          <w:p w14:paraId="19B9C46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7,544</w:t>
            </w:r>
          </w:p>
        </w:tc>
        <w:tc>
          <w:tcPr>
            <w:tcW w:w="1051" w:type="dxa"/>
            <w:tcBorders>
              <w:top w:val="nil"/>
              <w:left w:val="nil"/>
              <w:bottom w:val="nil"/>
              <w:right w:val="nil"/>
            </w:tcBorders>
            <w:shd w:val="clear" w:color="auto" w:fill="auto"/>
            <w:noWrap/>
            <w:vAlign w:val="center"/>
            <w:hideMark/>
          </w:tcPr>
          <w:p w14:paraId="06B0DB9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3,123</w:t>
            </w:r>
          </w:p>
        </w:tc>
        <w:tc>
          <w:tcPr>
            <w:tcW w:w="869" w:type="dxa"/>
            <w:tcBorders>
              <w:top w:val="nil"/>
              <w:left w:val="nil"/>
              <w:bottom w:val="nil"/>
              <w:right w:val="nil"/>
            </w:tcBorders>
            <w:shd w:val="clear" w:color="auto" w:fill="auto"/>
            <w:noWrap/>
            <w:vAlign w:val="center"/>
            <w:hideMark/>
          </w:tcPr>
          <w:p w14:paraId="49E51BD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10,667</w:t>
            </w:r>
          </w:p>
        </w:tc>
        <w:tc>
          <w:tcPr>
            <w:tcW w:w="708" w:type="dxa"/>
            <w:tcBorders>
              <w:top w:val="nil"/>
              <w:left w:val="nil"/>
              <w:bottom w:val="nil"/>
              <w:right w:val="nil"/>
            </w:tcBorders>
            <w:shd w:val="clear" w:color="auto" w:fill="auto"/>
            <w:noWrap/>
            <w:vAlign w:val="center"/>
            <w:hideMark/>
          </w:tcPr>
          <w:p w14:paraId="7569640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672FAD2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-8,297</w:t>
            </w:r>
          </w:p>
        </w:tc>
        <w:tc>
          <w:tcPr>
            <w:tcW w:w="973" w:type="dxa"/>
            <w:tcBorders>
              <w:top w:val="nil"/>
              <w:left w:val="nil"/>
              <w:bottom w:val="nil"/>
              <w:right w:val="nil"/>
            </w:tcBorders>
            <w:shd w:val="clear" w:color="auto" w:fill="auto"/>
            <w:noWrap/>
            <w:vAlign w:val="center"/>
            <w:hideMark/>
          </w:tcPr>
          <w:p w14:paraId="2B134D3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24,804</w:t>
            </w:r>
          </w:p>
        </w:tc>
        <w:tc>
          <w:tcPr>
            <w:tcW w:w="1354" w:type="dxa"/>
            <w:tcBorders>
              <w:top w:val="nil"/>
              <w:left w:val="nil"/>
              <w:bottom w:val="nil"/>
              <w:right w:val="nil"/>
            </w:tcBorders>
            <w:shd w:val="clear" w:color="auto" w:fill="auto"/>
            <w:noWrap/>
            <w:vAlign w:val="center"/>
            <w:hideMark/>
          </w:tcPr>
          <w:p w14:paraId="1E864E3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19,248</w:t>
            </w:r>
          </w:p>
        </w:tc>
        <w:tc>
          <w:tcPr>
            <w:tcW w:w="1001" w:type="dxa"/>
            <w:tcBorders>
              <w:top w:val="nil"/>
              <w:left w:val="nil"/>
              <w:bottom w:val="nil"/>
              <w:right w:val="nil"/>
            </w:tcBorders>
            <w:shd w:val="clear" w:color="auto" w:fill="auto"/>
            <w:noWrap/>
            <w:vAlign w:val="center"/>
            <w:hideMark/>
          </w:tcPr>
          <w:p w14:paraId="2172500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129%</w:t>
            </w:r>
          </w:p>
        </w:tc>
        <w:tc>
          <w:tcPr>
            <w:tcW w:w="992" w:type="dxa"/>
            <w:tcBorders>
              <w:top w:val="nil"/>
              <w:left w:val="nil"/>
              <w:bottom w:val="nil"/>
              <w:right w:val="nil"/>
            </w:tcBorders>
            <w:shd w:val="clear" w:color="000000" w:fill="F8696B"/>
            <w:noWrap/>
            <w:vAlign w:val="center"/>
            <w:hideMark/>
          </w:tcPr>
          <w:p w14:paraId="3975903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155%</w:t>
            </w:r>
          </w:p>
        </w:tc>
      </w:tr>
      <w:tr w:rsidR="0028350E" w:rsidRPr="007364B1" w14:paraId="5F50065A" w14:textId="77777777" w:rsidTr="00AA33F9">
        <w:trPr>
          <w:trHeight w:val="360"/>
        </w:trPr>
        <w:tc>
          <w:tcPr>
            <w:tcW w:w="1985" w:type="dxa"/>
            <w:tcBorders>
              <w:top w:val="nil"/>
              <w:left w:val="nil"/>
              <w:bottom w:val="nil"/>
              <w:right w:val="nil"/>
            </w:tcBorders>
            <w:shd w:val="clear" w:color="auto" w:fill="auto"/>
            <w:noWrap/>
            <w:vAlign w:val="bottom"/>
            <w:hideMark/>
          </w:tcPr>
          <w:p w14:paraId="645D8B5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73B7CBF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196</w:t>
            </w:r>
          </w:p>
        </w:tc>
        <w:tc>
          <w:tcPr>
            <w:tcW w:w="1026" w:type="dxa"/>
            <w:tcBorders>
              <w:top w:val="nil"/>
              <w:left w:val="nil"/>
              <w:bottom w:val="nil"/>
              <w:right w:val="nil"/>
            </w:tcBorders>
            <w:shd w:val="clear" w:color="auto" w:fill="auto"/>
            <w:noWrap/>
            <w:vAlign w:val="center"/>
            <w:hideMark/>
          </w:tcPr>
          <w:p w14:paraId="6D17CAF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272</w:t>
            </w:r>
          </w:p>
        </w:tc>
        <w:tc>
          <w:tcPr>
            <w:tcW w:w="851" w:type="dxa"/>
            <w:tcBorders>
              <w:top w:val="nil"/>
              <w:left w:val="nil"/>
              <w:bottom w:val="nil"/>
              <w:right w:val="nil"/>
            </w:tcBorders>
            <w:shd w:val="clear" w:color="000000" w:fill="FCDCDE"/>
            <w:noWrap/>
            <w:vAlign w:val="center"/>
            <w:hideMark/>
          </w:tcPr>
          <w:p w14:paraId="44D3689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+39%</w:t>
            </w:r>
          </w:p>
        </w:tc>
        <w:tc>
          <w:tcPr>
            <w:tcW w:w="992" w:type="dxa"/>
            <w:tcBorders>
              <w:top w:val="nil"/>
              <w:left w:val="nil"/>
              <w:bottom w:val="nil"/>
              <w:right w:val="nil"/>
            </w:tcBorders>
            <w:shd w:val="clear" w:color="auto" w:fill="auto"/>
            <w:noWrap/>
            <w:vAlign w:val="center"/>
            <w:hideMark/>
          </w:tcPr>
          <w:p w14:paraId="7D60152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330</w:t>
            </w:r>
          </w:p>
        </w:tc>
        <w:tc>
          <w:tcPr>
            <w:tcW w:w="850" w:type="dxa"/>
            <w:tcBorders>
              <w:top w:val="nil"/>
              <w:left w:val="nil"/>
              <w:bottom w:val="nil"/>
              <w:right w:val="nil"/>
            </w:tcBorders>
            <w:shd w:val="clear" w:color="auto" w:fill="auto"/>
            <w:noWrap/>
            <w:vAlign w:val="center"/>
            <w:hideMark/>
          </w:tcPr>
          <w:p w14:paraId="6A17C6F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55</w:t>
            </w:r>
          </w:p>
        </w:tc>
        <w:tc>
          <w:tcPr>
            <w:tcW w:w="1051" w:type="dxa"/>
            <w:tcBorders>
              <w:top w:val="nil"/>
              <w:left w:val="nil"/>
              <w:bottom w:val="nil"/>
              <w:right w:val="nil"/>
            </w:tcBorders>
            <w:shd w:val="clear" w:color="auto" w:fill="auto"/>
            <w:noWrap/>
            <w:vAlign w:val="center"/>
            <w:hideMark/>
          </w:tcPr>
          <w:p w14:paraId="2D38D74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w:t>
            </w:r>
          </w:p>
        </w:tc>
        <w:tc>
          <w:tcPr>
            <w:tcW w:w="869" w:type="dxa"/>
            <w:tcBorders>
              <w:top w:val="nil"/>
              <w:left w:val="nil"/>
              <w:bottom w:val="nil"/>
              <w:right w:val="nil"/>
            </w:tcBorders>
            <w:shd w:val="clear" w:color="auto" w:fill="auto"/>
            <w:noWrap/>
            <w:vAlign w:val="center"/>
            <w:hideMark/>
          </w:tcPr>
          <w:p w14:paraId="78A6DD8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61</w:t>
            </w:r>
          </w:p>
        </w:tc>
        <w:tc>
          <w:tcPr>
            <w:tcW w:w="708" w:type="dxa"/>
            <w:tcBorders>
              <w:top w:val="nil"/>
              <w:left w:val="nil"/>
              <w:bottom w:val="nil"/>
              <w:right w:val="nil"/>
            </w:tcBorders>
            <w:shd w:val="clear" w:color="auto" w:fill="auto"/>
            <w:noWrap/>
            <w:vAlign w:val="center"/>
            <w:hideMark/>
          </w:tcPr>
          <w:p w14:paraId="348DB37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3B2A252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AE05C5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79</w:t>
            </w:r>
          </w:p>
        </w:tc>
        <w:tc>
          <w:tcPr>
            <w:tcW w:w="1354" w:type="dxa"/>
            <w:tcBorders>
              <w:top w:val="nil"/>
              <w:left w:val="nil"/>
              <w:bottom w:val="nil"/>
              <w:right w:val="nil"/>
            </w:tcBorders>
            <w:shd w:val="clear" w:color="auto" w:fill="auto"/>
            <w:noWrap/>
            <w:vAlign w:val="center"/>
            <w:hideMark/>
          </w:tcPr>
          <w:p w14:paraId="6C42D27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114</w:t>
            </w:r>
          </w:p>
        </w:tc>
        <w:tc>
          <w:tcPr>
            <w:tcW w:w="1001" w:type="dxa"/>
            <w:tcBorders>
              <w:top w:val="nil"/>
              <w:left w:val="nil"/>
              <w:bottom w:val="nil"/>
              <w:right w:val="nil"/>
            </w:tcBorders>
            <w:shd w:val="clear" w:color="auto" w:fill="auto"/>
            <w:noWrap/>
            <w:vAlign w:val="center"/>
            <w:hideMark/>
          </w:tcPr>
          <w:p w14:paraId="5A90F1C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69%</w:t>
            </w:r>
          </w:p>
        </w:tc>
        <w:tc>
          <w:tcPr>
            <w:tcW w:w="992" w:type="dxa"/>
            <w:tcBorders>
              <w:top w:val="nil"/>
              <w:left w:val="nil"/>
              <w:bottom w:val="nil"/>
              <w:right w:val="nil"/>
            </w:tcBorders>
            <w:shd w:val="clear" w:color="000000" w:fill="FBCACD"/>
            <w:noWrap/>
            <w:vAlign w:val="center"/>
            <w:hideMark/>
          </w:tcPr>
          <w:p w14:paraId="059925E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131%</w:t>
            </w:r>
          </w:p>
        </w:tc>
      </w:tr>
      <w:tr w:rsidR="0028350E" w:rsidRPr="007364B1" w14:paraId="40C02597" w14:textId="77777777" w:rsidTr="00AA33F9">
        <w:trPr>
          <w:trHeight w:val="360"/>
        </w:trPr>
        <w:tc>
          <w:tcPr>
            <w:tcW w:w="1985" w:type="dxa"/>
            <w:tcBorders>
              <w:top w:val="nil"/>
              <w:left w:val="nil"/>
              <w:bottom w:val="nil"/>
              <w:right w:val="nil"/>
            </w:tcBorders>
            <w:shd w:val="clear" w:color="auto" w:fill="auto"/>
            <w:noWrap/>
            <w:vAlign w:val="bottom"/>
            <w:hideMark/>
          </w:tcPr>
          <w:p w14:paraId="1C10991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43CCEA0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534</w:t>
            </w:r>
          </w:p>
        </w:tc>
        <w:tc>
          <w:tcPr>
            <w:tcW w:w="1026" w:type="dxa"/>
            <w:tcBorders>
              <w:top w:val="nil"/>
              <w:left w:val="nil"/>
              <w:bottom w:val="nil"/>
              <w:right w:val="nil"/>
            </w:tcBorders>
            <w:shd w:val="clear" w:color="auto" w:fill="auto"/>
            <w:noWrap/>
            <w:vAlign w:val="center"/>
            <w:hideMark/>
          </w:tcPr>
          <w:p w14:paraId="273A177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628</w:t>
            </w:r>
          </w:p>
        </w:tc>
        <w:tc>
          <w:tcPr>
            <w:tcW w:w="851" w:type="dxa"/>
            <w:tcBorders>
              <w:top w:val="nil"/>
              <w:left w:val="nil"/>
              <w:bottom w:val="nil"/>
              <w:right w:val="nil"/>
            </w:tcBorders>
            <w:shd w:val="clear" w:color="000000" w:fill="FCE6E9"/>
            <w:noWrap/>
            <w:vAlign w:val="center"/>
            <w:hideMark/>
          </w:tcPr>
          <w:p w14:paraId="7AA3B1D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+18%</w:t>
            </w:r>
          </w:p>
        </w:tc>
        <w:tc>
          <w:tcPr>
            <w:tcW w:w="992" w:type="dxa"/>
            <w:tcBorders>
              <w:top w:val="nil"/>
              <w:left w:val="nil"/>
              <w:bottom w:val="nil"/>
              <w:right w:val="nil"/>
            </w:tcBorders>
            <w:shd w:val="clear" w:color="auto" w:fill="auto"/>
            <w:noWrap/>
            <w:vAlign w:val="center"/>
            <w:hideMark/>
          </w:tcPr>
          <w:p w14:paraId="74EA24A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727</w:t>
            </w:r>
          </w:p>
        </w:tc>
        <w:tc>
          <w:tcPr>
            <w:tcW w:w="850" w:type="dxa"/>
            <w:tcBorders>
              <w:top w:val="nil"/>
              <w:left w:val="nil"/>
              <w:bottom w:val="nil"/>
              <w:right w:val="nil"/>
            </w:tcBorders>
            <w:shd w:val="clear" w:color="auto" w:fill="auto"/>
            <w:noWrap/>
            <w:vAlign w:val="center"/>
            <w:hideMark/>
          </w:tcPr>
          <w:p w14:paraId="558CE04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132</w:t>
            </w:r>
          </w:p>
        </w:tc>
        <w:tc>
          <w:tcPr>
            <w:tcW w:w="1051" w:type="dxa"/>
            <w:tcBorders>
              <w:top w:val="nil"/>
              <w:left w:val="nil"/>
              <w:bottom w:val="nil"/>
              <w:right w:val="nil"/>
            </w:tcBorders>
            <w:shd w:val="clear" w:color="auto" w:fill="auto"/>
            <w:noWrap/>
            <w:vAlign w:val="center"/>
            <w:hideMark/>
          </w:tcPr>
          <w:p w14:paraId="1884D3E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w:t>
            </w:r>
          </w:p>
        </w:tc>
        <w:tc>
          <w:tcPr>
            <w:tcW w:w="869" w:type="dxa"/>
            <w:tcBorders>
              <w:top w:val="nil"/>
              <w:left w:val="nil"/>
              <w:bottom w:val="nil"/>
              <w:right w:val="nil"/>
            </w:tcBorders>
            <w:shd w:val="clear" w:color="auto" w:fill="auto"/>
            <w:noWrap/>
            <w:vAlign w:val="center"/>
            <w:hideMark/>
          </w:tcPr>
          <w:p w14:paraId="3AC1B25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140</w:t>
            </w:r>
          </w:p>
        </w:tc>
        <w:tc>
          <w:tcPr>
            <w:tcW w:w="708" w:type="dxa"/>
            <w:tcBorders>
              <w:top w:val="nil"/>
              <w:left w:val="nil"/>
              <w:bottom w:val="nil"/>
              <w:right w:val="nil"/>
            </w:tcBorders>
            <w:shd w:val="clear" w:color="auto" w:fill="auto"/>
            <w:noWrap/>
            <w:vAlign w:val="center"/>
            <w:hideMark/>
          </w:tcPr>
          <w:p w14:paraId="33E3654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35B1656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18C0FF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163</w:t>
            </w:r>
          </w:p>
        </w:tc>
        <w:tc>
          <w:tcPr>
            <w:tcW w:w="1354" w:type="dxa"/>
            <w:tcBorders>
              <w:top w:val="nil"/>
              <w:left w:val="nil"/>
              <w:bottom w:val="nil"/>
              <w:right w:val="nil"/>
            </w:tcBorders>
            <w:shd w:val="clear" w:color="auto" w:fill="auto"/>
            <w:noWrap/>
            <w:vAlign w:val="center"/>
            <w:hideMark/>
          </w:tcPr>
          <w:p w14:paraId="254E222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74</w:t>
            </w:r>
          </w:p>
        </w:tc>
        <w:tc>
          <w:tcPr>
            <w:tcW w:w="1001" w:type="dxa"/>
            <w:tcBorders>
              <w:top w:val="nil"/>
              <w:left w:val="nil"/>
              <w:bottom w:val="nil"/>
              <w:right w:val="nil"/>
            </w:tcBorders>
            <w:shd w:val="clear" w:color="auto" w:fill="auto"/>
            <w:noWrap/>
            <w:vAlign w:val="center"/>
            <w:hideMark/>
          </w:tcPr>
          <w:p w14:paraId="4180B8F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220%</w:t>
            </w:r>
          </w:p>
        </w:tc>
        <w:tc>
          <w:tcPr>
            <w:tcW w:w="992" w:type="dxa"/>
            <w:tcBorders>
              <w:top w:val="nil"/>
              <w:left w:val="nil"/>
              <w:bottom w:val="nil"/>
              <w:right w:val="nil"/>
            </w:tcBorders>
            <w:shd w:val="clear" w:color="000000" w:fill="F7F8FD"/>
            <w:noWrap/>
            <w:vAlign w:val="center"/>
            <w:hideMark/>
          </w:tcPr>
          <w:p w14:paraId="024589B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117%</w:t>
            </w:r>
          </w:p>
        </w:tc>
      </w:tr>
      <w:tr w:rsidR="0028350E" w:rsidRPr="007364B1" w14:paraId="5D578F03" w14:textId="77777777" w:rsidTr="00AA33F9">
        <w:trPr>
          <w:trHeight w:val="360"/>
        </w:trPr>
        <w:tc>
          <w:tcPr>
            <w:tcW w:w="1985" w:type="dxa"/>
            <w:tcBorders>
              <w:top w:val="nil"/>
              <w:left w:val="nil"/>
              <w:bottom w:val="nil"/>
              <w:right w:val="nil"/>
            </w:tcBorders>
            <w:shd w:val="clear" w:color="auto" w:fill="auto"/>
            <w:noWrap/>
            <w:vAlign w:val="bottom"/>
            <w:hideMark/>
          </w:tcPr>
          <w:p w14:paraId="266EE6F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079FDC7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564</w:t>
            </w:r>
          </w:p>
        </w:tc>
        <w:tc>
          <w:tcPr>
            <w:tcW w:w="1026" w:type="dxa"/>
            <w:tcBorders>
              <w:top w:val="nil"/>
              <w:left w:val="nil"/>
              <w:bottom w:val="nil"/>
              <w:right w:val="nil"/>
            </w:tcBorders>
            <w:shd w:val="clear" w:color="auto" w:fill="auto"/>
            <w:noWrap/>
            <w:vAlign w:val="center"/>
            <w:hideMark/>
          </w:tcPr>
          <w:p w14:paraId="1ADA6ED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601</w:t>
            </w:r>
          </w:p>
        </w:tc>
        <w:tc>
          <w:tcPr>
            <w:tcW w:w="851" w:type="dxa"/>
            <w:tcBorders>
              <w:top w:val="nil"/>
              <w:left w:val="nil"/>
              <w:bottom w:val="nil"/>
              <w:right w:val="nil"/>
            </w:tcBorders>
            <w:shd w:val="clear" w:color="000000" w:fill="FCECEF"/>
            <w:noWrap/>
            <w:vAlign w:val="center"/>
            <w:hideMark/>
          </w:tcPr>
          <w:p w14:paraId="48DA25B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w:t>
            </w:r>
          </w:p>
        </w:tc>
        <w:tc>
          <w:tcPr>
            <w:tcW w:w="992" w:type="dxa"/>
            <w:tcBorders>
              <w:top w:val="nil"/>
              <w:left w:val="nil"/>
              <w:bottom w:val="nil"/>
              <w:right w:val="nil"/>
            </w:tcBorders>
            <w:shd w:val="clear" w:color="auto" w:fill="auto"/>
            <w:noWrap/>
            <w:vAlign w:val="center"/>
            <w:hideMark/>
          </w:tcPr>
          <w:p w14:paraId="73E6870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680</w:t>
            </w:r>
          </w:p>
        </w:tc>
        <w:tc>
          <w:tcPr>
            <w:tcW w:w="850" w:type="dxa"/>
            <w:tcBorders>
              <w:top w:val="nil"/>
              <w:left w:val="nil"/>
              <w:bottom w:val="nil"/>
              <w:right w:val="nil"/>
            </w:tcBorders>
            <w:shd w:val="clear" w:color="auto" w:fill="auto"/>
            <w:noWrap/>
            <w:vAlign w:val="center"/>
            <w:hideMark/>
          </w:tcPr>
          <w:p w14:paraId="6DD6AFF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147</w:t>
            </w:r>
          </w:p>
        </w:tc>
        <w:tc>
          <w:tcPr>
            <w:tcW w:w="1051" w:type="dxa"/>
            <w:tcBorders>
              <w:top w:val="nil"/>
              <w:left w:val="nil"/>
              <w:bottom w:val="nil"/>
              <w:right w:val="nil"/>
            </w:tcBorders>
            <w:shd w:val="clear" w:color="auto" w:fill="auto"/>
            <w:noWrap/>
            <w:vAlign w:val="center"/>
            <w:hideMark/>
          </w:tcPr>
          <w:p w14:paraId="60299F5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w:t>
            </w:r>
          </w:p>
        </w:tc>
        <w:tc>
          <w:tcPr>
            <w:tcW w:w="869" w:type="dxa"/>
            <w:tcBorders>
              <w:top w:val="nil"/>
              <w:left w:val="nil"/>
              <w:bottom w:val="nil"/>
              <w:right w:val="nil"/>
            </w:tcBorders>
            <w:shd w:val="clear" w:color="auto" w:fill="auto"/>
            <w:noWrap/>
            <w:vAlign w:val="center"/>
            <w:hideMark/>
          </w:tcPr>
          <w:p w14:paraId="37D2121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157</w:t>
            </w:r>
          </w:p>
        </w:tc>
        <w:tc>
          <w:tcPr>
            <w:tcW w:w="708" w:type="dxa"/>
            <w:tcBorders>
              <w:top w:val="nil"/>
              <w:left w:val="nil"/>
              <w:bottom w:val="nil"/>
              <w:right w:val="nil"/>
            </w:tcBorders>
            <w:shd w:val="clear" w:color="auto" w:fill="auto"/>
            <w:noWrap/>
            <w:vAlign w:val="center"/>
            <w:hideMark/>
          </w:tcPr>
          <w:p w14:paraId="110CB52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2F8E66D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50D3A5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165</w:t>
            </w:r>
          </w:p>
        </w:tc>
        <w:tc>
          <w:tcPr>
            <w:tcW w:w="1354" w:type="dxa"/>
            <w:tcBorders>
              <w:top w:val="nil"/>
              <w:left w:val="nil"/>
              <w:bottom w:val="nil"/>
              <w:right w:val="nil"/>
            </w:tcBorders>
            <w:shd w:val="clear" w:color="auto" w:fill="auto"/>
            <w:noWrap/>
            <w:vAlign w:val="center"/>
            <w:hideMark/>
          </w:tcPr>
          <w:p w14:paraId="6784512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78</w:t>
            </w:r>
          </w:p>
        </w:tc>
        <w:tc>
          <w:tcPr>
            <w:tcW w:w="1001" w:type="dxa"/>
            <w:tcBorders>
              <w:top w:val="nil"/>
              <w:left w:val="nil"/>
              <w:bottom w:val="nil"/>
              <w:right w:val="nil"/>
            </w:tcBorders>
            <w:shd w:val="clear" w:color="auto" w:fill="auto"/>
            <w:noWrap/>
            <w:vAlign w:val="center"/>
            <w:hideMark/>
          </w:tcPr>
          <w:p w14:paraId="5A2A49C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212%</w:t>
            </w:r>
          </w:p>
        </w:tc>
        <w:tc>
          <w:tcPr>
            <w:tcW w:w="992" w:type="dxa"/>
            <w:tcBorders>
              <w:top w:val="nil"/>
              <w:left w:val="nil"/>
              <w:bottom w:val="nil"/>
              <w:right w:val="nil"/>
            </w:tcBorders>
            <w:shd w:val="clear" w:color="000000" w:fill="D4E0F1"/>
            <w:noWrap/>
            <w:vAlign w:val="center"/>
            <w:hideMark/>
          </w:tcPr>
          <w:p w14:paraId="235DB78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105%</w:t>
            </w:r>
          </w:p>
        </w:tc>
      </w:tr>
      <w:tr w:rsidR="0028350E" w:rsidRPr="007364B1" w14:paraId="07EB092F" w14:textId="77777777" w:rsidTr="00AA33F9">
        <w:trPr>
          <w:trHeight w:val="360"/>
        </w:trPr>
        <w:tc>
          <w:tcPr>
            <w:tcW w:w="1985" w:type="dxa"/>
            <w:tcBorders>
              <w:top w:val="nil"/>
              <w:left w:val="nil"/>
              <w:bottom w:val="nil"/>
              <w:right w:val="nil"/>
            </w:tcBorders>
            <w:shd w:val="clear" w:color="auto" w:fill="auto"/>
            <w:noWrap/>
            <w:vAlign w:val="bottom"/>
            <w:hideMark/>
          </w:tcPr>
          <w:p w14:paraId="03164A6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0931CD0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305</w:t>
            </w:r>
          </w:p>
        </w:tc>
        <w:tc>
          <w:tcPr>
            <w:tcW w:w="1026" w:type="dxa"/>
            <w:tcBorders>
              <w:top w:val="nil"/>
              <w:left w:val="nil"/>
              <w:bottom w:val="nil"/>
              <w:right w:val="nil"/>
            </w:tcBorders>
            <w:shd w:val="clear" w:color="auto" w:fill="auto"/>
            <w:noWrap/>
            <w:vAlign w:val="center"/>
            <w:hideMark/>
          </w:tcPr>
          <w:p w14:paraId="56935D6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432</w:t>
            </w:r>
          </w:p>
        </w:tc>
        <w:tc>
          <w:tcPr>
            <w:tcW w:w="851" w:type="dxa"/>
            <w:tcBorders>
              <w:top w:val="nil"/>
              <w:left w:val="nil"/>
              <w:bottom w:val="nil"/>
              <w:right w:val="nil"/>
            </w:tcBorders>
            <w:shd w:val="clear" w:color="000000" w:fill="FCDADD"/>
            <w:noWrap/>
            <w:vAlign w:val="center"/>
            <w:hideMark/>
          </w:tcPr>
          <w:p w14:paraId="6E745EA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+42%</w:t>
            </w:r>
          </w:p>
        </w:tc>
        <w:tc>
          <w:tcPr>
            <w:tcW w:w="992" w:type="dxa"/>
            <w:tcBorders>
              <w:top w:val="nil"/>
              <w:left w:val="nil"/>
              <w:bottom w:val="nil"/>
              <w:right w:val="nil"/>
            </w:tcBorders>
            <w:shd w:val="clear" w:color="auto" w:fill="auto"/>
            <w:noWrap/>
            <w:vAlign w:val="center"/>
            <w:hideMark/>
          </w:tcPr>
          <w:p w14:paraId="015F25F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455</w:t>
            </w:r>
          </w:p>
        </w:tc>
        <w:tc>
          <w:tcPr>
            <w:tcW w:w="850" w:type="dxa"/>
            <w:tcBorders>
              <w:top w:val="nil"/>
              <w:left w:val="nil"/>
              <w:bottom w:val="nil"/>
              <w:right w:val="nil"/>
            </w:tcBorders>
            <w:shd w:val="clear" w:color="auto" w:fill="auto"/>
            <w:noWrap/>
            <w:vAlign w:val="center"/>
            <w:hideMark/>
          </w:tcPr>
          <w:p w14:paraId="3A3F9EA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180</w:t>
            </w:r>
          </w:p>
        </w:tc>
        <w:tc>
          <w:tcPr>
            <w:tcW w:w="1051" w:type="dxa"/>
            <w:tcBorders>
              <w:top w:val="nil"/>
              <w:left w:val="nil"/>
              <w:bottom w:val="nil"/>
              <w:right w:val="nil"/>
            </w:tcBorders>
            <w:shd w:val="clear" w:color="auto" w:fill="auto"/>
            <w:noWrap/>
            <w:vAlign w:val="center"/>
            <w:hideMark/>
          </w:tcPr>
          <w:p w14:paraId="35B5B85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27</w:t>
            </w:r>
          </w:p>
        </w:tc>
        <w:tc>
          <w:tcPr>
            <w:tcW w:w="869" w:type="dxa"/>
            <w:tcBorders>
              <w:top w:val="nil"/>
              <w:left w:val="nil"/>
              <w:bottom w:val="nil"/>
              <w:right w:val="nil"/>
            </w:tcBorders>
            <w:shd w:val="clear" w:color="auto" w:fill="auto"/>
            <w:noWrap/>
            <w:vAlign w:val="center"/>
            <w:hideMark/>
          </w:tcPr>
          <w:p w14:paraId="176EDBB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207</w:t>
            </w:r>
          </w:p>
        </w:tc>
        <w:tc>
          <w:tcPr>
            <w:tcW w:w="708" w:type="dxa"/>
            <w:tcBorders>
              <w:top w:val="nil"/>
              <w:left w:val="nil"/>
              <w:bottom w:val="nil"/>
              <w:right w:val="nil"/>
            </w:tcBorders>
            <w:shd w:val="clear" w:color="auto" w:fill="auto"/>
            <w:noWrap/>
            <w:vAlign w:val="center"/>
            <w:hideMark/>
          </w:tcPr>
          <w:p w14:paraId="12EF049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768F24C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C8230D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234</w:t>
            </w:r>
          </w:p>
        </w:tc>
        <w:tc>
          <w:tcPr>
            <w:tcW w:w="1354" w:type="dxa"/>
            <w:tcBorders>
              <w:top w:val="nil"/>
              <w:left w:val="nil"/>
              <w:bottom w:val="nil"/>
              <w:right w:val="nil"/>
            </w:tcBorders>
            <w:shd w:val="clear" w:color="auto" w:fill="auto"/>
            <w:noWrap/>
            <w:vAlign w:val="center"/>
            <w:hideMark/>
          </w:tcPr>
          <w:p w14:paraId="5999A15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30</w:t>
            </w:r>
          </w:p>
        </w:tc>
        <w:tc>
          <w:tcPr>
            <w:tcW w:w="1001" w:type="dxa"/>
            <w:tcBorders>
              <w:top w:val="nil"/>
              <w:left w:val="nil"/>
              <w:bottom w:val="nil"/>
              <w:right w:val="nil"/>
            </w:tcBorders>
            <w:shd w:val="clear" w:color="auto" w:fill="auto"/>
            <w:noWrap/>
            <w:vAlign w:val="center"/>
            <w:hideMark/>
          </w:tcPr>
          <w:p w14:paraId="75D0829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781%</w:t>
            </w:r>
          </w:p>
        </w:tc>
        <w:tc>
          <w:tcPr>
            <w:tcW w:w="992" w:type="dxa"/>
            <w:tcBorders>
              <w:top w:val="nil"/>
              <w:left w:val="nil"/>
              <w:bottom w:val="nil"/>
              <w:right w:val="nil"/>
            </w:tcBorders>
            <w:shd w:val="clear" w:color="000000" w:fill="ECF0F9"/>
            <w:noWrap/>
            <w:vAlign w:val="center"/>
            <w:hideMark/>
          </w:tcPr>
          <w:p w14:paraId="5B2DD25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113%</w:t>
            </w:r>
          </w:p>
        </w:tc>
      </w:tr>
      <w:tr w:rsidR="0028350E" w:rsidRPr="007364B1" w14:paraId="716D7856" w14:textId="77777777" w:rsidTr="00AA33F9">
        <w:trPr>
          <w:trHeight w:val="360"/>
        </w:trPr>
        <w:tc>
          <w:tcPr>
            <w:tcW w:w="1985" w:type="dxa"/>
            <w:tcBorders>
              <w:top w:val="nil"/>
              <w:left w:val="nil"/>
              <w:bottom w:val="nil"/>
              <w:right w:val="nil"/>
            </w:tcBorders>
            <w:shd w:val="clear" w:color="auto" w:fill="auto"/>
            <w:noWrap/>
            <w:vAlign w:val="bottom"/>
            <w:hideMark/>
          </w:tcPr>
          <w:p w14:paraId="5ECBFEA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52F6324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w:t>
            </w:r>
          </w:p>
        </w:tc>
        <w:tc>
          <w:tcPr>
            <w:tcW w:w="1026" w:type="dxa"/>
            <w:tcBorders>
              <w:top w:val="nil"/>
              <w:left w:val="nil"/>
              <w:bottom w:val="nil"/>
              <w:right w:val="nil"/>
            </w:tcBorders>
            <w:shd w:val="clear" w:color="auto" w:fill="auto"/>
            <w:noWrap/>
            <w:vAlign w:val="center"/>
            <w:hideMark/>
          </w:tcPr>
          <w:p w14:paraId="49F48CB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22</w:t>
            </w:r>
          </w:p>
        </w:tc>
        <w:tc>
          <w:tcPr>
            <w:tcW w:w="851" w:type="dxa"/>
            <w:tcBorders>
              <w:top w:val="nil"/>
              <w:left w:val="nil"/>
              <w:bottom w:val="nil"/>
              <w:right w:val="nil"/>
            </w:tcBorders>
            <w:shd w:val="clear" w:color="000000" w:fill="F8696B"/>
            <w:noWrap/>
            <w:vAlign w:val="center"/>
            <w:hideMark/>
          </w:tcPr>
          <w:p w14:paraId="45C6182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+267%</w:t>
            </w:r>
          </w:p>
        </w:tc>
        <w:tc>
          <w:tcPr>
            <w:tcW w:w="992" w:type="dxa"/>
            <w:tcBorders>
              <w:top w:val="nil"/>
              <w:left w:val="nil"/>
              <w:bottom w:val="nil"/>
              <w:right w:val="nil"/>
            </w:tcBorders>
            <w:shd w:val="clear" w:color="auto" w:fill="auto"/>
            <w:noWrap/>
            <w:vAlign w:val="center"/>
            <w:hideMark/>
          </w:tcPr>
          <w:p w14:paraId="5B9A40D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23</w:t>
            </w:r>
          </w:p>
        </w:tc>
        <w:tc>
          <w:tcPr>
            <w:tcW w:w="850" w:type="dxa"/>
            <w:tcBorders>
              <w:top w:val="nil"/>
              <w:left w:val="nil"/>
              <w:bottom w:val="nil"/>
              <w:right w:val="nil"/>
            </w:tcBorders>
            <w:shd w:val="clear" w:color="auto" w:fill="auto"/>
            <w:noWrap/>
            <w:vAlign w:val="center"/>
            <w:hideMark/>
          </w:tcPr>
          <w:p w14:paraId="47B5CD9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w:t>
            </w:r>
          </w:p>
        </w:tc>
        <w:tc>
          <w:tcPr>
            <w:tcW w:w="1051" w:type="dxa"/>
            <w:tcBorders>
              <w:top w:val="nil"/>
              <w:left w:val="nil"/>
              <w:bottom w:val="nil"/>
              <w:right w:val="nil"/>
            </w:tcBorders>
            <w:shd w:val="clear" w:color="auto" w:fill="auto"/>
            <w:noWrap/>
            <w:vAlign w:val="center"/>
            <w:hideMark/>
          </w:tcPr>
          <w:p w14:paraId="249E26F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624A12F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w:t>
            </w:r>
          </w:p>
        </w:tc>
        <w:tc>
          <w:tcPr>
            <w:tcW w:w="708" w:type="dxa"/>
            <w:tcBorders>
              <w:top w:val="nil"/>
              <w:left w:val="nil"/>
              <w:bottom w:val="nil"/>
              <w:right w:val="nil"/>
            </w:tcBorders>
            <w:shd w:val="clear" w:color="auto" w:fill="auto"/>
            <w:noWrap/>
            <w:vAlign w:val="center"/>
            <w:hideMark/>
          </w:tcPr>
          <w:p w14:paraId="4EC69F3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34D7DD9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85DFD4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12</w:t>
            </w:r>
          </w:p>
        </w:tc>
        <w:tc>
          <w:tcPr>
            <w:tcW w:w="1354" w:type="dxa"/>
            <w:tcBorders>
              <w:top w:val="nil"/>
              <w:left w:val="nil"/>
              <w:bottom w:val="nil"/>
              <w:right w:val="nil"/>
            </w:tcBorders>
            <w:shd w:val="clear" w:color="auto" w:fill="auto"/>
            <w:noWrap/>
            <w:vAlign w:val="center"/>
            <w:hideMark/>
          </w:tcPr>
          <w:p w14:paraId="28CA181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4</w:t>
            </w:r>
          </w:p>
        </w:tc>
        <w:tc>
          <w:tcPr>
            <w:tcW w:w="1001" w:type="dxa"/>
            <w:tcBorders>
              <w:top w:val="nil"/>
              <w:left w:val="nil"/>
              <w:bottom w:val="nil"/>
              <w:right w:val="nil"/>
            </w:tcBorders>
            <w:shd w:val="clear" w:color="auto" w:fill="auto"/>
            <w:noWrap/>
            <w:vAlign w:val="center"/>
            <w:hideMark/>
          </w:tcPr>
          <w:p w14:paraId="6C0BAE0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306%</w:t>
            </w:r>
          </w:p>
        </w:tc>
        <w:tc>
          <w:tcPr>
            <w:tcW w:w="992" w:type="dxa"/>
            <w:tcBorders>
              <w:top w:val="nil"/>
              <w:left w:val="nil"/>
              <w:bottom w:val="nil"/>
              <w:right w:val="nil"/>
            </w:tcBorders>
            <w:shd w:val="clear" w:color="000000" w:fill="F98688"/>
            <w:noWrap/>
            <w:vAlign w:val="center"/>
            <w:hideMark/>
          </w:tcPr>
          <w:p w14:paraId="17213EA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148%</w:t>
            </w:r>
          </w:p>
        </w:tc>
      </w:tr>
      <w:tr w:rsidR="0028350E" w:rsidRPr="007364B1" w14:paraId="409158F4" w14:textId="77777777" w:rsidTr="00AA33F9">
        <w:trPr>
          <w:trHeight w:val="360"/>
        </w:trPr>
        <w:tc>
          <w:tcPr>
            <w:tcW w:w="1985" w:type="dxa"/>
            <w:tcBorders>
              <w:top w:val="nil"/>
              <w:left w:val="nil"/>
              <w:bottom w:val="nil"/>
              <w:right w:val="nil"/>
            </w:tcBorders>
            <w:shd w:val="clear" w:color="auto" w:fill="auto"/>
            <w:noWrap/>
            <w:vAlign w:val="bottom"/>
            <w:hideMark/>
          </w:tcPr>
          <w:p w14:paraId="0FAE7C1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33DC74E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w:t>
            </w:r>
          </w:p>
        </w:tc>
        <w:tc>
          <w:tcPr>
            <w:tcW w:w="1026" w:type="dxa"/>
            <w:tcBorders>
              <w:top w:val="nil"/>
              <w:left w:val="nil"/>
              <w:bottom w:val="nil"/>
              <w:right w:val="nil"/>
            </w:tcBorders>
            <w:shd w:val="clear" w:color="auto" w:fill="auto"/>
            <w:noWrap/>
            <w:vAlign w:val="center"/>
            <w:hideMark/>
          </w:tcPr>
          <w:p w14:paraId="2B7E5C6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w:t>
            </w:r>
          </w:p>
        </w:tc>
        <w:tc>
          <w:tcPr>
            <w:tcW w:w="851" w:type="dxa"/>
            <w:tcBorders>
              <w:top w:val="nil"/>
              <w:left w:val="nil"/>
              <w:bottom w:val="nil"/>
              <w:right w:val="nil"/>
            </w:tcBorders>
            <w:shd w:val="clear" w:color="000000" w:fill="FCFCFF"/>
            <w:noWrap/>
            <w:vAlign w:val="center"/>
            <w:hideMark/>
          </w:tcPr>
          <w:p w14:paraId="29AB86A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-26%</w:t>
            </w:r>
          </w:p>
        </w:tc>
        <w:tc>
          <w:tcPr>
            <w:tcW w:w="992" w:type="dxa"/>
            <w:tcBorders>
              <w:top w:val="nil"/>
              <w:left w:val="nil"/>
              <w:bottom w:val="nil"/>
              <w:right w:val="nil"/>
            </w:tcBorders>
            <w:shd w:val="clear" w:color="auto" w:fill="auto"/>
            <w:noWrap/>
            <w:vAlign w:val="center"/>
            <w:hideMark/>
          </w:tcPr>
          <w:p w14:paraId="3459871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w:t>
            </w:r>
          </w:p>
        </w:tc>
        <w:tc>
          <w:tcPr>
            <w:tcW w:w="850" w:type="dxa"/>
            <w:tcBorders>
              <w:top w:val="nil"/>
              <w:left w:val="nil"/>
              <w:bottom w:val="nil"/>
              <w:right w:val="nil"/>
            </w:tcBorders>
            <w:shd w:val="clear" w:color="auto" w:fill="auto"/>
            <w:noWrap/>
            <w:vAlign w:val="center"/>
            <w:hideMark/>
          </w:tcPr>
          <w:p w14:paraId="69A04FB3"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w:t>
            </w:r>
          </w:p>
        </w:tc>
        <w:tc>
          <w:tcPr>
            <w:tcW w:w="1051" w:type="dxa"/>
            <w:tcBorders>
              <w:top w:val="nil"/>
              <w:left w:val="nil"/>
              <w:bottom w:val="nil"/>
              <w:right w:val="nil"/>
            </w:tcBorders>
            <w:shd w:val="clear" w:color="auto" w:fill="auto"/>
            <w:noWrap/>
            <w:vAlign w:val="center"/>
            <w:hideMark/>
          </w:tcPr>
          <w:p w14:paraId="461E77C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19E5901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w:t>
            </w:r>
          </w:p>
        </w:tc>
        <w:tc>
          <w:tcPr>
            <w:tcW w:w="708" w:type="dxa"/>
            <w:tcBorders>
              <w:top w:val="nil"/>
              <w:left w:val="nil"/>
              <w:bottom w:val="nil"/>
              <w:right w:val="nil"/>
            </w:tcBorders>
            <w:shd w:val="clear" w:color="auto" w:fill="auto"/>
            <w:noWrap/>
            <w:vAlign w:val="center"/>
            <w:hideMark/>
          </w:tcPr>
          <w:p w14:paraId="16D4AB4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77BC7B9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4DF43A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54331CD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0</w:t>
            </w:r>
          </w:p>
        </w:tc>
        <w:tc>
          <w:tcPr>
            <w:tcW w:w="1001" w:type="dxa"/>
            <w:tcBorders>
              <w:top w:val="nil"/>
              <w:left w:val="nil"/>
              <w:bottom w:val="nil"/>
              <w:right w:val="nil"/>
            </w:tcBorders>
            <w:shd w:val="clear" w:color="auto" w:fill="auto"/>
            <w:noWrap/>
            <w:vAlign w:val="center"/>
            <w:hideMark/>
          </w:tcPr>
          <w:p w14:paraId="47E5F5F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5C18DAD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66%</w:t>
            </w:r>
          </w:p>
        </w:tc>
      </w:tr>
      <w:tr w:rsidR="0028350E" w:rsidRPr="007364B1" w14:paraId="1E62D4A5" w14:textId="77777777" w:rsidTr="00AA33F9">
        <w:trPr>
          <w:trHeight w:val="360"/>
        </w:trPr>
        <w:tc>
          <w:tcPr>
            <w:tcW w:w="1985" w:type="dxa"/>
            <w:tcBorders>
              <w:top w:val="nil"/>
              <w:left w:val="nil"/>
              <w:bottom w:val="nil"/>
              <w:right w:val="nil"/>
            </w:tcBorders>
            <w:shd w:val="clear" w:color="auto" w:fill="auto"/>
            <w:noWrap/>
            <w:vAlign w:val="bottom"/>
            <w:hideMark/>
          </w:tcPr>
          <w:p w14:paraId="230E6E7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7BB0C5A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24</w:t>
            </w:r>
          </w:p>
        </w:tc>
        <w:tc>
          <w:tcPr>
            <w:tcW w:w="1026" w:type="dxa"/>
            <w:tcBorders>
              <w:top w:val="nil"/>
              <w:left w:val="nil"/>
              <w:bottom w:val="nil"/>
              <w:right w:val="nil"/>
            </w:tcBorders>
            <w:shd w:val="clear" w:color="auto" w:fill="auto"/>
            <w:noWrap/>
            <w:vAlign w:val="center"/>
            <w:hideMark/>
          </w:tcPr>
          <w:p w14:paraId="479BDCF4"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30</w:t>
            </w:r>
          </w:p>
        </w:tc>
        <w:tc>
          <w:tcPr>
            <w:tcW w:w="851" w:type="dxa"/>
            <w:tcBorders>
              <w:top w:val="nil"/>
              <w:left w:val="nil"/>
              <w:bottom w:val="nil"/>
              <w:right w:val="nil"/>
            </w:tcBorders>
            <w:shd w:val="clear" w:color="000000" w:fill="FCE3E6"/>
            <w:noWrap/>
            <w:vAlign w:val="center"/>
            <w:hideMark/>
          </w:tcPr>
          <w:p w14:paraId="4178608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+24%</w:t>
            </w:r>
          </w:p>
        </w:tc>
        <w:tc>
          <w:tcPr>
            <w:tcW w:w="992" w:type="dxa"/>
            <w:tcBorders>
              <w:top w:val="nil"/>
              <w:left w:val="nil"/>
              <w:bottom w:val="nil"/>
              <w:right w:val="nil"/>
            </w:tcBorders>
            <w:shd w:val="clear" w:color="auto" w:fill="auto"/>
            <w:noWrap/>
            <w:vAlign w:val="center"/>
            <w:hideMark/>
          </w:tcPr>
          <w:p w14:paraId="421BAD0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28</w:t>
            </w:r>
          </w:p>
        </w:tc>
        <w:tc>
          <w:tcPr>
            <w:tcW w:w="850" w:type="dxa"/>
            <w:tcBorders>
              <w:top w:val="nil"/>
              <w:left w:val="nil"/>
              <w:bottom w:val="nil"/>
              <w:right w:val="nil"/>
            </w:tcBorders>
            <w:shd w:val="clear" w:color="auto" w:fill="auto"/>
            <w:noWrap/>
            <w:vAlign w:val="center"/>
            <w:hideMark/>
          </w:tcPr>
          <w:p w14:paraId="3AC9AFC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w:t>
            </w:r>
          </w:p>
        </w:tc>
        <w:tc>
          <w:tcPr>
            <w:tcW w:w="1051" w:type="dxa"/>
            <w:tcBorders>
              <w:top w:val="nil"/>
              <w:left w:val="nil"/>
              <w:bottom w:val="nil"/>
              <w:right w:val="nil"/>
            </w:tcBorders>
            <w:shd w:val="clear" w:color="auto" w:fill="auto"/>
            <w:noWrap/>
            <w:vAlign w:val="center"/>
            <w:hideMark/>
          </w:tcPr>
          <w:p w14:paraId="6669FF2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0B6F219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5</w:t>
            </w:r>
          </w:p>
        </w:tc>
        <w:tc>
          <w:tcPr>
            <w:tcW w:w="708" w:type="dxa"/>
            <w:tcBorders>
              <w:top w:val="nil"/>
              <w:left w:val="nil"/>
              <w:bottom w:val="nil"/>
              <w:right w:val="nil"/>
            </w:tcBorders>
            <w:shd w:val="clear" w:color="auto" w:fill="auto"/>
            <w:noWrap/>
            <w:vAlign w:val="center"/>
            <w:hideMark/>
          </w:tcPr>
          <w:p w14:paraId="41675E5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359AFEF5"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633BE3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w:t>
            </w:r>
          </w:p>
        </w:tc>
        <w:tc>
          <w:tcPr>
            <w:tcW w:w="1354" w:type="dxa"/>
            <w:tcBorders>
              <w:top w:val="nil"/>
              <w:left w:val="nil"/>
              <w:bottom w:val="nil"/>
              <w:right w:val="nil"/>
            </w:tcBorders>
            <w:shd w:val="clear" w:color="auto" w:fill="auto"/>
            <w:noWrap/>
            <w:vAlign w:val="center"/>
            <w:hideMark/>
          </w:tcPr>
          <w:p w14:paraId="5A1438B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8</w:t>
            </w:r>
          </w:p>
        </w:tc>
        <w:tc>
          <w:tcPr>
            <w:tcW w:w="1001" w:type="dxa"/>
            <w:tcBorders>
              <w:top w:val="nil"/>
              <w:left w:val="nil"/>
              <w:bottom w:val="nil"/>
              <w:right w:val="nil"/>
            </w:tcBorders>
            <w:shd w:val="clear" w:color="auto" w:fill="auto"/>
            <w:noWrap/>
            <w:vAlign w:val="center"/>
            <w:hideMark/>
          </w:tcPr>
          <w:p w14:paraId="54CF9E7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84%</w:t>
            </w:r>
          </w:p>
        </w:tc>
        <w:tc>
          <w:tcPr>
            <w:tcW w:w="992" w:type="dxa"/>
            <w:tcBorders>
              <w:top w:val="nil"/>
              <w:left w:val="nil"/>
              <w:bottom w:val="nil"/>
              <w:right w:val="nil"/>
            </w:tcBorders>
            <w:shd w:val="clear" w:color="000000" w:fill="FCDBDD"/>
            <w:noWrap/>
            <w:vAlign w:val="center"/>
            <w:hideMark/>
          </w:tcPr>
          <w:p w14:paraId="3BFE1B1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126%</w:t>
            </w:r>
          </w:p>
        </w:tc>
      </w:tr>
      <w:tr w:rsidR="0028350E" w:rsidRPr="007364B1" w14:paraId="4D031AD9"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50847EC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05FF9087"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325</w:t>
            </w:r>
          </w:p>
        </w:tc>
        <w:tc>
          <w:tcPr>
            <w:tcW w:w="1026" w:type="dxa"/>
            <w:tcBorders>
              <w:top w:val="nil"/>
              <w:left w:val="nil"/>
              <w:bottom w:val="single" w:sz="4" w:space="0" w:color="auto"/>
              <w:right w:val="nil"/>
            </w:tcBorders>
            <w:shd w:val="clear" w:color="auto" w:fill="auto"/>
            <w:noWrap/>
            <w:vAlign w:val="center"/>
            <w:hideMark/>
          </w:tcPr>
          <w:p w14:paraId="3858396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386</w:t>
            </w:r>
          </w:p>
        </w:tc>
        <w:tc>
          <w:tcPr>
            <w:tcW w:w="851" w:type="dxa"/>
            <w:tcBorders>
              <w:top w:val="nil"/>
              <w:left w:val="nil"/>
              <w:bottom w:val="single" w:sz="4" w:space="0" w:color="auto"/>
              <w:right w:val="nil"/>
            </w:tcBorders>
            <w:shd w:val="clear" w:color="000000" w:fill="FCE6E8"/>
            <w:noWrap/>
            <w:vAlign w:val="center"/>
            <w:hideMark/>
          </w:tcPr>
          <w:p w14:paraId="2B9FCEC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+19%</w:t>
            </w:r>
          </w:p>
        </w:tc>
        <w:tc>
          <w:tcPr>
            <w:tcW w:w="992" w:type="dxa"/>
            <w:tcBorders>
              <w:top w:val="nil"/>
              <w:left w:val="nil"/>
              <w:bottom w:val="single" w:sz="4" w:space="0" w:color="auto"/>
              <w:right w:val="nil"/>
            </w:tcBorders>
            <w:shd w:val="clear" w:color="auto" w:fill="auto"/>
            <w:noWrap/>
            <w:vAlign w:val="center"/>
            <w:hideMark/>
          </w:tcPr>
          <w:p w14:paraId="2CCCB3B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433</w:t>
            </w:r>
          </w:p>
        </w:tc>
        <w:tc>
          <w:tcPr>
            <w:tcW w:w="850" w:type="dxa"/>
            <w:tcBorders>
              <w:top w:val="nil"/>
              <w:left w:val="nil"/>
              <w:bottom w:val="single" w:sz="4" w:space="0" w:color="auto"/>
              <w:right w:val="nil"/>
            </w:tcBorders>
            <w:shd w:val="clear" w:color="auto" w:fill="auto"/>
            <w:noWrap/>
            <w:vAlign w:val="center"/>
            <w:hideMark/>
          </w:tcPr>
          <w:p w14:paraId="44180E6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81</w:t>
            </w:r>
          </w:p>
        </w:tc>
        <w:tc>
          <w:tcPr>
            <w:tcW w:w="1051" w:type="dxa"/>
            <w:tcBorders>
              <w:top w:val="nil"/>
              <w:left w:val="nil"/>
              <w:bottom w:val="single" w:sz="4" w:space="0" w:color="auto"/>
              <w:right w:val="nil"/>
            </w:tcBorders>
            <w:shd w:val="clear" w:color="auto" w:fill="auto"/>
            <w:noWrap/>
            <w:vAlign w:val="center"/>
            <w:hideMark/>
          </w:tcPr>
          <w:p w14:paraId="69EDA73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w:t>
            </w:r>
          </w:p>
        </w:tc>
        <w:tc>
          <w:tcPr>
            <w:tcW w:w="869" w:type="dxa"/>
            <w:tcBorders>
              <w:top w:val="nil"/>
              <w:left w:val="nil"/>
              <w:bottom w:val="single" w:sz="4" w:space="0" w:color="auto"/>
              <w:right w:val="nil"/>
            </w:tcBorders>
            <w:shd w:val="clear" w:color="auto" w:fill="auto"/>
            <w:noWrap/>
            <w:vAlign w:val="center"/>
            <w:hideMark/>
          </w:tcPr>
          <w:p w14:paraId="5D33BC7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83</w:t>
            </w:r>
          </w:p>
        </w:tc>
        <w:tc>
          <w:tcPr>
            <w:tcW w:w="708" w:type="dxa"/>
            <w:tcBorders>
              <w:top w:val="nil"/>
              <w:left w:val="nil"/>
              <w:bottom w:val="single" w:sz="4" w:space="0" w:color="auto"/>
              <w:right w:val="nil"/>
            </w:tcBorders>
            <w:shd w:val="clear" w:color="auto" w:fill="auto"/>
            <w:noWrap/>
            <w:vAlign w:val="center"/>
            <w:hideMark/>
          </w:tcPr>
          <w:p w14:paraId="24D328B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single" w:sz="4" w:space="0" w:color="auto"/>
              <w:right w:val="nil"/>
            </w:tcBorders>
            <w:shd w:val="clear" w:color="auto" w:fill="auto"/>
            <w:noWrap/>
            <w:vAlign w:val="center"/>
            <w:hideMark/>
          </w:tcPr>
          <w:p w14:paraId="53CE6A8B"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30DA43D1"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98</w:t>
            </w:r>
          </w:p>
        </w:tc>
        <w:tc>
          <w:tcPr>
            <w:tcW w:w="1354" w:type="dxa"/>
            <w:tcBorders>
              <w:top w:val="nil"/>
              <w:left w:val="nil"/>
              <w:bottom w:val="single" w:sz="4" w:space="0" w:color="auto"/>
              <w:right w:val="nil"/>
            </w:tcBorders>
            <w:shd w:val="clear" w:color="auto" w:fill="auto"/>
            <w:noWrap/>
            <w:vAlign w:val="center"/>
            <w:hideMark/>
          </w:tcPr>
          <w:p w14:paraId="4068834A"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42</w:t>
            </w:r>
          </w:p>
        </w:tc>
        <w:tc>
          <w:tcPr>
            <w:tcW w:w="1001" w:type="dxa"/>
            <w:tcBorders>
              <w:top w:val="nil"/>
              <w:left w:val="nil"/>
              <w:bottom w:val="single" w:sz="4" w:space="0" w:color="auto"/>
              <w:right w:val="nil"/>
            </w:tcBorders>
            <w:shd w:val="clear" w:color="auto" w:fill="auto"/>
            <w:noWrap/>
            <w:vAlign w:val="center"/>
            <w:hideMark/>
          </w:tcPr>
          <w:p w14:paraId="048189F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234%</w:t>
            </w:r>
          </w:p>
        </w:tc>
        <w:tc>
          <w:tcPr>
            <w:tcW w:w="992" w:type="dxa"/>
            <w:tcBorders>
              <w:top w:val="nil"/>
              <w:left w:val="nil"/>
              <w:bottom w:val="single" w:sz="4" w:space="0" w:color="auto"/>
              <w:right w:val="nil"/>
            </w:tcBorders>
            <w:shd w:val="clear" w:color="000000" w:fill="FCFCFF"/>
            <w:noWrap/>
            <w:vAlign w:val="center"/>
            <w:hideMark/>
          </w:tcPr>
          <w:p w14:paraId="7896D1FF"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118%</w:t>
            </w:r>
          </w:p>
        </w:tc>
      </w:tr>
      <w:tr w:rsidR="0028350E" w:rsidRPr="007364B1" w14:paraId="604F6FBF"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0B29D06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5E2BA8A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72,258</w:t>
            </w:r>
          </w:p>
        </w:tc>
        <w:tc>
          <w:tcPr>
            <w:tcW w:w="1026" w:type="dxa"/>
            <w:tcBorders>
              <w:top w:val="nil"/>
              <w:left w:val="nil"/>
              <w:bottom w:val="single" w:sz="4" w:space="0" w:color="auto"/>
              <w:right w:val="nil"/>
            </w:tcBorders>
            <w:shd w:val="clear" w:color="auto" w:fill="auto"/>
            <w:noWrap/>
            <w:vAlign w:val="center"/>
            <w:hideMark/>
          </w:tcPr>
          <w:p w14:paraId="4BF2B85C"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107,742</w:t>
            </w:r>
          </w:p>
        </w:tc>
        <w:tc>
          <w:tcPr>
            <w:tcW w:w="851" w:type="dxa"/>
            <w:tcBorders>
              <w:top w:val="single" w:sz="4" w:space="0" w:color="auto"/>
              <w:left w:val="nil"/>
              <w:bottom w:val="single" w:sz="4" w:space="0" w:color="auto"/>
              <w:right w:val="nil"/>
            </w:tcBorders>
            <w:shd w:val="clear" w:color="000000" w:fill="F8696B"/>
            <w:noWrap/>
            <w:vAlign w:val="center"/>
            <w:hideMark/>
          </w:tcPr>
          <w:p w14:paraId="39976E2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+49%</w:t>
            </w:r>
          </w:p>
        </w:tc>
        <w:tc>
          <w:tcPr>
            <w:tcW w:w="992" w:type="dxa"/>
            <w:tcBorders>
              <w:top w:val="nil"/>
              <w:left w:val="nil"/>
              <w:bottom w:val="single" w:sz="4" w:space="0" w:color="auto"/>
              <w:right w:val="nil"/>
            </w:tcBorders>
            <w:shd w:val="clear" w:color="auto" w:fill="auto"/>
            <w:noWrap/>
            <w:vAlign w:val="center"/>
            <w:hideMark/>
          </w:tcPr>
          <w:p w14:paraId="016981A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118,618</w:t>
            </w:r>
          </w:p>
        </w:tc>
        <w:tc>
          <w:tcPr>
            <w:tcW w:w="850" w:type="dxa"/>
            <w:tcBorders>
              <w:top w:val="nil"/>
              <w:left w:val="nil"/>
              <w:bottom w:val="single" w:sz="4" w:space="0" w:color="auto"/>
              <w:right w:val="nil"/>
            </w:tcBorders>
            <w:shd w:val="clear" w:color="auto" w:fill="auto"/>
            <w:noWrap/>
            <w:vAlign w:val="center"/>
            <w:hideMark/>
          </w:tcPr>
          <w:p w14:paraId="479F689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18,543</w:t>
            </w:r>
          </w:p>
        </w:tc>
        <w:tc>
          <w:tcPr>
            <w:tcW w:w="1051" w:type="dxa"/>
            <w:tcBorders>
              <w:top w:val="nil"/>
              <w:left w:val="nil"/>
              <w:bottom w:val="single" w:sz="4" w:space="0" w:color="auto"/>
              <w:right w:val="nil"/>
            </w:tcBorders>
            <w:shd w:val="clear" w:color="auto" w:fill="auto"/>
            <w:noWrap/>
            <w:vAlign w:val="center"/>
            <w:hideMark/>
          </w:tcPr>
          <w:p w14:paraId="497D286D"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3,326</w:t>
            </w:r>
          </w:p>
        </w:tc>
        <w:tc>
          <w:tcPr>
            <w:tcW w:w="869" w:type="dxa"/>
            <w:tcBorders>
              <w:top w:val="nil"/>
              <w:left w:val="nil"/>
              <w:bottom w:val="single" w:sz="4" w:space="0" w:color="auto"/>
              <w:right w:val="nil"/>
            </w:tcBorders>
            <w:shd w:val="clear" w:color="auto" w:fill="auto"/>
            <w:noWrap/>
            <w:vAlign w:val="center"/>
            <w:hideMark/>
          </w:tcPr>
          <w:p w14:paraId="6184B749"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21,870</w:t>
            </w:r>
          </w:p>
        </w:tc>
        <w:tc>
          <w:tcPr>
            <w:tcW w:w="708" w:type="dxa"/>
            <w:tcBorders>
              <w:top w:val="nil"/>
              <w:left w:val="nil"/>
              <w:bottom w:val="single" w:sz="4" w:space="0" w:color="auto"/>
              <w:right w:val="nil"/>
            </w:tcBorders>
            <w:shd w:val="clear" w:color="auto" w:fill="auto"/>
            <w:noWrap/>
            <w:vAlign w:val="center"/>
            <w:hideMark/>
          </w:tcPr>
          <w:p w14:paraId="3B78559E"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0</w:t>
            </w:r>
          </w:p>
        </w:tc>
        <w:tc>
          <w:tcPr>
            <w:tcW w:w="1011" w:type="dxa"/>
            <w:tcBorders>
              <w:top w:val="nil"/>
              <w:left w:val="nil"/>
              <w:bottom w:val="single" w:sz="4" w:space="0" w:color="auto"/>
              <w:right w:val="nil"/>
            </w:tcBorders>
            <w:shd w:val="clear" w:color="auto" w:fill="auto"/>
            <w:noWrap/>
            <w:vAlign w:val="center"/>
            <w:hideMark/>
          </w:tcPr>
          <w:p w14:paraId="12797008"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-2,759</w:t>
            </w:r>
          </w:p>
        </w:tc>
        <w:tc>
          <w:tcPr>
            <w:tcW w:w="973" w:type="dxa"/>
            <w:tcBorders>
              <w:top w:val="nil"/>
              <w:left w:val="nil"/>
              <w:bottom w:val="single" w:sz="4" w:space="0" w:color="auto"/>
              <w:right w:val="nil"/>
            </w:tcBorders>
            <w:shd w:val="clear" w:color="auto" w:fill="auto"/>
            <w:noWrap/>
            <w:vAlign w:val="center"/>
            <w:hideMark/>
          </w:tcPr>
          <w:p w14:paraId="57CBB06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31,837</w:t>
            </w:r>
          </w:p>
        </w:tc>
        <w:tc>
          <w:tcPr>
            <w:tcW w:w="1354" w:type="dxa"/>
            <w:tcBorders>
              <w:top w:val="nil"/>
              <w:left w:val="nil"/>
              <w:bottom w:val="single" w:sz="4" w:space="0" w:color="auto"/>
              <w:right w:val="nil"/>
            </w:tcBorders>
            <w:shd w:val="clear" w:color="auto" w:fill="auto"/>
            <w:noWrap/>
            <w:vAlign w:val="center"/>
            <w:hideMark/>
          </w:tcPr>
          <w:p w14:paraId="3C3A7266"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sz w:val="18"/>
                <w:szCs w:val="18"/>
              </w:rPr>
              <w:t>25,774</w:t>
            </w:r>
          </w:p>
        </w:tc>
        <w:tc>
          <w:tcPr>
            <w:tcW w:w="1001" w:type="dxa"/>
            <w:tcBorders>
              <w:top w:val="nil"/>
              <w:left w:val="nil"/>
              <w:bottom w:val="single" w:sz="4" w:space="0" w:color="auto"/>
              <w:right w:val="nil"/>
            </w:tcBorders>
            <w:shd w:val="clear" w:color="auto" w:fill="auto"/>
            <w:noWrap/>
            <w:vAlign w:val="center"/>
            <w:hideMark/>
          </w:tcPr>
          <w:p w14:paraId="294381E2"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124%</w:t>
            </w:r>
          </w:p>
        </w:tc>
        <w:tc>
          <w:tcPr>
            <w:tcW w:w="992" w:type="dxa"/>
            <w:tcBorders>
              <w:top w:val="single" w:sz="4" w:space="0" w:color="auto"/>
              <w:left w:val="nil"/>
              <w:bottom w:val="single" w:sz="4" w:space="0" w:color="auto"/>
              <w:right w:val="nil"/>
            </w:tcBorders>
            <w:shd w:val="clear" w:color="000000" w:fill="FBC1C3"/>
            <w:noWrap/>
            <w:vAlign w:val="center"/>
            <w:hideMark/>
          </w:tcPr>
          <w:p w14:paraId="1DDA71E0" w14:textId="77777777" w:rsidR="0028350E" w:rsidRPr="00C05604" w:rsidRDefault="0028350E" w:rsidP="002A2ED9">
            <w:pPr>
              <w:spacing w:before="0" w:after="0"/>
              <w:jc w:val="right"/>
              <w:rPr>
                <w:rFonts w:ascii="Blanco" w:eastAsia="Times New Roman" w:hAnsi="Blanco" w:cs="Times New Roman"/>
                <w:color w:val="231F20"/>
                <w:sz w:val="18"/>
                <w:szCs w:val="18"/>
                <w:lang w:val="en-AU" w:eastAsia="en-AU"/>
              </w:rPr>
            </w:pPr>
            <w:r w:rsidRPr="00C05604">
              <w:rPr>
                <w:rFonts w:ascii="Blanco" w:hAnsi="Blanco"/>
                <w:color w:val="231F20"/>
                <w:sz w:val="18"/>
                <w:szCs w:val="18"/>
              </w:rPr>
              <w:t>133%</w:t>
            </w:r>
          </w:p>
        </w:tc>
      </w:tr>
    </w:tbl>
    <w:p w14:paraId="5E9EF600" w14:textId="77777777" w:rsidR="00AA33F9" w:rsidRDefault="00AA33F9" w:rsidP="004801BF">
      <w:pPr>
        <w:pStyle w:val="Tablenotesnumbers"/>
      </w:pPr>
      <w:r>
        <w:t>Steady state number is the sum of exits and the number aging out</w:t>
      </w:r>
    </w:p>
    <w:p w14:paraId="627ED644" w14:textId="3FC40920" w:rsidR="0028350E" w:rsidRDefault="00AA33F9" w:rsidP="004801BF">
      <w:pPr>
        <w:pStyle w:val="Tablenotesnumbers"/>
      </w:pPr>
      <w:r>
        <w:t>The ratio of entries / steady state in the final column is the sum of new entries, transfers and numbers aging in divided by the steady state number.</w:t>
      </w:r>
    </w:p>
    <w:p w14:paraId="36EECD6A" w14:textId="77777777" w:rsidR="0028350E" w:rsidRDefault="0028350E" w:rsidP="00A52191">
      <w:pPr>
        <w:pStyle w:val="AppendixH3"/>
      </w:pPr>
      <w:r w:rsidRPr="009E1993">
        <w:t xml:space="preserve">Flows of participant numbers in and out of disability types, for participants aged </w:t>
      </w:r>
      <w:r>
        <w:t>7</w:t>
      </w:r>
      <w:r w:rsidRPr="009E1993">
        <w:t>-</w:t>
      </w:r>
      <w:r>
        <w:t>14</w:t>
      </w:r>
    </w:p>
    <w:tbl>
      <w:tblPr>
        <w:tblW w:w="14547" w:type="dxa"/>
        <w:tblInd w:w="108" w:type="dxa"/>
        <w:tblLook w:val="04A0" w:firstRow="1" w:lastRow="0" w:firstColumn="1" w:lastColumn="0" w:noHBand="0" w:noVBand="1"/>
      </w:tblPr>
      <w:tblGrid>
        <w:gridCol w:w="1985"/>
        <w:gridCol w:w="884"/>
        <w:gridCol w:w="1026"/>
        <w:gridCol w:w="851"/>
        <w:gridCol w:w="992"/>
        <w:gridCol w:w="850"/>
        <w:gridCol w:w="1051"/>
        <w:gridCol w:w="869"/>
        <w:gridCol w:w="708"/>
        <w:gridCol w:w="1011"/>
        <w:gridCol w:w="973"/>
        <w:gridCol w:w="1354"/>
        <w:gridCol w:w="1001"/>
        <w:gridCol w:w="992"/>
      </w:tblGrid>
      <w:tr w:rsidR="00ED2FC8" w:rsidRPr="007364B1" w14:paraId="3B0C88A2"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024B25C4"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17F483E8"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1026" w:type="dxa"/>
            <w:tcBorders>
              <w:top w:val="single" w:sz="4" w:space="0" w:color="auto"/>
              <w:left w:val="nil"/>
              <w:bottom w:val="single" w:sz="4" w:space="0" w:color="auto"/>
              <w:right w:val="nil"/>
            </w:tcBorders>
            <w:shd w:val="clear" w:color="auto" w:fill="auto"/>
            <w:vAlign w:val="bottom"/>
            <w:hideMark/>
          </w:tcPr>
          <w:p w14:paraId="1A751B80"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19ACBB2B" w14:textId="0577919A"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129526E8" w14:textId="066626FB"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7F02544A" w14:textId="3CDFDE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17689C10" w14:textId="386FDE7D"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2337CAFC" w14:textId="2AFEFF3D"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08" w:type="dxa"/>
            <w:tcBorders>
              <w:top w:val="single" w:sz="4" w:space="0" w:color="auto"/>
              <w:left w:val="nil"/>
              <w:bottom w:val="single" w:sz="4" w:space="0" w:color="auto"/>
              <w:right w:val="nil"/>
            </w:tcBorders>
            <w:shd w:val="clear" w:color="auto" w:fill="auto"/>
            <w:vAlign w:val="bottom"/>
            <w:hideMark/>
          </w:tcPr>
          <w:p w14:paraId="2E72EFBA" w14:textId="792C2635"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0A6385A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270BB575" w14:textId="30C7E495"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073D1629" w14:textId="47E40993"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4D87CF67"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6E2C7835"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17F8BBF4" w14:textId="77777777" w:rsidTr="00AA33F9">
        <w:trPr>
          <w:trHeight w:val="360"/>
        </w:trPr>
        <w:tc>
          <w:tcPr>
            <w:tcW w:w="1985" w:type="dxa"/>
            <w:tcBorders>
              <w:top w:val="nil"/>
              <w:left w:val="nil"/>
              <w:bottom w:val="nil"/>
              <w:right w:val="nil"/>
            </w:tcBorders>
            <w:shd w:val="clear" w:color="auto" w:fill="auto"/>
            <w:noWrap/>
            <w:vAlign w:val="bottom"/>
            <w:hideMark/>
          </w:tcPr>
          <w:p w14:paraId="6AE2809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0E6C4DF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523</w:t>
            </w:r>
          </w:p>
        </w:tc>
        <w:tc>
          <w:tcPr>
            <w:tcW w:w="1026" w:type="dxa"/>
            <w:tcBorders>
              <w:top w:val="nil"/>
              <w:left w:val="nil"/>
              <w:bottom w:val="nil"/>
              <w:right w:val="nil"/>
            </w:tcBorders>
            <w:shd w:val="clear" w:color="auto" w:fill="auto"/>
            <w:noWrap/>
            <w:vAlign w:val="center"/>
            <w:hideMark/>
          </w:tcPr>
          <w:p w14:paraId="6BF6E0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542</w:t>
            </w:r>
          </w:p>
        </w:tc>
        <w:tc>
          <w:tcPr>
            <w:tcW w:w="851" w:type="dxa"/>
            <w:tcBorders>
              <w:top w:val="nil"/>
              <w:left w:val="nil"/>
              <w:bottom w:val="nil"/>
              <w:right w:val="nil"/>
            </w:tcBorders>
            <w:shd w:val="clear" w:color="000000" w:fill="FA9C9E"/>
            <w:noWrap/>
            <w:vAlign w:val="center"/>
            <w:hideMark/>
          </w:tcPr>
          <w:p w14:paraId="791B18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92" w:type="dxa"/>
            <w:tcBorders>
              <w:top w:val="nil"/>
              <w:left w:val="nil"/>
              <w:bottom w:val="nil"/>
              <w:right w:val="nil"/>
            </w:tcBorders>
            <w:shd w:val="clear" w:color="auto" w:fill="auto"/>
            <w:noWrap/>
            <w:vAlign w:val="center"/>
            <w:hideMark/>
          </w:tcPr>
          <w:p w14:paraId="1F9716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440</w:t>
            </w:r>
          </w:p>
        </w:tc>
        <w:tc>
          <w:tcPr>
            <w:tcW w:w="850" w:type="dxa"/>
            <w:tcBorders>
              <w:top w:val="nil"/>
              <w:left w:val="nil"/>
              <w:bottom w:val="nil"/>
              <w:right w:val="nil"/>
            </w:tcBorders>
            <w:shd w:val="clear" w:color="auto" w:fill="auto"/>
            <w:noWrap/>
            <w:vAlign w:val="center"/>
            <w:hideMark/>
          </w:tcPr>
          <w:p w14:paraId="023EA33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1051" w:type="dxa"/>
            <w:tcBorders>
              <w:top w:val="nil"/>
              <w:left w:val="nil"/>
              <w:bottom w:val="nil"/>
              <w:right w:val="nil"/>
            </w:tcBorders>
            <w:shd w:val="clear" w:color="auto" w:fill="auto"/>
            <w:noWrap/>
            <w:vAlign w:val="center"/>
            <w:hideMark/>
          </w:tcPr>
          <w:p w14:paraId="3807833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869" w:type="dxa"/>
            <w:tcBorders>
              <w:top w:val="nil"/>
              <w:left w:val="nil"/>
              <w:bottom w:val="nil"/>
              <w:right w:val="nil"/>
            </w:tcBorders>
            <w:shd w:val="clear" w:color="auto" w:fill="auto"/>
            <w:noWrap/>
            <w:vAlign w:val="center"/>
            <w:hideMark/>
          </w:tcPr>
          <w:p w14:paraId="13429F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w:t>
            </w:r>
          </w:p>
        </w:tc>
        <w:tc>
          <w:tcPr>
            <w:tcW w:w="708" w:type="dxa"/>
            <w:tcBorders>
              <w:top w:val="nil"/>
              <w:left w:val="nil"/>
              <w:bottom w:val="nil"/>
              <w:right w:val="nil"/>
            </w:tcBorders>
            <w:shd w:val="clear" w:color="auto" w:fill="auto"/>
            <w:noWrap/>
            <w:vAlign w:val="center"/>
            <w:hideMark/>
          </w:tcPr>
          <w:p w14:paraId="7DE7B7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w:t>
            </w:r>
          </w:p>
        </w:tc>
        <w:tc>
          <w:tcPr>
            <w:tcW w:w="1011" w:type="dxa"/>
            <w:tcBorders>
              <w:top w:val="nil"/>
              <w:left w:val="nil"/>
              <w:bottom w:val="nil"/>
              <w:right w:val="nil"/>
            </w:tcBorders>
            <w:shd w:val="clear" w:color="auto" w:fill="auto"/>
            <w:noWrap/>
            <w:vAlign w:val="center"/>
            <w:hideMark/>
          </w:tcPr>
          <w:p w14:paraId="3D8417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F765D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w:t>
            </w:r>
          </w:p>
        </w:tc>
        <w:tc>
          <w:tcPr>
            <w:tcW w:w="1354" w:type="dxa"/>
            <w:tcBorders>
              <w:top w:val="nil"/>
              <w:left w:val="nil"/>
              <w:bottom w:val="nil"/>
              <w:right w:val="nil"/>
            </w:tcBorders>
            <w:shd w:val="clear" w:color="auto" w:fill="auto"/>
            <w:noWrap/>
            <w:vAlign w:val="center"/>
            <w:hideMark/>
          </w:tcPr>
          <w:p w14:paraId="4AE0FA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1001" w:type="dxa"/>
            <w:tcBorders>
              <w:top w:val="nil"/>
              <w:left w:val="nil"/>
              <w:bottom w:val="nil"/>
              <w:right w:val="nil"/>
            </w:tcBorders>
            <w:shd w:val="clear" w:color="auto" w:fill="auto"/>
            <w:noWrap/>
            <w:vAlign w:val="center"/>
            <w:hideMark/>
          </w:tcPr>
          <w:p w14:paraId="33FB11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72%</w:t>
            </w:r>
          </w:p>
        </w:tc>
        <w:tc>
          <w:tcPr>
            <w:tcW w:w="992" w:type="dxa"/>
            <w:tcBorders>
              <w:top w:val="nil"/>
              <w:left w:val="nil"/>
              <w:bottom w:val="nil"/>
              <w:right w:val="nil"/>
            </w:tcBorders>
            <w:shd w:val="clear" w:color="000000" w:fill="F0F3FA"/>
            <w:noWrap/>
            <w:vAlign w:val="center"/>
            <w:hideMark/>
          </w:tcPr>
          <w:p w14:paraId="41CE073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105%</w:t>
            </w:r>
          </w:p>
        </w:tc>
      </w:tr>
      <w:tr w:rsidR="0028350E" w:rsidRPr="007364B1" w14:paraId="70BA29B4" w14:textId="77777777" w:rsidTr="00AA33F9">
        <w:trPr>
          <w:trHeight w:val="360"/>
        </w:trPr>
        <w:tc>
          <w:tcPr>
            <w:tcW w:w="1985" w:type="dxa"/>
            <w:tcBorders>
              <w:top w:val="nil"/>
              <w:left w:val="nil"/>
              <w:bottom w:val="nil"/>
              <w:right w:val="nil"/>
            </w:tcBorders>
            <w:shd w:val="clear" w:color="auto" w:fill="auto"/>
            <w:noWrap/>
            <w:vAlign w:val="bottom"/>
            <w:hideMark/>
          </w:tcPr>
          <w:p w14:paraId="3C4F3EB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472663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80,972</w:t>
            </w:r>
          </w:p>
        </w:tc>
        <w:tc>
          <w:tcPr>
            <w:tcW w:w="1026" w:type="dxa"/>
            <w:tcBorders>
              <w:top w:val="nil"/>
              <w:left w:val="nil"/>
              <w:bottom w:val="nil"/>
              <w:right w:val="nil"/>
            </w:tcBorders>
            <w:shd w:val="clear" w:color="auto" w:fill="auto"/>
            <w:noWrap/>
            <w:vAlign w:val="center"/>
            <w:hideMark/>
          </w:tcPr>
          <w:p w14:paraId="26C4F2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113,355</w:t>
            </w:r>
          </w:p>
        </w:tc>
        <w:tc>
          <w:tcPr>
            <w:tcW w:w="851" w:type="dxa"/>
            <w:tcBorders>
              <w:top w:val="nil"/>
              <w:left w:val="nil"/>
              <w:bottom w:val="nil"/>
              <w:right w:val="nil"/>
            </w:tcBorders>
            <w:shd w:val="clear" w:color="000000" w:fill="F97A7C"/>
            <w:noWrap/>
            <w:vAlign w:val="center"/>
            <w:hideMark/>
          </w:tcPr>
          <w:p w14:paraId="6C973A9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w:t>
            </w:r>
          </w:p>
        </w:tc>
        <w:tc>
          <w:tcPr>
            <w:tcW w:w="992" w:type="dxa"/>
            <w:tcBorders>
              <w:top w:val="nil"/>
              <w:left w:val="nil"/>
              <w:bottom w:val="nil"/>
              <w:right w:val="nil"/>
            </w:tcBorders>
            <w:shd w:val="clear" w:color="auto" w:fill="auto"/>
            <w:noWrap/>
            <w:vAlign w:val="center"/>
            <w:hideMark/>
          </w:tcPr>
          <w:p w14:paraId="00B082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129,946</w:t>
            </w:r>
          </w:p>
        </w:tc>
        <w:tc>
          <w:tcPr>
            <w:tcW w:w="850" w:type="dxa"/>
            <w:tcBorders>
              <w:top w:val="nil"/>
              <w:left w:val="nil"/>
              <w:bottom w:val="nil"/>
              <w:right w:val="nil"/>
            </w:tcBorders>
            <w:shd w:val="clear" w:color="auto" w:fill="auto"/>
            <w:noWrap/>
            <w:vAlign w:val="center"/>
            <w:hideMark/>
          </w:tcPr>
          <w:p w14:paraId="0E86D26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10,039</w:t>
            </w:r>
          </w:p>
        </w:tc>
        <w:tc>
          <w:tcPr>
            <w:tcW w:w="1051" w:type="dxa"/>
            <w:tcBorders>
              <w:top w:val="nil"/>
              <w:left w:val="nil"/>
              <w:bottom w:val="nil"/>
              <w:right w:val="nil"/>
            </w:tcBorders>
            <w:shd w:val="clear" w:color="auto" w:fill="auto"/>
            <w:noWrap/>
            <w:vAlign w:val="center"/>
            <w:hideMark/>
          </w:tcPr>
          <w:p w14:paraId="65437D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491</w:t>
            </w:r>
          </w:p>
        </w:tc>
        <w:tc>
          <w:tcPr>
            <w:tcW w:w="869" w:type="dxa"/>
            <w:tcBorders>
              <w:top w:val="nil"/>
              <w:left w:val="nil"/>
              <w:bottom w:val="nil"/>
              <w:right w:val="nil"/>
            </w:tcBorders>
            <w:shd w:val="clear" w:color="auto" w:fill="auto"/>
            <w:noWrap/>
            <w:vAlign w:val="center"/>
            <w:hideMark/>
          </w:tcPr>
          <w:p w14:paraId="694033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10,530</w:t>
            </w:r>
          </w:p>
        </w:tc>
        <w:tc>
          <w:tcPr>
            <w:tcW w:w="708" w:type="dxa"/>
            <w:tcBorders>
              <w:top w:val="nil"/>
              <w:left w:val="nil"/>
              <w:bottom w:val="nil"/>
              <w:right w:val="nil"/>
            </w:tcBorders>
            <w:shd w:val="clear" w:color="auto" w:fill="auto"/>
            <w:noWrap/>
            <w:vAlign w:val="center"/>
            <w:hideMark/>
          </w:tcPr>
          <w:p w14:paraId="5EFA39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8,103</w:t>
            </w:r>
          </w:p>
        </w:tc>
        <w:tc>
          <w:tcPr>
            <w:tcW w:w="1011" w:type="dxa"/>
            <w:tcBorders>
              <w:top w:val="nil"/>
              <w:left w:val="nil"/>
              <w:bottom w:val="nil"/>
              <w:right w:val="nil"/>
            </w:tcBorders>
            <w:shd w:val="clear" w:color="auto" w:fill="auto"/>
            <w:noWrap/>
            <w:vAlign w:val="center"/>
            <w:hideMark/>
          </w:tcPr>
          <w:p w14:paraId="407E84E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2,829</w:t>
            </w:r>
          </w:p>
        </w:tc>
        <w:tc>
          <w:tcPr>
            <w:tcW w:w="973" w:type="dxa"/>
            <w:tcBorders>
              <w:top w:val="nil"/>
              <w:left w:val="nil"/>
              <w:bottom w:val="nil"/>
              <w:right w:val="nil"/>
            </w:tcBorders>
            <w:shd w:val="clear" w:color="auto" w:fill="auto"/>
            <w:noWrap/>
            <w:vAlign w:val="center"/>
            <w:hideMark/>
          </w:tcPr>
          <w:p w14:paraId="50BD71F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7,684</w:t>
            </w:r>
          </w:p>
        </w:tc>
        <w:tc>
          <w:tcPr>
            <w:tcW w:w="1354" w:type="dxa"/>
            <w:tcBorders>
              <w:top w:val="nil"/>
              <w:left w:val="nil"/>
              <w:bottom w:val="nil"/>
              <w:right w:val="nil"/>
            </w:tcBorders>
            <w:shd w:val="clear" w:color="auto" w:fill="auto"/>
            <w:noWrap/>
            <w:vAlign w:val="center"/>
            <w:hideMark/>
          </w:tcPr>
          <w:p w14:paraId="0ECA586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10,116</w:t>
            </w:r>
          </w:p>
        </w:tc>
        <w:tc>
          <w:tcPr>
            <w:tcW w:w="1001" w:type="dxa"/>
            <w:tcBorders>
              <w:top w:val="nil"/>
              <w:left w:val="nil"/>
              <w:bottom w:val="nil"/>
              <w:right w:val="nil"/>
            </w:tcBorders>
            <w:shd w:val="clear" w:color="auto" w:fill="auto"/>
            <w:noWrap/>
            <w:vAlign w:val="center"/>
            <w:hideMark/>
          </w:tcPr>
          <w:p w14:paraId="03AEB72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76%</w:t>
            </w:r>
          </w:p>
        </w:tc>
        <w:tc>
          <w:tcPr>
            <w:tcW w:w="992" w:type="dxa"/>
            <w:tcBorders>
              <w:top w:val="nil"/>
              <w:left w:val="nil"/>
              <w:bottom w:val="nil"/>
              <w:right w:val="nil"/>
            </w:tcBorders>
            <w:shd w:val="clear" w:color="000000" w:fill="F98284"/>
            <w:noWrap/>
            <w:vAlign w:val="center"/>
            <w:hideMark/>
          </w:tcPr>
          <w:p w14:paraId="60B3E7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177%</w:t>
            </w:r>
          </w:p>
        </w:tc>
      </w:tr>
      <w:tr w:rsidR="0028350E" w:rsidRPr="007364B1" w14:paraId="79A8A40F" w14:textId="77777777" w:rsidTr="00AA33F9">
        <w:trPr>
          <w:trHeight w:val="360"/>
        </w:trPr>
        <w:tc>
          <w:tcPr>
            <w:tcW w:w="1985" w:type="dxa"/>
            <w:tcBorders>
              <w:top w:val="nil"/>
              <w:left w:val="nil"/>
              <w:bottom w:val="nil"/>
              <w:right w:val="nil"/>
            </w:tcBorders>
            <w:shd w:val="clear" w:color="auto" w:fill="auto"/>
            <w:noWrap/>
            <w:vAlign w:val="bottom"/>
            <w:hideMark/>
          </w:tcPr>
          <w:p w14:paraId="30DEE0D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71647B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3,801</w:t>
            </w:r>
          </w:p>
        </w:tc>
        <w:tc>
          <w:tcPr>
            <w:tcW w:w="1026" w:type="dxa"/>
            <w:tcBorders>
              <w:top w:val="nil"/>
              <w:left w:val="nil"/>
              <w:bottom w:val="nil"/>
              <w:right w:val="nil"/>
            </w:tcBorders>
            <w:shd w:val="clear" w:color="auto" w:fill="auto"/>
            <w:noWrap/>
            <w:vAlign w:val="center"/>
            <w:hideMark/>
          </w:tcPr>
          <w:p w14:paraId="36D2D2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3,928</w:t>
            </w:r>
          </w:p>
        </w:tc>
        <w:tc>
          <w:tcPr>
            <w:tcW w:w="851" w:type="dxa"/>
            <w:tcBorders>
              <w:top w:val="nil"/>
              <w:left w:val="nil"/>
              <w:bottom w:val="nil"/>
              <w:right w:val="nil"/>
            </w:tcBorders>
            <w:shd w:val="clear" w:color="000000" w:fill="FA9C9E"/>
            <w:noWrap/>
            <w:vAlign w:val="center"/>
            <w:hideMark/>
          </w:tcPr>
          <w:p w14:paraId="50EE24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992" w:type="dxa"/>
            <w:tcBorders>
              <w:top w:val="nil"/>
              <w:left w:val="nil"/>
              <w:bottom w:val="nil"/>
              <w:right w:val="nil"/>
            </w:tcBorders>
            <w:shd w:val="clear" w:color="auto" w:fill="auto"/>
            <w:noWrap/>
            <w:vAlign w:val="center"/>
            <w:hideMark/>
          </w:tcPr>
          <w:p w14:paraId="5AFCBE1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3,968</w:t>
            </w:r>
          </w:p>
        </w:tc>
        <w:tc>
          <w:tcPr>
            <w:tcW w:w="850" w:type="dxa"/>
            <w:tcBorders>
              <w:top w:val="nil"/>
              <w:left w:val="nil"/>
              <w:bottom w:val="nil"/>
              <w:right w:val="nil"/>
            </w:tcBorders>
            <w:shd w:val="clear" w:color="auto" w:fill="auto"/>
            <w:noWrap/>
            <w:vAlign w:val="center"/>
            <w:hideMark/>
          </w:tcPr>
          <w:p w14:paraId="2D1456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478</w:t>
            </w:r>
          </w:p>
        </w:tc>
        <w:tc>
          <w:tcPr>
            <w:tcW w:w="1051" w:type="dxa"/>
            <w:tcBorders>
              <w:top w:val="nil"/>
              <w:left w:val="nil"/>
              <w:bottom w:val="nil"/>
              <w:right w:val="nil"/>
            </w:tcBorders>
            <w:shd w:val="clear" w:color="auto" w:fill="auto"/>
            <w:noWrap/>
            <w:vAlign w:val="center"/>
            <w:hideMark/>
          </w:tcPr>
          <w:p w14:paraId="003F0CA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869" w:type="dxa"/>
            <w:tcBorders>
              <w:top w:val="nil"/>
              <w:left w:val="nil"/>
              <w:bottom w:val="nil"/>
              <w:right w:val="nil"/>
            </w:tcBorders>
            <w:shd w:val="clear" w:color="auto" w:fill="auto"/>
            <w:noWrap/>
            <w:vAlign w:val="center"/>
            <w:hideMark/>
          </w:tcPr>
          <w:p w14:paraId="0DD45B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496</w:t>
            </w:r>
          </w:p>
        </w:tc>
        <w:tc>
          <w:tcPr>
            <w:tcW w:w="708" w:type="dxa"/>
            <w:tcBorders>
              <w:top w:val="nil"/>
              <w:left w:val="nil"/>
              <w:bottom w:val="nil"/>
              <w:right w:val="nil"/>
            </w:tcBorders>
            <w:shd w:val="clear" w:color="auto" w:fill="auto"/>
            <w:noWrap/>
            <w:vAlign w:val="center"/>
            <w:hideMark/>
          </w:tcPr>
          <w:p w14:paraId="26CF9CE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445</w:t>
            </w:r>
          </w:p>
        </w:tc>
        <w:tc>
          <w:tcPr>
            <w:tcW w:w="1011" w:type="dxa"/>
            <w:tcBorders>
              <w:top w:val="nil"/>
              <w:left w:val="nil"/>
              <w:bottom w:val="nil"/>
              <w:right w:val="nil"/>
            </w:tcBorders>
            <w:shd w:val="clear" w:color="auto" w:fill="auto"/>
            <w:noWrap/>
            <w:vAlign w:val="center"/>
            <w:hideMark/>
          </w:tcPr>
          <w:p w14:paraId="05C22F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59E491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82</w:t>
            </w:r>
          </w:p>
        </w:tc>
        <w:tc>
          <w:tcPr>
            <w:tcW w:w="1354" w:type="dxa"/>
            <w:tcBorders>
              <w:top w:val="nil"/>
              <w:left w:val="nil"/>
              <w:bottom w:val="nil"/>
              <w:right w:val="nil"/>
            </w:tcBorders>
            <w:shd w:val="clear" w:color="auto" w:fill="auto"/>
            <w:noWrap/>
            <w:vAlign w:val="center"/>
            <w:hideMark/>
          </w:tcPr>
          <w:p w14:paraId="2465B05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68</w:t>
            </w:r>
          </w:p>
        </w:tc>
        <w:tc>
          <w:tcPr>
            <w:tcW w:w="1001" w:type="dxa"/>
            <w:tcBorders>
              <w:top w:val="nil"/>
              <w:left w:val="nil"/>
              <w:bottom w:val="nil"/>
              <w:right w:val="nil"/>
            </w:tcBorders>
            <w:shd w:val="clear" w:color="auto" w:fill="auto"/>
            <w:noWrap/>
            <w:vAlign w:val="center"/>
            <w:hideMark/>
          </w:tcPr>
          <w:p w14:paraId="6C2B0F6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121%</w:t>
            </w:r>
          </w:p>
        </w:tc>
        <w:tc>
          <w:tcPr>
            <w:tcW w:w="992" w:type="dxa"/>
            <w:tcBorders>
              <w:top w:val="nil"/>
              <w:left w:val="nil"/>
              <w:bottom w:val="nil"/>
              <w:right w:val="nil"/>
            </w:tcBorders>
            <w:shd w:val="clear" w:color="000000" w:fill="F1F4FB"/>
            <w:noWrap/>
            <w:vAlign w:val="center"/>
            <w:hideMark/>
          </w:tcPr>
          <w:p w14:paraId="4AFA26A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w:t>
            </w:r>
          </w:p>
        </w:tc>
      </w:tr>
      <w:tr w:rsidR="0028350E" w:rsidRPr="007364B1" w14:paraId="64345F05" w14:textId="77777777" w:rsidTr="00AA33F9">
        <w:trPr>
          <w:trHeight w:val="360"/>
        </w:trPr>
        <w:tc>
          <w:tcPr>
            <w:tcW w:w="1985" w:type="dxa"/>
            <w:tcBorders>
              <w:top w:val="nil"/>
              <w:left w:val="nil"/>
              <w:bottom w:val="nil"/>
              <w:right w:val="nil"/>
            </w:tcBorders>
            <w:shd w:val="clear" w:color="auto" w:fill="auto"/>
            <w:noWrap/>
            <w:vAlign w:val="bottom"/>
            <w:hideMark/>
          </w:tcPr>
          <w:p w14:paraId="55AACEC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14CBA7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4,965</w:t>
            </w:r>
          </w:p>
        </w:tc>
        <w:tc>
          <w:tcPr>
            <w:tcW w:w="1026" w:type="dxa"/>
            <w:tcBorders>
              <w:top w:val="nil"/>
              <w:left w:val="nil"/>
              <w:bottom w:val="nil"/>
              <w:right w:val="nil"/>
            </w:tcBorders>
            <w:shd w:val="clear" w:color="auto" w:fill="auto"/>
            <w:noWrap/>
            <w:vAlign w:val="center"/>
            <w:hideMark/>
          </w:tcPr>
          <w:p w14:paraId="63F4E2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6,277</w:t>
            </w:r>
          </w:p>
        </w:tc>
        <w:tc>
          <w:tcPr>
            <w:tcW w:w="851" w:type="dxa"/>
            <w:tcBorders>
              <w:top w:val="nil"/>
              <w:left w:val="nil"/>
              <w:bottom w:val="nil"/>
              <w:right w:val="nil"/>
            </w:tcBorders>
            <w:shd w:val="clear" w:color="000000" w:fill="F98689"/>
            <w:noWrap/>
            <w:vAlign w:val="center"/>
            <w:hideMark/>
          </w:tcPr>
          <w:p w14:paraId="44AF4C7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w:t>
            </w:r>
          </w:p>
        </w:tc>
        <w:tc>
          <w:tcPr>
            <w:tcW w:w="992" w:type="dxa"/>
            <w:tcBorders>
              <w:top w:val="nil"/>
              <w:left w:val="nil"/>
              <w:bottom w:val="nil"/>
              <w:right w:val="nil"/>
            </w:tcBorders>
            <w:shd w:val="clear" w:color="auto" w:fill="auto"/>
            <w:noWrap/>
            <w:vAlign w:val="center"/>
            <w:hideMark/>
          </w:tcPr>
          <w:p w14:paraId="14153C7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7,447</w:t>
            </w:r>
          </w:p>
        </w:tc>
        <w:tc>
          <w:tcPr>
            <w:tcW w:w="850" w:type="dxa"/>
            <w:tcBorders>
              <w:top w:val="nil"/>
              <w:left w:val="nil"/>
              <w:bottom w:val="nil"/>
              <w:right w:val="nil"/>
            </w:tcBorders>
            <w:shd w:val="clear" w:color="auto" w:fill="auto"/>
            <w:noWrap/>
            <w:vAlign w:val="center"/>
            <w:hideMark/>
          </w:tcPr>
          <w:p w14:paraId="0DBD3C6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642</w:t>
            </w:r>
          </w:p>
        </w:tc>
        <w:tc>
          <w:tcPr>
            <w:tcW w:w="1051" w:type="dxa"/>
            <w:tcBorders>
              <w:top w:val="nil"/>
              <w:left w:val="nil"/>
              <w:bottom w:val="nil"/>
              <w:right w:val="nil"/>
            </w:tcBorders>
            <w:shd w:val="clear" w:color="auto" w:fill="auto"/>
            <w:noWrap/>
            <w:vAlign w:val="center"/>
            <w:hideMark/>
          </w:tcPr>
          <w:p w14:paraId="2FC41F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869" w:type="dxa"/>
            <w:tcBorders>
              <w:top w:val="nil"/>
              <w:left w:val="nil"/>
              <w:bottom w:val="nil"/>
              <w:right w:val="nil"/>
            </w:tcBorders>
            <w:shd w:val="clear" w:color="auto" w:fill="auto"/>
            <w:noWrap/>
            <w:vAlign w:val="center"/>
            <w:hideMark/>
          </w:tcPr>
          <w:p w14:paraId="11F2AB6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684</w:t>
            </w:r>
          </w:p>
        </w:tc>
        <w:tc>
          <w:tcPr>
            <w:tcW w:w="708" w:type="dxa"/>
            <w:tcBorders>
              <w:top w:val="nil"/>
              <w:left w:val="nil"/>
              <w:bottom w:val="nil"/>
              <w:right w:val="nil"/>
            </w:tcBorders>
            <w:shd w:val="clear" w:color="auto" w:fill="auto"/>
            <w:noWrap/>
            <w:vAlign w:val="center"/>
            <w:hideMark/>
          </w:tcPr>
          <w:p w14:paraId="25A6C97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660</w:t>
            </w:r>
          </w:p>
        </w:tc>
        <w:tc>
          <w:tcPr>
            <w:tcW w:w="1011" w:type="dxa"/>
            <w:tcBorders>
              <w:top w:val="nil"/>
              <w:left w:val="nil"/>
              <w:bottom w:val="nil"/>
              <w:right w:val="nil"/>
            </w:tcBorders>
            <w:shd w:val="clear" w:color="auto" w:fill="auto"/>
            <w:noWrap/>
            <w:vAlign w:val="center"/>
            <w:hideMark/>
          </w:tcPr>
          <w:p w14:paraId="0A8AB5E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6719E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352</w:t>
            </w:r>
          </w:p>
        </w:tc>
        <w:tc>
          <w:tcPr>
            <w:tcW w:w="1354" w:type="dxa"/>
            <w:tcBorders>
              <w:top w:val="nil"/>
              <w:left w:val="nil"/>
              <w:bottom w:val="nil"/>
              <w:right w:val="nil"/>
            </w:tcBorders>
            <w:shd w:val="clear" w:color="auto" w:fill="auto"/>
            <w:noWrap/>
            <w:vAlign w:val="center"/>
            <w:hideMark/>
          </w:tcPr>
          <w:p w14:paraId="4FE92B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382</w:t>
            </w:r>
          </w:p>
        </w:tc>
        <w:tc>
          <w:tcPr>
            <w:tcW w:w="1001" w:type="dxa"/>
            <w:tcBorders>
              <w:top w:val="nil"/>
              <w:left w:val="nil"/>
              <w:bottom w:val="nil"/>
              <w:right w:val="nil"/>
            </w:tcBorders>
            <w:shd w:val="clear" w:color="auto" w:fill="auto"/>
            <w:noWrap/>
            <w:vAlign w:val="center"/>
            <w:hideMark/>
          </w:tcPr>
          <w:p w14:paraId="3F4520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w:t>
            </w:r>
          </w:p>
        </w:tc>
        <w:tc>
          <w:tcPr>
            <w:tcW w:w="992" w:type="dxa"/>
            <w:tcBorders>
              <w:top w:val="nil"/>
              <w:left w:val="nil"/>
              <w:bottom w:val="nil"/>
              <w:right w:val="nil"/>
            </w:tcBorders>
            <w:shd w:val="clear" w:color="000000" w:fill="FBBABC"/>
            <w:noWrap/>
            <w:vAlign w:val="center"/>
            <w:hideMark/>
          </w:tcPr>
          <w:p w14:paraId="59EFEBC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148%</w:t>
            </w:r>
          </w:p>
        </w:tc>
      </w:tr>
      <w:tr w:rsidR="0028350E" w:rsidRPr="007364B1" w14:paraId="39362A13" w14:textId="77777777" w:rsidTr="00AA33F9">
        <w:trPr>
          <w:trHeight w:val="360"/>
        </w:trPr>
        <w:tc>
          <w:tcPr>
            <w:tcW w:w="1985" w:type="dxa"/>
            <w:tcBorders>
              <w:top w:val="nil"/>
              <w:left w:val="nil"/>
              <w:bottom w:val="nil"/>
              <w:right w:val="nil"/>
            </w:tcBorders>
            <w:shd w:val="clear" w:color="auto" w:fill="auto"/>
            <w:noWrap/>
            <w:vAlign w:val="bottom"/>
            <w:hideMark/>
          </w:tcPr>
          <w:p w14:paraId="482E321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2F4445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16,160</w:t>
            </w:r>
          </w:p>
        </w:tc>
        <w:tc>
          <w:tcPr>
            <w:tcW w:w="1026" w:type="dxa"/>
            <w:tcBorders>
              <w:top w:val="nil"/>
              <w:left w:val="nil"/>
              <w:bottom w:val="nil"/>
              <w:right w:val="nil"/>
            </w:tcBorders>
            <w:shd w:val="clear" w:color="auto" w:fill="auto"/>
            <w:noWrap/>
            <w:vAlign w:val="center"/>
            <w:hideMark/>
          </w:tcPr>
          <w:p w14:paraId="693361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25,431</w:t>
            </w:r>
          </w:p>
        </w:tc>
        <w:tc>
          <w:tcPr>
            <w:tcW w:w="851" w:type="dxa"/>
            <w:tcBorders>
              <w:top w:val="nil"/>
              <w:left w:val="nil"/>
              <w:bottom w:val="nil"/>
              <w:right w:val="nil"/>
            </w:tcBorders>
            <w:shd w:val="clear" w:color="000000" w:fill="F8696B"/>
            <w:noWrap/>
            <w:vAlign w:val="center"/>
            <w:hideMark/>
          </w:tcPr>
          <w:p w14:paraId="7330A4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w:t>
            </w:r>
          </w:p>
        </w:tc>
        <w:tc>
          <w:tcPr>
            <w:tcW w:w="992" w:type="dxa"/>
            <w:tcBorders>
              <w:top w:val="nil"/>
              <w:left w:val="nil"/>
              <w:bottom w:val="nil"/>
              <w:right w:val="nil"/>
            </w:tcBorders>
            <w:shd w:val="clear" w:color="auto" w:fill="auto"/>
            <w:noWrap/>
            <w:vAlign w:val="center"/>
            <w:hideMark/>
          </w:tcPr>
          <w:p w14:paraId="2C31E7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34,954</w:t>
            </w:r>
          </w:p>
        </w:tc>
        <w:tc>
          <w:tcPr>
            <w:tcW w:w="850" w:type="dxa"/>
            <w:tcBorders>
              <w:top w:val="nil"/>
              <w:left w:val="nil"/>
              <w:bottom w:val="nil"/>
              <w:right w:val="nil"/>
            </w:tcBorders>
            <w:shd w:val="clear" w:color="auto" w:fill="auto"/>
            <w:noWrap/>
            <w:vAlign w:val="center"/>
            <w:hideMark/>
          </w:tcPr>
          <w:p w14:paraId="11869B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2,420</w:t>
            </w:r>
          </w:p>
        </w:tc>
        <w:tc>
          <w:tcPr>
            <w:tcW w:w="1051" w:type="dxa"/>
            <w:tcBorders>
              <w:top w:val="nil"/>
              <w:left w:val="nil"/>
              <w:bottom w:val="nil"/>
              <w:right w:val="nil"/>
            </w:tcBorders>
            <w:shd w:val="clear" w:color="auto" w:fill="auto"/>
            <w:noWrap/>
            <w:vAlign w:val="center"/>
            <w:hideMark/>
          </w:tcPr>
          <w:p w14:paraId="7415E0B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192</w:t>
            </w:r>
          </w:p>
        </w:tc>
        <w:tc>
          <w:tcPr>
            <w:tcW w:w="869" w:type="dxa"/>
            <w:tcBorders>
              <w:top w:val="nil"/>
              <w:left w:val="nil"/>
              <w:bottom w:val="nil"/>
              <w:right w:val="nil"/>
            </w:tcBorders>
            <w:shd w:val="clear" w:color="auto" w:fill="auto"/>
            <w:noWrap/>
            <w:vAlign w:val="center"/>
            <w:hideMark/>
          </w:tcPr>
          <w:p w14:paraId="0659F9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2,612</w:t>
            </w:r>
          </w:p>
        </w:tc>
        <w:tc>
          <w:tcPr>
            <w:tcW w:w="708" w:type="dxa"/>
            <w:tcBorders>
              <w:top w:val="nil"/>
              <w:left w:val="nil"/>
              <w:bottom w:val="nil"/>
              <w:right w:val="nil"/>
            </w:tcBorders>
            <w:shd w:val="clear" w:color="auto" w:fill="auto"/>
            <w:noWrap/>
            <w:vAlign w:val="center"/>
            <w:hideMark/>
          </w:tcPr>
          <w:p w14:paraId="44B594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1,150</w:t>
            </w:r>
          </w:p>
        </w:tc>
        <w:tc>
          <w:tcPr>
            <w:tcW w:w="1011" w:type="dxa"/>
            <w:tcBorders>
              <w:top w:val="nil"/>
              <w:left w:val="nil"/>
              <w:bottom w:val="nil"/>
              <w:right w:val="nil"/>
            </w:tcBorders>
            <w:shd w:val="clear" w:color="auto" w:fill="auto"/>
            <w:noWrap/>
            <w:vAlign w:val="center"/>
            <w:hideMark/>
          </w:tcPr>
          <w:p w14:paraId="051039E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2,085</w:t>
            </w:r>
          </w:p>
        </w:tc>
        <w:tc>
          <w:tcPr>
            <w:tcW w:w="973" w:type="dxa"/>
            <w:tcBorders>
              <w:top w:val="nil"/>
              <w:left w:val="nil"/>
              <w:bottom w:val="nil"/>
              <w:right w:val="nil"/>
            </w:tcBorders>
            <w:shd w:val="clear" w:color="auto" w:fill="auto"/>
            <w:noWrap/>
            <w:vAlign w:val="center"/>
            <w:hideMark/>
          </w:tcPr>
          <w:p w14:paraId="5A8AA04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1,693</w:t>
            </w:r>
          </w:p>
        </w:tc>
        <w:tc>
          <w:tcPr>
            <w:tcW w:w="1354" w:type="dxa"/>
            <w:tcBorders>
              <w:top w:val="nil"/>
              <w:left w:val="nil"/>
              <w:bottom w:val="nil"/>
              <w:right w:val="nil"/>
            </w:tcBorders>
            <w:shd w:val="clear" w:color="auto" w:fill="auto"/>
            <w:noWrap/>
            <w:vAlign w:val="center"/>
            <w:hideMark/>
          </w:tcPr>
          <w:p w14:paraId="133458B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1,612</w:t>
            </w:r>
          </w:p>
        </w:tc>
        <w:tc>
          <w:tcPr>
            <w:tcW w:w="1001" w:type="dxa"/>
            <w:tcBorders>
              <w:top w:val="nil"/>
              <w:left w:val="nil"/>
              <w:bottom w:val="nil"/>
              <w:right w:val="nil"/>
            </w:tcBorders>
            <w:shd w:val="clear" w:color="auto" w:fill="auto"/>
            <w:noWrap/>
            <w:vAlign w:val="center"/>
            <w:hideMark/>
          </w:tcPr>
          <w:p w14:paraId="5A3CBE9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105%</w:t>
            </w:r>
          </w:p>
        </w:tc>
        <w:tc>
          <w:tcPr>
            <w:tcW w:w="992" w:type="dxa"/>
            <w:tcBorders>
              <w:top w:val="nil"/>
              <w:left w:val="nil"/>
              <w:bottom w:val="nil"/>
              <w:right w:val="nil"/>
            </w:tcBorders>
            <w:shd w:val="clear" w:color="000000" w:fill="F96B6D"/>
            <w:noWrap/>
            <w:vAlign w:val="center"/>
            <w:hideMark/>
          </w:tcPr>
          <w:p w14:paraId="6768C4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189%</w:t>
            </w:r>
          </w:p>
        </w:tc>
      </w:tr>
      <w:tr w:rsidR="0028350E" w:rsidRPr="007364B1" w14:paraId="41CFC2A4" w14:textId="77777777" w:rsidTr="00AA33F9">
        <w:trPr>
          <w:trHeight w:val="360"/>
        </w:trPr>
        <w:tc>
          <w:tcPr>
            <w:tcW w:w="1985" w:type="dxa"/>
            <w:tcBorders>
              <w:top w:val="nil"/>
              <w:left w:val="nil"/>
              <w:bottom w:val="nil"/>
              <w:right w:val="nil"/>
            </w:tcBorders>
            <w:shd w:val="clear" w:color="auto" w:fill="auto"/>
            <w:noWrap/>
            <w:vAlign w:val="bottom"/>
            <w:hideMark/>
          </w:tcPr>
          <w:p w14:paraId="6DF8DE5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7F76755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1026" w:type="dxa"/>
            <w:tcBorders>
              <w:top w:val="nil"/>
              <w:left w:val="nil"/>
              <w:bottom w:val="nil"/>
              <w:right w:val="nil"/>
            </w:tcBorders>
            <w:shd w:val="clear" w:color="auto" w:fill="auto"/>
            <w:noWrap/>
            <w:vAlign w:val="center"/>
            <w:hideMark/>
          </w:tcPr>
          <w:p w14:paraId="7E814ED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41B9A6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0A3A4E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79DB85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51" w:type="dxa"/>
            <w:tcBorders>
              <w:top w:val="nil"/>
              <w:left w:val="nil"/>
              <w:bottom w:val="nil"/>
              <w:right w:val="nil"/>
            </w:tcBorders>
            <w:shd w:val="clear" w:color="auto" w:fill="auto"/>
            <w:noWrap/>
            <w:vAlign w:val="center"/>
            <w:hideMark/>
          </w:tcPr>
          <w:p w14:paraId="75AA72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26E755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708" w:type="dxa"/>
            <w:tcBorders>
              <w:top w:val="nil"/>
              <w:left w:val="nil"/>
              <w:bottom w:val="nil"/>
              <w:right w:val="nil"/>
            </w:tcBorders>
            <w:shd w:val="clear" w:color="auto" w:fill="auto"/>
            <w:noWrap/>
            <w:vAlign w:val="center"/>
            <w:hideMark/>
          </w:tcPr>
          <w:p w14:paraId="13C954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2DC4CD0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1FB1EE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49DD39B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46FC0B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4E522E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r>
      <w:tr w:rsidR="0028350E" w:rsidRPr="007364B1" w14:paraId="0B83CD39" w14:textId="77777777" w:rsidTr="00AA33F9">
        <w:trPr>
          <w:trHeight w:val="360"/>
        </w:trPr>
        <w:tc>
          <w:tcPr>
            <w:tcW w:w="1985" w:type="dxa"/>
            <w:tcBorders>
              <w:top w:val="nil"/>
              <w:left w:val="nil"/>
              <w:bottom w:val="nil"/>
              <w:right w:val="nil"/>
            </w:tcBorders>
            <w:shd w:val="clear" w:color="auto" w:fill="auto"/>
            <w:noWrap/>
            <w:vAlign w:val="bottom"/>
            <w:hideMark/>
          </w:tcPr>
          <w:p w14:paraId="5A6ADFF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512032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7,041</w:t>
            </w:r>
          </w:p>
        </w:tc>
        <w:tc>
          <w:tcPr>
            <w:tcW w:w="1026" w:type="dxa"/>
            <w:tcBorders>
              <w:top w:val="nil"/>
              <w:left w:val="nil"/>
              <w:bottom w:val="nil"/>
              <w:right w:val="nil"/>
            </w:tcBorders>
            <w:shd w:val="clear" w:color="auto" w:fill="auto"/>
            <w:noWrap/>
            <w:vAlign w:val="center"/>
            <w:hideMark/>
          </w:tcPr>
          <w:p w14:paraId="5B384BB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10,802</w:t>
            </w:r>
          </w:p>
        </w:tc>
        <w:tc>
          <w:tcPr>
            <w:tcW w:w="851" w:type="dxa"/>
            <w:tcBorders>
              <w:top w:val="nil"/>
              <w:left w:val="nil"/>
              <w:bottom w:val="nil"/>
              <w:right w:val="nil"/>
            </w:tcBorders>
            <w:shd w:val="clear" w:color="000000" w:fill="F96D6F"/>
            <w:noWrap/>
            <w:vAlign w:val="center"/>
            <w:hideMark/>
          </w:tcPr>
          <w:p w14:paraId="19BD54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+53%</w:t>
            </w:r>
          </w:p>
        </w:tc>
        <w:tc>
          <w:tcPr>
            <w:tcW w:w="992" w:type="dxa"/>
            <w:tcBorders>
              <w:top w:val="nil"/>
              <w:left w:val="nil"/>
              <w:bottom w:val="nil"/>
              <w:right w:val="nil"/>
            </w:tcBorders>
            <w:shd w:val="clear" w:color="auto" w:fill="auto"/>
            <w:noWrap/>
            <w:vAlign w:val="center"/>
            <w:hideMark/>
          </w:tcPr>
          <w:p w14:paraId="0F6400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13,605</w:t>
            </w:r>
          </w:p>
        </w:tc>
        <w:tc>
          <w:tcPr>
            <w:tcW w:w="850" w:type="dxa"/>
            <w:tcBorders>
              <w:top w:val="nil"/>
              <w:left w:val="nil"/>
              <w:bottom w:val="nil"/>
              <w:right w:val="nil"/>
            </w:tcBorders>
            <w:shd w:val="clear" w:color="auto" w:fill="auto"/>
            <w:noWrap/>
            <w:vAlign w:val="center"/>
            <w:hideMark/>
          </w:tcPr>
          <w:p w14:paraId="0A74E7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41DB426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2,885</w:t>
            </w:r>
          </w:p>
        </w:tc>
        <w:tc>
          <w:tcPr>
            <w:tcW w:w="869" w:type="dxa"/>
            <w:tcBorders>
              <w:top w:val="nil"/>
              <w:left w:val="nil"/>
              <w:bottom w:val="nil"/>
              <w:right w:val="nil"/>
            </w:tcBorders>
            <w:shd w:val="clear" w:color="auto" w:fill="auto"/>
            <w:noWrap/>
            <w:vAlign w:val="center"/>
            <w:hideMark/>
          </w:tcPr>
          <w:p w14:paraId="138F4E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2,885</w:t>
            </w:r>
          </w:p>
        </w:tc>
        <w:tc>
          <w:tcPr>
            <w:tcW w:w="708" w:type="dxa"/>
            <w:tcBorders>
              <w:top w:val="nil"/>
              <w:left w:val="nil"/>
              <w:bottom w:val="nil"/>
              <w:right w:val="nil"/>
            </w:tcBorders>
            <w:shd w:val="clear" w:color="auto" w:fill="auto"/>
            <w:noWrap/>
            <w:vAlign w:val="center"/>
            <w:hideMark/>
          </w:tcPr>
          <w:p w14:paraId="7BCEB8B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7,544</w:t>
            </w:r>
          </w:p>
        </w:tc>
        <w:tc>
          <w:tcPr>
            <w:tcW w:w="1011" w:type="dxa"/>
            <w:tcBorders>
              <w:top w:val="nil"/>
              <w:left w:val="nil"/>
              <w:bottom w:val="nil"/>
              <w:right w:val="nil"/>
            </w:tcBorders>
            <w:shd w:val="clear" w:color="auto" w:fill="auto"/>
            <w:noWrap/>
            <w:vAlign w:val="center"/>
            <w:hideMark/>
          </w:tcPr>
          <w:p w14:paraId="4491C8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-2,156</w:t>
            </w:r>
          </w:p>
        </w:tc>
        <w:tc>
          <w:tcPr>
            <w:tcW w:w="973" w:type="dxa"/>
            <w:tcBorders>
              <w:top w:val="nil"/>
              <w:left w:val="nil"/>
              <w:bottom w:val="nil"/>
              <w:right w:val="nil"/>
            </w:tcBorders>
            <w:shd w:val="clear" w:color="auto" w:fill="auto"/>
            <w:noWrap/>
            <w:vAlign w:val="center"/>
            <w:hideMark/>
          </w:tcPr>
          <w:p w14:paraId="27D35B3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w:t>
            </w:r>
          </w:p>
        </w:tc>
        <w:tc>
          <w:tcPr>
            <w:tcW w:w="1354" w:type="dxa"/>
            <w:tcBorders>
              <w:top w:val="nil"/>
              <w:left w:val="nil"/>
              <w:bottom w:val="nil"/>
              <w:right w:val="nil"/>
            </w:tcBorders>
            <w:shd w:val="clear" w:color="auto" w:fill="auto"/>
            <w:noWrap/>
            <w:vAlign w:val="center"/>
            <w:hideMark/>
          </w:tcPr>
          <w:p w14:paraId="725E34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w:t>
            </w:r>
          </w:p>
        </w:tc>
        <w:tc>
          <w:tcPr>
            <w:tcW w:w="1001" w:type="dxa"/>
            <w:tcBorders>
              <w:top w:val="nil"/>
              <w:left w:val="nil"/>
              <w:bottom w:val="nil"/>
              <w:right w:val="nil"/>
            </w:tcBorders>
            <w:shd w:val="clear" w:color="auto" w:fill="auto"/>
            <w:noWrap/>
            <w:vAlign w:val="center"/>
            <w:hideMark/>
          </w:tcPr>
          <w:p w14:paraId="23085A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w:t>
            </w:r>
          </w:p>
        </w:tc>
        <w:tc>
          <w:tcPr>
            <w:tcW w:w="992" w:type="dxa"/>
            <w:tcBorders>
              <w:top w:val="nil"/>
              <w:left w:val="nil"/>
              <w:bottom w:val="nil"/>
              <w:right w:val="nil"/>
            </w:tcBorders>
            <w:shd w:val="clear" w:color="000000" w:fill="F8696B"/>
            <w:noWrap/>
            <w:vAlign w:val="center"/>
            <w:hideMark/>
          </w:tcPr>
          <w:p w14:paraId="128821C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189%</w:t>
            </w:r>
          </w:p>
        </w:tc>
      </w:tr>
      <w:tr w:rsidR="0028350E" w:rsidRPr="007364B1" w14:paraId="526C8198" w14:textId="77777777" w:rsidTr="00AA33F9">
        <w:trPr>
          <w:trHeight w:val="360"/>
        </w:trPr>
        <w:tc>
          <w:tcPr>
            <w:tcW w:w="1985" w:type="dxa"/>
            <w:tcBorders>
              <w:top w:val="nil"/>
              <w:left w:val="nil"/>
              <w:bottom w:val="nil"/>
              <w:right w:val="nil"/>
            </w:tcBorders>
            <w:shd w:val="clear" w:color="auto" w:fill="auto"/>
            <w:noWrap/>
            <w:vAlign w:val="bottom"/>
            <w:hideMark/>
          </w:tcPr>
          <w:p w14:paraId="5A64AA9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62F16D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525</w:t>
            </w:r>
          </w:p>
        </w:tc>
        <w:tc>
          <w:tcPr>
            <w:tcW w:w="1026" w:type="dxa"/>
            <w:tcBorders>
              <w:top w:val="nil"/>
              <w:left w:val="nil"/>
              <w:bottom w:val="nil"/>
              <w:right w:val="nil"/>
            </w:tcBorders>
            <w:shd w:val="clear" w:color="auto" w:fill="auto"/>
            <w:noWrap/>
            <w:vAlign w:val="center"/>
            <w:hideMark/>
          </w:tcPr>
          <w:p w14:paraId="6301962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754</w:t>
            </w:r>
          </w:p>
        </w:tc>
        <w:tc>
          <w:tcPr>
            <w:tcW w:w="851" w:type="dxa"/>
            <w:tcBorders>
              <w:top w:val="nil"/>
              <w:left w:val="nil"/>
              <w:bottom w:val="nil"/>
              <w:right w:val="nil"/>
            </w:tcBorders>
            <w:shd w:val="clear" w:color="000000" w:fill="F97678"/>
            <w:noWrap/>
            <w:vAlign w:val="center"/>
            <w:hideMark/>
          </w:tcPr>
          <w:p w14:paraId="4EE9E57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w:t>
            </w:r>
          </w:p>
        </w:tc>
        <w:tc>
          <w:tcPr>
            <w:tcW w:w="992" w:type="dxa"/>
            <w:tcBorders>
              <w:top w:val="nil"/>
              <w:left w:val="nil"/>
              <w:bottom w:val="nil"/>
              <w:right w:val="nil"/>
            </w:tcBorders>
            <w:shd w:val="clear" w:color="auto" w:fill="auto"/>
            <w:noWrap/>
            <w:vAlign w:val="center"/>
            <w:hideMark/>
          </w:tcPr>
          <w:p w14:paraId="7E146F1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591</w:t>
            </w:r>
          </w:p>
        </w:tc>
        <w:tc>
          <w:tcPr>
            <w:tcW w:w="850" w:type="dxa"/>
            <w:tcBorders>
              <w:top w:val="nil"/>
              <w:left w:val="nil"/>
              <w:bottom w:val="nil"/>
              <w:right w:val="nil"/>
            </w:tcBorders>
            <w:shd w:val="clear" w:color="auto" w:fill="auto"/>
            <w:noWrap/>
            <w:vAlign w:val="center"/>
            <w:hideMark/>
          </w:tcPr>
          <w:p w14:paraId="70F6273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w:t>
            </w:r>
          </w:p>
        </w:tc>
        <w:tc>
          <w:tcPr>
            <w:tcW w:w="1051" w:type="dxa"/>
            <w:tcBorders>
              <w:top w:val="nil"/>
              <w:left w:val="nil"/>
              <w:bottom w:val="nil"/>
              <w:right w:val="nil"/>
            </w:tcBorders>
            <w:shd w:val="clear" w:color="auto" w:fill="auto"/>
            <w:noWrap/>
            <w:vAlign w:val="center"/>
            <w:hideMark/>
          </w:tcPr>
          <w:p w14:paraId="2E4C02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w:t>
            </w:r>
          </w:p>
        </w:tc>
        <w:tc>
          <w:tcPr>
            <w:tcW w:w="869" w:type="dxa"/>
            <w:tcBorders>
              <w:top w:val="nil"/>
              <w:left w:val="nil"/>
              <w:bottom w:val="nil"/>
              <w:right w:val="nil"/>
            </w:tcBorders>
            <w:shd w:val="clear" w:color="auto" w:fill="auto"/>
            <w:noWrap/>
            <w:vAlign w:val="center"/>
            <w:hideMark/>
          </w:tcPr>
          <w:p w14:paraId="34F6F9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68</w:t>
            </w:r>
          </w:p>
        </w:tc>
        <w:tc>
          <w:tcPr>
            <w:tcW w:w="708" w:type="dxa"/>
            <w:tcBorders>
              <w:top w:val="nil"/>
              <w:left w:val="nil"/>
              <w:bottom w:val="nil"/>
              <w:right w:val="nil"/>
            </w:tcBorders>
            <w:shd w:val="clear" w:color="auto" w:fill="auto"/>
            <w:noWrap/>
            <w:vAlign w:val="center"/>
            <w:hideMark/>
          </w:tcPr>
          <w:p w14:paraId="01E1869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w:t>
            </w:r>
          </w:p>
        </w:tc>
        <w:tc>
          <w:tcPr>
            <w:tcW w:w="1011" w:type="dxa"/>
            <w:tcBorders>
              <w:top w:val="nil"/>
              <w:left w:val="nil"/>
              <w:bottom w:val="nil"/>
              <w:right w:val="nil"/>
            </w:tcBorders>
            <w:shd w:val="clear" w:color="auto" w:fill="auto"/>
            <w:noWrap/>
            <w:vAlign w:val="center"/>
            <w:hideMark/>
          </w:tcPr>
          <w:p w14:paraId="43F589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D97A0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1354" w:type="dxa"/>
            <w:tcBorders>
              <w:top w:val="nil"/>
              <w:left w:val="nil"/>
              <w:bottom w:val="nil"/>
              <w:right w:val="nil"/>
            </w:tcBorders>
            <w:shd w:val="clear" w:color="auto" w:fill="auto"/>
            <w:noWrap/>
            <w:vAlign w:val="center"/>
            <w:hideMark/>
          </w:tcPr>
          <w:p w14:paraId="7CE2F10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w:t>
            </w:r>
          </w:p>
        </w:tc>
        <w:tc>
          <w:tcPr>
            <w:tcW w:w="1001" w:type="dxa"/>
            <w:tcBorders>
              <w:top w:val="nil"/>
              <w:left w:val="nil"/>
              <w:bottom w:val="nil"/>
              <w:right w:val="nil"/>
            </w:tcBorders>
            <w:shd w:val="clear" w:color="auto" w:fill="auto"/>
            <w:noWrap/>
            <w:vAlign w:val="center"/>
            <w:hideMark/>
          </w:tcPr>
          <w:p w14:paraId="2945742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w:t>
            </w:r>
          </w:p>
        </w:tc>
        <w:tc>
          <w:tcPr>
            <w:tcW w:w="992" w:type="dxa"/>
            <w:tcBorders>
              <w:top w:val="nil"/>
              <w:left w:val="nil"/>
              <w:bottom w:val="nil"/>
              <w:right w:val="nil"/>
            </w:tcBorders>
            <w:shd w:val="clear" w:color="000000" w:fill="F97375"/>
            <w:noWrap/>
            <w:vAlign w:val="center"/>
            <w:hideMark/>
          </w:tcPr>
          <w:p w14:paraId="688507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184%</w:t>
            </w:r>
          </w:p>
        </w:tc>
      </w:tr>
      <w:tr w:rsidR="0028350E" w:rsidRPr="007364B1" w14:paraId="19BAA140" w14:textId="77777777" w:rsidTr="00AA33F9">
        <w:trPr>
          <w:trHeight w:val="360"/>
        </w:trPr>
        <w:tc>
          <w:tcPr>
            <w:tcW w:w="1985" w:type="dxa"/>
            <w:tcBorders>
              <w:top w:val="nil"/>
              <w:left w:val="nil"/>
              <w:bottom w:val="nil"/>
              <w:right w:val="nil"/>
            </w:tcBorders>
            <w:shd w:val="clear" w:color="auto" w:fill="auto"/>
            <w:noWrap/>
            <w:vAlign w:val="bottom"/>
            <w:hideMark/>
          </w:tcPr>
          <w:p w14:paraId="27B4986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5648A9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1,886</w:t>
            </w:r>
          </w:p>
        </w:tc>
        <w:tc>
          <w:tcPr>
            <w:tcW w:w="1026" w:type="dxa"/>
            <w:tcBorders>
              <w:top w:val="nil"/>
              <w:left w:val="nil"/>
              <w:bottom w:val="nil"/>
              <w:right w:val="nil"/>
            </w:tcBorders>
            <w:shd w:val="clear" w:color="auto" w:fill="auto"/>
            <w:noWrap/>
            <w:vAlign w:val="center"/>
            <w:hideMark/>
          </w:tcPr>
          <w:p w14:paraId="3C9F332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1,813</w:t>
            </w:r>
          </w:p>
        </w:tc>
        <w:tc>
          <w:tcPr>
            <w:tcW w:w="851" w:type="dxa"/>
            <w:tcBorders>
              <w:top w:val="nil"/>
              <w:left w:val="nil"/>
              <w:bottom w:val="nil"/>
              <w:right w:val="nil"/>
            </w:tcBorders>
            <w:shd w:val="clear" w:color="000000" w:fill="FAA3A5"/>
            <w:noWrap/>
            <w:vAlign w:val="center"/>
            <w:hideMark/>
          </w:tcPr>
          <w:p w14:paraId="427AB1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92" w:type="dxa"/>
            <w:tcBorders>
              <w:top w:val="nil"/>
              <w:left w:val="nil"/>
              <w:bottom w:val="nil"/>
              <w:right w:val="nil"/>
            </w:tcBorders>
            <w:shd w:val="clear" w:color="auto" w:fill="auto"/>
            <w:noWrap/>
            <w:vAlign w:val="center"/>
            <w:hideMark/>
          </w:tcPr>
          <w:p w14:paraId="77EF63D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1,463</w:t>
            </w:r>
          </w:p>
        </w:tc>
        <w:tc>
          <w:tcPr>
            <w:tcW w:w="850" w:type="dxa"/>
            <w:tcBorders>
              <w:top w:val="nil"/>
              <w:left w:val="nil"/>
              <w:bottom w:val="nil"/>
              <w:right w:val="nil"/>
            </w:tcBorders>
            <w:shd w:val="clear" w:color="auto" w:fill="auto"/>
            <w:noWrap/>
            <w:vAlign w:val="center"/>
            <w:hideMark/>
          </w:tcPr>
          <w:p w14:paraId="35D5AB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250</w:t>
            </w:r>
          </w:p>
        </w:tc>
        <w:tc>
          <w:tcPr>
            <w:tcW w:w="1051" w:type="dxa"/>
            <w:tcBorders>
              <w:top w:val="nil"/>
              <w:left w:val="nil"/>
              <w:bottom w:val="nil"/>
              <w:right w:val="nil"/>
            </w:tcBorders>
            <w:shd w:val="clear" w:color="auto" w:fill="auto"/>
            <w:noWrap/>
            <w:vAlign w:val="center"/>
            <w:hideMark/>
          </w:tcPr>
          <w:p w14:paraId="6132BE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869" w:type="dxa"/>
            <w:tcBorders>
              <w:top w:val="nil"/>
              <w:left w:val="nil"/>
              <w:bottom w:val="nil"/>
              <w:right w:val="nil"/>
            </w:tcBorders>
            <w:shd w:val="clear" w:color="auto" w:fill="auto"/>
            <w:noWrap/>
            <w:vAlign w:val="center"/>
            <w:hideMark/>
          </w:tcPr>
          <w:p w14:paraId="72B8AA4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283</w:t>
            </w:r>
          </w:p>
        </w:tc>
        <w:tc>
          <w:tcPr>
            <w:tcW w:w="708" w:type="dxa"/>
            <w:tcBorders>
              <w:top w:val="nil"/>
              <w:left w:val="nil"/>
              <w:bottom w:val="nil"/>
              <w:right w:val="nil"/>
            </w:tcBorders>
            <w:shd w:val="clear" w:color="auto" w:fill="auto"/>
            <w:noWrap/>
            <w:vAlign w:val="center"/>
            <w:hideMark/>
          </w:tcPr>
          <w:p w14:paraId="316A80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132</w:t>
            </w:r>
          </w:p>
        </w:tc>
        <w:tc>
          <w:tcPr>
            <w:tcW w:w="1011" w:type="dxa"/>
            <w:tcBorders>
              <w:top w:val="nil"/>
              <w:left w:val="nil"/>
              <w:bottom w:val="nil"/>
              <w:right w:val="nil"/>
            </w:tcBorders>
            <w:shd w:val="clear" w:color="auto" w:fill="auto"/>
            <w:noWrap/>
            <w:vAlign w:val="center"/>
            <w:hideMark/>
          </w:tcPr>
          <w:p w14:paraId="5DCF91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F1A2CC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132</w:t>
            </w:r>
          </w:p>
        </w:tc>
        <w:tc>
          <w:tcPr>
            <w:tcW w:w="1354" w:type="dxa"/>
            <w:tcBorders>
              <w:top w:val="nil"/>
              <w:left w:val="nil"/>
              <w:bottom w:val="nil"/>
              <w:right w:val="nil"/>
            </w:tcBorders>
            <w:shd w:val="clear" w:color="auto" w:fill="auto"/>
            <w:noWrap/>
            <w:vAlign w:val="center"/>
            <w:hideMark/>
          </w:tcPr>
          <w:p w14:paraId="2A33F7E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110</w:t>
            </w:r>
          </w:p>
        </w:tc>
        <w:tc>
          <w:tcPr>
            <w:tcW w:w="1001" w:type="dxa"/>
            <w:tcBorders>
              <w:top w:val="nil"/>
              <w:left w:val="nil"/>
              <w:bottom w:val="nil"/>
              <w:right w:val="nil"/>
            </w:tcBorders>
            <w:shd w:val="clear" w:color="auto" w:fill="auto"/>
            <w:noWrap/>
            <w:vAlign w:val="center"/>
            <w:hideMark/>
          </w:tcPr>
          <w:p w14:paraId="26BA22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w:t>
            </w:r>
          </w:p>
        </w:tc>
        <w:tc>
          <w:tcPr>
            <w:tcW w:w="992" w:type="dxa"/>
            <w:tcBorders>
              <w:top w:val="nil"/>
              <w:left w:val="nil"/>
              <w:bottom w:val="nil"/>
              <w:right w:val="nil"/>
            </w:tcBorders>
            <w:shd w:val="clear" w:color="000000" w:fill="DEE7F4"/>
            <w:noWrap/>
            <w:vAlign w:val="center"/>
            <w:hideMark/>
          </w:tcPr>
          <w:p w14:paraId="4DC1AA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93%</w:t>
            </w:r>
          </w:p>
        </w:tc>
      </w:tr>
      <w:tr w:rsidR="0028350E" w:rsidRPr="007364B1" w14:paraId="18B15999" w14:textId="77777777" w:rsidTr="00AA33F9">
        <w:trPr>
          <w:trHeight w:val="360"/>
        </w:trPr>
        <w:tc>
          <w:tcPr>
            <w:tcW w:w="1985" w:type="dxa"/>
            <w:tcBorders>
              <w:top w:val="nil"/>
              <w:left w:val="nil"/>
              <w:bottom w:val="nil"/>
              <w:right w:val="nil"/>
            </w:tcBorders>
            <w:shd w:val="clear" w:color="auto" w:fill="auto"/>
            <w:noWrap/>
            <w:vAlign w:val="bottom"/>
            <w:hideMark/>
          </w:tcPr>
          <w:p w14:paraId="27C8DCC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5FCAB7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1,375</w:t>
            </w:r>
          </w:p>
        </w:tc>
        <w:tc>
          <w:tcPr>
            <w:tcW w:w="1026" w:type="dxa"/>
            <w:tcBorders>
              <w:top w:val="nil"/>
              <w:left w:val="nil"/>
              <w:bottom w:val="nil"/>
              <w:right w:val="nil"/>
            </w:tcBorders>
            <w:shd w:val="clear" w:color="auto" w:fill="auto"/>
            <w:noWrap/>
            <w:vAlign w:val="center"/>
            <w:hideMark/>
          </w:tcPr>
          <w:p w14:paraId="7EFDEB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1,546</w:t>
            </w:r>
          </w:p>
        </w:tc>
        <w:tc>
          <w:tcPr>
            <w:tcW w:w="851" w:type="dxa"/>
            <w:tcBorders>
              <w:top w:val="nil"/>
              <w:left w:val="nil"/>
              <w:bottom w:val="nil"/>
              <w:right w:val="nil"/>
            </w:tcBorders>
            <w:shd w:val="clear" w:color="000000" w:fill="FA9496"/>
            <w:noWrap/>
            <w:vAlign w:val="center"/>
            <w:hideMark/>
          </w:tcPr>
          <w:p w14:paraId="6E347B3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992" w:type="dxa"/>
            <w:tcBorders>
              <w:top w:val="nil"/>
              <w:left w:val="nil"/>
              <w:bottom w:val="nil"/>
              <w:right w:val="nil"/>
            </w:tcBorders>
            <w:shd w:val="clear" w:color="auto" w:fill="auto"/>
            <w:noWrap/>
            <w:vAlign w:val="center"/>
            <w:hideMark/>
          </w:tcPr>
          <w:p w14:paraId="6E679A4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1,410</w:t>
            </w:r>
          </w:p>
        </w:tc>
        <w:tc>
          <w:tcPr>
            <w:tcW w:w="850" w:type="dxa"/>
            <w:tcBorders>
              <w:top w:val="nil"/>
              <w:left w:val="nil"/>
              <w:bottom w:val="nil"/>
              <w:right w:val="nil"/>
            </w:tcBorders>
            <w:shd w:val="clear" w:color="auto" w:fill="auto"/>
            <w:noWrap/>
            <w:vAlign w:val="center"/>
            <w:hideMark/>
          </w:tcPr>
          <w:p w14:paraId="1797C4D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165</w:t>
            </w:r>
          </w:p>
        </w:tc>
        <w:tc>
          <w:tcPr>
            <w:tcW w:w="1051" w:type="dxa"/>
            <w:tcBorders>
              <w:top w:val="nil"/>
              <w:left w:val="nil"/>
              <w:bottom w:val="nil"/>
              <w:right w:val="nil"/>
            </w:tcBorders>
            <w:shd w:val="clear" w:color="auto" w:fill="auto"/>
            <w:noWrap/>
            <w:vAlign w:val="center"/>
            <w:hideMark/>
          </w:tcPr>
          <w:p w14:paraId="3467DEA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w:t>
            </w:r>
          </w:p>
        </w:tc>
        <w:tc>
          <w:tcPr>
            <w:tcW w:w="869" w:type="dxa"/>
            <w:tcBorders>
              <w:top w:val="nil"/>
              <w:left w:val="nil"/>
              <w:bottom w:val="nil"/>
              <w:right w:val="nil"/>
            </w:tcBorders>
            <w:shd w:val="clear" w:color="auto" w:fill="auto"/>
            <w:noWrap/>
            <w:vAlign w:val="center"/>
            <w:hideMark/>
          </w:tcPr>
          <w:p w14:paraId="0FD55F0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202</w:t>
            </w:r>
          </w:p>
        </w:tc>
        <w:tc>
          <w:tcPr>
            <w:tcW w:w="708" w:type="dxa"/>
            <w:tcBorders>
              <w:top w:val="nil"/>
              <w:left w:val="nil"/>
              <w:bottom w:val="nil"/>
              <w:right w:val="nil"/>
            </w:tcBorders>
            <w:shd w:val="clear" w:color="auto" w:fill="auto"/>
            <w:noWrap/>
            <w:vAlign w:val="center"/>
            <w:hideMark/>
          </w:tcPr>
          <w:p w14:paraId="07AB1F0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147</w:t>
            </w:r>
          </w:p>
        </w:tc>
        <w:tc>
          <w:tcPr>
            <w:tcW w:w="1011" w:type="dxa"/>
            <w:tcBorders>
              <w:top w:val="nil"/>
              <w:left w:val="nil"/>
              <w:bottom w:val="nil"/>
              <w:right w:val="nil"/>
            </w:tcBorders>
            <w:shd w:val="clear" w:color="auto" w:fill="auto"/>
            <w:noWrap/>
            <w:vAlign w:val="center"/>
            <w:hideMark/>
          </w:tcPr>
          <w:p w14:paraId="4AD326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17B51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98</w:t>
            </w:r>
          </w:p>
        </w:tc>
        <w:tc>
          <w:tcPr>
            <w:tcW w:w="1354" w:type="dxa"/>
            <w:tcBorders>
              <w:top w:val="nil"/>
              <w:left w:val="nil"/>
              <w:bottom w:val="nil"/>
              <w:right w:val="nil"/>
            </w:tcBorders>
            <w:shd w:val="clear" w:color="auto" w:fill="auto"/>
            <w:noWrap/>
            <w:vAlign w:val="center"/>
            <w:hideMark/>
          </w:tcPr>
          <w:p w14:paraId="12EA11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108</w:t>
            </w:r>
          </w:p>
        </w:tc>
        <w:tc>
          <w:tcPr>
            <w:tcW w:w="1001" w:type="dxa"/>
            <w:tcBorders>
              <w:top w:val="nil"/>
              <w:left w:val="nil"/>
              <w:bottom w:val="nil"/>
              <w:right w:val="nil"/>
            </w:tcBorders>
            <w:shd w:val="clear" w:color="auto" w:fill="auto"/>
            <w:noWrap/>
            <w:vAlign w:val="center"/>
            <w:hideMark/>
          </w:tcPr>
          <w:p w14:paraId="38A937A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90%</w:t>
            </w:r>
          </w:p>
        </w:tc>
        <w:tc>
          <w:tcPr>
            <w:tcW w:w="992" w:type="dxa"/>
            <w:tcBorders>
              <w:top w:val="nil"/>
              <w:left w:val="nil"/>
              <w:bottom w:val="nil"/>
              <w:right w:val="nil"/>
            </w:tcBorders>
            <w:shd w:val="clear" w:color="000000" w:fill="FCEEF1"/>
            <w:noWrap/>
            <w:vAlign w:val="center"/>
            <w:hideMark/>
          </w:tcPr>
          <w:p w14:paraId="4EC939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121%</w:t>
            </w:r>
          </w:p>
        </w:tc>
      </w:tr>
      <w:tr w:rsidR="0028350E" w:rsidRPr="007364B1" w14:paraId="60886D1B" w14:textId="77777777" w:rsidTr="00AA33F9">
        <w:trPr>
          <w:trHeight w:val="360"/>
        </w:trPr>
        <w:tc>
          <w:tcPr>
            <w:tcW w:w="1985" w:type="dxa"/>
            <w:tcBorders>
              <w:top w:val="nil"/>
              <w:left w:val="nil"/>
              <w:bottom w:val="nil"/>
              <w:right w:val="nil"/>
            </w:tcBorders>
            <w:shd w:val="clear" w:color="auto" w:fill="auto"/>
            <w:noWrap/>
            <w:vAlign w:val="bottom"/>
            <w:hideMark/>
          </w:tcPr>
          <w:p w14:paraId="66C6FCB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7ADA43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2,057</w:t>
            </w:r>
          </w:p>
        </w:tc>
        <w:tc>
          <w:tcPr>
            <w:tcW w:w="1026" w:type="dxa"/>
            <w:tcBorders>
              <w:top w:val="nil"/>
              <w:left w:val="nil"/>
              <w:bottom w:val="nil"/>
              <w:right w:val="nil"/>
            </w:tcBorders>
            <w:shd w:val="clear" w:color="auto" w:fill="auto"/>
            <w:noWrap/>
            <w:vAlign w:val="center"/>
            <w:hideMark/>
          </w:tcPr>
          <w:p w14:paraId="2260A1E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2,065</w:t>
            </w:r>
          </w:p>
        </w:tc>
        <w:tc>
          <w:tcPr>
            <w:tcW w:w="851" w:type="dxa"/>
            <w:tcBorders>
              <w:top w:val="nil"/>
              <w:left w:val="nil"/>
              <w:bottom w:val="nil"/>
              <w:right w:val="nil"/>
            </w:tcBorders>
            <w:shd w:val="clear" w:color="000000" w:fill="FA9FA1"/>
            <w:noWrap/>
            <w:vAlign w:val="center"/>
            <w:hideMark/>
          </w:tcPr>
          <w:p w14:paraId="7030A4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92" w:type="dxa"/>
            <w:tcBorders>
              <w:top w:val="nil"/>
              <w:left w:val="nil"/>
              <w:bottom w:val="nil"/>
              <w:right w:val="nil"/>
            </w:tcBorders>
            <w:shd w:val="clear" w:color="auto" w:fill="auto"/>
            <w:noWrap/>
            <w:vAlign w:val="center"/>
            <w:hideMark/>
          </w:tcPr>
          <w:p w14:paraId="1513D9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1,921</w:t>
            </w:r>
          </w:p>
        </w:tc>
        <w:tc>
          <w:tcPr>
            <w:tcW w:w="850" w:type="dxa"/>
            <w:tcBorders>
              <w:top w:val="nil"/>
              <w:left w:val="nil"/>
              <w:bottom w:val="nil"/>
              <w:right w:val="nil"/>
            </w:tcBorders>
            <w:shd w:val="clear" w:color="auto" w:fill="auto"/>
            <w:noWrap/>
            <w:vAlign w:val="center"/>
            <w:hideMark/>
          </w:tcPr>
          <w:p w14:paraId="358CDB7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139</w:t>
            </w:r>
          </w:p>
        </w:tc>
        <w:tc>
          <w:tcPr>
            <w:tcW w:w="1051" w:type="dxa"/>
            <w:tcBorders>
              <w:top w:val="nil"/>
              <w:left w:val="nil"/>
              <w:bottom w:val="nil"/>
              <w:right w:val="nil"/>
            </w:tcBorders>
            <w:shd w:val="clear" w:color="auto" w:fill="auto"/>
            <w:noWrap/>
            <w:vAlign w:val="center"/>
            <w:hideMark/>
          </w:tcPr>
          <w:p w14:paraId="77CD6D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249</w:t>
            </w:r>
          </w:p>
        </w:tc>
        <w:tc>
          <w:tcPr>
            <w:tcW w:w="869" w:type="dxa"/>
            <w:tcBorders>
              <w:top w:val="nil"/>
              <w:left w:val="nil"/>
              <w:bottom w:val="nil"/>
              <w:right w:val="nil"/>
            </w:tcBorders>
            <w:shd w:val="clear" w:color="auto" w:fill="auto"/>
            <w:noWrap/>
            <w:vAlign w:val="center"/>
            <w:hideMark/>
          </w:tcPr>
          <w:p w14:paraId="1EF29E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388</w:t>
            </w:r>
          </w:p>
        </w:tc>
        <w:tc>
          <w:tcPr>
            <w:tcW w:w="708" w:type="dxa"/>
            <w:tcBorders>
              <w:top w:val="nil"/>
              <w:left w:val="nil"/>
              <w:bottom w:val="nil"/>
              <w:right w:val="nil"/>
            </w:tcBorders>
            <w:shd w:val="clear" w:color="auto" w:fill="auto"/>
            <w:noWrap/>
            <w:vAlign w:val="center"/>
            <w:hideMark/>
          </w:tcPr>
          <w:p w14:paraId="5CB036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180</w:t>
            </w:r>
          </w:p>
        </w:tc>
        <w:tc>
          <w:tcPr>
            <w:tcW w:w="1011" w:type="dxa"/>
            <w:tcBorders>
              <w:top w:val="nil"/>
              <w:left w:val="nil"/>
              <w:bottom w:val="nil"/>
              <w:right w:val="nil"/>
            </w:tcBorders>
            <w:shd w:val="clear" w:color="auto" w:fill="auto"/>
            <w:noWrap/>
            <w:vAlign w:val="center"/>
            <w:hideMark/>
          </w:tcPr>
          <w:p w14:paraId="6F1A87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7C2AF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206</w:t>
            </w:r>
          </w:p>
        </w:tc>
        <w:tc>
          <w:tcPr>
            <w:tcW w:w="1354" w:type="dxa"/>
            <w:tcBorders>
              <w:top w:val="nil"/>
              <w:left w:val="nil"/>
              <w:bottom w:val="nil"/>
              <w:right w:val="nil"/>
            </w:tcBorders>
            <w:shd w:val="clear" w:color="auto" w:fill="auto"/>
            <w:noWrap/>
            <w:vAlign w:val="center"/>
            <w:hideMark/>
          </w:tcPr>
          <w:p w14:paraId="32C3B1F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w:t>
            </w:r>
          </w:p>
        </w:tc>
        <w:tc>
          <w:tcPr>
            <w:tcW w:w="1001" w:type="dxa"/>
            <w:tcBorders>
              <w:top w:val="nil"/>
              <w:left w:val="nil"/>
              <w:bottom w:val="nil"/>
              <w:right w:val="nil"/>
            </w:tcBorders>
            <w:shd w:val="clear" w:color="auto" w:fill="auto"/>
            <w:noWrap/>
            <w:vAlign w:val="center"/>
            <w:hideMark/>
          </w:tcPr>
          <w:p w14:paraId="188E20F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469%</w:t>
            </w:r>
          </w:p>
        </w:tc>
        <w:tc>
          <w:tcPr>
            <w:tcW w:w="992" w:type="dxa"/>
            <w:tcBorders>
              <w:top w:val="nil"/>
              <w:left w:val="nil"/>
              <w:bottom w:val="nil"/>
              <w:right w:val="nil"/>
            </w:tcBorders>
            <w:shd w:val="clear" w:color="000000" w:fill="E8EDF7"/>
            <w:noWrap/>
            <w:vAlign w:val="center"/>
            <w:hideMark/>
          </w:tcPr>
          <w:p w14:paraId="1F92DF2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r>
      <w:tr w:rsidR="0028350E" w:rsidRPr="007364B1" w14:paraId="739271C7" w14:textId="77777777" w:rsidTr="00AA33F9">
        <w:trPr>
          <w:trHeight w:val="360"/>
        </w:trPr>
        <w:tc>
          <w:tcPr>
            <w:tcW w:w="1985" w:type="dxa"/>
            <w:tcBorders>
              <w:top w:val="nil"/>
              <w:left w:val="nil"/>
              <w:bottom w:val="nil"/>
              <w:right w:val="nil"/>
            </w:tcBorders>
            <w:shd w:val="clear" w:color="auto" w:fill="auto"/>
            <w:noWrap/>
            <w:vAlign w:val="bottom"/>
            <w:hideMark/>
          </w:tcPr>
          <w:p w14:paraId="6CCE81A4"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495072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293</w:t>
            </w:r>
          </w:p>
        </w:tc>
        <w:tc>
          <w:tcPr>
            <w:tcW w:w="1026" w:type="dxa"/>
            <w:tcBorders>
              <w:top w:val="nil"/>
              <w:left w:val="nil"/>
              <w:bottom w:val="nil"/>
              <w:right w:val="nil"/>
            </w:tcBorders>
            <w:shd w:val="clear" w:color="auto" w:fill="auto"/>
            <w:noWrap/>
            <w:vAlign w:val="center"/>
            <w:hideMark/>
          </w:tcPr>
          <w:p w14:paraId="2E5116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363</w:t>
            </w:r>
          </w:p>
        </w:tc>
        <w:tc>
          <w:tcPr>
            <w:tcW w:w="851" w:type="dxa"/>
            <w:tcBorders>
              <w:top w:val="nil"/>
              <w:left w:val="nil"/>
              <w:bottom w:val="nil"/>
              <w:right w:val="nil"/>
            </w:tcBorders>
            <w:shd w:val="clear" w:color="000000" w:fill="F9898B"/>
            <w:noWrap/>
            <w:vAlign w:val="center"/>
            <w:hideMark/>
          </w:tcPr>
          <w:p w14:paraId="77EBAC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w:t>
            </w:r>
          </w:p>
        </w:tc>
        <w:tc>
          <w:tcPr>
            <w:tcW w:w="992" w:type="dxa"/>
            <w:tcBorders>
              <w:top w:val="nil"/>
              <w:left w:val="nil"/>
              <w:bottom w:val="nil"/>
              <w:right w:val="nil"/>
            </w:tcBorders>
            <w:shd w:val="clear" w:color="auto" w:fill="auto"/>
            <w:noWrap/>
            <w:vAlign w:val="center"/>
            <w:hideMark/>
          </w:tcPr>
          <w:p w14:paraId="274CF8C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384</w:t>
            </w:r>
          </w:p>
        </w:tc>
        <w:tc>
          <w:tcPr>
            <w:tcW w:w="850" w:type="dxa"/>
            <w:tcBorders>
              <w:top w:val="nil"/>
              <w:left w:val="nil"/>
              <w:bottom w:val="nil"/>
              <w:right w:val="nil"/>
            </w:tcBorders>
            <w:shd w:val="clear" w:color="auto" w:fill="auto"/>
            <w:noWrap/>
            <w:vAlign w:val="center"/>
            <w:hideMark/>
          </w:tcPr>
          <w:p w14:paraId="4EF0316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w:t>
            </w:r>
          </w:p>
        </w:tc>
        <w:tc>
          <w:tcPr>
            <w:tcW w:w="1051" w:type="dxa"/>
            <w:tcBorders>
              <w:top w:val="nil"/>
              <w:left w:val="nil"/>
              <w:bottom w:val="nil"/>
              <w:right w:val="nil"/>
            </w:tcBorders>
            <w:shd w:val="clear" w:color="auto" w:fill="auto"/>
            <w:noWrap/>
            <w:vAlign w:val="center"/>
            <w:hideMark/>
          </w:tcPr>
          <w:p w14:paraId="6FA4DB3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869" w:type="dxa"/>
            <w:tcBorders>
              <w:top w:val="nil"/>
              <w:left w:val="nil"/>
              <w:bottom w:val="nil"/>
              <w:right w:val="nil"/>
            </w:tcBorders>
            <w:shd w:val="clear" w:color="auto" w:fill="auto"/>
            <w:noWrap/>
            <w:vAlign w:val="center"/>
            <w:hideMark/>
          </w:tcPr>
          <w:p w14:paraId="227BBFA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708" w:type="dxa"/>
            <w:tcBorders>
              <w:top w:val="nil"/>
              <w:left w:val="nil"/>
              <w:bottom w:val="nil"/>
              <w:right w:val="nil"/>
            </w:tcBorders>
            <w:shd w:val="clear" w:color="auto" w:fill="auto"/>
            <w:noWrap/>
            <w:vAlign w:val="center"/>
            <w:hideMark/>
          </w:tcPr>
          <w:p w14:paraId="007433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11" w:type="dxa"/>
            <w:tcBorders>
              <w:top w:val="nil"/>
              <w:left w:val="nil"/>
              <w:bottom w:val="nil"/>
              <w:right w:val="nil"/>
            </w:tcBorders>
            <w:shd w:val="clear" w:color="auto" w:fill="auto"/>
            <w:noWrap/>
            <w:vAlign w:val="center"/>
            <w:hideMark/>
          </w:tcPr>
          <w:p w14:paraId="04E1BF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3892F8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74</w:t>
            </w:r>
          </w:p>
        </w:tc>
        <w:tc>
          <w:tcPr>
            <w:tcW w:w="1354" w:type="dxa"/>
            <w:tcBorders>
              <w:top w:val="nil"/>
              <w:left w:val="nil"/>
              <w:bottom w:val="nil"/>
              <w:right w:val="nil"/>
            </w:tcBorders>
            <w:shd w:val="clear" w:color="auto" w:fill="auto"/>
            <w:noWrap/>
            <w:vAlign w:val="center"/>
            <w:hideMark/>
          </w:tcPr>
          <w:p w14:paraId="20F27C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w:t>
            </w:r>
          </w:p>
        </w:tc>
        <w:tc>
          <w:tcPr>
            <w:tcW w:w="1001" w:type="dxa"/>
            <w:tcBorders>
              <w:top w:val="nil"/>
              <w:left w:val="nil"/>
              <w:bottom w:val="nil"/>
              <w:right w:val="nil"/>
            </w:tcBorders>
            <w:shd w:val="clear" w:color="auto" w:fill="auto"/>
            <w:noWrap/>
            <w:vAlign w:val="center"/>
            <w:hideMark/>
          </w:tcPr>
          <w:p w14:paraId="11AC10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206%</w:t>
            </w:r>
          </w:p>
        </w:tc>
        <w:tc>
          <w:tcPr>
            <w:tcW w:w="992" w:type="dxa"/>
            <w:tcBorders>
              <w:top w:val="nil"/>
              <w:left w:val="nil"/>
              <w:bottom w:val="nil"/>
              <w:right w:val="nil"/>
            </w:tcBorders>
            <w:shd w:val="clear" w:color="000000" w:fill="FCE4E7"/>
            <w:noWrap/>
            <w:vAlign w:val="center"/>
            <w:hideMark/>
          </w:tcPr>
          <w:p w14:paraId="10FA762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126%</w:t>
            </w:r>
          </w:p>
        </w:tc>
      </w:tr>
      <w:tr w:rsidR="0028350E" w:rsidRPr="007364B1" w14:paraId="3692382A" w14:textId="77777777" w:rsidTr="00AA33F9">
        <w:trPr>
          <w:trHeight w:val="360"/>
        </w:trPr>
        <w:tc>
          <w:tcPr>
            <w:tcW w:w="1985" w:type="dxa"/>
            <w:tcBorders>
              <w:top w:val="nil"/>
              <w:left w:val="nil"/>
              <w:bottom w:val="nil"/>
              <w:right w:val="nil"/>
            </w:tcBorders>
            <w:shd w:val="clear" w:color="auto" w:fill="auto"/>
            <w:noWrap/>
            <w:vAlign w:val="bottom"/>
            <w:hideMark/>
          </w:tcPr>
          <w:p w14:paraId="5423DC6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7ECC02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w:t>
            </w:r>
          </w:p>
        </w:tc>
        <w:tc>
          <w:tcPr>
            <w:tcW w:w="1026" w:type="dxa"/>
            <w:tcBorders>
              <w:top w:val="nil"/>
              <w:left w:val="nil"/>
              <w:bottom w:val="nil"/>
              <w:right w:val="nil"/>
            </w:tcBorders>
            <w:shd w:val="clear" w:color="auto" w:fill="auto"/>
            <w:noWrap/>
            <w:vAlign w:val="center"/>
            <w:hideMark/>
          </w:tcPr>
          <w:p w14:paraId="737F94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w:t>
            </w:r>
          </w:p>
        </w:tc>
        <w:tc>
          <w:tcPr>
            <w:tcW w:w="851" w:type="dxa"/>
            <w:tcBorders>
              <w:top w:val="nil"/>
              <w:left w:val="nil"/>
              <w:bottom w:val="nil"/>
              <w:right w:val="nil"/>
            </w:tcBorders>
            <w:shd w:val="clear" w:color="000000" w:fill="FAAAAD"/>
            <w:noWrap/>
            <w:vAlign w:val="center"/>
            <w:hideMark/>
          </w:tcPr>
          <w:p w14:paraId="007CCCB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992" w:type="dxa"/>
            <w:tcBorders>
              <w:top w:val="nil"/>
              <w:left w:val="nil"/>
              <w:bottom w:val="nil"/>
              <w:right w:val="nil"/>
            </w:tcBorders>
            <w:shd w:val="clear" w:color="auto" w:fill="auto"/>
            <w:noWrap/>
            <w:vAlign w:val="center"/>
            <w:hideMark/>
          </w:tcPr>
          <w:p w14:paraId="4EC5C0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850" w:type="dxa"/>
            <w:tcBorders>
              <w:top w:val="nil"/>
              <w:left w:val="nil"/>
              <w:bottom w:val="nil"/>
              <w:right w:val="nil"/>
            </w:tcBorders>
            <w:shd w:val="clear" w:color="auto" w:fill="auto"/>
            <w:noWrap/>
            <w:vAlign w:val="center"/>
            <w:hideMark/>
          </w:tcPr>
          <w:p w14:paraId="1375CC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1051" w:type="dxa"/>
            <w:tcBorders>
              <w:top w:val="nil"/>
              <w:left w:val="nil"/>
              <w:bottom w:val="nil"/>
              <w:right w:val="nil"/>
            </w:tcBorders>
            <w:shd w:val="clear" w:color="auto" w:fill="auto"/>
            <w:noWrap/>
            <w:vAlign w:val="center"/>
            <w:hideMark/>
          </w:tcPr>
          <w:p w14:paraId="293EE0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6C464D7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708" w:type="dxa"/>
            <w:tcBorders>
              <w:top w:val="nil"/>
              <w:left w:val="nil"/>
              <w:bottom w:val="nil"/>
              <w:right w:val="nil"/>
            </w:tcBorders>
            <w:shd w:val="clear" w:color="auto" w:fill="auto"/>
            <w:noWrap/>
            <w:vAlign w:val="center"/>
            <w:hideMark/>
          </w:tcPr>
          <w:p w14:paraId="6015ADE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11" w:type="dxa"/>
            <w:tcBorders>
              <w:top w:val="nil"/>
              <w:left w:val="nil"/>
              <w:bottom w:val="nil"/>
              <w:right w:val="nil"/>
            </w:tcBorders>
            <w:shd w:val="clear" w:color="auto" w:fill="auto"/>
            <w:noWrap/>
            <w:vAlign w:val="center"/>
            <w:hideMark/>
          </w:tcPr>
          <w:p w14:paraId="3ABC9C0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0BAAC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1354" w:type="dxa"/>
            <w:tcBorders>
              <w:top w:val="nil"/>
              <w:left w:val="nil"/>
              <w:bottom w:val="nil"/>
              <w:right w:val="nil"/>
            </w:tcBorders>
            <w:shd w:val="clear" w:color="auto" w:fill="auto"/>
            <w:noWrap/>
            <w:vAlign w:val="center"/>
            <w:hideMark/>
          </w:tcPr>
          <w:p w14:paraId="44687E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1001" w:type="dxa"/>
            <w:tcBorders>
              <w:top w:val="nil"/>
              <w:left w:val="nil"/>
              <w:bottom w:val="nil"/>
              <w:right w:val="nil"/>
            </w:tcBorders>
            <w:shd w:val="clear" w:color="auto" w:fill="auto"/>
            <w:noWrap/>
            <w:vAlign w:val="center"/>
            <w:hideMark/>
          </w:tcPr>
          <w:p w14:paraId="77D9B6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992" w:type="dxa"/>
            <w:tcBorders>
              <w:top w:val="nil"/>
              <w:left w:val="nil"/>
              <w:bottom w:val="nil"/>
              <w:right w:val="nil"/>
            </w:tcBorders>
            <w:shd w:val="clear" w:color="000000" w:fill="D2DEF0"/>
            <w:noWrap/>
            <w:vAlign w:val="center"/>
            <w:hideMark/>
          </w:tcPr>
          <w:p w14:paraId="7636FCE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85%</w:t>
            </w:r>
          </w:p>
        </w:tc>
      </w:tr>
      <w:tr w:rsidR="0028350E" w:rsidRPr="007364B1" w14:paraId="530FAA02" w14:textId="77777777" w:rsidTr="00AA33F9">
        <w:trPr>
          <w:trHeight w:val="360"/>
        </w:trPr>
        <w:tc>
          <w:tcPr>
            <w:tcW w:w="1985" w:type="dxa"/>
            <w:tcBorders>
              <w:top w:val="nil"/>
              <w:left w:val="nil"/>
              <w:bottom w:val="nil"/>
              <w:right w:val="nil"/>
            </w:tcBorders>
            <w:shd w:val="clear" w:color="auto" w:fill="auto"/>
            <w:noWrap/>
            <w:vAlign w:val="bottom"/>
            <w:hideMark/>
          </w:tcPr>
          <w:p w14:paraId="228166E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5956200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59</w:t>
            </w:r>
          </w:p>
        </w:tc>
        <w:tc>
          <w:tcPr>
            <w:tcW w:w="1026" w:type="dxa"/>
            <w:tcBorders>
              <w:top w:val="nil"/>
              <w:left w:val="nil"/>
              <w:bottom w:val="nil"/>
              <w:right w:val="nil"/>
            </w:tcBorders>
            <w:shd w:val="clear" w:color="auto" w:fill="auto"/>
            <w:noWrap/>
            <w:vAlign w:val="center"/>
            <w:hideMark/>
          </w:tcPr>
          <w:p w14:paraId="5817CAD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w:t>
            </w:r>
          </w:p>
        </w:tc>
        <w:tc>
          <w:tcPr>
            <w:tcW w:w="851" w:type="dxa"/>
            <w:tcBorders>
              <w:top w:val="nil"/>
              <w:left w:val="nil"/>
              <w:bottom w:val="nil"/>
              <w:right w:val="nil"/>
            </w:tcBorders>
            <w:shd w:val="clear" w:color="000000" w:fill="FAA5A8"/>
            <w:noWrap/>
            <w:vAlign w:val="center"/>
            <w:hideMark/>
          </w:tcPr>
          <w:p w14:paraId="23CE791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992" w:type="dxa"/>
            <w:tcBorders>
              <w:top w:val="nil"/>
              <w:left w:val="nil"/>
              <w:bottom w:val="nil"/>
              <w:right w:val="nil"/>
            </w:tcBorders>
            <w:shd w:val="clear" w:color="auto" w:fill="auto"/>
            <w:noWrap/>
            <w:vAlign w:val="center"/>
            <w:hideMark/>
          </w:tcPr>
          <w:p w14:paraId="430779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w:t>
            </w:r>
          </w:p>
        </w:tc>
        <w:tc>
          <w:tcPr>
            <w:tcW w:w="850" w:type="dxa"/>
            <w:tcBorders>
              <w:top w:val="nil"/>
              <w:left w:val="nil"/>
              <w:bottom w:val="nil"/>
              <w:right w:val="nil"/>
            </w:tcBorders>
            <w:shd w:val="clear" w:color="auto" w:fill="auto"/>
            <w:noWrap/>
            <w:vAlign w:val="center"/>
            <w:hideMark/>
          </w:tcPr>
          <w:p w14:paraId="10DBC4D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51" w:type="dxa"/>
            <w:tcBorders>
              <w:top w:val="nil"/>
              <w:left w:val="nil"/>
              <w:bottom w:val="nil"/>
              <w:right w:val="nil"/>
            </w:tcBorders>
            <w:shd w:val="clear" w:color="auto" w:fill="auto"/>
            <w:noWrap/>
            <w:vAlign w:val="center"/>
            <w:hideMark/>
          </w:tcPr>
          <w:p w14:paraId="5A1B61F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678A36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708" w:type="dxa"/>
            <w:tcBorders>
              <w:top w:val="nil"/>
              <w:left w:val="nil"/>
              <w:bottom w:val="nil"/>
              <w:right w:val="nil"/>
            </w:tcBorders>
            <w:shd w:val="clear" w:color="auto" w:fill="auto"/>
            <w:noWrap/>
            <w:vAlign w:val="center"/>
            <w:hideMark/>
          </w:tcPr>
          <w:p w14:paraId="3C4ED4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011" w:type="dxa"/>
            <w:tcBorders>
              <w:top w:val="nil"/>
              <w:left w:val="nil"/>
              <w:bottom w:val="nil"/>
              <w:right w:val="nil"/>
            </w:tcBorders>
            <w:shd w:val="clear" w:color="auto" w:fill="auto"/>
            <w:noWrap/>
            <w:vAlign w:val="center"/>
            <w:hideMark/>
          </w:tcPr>
          <w:p w14:paraId="374DD52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FF76B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354" w:type="dxa"/>
            <w:tcBorders>
              <w:top w:val="nil"/>
              <w:left w:val="nil"/>
              <w:bottom w:val="nil"/>
              <w:right w:val="nil"/>
            </w:tcBorders>
            <w:shd w:val="clear" w:color="auto" w:fill="auto"/>
            <w:noWrap/>
            <w:vAlign w:val="center"/>
            <w:hideMark/>
          </w:tcPr>
          <w:p w14:paraId="11DB2D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001" w:type="dxa"/>
            <w:tcBorders>
              <w:top w:val="nil"/>
              <w:left w:val="nil"/>
              <w:bottom w:val="nil"/>
              <w:right w:val="nil"/>
            </w:tcBorders>
            <w:shd w:val="clear" w:color="auto" w:fill="auto"/>
            <w:noWrap/>
            <w:vAlign w:val="center"/>
            <w:hideMark/>
          </w:tcPr>
          <w:p w14:paraId="205C36A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w:t>
            </w:r>
          </w:p>
        </w:tc>
        <w:tc>
          <w:tcPr>
            <w:tcW w:w="992" w:type="dxa"/>
            <w:tcBorders>
              <w:top w:val="nil"/>
              <w:left w:val="nil"/>
              <w:bottom w:val="nil"/>
              <w:right w:val="nil"/>
            </w:tcBorders>
            <w:shd w:val="clear" w:color="000000" w:fill="D9E3F2"/>
            <w:noWrap/>
            <w:vAlign w:val="center"/>
            <w:hideMark/>
          </w:tcPr>
          <w:p w14:paraId="0CA939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89%</w:t>
            </w:r>
          </w:p>
        </w:tc>
      </w:tr>
      <w:tr w:rsidR="0028350E" w:rsidRPr="007364B1" w14:paraId="7B4A6DCA"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1AF9E5A5"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7FEBB9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901</w:t>
            </w:r>
          </w:p>
        </w:tc>
        <w:tc>
          <w:tcPr>
            <w:tcW w:w="1026" w:type="dxa"/>
            <w:tcBorders>
              <w:top w:val="nil"/>
              <w:left w:val="nil"/>
              <w:bottom w:val="single" w:sz="4" w:space="0" w:color="auto"/>
              <w:right w:val="nil"/>
            </w:tcBorders>
            <w:shd w:val="clear" w:color="auto" w:fill="auto"/>
            <w:noWrap/>
            <w:vAlign w:val="center"/>
            <w:hideMark/>
          </w:tcPr>
          <w:p w14:paraId="113411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882</w:t>
            </w:r>
          </w:p>
        </w:tc>
        <w:tc>
          <w:tcPr>
            <w:tcW w:w="851" w:type="dxa"/>
            <w:tcBorders>
              <w:top w:val="nil"/>
              <w:left w:val="nil"/>
              <w:bottom w:val="single" w:sz="4" w:space="0" w:color="auto"/>
              <w:right w:val="nil"/>
            </w:tcBorders>
            <w:shd w:val="clear" w:color="000000" w:fill="FAA1A3"/>
            <w:noWrap/>
            <w:vAlign w:val="center"/>
            <w:hideMark/>
          </w:tcPr>
          <w:p w14:paraId="15A2D6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992" w:type="dxa"/>
            <w:tcBorders>
              <w:top w:val="nil"/>
              <w:left w:val="nil"/>
              <w:bottom w:val="single" w:sz="4" w:space="0" w:color="auto"/>
              <w:right w:val="nil"/>
            </w:tcBorders>
            <w:shd w:val="clear" w:color="auto" w:fill="auto"/>
            <w:noWrap/>
            <w:vAlign w:val="center"/>
            <w:hideMark/>
          </w:tcPr>
          <w:p w14:paraId="2312746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894</w:t>
            </w:r>
          </w:p>
        </w:tc>
        <w:tc>
          <w:tcPr>
            <w:tcW w:w="850" w:type="dxa"/>
            <w:tcBorders>
              <w:top w:val="nil"/>
              <w:left w:val="nil"/>
              <w:bottom w:val="single" w:sz="4" w:space="0" w:color="auto"/>
              <w:right w:val="nil"/>
            </w:tcBorders>
            <w:shd w:val="clear" w:color="auto" w:fill="auto"/>
            <w:noWrap/>
            <w:vAlign w:val="center"/>
            <w:hideMark/>
          </w:tcPr>
          <w:p w14:paraId="160961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126</w:t>
            </w:r>
          </w:p>
        </w:tc>
        <w:tc>
          <w:tcPr>
            <w:tcW w:w="1051" w:type="dxa"/>
            <w:tcBorders>
              <w:top w:val="nil"/>
              <w:left w:val="nil"/>
              <w:bottom w:val="single" w:sz="4" w:space="0" w:color="auto"/>
              <w:right w:val="nil"/>
            </w:tcBorders>
            <w:shd w:val="clear" w:color="auto" w:fill="auto"/>
            <w:noWrap/>
            <w:vAlign w:val="center"/>
            <w:hideMark/>
          </w:tcPr>
          <w:p w14:paraId="00F4E8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869" w:type="dxa"/>
            <w:tcBorders>
              <w:top w:val="nil"/>
              <w:left w:val="nil"/>
              <w:bottom w:val="single" w:sz="4" w:space="0" w:color="auto"/>
              <w:right w:val="nil"/>
            </w:tcBorders>
            <w:shd w:val="clear" w:color="auto" w:fill="auto"/>
            <w:noWrap/>
            <w:vAlign w:val="center"/>
            <w:hideMark/>
          </w:tcPr>
          <w:p w14:paraId="4E93570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708" w:type="dxa"/>
            <w:tcBorders>
              <w:top w:val="nil"/>
              <w:left w:val="nil"/>
              <w:bottom w:val="single" w:sz="4" w:space="0" w:color="auto"/>
              <w:right w:val="nil"/>
            </w:tcBorders>
            <w:shd w:val="clear" w:color="auto" w:fill="auto"/>
            <w:noWrap/>
            <w:vAlign w:val="center"/>
            <w:hideMark/>
          </w:tcPr>
          <w:p w14:paraId="057EE35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81</w:t>
            </w:r>
          </w:p>
        </w:tc>
        <w:tc>
          <w:tcPr>
            <w:tcW w:w="1011" w:type="dxa"/>
            <w:tcBorders>
              <w:top w:val="nil"/>
              <w:left w:val="nil"/>
              <w:bottom w:val="single" w:sz="4" w:space="0" w:color="auto"/>
              <w:right w:val="nil"/>
            </w:tcBorders>
            <w:shd w:val="clear" w:color="auto" w:fill="auto"/>
            <w:noWrap/>
            <w:vAlign w:val="center"/>
            <w:hideMark/>
          </w:tcPr>
          <w:p w14:paraId="6FE360B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0101E82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w:t>
            </w:r>
          </w:p>
        </w:tc>
        <w:tc>
          <w:tcPr>
            <w:tcW w:w="1354" w:type="dxa"/>
            <w:tcBorders>
              <w:top w:val="nil"/>
              <w:left w:val="nil"/>
              <w:bottom w:val="single" w:sz="4" w:space="0" w:color="auto"/>
              <w:right w:val="nil"/>
            </w:tcBorders>
            <w:shd w:val="clear" w:color="auto" w:fill="auto"/>
            <w:noWrap/>
            <w:vAlign w:val="center"/>
            <w:hideMark/>
          </w:tcPr>
          <w:p w14:paraId="413314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50</w:t>
            </w:r>
          </w:p>
        </w:tc>
        <w:tc>
          <w:tcPr>
            <w:tcW w:w="1001" w:type="dxa"/>
            <w:tcBorders>
              <w:top w:val="nil"/>
              <w:left w:val="nil"/>
              <w:bottom w:val="single" w:sz="4" w:space="0" w:color="auto"/>
              <w:right w:val="nil"/>
            </w:tcBorders>
            <w:shd w:val="clear" w:color="auto" w:fill="auto"/>
            <w:noWrap/>
            <w:vAlign w:val="center"/>
            <w:hideMark/>
          </w:tcPr>
          <w:p w14:paraId="5FB4BB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95%</w:t>
            </w:r>
          </w:p>
        </w:tc>
        <w:tc>
          <w:tcPr>
            <w:tcW w:w="992" w:type="dxa"/>
            <w:tcBorders>
              <w:top w:val="nil"/>
              <w:left w:val="nil"/>
              <w:bottom w:val="single" w:sz="4" w:space="0" w:color="auto"/>
              <w:right w:val="nil"/>
            </w:tcBorders>
            <w:shd w:val="clear" w:color="000000" w:fill="E3EAF6"/>
            <w:noWrap/>
            <w:vAlign w:val="center"/>
            <w:hideMark/>
          </w:tcPr>
          <w:p w14:paraId="339878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r>
      <w:tr w:rsidR="0028350E" w:rsidRPr="007364B1" w14:paraId="5257A216"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7162DB3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788098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120,612</w:t>
            </w:r>
          </w:p>
        </w:tc>
        <w:tc>
          <w:tcPr>
            <w:tcW w:w="1026" w:type="dxa"/>
            <w:tcBorders>
              <w:top w:val="nil"/>
              <w:left w:val="nil"/>
              <w:bottom w:val="single" w:sz="4" w:space="0" w:color="auto"/>
              <w:right w:val="nil"/>
            </w:tcBorders>
            <w:shd w:val="clear" w:color="auto" w:fill="auto"/>
            <w:noWrap/>
            <w:vAlign w:val="center"/>
            <w:hideMark/>
          </w:tcPr>
          <w:p w14:paraId="785931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167,857</w:t>
            </w:r>
          </w:p>
        </w:tc>
        <w:tc>
          <w:tcPr>
            <w:tcW w:w="851" w:type="dxa"/>
            <w:tcBorders>
              <w:top w:val="single" w:sz="4" w:space="0" w:color="auto"/>
              <w:left w:val="nil"/>
              <w:bottom w:val="single" w:sz="4" w:space="0" w:color="auto"/>
              <w:right w:val="nil"/>
            </w:tcBorders>
            <w:shd w:val="clear" w:color="000000" w:fill="F8696B"/>
            <w:noWrap/>
            <w:vAlign w:val="center"/>
            <w:hideMark/>
          </w:tcPr>
          <w:p w14:paraId="10C85F2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w:t>
            </w:r>
          </w:p>
        </w:tc>
        <w:tc>
          <w:tcPr>
            <w:tcW w:w="992" w:type="dxa"/>
            <w:tcBorders>
              <w:top w:val="nil"/>
              <w:left w:val="nil"/>
              <w:bottom w:val="single" w:sz="4" w:space="0" w:color="auto"/>
              <w:right w:val="nil"/>
            </w:tcBorders>
            <w:shd w:val="clear" w:color="auto" w:fill="auto"/>
            <w:noWrap/>
            <w:vAlign w:val="center"/>
            <w:hideMark/>
          </w:tcPr>
          <w:p w14:paraId="71F66F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197,100</w:t>
            </w:r>
          </w:p>
        </w:tc>
        <w:tc>
          <w:tcPr>
            <w:tcW w:w="850" w:type="dxa"/>
            <w:tcBorders>
              <w:top w:val="nil"/>
              <w:left w:val="nil"/>
              <w:bottom w:val="single" w:sz="4" w:space="0" w:color="auto"/>
              <w:right w:val="nil"/>
            </w:tcBorders>
            <w:shd w:val="clear" w:color="auto" w:fill="auto"/>
            <w:noWrap/>
            <w:vAlign w:val="center"/>
            <w:hideMark/>
          </w:tcPr>
          <w:p w14:paraId="162BB3C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14,467</w:t>
            </w:r>
          </w:p>
        </w:tc>
        <w:tc>
          <w:tcPr>
            <w:tcW w:w="1051" w:type="dxa"/>
            <w:tcBorders>
              <w:top w:val="nil"/>
              <w:left w:val="nil"/>
              <w:bottom w:val="single" w:sz="4" w:space="0" w:color="auto"/>
              <w:right w:val="nil"/>
            </w:tcBorders>
            <w:shd w:val="clear" w:color="auto" w:fill="auto"/>
            <w:noWrap/>
            <w:vAlign w:val="center"/>
            <w:hideMark/>
          </w:tcPr>
          <w:p w14:paraId="259CF5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3,988</w:t>
            </w:r>
          </w:p>
        </w:tc>
        <w:tc>
          <w:tcPr>
            <w:tcW w:w="869" w:type="dxa"/>
            <w:tcBorders>
              <w:top w:val="nil"/>
              <w:left w:val="nil"/>
              <w:bottom w:val="single" w:sz="4" w:space="0" w:color="auto"/>
              <w:right w:val="nil"/>
            </w:tcBorders>
            <w:shd w:val="clear" w:color="auto" w:fill="auto"/>
            <w:noWrap/>
            <w:vAlign w:val="center"/>
            <w:hideMark/>
          </w:tcPr>
          <w:p w14:paraId="117DFEB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18,455</w:t>
            </w:r>
          </w:p>
        </w:tc>
        <w:tc>
          <w:tcPr>
            <w:tcW w:w="708" w:type="dxa"/>
            <w:tcBorders>
              <w:top w:val="nil"/>
              <w:left w:val="nil"/>
              <w:bottom w:val="single" w:sz="4" w:space="0" w:color="auto"/>
              <w:right w:val="nil"/>
            </w:tcBorders>
            <w:shd w:val="clear" w:color="auto" w:fill="auto"/>
            <w:noWrap/>
            <w:vAlign w:val="center"/>
            <w:hideMark/>
          </w:tcPr>
          <w:p w14:paraId="29A0F3E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18,543</w:t>
            </w:r>
          </w:p>
        </w:tc>
        <w:tc>
          <w:tcPr>
            <w:tcW w:w="1011" w:type="dxa"/>
            <w:tcBorders>
              <w:top w:val="nil"/>
              <w:left w:val="nil"/>
              <w:bottom w:val="single" w:sz="4" w:space="0" w:color="auto"/>
              <w:right w:val="nil"/>
            </w:tcBorders>
            <w:shd w:val="clear" w:color="auto" w:fill="auto"/>
            <w:noWrap/>
            <w:vAlign w:val="center"/>
            <w:hideMark/>
          </w:tcPr>
          <w:p w14:paraId="1EBA3E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2,757</w:t>
            </w:r>
          </w:p>
        </w:tc>
        <w:tc>
          <w:tcPr>
            <w:tcW w:w="973" w:type="dxa"/>
            <w:tcBorders>
              <w:top w:val="nil"/>
              <w:left w:val="nil"/>
              <w:bottom w:val="single" w:sz="4" w:space="0" w:color="auto"/>
              <w:right w:val="nil"/>
            </w:tcBorders>
            <w:shd w:val="clear" w:color="auto" w:fill="auto"/>
            <w:noWrap/>
            <w:vAlign w:val="center"/>
            <w:hideMark/>
          </w:tcPr>
          <w:p w14:paraId="69FCEDA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10,587</w:t>
            </w:r>
          </w:p>
        </w:tc>
        <w:tc>
          <w:tcPr>
            <w:tcW w:w="1354" w:type="dxa"/>
            <w:tcBorders>
              <w:top w:val="nil"/>
              <w:left w:val="nil"/>
              <w:bottom w:val="single" w:sz="4" w:space="0" w:color="auto"/>
              <w:right w:val="nil"/>
            </w:tcBorders>
            <w:shd w:val="clear" w:color="auto" w:fill="auto"/>
            <w:noWrap/>
            <w:vAlign w:val="center"/>
            <w:hideMark/>
          </w:tcPr>
          <w:p w14:paraId="2735CCC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12,838</w:t>
            </w:r>
          </w:p>
        </w:tc>
        <w:tc>
          <w:tcPr>
            <w:tcW w:w="1001" w:type="dxa"/>
            <w:tcBorders>
              <w:top w:val="nil"/>
              <w:left w:val="nil"/>
              <w:bottom w:val="single" w:sz="4" w:space="0" w:color="auto"/>
              <w:right w:val="nil"/>
            </w:tcBorders>
            <w:shd w:val="clear" w:color="auto" w:fill="auto"/>
            <w:noWrap/>
            <w:vAlign w:val="center"/>
            <w:hideMark/>
          </w:tcPr>
          <w:p w14:paraId="55FDAF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82%</w:t>
            </w:r>
          </w:p>
        </w:tc>
        <w:tc>
          <w:tcPr>
            <w:tcW w:w="992" w:type="dxa"/>
            <w:tcBorders>
              <w:top w:val="single" w:sz="4" w:space="0" w:color="auto"/>
              <w:left w:val="nil"/>
              <w:bottom w:val="single" w:sz="4" w:space="0" w:color="auto"/>
              <w:right w:val="nil"/>
            </w:tcBorders>
            <w:shd w:val="clear" w:color="000000" w:fill="F98A8C"/>
            <w:noWrap/>
            <w:vAlign w:val="center"/>
            <w:hideMark/>
          </w:tcPr>
          <w:p w14:paraId="00337D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173%</w:t>
            </w:r>
          </w:p>
        </w:tc>
      </w:tr>
    </w:tbl>
    <w:p w14:paraId="57398668" w14:textId="77777777" w:rsidR="00AA33F9" w:rsidRDefault="00AA33F9" w:rsidP="00AA33F9">
      <w:pPr>
        <w:pStyle w:val="Tablenotesnumbers"/>
        <w:numPr>
          <w:ilvl w:val="1"/>
          <w:numId w:val="43"/>
        </w:numPr>
      </w:pPr>
      <w:r>
        <w:t>Steady state number is the sum of exits and the number aging out</w:t>
      </w:r>
    </w:p>
    <w:p w14:paraId="54E63AD7" w14:textId="77777777"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06F2108C" w14:textId="77777777" w:rsidR="0028350E" w:rsidRDefault="0028350E" w:rsidP="0028350E"/>
    <w:p w14:paraId="0F71719A" w14:textId="77777777" w:rsidR="0028350E" w:rsidRDefault="0028350E" w:rsidP="00A52191">
      <w:pPr>
        <w:pStyle w:val="AppendixH3"/>
      </w:pPr>
      <w:r w:rsidRPr="009E1993">
        <w:t xml:space="preserve">Flows of participant numbers in and out of disability types, for participants aged </w:t>
      </w:r>
      <w:r>
        <w:t>15</w:t>
      </w:r>
      <w:r w:rsidRPr="009E1993">
        <w:t>-</w:t>
      </w:r>
      <w:r>
        <w:t>18</w:t>
      </w:r>
    </w:p>
    <w:tbl>
      <w:tblPr>
        <w:tblW w:w="14569" w:type="dxa"/>
        <w:tblInd w:w="108" w:type="dxa"/>
        <w:tblLook w:val="04A0" w:firstRow="1" w:lastRow="0" w:firstColumn="1" w:lastColumn="0" w:noHBand="0" w:noVBand="1"/>
      </w:tblPr>
      <w:tblGrid>
        <w:gridCol w:w="1985"/>
        <w:gridCol w:w="884"/>
        <w:gridCol w:w="1026"/>
        <w:gridCol w:w="851"/>
        <w:gridCol w:w="992"/>
        <w:gridCol w:w="850"/>
        <w:gridCol w:w="1051"/>
        <w:gridCol w:w="869"/>
        <w:gridCol w:w="730"/>
        <w:gridCol w:w="1011"/>
        <w:gridCol w:w="973"/>
        <w:gridCol w:w="1354"/>
        <w:gridCol w:w="1001"/>
        <w:gridCol w:w="992"/>
      </w:tblGrid>
      <w:tr w:rsidR="00ED2FC8" w:rsidRPr="007364B1" w14:paraId="41C83123"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0E1FD0E7"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759DEAF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1026" w:type="dxa"/>
            <w:tcBorders>
              <w:top w:val="single" w:sz="4" w:space="0" w:color="auto"/>
              <w:left w:val="nil"/>
              <w:bottom w:val="single" w:sz="4" w:space="0" w:color="auto"/>
              <w:right w:val="nil"/>
            </w:tcBorders>
            <w:shd w:val="clear" w:color="auto" w:fill="auto"/>
            <w:vAlign w:val="bottom"/>
            <w:hideMark/>
          </w:tcPr>
          <w:p w14:paraId="464CA0CF"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04C20855" w14:textId="2C09DF29"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22C66445" w14:textId="7F744E7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3001782B" w14:textId="5447D5C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436BDFF0" w14:textId="162DFCF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1C7ADD9F" w14:textId="3D7B052D"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30" w:type="dxa"/>
            <w:tcBorders>
              <w:top w:val="single" w:sz="4" w:space="0" w:color="auto"/>
              <w:left w:val="nil"/>
              <w:bottom w:val="single" w:sz="4" w:space="0" w:color="auto"/>
              <w:right w:val="nil"/>
            </w:tcBorders>
            <w:shd w:val="clear" w:color="auto" w:fill="auto"/>
            <w:vAlign w:val="bottom"/>
            <w:hideMark/>
          </w:tcPr>
          <w:p w14:paraId="3094D1AA" w14:textId="2EF891D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583C2360"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1625F1B2" w14:textId="2C661356"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48B5E8A5" w14:textId="2AA0CA20"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05AAD783"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061A80B4"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4B219D3B" w14:textId="77777777" w:rsidTr="00AA33F9">
        <w:trPr>
          <w:trHeight w:val="360"/>
        </w:trPr>
        <w:tc>
          <w:tcPr>
            <w:tcW w:w="1985" w:type="dxa"/>
            <w:tcBorders>
              <w:top w:val="nil"/>
              <w:left w:val="nil"/>
              <w:bottom w:val="nil"/>
              <w:right w:val="nil"/>
            </w:tcBorders>
            <w:shd w:val="clear" w:color="auto" w:fill="auto"/>
            <w:noWrap/>
            <w:vAlign w:val="bottom"/>
            <w:hideMark/>
          </w:tcPr>
          <w:p w14:paraId="3811EAF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226F40F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334</w:t>
            </w:r>
          </w:p>
        </w:tc>
        <w:tc>
          <w:tcPr>
            <w:tcW w:w="1026" w:type="dxa"/>
            <w:tcBorders>
              <w:top w:val="nil"/>
              <w:left w:val="nil"/>
              <w:bottom w:val="nil"/>
              <w:right w:val="nil"/>
            </w:tcBorders>
            <w:shd w:val="clear" w:color="auto" w:fill="auto"/>
            <w:noWrap/>
            <w:vAlign w:val="center"/>
            <w:hideMark/>
          </w:tcPr>
          <w:p w14:paraId="211B677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384</w:t>
            </w:r>
          </w:p>
        </w:tc>
        <w:tc>
          <w:tcPr>
            <w:tcW w:w="851" w:type="dxa"/>
            <w:tcBorders>
              <w:top w:val="nil"/>
              <w:left w:val="nil"/>
              <w:bottom w:val="nil"/>
              <w:right w:val="nil"/>
            </w:tcBorders>
            <w:shd w:val="clear" w:color="000000" w:fill="FBB7BA"/>
            <w:noWrap/>
            <w:vAlign w:val="center"/>
            <w:hideMark/>
          </w:tcPr>
          <w:p w14:paraId="335E35F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w:t>
            </w:r>
          </w:p>
        </w:tc>
        <w:tc>
          <w:tcPr>
            <w:tcW w:w="992" w:type="dxa"/>
            <w:tcBorders>
              <w:top w:val="nil"/>
              <w:left w:val="nil"/>
              <w:bottom w:val="nil"/>
              <w:right w:val="nil"/>
            </w:tcBorders>
            <w:shd w:val="clear" w:color="auto" w:fill="auto"/>
            <w:noWrap/>
            <w:vAlign w:val="center"/>
            <w:hideMark/>
          </w:tcPr>
          <w:p w14:paraId="40496C3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392</w:t>
            </w:r>
          </w:p>
        </w:tc>
        <w:tc>
          <w:tcPr>
            <w:tcW w:w="850" w:type="dxa"/>
            <w:tcBorders>
              <w:top w:val="nil"/>
              <w:left w:val="nil"/>
              <w:bottom w:val="nil"/>
              <w:right w:val="nil"/>
            </w:tcBorders>
            <w:shd w:val="clear" w:color="auto" w:fill="auto"/>
            <w:noWrap/>
            <w:vAlign w:val="center"/>
            <w:hideMark/>
          </w:tcPr>
          <w:p w14:paraId="5BC892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93</w:t>
            </w:r>
          </w:p>
        </w:tc>
        <w:tc>
          <w:tcPr>
            <w:tcW w:w="1051" w:type="dxa"/>
            <w:tcBorders>
              <w:top w:val="nil"/>
              <w:left w:val="nil"/>
              <w:bottom w:val="nil"/>
              <w:right w:val="nil"/>
            </w:tcBorders>
            <w:shd w:val="clear" w:color="auto" w:fill="auto"/>
            <w:noWrap/>
            <w:vAlign w:val="center"/>
            <w:hideMark/>
          </w:tcPr>
          <w:p w14:paraId="38B1DE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869" w:type="dxa"/>
            <w:tcBorders>
              <w:top w:val="nil"/>
              <w:left w:val="nil"/>
              <w:bottom w:val="nil"/>
              <w:right w:val="nil"/>
            </w:tcBorders>
            <w:shd w:val="clear" w:color="auto" w:fill="auto"/>
            <w:noWrap/>
            <w:vAlign w:val="center"/>
            <w:hideMark/>
          </w:tcPr>
          <w:p w14:paraId="1AA7768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c>
          <w:tcPr>
            <w:tcW w:w="730" w:type="dxa"/>
            <w:tcBorders>
              <w:top w:val="nil"/>
              <w:left w:val="nil"/>
              <w:bottom w:val="nil"/>
              <w:right w:val="nil"/>
            </w:tcBorders>
            <w:shd w:val="clear" w:color="auto" w:fill="auto"/>
            <w:noWrap/>
            <w:vAlign w:val="center"/>
            <w:hideMark/>
          </w:tcPr>
          <w:p w14:paraId="257A94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1011" w:type="dxa"/>
            <w:tcBorders>
              <w:top w:val="nil"/>
              <w:left w:val="nil"/>
              <w:bottom w:val="nil"/>
              <w:right w:val="nil"/>
            </w:tcBorders>
            <w:shd w:val="clear" w:color="auto" w:fill="auto"/>
            <w:noWrap/>
            <w:vAlign w:val="center"/>
            <w:hideMark/>
          </w:tcPr>
          <w:p w14:paraId="6A933D3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DA144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w:t>
            </w:r>
          </w:p>
        </w:tc>
        <w:tc>
          <w:tcPr>
            <w:tcW w:w="1354" w:type="dxa"/>
            <w:tcBorders>
              <w:top w:val="nil"/>
              <w:left w:val="nil"/>
              <w:bottom w:val="nil"/>
              <w:right w:val="nil"/>
            </w:tcBorders>
            <w:shd w:val="clear" w:color="auto" w:fill="auto"/>
            <w:noWrap/>
            <w:vAlign w:val="center"/>
            <w:hideMark/>
          </w:tcPr>
          <w:p w14:paraId="1ECE89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w:t>
            </w:r>
          </w:p>
        </w:tc>
        <w:tc>
          <w:tcPr>
            <w:tcW w:w="1001" w:type="dxa"/>
            <w:tcBorders>
              <w:top w:val="nil"/>
              <w:left w:val="nil"/>
              <w:bottom w:val="nil"/>
              <w:right w:val="nil"/>
            </w:tcBorders>
            <w:shd w:val="clear" w:color="auto" w:fill="auto"/>
            <w:noWrap/>
            <w:vAlign w:val="center"/>
            <w:hideMark/>
          </w:tcPr>
          <w:p w14:paraId="748624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992" w:type="dxa"/>
            <w:tcBorders>
              <w:top w:val="nil"/>
              <w:left w:val="nil"/>
              <w:bottom w:val="nil"/>
              <w:right w:val="nil"/>
            </w:tcBorders>
            <w:shd w:val="clear" w:color="000000" w:fill="F8F9FD"/>
            <w:noWrap/>
            <w:vAlign w:val="center"/>
            <w:hideMark/>
          </w:tcPr>
          <w:p w14:paraId="593E6E7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r>
      <w:tr w:rsidR="0028350E" w:rsidRPr="007364B1" w14:paraId="079C33C9" w14:textId="77777777" w:rsidTr="00AA33F9">
        <w:trPr>
          <w:trHeight w:val="360"/>
        </w:trPr>
        <w:tc>
          <w:tcPr>
            <w:tcW w:w="1985" w:type="dxa"/>
            <w:tcBorders>
              <w:top w:val="nil"/>
              <w:left w:val="nil"/>
              <w:bottom w:val="nil"/>
              <w:right w:val="nil"/>
            </w:tcBorders>
            <w:shd w:val="clear" w:color="auto" w:fill="auto"/>
            <w:noWrap/>
            <w:vAlign w:val="bottom"/>
            <w:hideMark/>
          </w:tcPr>
          <w:p w14:paraId="6399C8E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1DBC67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20,752</w:t>
            </w:r>
          </w:p>
        </w:tc>
        <w:tc>
          <w:tcPr>
            <w:tcW w:w="1026" w:type="dxa"/>
            <w:tcBorders>
              <w:top w:val="nil"/>
              <w:left w:val="nil"/>
              <w:bottom w:val="nil"/>
              <w:right w:val="nil"/>
            </w:tcBorders>
            <w:shd w:val="clear" w:color="auto" w:fill="auto"/>
            <w:noWrap/>
            <w:vAlign w:val="center"/>
            <w:hideMark/>
          </w:tcPr>
          <w:p w14:paraId="5FEA24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43,671</w:t>
            </w:r>
          </w:p>
        </w:tc>
        <w:tc>
          <w:tcPr>
            <w:tcW w:w="851" w:type="dxa"/>
            <w:tcBorders>
              <w:top w:val="nil"/>
              <w:left w:val="nil"/>
              <w:bottom w:val="nil"/>
              <w:right w:val="nil"/>
            </w:tcBorders>
            <w:shd w:val="clear" w:color="000000" w:fill="F97E80"/>
            <w:noWrap/>
            <w:vAlign w:val="center"/>
            <w:hideMark/>
          </w:tcPr>
          <w:p w14:paraId="3487A6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+110%</w:t>
            </w:r>
          </w:p>
        </w:tc>
        <w:tc>
          <w:tcPr>
            <w:tcW w:w="992" w:type="dxa"/>
            <w:tcBorders>
              <w:top w:val="nil"/>
              <w:left w:val="nil"/>
              <w:bottom w:val="nil"/>
              <w:right w:val="nil"/>
            </w:tcBorders>
            <w:shd w:val="clear" w:color="auto" w:fill="auto"/>
            <w:noWrap/>
            <w:vAlign w:val="center"/>
            <w:hideMark/>
          </w:tcPr>
          <w:p w14:paraId="530B98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66,480</w:t>
            </w:r>
          </w:p>
        </w:tc>
        <w:tc>
          <w:tcPr>
            <w:tcW w:w="850" w:type="dxa"/>
            <w:tcBorders>
              <w:top w:val="nil"/>
              <w:left w:val="nil"/>
              <w:bottom w:val="nil"/>
              <w:right w:val="nil"/>
            </w:tcBorders>
            <w:shd w:val="clear" w:color="auto" w:fill="auto"/>
            <w:noWrap/>
            <w:vAlign w:val="center"/>
            <w:hideMark/>
          </w:tcPr>
          <w:p w14:paraId="7EF1C6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5,751</w:t>
            </w:r>
          </w:p>
        </w:tc>
        <w:tc>
          <w:tcPr>
            <w:tcW w:w="1051" w:type="dxa"/>
            <w:tcBorders>
              <w:top w:val="nil"/>
              <w:left w:val="nil"/>
              <w:bottom w:val="nil"/>
              <w:right w:val="nil"/>
            </w:tcBorders>
            <w:shd w:val="clear" w:color="auto" w:fill="auto"/>
            <w:noWrap/>
            <w:vAlign w:val="center"/>
            <w:hideMark/>
          </w:tcPr>
          <w:p w14:paraId="1C5B773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266</w:t>
            </w:r>
          </w:p>
        </w:tc>
        <w:tc>
          <w:tcPr>
            <w:tcW w:w="869" w:type="dxa"/>
            <w:tcBorders>
              <w:top w:val="nil"/>
              <w:left w:val="nil"/>
              <w:bottom w:val="nil"/>
              <w:right w:val="nil"/>
            </w:tcBorders>
            <w:shd w:val="clear" w:color="auto" w:fill="auto"/>
            <w:noWrap/>
            <w:vAlign w:val="center"/>
            <w:hideMark/>
          </w:tcPr>
          <w:p w14:paraId="7BF8C72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6,017</w:t>
            </w:r>
          </w:p>
        </w:tc>
        <w:tc>
          <w:tcPr>
            <w:tcW w:w="730" w:type="dxa"/>
            <w:tcBorders>
              <w:top w:val="nil"/>
              <w:left w:val="nil"/>
              <w:bottom w:val="nil"/>
              <w:right w:val="nil"/>
            </w:tcBorders>
            <w:shd w:val="clear" w:color="auto" w:fill="auto"/>
            <w:noWrap/>
            <w:vAlign w:val="center"/>
            <w:hideMark/>
          </w:tcPr>
          <w:p w14:paraId="11FD05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10,039</w:t>
            </w:r>
          </w:p>
        </w:tc>
        <w:tc>
          <w:tcPr>
            <w:tcW w:w="1011" w:type="dxa"/>
            <w:tcBorders>
              <w:top w:val="nil"/>
              <w:left w:val="nil"/>
              <w:bottom w:val="nil"/>
              <w:right w:val="nil"/>
            </w:tcBorders>
            <w:shd w:val="clear" w:color="auto" w:fill="auto"/>
            <w:noWrap/>
            <w:vAlign w:val="center"/>
            <w:hideMark/>
          </w:tcPr>
          <w:p w14:paraId="32B699B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973" w:type="dxa"/>
            <w:tcBorders>
              <w:top w:val="nil"/>
              <w:left w:val="nil"/>
              <w:bottom w:val="nil"/>
              <w:right w:val="nil"/>
            </w:tcBorders>
            <w:shd w:val="clear" w:color="auto" w:fill="auto"/>
            <w:noWrap/>
            <w:vAlign w:val="center"/>
            <w:hideMark/>
          </w:tcPr>
          <w:p w14:paraId="2233AF7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1,706</w:t>
            </w:r>
          </w:p>
        </w:tc>
        <w:tc>
          <w:tcPr>
            <w:tcW w:w="1354" w:type="dxa"/>
            <w:tcBorders>
              <w:top w:val="nil"/>
              <w:left w:val="nil"/>
              <w:bottom w:val="nil"/>
              <w:right w:val="nil"/>
            </w:tcBorders>
            <w:shd w:val="clear" w:color="auto" w:fill="auto"/>
            <w:noWrap/>
            <w:vAlign w:val="center"/>
            <w:hideMark/>
          </w:tcPr>
          <w:p w14:paraId="33E0161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2,646</w:t>
            </w:r>
          </w:p>
        </w:tc>
        <w:tc>
          <w:tcPr>
            <w:tcW w:w="1001" w:type="dxa"/>
            <w:tcBorders>
              <w:top w:val="nil"/>
              <w:left w:val="nil"/>
              <w:bottom w:val="nil"/>
              <w:right w:val="nil"/>
            </w:tcBorders>
            <w:shd w:val="clear" w:color="auto" w:fill="auto"/>
            <w:noWrap/>
            <w:vAlign w:val="center"/>
            <w:hideMark/>
          </w:tcPr>
          <w:p w14:paraId="36BD50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c>
          <w:tcPr>
            <w:tcW w:w="992" w:type="dxa"/>
            <w:tcBorders>
              <w:top w:val="nil"/>
              <w:left w:val="nil"/>
              <w:bottom w:val="nil"/>
              <w:right w:val="nil"/>
            </w:tcBorders>
            <w:shd w:val="clear" w:color="000000" w:fill="F8696B"/>
            <w:noWrap/>
            <w:vAlign w:val="center"/>
            <w:hideMark/>
          </w:tcPr>
          <w:p w14:paraId="17BB4D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195%</w:t>
            </w:r>
          </w:p>
        </w:tc>
      </w:tr>
      <w:tr w:rsidR="0028350E" w:rsidRPr="007364B1" w14:paraId="466A9536" w14:textId="77777777" w:rsidTr="00AA33F9">
        <w:trPr>
          <w:trHeight w:val="360"/>
        </w:trPr>
        <w:tc>
          <w:tcPr>
            <w:tcW w:w="1985" w:type="dxa"/>
            <w:tcBorders>
              <w:top w:val="nil"/>
              <w:left w:val="nil"/>
              <w:bottom w:val="nil"/>
              <w:right w:val="nil"/>
            </w:tcBorders>
            <w:shd w:val="clear" w:color="auto" w:fill="auto"/>
            <w:noWrap/>
            <w:vAlign w:val="bottom"/>
            <w:hideMark/>
          </w:tcPr>
          <w:p w14:paraId="0E7B53A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2C44F8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1,446</w:t>
            </w:r>
          </w:p>
        </w:tc>
        <w:tc>
          <w:tcPr>
            <w:tcW w:w="1026" w:type="dxa"/>
            <w:tcBorders>
              <w:top w:val="nil"/>
              <w:left w:val="nil"/>
              <w:bottom w:val="nil"/>
              <w:right w:val="nil"/>
            </w:tcBorders>
            <w:shd w:val="clear" w:color="auto" w:fill="auto"/>
            <w:noWrap/>
            <w:vAlign w:val="center"/>
            <w:hideMark/>
          </w:tcPr>
          <w:p w14:paraId="6D0D511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1,944</w:t>
            </w:r>
          </w:p>
        </w:tc>
        <w:tc>
          <w:tcPr>
            <w:tcW w:w="851" w:type="dxa"/>
            <w:tcBorders>
              <w:top w:val="nil"/>
              <w:left w:val="nil"/>
              <w:bottom w:val="nil"/>
              <w:right w:val="nil"/>
            </w:tcBorders>
            <w:shd w:val="clear" w:color="000000" w:fill="FAACAE"/>
            <w:noWrap/>
            <w:vAlign w:val="center"/>
            <w:hideMark/>
          </w:tcPr>
          <w:p w14:paraId="32EDC3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992" w:type="dxa"/>
            <w:tcBorders>
              <w:top w:val="nil"/>
              <w:left w:val="nil"/>
              <w:bottom w:val="nil"/>
              <w:right w:val="nil"/>
            </w:tcBorders>
            <w:shd w:val="clear" w:color="auto" w:fill="auto"/>
            <w:noWrap/>
            <w:vAlign w:val="center"/>
            <w:hideMark/>
          </w:tcPr>
          <w:p w14:paraId="6668D9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2,029</w:t>
            </w:r>
          </w:p>
        </w:tc>
        <w:tc>
          <w:tcPr>
            <w:tcW w:w="850" w:type="dxa"/>
            <w:tcBorders>
              <w:top w:val="nil"/>
              <w:left w:val="nil"/>
              <w:bottom w:val="nil"/>
              <w:right w:val="nil"/>
            </w:tcBorders>
            <w:shd w:val="clear" w:color="auto" w:fill="auto"/>
            <w:noWrap/>
            <w:vAlign w:val="center"/>
            <w:hideMark/>
          </w:tcPr>
          <w:p w14:paraId="5F7670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367</w:t>
            </w:r>
          </w:p>
        </w:tc>
        <w:tc>
          <w:tcPr>
            <w:tcW w:w="1051" w:type="dxa"/>
            <w:tcBorders>
              <w:top w:val="nil"/>
              <w:left w:val="nil"/>
              <w:bottom w:val="nil"/>
              <w:right w:val="nil"/>
            </w:tcBorders>
            <w:shd w:val="clear" w:color="auto" w:fill="auto"/>
            <w:noWrap/>
            <w:vAlign w:val="center"/>
            <w:hideMark/>
          </w:tcPr>
          <w:p w14:paraId="5DCB3D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869" w:type="dxa"/>
            <w:tcBorders>
              <w:top w:val="nil"/>
              <w:left w:val="nil"/>
              <w:bottom w:val="nil"/>
              <w:right w:val="nil"/>
            </w:tcBorders>
            <w:shd w:val="clear" w:color="auto" w:fill="auto"/>
            <w:noWrap/>
            <w:vAlign w:val="center"/>
            <w:hideMark/>
          </w:tcPr>
          <w:p w14:paraId="58FEA6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377</w:t>
            </w:r>
          </w:p>
        </w:tc>
        <w:tc>
          <w:tcPr>
            <w:tcW w:w="730" w:type="dxa"/>
            <w:tcBorders>
              <w:top w:val="nil"/>
              <w:left w:val="nil"/>
              <w:bottom w:val="nil"/>
              <w:right w:val="nil"/>
            </w:tcBorders>
            <w:shd w:val="clear" w:color="auto" w:fill="auto"/>
            <w:noWrap/>
            <w:vAlign w:val="center"/>
            <w:hideMark/>
          </w:tcPr>
          <w:p w14:paraId="3C3BDF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478</w:t>
            </w:r>
          </w:p>
        </w:tc>
        <w:tc>
          <w:tcPr>
            <w:tcW w:w="1011" w:type="dxa"/>
            <w:tcBorders>
              <w:top w:val="nil"/>
              <w:left w:val="nil"/>
              <w:bottom w:val="nil"/>
              <w:right w:val="nil"/>
            </w:tcBorders>
            <w:shd w:val="clear" w:color="auto" w:fill="auto"/>
            <w:noWrap/>
            <w:vAlign w:val="center"/>
            <w:hideMark/>
          </w:tcPr>
          <w:p w14:paraId="6005A86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41AEE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w:t>
            </w:r>
          </w:p>
        </w:tc>
        <w:tc>
          <w:tcPr>
            <w:tcW w:w="1354" w:type="dxa"/>
            <w:tcBorders>
              <w:top w:val="nil"/>
              <w:left w:val="nil"/>
              <w:bottom w:val="nil"/>
              <w:right w:val="nil"/>
            </w:tcBorders>
            <w:shd w:val="clear" w:color="auto" w:fill="auto"/>
            <w:noWrap/>
            <w:vAlign w:val="center"/>
            <w:hideMark/>
          </w:tcPr>
          <w:p w14:paraId="284652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w:t>
            </w:r>
          </w:p>
        </w:tc>
        <w:tc>
          <w:tcPr>
            <w:tcW w:w="1001" w:type="dxa"/>
            <w:tcBorders>
              <w:top w:val="nil"/>
              <w:left w:val="nil"/>
              <w:bottom w:val="nil"/>
              <w:right w:val="nil"/>
            </w:tcBorders>
            <w:shd w:val="clear" w:color="auto" w:fill="auto"/>
            <w:noWrap/>
            <w:vAlign w:val="center"/>
            <w:hideMark/>
          </w:tcPr>
          <w:p w14:paraId="2CE389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98%</w:t>
            </w:r>
          </w:p>
        </w:tc>
        <w:tc>
          <w:tcPr>
            <w:tcW w:w="992" w:type="dxa"/>
            <w:tcBorders>
              <w:top w:val="nil"/>
              <w:left w:val="nil"/>
              <w:bottom w:val="nil"/>
              <w:right w:val="nil"/>
            </w:tcBorders>
            <w:shd w:val="clear" w:color="000000" w:fill="FCF3F6"/>
            <w:noWrap/>
            <w:vAlign w:val="center"/>
            <w:hideMark/>
          </w:tcPr>
          <w:p w14:paraId="302CEC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r>
      <w:tr w:rsidR="0028350E" w:rsidRPr="007364B1" w14:paraId="243E121A" w14:textId="77777777" w:rsidTr="00AA33F9">
        <w:trPr>
          <w:trHeight w:val="360"/>
        </w:trPr>
        <w:tc>
          <w:tcPr>
            <w:tcW w:w="1985" w:type="dxa"/>
            <w:tcBorders>
              <w:top w:val="nil"/>
              <w:left w:val="nil"/>
              <w:bottom w:val="nil"/>
              <w:right w:val="nil"/>
            </w:tcBorders>
            <w:shd w:val="clear" w:color="auto" w:fill="auto"/>
            <w:noWrap/>
            <w:vAlign w:val="bottom"/>
            <w:hideMark/>
          </w:tcPr>
          <w:p w14:paraId="01EB047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30165C5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1,687</w:t>
            </w:r>
          </w:p>
        </w:tc>
        <w:tc>
          <w:tcPr>
            <w:tcW w:w="1026" w:type="dxa"/>
            <w:tcBorders>
              <w:top w:val="nil"/>
              <w:left w:val="nil"/>
              <w:bottom w:val="nil"/>
              <w:right w:val="nil"/>
            </w:tcBorders>
            <w:shd w:val="clear" w:color="auto" w:fill="auto"/>
            <w:noWrap/>
            <w:vAlign w:val="center"/>
            <w:hideMark/>
          </w:tcPr>
          <w:p w14:paraId="64E2122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2,861</w:t>
            </w:r>
          </w:p>
        </w:tc>
        <w:tc>
          <w:tcPr>
            <w:tcW w:w="851" w:type="dxa"/>
            <w:tcBorders>
              <w:top w:val="nil"/>
              <w:left w:val="nil"/>
              <w:bottom w:val="nil"/>
              <w:right w:val="nil"/>
            </w:tcBorders>
            <w:shd w:val="clear" w:color="000000" w:fill="FA9699"/>
            <w:noWrap/>
            <w:vAlign w:val="center"/>
            <w:hideMark/>
          </w:tcPr>
          <w:p w14:paraId="4FE080F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992" w:type="dxa"/>
            <w:tcBorders>
              <w:top w:val="nil"/>
              <w:left w:val="nil"/>
              <w:bottom w:val="nil"/>
              <w:right w:val="nil"/>
            </w:tcBorders>
            <w:shd w:val="clear" w:color="auto" w:fill="auto"/>
            <w:noWrap/>
            <w:vAlign w:val="center"/>
            <w:hideMark/>
          </w:tcPr>
          <w:p w14:paraId="72C099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3,754</w:t>
            </w:r>
          </w:p>
        </w:tc>
        <w:tc>
          <w:tcPr>
            <w:tcW w:w="850" w:type="dxa"/>
            <w:tcBorders>
              <w:top w:val="nil"/>
              <w:left w:val="nil"/>
              <w:bottom w:val="nil"/>
              <w:right w:val="nil"/>
            </w:tcBorders>
            <w:shd w:val="clear" w:color="auto" w:fill="auto"/>
            <w:noWrap/>
            <w:vAlign w:val="center"/>
            <w:hideMark/>
          </w:tcPr>
          <w:p w14:paraId="61CE14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475</w:t>
            </w:r>
          </w:p>
        </w:tc>
        <w:tc>
          <w:tcPr>
            <w:tcW w:w="1051" w:type="dxa"/>
            <w:tcBorders>
              <w:top w:val="nil"/>
              <w:left w:val="nil"/>
              <w:bottom w:val="nil"/>
              <w:right w:val="nil"/>
            </w:tcBorders>
            <w:shd w:val="clear" w:color="auto" w:fill="auto"/>
            <w:noWrap/>
            <w:vAlign w:val="center"/>
            <w:hideMark/>
          </w:tcPr>
          <w:p w14:paraId="39EBB7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869" w:type="dxa"/>
            <w:tcBorders>
              <w:top w:val="nil"/>
              <w:left w:val="nil"/>
              <w:bottom w:val="nil"/>
              <w:right w:val="nil"/>
            </w:tcBorders>
            <w:shd w:val="clear" w:color="auto" w:fill="auto"/>
            <w:noWrap/>
            <w:vAlign w:val="center"/>
            <w:hideMark/>
          </w:tcPr>
          <w:p w14:paraId="22DF816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492</w:t>
            </w:r>
          </w:p>
        </w:tc>
        <w:tc>
          <w:tcPr>
            <w:tcW w:w="730" w:type="dxa"/>
            <w:tcBorders>
              <w:top w:val="nil"/>
              <w:left w:val="nil"/>
              <w:bottom w:val="nil"/>
              <w:right w:val="nil"/>
            </w:tcBorders>
            <w:shd w:val="clear" w:color="auto" w:fill="auto"/>
            <w:noWrap/>
            <w:vAlign w:val="center"/>
            <w:hideMark/>
          </w:tcPr>
          <w:p w14:paraId="73744BD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642</w:t>
            </w:r>
          </w:p>
        </w:tc>
        <w:tc>
          <w:tcPr>
            <w:tcW w:w="1011" w:type="dxa"/>
            <w:tcBorders>
              <w:top w:val="nil"/>
              <w:left w:val="nil"/>
              <w:bottom w:val="nil"/>
              <w:right w:val="nil"/>
            </w:tcBorders>
            <w:shd w:val="clear" w:color="auto" w:fill="auto"/>
            <w:noWrap/>
            <w:vAlign w:val="center"/>
            <w:hideMark/>
          </w:tcPr>
          <w:p w14:paraId="4F8F82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F96F5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w:t>
            </w:r>
          </w:p>
        </w:tc>
        <w:tc>
          <w:tcPr>
            <w:tcW w:w="1354" w:type="dxa"/>
            <w:tcBorders>
              <w:top w:val="nil"/>
              <w:left w:val="nil"/>
              <w:bottom w:val="nil"/>
              <w:right w:val="nil"/>
            </w:tcBorders>
            <w:shd w:val="clear" w:color="auto" w:fill="auto"/>
            <w:noWrap/>
            <w:vAlign w:val="center"/>
            <w:hideMark/>
          </w:tcPr>
          <w:p w14:paraId="6D60D0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160</w:t>
            </w:r>
          </w:p>
        </w:tc>
        <w:tc>
          <w:tcPr>
            <w:tcW w:w="1001" w:type="dxa"/>
            <w:tcBorders>
              <w:top w:val="nil"/>
              <w:left w:val="nil"/>
              <w:bottom w:val="nil"/>
              <w:right w:val="nil"/>
            </w:tcBorders>
            <w:shd w:val="clear" w:color="auto" w:fill="auto"/>
            <w:noWrap/>
            <w:vAlign w:val="center"/>
            <w:hideMark/>
          </w:tcPr>
          <w:p w14:paraId="36326BD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90%</w:t>
            </w:r>
          </w:p>
        </w:tc>
        <w:tc>
          <w:tcPr>
            <w:tcW w:w="992" w:type="dxa"/>
            <w:tcBorders>
              <w:top w:val="nil"/>
              <w:left w:val="nil"/>
              <w:bottom w:val="nil"/>
              <w:right w:val="nil"/>
            </w:tcBorders>
            <w:shd w:val="clear" w:color="000000" w:fill="FBB8BB"/>
            <w:noWrap/>
            <w:vAlign w:val="center"/>
            <w:hideMark/>
          </w:tcPr>
          <w:p w14:paraId="475F0B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160%</w:t>
            </w:r>
          </w:p>
        </w:tc>
      </w:tr>
      <w:tr w:rsidR="0028350E" w:rsidRPr="007364B1" w14:paraId="1F11D167" w14:textId="77777777" w:rsidTr="00AA33F9">
        <w:trPr>
          <w:trHeight w:val="360"/>
        </w:trPr>
        <w:tc>
          <w:tcPr>
            <w:tcW w:w="1985" w:type="dxa"/>
            <w:tcBorders>
              <w:top w:val="nil"/>
              <w:left w:val="nil"/>
              <w:bottom w:val="nil"/>
              <w:right w:val="nil"/>
            </w:tcBorders>
            <w:shd w:val="clear" w:color="auto" w:fill="auto"/>
            <w:noWrap/>
            <w:vAlign w:val="bottom"/>
            <w:hideMark/>
          </w:tcPr>
          <w:p w14:paraId="7C49301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1EC772A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9,142</w:t>
            </w:r>
          </w:p>
        </w:tc>
        <w:tc>
          <w:tcPr>
            <w:tcW w:w="1026" w:type="dxa"/>
            <w:tcBorders>
              <w:top w:val="nil"/>
              <w:left w:val="nil"/>
              <w:bottom w:val="nil"/>
              <w:right w:val="nil"/>
            </w:tcBorders>
            <w:shd w:val="clear" w:color="auto" w:fill="auto"/>
            <w:noWrap/>
            <w:vAlign w:val="center"/>
            <w:hideMark/>
          </w:tcPr>
          <w:p w14:paraId="6486011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11,114</w:t>
            </w:r>
          </w:p>
        </w:tc>
        <w:tc>
          <w:tcPr>
            <w:tcW w:w="851" w:type="dxa"/>
            <w:tcBorders>
              <w:top w:val="nil"/>
              <w:left w:val="nil"/>
              <w:bottom w:val="nil"/>
              <w:right w:val="nil"/>
            </w:tcBorders>
            <w:shd w:val="clear" w:color="000000" w:fill="FBB3B6"/>
            <w:noWrap/>
            <w:vAlign w:val="center"/>
            <w:hideMark/>
          </w:tcPr>
          <w:p w14:paraId="03E42D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w:t>
            </w:r>
          </w:p>
        </w:tc>
        <w:tc>
          <w:tcPr>
            <w:tcW w:w="992" w:type="dxa"/>
            <w:tcBorders>
              <w:top w:val="nil"/>
              <w:left w:val="nil"/>
              <w:bottom w:val="nil"/>
              <w:right w:val="nil"/>
            </w:tcBorders>
            <w:shd w:val="clear" w:color="auto" w:fill="auto"/>
            <w:noWrap/>
            <w:vAlign w:val="center"/>
            <w:hideMark/>
          </w:tcPr>
          <w:p w14:paraId="63B7AA1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15,347</w:t>
            </w:r>
          </w:p>
        </w:tc>
        <w:tc>
          <w:tcPr>
            <w:tcW w:w="850" w:type="dxa"/>
            <w:tcBorders>
              <w:top w:val="nil"/>
              <w:left w:val="nil"/>
              <w:bottom w:val="nil"/>
              <w:right w:val="nil"/>
            </w:tcBorders>
            <w:shd w:val="clear" w:color="auto" w:fill="auto"/>
            <w:noWrap/>
            <w:vAlign w:val="center"/>
            <w:hideMark/>
          </w:tcPr>
          <w:p w14:paraId="1805396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2,578</w:t>
            </w:r>
          </w:p>
        </w:tc>
        <w:tc>
          <w:tcPr>
            <w:tcW w:w="1051" w:type="dxa"/>
            <w:tcBorders>
              <w:top w:val="nil"/>
              <w:left w:val="nil"/>
              <w:bottom w:val="nil"/>
              <w:right w:val="nil"/>
            </w:tcBorders>
            <w:shd w:val="clear" w:color="auto" w:fill="auto"/>
            <w:noWrap/>
            <w:vAlign w:val="center"/>
            <w:hideMark/>
          </w:tcPr>
          <w:p w14:paraId="1B78FB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73</w:t>
            </w:r>
          </w:p>
        </w:tc>
        <w:tc>
          <w:tcPr>
            <w:tcW w:w="869" w:type="dxa"/>
            <w:tcBorders>
              <w:top w:val="nil"/>
              <w:left w:val="nil"/>
              <w:bottom w:val="nil"/>
              <w:right w:val="nil"/>
            </w:tcBorders>
            <w:shd w:val="clear" w:color="auto" w:fill="auto"/>
            <w:noWrap/>
            <w:vAlign w:val="center"/>
            <w:hideMark/>
          </w:tcPr>
          <w:p w14:paraId="0B4A470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2,651</w:t>
            </w:r>
          </w:p>
        </w:tc>
        <w:tc>
          <w:tcPr>
            <w:tcW w:w="730" w:type="dxa"/>
            <w:tcBorders>
              <w:top w:val="nil"/>
              <w:left w:val="nil"/>
              <w:bottom w:val="nil"/>
              <w:right w:val="nil"/>
            </w:tcBorders>
            <w:shd w:val="clear" w:color="auto" w:fill="auto"/>
            <w:noWrap/>
            <w:vAlign w:val="center"/>
            <w:hideMark/>
          </w:tcPr>
          <w:p w14:paraId="3B94579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2,420</w:t>
            </w:r>
          </w:p>
        </w:tc>
        <w:tc>
          <w:tcPr>
            <w:tcW w:w="1011" w:type="dxa"/>
            <w:tcBorders>
              <w:top w:val="nil"/>
              <w:left w:val="nil"/>
              <w:bottom w:val="nil"/>
              <w:right w:val="nil"/>
            </w:tcBorders>
            <w:shd w:val="clear" w:color="auto" w:fill="auto"/>
            <w:noWrap/>
            <w:vAlign w:val="center"/>
            <w:hideMark/>
          </w:tcPr>
          <w:p w14:paraId="44F06F6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973" w:type="dxa"/>
            <w:tcBorders>
              <w:top w:val="nil"/>
              <w:left w:val="nil"/>
              <w:bottom w:val="nil"/>
              <w:right w:val="nil"/>
            </w:tcBorders>
            <w:shd w:val="clear" w:color="auto" w:fill="auto"/>
            <w:noWrap/>
            <w:vAlign w:val="center"/>
            <w:hideMark/>
          </w:tcPr>
          <w:p w14:paraId="56EF9E4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720</w:t>
            </w:r>
          </w:p>
        </w:tc>
        <w:tc>
          <w:tcPr>
            <w:tcW w:w="1354" w:type="dxa"/>
            <w:tcBorders>
              <w:top w:val="nil"/>
              <w:left w:val="nil"/>
              <w:bottom w:val="nil"/>
              <w:right w:val="nil"/>
            </w:tcBorders>
            <w:shd w:val="clear" w:color="auto" w:fill="auto"/>
            <w:noWrap/>
            <w:vAlign w:val="center"/>
            <w:hideMark/>
          </w:tcPr>
          <w:p w14:paraId="419924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886</w:t>
            </w:r>
          </w:p>
        </w:tc>
        <w:tc>
          <w:tcPr>
            <w:tcW w:w="1001" w:type="dxa"/>
            <w:tcBorders>
              <w:top w:val="nil"/>
              <w:left w:val="nil"/>
              <w:bottom w:val="nil"/>
              <w:right w:val="nil"/>
            </w:tcBorders>
            <w:shd w:val="clear" w:color="auto" w:fill="auto"/>
            <w:noWrap/>
            <w:vAlign w:val="center"/>
            <w:hideMark/>
          </w:tcPr>
          <w:p w14:paraId="2B10862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81%</w:t>
            </w:r>
          </w:p>
        </w:tc>
        <w:tc>
          <w:tcPr>
            <w:tcW w:w="992" w:type="dxa"/>
            <w:tcBorders>
              <w:top w:val="nil"/>
              <w:left w:val="nil"/>
              <w:bottom w:val="nil"/>
              <w:right w:val="nil"/>
            </w:tcBorders>
            <w:shd w:val="clear" w:color="000000" w:fill="F9FAFE"/>
            <w:noWrap/>
            <w:vAlign w:val="center"/>
            <w:hideMark/>
          </w:tcPr>
          <w:p w14:paraId="33F6D3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r>
      <w:tr w:rsidR="0028350E" w:rsidRPr="007364B1" w14:paraId="16B2E2BF" w14:textId="77777777" w:rsidTr="00AA33F9">
        <w:trPr>
          <w:trHeight w:val="360"/>
        </w:trPr>
        <w:tc>
          <w:tcPr>
            <w:tcW w:w="1985" w:type="dxa"/>
            <w:tcBorders>
              <w:top w:val="nil"/>
              <w:left w:val="nil"/>
              <w:bottom w:val="nil"/>
              <w:right w:val="nil"/>
            </w:tcBorders>
            <w:shd w:val="clear" w:color="auto" w:fill="auto"/>
            <w:noWrap/>
            <w:vAlign w:val="bottom"/>
            <w:hideMark/>
          </w:tcPr>
          <w:p w14:paraId="099B2FE4"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2188FEA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1026" w:type="dxa"/>
            <w:tcBorders>
              <w:top w:val="nil"/>
              <w:left w:val="nil"/>
              <w:bottom w:val="nil"/>
              <w:right w:val="nil"/>
            </w:tcBorders>
            <w:shd w:val="clear" w:color="auto" w:fill="auto"/>
            <w:noWrap/>
            <w:vAlign w:val="center"/>
            <w:hideMark/>
          </w:tcPr>
          <w:p w14:paraId="1F9DB7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851" w:type="dxa"/>
            <w:tcBorders>
              <w:top w:val="nil"/>
              <w:left w:val="nil"/>
              <w:bottom w:val="nil"/>
              <w:right w:val="nil"/>
            </w:tcBorders>
            <w:shd w:val="clear" w:color="000000" w:fill="FCE8EA"/>
            <w:noWrap/>
            <w:vAlign w:val="center"/>
            <w:hideMark/>
          </w:tcPr>
          <w:p w14:paraId="00A839A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992" w:type="dxa"/>
            <w:tcBorders>
              <w:top w:val="nil"/>
              <w:left w:val="nil"/>
              <w:bottom w:val="nil"/>
              <w:right w:val="nil"/>
            </w:tcBorders>
            <w:shd w:val="clear" w:color="auto" w:fill="auto"/>
            <w:noWrap/>
            <w:vAlign w:val="center"/>
            <w:hideMark/>
          </w:tcPr>
          <w:p w14:paraId="50B8A6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50" w:type="dxa"/>
            <w:tcBorders>
              <w:top w:val="nil"/>
              <w:left w:val="nil"/>
              <w:bottom w:val="nil"/>
              <w:right w:val="nil"/>
            </w:tcBorders>
            <w:shd w:val="clear" w:color="auto" w:fill="auto"/>
            <w:noWrap/>
            <w:vAlign w:val="center"/>
            <w:hideMark/>
          </w:tcPr>
          <w:p w14:paraId="56CD710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1051" w:type="dxa"/>
            <w:tcBorders>
              <w:top w:val="nil"/>
              <w:left w:val="nil"/>
              <w:bottom w:val="nil"/>
              <w:right w:val="nil"/>
            </w:tcBorders>
            <w:shd w:val="clear" w:color="auto" w:fill="auto"/>
            <w:noWrap/>
            <w:vAlign w:val="center"/>
            <w:hideMark/>
          </w:tcPr>
          <w:p w14:paraId="227733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51ED609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730" w:type="dxa"/>
            <w:tcBorders>
              <w:top w:val="nil"/>
              <w:left w:val="nil"/>
              <w:bottom w:val="nil"/>
              <w:right w:val="nil"/>
            </w:tcBorders>
            <w:shd w:val="clear" w:color="auto" w:fill="auto"/>
            <w:noWrap/>
            <w:vAlign w:val="center"/>
            <w:hideMark/>
          </w:tcPr>
          <w:p w14:paraId="1A9E906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11" w:type="dxa"/>
            <w:tcBorders>
              <w:top w:val="nil"/>
              <w:left w:val="nil"/>
              <w:bottom w:val="nil"/>
              <w:right w:val="nil"/>
            </w:tcBorders>
            <w:shd w:val="clear" w:color="auto" w:fill="auto"/>
            <w:noWrap/>
            <w:vAlign w:val="center"/>
            <w:hideMark/>
          </w:tcPr>
          <w:p w14:paraId="50160D8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9115B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354" w:type="dxa"/>
            <w:tcBorders>
              <w:top w:val="nil"/>
              <w:left w:val="nil"/>
              <w:bottom w:val="nil"/>
              <w:right w:val="nil"/>
            </w:tcBorders>
            <w:shd w:val="clear" w:color="auto" w:fill="auto"/>
            <w:noWrap/>
            <w:vAlign w:val="center"/>
            <w:hideMark/>
          </w:tcPr>
          <w:p w14:paraId="29FD2D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001" w:type="dxa"/>
            <w:tcBorders>
              <w:top w:val="nil"/>
              <w:left w:val="nil"/>
              <w:bottom w:val="nil"/>
              <w:right w:val="nil"/>
            </w:tcBorders>
            <w:shd w:val="clear" w:color="auto" w:fill="auto"/>
            <w:noWrap/>
            <w:vAlign w:val="center"/>
            <w:hideMark/>
          </w:tcPr>
          <w:p w14:paraId="70CB7F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50%</w:t>
            </w:r>
          </w:p>
        </w:tc>
        <w:tc>
          <w:tcPr>
            <w:tcW w:w="992" w:type="dxa"/>
            <w:tcBorders>
              <w:top w:val="nil"/>
              <w:left w:val="nil"/>
              <w:bottom w:val="nil"/>
              <w:right w:val="nil"/>
            </w:tcBorders>
            <w:shd w:val="clear" w:color="000000" w:fill="EBF0F9"/>
            <w:noWrap/>
            <w:vAlign w:val="center"/>
            <w:hideMark/>
          </w:tcPr>
          <w:p w14:paraId="49EFFC6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54%</w:t>
            </w:r>
          </w:p>
        </w:tc>
      </w:tr>
      <w:tr w:rsidR="0028350E" w:rsidRPr="007364B1" w14:paraId="5F800169" w14:textId="77777777" w:rsidTr="00AA33F9">
        <w:trPr>
          <w:trHeight w:val="360"/>
        </w:trPr>
        <w:tc>
          <w:tcPr>
            <w:tcW w:w="1985" w:type="dxa"/>
            <w:tcBorders>
              <w:top w:val="nil"/>
              <w:left w:val="nil"/>
              <w:bottom w:val="nil"/>
              <w:right w:val="nil"/>
            </w:tcBorders>
            <w:shd w:val="clear" w:color="auto" w:fill="auto"/>
            <w:noWrap/>
            <w:vAlign w:val="bottom"/>
            <w:hideMark/>
          </w:tcPr>
          <w:p w14:paraId="67B17F5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1F702C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1026" w:type="dxa"/>
            <w:tcBorders>
              <w:top w:val="nil"/>
              <w:left w:val="nil"/>
              <w:bottom w:val="nil"/>
              <w:right w:val="nil"/>
            </w:tcBorders>
            <w:shd w:val="clear" w:color="auto" w:fill="auto"/>
            <w:noWrap/>
            <w:vAlign w:val="center"/>
            <w:hideMark/>
          </w:tcPr>
          <w:p w14:paraId="2D555A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3E7966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524AE6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1E70977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0709FF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5BB626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730" w:type="dxa"/>
            <w:tcBorders>
              <w:top w:val="nil"/>
              <w:left w:val="nil"/>
              <w:bottom w:val="nil"/>
              <w:right w:val="nil"/>
            </w:tcBorders>
            <w:shd w:val="clear" w:color="auto" w:fill="auto"/>
            <w:noWrap/>
            <w:vAlign w:val="center"/>
            <w:hideMark/>
          </w:tcPr>
          <w:p w14:paraId="75F16B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49B4FE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73" w:type="dxa"/>
            <w:tcBorders>
              <w:top w:val="nil"/>
              <w:left w:val="nil"/>
              <w:bottom w:val="nil"/>
              <w:right w:val="nil"/>
            </w:tcBorders>
            <w:shd w:val="clear" w:color="auto" w:fill="auto"/>
            <w:noWrap/>
            <w:vAlign w:val="center"/>
            <w:hideMark/>
          </w:tcPr>
          <w:p w14:paraId="3F81991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69DA3B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742A8AC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1F1ABAE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-593%</w:t>
            </w:r>
          </w:p>
        </w:tc>
      </w:tr>
      <w:tr w:rsidR="0028350E" w:rsidRPr="007364B1" w14:paraId="0B9D0B6C" w14:textId="77777777" w:rsidTr="00AA33F9">
        <w:trPr>
          <w:trHeight w:val="360"/>
        </w:trPr>
        <w:tc>
          <w:tcPr>
            <w:tcW w:w="1985" w:type="dxa"/>
            <w:tcBorders>
              <w:top w:val="nil"/>
              <w:left w:val="nil"/>
              <w:bottom w:val="nil"/>
              <w:right w:val="nil"/>
            </w:tcBorders>
            <w:shd w:val="clear" w:color="auto" w:fill="auto"/>
            <w:noWrap/>
            <w:vAlign w:val="bottom"/>
            <w:hideMark/>
          </w:tcPr>
          <w:p w14:paraId="4CC2F16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6DB421E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94</w:t>
            </w:r>
          </w:p>
        </w:tc>
        <w:tc>
          <w:tcPr>
            <w:tcW w:w="1026" w:type="dxa"/>
            <w:tcBorders>
              <w:top w:val="nil"/>
              <w:left w:val="nil"/>
              <w:bottom w:val="nil"/>
              <w:right w:val="nil"/>
            </w:tcBorders>
            <w:shd w:val="clear" w:color="auto" w:fill="auto"/>
            <w:noWrap/>
            <w:vAlign w:val="center"/>
            <w:hideMark/>
          </w:tcPr>
          <w:p w14:paraId="3286B10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229</w:t>
            </w:r>
          </w:p>
        </w:tc>
        <w:tc>
          <w:tcPr>
            <w:tcW w:w="851" w:type="dxa"/>
            <w:tcBorders>
              <w:top w:val="nil"/>
              <w:left w:val="nil"/>
              <w:bottom w:val="nil"/>
              <w:right w:val="nil"/>
            </w:tcBorders>
            <w:shd w:val="clear" w:color="000000" w:fill="F8696B"/>
            <w:noWrap/>
            <w:vAlign w:val="center"/>
            <w:hideMark/>
          </w:tcPr>
          <w:p w14:paraId="744246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w:t>
            </w:r>
          </w:p>
        </w:tc>
        <w:tc>
          <w:tcPr>
            <w:tcW w:w="992" w:type="dxa"/>
            <w:tcBorders>
              <w:top w:val="nil"/>
              <w:left w:val="nil"/>
              <w:bottom w:val="nil"/>
              <w:right w:val="nil"/>
            </w:tcBorders>
            <w:shd w:val="clear" w:color="auto" w:fill="auto"/>
            <w:noWrap/>
            <w:vAlign w:val="center"/>
            <w:hideMark/>
          </w:tcPr>
          <w:p w14:paraId="2D8E67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469</w:t>
            </w:r>
          </w:p>
        </w:tc>
        <w:tc>
          <w:tcPr>
            <w:tcW w:w="850" w:type="dxa"/>
            <w:tcBorders>
              <w:top w:val="nil"/>
              <w:left w:val="nil"/>
              <w:bottom w:val="nil"/>
              <w:right w:val="nil"/>
            </w:tcBorders>
            <w:shd w:val="clear" w:color="auto" w:fill="auto"/>
            <w:noWrap/>
            <w:vAlign w:val="center"/>
            <w:hideMark/>
          </w:tcPr>
          <w:p w14:paraId="4B2C7B6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1051" w:type="dxa"/>
            <w:tcBorders>
              <w:top w:val="nil"/>
              <w:left w:val="nil"/>
              <w:bottom w:val="nil"/>
              <w:right w:val="nil"/>
            </w:tcBorders>
            <w:shd w:val="clear" w:color="auto" w:fill="auto"/>
            <w:noWrap/>
            <w:vAlign w:val="center"/>
            <w:hideMark/>
          </w:tcPr>
          <w:p w14:paraId="04877F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869" w:type="dxa"/>
            <w:tcBorders>
              <w:top w:val="nil"/>
              <w:left w:val="nil"/>
              <w:bottom w:val="nil"/>
              <w:right w:val="nil"/>
            </w:tcBorders>
            <w:shd w:val="clear" w:color="auto" w:fill="auto"/>
            <w:noWrap/>
            <w:vAlign w:val="center"/>
            <w:hideMark/>
          </w:tcPr>
          <w:p w14:paraId="5D2D84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w:t>
            </w:r>
          </w:p>
        </w:tc>
        <w:tc>
          <w:tcPr>
            <w:tcW w:w="730" w:type="dxa"/>
            <w:tcBorders>
              <w:top w:val="nil"/>
              <w:left w:val="nil"/>
              <w:bottom w:val="nil"/>
              <w:right w:val="nil"/>
            </w:tcBorders>
            <w:shd w:val="clear" w:color="auto" w:fill="auto"/>
            <w:noWrap/>
            <w:vAlign w:val="center"/>
            <w:hideMark/>
          </w:tcPr>
          <w:p w14:paraId="363FFB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w:t>
            </w:r>
          </w:p>
        </w:tc>
        <w:tc>
          <w:tcPr>
            <w:tcW w:w="1011" w:type="dxa"/>
            <w:tcBorders>
              <w:top w:val="nil"/>
              <w:left w:val="nil"/>
              <w:bottom w:val="nil"/>
              <w:right w:val="nil"/>
            </w:tcBorders>
            <w:shd w:val="clear" w:color="auto" w:fill="auto"/>
            <w:noWrap/>
            <w:vAlign w:val="center"/>
            <w:hideMark/>
          </w:tcPr>
          <w:p w14:paraId="4FA282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87460E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w:t>
            </w:r>
          </w:p>
        </w:tc>
        <w:tc>
          <w:tcPr>
            <w:tcW w:w="1354" w:type="dxa"/>
            <w:tcBorders>
              <w:top w:val="nil"/>
              <w:left w:val="nil"/>
              <w:bottom w:val="nil"/>
              <w:right w:val="nil"/>
            </w:tcBorders>
            <w:shd w:val="clear" w:color="auto" w:fill="auto"/>
            <w:noWrap/>
            <w:vAlign w:val="center"/>
            <w:hideMark/>
          </w:tcPr>
          <w:p w14:paraId="13B57A6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w:t>
            </w:r>
          </w:p>
        </w:tc>
        <w:tc>
          <w:tcPr>
            <w:tcW w:w="1001" w:type="dxa"/>
            <w:tcBorders>
              <w:top w:val="nil"/>
              <w:left w:val="nil"/>
              <w:bottom w:val="nil"/>
              <w:right w:val="nil"/>
            </w:tcBorders>
            <w:shd w:val="clear" w:color="auto" w:fill="auto"/>
            <w:noWrap/>
            <w:vAlign w:val="center"/>
            <w:hideMark/>
          </w:tcPr>
          <w:p w14:paraId="34263D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w:t>
            </w:r>
          </w:p>
        </w:tc>
        <w:tc>
          <w:tcPr>
            <w:tcW w:w="992" w:type="dxa"/>
            <w:tcBorders>
              <w:top w:val="nil"/>
              <w:left w:val="nil"/>
              <w:bottom w:val="nil"/>
              <w:right w:val="nil"/>
            </w:tcBorders>
            <w:shd w:val="clear" w:color="000000" w:fill="F97274"/>
            <w:noWrap/>
            <w:vAlign w:val="center"/>
            <w:hideMark/>
          </w:tcPr>
          <w:p w14:paraId="3A05CD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192%</w:t>
            </w:r>
          </w:p>
        </w:tc>
      </w:tr>
      <w:tr w:rsidR="0028350E" w:rsidRPr="007364B1" w14:paraId="05736B31" w14:textId="77777777" w:rsidTr="00AA33F9">
        <w:trPr>
          <w:trHeight w:val="360"/>
        </w:trPr>
        <w:tc>
          <w:tcPr>
            <w:tcW w:w="1985" w:type="dxa"/>
            <w:tcBorders>
              <w:top w:val="nil"/>
              <w:left w:val="nil"/>
              <w:bottom w:val="nil"/>
              <w:right w:val="nil"/>
            </w:tcBorders>
            <w:shd w:val="clear" w:color="auto" w:fill="auto"/>
            <w:noWrap/>
            <w:vAlign w:val="bottom"/>
            <w:hideMark/>
          </w:tcPr>
          <w:p w14:paraId="22CBDA1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0179A1F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777</w:t>
            </w:r>
          </w:p>
        </w:tc>
        <w:tc>
          <w:tcPr>
            <w:tcW w:w="1026" w:type="dxa"/>
            <w:tcBorders>
              <w:top w:val="nil"/>
              <w:left w:val="nil"/>
              <w:bottom w:val="nil"/>
              <w:right w:val="nil"/>
            </w:tcBorders>
            <w:shd w:val="clear" w:color="auto" w:fill="auto"/>
            <w:noWrap/>
            <w:vAlign w:val="center"/>
            <w:hideMark/>
          </w:tcPr>
          <w:p w14:paraId="3247F1E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1,077</w:t>
            </w:r>
          </w:p>
        </w:tc>
        <w:tc>
          <w:tcPr>
            <w:tcW w:w="851" w:type="dxa"/>
            <w:tcBorders>
              <w:top w:val="nil"/>
              <w:left w:val="nil"/>
              <w:bottom w:val="nil"/>
              <w:right w:val="nil"/>
            </w:tcBorders>
            <w:shd w:val="clear" w:color="000000" w:fill="FAA9AB"/>
            <w:noWrap/>
            <w:vAlign w:val="center"/>
            <w:hideMark/>
          </w:tcPr>
          <w:p w14:paraId="0D18DF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w:t>
            </w:r>
          </w:p>
        </w:tc>
        <w:tc>
          <w:tcPr>
            <w:tcW w:w="992" w:type="dxa"/>
            <w:tcBorders>
              <w:top w:val="nil"/>
              <w:left w:val="nil"/>
              <w:bottom w:val="nil"/>
              <w:right w:val="nil"/>
            </w:tcBorders>
            <w:shd w:val="clear" w:color="auto" w:fill="auto"/>
            <w:noWrap/>
            <w:vAlign w:val="center"/>
            <w:hideMark/>
          </w:tcPr>
          <w:p w14:paraId="0E420A2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1,196</w:t>
            </w:r>
          </w:p>
        </w:tc>
        <w:tc>
          <w:tcPr>
            <w:tcW w:w="850" w:type="dxa"/>
            <w:tcBorders>
              <w:top w:val="nil"/>
              <w:left w:val="nil"/>
              <w:bottom w:val="nil"/>
              <w:right w:val="nil"/>
            </w:tcBorders>
            <w:shd w:val="clear" w:color="auto" w:fill="auto"/>
            <w:noWrap/>
            <w:vAlign w:val="center"/>
            <w:hideMark/>
          </w:tcPr>
          <w:p w14:paraId="168C263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207</w:t>
            </w:r>
          </w:p>
        </w:tc>
        <w:tc>
          <w:tcPr>
            <w:tcW w:w="1051" w:type="dxa"/>
            <w:tcBorders>
              <w:top w:val="nil"/>
              <w:left w:val="nil"/>
              <w:bottom w:val="nil"/>
              <w:right w:val="nil"/>
            </w:tcBorders>
            <w:shd w:val="clear" w:color="auto" w:fill="auto"/>
            <w:noWrap/>
            <w:vAlign w:val="center"/>
            <w:hideMark/>
          </w:tcPr>
          <w:p w14:paraId="19A1E1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w:t>
            </w:r>
          </w:p>
        </w:tc>
        <w:tc>
          <w:tcPr>
            <w:tcW w:w="869" w:type="dxa"/>
            <w:tcBorders>
              <w:top w:val="nil"/>
              <w:left w:val="nil"/>
              <w:bottom w:val="nil"/>
              <w:right w:val="nil"/>
            </w:tcBorders>
            <w:shd w:val="clear" w:color="auto" w:fill="auto"/>
            <w:noWrap/>
            <w:vAlign w:val="center"/>
            <w:hideMark/>
          </w:tcPr>
          <w:p w14:paraId="72540C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222</w:t>
            </w:r>
          </w:p>
        </w:tc>
        <w:tc>
          <w:tcPr>
            <w:tcW w:w="730" w:type="dxa"/>
            <w:tcBorders>
              <w:top w:val="nil"/>
              <w:left w:val="nil"/>
              <w:bottom w:val="nil"/>
              <w:right w:val="nil"/>
            </w:tcBorders>
            <w:shd w:val="clear" w:color="auto" w:fill="auto"/>
            <w:noWrap/>
            <w:vAlign w:val="center"/>
            <w:hideMark/>
          </w:tcPr>
          <w:p w14:paraId="1D68DBA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250</w:t>
            </w:r>
          </w:p>
        </w:tc>
        <w:tc>
          <w:tcPr>
            <w:tcW w:w="1011" w:type="dxa"/>
            <w:tcBorders>
              <w:top w:val="nil"/>
              <w:left w:val="nil"/>
              <w:bottom w:val="nil"/>
              <w:right w:val="nil"/>
            </w:tcBorders>
            <w:shd w:val="clear" w:color="auto" w:fill="auto"/>
            <w:noWrap/>
            <w:vAlign w:val="center"/>
            <w:hideMark/>
          </w:tcPr>
          <w:p w14:paraId="5ABF40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612B1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w:t>
            </w:r>
          </w:p>
        </w:tc>
        <w:tc>
          <w:tcPr>
            <w:tcW w:w="1354" w:type="dxa"/>
            <w:tcBorders>
              <w:top w:val="nil"/>
              <w:left w:val="nil"/>
              <w:bottom w:val="nil"/>
              <w:right w:val="nil"/>
            </w:tcBorders>
            <w:shd w:val="clear" w:color="auto" w:fill="auto"/>
            <w:noWrap/>
            <w:vAlign w:val="center"/>
            <w:hideMark/>
          </w:tcPr>
          <w:p w14:paraId="462B7CD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w:t>
            </w:r>
          </w:p>
        </w:tc>
        <w:tc>
          <w:tcPr>
            <w:tcW w:w="1001" w:type="dxa"/>
            <w:tcBorders>
              <w:top w:val="nil"/>
              <w:left w:val="nil"/>
              <w:bottom w:val="nil"/>
              <w:right w:val="nil"/>
            </w:tcBorders>
            <w:shd w:val="clear" w:color="auto" w:fill="auto"/>
            <w:noWrap/>
            <w:vAlign w:val="center"/>
            <w:hideMark/>
          </w:tcPr>
          <w:p w14:paraId="0D6099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w:t>
            </w:r>
          </w:p>
        </w:tc>
        <w:tc>
          <w:tcPr>
            <w:tcW w:w="992" w:type="dxa"/>
            <w:tcBorders>
              <w:top w:val="nil"/>
              <w:left w:val="nil"/>
              <w:bottom w:val="nil"/>
              <w:right w:val="nil"/>
            </w:tcBorders>
            <w:shd w:val="clear" w:color="000000" w:fill="FCF2F5"/>
            <w:noWrap/>
            <w:vAlign w:val="center"/>
            <w:hideMark/>
          </w:tcPr>
          <w:p w14:paraId="4DEC83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w:t>
            </w:r>
          </w:p>
        </w:tc>
      </w:tr>
      <w:tr w:rsidR="0028350E" w:rsidRPr="007364B1" w14:paraId="74F58AF5" w14:textId="77777777" w:rsidTr="00AA33F9">
        <w:trPr>
          <w:trHeight w:val="360"/>
        </w:trPr>
        <w:tc>
          <w:tcPr>
            <w:tcW w:w="1985" w:type="dxa"/>
            <w:tcBorders>
              <w:top w:val="nil"/>
              <w:left w:val="nil"/>
              <w:bottom w:val="nil"/>
              <w:right w:val="nil"/>
            </w:tcBorders>
            <w:shd w:val="clear" w:color="auto" w:fill="auto"/>
            <w:noWrap/>
            <w:vAlign w:val="bottom"/>
            <w:hideMark/>
          </w:tcPr>
          <w:p w14:paraId="37E3FAD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401ABAE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507</w:t>
            </w:r>
          </w:p>
        </w:tc>
        <w:tc>
          <w:tcPr>
            <w:tcW w:w="1026" w:type="dxa"/>
            <w:tcBorders>
              <w:top w:val="nil"/>
              <w:left w:val="nil"/>
              <w:bottom w:val="nil"/>
              <w:right w:val="nil"/>
            </w:tcBorders>
            <w:shd w:val="clear" w:color="auto" w:fill="auto"/>
            <w:noWrap/>
            <w:vAlign w:val="center"/>
            <w:hideMark/>
          </w:tcPr>
          <w:p w14:paraId="5C80537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697</w:t>
            </w:r>
          </w:p>
        </w:tc>
        <w:tc>
          <w:tcPr>
            <w:tcW w:w="851" w:type="dxa"/>
            <w:tcBorders>
              <w:top w:val="nil"/>
              <w:left w:val="nil"/>
              <w:bottom w:val="nil"/>
              <w:right w:val="nil"/>
            </w:tcBorders>
            <w:shd w:val="clear" w:color="000000" w:fill="FAAAAC"/>
            <w:noWrap/>
            <w:vAlign w:val="center"/>
            <w:hideMark/>
          </w:tcPr>
          <w:p w14:paraId="420E83C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w:t>
            </w:r>
          </w:p>
        </w:tc>
        <w:tc>
          <w:tcPr>
            <w:tcW w:w="992" w:type="dxa"/>
            <w:tcBorders>
              <w:top w:val="nil"/>
              <w:left w:val="nil"/>
              <w:bottom w:val="nil"/>
              <w:right w:val="nil"/>
            </w:tcBorders>
            <w:shd w:val="clear" w:color="auto" w:fill="auto"/>
            <w:noWrap/>
            <w:vAlign w:val="center"/>
            <w:hideMark/>
          </w:tcPr>
          <w:p w14:paraId="41E3103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867</w:t>
            </w:r>
          </w:p>
        </w:tc>
        <w:tc>
          <w:tcPr>
            <w:tcW w:w="850" w:type="dxa"/>
            <w:tcBorders>
              <w:top w:val="nil"/>
              <w:left w:val="nil"/>
              <w:bottom w:val="nil"/>
              <w:right w:val="nil"/>
            </w:tcBorders>
            <w:shd w:val="clear" w:color="auto" w:fill="auto"/>
            <w:noWrap/>
            <w:vAlign w:val="center"/>
            <w:hideMark/>
          </w:tcPr>
          <w:p w14:paraId="3EF1BF0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1051" w:type="dxa"/>
            <w:tcBorders>
              <w:top w:val="nil"/>
              <w:left w:val="nil"/>
              <w:bottom w:val="nil"/>
              <w:right w:val="nil"/>
            </w:tcBorders>
            <w:shd w:val="clear" w:color="auto" w:fill="auto"/>
            <w:noWrap/>
            <w:vAlign w:val="center"/>
            <w:hideMark/>
          </w:tcPr>
          <w:p w14:paraId="5B3B7B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w:t>
            </w:r>
          </w:p>
        </w:tc>
        <w:tc>
          <w:tcPr>
            <w:tcW w:w="869" w:type="dxa"/>
            <w:tcBorders>
              <w:top w:val="nil"/>
              <w:left w:val="nil"/>
              <w:bottom w:val="nil"/>
              <w:right w:val="nil"/>
            </w:tcBorders>
            <w:shd w:val="clear" w:color="auto" w:fill="auto"/>
            <w:noWrap/>
            <w:vAlign w:val="center"/>
            <w:hideMark/>
          </w:tcPr>
          <w:p w14:paraId="13F6963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148</w:t>
            </w:r>
          </w:p>
        </w:tc>
        <w:tc>
          <w:tcPr>
            <w:tcW w:w="730" w:type="dxa"/>
            <w:tcBorders>
              <w:top w:val="nil"/>
              <w:left w:val="nil"/>
              <w:bottom w:val="nil"/>
              <w:right w:val="nil"/>
            </w:tcBorders>
            <w:shd w:val="clear" w:color="auto" w:fill="auto"/>
            <w:noWrap/>
            <w:vAlign w:val="center"/>
            <w:hideMark/>
          </w:tcPr>
          <w:p w14:paraId="75EE646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165</w:t>
            </w:r>
          </w:p>
        </w:tc>
        <w:tc>
          <w:tcPr>
            <w:tcW w:w="1011" w:type="dxa"/>
            <w:tcBorders>
              <w:top w:val="nil"/>
              <w:left w:val="nil"/>
              <w:bottom w:val="nil"/>
              <w:right w:val="nil"/>
            </w:tcBorders>
            <w:shd w:val="clear" w:color="auto" w:fill="auto"/>
            <w:noWrap/>
            <w:vAlign w:val="center"/>
            <w:hideMark/>
          </w:tcPr>
          <w:p w14:paraId="558E666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2FB9D6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w:t>
            </w:r>
          </w:p>
        </w:tc>
        <w:tc>
          <w:tcPr>
            <w:tcW w:w="1354" w:type="dxa"/>
            <w:tcBorders>
              <w:top w:val="nil"/>
              <w:left w:val="nil"/>
              <w:bottom w:val="nil"/>
              <w:right w:val="nil"/>
            </w:tcBorders>
            <w:shd w:val="clear" w:color="auto" w:fill="auto"/>
            <w:noWrap/>
            <w:vAlign w:val="center"/>
            <w:hideMark/>
          </w:tcPr>
          <w:p w14:paraId="19D1D7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58</w:t>
            </w:r>
          </w:p>
        </w:tc>
        <w:tc>
          <w:tcPr>
            <w:tcW w:w="1001" w:type="dxa"/>
            <w:tcBorders>
              <w:top w:val="nil"/>
              <w:left w:val="nil"/>
              <w:bottom w:val="nil"/>
              <w:right w:val="nil"/>
            </w:tcBorders>
            <w:shd w:val="clear" w:color="auto" w:fill="auto"/>
            <w:noWrap/>
            <w:vAlign w:val="center"/>
            <w:hideMark/>
          </w:tcPr>
          <w:p w14:paraId="2248F3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w:t>
            </w:r>
          </w:p>
        </w:tc>
        <w:tc>
          <w:tcPr>
            <w:tcW w:w="992" w:type="dxa"/>
            <w:tcBorders>
              <w:top w:val="nil"/>
              <w:left w:val="nil"/>
              <w:bottom w:val="nil"/>
              <w:right w:val="nil"/>
            </w:tcBorders>
            <w:shd w:val="clear" w:color="000000" w:fill="FCF5F8"/>
            <w:noWrap/>
            <w:vAlign w:val="center"/>
            <w:hideMark/>
          </w:tcPr>
          <w:p w14:paraId="63ACBD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132%</w:t>
            </w:r>
          </w:p>
        </w:tc>
      </w:tr>
      <w:tr w:rsidR="0028350E" w:rsidRPr="007364B1" w14:paraId="1C0DC9A8" w14:textId="77777777" w:rsidTr="00AA33F9">
        <w:trPr>
          <w:trHeight w:val="360"/>
        </w:trPr>
        <w:tc>
          <w:tcPr>
            <w:tcW w:w="1985" w:type="dxa"/>
            <w:tcBorders>
              <w:top w:val="nil"/>
              <w:left w:val="nil"/>
              <w:bottom w:val="nil"/>
              <w:right w:val="nil"/>
            </w:tcBorders>
            <w:shd w:val="clear" w:color="auto" w:fill="auto"/>
            <w:noWrap/>
            <w:vAlign w:val="bottom"/>
            <w:hideMark/>
          </w:tcPr>
          <w:p w14:paraId="0AE0D58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6E6CBE6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212</w:t>
            </w:r>
          </w:p>
        </w:tc>
        <w:tc>
          <w:tcPr>
            <w:tcW w:w="1026" w:type="dxa"/>
            <w:tcBorders>
              <w:top w:val="nil"/>
              <w:left w:val="nil"/>
              <w:bottom w:val="nil"/>
              <w:right w:val="nil"/>
            </w:tcBorders>
            <w:shd w:val="clear" w:color="auto" w:fill="auto"/>
            <w:noWrap/>
            <w:vAlign w:val="center"/>
            <w:hideMark/>
          </w:tcPr>
          <w:p w14:paraId="5CD1B3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442</w:t>
            </w:r>
          </w:p>
        </w:tc>
        <w:tc>
          <w:tcPr>
            <w:tcW w:w="851" w:type="dxa"/>
            <w:tcBorders>
              <w:top w:val="nil"/>
              <w:left w:val="nil"/>
              <w:bottom w:val="nil"/>
              <w:right w:val="nil"/>
            </w:tcBorders>
            <w:shd w:val="clear" w:color="000000" w:fill="F97F81"/>
            <w:noWrap/>
            <w:vAlign w:val="center"/>
            <w:hideMark/>
          </w:tcPr>
          <w:p w14:paraId="73E35B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w:t>
            </w:r>
          </w:p>
        </w:tc>
        <w:tc>
          <w:tcPr>
            <w:tcW w:w="992" w:type="dxa"/>
            <w:tcBorders>
              <w:top w:val="nil"/>
              <w:left w:val="nil"/>
              <w:bottom w:val="nil"/>
              <w:right w:val="nil"/>
            </w:tcBorders>
            <w:shd w:val="clear" w:color="auto" w:fill="auto"/>
            <w:noWrap/>
            <w:vAlign w:val="center"/>
            <w:hideMark/>
          </w:tcPr>
          <w:p w14:paraId="743F1D0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417</w:t>
            </w:r>
          </w:p>
        </w:tc>
        <w:tc>
          <w:tcPr>
            <w:tcW w:w="850" w:type="dxa"/>
            <w:tcBorders>
              <w:top w:val="nil"/>
              <w:left w:val="nil"/>
              <w:bottom w:val="nil"/>
              <w:right w:val="nil"/>
            </w:tcBorders>
            <w:shd w:val="clear" w:color="auto" w:fill="auto"/>
            <w:noWrap/>
            <w:vAlign w:val="center"/>
            <w:hideMark/>
          </w:tcPr>
          <w:p w14:paraId="3449AB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1051" w:type="dxa"/>
            <w:tcBorders>
              <w:top w:val="nil"/>
              <w:left w:val="nil"/>
              <w:bottom w:val="nil"/>
              <w:right w:val="nil"/>
            </w:tcBorders>
            <w:shd w:val="clear" w:color="auto" w:fill="auto"/>
            <w:noWrap/>
            <w:vAlign w:val="center"/>
            <w:hideMark/>
          </w:tcPr>
          <w:p w14:paraId="093E6C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w:t>
            </w:r>
          </w:p>
        </w:tc>
        <w:tc>
          <w:tcPr>
            <w:tcW w:w="869" w:type="dxa"/>
            <w:tcBorders>
              <w:top w:val="nil"/>
              <w:left w:val="nil"/>
              <w:bottom w:val="nil"/>
              <w:right w:val="nil"/>
            </w:tcBorders>
            <w:shd w:val="clear" w:color="auto" w:fill="auto"/>
            <w:noWrap/>
            <w:vAlign w:val="center"/>
            <w:hideMark/>
          </w:tcPr>
          <w:p w14:paraId="3AE423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79</w:t>
            </w:r>
          </w:p>
        </w:tc>
        <w:tc>
          <w:tcPr>
            <w:tcW w:w="730" w:type="dxa"/>
            <w:tcBorders>
              <w:top w:val="nil"/>
              <w:left w:val="nil"/>
              <w:bottom w:val="nil"/>
              <w:right w:val="nil"/>
            </w:tcBorders>
            <w:shd w:val="clear" w:color="auto" w:fill="auto"/>
            <w:noWrap/>
            <w:vAlign w:val="center"/>
            <w:hideMark/>
          </w:tcPr>
          <w:p w14:paraId="5D2804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139</w:t>
            </w:r>
          </w:p>
        </w:tc>
        <w:tc>
          <w:tcPr>
            <w:tcW w:w="1011" w:type="dxa"/>
            <w:tcBorders>
              <w:top w:val="nil"/>
              <w:left w:val="nil"/>
              <w:bottom w:val="nil"/>
              <w:right w:val="nil"/>
            </w:tcBorders>
            <w:shd w:val="clear" w:color="auto" w:fill="auto"/>
            <w:noWrap/>
            <w:vAlign w:val="center"/>
            <w:hideMark/>
          </w:tcPr>
          <w:p w14:paraId="6346031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FF1F7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354" w:type="dxa"/>
            <w:tcBorders>
              <w:top w:val="nil"/>
              <w:left w:val="nil"/>
              <w:bottom w:val="nil"/>
              <w:right w:val="nil"/>
            </w:tcBorders>
            <w:shd w:val="clear" w:color="auto" w:fill="auto"/>
            <w:noWrap/>
            <w:vAlign w:val="center"/>
            <w:hideMark/>
          </w:tcPr>
          <w:p w14:paraId="50A7474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001" w:type="dxa"/>
            <w:tcBorders>
              <w:top w:val="nil"/>
              <w:left w:val="nil"/>
              <w:bottom w:val="nil"/>
              <w:right w:val="nil"/>
            </w:tcBorders>
            <w:shd w:val="clear" w:color="auto" w:fill="auto"/>
            <w:noWrap/>
            <w:vAlign w:val="center"/>
            <w:hideMark/>
          </w:tcPr>
          <w:p w14:paraId="3C66B1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175%</w:t>
            </w:r>
          </w:p>
        </w:tc>
        <w:tc>
          <w:tcPr>
            <w:tcW w:w="992" w:type="dxa"/>
            <w:tcBorders>
              <w:top w:val="nil"/>
              <w:left w:val="nil"/>
              <w:bottom w:val="nil"/>
              <w:right w:val="nil"/>
            </w:tcBorders>
            <w:shd w:val="clear" w:color="000000" w:fill="F98A8C"/>
            <w:noWrap/>
            <w:vAlign w:val="center"/>
            <w:hideMark/>
          </w:tcPr>
          <w:p w14:paraId="4AA44C3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180%</w:t>
            </w:r>
          </w:p>
        </w:tc>
      </w:tr>
      <w:tr w:rsidR="0028350E" w:rsidRPr="007364B1" w14:paraId="0E06A45F" w14:textId="77777777" w:rsidTr="00AA33F9">
        <w:trPr>
          <w:trHeight w:val="360"/>
        </w:trPr>
        <w:tc>
          <w:tcPr>
            <w:tcW w:w="1985" w:type="dxa"/>
            <w:tcBorders>
              <w:top w:val="nil"/>
              <w:left w:val="nil"/>
              <w:bottom w:val="nil"/>
              <w:right w:val="nil"/>
            </w:tcBorders>
            <w:shd w:val="clear" w:color="auto" w:fill="auto"/>
            <w:noWrap/>
            <w:vAlign w:val="bottom"/>
            <w:hideMark/>
          </w:tcPr>
          <w:p w14:paraId="57FDF16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442389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300</w:t>
            </w:r>
          </w:p>
        </w:tc>
        <w:tc>
          <w:tcPr>
            <w:tcW w:w="1026" w:type="dxa"/>
            <w:tcBorders>
              <w:top w:val="nil"/>
              <w:left w:val="nil"/>
              <w:bottom w:val="nil"/>
              <w:right w:val="nil"/>
            </w:tcBorders>
            <w:shd w:val="clear" w:color="auto" w:fill="auto"/>
            <w:noWrap/>
            <w:vAlign w:val="center"/>
            <w:hideMark/>
          </w:tcPr>
          <w:p w14:paraId="22587E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433</w:t>
            </w:r>
          </w:p>
        </w:tc>
        <w:tc>
          <w:tcPr>
            <w:tcW w:w="851" w:type="dxa"/>
            <w:tcBorders>
              <w:top w:val="nil"/>
              <w:left w:val="nil"/>
              <w:bottom w:val="nil"/>
              <w:right w:val="nil"/>
            </w:tcBorders>
            <w:shd w:val="clear" w:color="000000" w:fill="FAA6A8"/>
            <w:noWrap/>
            <w:vAlign w:val="center"/>
            <w:hideMark/>
          </w:tcPr>
          <w:p w14:paraId="37FC17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w:t>
            </w:r>
          </w:p>
        </w:tc>
        <w:tc>
          <w:tcPr>
            <w:tcW w:w="992" w:type="dxa"/>
            <w:tcBorders>
              <w:top w:val="nil"/>
              <w:left w:val="nil"/>
              <w:bottom w:val="nil"/>
              <w:right w:val="nil"/>
            </w:tcBorders>
            <w:shd w:val="clear" w:color="auto" w:fill="auto"/>
            <w:noWrap/>
            <w:vAlign w:val="center"/>
            <w:hideMark/>
          </w:tcPr>
          <w:p w14:paraId="5D19BF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494</w:t>
            </w:r>
          </w:p>
        </w:tc>
        <w:tc>
          <w:tcPr>
            <w:tcW w:w="850" w:type="dxa"/>
            <w:tcBorders>
              <w:top w:val="nil"/>
              <w:left w:val="nil"/>
              <w:bottom w:val="nil"/>
              <w:right w:val="nil"/>
            </w:tcBorders>
            <w:shd w:val="clear" w:color="auto" w:fill="auto"/>
            <w:noWrap/>
            <w:vAlign w:val="center"/>
            <w:hideMark/>
          </w:tcPr>
          <w:p w14:paraId="3FD474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121</w:t>
            </w:r>
          </w:p>
        </w:tc>
        <w:tc>
          <w:tcPr>
            <w:tcW w:w="1051" w:type="dxa"/>
            <w:tcBorders>
              <w:top w:val="nil"/>
              <w:left w:val="nil"/>
              <w:bottom w:val="nil"/>
              <w:right w:val="nil"/>
            </w:tcBorders>
            <w:shd w:val="clear" w:color="auto" w:fill="auto"/>
            <w:noWrap/>
            <w:vAlign w:val="center"/>
            <w:hideMark/>
          </w:tcPr>
          <w:p w14:paraId="54856A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869" w:type="dxa"/>
            <w:tcBorders>
              <w:top w:val="nil"/>
              <w:left w:val="nil"/>
              <w:bottom w:val="nil"/>
              <w:right w:val="nil"/>
            </w:tcBorders>
            <w:shd w:val="clear" w:color="auto" w:fill="auto"/>
            <w:noWrap/>
            <w:vAlign w:val="center"/>
            <w:hideMark/>
          </w:tcPr>
          <w:p w14:paraId="1D5385D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w:t>
            </w:r>
          </w:p>
        </w:tc>
        <w:tc>
          <w:tcPr>
            <w:tcW w:w="730" w:type="dxa"/>
            <w:tcBorders>
              <w:top w:val="nil"/>
              <w:left w:val="nil"/>
              <w:bottom w:val="nil"/>
              <w:right w:val="nil"/>
            </w:tcBorders>
            <w:shd w:val="clear" w:color="auto" w:fill="auto"/>
            <w:noWrap/>
            <w:vAlign w:val="center"/>
            <w:hideMark/>
          </w:tcPr>
          <w:p w14:paraId="284285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w:t>
            </w:r>
          </w:p>
        </w:tc>
        <w:tc>
          <w:tcPr>
            <w:tcW w:w="1011" w:type="dxa"/>
            <w:tcBorders>
              <w:top w:val="nil"/>
              <w:left w:val="nil"/>
              <w:bottom w:val="nil"/>
              <w:right w:val="nil"/>
            </w:tcBorders>
            <w:shd w:val="clear" w:color="auto" w:fill="auto"/>
            <w:noWrap/>
            <w:vAlign w:val="center"/>
            <w:hideMark/>
          </w:tcPr>
          <w:p w14:paraId="1AF694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0B51B2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1354" w:type="dxa"/>
            <w:tcBorders>
              <w:top w:val="nil"/>
              <w:left w:val="nil"/>
              <w:bottom w:val="nil"/>
              <w:right w:val="nil"/>
            </w:tcBorders>
            <w:shd w:val="clear" w:color="auto" w:fill="auto"/>
            <w:noWrap/>
            <w:vAlign w:val="center"/>
            <w:hideMark/>
          </w:tcPr>
          <w:p w14:paraId="3EDEC6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72</w:t>
            </w:r>
          </w:p>
        </w:tc>
        <w:tc>
          <w:tcPr>
            <w:tcW w:w="1001" w:type="dxa"/>
            <w:tcBorders>
              <w:top w:val="nil"/>
              <w:left w:val="nil"/>
              <w:bottom w:val="nil"/>
              <w:right w:val="nil"/>
            </w:tcBorders>
            <w:shd w:val="clear" w:color="auto" w:fill="auto"/>
            <w:noWrap/>
            <w:vAlign w:val="center"/>
            <w:hideMark/>
          </w:tcPr>
          <w:p w14:paraId="03753D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w:t>
            </w:r>
          </w:p>
        </w:tc>
        <w:tc>
          <w:tcPr>
            <w:tcW w:w="992" w:type="dxa"/>
            <w:tcBorders>
              <w:top w:val="nil"/>
              <w:left w:val="nil"/>
              <w:bottom w:val="nil"/>
              <w:right w:val="nil"/>
            </w:tcBorders>
            <w:shd w:val="clear" w:color="000000" w:fill="FBFBFE"/>
            <w:noWrap/>
            <w:vAlign w:val="center"/>
            <w:hideMark/>
          </w:tcPr>
          <w:p w14:paraId="43B83CF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126%</w:t>
            </w:r>
          </w:p>
        </w:tc>
      </w:tr>
      <w:tr w:rsidR="0028350E" w:rsidRPr="007364B1" w14:paraId="7A0A1A11" w14:textId="77777777" w:rsidTr="00AA33F9">
        <w:trPr>
          <w:trHeight w:val="360"/>
        </w:trPr>
        <w:tc>
          <w:tcPr>
            <w:tcW w:w="1985" w:type="dxa"/>
            <w:tcBorders>
              <w:top w:val="nil"/>
              <w:left w:val="nil"/>
              <w:bottom w:val="nil"/>
              <w:right w:val="nil"/>
            </w:tcBorders>
            <w:shd w:val="clear" w:color="auto" w:fill="auto"/>
            <w:noWrap/>
            <w:vAlign w:val="bottom"/>
            <w:hideMark/>
          </w:tcPr>
          <w:p w14:paraId="2FDC9A8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3D218BA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w:t>
            </w:r>
          </w:p>
        </w:tc>
        <w:tc>
          <w:tcPr>
            <w:tcW w:w="1026" w:type="dxa"/>
            <w:tcBorders>
              <w:top w:val="nil"/>
              <w:left w:val="nil"/>
              <w:bottom w:val="nil"/>
              <w:right w:val="nil"/>
            </w:tcBorders>
            <w:shd w:val="clear" w:color="auto" w:fill="auto"/>
            <w:noWrap/>
            <w:vAlign w:val="center"/>
            <w:hideMark/>
          </w:tcPr>
          <w:p w14:paraId="4AF778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53</w:t>
            </w:r>
          </w:p>
        </w:tc>
        <w:tc>
          <w:tcPr>
            <w:tcW w:w="851" w:type="dxa"/>
            <w:tcBorders>
              <w:top w:val="nil"/>
              <w:left w:val="nil"/>
              <w:bottom w:val="nil"/>
              <w:right w:val="nil"/>
            </w:tcBorders>
            <w:shd w:val="clear" w:color="000000" w:fill="FBB6B9"/>
            <w:noWrap/>
            <w:vAlign w:val="center"/>
            <w:hideMark/>
          </w:tcPr>
          <w:p w14:paraId="12DAC49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992" w:type="dxa"/>
            <w:tcBorders>
              <w:top w:val="nil"/>
              <w:left w:val="nil"/>
              <w:bottom w:val="nil"/>
              <w:right w:val="nil"/>
            </w:tcBorders>
            <w:shd w:val="clear" w:color="auto" w:fill="auto"/>
            <w:noWrap/>
            <w:vAlign w:val="center"/>
            <w:hideMark/>
          </w:tcPr>
          <w:p w14:paraId="6DB415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w:t>
            </w:r>
          </w:p>
        </w:tc>
        <w:tc>
          <w:tcPr>
            <w:tcW w:w="850" w:type="dxa"/>
            <w:tcBorders>
              <w:top w:val="nil"/>
              <w:left w:val="nil"/>
              <w:bottom w:val="nil"/>
              <w:right w:val="nil"/>
            </w:tcBorders>
            <w:shd w:val="clear" w:color="auto" w:fill="auto"/>
            <w:noWrap/>
            <w:vAlign w:val="center"/>
            <w:hideMark/>
          </w:tcPr>
          <w:p w14:paraId="30A29D1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1051" w:type="dxa"/>
            <w:tcBorders>
              <w:top w:val="nil"/>
              <w:left w:val="nil"/>
              <w:bottom w:val="nil"/>
              <w:right w:val="nil"/>
            </w:tcBorders>
            <w:shd w:val="clear" w:color="auto" w:fill="auto"/>
            <w:noWrap/>
            <w:vAlign w:val="center"/>
            <w:hideMark/>
          </w:tcPr>
          <w:p w14:paraId="69706A8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18B345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730" w:type="dxa"/>
            <w:tcBorders>
              <w:top w:val="nil"/>
              <w:left w:val="nil"/>
              <w:bottom w:val="nil"/>
              <w:right w:val="nil"/>
            </w:tcBorders>
            <w:shd w:val="clear" w:color="auto" w:fill="auto"/>
            <w:noWrap/>
            <w:vAlign w:val="center"/>
            <w:hideMark/>
          </w:tcPr>
          <w:p w14:paraId="308CD99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1011" w:type="dxa"/>
            <w:tcBorders>
              <w:top w:val="nil"/>
              <w:left w:val="nil"/>
              <w:bottom w:val="nil"/>
              <w:right w:val="nil"/>
            </w:tcBorders>
            <w:shd w:val="clear" w:color="auto" w:fill="auto"/>
            <w:noWrap/>
            <w:vAlign w:val="center"/>
            <w:hideMark/>
          </w:tcPr>
          <w:p w14:paraId="2683BA8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69712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1354" w:type="dxa"/>
            <w:tcBorders>
              <w:top w:val="nil"/>
              <w:left w:val="nil"/>
              <w:bottom w:val="nil"/>
              <w:right w:val="nil"/>
            </w:tcBorders>
            <w:shd w:val="clear" w:color="auto" w:fill="auto"/>
            <w:noWrap/>
            <w:vAlign w:val="center"/>
            <w:hideMark/>
          </w:tcPr>
          <w:p w14:paraId="0CB9FD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01" w:type="dxa"/>
            <w:tcBorders>
              <w:top w:val="nil"/>
              <w:left w:val="nil"/>
              <w:bottom w:val="nil"/>
              <w:right w:val="nil"/>
            </w:tcBorders>
            <w:shd w:val="clear" w:color="auto" w:fill="auto"/>
            <w:noWrap/>
            <w:vAlign w:val="center"/>
            <w:hideMark/>
          </w:tcPr>
          <w:p w14:paraId="563816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81%</w:t>
            </w:r>
          </w:p>
        </w:tc>
        <w:tc>
          <w:tcPr>
            <w:tcW w:w="992" w:type="dxa"/>
            <w:tcBorders>
              <w:top w:val="nil"/>
              <w:left w:val="nil"/>
              <w:bottom w:val="nil"/>
              <w:right w:val="nil"/>
            </w:tcBorders>
            <w:shd w:val="clear" w:color="000000" w:fill="F8F9FD"/>
            <w:noWrap/>
            <w:vAlign w:val="center"/>
            <w:hideMark/>
          </w:tcPr>
          <w:p w14:paraId="40BEFD5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r>
      <w:tr w:rsidR="0028350E" w:rsidRPr="007364B1" w14:paraId="5BC72A5B" w14:textId="77777777" w:rsidTr="00AA33F9">
        <w:trPr>
          <w:trHeight w:val="360"/>
        </w:trPr>
        <w:tc>
          <w:tcPr>
            <w:tcW w:w="1985" w:type="dxa"/>
            <w:tcBorders>
              <w:top w:val="nil"/>
              <w:left w:val="nil"/>
              <w:bottom w:val="nil"/>
              <w:right w:val="nil"/>
            </w:tcBorders>
            <w:shd w:val="clear" w:color="auto" w:fill="auto"/>
            <w:noWrap/>
            <w:vAlign w:val="bottom"/>
            <w:hideMark/>
          </w:tcPr>
          <w:p w14:paraId="7096FD1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6B78C3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w:t>
            </w:r>
          </w:p>
        </w:tc>
        <w:tc>
          <w:tcPr>
            <w:tcW w:w="1026" w:type="dxa"/>
            <w:tcBorders>
              <w:top w:val="nil"/>
              <w:left w:val="nil"/>
              <w:bottom w:val="nil"/>
              <w:right w:val="nil"/>
            </w:tcBorders>
            <w:shd w:val="clear" w:color="auto" w:fill="auto"/>
            <w:noWrap/>
            <w:vAlign w:val="center"/>
            <w:hideMark/>
          </w:tcPr>
          <w:p w14:paraId="12E79BB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w:t>
            </w:r>
          </w:p>
        </w:tc>
        <w:tc>
          <w:tcPr>
            <w:tcW w:w="851" w:type="dxa"/>
            <w:tcBorders>
              <w:top w:val="nil"/>
              <w:left w:val="nil"/>
              <w:bottom w:val="nil"/>
              <w:right w:val="nil"/>
            </w:tcBorders>
            <w:shd w:val="clear" w:color="000000" w:fill="FBBCBE"/>
            <w:noWrap/>
            <w:vAlign w:val="center"/>
            <w:hideMark/>
          </w:tcPr>
          <w:p w14:paraId="5A4D5BC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992" w:type="dxa"/>
            <w:tcBorders>
              <w:top w:val="nil"/>
              <w:left w:val="nil"/>
              <w:bottom w:val="nil"/>
              <w:right w:val="nil"/>
            </w:tcBorders>
            <w:shd w:val="clear" w:color="auto" w:fill="auto"/>
            <w:noWrap/>
            <w:vAlign w:val="center"/>
            <w:hideMark/>
          </w:tcPr>
          <w:p w14:paraId="64C69FC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850" w:type="dxa"/>
            <w:tcBorders>
              <w:top w:val="nil"/>
              <w:left w:val="nil"/>
              <w:bottom w:val="nil"/>
              <w:right w:val="nil"/>
            </w:tcBorders>
            <w:shd w:val="clear" w:color="auto" w:fill="auto"/>
            <w:noWrap/>
            <w:vAlign w:val="center"/>
            <w:hideMark/>
          </w:tcPr>
          <w:p w14:paraId="32ECA8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1051" w:type="dxa"/>
            <w:tcBorders>
              <w:top w:val="nil"/>
              <w:left w:val="nil"/>
              <w:bottom w:val="nil"/>
              <w:right w:val="nil"/>
            </w:tcBorders>
            <w:shd w:val="clear" w:color="auto" w:fill="auto"/>
            <w:noWrap/>
            <w:vAlign w:val="center"/>
            <w:hideMark/>
          </w:tcPr>
          <w:p w14:paraId="3BFE9A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3179194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730" w:type="dxa"/>
            <w:tcBorders>
              <w:top w:val="nil"/>
              <w:left w:val="nil"/>
              <w:bottom w:val="nil"/>
              <w:right w:val="nil"/>
            </w:tcBorders>
            <w:shd w:val="clear" w:color="auto" w:fill="auto"/>
            <w:noWrap/>
            <w:vAlign w:val="center"/>
            <w:hideMark/>
          </w:tcPr>
          <w:p w14:paraId="0DCAB1C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11" w:type="dxa"/>
            <w:tcBorders>
              <w:top w:val="nil"/>
              <w:left w:val="nil"/>
              <w:bottom w:val="nil"/>
              <w:right w:val="nil"/>
            </w:tcBorders>
            <w:shd w:val="clear" w:color="auto" w:fill="auto"/>
            <w:noWrap/>
            <w:vAlign w:val="center"/>
            <w:hideMark/>
          </w:tcPr>
          <w:p w14:paraId="3412C6A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F5AF6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6FA378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6D4980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F6F8FD"/>
            <w:noWrap/>
            <w:vAlign w:val="center"/>
            <w:hideMark/>
          </w:tcPr>
          <w:p w14:paraId="37D75AE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w:t>
            </w:r>
          </w:p>
        </w:tc>
      </w:tr>
      <w:tr w:rsidR="0028350E" w:rsidRPr="007364B1" w14:paraId="5FC0474B"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02B0C81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52F9DF5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460</w:t>
            </w:r>
          </w:p>
        </w:tc>
        <w:tc>
          <w:tcPr>
            <w:tcW w:w="1026" w:type="dxa"/>
            <w:tcBorders>
              <w:top w:val="nil"/>
              <w:left w:val="nil"/>
              <w:bottom w:val="single" w:sz="4" w:space="0" w:color="auto"/>
              <w:right w:val="nil"/>
            </w:tcBorders>
            <w:shd w:val="clear" w:color="auto" w:fill="auto"/>
            <w:noWrap/>
            <w:vAlign w:val="center"/>
            <w:hideMark/>
          </w:tcPr>
          <w:p w14:paraId="56F91E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520</w:t>
            </w:r>
          </w:p>
        </w:tc>
        <w:tc>
          <w:tcPr>
            <w:tcW w:w="851" w:type="dxa"/>
            <w:tcBorders>
              <w:top w:val="nil"/>
              <w:left w:val="nil"/>
              <w:bottom w:val="single" w:sz="4" w:space="0" w:color="auto"/>
              <w:right w:val="nil"/>
            </w:tcBorders>
            <w:shd w:val="clear" w:color="000000" w:fill="FBB8BB"/>
            <w:noWrap/>
            <w:vAlign w:val="center"/>
            <w:hideMark/>
          </w:tcPr>
          <w:p w14:paraId="2E01460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w:t>
            </w:r>
          </w:p>
        </w:tc>
        <w:tc>
          <w:tcPr>
            <w:tcW w:w="992" w:type="dxa"/>
            <w:tcBorders>
              <w:top w:val="nil"/>
              <w:left w:val="nil"/>
              <w:bottom w:val="single" w:sz="4" w:space="0" w:color="auto"/>
              <w:right w:val="nil"/>
            </w:tcBorders>
            <w:shd w:val="clear" w:color="auto" w:fill="auto"/>
            <w:noWrap/>
            <w:vAlign w:val="center"/>
            <w:hideMark/>
          </w:tcPr>
          <w:p w14:paraId="01E8A5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503</w:t>
            </w:r>
          </w:p>
        </w:tc>
        <w:tc>
          <w:tcPr>
            <w:tcW w:w="850" w:type="dxa"/>
            <w:tcBorders>
              <w:top w:val="nil"/>
              <w:left w:val="nil"/>
              <w:bottom w:val="single" w:sz="4" w:space="0" w:color="auto"/>
              <w:right w:val="nil"/>
            </w:tcBorders>
            <w:shd w:val="clear" w:color="auto" w:fill="auto"/>
            <w:noWrap/>
            <w:vAlign w:val="center"/>
            <w:hideMark/>
          </w:tcPr>
          <w:p w14:paraId="5514B9D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c>
          <w:tcPr>
            <w:tcW w:w="1051" w:type="dxa"/>
            <w:tcBorders>
              <w:top w:val="nil"/>
              <w:left w:val="nil"/>
              <w:bottom w:val="single" w:sz="4" w:space="0" w:color="auto"/>
              <w:right w:val="nil"/>
            </w:tcBorders>
            <w:shd w:val="clear" w:color="auto" w:fill="auto"/>
            <w:noWrap/>
            <w:vAlign w:val="center"/>
            <w:hideMark/>
          </w:tcPr>
          <w:p w14:paraId="172B0D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869" w:type="dxa"/>
            <w:tcBorders>
              <w:top w:val="nil"/>
              <w:left w:val="nil"/>
              <w:bottom w:val="single" w:sz="4" w:space="0" w:color="auto"/>
              <w:right w:val="nil"/>
            </w:tcBorders>
            <w:shd w:val="clear" w:color="auto" w:fill="auto"/>
            <w:noWrap/>
            <w:vAlign w:val="center"/>
            <w:hideMark/>
          </w:tcPr>
          <w:p w14:paraId="69C3431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123</w:t>
            </w:r>
          </w:p>
        </w:tc>
        <w:tc>
          <w:tcPr>
            <w:tcW w:w="730" w:type="dxa"/>
            <w:tcBorders>
              <w:top w:val="nil"/>
              <w:left w:val="nil"/>
              <w:bottom w:val="single" w:sz="4" w:space="0" w:color="auto"/>
              <w:right w:val="nil"/>
            </w:tcBorders>
            <w:shd w:val="clear" w:color="auto" w:fill="auto"/>
            <w:noWrap/>
            <w:vAlign w:val="center"/>
            <w:hideMark/>
          </w:tcPr>
          <w:p w14:paraId="02F200C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126</w:t>
            </w:r>
          </w:p>
        </w:tc>
        <w:tc>
          <w:tcPr>
            <w:tcW w:w="1011" w:type="dxa"/>
            <w:tcBorders>
              <w:top w:val="nil"/>
              <w:left w:val="nil"/>
              <w:bottom w:val="single" w:sz="4" w:space="0" w:color="auto"/>
              <w:right w:val="nil"/>
            </w:tcBorders>
            <w:shd w:val="clear" w:color="auto" w:fill="auto"/>
            <w:noWrap/>
            <w:vAlign w:val="center"/>
            <w:hideMark/>
          </w:tcPr>
          <w:p w14:paraId="1914C5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4CE23A9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1354" w:type="dxa"/>
            <w:tcBorders>
              <w:top w:val="nil"/>
              <w:left w:val="nil"/>
              <w:bottom w:val="single" w:sz="4" w:space="0" w:color="auto"/>
              <w:right w:val="nil"/>
            </w:tcBorders>
            <w:shd w:val="clear" w:color="auto" w:fill="auto"/>
            <w:noWrap/>
            <w:vAlign w:val="center"/>
            <w:hideMark/>
          </w:tcPr>
          <w:p w14:paraId="1DEDDF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w:t>
            </w:r>
          </w:p>
        </w:tc>
        <w:tc>
          <w:tcPr>
            <w:tcW w:w="1001" w:type="dxa"/>
            <w:tcBorders>
              <w:top w:val="nil"/>
              <w:left w:val="nil"/>
              <w:bottom w:val="single" w:sz="4" w:space="0" w:color="auto"/>
              <w:right w:val="nil"/>
            </w:tcBorders>
            <w:shd w:val="clear" w:color="auto" w:fill="auto"/>
            <w:noWrap/>
            <w:vAlign w:val="center"/>
            <w:hideMark/>
          </w:tcPr>
          <w:p w14:paraId="49B0E4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w:t>
            </w:r>
          </w:p>
        </w:tc>
        <w:tc>
          <w:tcPr>
            <w:tcW w:w="992" w:type="dxa"/>
            <w:tcBorders>
              <w:top w:val="nil"/>
              <w:left w:val="nil"/>
              <w:bottom w:val="single" w:sz="4" w:space="0" w:color="auto"/>
              <w:right w:val="nil"/>
            </w:tcBorders>
            <w:shd w:val="clear" w:color="000000" w:fill="F8F9FD"/>
            <w:noWrap/>
            <w:vAlign w:val="center"/>
            <w:hideMark/>
          </w:tcPr>
          <w:p w14:paraId="22422C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112%</w:t>
            </w:r>
          </w:p>
        </w:tc>
      </w:tr>
      <w:tr w:rsidR="0028350E" w:rsidRPr="007364B1" w14:paraId="511FB446"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6E7BF1B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23F5FCA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35,821</w:t>
            </w:r>
          </w:p>
        </w:tc>
        <w:tc>
          <w:tcPr>
            <w:tcW w:w="1026" w:type="dxa"/>
            <w:tcBorders>
              <w:top w:val="nil"/>
              <w:left w:val="nil"/>
              <w:bottom w:val="single" w:sz="4" w:space="0" w:color="auto"/>
              <w:right w:val="nil"/>
            </w:tcBorders>
            <w:shd w:val="clear" w:color="auto" w:fill="auto"/>
            <w:noWrap/>
            <w:vAlign w:val="center"/>
            <w:hideMark/>
          </w:tcPr>
          <w:p w14:paraId="2EE9C1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63,466</w:t>
            </w:r>
          </w:p>
        </w:tc>
        <w:tc>
          <w:tcPr>
            <w:tcW w:w="851" w:type="dxa"/>
            <w:tcBorders>
              <w:top w:val="single" w:sz="4" w:space="0" w:color="auto"/>
              <w:left w:val="nil"/>
              <w:bottom w:val="single" w:sz="4" w:space="0" w:color="auto"/>
              <w:right w:val="nil"/>
            </w:tcBorders>
            <w:shd w:val="clear" w:color="000000" w:fill="F8696B"/>
            <w:noWrap/>
            <w:vAlign w:val="center"/>
            <w:hideMark/>
          </w:tcPr>
          <w:p w14:paraId="58AC304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w:t>
            </w:r>
          </w:p>
        </w:tc>
        <w:tc>
          <w:tcPr>
            <w:tcW w:w="992" w:type="dxa"/>
            <w:tcBorders>
              <w:top w:val="nil"/>
              <w:left w:val="nil"/>
              <w:bottom w:val="single" w:sz="4" w:space="0" w:color="auto"/>
              <w:right w:val="nil"/>
            </w:tcBorders>
            <w:shd w:val="clear" w:color="auto" w:fill="auto"/>
            <w:noWrap/>
            <w:vAlign w:val="center"/>
            <w:hideMark/>
          </w:tcPr>
          <w:p w14:paraId="60C4FA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92,031</w:t>
            </w:r>
          </w:p>
        </w:tc>
        <w:tc>
          <w:tcPr>
            <w:tcW w:w="850" w:type="dxa"/>
            <w:tcBorders>
              <w:top w:val="nil"/>
              <w:left w:val="nil"/>
              <w:bottom w:val="single" w:sz="4" w:space="0" w:color="auto"/>
              <w:right w:val="nil"/>
            </w:tcBorders>
            <w:shd w:val="clear" w:color="auto" w:fill="auto"/>
            <w:noWrap/>
            <w:vAlign w:val="center"/>
            <w:hideMark/>
          </w:tcPr>
          <w:p w14:paraId="7FD15B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9,946</w:t>
            </w:r>
          </w:p>
        </w:tc>
        <w:tc>
          <w:tcPr>
            <w:tcW w:w="1051" w:type="dxa"/>
            <w:tcBorders>
              <w:top w:val="nil"/>
              <w:left w:val="nil"/>
              <w:bottom w:val="single" w:sz="4" w:space="0" w:color="auto"/>
              <w:right w:val="nil"/>
            </w:tcBorders>
            <w:shd w:val="clear" w:color="auto" w:fill="auto"/>
            <w:noWrap/>
            <w:vAlign w:val="center"/>
            <w:hideMark/>
          </w:tcPr>
          <w:p w14:paraId="1D9DB40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455</w:t>
            </w:r>
          </w:p>
        </w:tc>
        <w:tc>
          <w:tcPr>
            <w:tcW w:w="869" w:type="dxa"/>
            <w:tcBorders>
              <w:top w:val="nil"/>
              <w:left w:val="nil"/>
              <w:bottom w:val="single" w:sz="4" w:space="0" w:color="auto"/>
              <w:right w:val="nil"/>
            </w:tcBorders>
            <w:shd w:val="clear" w:color="auto" w:fill="auto"/>
            <w:noWrap/>
            <w:vAlign w:val="center"/>
            <w:hideMark/>
          </w:tcPr>
          <w:p w14:paraId="4610F31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10,401</w:t>
            </w:r>
          </w:p>
        </w:tc>
        <w:tc>
          <w:tcPr>
            <w:tcW w:w="730" w:type="dxa"/>
            <w:tcBorders>
              <w:top w:val="nil"/>
              <w:left w:val="nil"/>
              <w:bottom w:val="single" w:sz="4" w:space="0" w:color="auto"/>
              <w:right w:val="nil"/>
            </w:tcBorders>
            <w:shd w:val="clear" w:color="auto" w:fill="auto"/>
            <w:noWrap/>
            <w:vAlign w:val="center"/>
            <w:hideMark/>
          </w:tcPr>
          <w:p w14:paraId="134BC00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14,467</w:t>
            </w:r>
          </w:p>
        </w:tc>
        <w:tc>
          <w:tcPr>
            <w:tcW w:w="1011" w:type="dxa"/>
            <w:tcBorders>
              <w:top w:val="nil"/>
              <w:left w:val="nil"/>
              <w:bottom w:val="single" w:sz="4" w:space="0" w:color="auto"/>
              <w:right w:val="nil"/>
            </w:tcBorders>
            <w:shd w:val="clear" w:color="auto" w:fill="auto"/>
            <w:noWrap/>
            <w:vAlign w:val="center"/>
            <w:hideMark/>
          </w:tcPr>
          <w:p w14:paraId="5C12CF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973" w:type="dxa"/>
            <w:tcBorders>
              <w:top w:val="nil"/>
              <w:left w:val="nil"/>
              <w:bottom w:val="single" w:sz="4" w:space="0" w:color="auto"/>
              <w:right w:val="nil"/>
            </w:tcBorders>
            <w:shd w:val="clear" w:color="auto" w:fill="auto"/>
            <w:noWrap/>
            <w:vAlign w:val="center"/>
            <w:hideMark/>
          </w:tcPr>
          <w:p w14:paraId="58B2C82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2,848</w:t>
            </w:r>
          </w:p>
        </w:tc>
        <w:tc>
          <w:tcPr>
            <w:tcW w:w="1354" w:type="dxa"/>
            <w:tcBorders>
              <w:top w:val="nil"/>
              <w:left w:val="nil"/>
              <w:bottom w:val="single" w:sz="4" w:space="0" w:color="auto"/>
              <w:right w:val="nil"/>
            </w:tcBorders>
            <w:shd w:val="clear" w:color="auto" w:fill="auto"/>
            <w:noWrap/>
            <w:vAlign w:val="center"/>
            <w:hideMark/>
          </w:tcPr>
          <w:p w14:paraId="5DB509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3,996</w:t>
            </w:r>
          </w:p>
        </w:tc>
        <w:tc>
          <w:tcPr>
            <w:tcW w:w="1001" w:type="dxa"/>
            <w:tcBorders>
              <w:top w:val="nil"/>
              <w:left w:val="nil"/>
              <w:bottom w:val="single" w:sz="4" w:space="0" w:color="auto"/>
              <w:right w:val="nil"/>
            </w:tcBorders>
            <w:shd w:val="clear" w:color="auto" w:fill="auto"/>
            <w:noWrap/>
            <w:vAlign w:val="center"/>
            <w:hideMark/>
          </w:tcPr>
          <w:p w14:paraId="05415B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71%</w:t>
            </w:r>
          </w:p>
        </w:tc>
        <w:tc>
          <w:tcPr>
            <w:tcW w:w="992" w:type="dxa"/>
            <w:tcBorders>
              <w:top w:val="single" w:sz="4" w:space="0" w:color="auto"/>
              <w:left w:val="nil"/>
              <w:bottom w:val="single" w:sz="4" w:space="0" w:color="auto"/>
              <w:right w:val="nil"/>
            </w:tcBorders>
            <w:shd w:val="clear" w:color="000000" w:fill="FAA9AC"/>
            <w:noWrap/>
            <w:vAlign w:val="center"/>
            <w:hideMark/>
          </w:tcPr>
          <w:p w14:paraId="374E47A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167%</w:t>
            </w:r>
          </w:p>
        </w:tc>
      </w:tr>
    </w:tbl>
    <w:p w14:paraId="6AEE33DD" w14:textId="77777777" w:rsidR="00AA33F9" w:rsidRDefault="00AA33F9" w:rsidP="00AA33F9">
      <w:pPr>
        <w:pStyle w:val="Tablenotesnumbers"/>
        <w:numPr>
          <w:ilvl w:val="1"/>
          <w:numId w:val="44"/>
        </w:numPr>
      </w:pPr>
      <w:r>
        <w:t>Steady state number is the sum of exits and the number aging out</w:t>
      </w:r>
    </w:p>
    <w:p w14:paraId="4F489321" w14:textId="487EEA32"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4853BCC4" w14:textId="77777777" w:rsidR="0028350E" w:rsidRDefault="0028350E" w:rsidP="0028350E"/>
    <w:p w14:paraId="4F7D9527" w14:textId="77777777" w:rsidR="0028350E" w:rsidRDefault="0028350E" w:rsidP="00A52191">
      <w:pPr>
        <w:pStyle w:val="AppendixH3"/>
      </w:pPr>
      <w:r w:rsidRPr="009E1993">
        <w:t xml:space="preserve">Flows of participant numbers in and out of disability types, for participants aged </w:t>
      </w:r>
      <w:r>
        <w:t>19-24</w:t>
      </w:r>
    </w:p>
    <w:tbl>
      <w:tblPr>
        <w:tblW w:w="14582" w:type="dxa"/>
        <w:tblInd w:w="108" w:type="dxa"/>
        <w:tblLook w:val="04A0" w:firstRow="1" w:lastRow="0" w:firstColumn="1" w:lastColumn="0" w:noHBand="0" w:noVBand="1"/>
      </w:tblPr>
      <w:tblGrid>
        <w:gridCol w:w="1985"/>
        <w:gridCol w:w="884"/>
        <w:gridCol w:w="1026"/>
        <w:gridCol w:w="851"/>
        <w:gridCol w:w="992"/>
        <w:gridCol w:w="850"/>
        <w:gridCol w:w="1051"/>
        <w:gridCol w:w="869"/>
        <w:gridCol w:w="743"/>
        <w:gridCol w:w="1011"/>
        <w:gridCol w:w="973"/>
        <w:gridCol w:w="1354"/>
        <w:gridCol w:w="1001"/>
        <w:gridCol w:w="992"/>
      </w:tblGrid>
      <w:tr w:rsidR="00ED2FC8" w:rsidRPr="007364B1" w14:paraId="3F22CDBC"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1FCFCCDD"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01F31002"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1026" w:type="dxa"/>
            <w:tcBorders>
              <w:top w:val="single" w:sz="4" w:space="0" w:color="auto"/>
              <w:left w:val="nil"/>
              <w:bottom w:val="single" w:sz="4" w:space="0" w:color="auto"/>
              <w:right w:val="nil"/>
            </w:tcBorders>
            <w:shd w:val="clear" w:color="auto" w:fill="auto"/>
            <w:vAlign w:val="bottom"/>
            <w:hideMark/>
          </w:tcPr>
          <w:p w14:paraId="64B9C868"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464A3A04" w14:textId="4CCFB675"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28A07C14" w14:textId="683DB77F"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2FC4CFD4" w14:textId="238E8B0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2C65B336" w14:textId="7F2C3B48"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5498E520" w14:textId="009FB4A0"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43" w:type="dxa"/>
            <w:tcBorders>
              <w:top w:val="single" w:sz="4" w:space="0" w:color="auto"/>
              <w:left w:val="nil"/>
              <w:bottom w:val="single" w:sz="4" w:space="0" w:color="auto"/>
              <w:right w:val="nil"/>
            </w:tcBorders>
            <w:shd w:val="clear" w:color="auto" w:fill="auto"/>
            <w:vAlign w:val="bottom"/>
            <w:hideMark/>
          </w:tcPr>
          <w:p w14:paraId="089AD38C" w14:textId="18FA434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36B249F2"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70CBA992" w14:textId="27A12DF6"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50352C04" w14:textId="6EA61D18"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22E67789"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7E8493B0"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49FBD056" w14:textId="77777777" w:rsidTr="00AA33F9">
        <w:trPr>
          <w:trHeight w:val="360"/>
        </w:trPr>
        <w:tc>
          <w:tcPr>
            <w:tcW w:w="1985" w:type="dxa"/>
            <w:tcBorders>
              <w:top w:val="nil"/>
              <w:left w:val="nil"/>
              <w:bottom w:val="nil"/>
              <w:right w:val="nil"/>
            </w:tcBorders>
            <w:shd w:val="clear" w:color="auto" w:fill="auto"/>
            <w:noWrap/>
            <w:vAlign w:val="bottom"/>
            <w:hideMark/>
          </w:tcPr>
          <w:p w14:paraId="353B767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453BC2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632</w:t>
            </w:r>
          </w:p>
        </w:tc>
        <w:tc>
          <w:tcPr>
            <w:tcW w:w="1026" w:type="dxa"/>
            <w:tcBorders>
              <w:top w:val="nil"/>
              <w:left w:val="nil"/>
              <w:bottom w:val="nil"/>
              <w:right w:val="nil"/>
            </w:tcBorders>
            <w:shd w:val="clear" w:color="auto" w:fill="auto"/>
            <w:noWrap/>
            <w:vAlign w:val="center"/>
            <w:hideMark/>
          </w:tcPr>
          <w:p w14:paraId="209D3B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649</w:t>
            </w:r>
          </w:p>
        </w:tc>
        <w:tc>
          <w:tcPr>
            <w:tcW w:w="851" w:type="dxa"/>
            <w:tcBorders>
              <w:top w:val="nil"/>
              <w:left w:val="nil"/>
              <w:bottom w:val="nil"/>
              <w:right w:val="nil"/>
            </w:tcBorders>
            <w:shd w:val="clear" w:color="000000" w:fill="FBBBBD"/>
            <w:noWrap/>
            <w:vAlign w:val="center"/>
            <w:hideMark/>
          </w:tcPr>
          <w:p w14:paraId="4AEEB7C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992" w:type="dxa"/>
            <w:tcBorders>
              <w:top w:val="nil"/>
              <w:left w:val="nil"/>
              <w:bottom w:val="nil"/>
              <w:right w:val="nil"/>
            </w:tcBorders>
            <w:shd w:val="clear" w:color="auto" w:fill="auto"/>
            <w:noWrap/>
            <w:vAlign w:val="center"/>
            <w:hideMark/>
          </w:tcPr>
          <w:p w14:paraId="430C987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679</w:t>
            </w:r>
          </w:p>
        </w:tc>
        <w:tc>
          <w:tcPr>
            <w:tcW w:w="850" w:type="dxa"/>
            <w:tcBorders>
              <w:top w:val="nil"/>
              <w:left w:val="nil"/>
              <w:bottom w:val="nil"/>
              <w:right w:val="nil"/>
            </w:tcBorders>
            <w:shd w:val="clear" w:color="auto" w:fill="auto"/>
            <w:noWrap/>
            <w:vAlign w:val="center"/>
            <w:hideMark/>
          </w:tcPr>
          <w:p w14:paraId="55420B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124</w:t>
            </w:r>
          </w:p>
        </w:tc>
        <w:tc>
          <w:tcPr>
            <w:tcW w:w="1051" w:type="dxa"/>
            <w:tcBorders>
              <w:top w:val="nil"/>
              <w:left w:val="nil"/>
              <w:bottom w:val="nil"/>
              <w:right w:val="nil"/>
            </w:tcBorders>
            <w:shd w:val="clear" w:color="auto" w:fill="auto"/>
            <w:noWrap/>
            <w:vAlign w:val="center"/>
            <w:hideMark/>
          </w:tcPr>
          <w:p w14:paraId="61B6D0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869" w:type="dxa"/>
            <w:tcBorders>
              <w:top w:val="nil"/>
              <w:left w:val="nil"/>
              <w:bottom w:val="nil"/>
              <w:right w:val="nil"/>
            </w:tcBorders>
            <w:shd w:val="clear" w:color="auto" w:fill="auto"/>
            <w:noWrap/>
            <w:vAlign w:val="center"/>
            <w:hideMark/>
          </w:tcPr>
          <w:p w14:paraId="3D730D3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131</w:t>
            </w:r>
          </w:p>
        </w:tc>
        <w:tc>
          <w:tcPr>
            <w:tcW w:w="743" w:type="dxa"/>
            <w:tcBorders>
              <w:top w:val="nil"/>
              <w:left w:val="nil"/>
              <w:bottom w:val="nil"/>
              <w:right w:val="nil"/>
            </w:tcBorders>
            <w:shd w:val="clear" w:color="auto" w:fill="auto"/>
            <w:noWrap/>
            <w:vAlign w:val="center"/>
            <w:hideMark/>
          </w:tcPr>
          <w:p w14:paraId="01CE20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93</w:t>
            </w:r>
          </w:p>
        </w:tc>
        <w:tc>
          <w:tcPr>
            <w:tcW w:w="1011" w:type="dxa"/>
            <w:tcBorders>
              <w:top w:val="nil"/>
              <w:left w:val="nil"/>
              <w:bottom w:val="nil"/>
              <w:right w:val="nil"/>
            </w:tcBorders>
            <w:shd w:val="clear" w:color="auto" w:fill="auto"/>
            <w:noWrap/>
            <w:vAlign w:val="center"/>
            <w:hideMark/>
          </w:tcPr>
          <w:p w14:paraId="5BD089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A3C54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1354" w:type="dxa"/>
            <w:tcBorders>
              <w:top w:val="nil"/>
              <w:left w:val="nil"/>
              <w:bottom w:val="nil"/>
              <w:right w:val="nil"/>
            </w:tcBorders>
            <w:shd w:val="clear" w:color="auto" w:fill="auto"/>
            <w:noWrap/>
            <w:vAlign w:val="center"/>
            <w:hideMark/>
          </w:tcPr>
          <w:p w14:paraId="2781DA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72</w:t>
            </w:r>
          </w:p>
        </w:tc>
        <w:tc>
          <w:tcPr>
            <w:tcW w:w="1001" w:type="dxa"/>
            <w:tcBorders>
              <w:top w:val="nil"/>
              <w:left w:val="nil"/>
              <w:bottom w:val="nil"/>
              <w:right w:val="nil"/>
            </w:tcBorders>
            <w:shd w:val="clear" w:color="auto" w:fill="auto"/>
            <w:noWrap/>
            <w:vAlign w:val="center"/>
            <w:hideMark/>
          </w:tcPr>
          <w:p w14:paraId="3BAC6A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58%</w:t>
            </w:r>
          </w:p>
        </w:tc>
        <w:tc>
          <w:tcPr>
            <w:tcW w:w="992" w:type="dxa"/>
            <w:tcBorders>
              <w:top w:val="nil"/>
              <w:left w:val="nil"/>
              <w:bottom w:val="nil"/>
              <w:right w:val="nil"/>
            </w:tcBorders>
            <w:shd w:val="clear" w:color="000000" w:fill="DFE8F5"/>
            <w:noWrap/>
            <w:vAlign w:val="center"/>
            <w:hideMark/>
          </w:tcPr>
          <w:p w14:paraId="606CD3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w:t>
            </w:r>
          </w:p>
        </w:tc>
      </w:tr>
      <w:tr w:rsidR="0028350E" w:rsidRPr="007364B1" w14:paraId="5E517B31" w14:textId="77777777" w:rsidTr="00AA33F9">
        <w:trPr>
          <w:trHeight w:val="360"/>
        </w:trPr>
        <w:tc>
          <w:tcPr>
            <w:tcW w:w="1985" w:type="dxa"/>
            <w:tcBorders>
              <w:top w:val="nil"/>
              <w:left w:val="nil"/>
              <w:bottom w:val="nil"/>
              <w:right w:val="nil"/>
            </w:tcBorders>
            <w:shd w:val="clear" w:color="auto" w:fill="auto"/>
            <w:noWrap/>
            <w:vAlign w:val="bottom"/>
            <w:hideMark/>
          </w:tcPr>
          <w:p w14:paraId="5C745B7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76E5D77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15,463</w:t>
            </w:r>
          </w:p>
        </w:tc>
        <w:tc>
          <w:tcPr>
            <w:tcW w:w="1026" w:type="dxa"/>
            <w:tcBorders>
              <w:top w:val="nil"/>
              <w:left w:val="nil"/>
              <w:bottom w:val="nil"/>
              <w:right w:val="nil"/>
            </w:tcBorders>
            <w:shd w:val="clear" w:color="auto" w:fill="auto"/>
            <w:noWrap/>
            <w:vAlign w:val="center"/>
            <w:hideMark/>
          </w:tcPr>
          <w:p w14:paraId="6A87FE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31,569</w:t>
            </w:r>
          </w:p>
        </w:tc>
        <w:tc>
          <w:tcPr>
            <w:tcW w:w="851" w:type="dxa"/>
            <w:tcBorders>
              <w:top w:val="nil"/>
              <w:left w:val="nil"/>
              <w:bottom w:val="nil"/>
              <w:right w:val="nil"/>
            </w:tcBorders>
            <w:shd w:val="clear" w:color="000000" w:fill="F9797C"/>
            <w:noWrap/>
            <w:vAlign w:val="center"/>
            <w:hideMark/>
          </w:tcPr>
          <w:p w14:paraId="7E364C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992" w:type="dxa"/>
            <w:tcBorders>
              <w:top w:val="nil"/>
              <w:left w:val="nil"/>
              <w:bottom w:val="nil"/>
              <w:right w:val="nil"/>
            </w:tcBorders>
            <w:shd w:val="clear" w:color="auto" w:fill="auto"/>
            <w:noWrap/>
            <w:vAlign w:val="center"/>
            <w:hideMark/>
          </w:tcPr>
          <w:p w14:paraId="040F16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66,117</w:t>
            </w:r>
          </w:p>
        </w:tc>
        <w:tc>
          <w:tcPr>
            <w:tcW w:w="850" w:type="dxa"/>
            <w:tcBorders>
              <w:top w:val="nil"/>
              <w:left w:val="nil"/>
              <w:bottom w:val="nil"/>
              <w:right w:val="nil"/>
            </w:tcBorders>
            <w:shd w:val="clear" w:color="auto" w:fill="auto"/>
            <w:noWrap/>
            <w:vAlign w:val="center"/>
            <w:hideMark/>
          </w:tcPr>
          <w:p w14:paraId="51E155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2,253</w:t>
            </w:r>
          </w:p>
        </w:tc>
        <w:tc>
          <w:tcPr>
            <w:tcW w:w="1051" w:type="dxa"/>
            <w:tcBorders>
              <w:top w:val="nil"/>
              <w:left w:val="nil"/>
              <w:bottom w:val="nil"/>
              <w:right w:val="nil"/>
            </w:tcBorders>
            <w:shd w:val="clear" w:color="auto" w:fill="auto"/>
            <w:noWrap/>
            <w:vAlign w:val="center"/>
            <w:hideMark/>
          </w:tcPr>
          <w:p w14:paraId="4C950D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175</w:t>
            </w:r>
          </w:p>
        </w:tc>
        <w:tc>
          <w:tcPr>
            <w:tcW w:w="869" w:type="dxa"/>
            <w:tcBorders>
              <w:top w:val="nil"/>
              <w:left w:val="nil"/>
              <w:bottom w:val="nil"/>
              <w:right w:val="nil"/>
            </w:tcBorders>
            <w:shd w:val="clear" w:color="auto" w:fill="auto"/>
            <w:noWrap/>
            <w:vAlign w:val="center"/>
            <w:hideMark/>
          </w:tcPr>
          <w:p w14:paraId="0D2683B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2,428</w:t>
            </w:r>
          </w:p>
        </w:tc>
        <w:tc>
          <w:tcPr>
            <w:tcW w:w="743" w:type="dxa"/>
            <w:tcBorders>
              <w:top w:val="nil"/>
              <w:left w:val="nil"/>
              <w:bottom w:val="nil"/>
              <w:right w:val="nil"/>
            </w:tcBorders>
            <w:shd w:val="clear" w:color="auto" w:fill="auto"/>
            <w:noWrap/>
            <w:vAlign w:val="center"/>
            <w:hideMark/>
          </w:tcPr>
          <w:p w14:paraId="199892B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5,751</w:t>
            </w:r>
          </w:p>
        </w:tc>
        <w:tc>
          <w:tcPr>
            <w:tcW w:w="1011" w:type="dxa"/>
            <w:tcBorders>
              <w:top w:val="nil"/>
              <w:left w:val="nil"/>
              <w:bottom w:val="nil"/>
              <w:right w:val="nil"/>
            </w:tcBorders>
            <w:shd w:val="clear" w:color="auto" w:fill="auto"/>
            <w:noWrap/>
            <w:vAlign w:val="center"/>
            <w:hideMark/>
          </w:tcPr>
          <w:p w14:paraId="0D418B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68C458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717</w:t>
            </w:r>
          </w:p>
        </w:tc>
        <w:tc>
          <w:tcPr>
            <w:tcW w:w="1354" w:type="dxa"/>
            <w:tcBorders>
              <w:top w:val="nil"/>
              <w:left w:val="nil"/>
              <w:bottom w:val="nil"/>
              <w:right w:val="nil"/>
            </w:tcBorders>
            <w:shd w:val="clear" w:color="auto" w:fill="auto"/>
            <w:noWrap/>
            <w:vAlign w:val="center"/>
            <w:hideMark/>
          </w:tcPr>
          <w:p w14:paraId="6E55191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1,200</w:t>
            </w:r>
          </w:p>
        </w:tc>
        <w:tc>
          <w:tcPr>
            <w:tcW w:w="1001" w:type="dxa"/>
            <w:tcBorders>
              <w:top w:val="nil"/>
              <w:left w:val="nil"/>
              <w:bottom w:val="nil"/>
              <w:right w:val="nil"/>
            </w:tcBorders>
            <w:shd w:val="clear" w:color="auto" w:fill="auto"/>
            <w:noWrap/>
            <w:vAlign w:val="center"/>
            <w:hideMark/>
          </w:tcPr>
          <w:p w14:paraId="51B0BCF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w:t>
            </w:r>
          </w:p>
        </w:tc>
        <w:tc>
          <w:tcPr>
            <w:tcW w:w="992" w:type="dxa"/>
            <w:tcBorders>
              <w:top w:val="nil"/>
              <w:left w:val="nil"/>
              <w:bottom w:val="nil"/>
              <w:right w:val="nil"/>
            </w:tcBorders>
            <w:shd w:val="clear" w:color="000000" w:fill="F8696B"/>
            <w:noWrap/>
            <w:vAlign w:val="center"/>
            <w:hideMark/>
          </w:tcPr>
          <w:p w14:paraId="044ECE6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266%</w:t>
            </w:r>
          </w:p>
        </w:tc>
      </w:tr>
      <w:tr w:rsidR="0028350E" w:rsidRPr="007364B1" w14:paraId="519A7BE2" w14:textId="77777777" w:rsidTr="00AA33F9">
        <w:trPr>
          <w:trHeight w:val="360"/>
        </w:trPr>
        <w:tc>
          <w:tcPr>
            <w:tcW w:w="1985" w:type="dxa"/>
            <w:tcBorders>
              <w:top w:val="nil"/>
              <w:left w:val="nil"/>
              <w:bottom w:val="nil"/>
              <w:right w:val="nil"/>
            </w:tcBorders>
            <w:shd w:val="clear" w:color="auto" w:fill="auto"/>
            <w:noWrap/>
            <w:vAlign w:val="bottom"/>
            <w:hideMark/>
          </w:tcPr>
          <w:p w14:paraId="76EFF9F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6F55598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1,838</w:t>
            </w:r>
          </w:p>
        </w:tc>
        <w:tc>
          <w:tcPr>
            <w:tcW w:w="1026" w:type="dxa"/>
            <w:tcBorders>
              <w:top w:val="nil"/>
              <w:left w:val="nil"/>
              <w:bottom w:val="nil"/>
              <w:right w:val="nil"/>
            </w:tcBorders>
            <w:shd w:val="clear" w:color="auto" w:fill="auto"/>
            <w:noWrap/>
            <w:vAlign w:val="center"/>
            <w:hideMark/>
          </w:tcPr>
          <w:p w14:paraId="3858D0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2,139</w:t>
            </w:r>
          </w:p>
        </w:tc>
        <w:tc>
          <w:tcPr>
            <w:tcW w:w="851" w:type="dxa"/>
            <w:tcBorders>
              <w:top w:val="nil"/>
              <w:left w:val="nil"/>
              <w:bottom w:val="nil"/>
              <w:right w:val="nil"/>
            </w:tcBorders>
            <w:shd w:val="clear" w:color="000000" w:fill="FAB2B4"/>
            <w:noWrap/>
            <w:vAlign w:val="center"/>
            <w:hideMark/>
          </w:tcPr>
          <w:p w14:paraId="424AA36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w:t>
            </w:r>
          </w:p>
        </w:tc>
        <w:tc>
          <w:tcPr>
            <w:tcW w:w="992" w:type="dxa"/>
            <w:tcBorders>
              <w:top w:val="nil"/>
              <w:left w:val="nil"/>
              <w:bottom w:val="nil"/>
              <w:right w:val="nil"/>
            </w:tcBorders>
            <w:shd w:val="clear" w:color="auto" w:fill="auto"/>
            <w:noWrap/>
            <w:vAlign w:val="center"/>
            <w:hideMark/>
          </w:tcPr>
          <w:p w14:paraId="446BEB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2,880</w:t>
            </w:r>
          </w:p>
        </w:tc>
        <w:tc>
          <w:tcPr>
            <w:tcW w:w="850" w:type="dxa"/>
            <w:tcBorders>
              <w:top w:val="nil"/>
              <w:left w:val="nil"/>
              <w:bottom w:val="nil"/>
              <w:right w:val="nil"/>
            </w:tcBorders>
            <w:shd w:val="clear" w:color="auto" w:fill="auto"/>
            <w:noWrap/>
            <w:vAlign w:val="center"/>
            <w:hideMark/>
          </w:tcPr>
          <w:p w14:paraId="7B2A1D1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306</w:t>
            </w:r>
          </w:p>
        </w:tc>
        <w:tc>
          <w:tcPr>
            <w:tcW w:w="1051" w:type="dxa"/>
            <w:tcBorders>
              <w:top w:val="nil"/>
              <w:left w:val="nil"/>
              <w:bottom w:val="nil"/>
              <w:right w:val="nil"/>
            </w:tcBorders>
            <w:shd w:val="clear" w:color="auto" w:fill="auto"/>
            <w:noWrap/>
            <w:vAlign w:val="center"/>
            <w:hideMark/>
          </w:tcPr>
          <w:p w14:paraId="19AB3CA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869" w:type="dxa"/>
            <w:tcBorders>
              <w:top w:val="nil"/>
              <w:left w:val="nil"/>
              <w:bottom w:val="nil"/>
              <w:right w:val="nil"/>
            </w:tcBorders>
            <w:shd w:val="clear" w:color="auto" w:fill="auto"/>
            <w:noWrap/>
            <w:vAlign w:val="center"/>
            <w:hideMark/>
          </w:tcPr>
          <w:p w14:paraId="59435E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320</w:t>
            </w:r>
          </w:p>
        </w:tc>
        <w:tc>
          <w:tcPr>
            <w:tcW w:w="743" w:type="dxa"/>
            <w:tcBorders>
              <w:top w:val="nil"/>
              <w:left w:val="nil"/>
              <w:bottom w:val="nil"/>
              <w:right w:val="nil"/>
            </w:tcBorders>
            <w:shd w:val="clear" w:color="auto" w:fill="auto"/>
            <w:noWrap/>
            <w:vAlign w:val="center"/>
            <w:hideMark/>
          </w:tcPr>
          <w:p w14:paraId="0883162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367</w:t>
            </w:r>
          </w:p>
        </w:tc>
        <w:tc>
          <w:tcPr>
            <w:tcW w:w="1011" w:type="dxa"/>
            <w:tcBorders>
              <w:top w:val="nil"/>
              <w:left w:val="nil"/>
              <w:bottom w:val="nil"/>
              <w:right w:val="nil"/>
            </w:tcBorders>
            <w:shd w:val="clear" w:color="auto" w:fill="auto"/>
            <w:noWrap/>
            <w:vAlign w:val="center"/>
            <w:hideMark/>
          </w:tcPr>
          <w:p w14:paraId="27F51D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17D4B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1354" w:type="dxa"/>
            <w:tcBorders>
              <w:top w:val="nil"/>
              <w:left w:val="nil"/>
              <w:bottom w:val="nil"/>
              <w:right w:val="nil"/>
            </w:tcBorders>
            <w:shd w:val="clear" w:color="auto" w:fill="auto"/>
            <w:noWrap/>
            <w:vAlign w:val="center"/>
            <w:hideMark/>
          </w:tcPr>
          <w:p w14:paraId="3EB6FA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w:t>
            </w:r>
          </w:p>
        </w:tc>
        <w:tc>
          <w:tcPr>
            <w:tcW w:w="1001" w:type="dxa"/>
            <w:tcBorders>
              <w:top w:val="nil"/>
              <w:left w:val="nil"/>
              <w:bottom w:val="nil"/>
              <w:right w:val="nil"/>
            </w:tcBorders>
            <w:shd w:val="clear" w:color="auto" w:fill="auto"/>
            <w:noWrap/>
            <w:vAlign w:val="center"/>
            <w:hideMark/>
          </w:tcPr>
          <w:p w14:paraId="0CA50F7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79%</w:t>
            </w:r>
          </w:p>
        </w:tc>
        <w:tc>
          <w:tcPr>
            <w:tcW w:w="992" w:type="dxa"/>
            <w:tcBorders>
              <w:top w:val="nil"/>
              <w:left w:val="nil"/>
              <w:bottom w:val="nil"/>
              <w:right w:val="nil"/>
            </w:tcBorders>
            <w:shd w:val="clear" w:color="000000" w:fill="F9FAFE"/>
            <w:noWrap/>
            <w:vAlign w:val="center"/>
            <w:hideMark/>
          </w:tcPr>
          <w:p w14:paraId="334DFAC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123%</w:t>
            </w:r>
          </w:p>
        </w:tc>
      </w:tr>
      <w:tr w:rsidR="0028350E" w:rsidRPr="007364B1" w14:paraId="797745B3" w14:textId="77777777" w:rsidTr="00AA33F9">
        <w:trPr>
          <w:trHeight w:val="360"/>
        </w:trPr>
        <w:tc>
          <w:tcPr>
            <w:tcW w:w="1985" w:type="dxa"/>
            <w:tcBorders>
              <w:top w:val="nil"/>
              <w:left w:val="nil"/>
              <w:bottom w:val="nil"/>
              <w:right w:val="nil"/>
            </w:tcBorders>
            <w:shd w:val="clear" w:color="auto" w:fill="auto"/>
            <w:noWrap/>
            <w:vAlign w:val="bottom"/>
            <w:hideMark/>
          </w:tcPr>
          <w:p w14:paraId="2E8F73E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505E46D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1,736</w:t>
            </w:r>
          </w:p>
        </w:tc>
        <w:tc>
          <w:tcPr>
            <w:tcW w:w="1026" w:type="dxa"/>
            <w:tcBorders>
              <w:top w:val="nil"/>
              <w:left w:val="nil"/>
              <w:bottom w:val="nil"/>
              <w:right w:val="nil"/>
            </w:tcBorders>
            <w:shd w:val="clear" w:color="auto" w:fill="auto"/>
            <w:noWrap/>
            <w:vAlign w:val="center"/>
            <w:hideMark/>
          </w:tcPr>
          <w:p w14:paraId="4BD0DC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3,000</w:t>
            </w:r>
          </w:p>
        </w:tc>
        <w:tc>
          <w:tcPr>
            <w:tcW w:w="851" w:type="dxa"/>
            <w:tcBorders>
              <w:top w:val="nil"/>
              <w:left w:val="nil"/>
              <w:bottom w:val="nil"/>
              <w:right w:val="nil"/>
            </w:tcBorders>
            <w:shd w:val="clear" w:color="000000" w:fill="F98E90"/>
            <w:noWrap/>
            <w:vAlign w:val="center"/>
            <w:hideMark/>
          </w:tcPr>
          <w:p w14:paraId="269BB9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+73%</w:t>
            </w:r>
          </w:p>
        </w:tc>
        <w:tc>
          <w:tcPr>
            <w:tcW w:w="992" w:type="dxa"/>
            <w:tcBorders>
              <w:top w:val="nil"/>
              <w:left w:val="nil"/>
              <w:bottom w:val="nil"/>
              <w:right w:val="nil"/>
            </w:tcBorders>
            <w:shd w:val="clear" w:color="auto" w:fill="auto"/>
            <w:noWrap/>
            <w:vAlign w:val="center"/>
            <w:hideMark/>
          </w:tcPr>
          <w:p w14:paraId="3F23DB4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4,747</w:t>
            </w:r>
          </w:p>
        </w:tc>
        <w:tc>
          <w:tcPr>
            <w:tcW w:w="850" w:type="dxa"/>
            <w:tcBorders>
              <w:top w:val="nil"/>
              <w:left w:val="nil"/>
              <w:bottom w:val="nil"/>
              <w:right w:val="nil"/>
            </w:tcBorders>
            <w:shd w:val="clear" w:color="auto" w:fill="auto"/>
            <w:noWrap/>
            <w:vAlign w:val="center"/>
            <w:hideMark/>
          </w:tcPr>
          <w:p w14:paraId="5DA074E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321</w:t>
            </w:r>
          </w:p>
        </w:tc>
        <w:tc>
          <w:tcPr>
            <w:tcW w:w="1051" w:type="dxa"/>
            <w:tcBorders>
              <w:top w:val="nil"/>
              <w:left w:val="nil"/>
              <w:bottom w:val="nil"/>
              <w:right w:val="nil"/>
            </w:tcBorders>
            <w:shd w:val="clear" w:color="auto" w:fill="auto"/>
            <w:noWrap/>
            <w:vAlign w:val="center"/>
            <w:hideMark/>
          </w:tcPr>
          <w:p w14:paraId="6FB2C0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869" w:type="dxa"/>
            <w:tcBorders>
              <w:top w:val="nil"/>
              <w:left w:val="nil"/>
              <w:bottom w:val="nil"/>
              <w:right w:val="nil"/>
            </w:tcBorders>
            <w:shd w:val="clear" w:color="auto" w:fill="auto"/>
            <w:noWrap/>
            <w:vAlign w:val="center"/>
            <w:hideMark/>
          </w:tcPr>
          <w:p w14:paraId="378FD9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339</w:t>
            </w:r>
          </w:p>
        </w:tc>
        <w:tc>
          <w:tcPr>
            <w:tcW w:w="743" w:type="dxa"/>
            <w:tcBorders>
              <w:top w:val="nil"/>
              <w:left w:val="nil"/>
              <w:bottom w:val="nil"/>
              <w:right w:val="nil"/>
            </w:tcBorders>
            <w:shd w:val="clear" w:color="auto" w:fill="auto"/>
            <w:noWrap/>
            <w:vAlign w:val="center"/>
            <w:hideMark/>
          </w:tcPr>
          <w:p w14:paraId="24A6251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475</w:t>
            </w:r>
          </w:p>
        </w:tc>
        <w:tc>
          <w:tcPr>
            <w:tcW w:w="1011" w:type="dxa"/>
            <w:tcBorders>
              <w:top w:val="nil"/>
              <w:left w:val="nil"/>
              <w:bottom w:val="nil"/>
              <w:right w:val="nil"/>
            </w:tcBorders>
            <w:shd w:val="clear" w:color="auto" w:fill="auto"/>
            <w:noWrap/>
            <w:vAlign w:val="center"/>
            <w:hideMark/>
          </w:tcPr>
          <w:p w14:paraId="14E9BE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63CD6A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180</w:t>
            </w:r>
          </w:p>
        </w:tc>
        <w:tc>
          <w:tcPr>
            <w:tcW w:w="1354" w:type="dxa"/>
            <w:tcBorders>
              <w:top w:val="nil"/>
              <w:left w:val="nil"/>
              <w:bottom w:val="nil"/>
              <w:right w:val="nil"/>
            </w:tcBorders>
            <w:shd w:val="clear" w:color="auto" w:fill="auto"/>
            <w:noWrap/>
            <w:vAlign w:val="center"/>
            <w:hideMark/>
          </w:tcPr>
          <w:p w14:paraId="47030B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196</w:t>
            </w:r>
          </w:p>
        </w:tc>
        <w:tc>
          <w:tcPr>
            <w:tcW w:w="1001" w:type="dxa"/>
            <w:tcBorders>
              <w:top w:val="nil"/>
              <w:left w:val="nil"/>
              <w:bottom w:val="nil"/>
              <w:right w:val="nil"/>
            </w:tcBorders>
            <w:shd w:val="clear" w:color="auto" w:fill="auto"/>
            <w:noWrap/>
            <w:vAlign w:val="center"/>
            <w:hideMark/>
          </w:tcPr>
          <w:p w14:paraId="5AD4510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w:t>
            </w:r>
          </w:p>
        </w:tc>
        <w:tc>
          <w:tcPr>
            <w:tcW w:w="992" w:type="dxa"/>
            <w:tcBorders>
              <w:top w:val="nil"/>
              <w:left w:val="nil"/>
              <w:bottom w:val="nil"/>
              <w:right w:val="nil"/>
            </w:tcBorders>
            <w:shd w:val="clear" w:color="000000" w:fill="FBB6B8"/>
            <w:noWrap/>
            <w:vAlign w:val="center"/>
            <w:hideMark/>
          </w:tcPr>
          <w:p w14:paraId="1E352F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193%</w:t>
            </w:r>
          </w:p>
        </w:tc>
      </w:tr>
      <w:tr w:rsidR="0028350E" w:rsidRPr="007364B1" w14:paraId="3A879C22" w14:textId="77777777" w:rsidTr="00AA33F9">
        <w:trPr>
          <w:trHeight w:val="360"/>
        </w:trPr>
        <w:tc>
          <w:tcPr>
            <w:tcW w:w="1985" w:type="dxa"/>
            <w:tcBorders>
              <w:top w:val="nil"/>
              <w:left w:val="nil"/>
              <w:bottom w:val="nil"/>
              <w:right w:val="nil"/>
            </w:tcBorders>
            <w:shd w:val="clear" w:color="auto" w:fill="auto"/>
            <w:noWrap/>
            <w:vAlign w:val="bottom"/>
            <w:hideMark/>
          </w:tcPr>
          <w:p w14:paraId="6FB9E4C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49899C5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14,241</w:t>
            </w:r>
          </w:p>
        </w:tc>
        <w:tc>
          <w:tcPr>
            <w:tcW w:w="1026" w:type="dxa"/>
            <w:tcBorders>
              <w:top w:val="nil"/>
              <w:left w:val="nil"/>
              <w:bottom w:val="nil"/>
              <w:right w:val="nil"/>
            </w:tcBorders>
            <w:shd w:val="clear" w:color="auto" w:fill="auto"/>
            <w:noWrap/>
            <w:vAlign w:val="center"/>
            <w:hideMark/>
          </w:tcPr>
          <w:p w14:paraId="3F3FF3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15,781</w:t>
            </w:r>
          </w:p>
        </w:tc>
        <w:tc>
          <w:tcPr>
            <w:tcW w:w="851" w:type="dxa"/>
            <w:tcBorders>
              <w:top w:val="nil"/>
              <w:left w:val="nil"/>
              <w:bottom w:val="nil"/>
              <w:right w:val="nil"/>
            </w:tcBorders>
            <w:shd w:val="clear" w:color="000000" w:fill="FBB5B8"/>
            <w:noWrap/>
            <w:vAlign w:val="center"/>
            <w:hideMark/>
          </w:tcPr>
          <w:p w14:paraId="1363ADD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992" w:type="dxa"/>
            <w:tcBorders>
              <w:top w:val="nil"/>
              <w:left w:val="nil"/>
              <w:bottom w:val="nil"/>
              <w:right w:val="nil"/>
            </w:tcBorders>
            <w:shd w:val="clear" w:color="auto" w:fill="auto"/>
            <w:noWrap/>
            <w:vAlign w:val="center"/>
            <w:hideMark/>
          </w:tcPr>
          <w:p w14:paraId="72104D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18,225</w:t>
            </w:r>
          </w:p>
        </w:tc>
        <w:tc>
          <w:tcPr>
            <w:tcW w:w="850" w:type="dxa"/>
            <w:tcBorders>
              <w:top w:val="nil"/>
              <w:left w:val="nil"/>
              <w:bottom w:val="nil"/>
              <w:right w:val="nil"/>
            </w:tcBorders>
            <w:shd w:val="clear" w:color="auto" w:fill="auto"/>
            <w:noWrap/>
            <w:vAlign w:val="center"/>
            <w:hideMark/>
          </w:tcPr>
          <w:p w14:paraId="768366E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2,363</w:t>
            </w:r>
          </w:p>
        </w:tc>
        <w:tc>
          <w:tcPr>
            <w:tcW w:w="1051" w:type="dxa"/>
            <w:tcBorders>
              <w:top w:val="nil"/>
              <w:left w:val="nil"/>
              <w:bottom w:val="nil"/>
              <w:right w:val="nil"/>
            </w:tcBorders>
            <w:shd w:val="clear" w:color="auto" w:fill="auto"/>
            <w:noWrap/>
            <w:vAlign w:val="center"/>
            <w:hideMark/>
          </w:tcPr>
          <w:p w14:paraId="2A0FE0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w:t>
            </w:r>
          </w:p>
        </w:tc>
        <w:tc>
          <w:tcPr>
            <w:tcW w:w="869" w:type="dxa"/>
            <w:tcBorders>
              <w:top w:val="nil"/>
              <w:left w:val="nil"/>
              <w:bottom w:val="nil"/>
              <w:right w:val="nil"/>
            </w:tcBorders>
            <w:shd w:val="clear" w:color="auto" w:fill="auto"/>
            <w:noWrap/>
            <w:vAlign w:val="center"/>
            <w:hideMark/>
          </w:tcPr>
          <w:p w14:paraId="3E1B99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2,500</w:t>
            </w:r>
          </w:p>
        </w:tc>
        <w:tc>
          <w:tcPr>
            <w:tcW w:w="743" w:type="dxa"/>
            <w:tcBorders>
              <w:top w:val="nil"/>
              <w:left w:val="nil"/>
              <w:bottom w:val="nil"/>
              <w:right w:val="nil"/>
            </w:tcBorders>
            <w:shd w:val="clear" w:color="auto" w:fill="auto"/>
            <w:noWrap/>
            <w:vAlign w:val="center"/>
            <w:hideMark/>
          </w:tcPr>
          <w:p w14:paraId="43C957F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2,578</w:t>
            </w:r>
          </w:p>
        </w:tc>
        <w:tc>
          <w:tcPr>
            <w:tcW w:w="1011" w:type="dxa"/>
            <w:tcBorders>
              <w:top w:val="nil"/>
              <w:left w:val="nil"/>
              <w:bottom w:val="nil"/>
              <w:right w:val="nil"/>
            </w:tcBorders>
            <w:shd w:val="clear" w:color="auto" w:fill="auto"/>
            <w:noWrap/>
            <w:vAlign w:val="center"/>
            <w:hideMark/>
          </w:tcPr>
          <w:p w14:paraId="1E4147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956260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306</w:t>
            </w:r>
          </w:p>
        </w:tc>
        <w:tc>
          <w:tcPr>
            <w:tcW w:w="1354" w:type="dxa"/>
            <w:tcBorders>
              <w:top w:val="nil"/>
              <w:left w:val="nil"/>
              <w:bottom w:val="nil"/>
              <w:right w:val="nil"/>
            </w:tcBorders>
            <w:shd w:val="clear" w:color="auto" w:fill="auto"/>
            <w:noWrap/>
            <w:vAlign w:val="center"/>
            <w:hideMark/>
          </w:tcPr>
          <w:p w14:paraId="08FDCF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466</w:t>
            </w:r>
          </w:p>
        </w:tc>
        <w:tc>
          <w:tcPr>
            <w:tcW w:w="1001" w:type="dxa"/>
            <w:tcBorders>
              <w:top w:val="nil"/>
              <w:left w:val="nil"/>
              <w:bottom w:val="nil"/>
              <w:right w:val="nil"/>
            </w:tcBorders>
            <w:shd w:val="clear" w:color="auto" w:fill="auto"/>
            <w:noWrap/>
            <w:vAlign w:val="center"/>
            <w:hideMark/>
          </w:tcPr>
          <w:p w14:paraId="0C1FB5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w:t>
            </w:r>
          </w:p>
        </w:tc>
        <w:tc>
          <w:tcPr>
            <w:tcW w:w="992" w:type="dxa"/>
            <w:tcBorders>
              <w:top w:val="nil"/>
              <w:left w:val="nil"/>
              <w:bottom w:val="nil"/>
              <w:right w:val="nil"/>
            </w:tcBorders>
            <w:shd w:val="clear" w:color="000000" w:fill="EFF3FA"/>
            <w:noWrap/>
            <w:vAlign w:val="center"/>
            <w:hideMark/>
          </w:tcPr>
          <w:p w14:paraId="3789BF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115%</w:t>
            </w:r>
          </w:p>
        </w:tc>
      </w:tr>
      <w:tr w:rsidR="0028350E" w:rsidRPr="007364B1" w14:paraId="10A56216" w14:textId="77777777" w:rsidTr="00AA33F9">
        <w:trPr>
          <w:trHeight w:val="360"/>
        </w:trPr>
        <w:tc>
          <w:tcPr>
            <w:tcW w:w="1985" w:type="dxa"/>
            <w:tcBorders>
              <w:top w:val="nil"/>
              <w:left w:val="nil"/>
              <w:bottom w:val="nil"/>
              <w:right w:val="nil"/>
            </w:tcBorders>
            <w:shd w:val="clear" w:color="auto" w:fill="auto"/>
            <w:noWrap/>
            <w:vAlign w:val="bottom"/>
            <w:hideMark/>
          </w:tcPr>
          <w:p w14:paraId="7F7D987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1050194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w:t>
            </w:r>
          </w:p>
        </w:tc>
        <w:tc>
          <w:tcPr>
            <w:tcW w:w="1026" w:type="dxa"/>
            <w:tcBorders>
              <w:top w:val="nil"/>
              <w:left w:val="nil"/>
              <w:bottom w:val="nil"/>
              <w:right w:val="nil"/>
            </w:tcBorders>
            <w:shd w:val="clear" w:color="auto" w:fill="auto"/>
            <w:noWrap/>
            <w:vAlign w:val="center"/>
            <w:hideMark/>
          </w:tcPr>
          <w:p w14:paraId="6BE77E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851" w:type="dxa"/>
            <w:tcBorders>
              <w:top w:val="nil"/>
              <w:left w:val="nil"/>
              <w:bottom w:val="nil"/>
              <w:right w:val="nil"/>
            </w:tcBorders>
            <w:shd w:val="clear" w:color="000000" w:fill="FBBABC"/>
            <w:noWrap/>
            <w:vAlign w:val="center"/>
            <w:hideMark/>
          </w:tcPr>
          <w:p w14:paraId="2AF88A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92" w:type="dxa"/>
            <w:tcBorders>
              <w:top w:val="nil"/>
              <w:left w:val="nil"/>
              <w:bottom w:val="nil"/>
              <w:right w:val="nil"/>
            </w:tcBorders>
            <w:shd w:val="clear" w:color="auto" w:fill="auto"/>
            <w:noWrap/>
            <w:vAlign w:val="center"/>
            <w:hideMark/>
          </w:tcPr>
          <w:p w14:paraId="1BF50F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w:t>
            </w:r>
          </w:p>
        </w:tc>
        <w:tc>
          <w:tcPr>
            <w:tcW w:w="850" w:type="dxa"/>
            <w:tcBorders>
              <w:top w:val="nil"/>
              <w:left w:val="nil"/>
              <w:bottom w:val="nil"/>
              <w:right w:val="nil"/>
            </w:tcBorders>
            <w:shd w:val="clear" w:color="auto" w:fill="auto"/>
            <w:noWrap/>
            <w:vAlign w:val="center"/>
            <w:hideMark/>
          </w:tcPr>
          <w:p w14:paraId="2363E7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1051" w:type="dxa"/>
            <w:tcBorders>
              <w:top w:val="nil"/>
              <w:left w:val="nil"/>
              <w:bottom w:val="nil"/>
              <w:right w:val="nil"/>
            </w:tcBorders>
            <w:shd w:val="clear" w:color="auto" w:fill="auto"/>
            <w:noWrap/>
            <w:vAlign w:val="center"/>
            <w:hideMark/>
          </w:tcPr>
          <w:p w14:paraId="4AB9C1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534D167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743" w:type="dxa"/>
            <w:tcBorders>
              <w:top w:val="nil"/>
              <w:left w:val="nil"/>
              <w:bottom w:val="nil"/>
              <w:right w:val="nil"/>
            </w:tcBorders>
            <w:shd w:val="clear" w:color="auto" w:fill="auto"/>
            <w:noWrap/>
            <w:vAlign w:val="center"/>
            <w:hideMark/>
          </w:tcPr>
          <w:p w14:paraId="4F648FA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1011" w:type="dxa"/>
            <w:tcBorders>
              <w:top w:val="nil"/>
              <w:left w:val="nil"/>
              <w:bottom w:val="nil"/>
              <w:right w:val="nil"/>
            </w:tcBorders>
            <w:shd w:val="clear" w:color="auto" w:fill="auto"/>
            <w:noWrap/>
            <w:vAlign w:val="center"/>
            <w:hideMark/>
          </w:tcPr>
          <w:p w14:paraId="5FE7D6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C0E8F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1354" w:type="dxa"/>
            <w:tcBorders>
              <w:top w:val="nil"/>
              <w:left w:val="nil"/>
              <w:bottom w:val="nil"/>
              <w:right w:val="nil"/>
            </w:tcBorders>
            <w:shd w:val="clear" w:color="auto" w:fill="auto"/>
            <w:noWrap/>
            <w:vAlign w:val="center"/>
            <w:hideMark/>
          </w:tcPr>
          <w:p w14:paraId="359F121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1001" w:type="dxa"/>
            <w:tcBorders>
              <w:top w:val="nil"/>
              <w:left w:val="nil"/>
              <w:bottom w:val="nil"/>
              <w:right w:val="nil"/>
            </w:tcBorders>
            <w:shd w:val="clear" w:color="auto" w:fill="auto"/>
            <w:noWrap/>
            <w:vAlign w:val="center"/>
            <w:hideMark/>
          </w:tcPr>
          <w:p w14:paraId="3286E43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71%</w:t>
            </w:r>
          </w:p>
        </w:tc>
        <w:tc>
          <w:tcPr>
            <w:tcW w:w="992" w:type="dxa"/>
            <w:tcBorders>
              <w:top w:val="nil"/>
              <w:left w:val="nil"/>
              <w:bottom w:val="nil"/>
              <w:right w:val="nil"/>
            </w:tcBorders>
            <w:shd w:val="clear" w:color="000000" w:fill="E0E8F5"/>
            <w:noWrap/>
            <w:vAlign w:val="center"/>
            <w:hideMark/>
          </w:tcPr>
          <w:p w14:paraId="7BEEBB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r>
      <w:tr w:rsidR="0028350E" w:rsidRPr="007364B1" w14:paraId="7904E287" w14:textId="77777777" w:rsidTr="00AA33F9">
        <w:trPr>
          <w:trHeight w:val="360"/>
        </w:trPr>
        <w:tc>
          <w:tcPr>
            <w:tcW w:w="1985" w:type="dxa"/>
            <w:tcBorders>
              <w:top w:val="nil"/>
              <w:left w:val="nil"/>
              <w:bottom w:val="nil"/>
              <w:right w:val="nil"/>
            </w:tcBorders>
            <w:shd w:val="clear" w:color="auto" w:fill="auto"/>
            <w:noWrap/>
            <w:vAlign w:val="bottom"/>
            <w:hideMark/>
          </w:tcPr>
          <w:p w14:paraId="33B0956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186129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1026" w:type="dxa"/>
            <w:tcBorders>
              <w:top w:val="nil"/>
              <w:left w:val="nil"/>
              <w:bottom w:val="nil"/>
              <w:right w:val="nil"/>
            </w:tcBorders>
            <w:shd w:val="clear" w:color="auto" w:fill="auto"/>
            <w:noWrap/>
            <w:vAlign w:val="center"/>
            <w:hideMark/>
          </w:tcPr>
          <w:p w14:paraId="62784D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3C550F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265373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6A8C0C2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51" w:type="dxa"/>
            <w:tcBorders>
              <w:top w:val="nil"/>
              <w:left w:val="nil"/>
              <w:bottom w:val="nil"/>
              <w:right w:val="nil"/>
            </w:tcBorders>
            <w:shd w:val="clear" w:color="auto" w:fill="auto"/>
            <w:noWrap/>
            <w:vAlign w:val="center"/>
            <w:hideMark/>
          </w:tcPr>
          <w:p w14:paraId="19BAFCA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869" w:type="dxa"/>
            <w:tcBorders>
              <w:top w:val="nil"/>
              <w:left w:val="nil"/>
              <w:bottom w:val="nil"/>
              <w:right w:val="nil"/>
            </w:tcBorders>
            <w:shd w:val="clear" w:color="auto" w:fill="auto"/>
            <w:noWrap/>
            <w:vAlign w:val="center"/>
            <w:hideMark/>
          </w:tcPr>
          <w:p w14:paraId="357A526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743" w:type="dxa"/>
            <w:tcBorders>
              <w:top w:val="nil"/>
              <w:left w:val="nil"/>
              <w:bottom w:val="nil"/>
              <w:right w:val="nil"/>
            </w:tcBorders>
            <w:shd w:val="clear" w:color="auto" w:fill="auto"/>
            <w:noWrap/>
            <w:vAlign w:val="center"/>
            <w:hideMark/>
          </w:tcPr>
          <w:p w14:paraId="30B80F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204362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42A5EB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7880C28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7EB4E2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7C663B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r>
      <w:tr w:rsidR="0028350E" w:rsidRPr="007364B1" w14:paraId="253F683E" w14:textId="77777777" w:rsidTr="00AA33F9">
        <w:trPr>
          <w:trHeight w:val="360"/>
        </w:trPr>
        <w:tc>
          <w:tcPr>
            <w:tcW w:w="1985" w:type="dxa"/>
            <w:tcBorders>
              <w:top w:val="nil"/>
              <w:left w:val="nil"/>
              <w:bottom w:val="nil"/>
              <w:right w:val="nil"/>
            </w:tcBorders>
            <w:shd w:val="clear" w:color="auto" w:fill="auto"/>
            <w:noWrap/>
            <w:vAlign w:val="bottom"/>
            <w:hideMark/>
          </w:tcPr>
          <w:p w14:paraId="4B73573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22E4E0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w:t>
            </w:r>
          </w:p>
        </w:tc>
        <w:tc>
          <w:tcPr>
            <w:tcW w:w="1026" w:type="dxa"/>
            <w:tcBorders>
              <w:top w:val="nil"/>
              <w:left w:val="nil"/>
              <w:bottom w:val="nil"/>
              <w:right w:val="nil"/>
            </w:tcBorders>
            <w:shd w:val="clear" w:color="auto" w:fill="auto"/>
            <w:noWrap/>
            <w:vAlign w:val="center"/>
            <w:hideMark/>
          </w:tcPr>
          <w:p w14:paraId="417C9F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250</w:t>
            </w:r>
          </w:p>
        </w:tc>
        <w:tc>
          <w:tcPr>
            <w:tcW w:w="851" w:type="dxa"/>
            <w:tcBorders>
              <w:top w:val="nil"/>
              <w:left w:val="nil"/>
              <w:bottom w:val="nil"/>
              <w:right w:val="nil"/>
            </w:tcBorders>
            <w:shd w:val="clear" w:color="000000" w:fill="F8696B"/>
            <w:noWrap/>
            <w:vAlign w:val="center"/>
            <w:hideMark/>
          </w:tcPr>
          <w:p w14:paraId="64FAACF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+129%</w:t>
            </w:r>
          </w:p>
        </w:tc>
        <w:tc>
          <w:tcPr>
            <w:tcW w:w="992" w:type="dxa"/>
            <w:tcBorders>
              <w:top w:val="nil"/>
              <w:left w:val="nil"/>
              <w:bottom w:val="nil"/>
              <w:right w:val="nil"/>
            </w:tcBorders>
            <w:shd w:val="clear" w:color="auto" w:fill="auto"/>
            <w:noWrap/>
            <w:vAlign w:val="center"/>
            <w:hideMark/>
          </w:tcPr>
          <w:p w14:paraId="7FCB6FE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390</w:t>
            </w:r>
          </w:p>
        </w:tc>
        <w:tc>
          <w:tcPr>
            <w:tcW w:w="850" w:type="dxa"/>
            <w:tcBorders>
              <w:top w:val="nil"/>
              <w:left w:val="nil"/>
              <w:bottom w:val="nil"/>
              <w:right w:val="nil"/>
            </w:tcBorders>
            <w:shd w:val="clear" w:color="auto" w:fill="auto"/>
            <w:noWrap/>
            <w:vAlign w:val="center"/>
            <w:hideMark/>
          </w:tcPr>
          <w:p w14:paraId="3A91C7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w:t>
            </w:r>
          </w:p>
        </w:tc>
        <w:tc>
          <w:tcPr>
            <w:tcW w:w="1051" w:type="dxa"/>
            <w:tcBorders>
              <w:top w:val="nil"/>
              <w:left w:val="nil"/>
              <w:bottom w:val="nil"/>
              <w:right w:val="nil"/>
            </w:tcBorders>
            <w:shd w:val="clear" w:color="auto" w:fill="auto"/>
            <w:noWrap/>
            <w:vAlign w:val="center"/>
            <w:hideMark/>
          </w:tcPr>
          <w:p w14:paraId="0596526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869" w:type="dxa"/>
            <w:tcBorders>
              <w:top w:val="nil"/>
              <w:left w:val="nil"/>
              <w:bottom w:val="nil"/>
              <w:right w:val="nil"/>
            </w:tcBorders>
            <w:shd w:val="clear" w:color="auto" w:fill="auto"/>
            <w:noWrap/>
            <w:vAlign w:val="center"/>
            <w:hideMark/>
          </w:tcPr>
          <w:p w14:paraId="72E3CC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w:t>
            </w:r>
          </w:p>
        </w:tc>
        <w:tc>
          <w:tcPr>
            <w:tcW w:w="743" w:type="dxa"/>
            <w:tcBorders>
              <w:top w:val="nil"/>
              <w:left w:val="nil"/>
              <w:bottom w:val="nil"/>
              <w:right w:val="nil"/>
            </w:tcBorders>
            <w:shd w:val="clear" w:color="auto" w:fill="auto"/>
            <w:noWrap/>
            <w:vAlign w:val="center"/>
            <w:hideMark/>
          </w:tcPr>
          <w:p w14:paraId="282CF69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1011" w:type="dxa"/>
            <w:tcBorders>
              <w:top w:val="nil"/>
              <w:left w:val="nil"/>
              <w:bottom w:val="nil"/>
              <w:right w:val="nil"/>
            </w:tcBorders>
            <w:shd w:val="clear" w:color="auto" w:fill="auto"/>
            <w:noWrap/>
            <w:vAlign w:val="center"/>
            <w:hideMark/>
          </w:tcPr>
          <w:p w14:paraId="5FFD56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4FA9C8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1354" w:type="dxa"/>
            <w:tcBorders>
              <w:top w:val="nil"/>
              <w:left w:val="nil"/>
              <w:bottom w:val="nil"/>
              <w:right w:val="nil"/>
            </w:tcBorders>
            <w:shd w:val="clear" w:color="auto" w:fill="auto"/>
            <w:noWrap/>
            <w:vAlign w:val="center"/>
            <w:hideMark/>
          </w:tcPr>
          <w:p w14:paraId="6D54AA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1001" w:type="dxa"/>
            <w:tcBorders>
              <w:top w:val="nil"/>
              <w:left w:val="nil"/>
              <w:bottom w:val="nil"/>
              <w:right w:val="nil"/>
            </w:tcBorders>
            <w:shd w:val="clear" w:color="auto" w:fill="auto"/>
            <w:noWrap/>
            <w:vAlign w:val="center"/>
            <w:hideMark/>
          </w:tcPr>
          <w:p w14:paraId="641E1C8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w:t>
            </w:r>
          </w:p>
        </w:tc>
        <w:tc>
          <w:tcPr>
            <w:tcW w:w="992" w:type="dxa"/>
            <w:tcBorders>
              <w:top w:val="nil"/>
              <w:left w:val="nil"/>
              <w:bottom w:val="nil"/>
              <w:right w:val="nil"/>
            </w:tcBorders>
            <w:shd w:val="clear" w:color="000000" w:fill="FAA1A4"/>
            <w:noWrap/>
            <w:vAlign w:val="center"/>
            <w:hideMark/>
          </w:tcPr>
          <w:p w14:paraId="72398F6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213%</w:t>
            </w:r>
          </w:p>
        </w:tc>
      </w:tr>
      <w:tr w:rsidR="0028350E" w:rsidRPr="007364B1" w14:paraId="06483D3E" w14:textId="77777777" w:rsidTr="00AA33F9">
        <w:trPr>
          <w:trHeight w:val="360"/>
        </w:trPr>
        <w:tc>
          <w:tcPr>
            <w:tcW w:w="1985" w:type="dxa"/>
            <w:tcBorders>
              <w:top w:val="nil"/>
              <w:left w:val="nil"/>
              <w:bottom w:val="nil"/>
              <w:right w:val="nil"/>
            </w:tcBorders>
            <w:shd w:val="clear" w:color="auto" w:fill="auto"/>
            <w:noWrap/>
            <w:vAlign w:val="bottom"/>
            <w:hideMark/>
          </w:tcPr>
          <w:p w14:paraId="0C8ED5E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5EB0244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940</w:t>
            </w:r>
          </w:p>
        </w:tc>
        <w:tc>
          <w:tcPr>
            <w:tcW w:w="1026" w:type="dxa"/>
            <w:tcBorders>
              <w:top w:val="nil"/>
              <w:left w:val="nil"/>
              <w:bottom w:val="nil"/>
              <w:right w:val="nil"/>
            </w:tcBorders>
            <w:shd w:val="clear" w:color="auto" w:fill="auto"/>
            <w:noWrap/>
            <w:vAlign w:val="center"/>
            <w:hideMark/>
          </w:tcPr>
          <w:p w14:paraId="266BB3B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1,283</w:t>
            </w:r>
          </w:p>
        </w:tc>
        <w:tc>
          <w:tcPr>
            <w:tcW w:w="851" w:type="dxa"/>
            <w:tcBorders>
              <w:top w:val="nil"/>
              <w:left w:val="nil"/>
              <w:bottom w:val="nil"/>
              <w:right w:val="nil"/>
            </w:tcBorders>
            <w:shd w:val="clear" w:color="000000" w:fill="FAA5A7"/>
            <w:noWrap/>
            <w:vAlign w:val="center"/>
            <w:hideMark/>
          </w:tcPr>
          <w:p w14:paraId="0CD984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w:t>
            </w:r>
          </w:p>
        </w:tc>
        <w:tc>
          <w:tcPr>
            <w:tcW w:w="992" w:type="dxa"/>
            <w:tcBorders>
              <w:top w:val="nil"/>
              <w:left w:val="nil"/>
              <w:bottom w:val="nil"/>
              <w:right w:val="nil"/>
            </w:tcBorders>
            <w:shd w:val="clear" w:color="auto" w:fill="auto"/>
            <w:noWrap/>
            <w:vAlign w:val="center"/>
            <w:hideMark/>
          </w:tcPr>
          <w:p w14:paraId="0FC04EE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1,711</w:t>
            </w:r>
          </w:p>
        </w:tc>
        <w:tc>
          <w:tcPr>
            <w:tcW w:w="850" w:type="dxa"/>
            <w:tcBorders>
              <w:top w:val="nil"/>
              <w:left w:val="nil"/>
              <w:bottom w:val="nil"/>
              <w:right w:val="nil"/>
            </w:tcBorders>
            <w:shd w:val="clear" w:color="auto" w:fill="auto"/>
            <w:noWrap/>
            <w:vAlign w:val="center"/>
            <w:hideMark/>
          </w:tcPr>
          <w:p w14:paraId="5FA0AB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163</w:t>
            </w:r>
          </w:p>
        </w:tc>
        <w:tc>
          <w:tcPr>
            <w:tcW w:w="1051" w:type="dxa"/>
            <w:tcBorders>
              <w:top w:val="nil"/>
              <w:left w:val="nil"/>
              <w:bottom w:val="nil"/>
              <w:right w:val="nil"/>
            </w:tcBorders>
            <w:shd w:val="clear" w:color="auto" w:fill="auto"/>
            <w:noWrap/>
            <w:vAlign w:val="center"/>
            <w:hideMark/>
          </w:tcPr>
          <w:p w14:paraId="31D37EF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w:t>
            </w:r>
          </w:p>
        </w:tc>
        <w:tc>
          <w:tcPr>
            <w:tcW w:w="869" w:type="dxa"/>
            <w:tcBorders>
              <w:top w:val="nil"/>
              <w:left w:val="nil"/>
              <w:bottom w:val="nil"/>
              <w:right w:val="nil"/>
            </w:tcBorders>
            <w:shd w:val="clear" w:color="auto" w:fill="auto"/>
            <w:noWrap/>
            <w:vAlign w:val="center"/>
            <w:hideMark/>
          </w:tcPr>
          <w:p w14:paraId="19BB9F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186</w:t>
            </w:r>
          </w:p>
        </w:tc>
        <w:tc>
          <w:tcPr>
            <w:tcW w:w="743" w:type="dxa"/>
            <w:tcBorders>
              <w:top w:val="nil"/>
              <w:left w:val="nil"/>
              <w:bottom w:val="nil"/>
              <w:right w:val="nil"/>
            </w:tcBorders>
            <w:shd w:val="clear" w:color="auto" w:fill="auto"/>
            <w:noWrap/>
            <w:vAlign w:val="center"/>
            <w:hideMark/>
          </w:tcPr>
          <w:p w14:paraId="4DD397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207</w:t>
            </w:r>
          </w:p>
        </w:tc>
        <w:tc>
          <w:tcPr>
            <w:tcW w:w="1011" w:type="dxa"/>
            <w:tcBorders>
              <w:top w:val="nil"/>
              <w:left w:val="nil"/>
              <w:bottom w:val="nil"/>
              <w:right w:val="nil"/>
            </w:tcBorders>
            <w:shd w:val="clear" w:color="auto" w:fill="auto"/>
            <w:noWrap/>
            <w:vAlign w:val="center"/>
            <w:hideMark/>
          </w:tcPr>
          <w:p w14:paraId="496A577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FAA362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1354" w:type="dxa"/>
            <w:tcBorders>
              <w:top w:val="nil"/>
              <w:left w:val="nil"/>
              <w:bottom w:val="nil"/>
              <w:right w:val="nil"/>
            </w:tcBorders>
            <w:shd w:val="clear" w:color="auto" w:fill="auto"/>
            <w:noWrap/>
            <w:vAlign w:val="center"/>
            <w:hideMark/>
          </w:tcPr>
          <w:p w14:paraId="0FEBC89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50</w:t>
            </w:r>
          </w:p>
        </w:tc>
        <w:tc>
          <w:tcPr>
            <w:tcW w:w="1001" w:type="dxa"/>
            <w:tcBorders>
              <w:top w:val="nil"/>
              <w:left w:val="nil"/>
              <w:bottom w:val="nil"/>
              <w:right w:val="nil"/>
            </w:tcBorders>
            <w:shd w:val="clear" w:color="auto" w:fill="auto"/>
            <w:noWrap/>
            <w:vAlign w:val="center"/>
            <w:hideMark/>
          </w:tcPr>
          <w:p w14:paraId="637BF8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130%</w:t>
            </w:r>
          </w:p>
        </w:tc>
        <w:tc>
          <w:tcPr>
            <w:tcW w:w="992" w:type="dxa"/>
            <w:tcBorders>
              <w:top w:val="nil"/>
              <w:left w:val="nil"/>
              <w:bottom w:val="nil"/>
              <w:right w:val="nil"/>
            </w:tcBorders>
            <w:shd w:val="clear" w:color="000000" w:fill="FCE7E9"/>
            <w:noWrap/>
            <w:vAlign w:val="center"/>
            <w:hideMark/>
          </w:tcPr>
          <w:p w14:paraId="25E9680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146%</w:t>
            </w:r>
          </w:p>
        </w:tc>
      </w:tr>
      <w:tr w:rsidR="0028350E" w:rsidRPr="007364B1" w14:paraId="5F363488" w14:textId="77777777" w:rsidTr="00AA33F9">
        <w:trPr>
          <w:trHeight w:val="360"/>
        </w:trPr>
        <w:tc>
          <w:tcPr>
            <w:tcW w:w="1985" w:type="dxa"/>
            <w:tcBorders>
              <w:top w:val="nil"/>
              <w:left w:val="nil"/>
              <w:bottom w:val="nil"/>
              <w:right w:val="nil"/>
            </w:tcBorders>
            <w:shd w:val="clear" w:color="auto" w:fill="auto"/>
            <w:noWrap/>
            <w:vAlign w:val="bottom"/>
            <w:hideMark/>
          </w:tcPr>
          <w:p w14:paraId="1C623A8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7F6D3A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647</w:t>
            </w:r>
          </w:p>
        </w:tc>
        <w:tc>
          <w:tcPr>
            <w:tcW w:w="1026" w:type="dxa"/>
            <w:tcBorders>
              <w:top w:val="nil"/>
              <w:left w:val="nil"/>
              <w:bottom w:val="nil"/>
              <w:right w:val="nil"/>
            </w:tcBorders>
            <w:shd w:val="clear" w:color="auto" w:fill="auto"/>
            <w:noWrap/>
            <w:vAlign w:val="center"/>
            <w:hideMark/>
          </w:tcPr>
          <w:p w14:paraId="1C7A215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795</w:t>
            </w:r>
          </w:p>
        </w:tc>
        <w:tc>
          <w:tcPr>
            <w:tcW w:w="851" w:type="dxa"/>
            <w:tcBorders>
              <w:top w:val="nil"/>
              <w:left w:val="nil"/>
              <w:bottom w:val="nil"/>
              <w:right w:val="nil"/>
            </w:tcBorders>
            <w:shd w:val="clear" w:color="000000" w:fill="FAAEB0"/>
            <w:noWrap/>
            <w:vAlign w:val="center"/>
            <w:hideMark/>
          </w:tcPr>
          <w:p w14:paraId="145DC3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w:t>
            </w:r>
          </w:p>
        </w:tc>
        <w:tc>
          <w:tcPr>
            <w:tcW w:w="992" w:type="dxa"/>
            <w:tcBorders>
              <w:top w:val="nil"/>
              <w:left w:val="nil"/>
              <w:bottom w:val="nil"/>
              <w:right w:val="nil"/>
            </w:tcBorders>
            <w:shd w:val="clear" w:color="auto" w:fill="auto"/>
            <w:noWrap/>
            <w:vAlign w:val="center"/>
            <w:hideMark/>
          </w:tcPr>
          <w:p w14:paraId="6C2878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1,037</w:t>
            </w:r>
          </w:p>
        </w:tc>
        <w:tc>
          <w:tcPr>
            <w:tcW w:w="850" w:type="dxa"/>
            <w:tcBorders>
              <w:top w:val="nil"/>
              <w:left w:val="nil"/>
              <w:bottom w:val="nil"/>
              <w:right w:val="nil"/>
            </w:tcBorders>
            <w:shd w:val="clear" w:color="auto" w:fill="auto"/>
            <w:noWrap/>
            <w:vAlign w:val="center"/>
            <w:hideMark/>
          </w:tcPr>
          <w:p w14:paraId="67AD1A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117</w:t>
            </w:r>
          </w:p>
        </w:tc>
        <w:tc>
          <w:tcPr>
            <w:tcW w:w="1051" w:type="dxa"/>
            <w:tcBorders>
              <w:top w:val="nil"/>
              <w:left w:val="nil"/>
              <w:bottom w:val="nil"/>
              <w:right w:val="nil"/>
            </w:tcBorders>
            <w:shd w:val="clear" w:color="auto" w:fill="auto"/>
            <w:noWrap/>
            <w:vAlign w:val="center"/>
            <w:hideMark/>
          </w:tcPr>
          <w:p w14:paraId="76D9600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w:t>
            </w:r>
          </w:p>
        </w:tc>
        <w:tc>
          <w:tcPr>
            <w:tcW w:w="869" w:type="dxa"/>
            <w:tcBorders>
              <w:top w:val="nil"/>
              <w:left w:val="nil"/>
              <w:bottom w:val="nil"/>
              <w:right w:val="nil"/>
            </w:tcBorders>
            <w:shd w:val="clear" w:color="auto" w:fill="auto"/>
            <w:noWrap/>
            <w:vAlign w:val="center"/>
            <w:hideMark/>
          </w:tcPr>
          <w:p w14:paraId="0C463BF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w:t>
            </w:r>
          </w:p>
        </w:tc>
        <w:tc>
          <w:tcPr>
            <w:tcW w:w="743" w:type="dxa"/>
            <w:tcBorders>
              <w:top w:val="nil"/>
              <w:left w:val="nil"/>
              <w:bottom w:val="nil"/>
              <w:right w:val="nil"/>
            </w:tcBorders>
            <w:shd w:val="clear" w:color="auto" w:fill="auto"/>
            <w:noWrap/>
            <w:vAlign w:val="center"/>
            <w:hideMark/>
          </w:tcPr>
          <w:p w14:paraId="7D76845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1011" w:type="dxa"/>
            <w:tcBorders>
              <w:top w:val="nil"/>
              <w:left w:val="nil"/>
              <w:bottom w:val="nil"/>
              <w:right w:val="nil"/>
            </w:tcBorders>
            <w:shd w:val="clear" w:color="auto" w:fill="auto"/>
            <w:noWrap/>
            <w:vAlign w:val="center"/>
            <w:hideMark/>
          </w:tcPr>
          <w:p w14:paraId="46C0A84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80439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1354" w:type="dxa"/>
            <w:tcBorders>
              <w:top w:val="nil"/>
              <w:left w:val="nil"/>
              <w:bottom w:val="nil"/>
              <w:right w:val="nil"/>
            </w:tcBorders>
            <w:shd w:val="clear" w:color="auto" w:fill="auto"/>
            <w:noWrap/>
            <w:vAlign w:val="center"/>
            <w:hideMark/>
          </w:tcPr>
          <w:p w14:paraId="052A6C6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w:t>
            </w:r>
          </w:p>
        </w:tc>
        <w:tc>
          <w:tcPr>
            <w:tcW w:w="1001" w:type="dxa"/>
            <w:tcBorders>
              <w:top w:val="nil"/>
              <w:left w:val="nil"/>
              <w:bottom w:val="nil"/>
              <w:right w:val="nil"/>
            </w:tcBorders>
            <w:shd w:val="clear" w:color="auto" w:fill="auto"/>
            <w:noWrap/>
            <w:vAlign w:val="center"/>
            <w:hideMark/>
          </w:tcPr>
          <w:p w14:paraId="478D79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116%</w:t>
            </w:r>
          </w:p>
        </w:tc>
        <w:tc>
          <w:tcPr>
            <w:tcW w:w="992" w:type="dxa"/>
            <w:tcBorders>
              <w:top w:val="nil"/>
              <w:left w:val="nil"/>
              <w:bottom w:val="nil"/>
              <w:right w:val="nil"/>
            </w:tcBorders>
            <w:shd w:val="clear" w:color="000000" w:fill="FCFBFE"/>
            <w:noWrap/>
            <w:vAlign w:val="center"/>
            <w:hideMark/>
          </w:tcPr>
          <w:p w14:paraId="19835A9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127%</w:t>
            </w:r>
          </w:p>
        </w:tc>
      </w:tr>
      <w:tr w:rsidR="0028350E" w:rsidRPr="007364B1" w14:paraId="3EC3B5DC" w14:textId="77777777" w:rsidTr="00AA33F9">
        <w:trPr>
          <w:trHeight w:val="360"/>
        </w:trPr>
        <w:tc>
          <w:tcPr>
            <w:tcW w:w="1985" w:type="dxa"/>
            <w:tcBorders>
              <w:top w:val="nil"/>
              <w:left w:val="nil"/>
              <w:bottom w:val="nil"/>
              <w:right w:val="nil"/>
            </w:tcBorders>
            <w:shd w:val="clear" w:color="auto" w:fill="auto"/>
            <w:noWrap/>
            <w:vAlign w:val="bottom"/>
            <w:hideMark/>
          </w:tcPr>
          <w:p w14:paraId="3D8A26A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77FA18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78</w:t>
            </w:r>
          </w:p>
        </w:tc>
        <w:tc>
          <w:tcPr>
            <w:tcW w:w="1026" w:type="dxa"/>
            <w:tcBorders>
              <w:top w:val="nil"/>
              <w:left w:val="nil"/>
              <w:bottom w:val="nil"/>
              <w:right w:val="nil"/>
            </w:tcBorders>
            <w:shd w:val="clear" w:color="auto" w:fill="auto"/>
            <w:noWrap/>
            <w:vAlign w:val="center"/>
            <w:hideMark/>
          </w:tcPr>
          <w:p w14:paraId="50948B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851" w:type="dxa"/>
            <w:tcBorders>
              <w:top w:val="nil"/>
              <w:left w:val="nil"/>
              <w:bottom w:val="nil"/>
              <w:right w:val="nil"/>
            </w:tcBorders>
            <w:shd w:val="clear" w:color="000000" w:fill="FA8F92"/>
            <w:noWrap/>
            <w:vAlign w:val="center"/>
            <w:hideMark/>
          </w:tcPr>
          <w:p w14:paraId="6DB913E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992" w:type="dxa"/>
            <w:tcBorders>
              <w:top w:val="nil"/>
              <w:left w:val="nil"/>
              <w:bottom w:val="nil"/>
              <w:right w:val="nil"/>
            </w:tcBorders>
            <w:shd w:val="clear" w:color="auto" w:fill="auto"/>
            <w:noWrap/>
            <w:vAlign w:val="center"/>
            <w:hideMark/>
          </w:tcPr>
          <w:p w14:paraId="703D73A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248</w:t>
            </w:r>
          </w:p>
        </w:tc>
        <w:tc>
          <w:tcPr>
            <w:tcW w:w="850" w:type="dxa"/>
            <w:tcBorders>
              <w:top w:val="nil"/>
              <w:left w:val="nil"/>
              <w:bottom w:val="nil"/>
              <w:right w:val="nil"/>
            </w:tcBorders>
            <w:shd w:val="clear" w:color="auto" w:fill="auto"/>
            <w:noWrap/>
            <w:vAlign w:val="center"/>
            <w:hideMark/>
          </w:tcPr>
          <w:p w14:paraId="008B06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51" w:type="dxa"/>
            <w:tcBorders>
              <w:top w:val="nil"/>
              <w:left w:val="nil"/>
              <w:bottom w:val="nil"/>
              <w:right w:val="nil"/>
            </w:tcBorders>
            <w:shd w:val="clear" w:color="auto" w:fill="auto"/>
            <w:noWrap/>
            <w:vAlign w:val="center"/>
            <w:hideMark/>
          </w:tcPr>
          <w:p w14:paraId="707A54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w:t>
            </w:r>
          </w:p>
        </w:tc>
        <w:tc>
          <w:tcPr>
            <w:tcW w:w="869" w:type="dxa"/>
            <w:tcBorders>
              <w:top w:val="nil"/>
              <w:left w:val="nil"/>
              <w:bottom w:val="nil"/>
              <w:right w:val="nil"/>
            </w:tcBorders>
            <w:shd w:val="clear" w:color="auto" w:fill="auto"/>
            <w:noWrap/>
            <w:vAlign w:val="center"/>
            <w:hideMark/>
          </w:tcPr>
          <w:p w14:paraId="2008C1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w:t>
            </w:r>
          </w:p>
        </w:tc>
        <w:tc>
          <w:tcPr>
            <w:tcW w:w="743" w:type="dxa"/>
            <w:tcBorders>
              <w:top w:val="nil"/>
              <w:left w:val="nil"/>
              <w:bottom w:val="nil"/>
              <w:right w:val="nil"/>
            </w:tcBorders>
            <w:shd w:val="clear" w:color="auto" w:fill="auto"/>
            <w:noWrap/>
            <w:vAlign w:val="center"/>
            <w:hideMark/>
          </w:tcPr>
          <w:p w14:paraId="0AF886D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1011" w:type="dxa"/>
            <w:tcBorders>
              <w:top w:val="nil"/>
              <w:left w:val="nil"/>
              <w:bottom w:val="nil"/>
              <w:right w:val="nil"/>
            </w:tcBorders>
            <w:shd w:val="clear" w:color="auto" w:fill="auto"/>
            <w:noWrap/>
            <w:vAlign w:val="center"/>
            <w:hideMark/>
          </w:tcPr>
          <w:p w14:paraId="7B5ABC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2FF64A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7AC449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1001" w:type="dxa"/>
            <w:tcBorders>
              <w:top w:val="nil"/>
              <w:left w:val="nil"/>
              <w:bottom w:val="nil"/>
              <w:right w:val="nil"/>
            </w:tcBorders>
            <w:shd w:val="clear" w:color="auto" w:fill="auto"/>
            <w:noWrap/>
            <w:vAlign w:val="center"/>
            <w:hideMark/>
          </w:tcPr>
          <w:p w14:paraId="574006B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992" w:type="dxa"/>
            <w:tcBorders>
              <w:top w:val="nil"/>
              <w:left w:val="nil"/>
              <w:bottom w:val="nil"/>
              <w:right w:val="nil"/>
            </w:tcBorders>
            <w:shd w:val="clear" w:color="000000" w:fill="FCDBDE"/>
            <w:noWrap/>
            <w:vAlign w:val="center"/>
            <w:hideMark/>
          </w:tcPr>
          <w:p w14:paraId="4E4EC40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157%</w:t>
            </w:r>
          </w:p>
        </w:tc>
      </w:tr>
      <w:tr w:rsidR="0028350E" w:rsidRPr="007364B1" w14:paraId="3774478C" w14:textId="77777777" w:rsidTr="00AA33F9">
        <w:trPr>
          <w:trHeight w:val="360"/>
        </w:trPr>
        <w:tc>
          <w:tcPr>
            <w:tcW w:w="1985" w:type="dxa"/>
            <w:tcBorders>
              <w:top w:val="nil"/>
              <w:left w:val="nil"/>
              <w:bottom w:val="nil"/>
              <w:right w:val="nil"/>
            </w:tcBorders>
            <w:shd w:val="clear" w:color="auto" w:fill="auto"/>
            <w:noWrap/>
            <w:vAlign w:val="bottom"/>
            <w:hideMark/>
          </w:tcPr>
          <w:p w14:paraId="752486E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1558E8F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1,885</w:t>
            </w:r>
          </w:p>
        </w:tc>
        <w:tc>
          <w:tcPr>
            <w:tcW w:w="1026" w:type="dxa"/>
            <w:tcBorders>
              <w:top w:val="nil"/>
              <w:left w:val="nil"/>
              <w:bottom w:val="nil"/>
              <w:right w:val="nil"/>
            </w:tcBorders>
            <w:shd w:val="clear" w:color="auto" w:fill="auto"/>
            <w:noWrap/>
            <w:vAlign w:val="center"/>
            <w:hideMark/>
          </w:tcPr>
          <w:p w14:paraId="0EED64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1,804</w:t>
            </w:r>
          </w:p>
        </w:tc>
        <w:tc>
          <w:tcPr>
            <w:tcW w:w="851" w:type="dxa"/>
            <w:tcBorders>
              <w:top w:val="nil"/>
              <w:left w:val="nil"/>
              <w:bottom w:val="nil"/>
              <w:right w:val="nil"/>
            </w:tcBorders>
            <w:shd w:val="clear" w:color="000000" w:fill="FBBFC2"/>
            <w:noWrap/>
            <w:vAlign w:val="center"/>
            <w:hideMark/>
          </w:tcPr>
          <w:p w14:paraId="442BF1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92" w:type="dxa"/>
            <w:tcBorders>
              <w:top w:val="nil"/>
              <w:left w:val="nil"/>
              <w:bottom w:val="nil"/>
              <w:right w:val="nil"/>
            </w:tcBorders>
            <w:shd w:val="clear" w:color="auto" w:fill="auto"/>
            <w:noWrap/>
            <w:vAlign w:val="center"/>
            <w:hideMark/>
          </w:tcPr>
          <w:p w14:paraId="64D7A89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1,974</w:t>
            </w:r>
          </w:p>
        </w:tc>
        <w:tc>
          <w:tcPr>
            <w:tcW w:w="850" w:type="dxa"/>
            <w:tcBorders>
              <w:top w:val="nil"/>
              <w:left w:val="nil"/>
              <w:bottom w:val="nil"/>
              <w:right w:val="nil"/>
            </w:tcBorders>
            <w:shd w:val="clear" w:color="auto" w:fill="auto"/>
            <w:noWrap/>
            <w:vAlign w:val="center"/>
            <w:hideMark/>
          </w:tcPr>
          <w:p w14:paraId="406BBC5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482</w:t>
            </w:r>
          </w:p>
        </w:tc>
        <w:tc>
          <w:tcPr>
            <w:tcW w:w="1051" w:type="dxa"/>
            <w:tcBorders>
              <w:top w:val="nil"/>
              <w:left w:val="nil"/>
              <w:bottom w:val="nil"/>
              <w:right w:val="nil"/>
            </w:tcBorders>
            <w:shd w:val="clear" w:color="auto" w:fill="auto"/>
            <w:noWrap/>
            <w:vAlign w:val="center"/>
            <w:hideMark/>
          </w:tcPr>
          <w:p w14:paraId="002434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869" w:type="dxa"/>
            <w:tcBorders>
              <w:top w:val="nil"/>
              <w:left w:val="nil"/>
              <w:bottom w:val="nil"/>
              <w:right w:val="nil"/>
            </w:tcBorders>
            <w:shd w:val="clear" w:color="auto" w:fill="auto"/>
            <w:noWrap/>
            <w:vAlign w:val="center"/>
            <w:hideMark/>
          </w:tcPr>
          <w:p w14:paraId="080DAA8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500</w:t>
            </w:r>
          </w:p>
        </w:tc>
        <w:tc>
          <w:tcPr>
            <w:tcW w:w="743" w:type="dxa"/>
            <w:tcBorders>
              <w:top w:val="nil"/>
              <w:left w:val="nil"/>
              <w:bottom w:val="nil"/>
              <w:right w:val="nil"/>
            </w:tcBorders>
            <w:shd w:val="clear" w:color="auto" w:fill="auto"/>
            <w:noWrap/>
            <w:vAlign w:val="center"/>
            <w:hideMark/>
          </w:tcPr>
          <w:p w14:paraId="0F54C50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121</w:t>
            </w:r>
          </w:p>
        </w:tc>
        <w:tc>
          <w:tcPr>
            <w:tcW w:w="1011" w:type="dxa"/>
            <w:tcBorders>
              <w:top w:val="nil"/>
              <w:left w:val="nil"/>
              <w:bottom w:val="nil"/>
              <w:right w:val="nil"/>
            </w:tcBorders>
            <w:shd w:val="clear" w:color="auto" w:fill="auto"/>
            <w:noWrap/>
            <w:vAlign w:val="center"/>
            <w:hideMark/>
          </w:tcPr>
          <w:p w14:paraId="4216A12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93132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358</w:t>
            </w:r>
          </w:p>
        </w:tc>
        <w:tc>
          <w:tcPr>
            <w:tcW w:w="1354" w:type="dxa"/>
            <w:tcBorders>
              <w:top w:val="nil"/>
              <w:left w:val="nil"/>
              <w:bottom w:val="nil"/>
              <w:right w:val="nil"/>
            </w:tcBorders>
            <w:shd w:val="clear" w:color="auto" w:fill="auto"/>
            <w:noWrap/>
            <w:vAlign w:val="center"/>
            <w:hideMark/>
          </w:tcPr>
          <w:p w14:paraId="6F599C1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424</w:t>
            </w:r>
          </w:p>
        </w:tc>
        <w:tc>
          <w:tcPr>
            <w:tcW w:w="1001" w:type="dxa"/>
            <w:tcBorders>
              <w:top w:val="nil"/>
              <w:left w:val="nil"/>
              <w:bottom w:val="nil"/>
              <w:right w:val="nil"/>
            </w:tcBorders>
            <w:shd w:val="clear" w:color="auto" w:fill="auto"/>
            <w:noWrap/>
            <w:vAlign w:val="center"/>
            <w:hideMark/>
          </w:tcPr>
          <w:p w14:paraId="5BC740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992" w:type="dxa"/>
            <w:tcBorders>
              <w:top w:val="nil"/>
              <w:left w:val="nil"/>
              <w:bottom w:val="nil"/>
              <w:right w:val="nil"/>
            </w:tcBorders>
            <w:shd w:val="clear" w:color="000000" w:fill="D6E1F1"/>
            <w:noWrap/>
            <w:vAlign w:val="center"/>
            <w:hideMark/>
          </w:tcPr>
          <w:p w14:paraId="05F231F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r>
      <w:tr w:rsidR="0028350E" w:rsidRPr="007364B1" w14:paraId="126C92C9" w14:textId="77777777" w:rsidTr="00AA33F9">
        <w:trPr>
          <w:trHeight w:val="360"/>
        </w:trPr>
        <w:tc>
          <w:tcPr>
            <w:tcW w:w="1985" w:type="dxa"/>
            <w:tcBorders>
              <w:top w:val="nil"/>
              <w:left w:val="nil"/>
              <w:bottom w:val="nil"/>
              <w:right w:val="nil"/>
            </w:tcBorders>
            <w:shd w:val="clear" w:color="auto" w:fill="auto"/>
            <w:noWrap/>
            <w:vAlign w:val="bottom"/>
            <w:hideMark/>
          </w:tcPr>
          <w:p w14:paraId="02E985C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53BDD47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142</w:t>
            </w:r>
          </w:p>
        </w:tc>
        <w:tc>
          <w:tcPr>
            <w:tcW w:w="1026" w:type="dxa"/>
            <w:tcBorders>
              <w:top w:val="nil"/>
              <w:left w:val="nil"/>
              <w:bottom w:val="nil"/>
              <w:right w:val="nil"/>
            </w:tcBorders>
            <w:shd w:val="clear" w:color="auto" w:fill="auto"/>
            <w:noWrap/>
            <w:vAlign w:val="center"/>
            <w:hideMark/>
          </w:tcPr>
          <w:p w14:paraId="348BF9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132</w:t>
            </w:r>
          </w:p>
        </w:tc>
        <w:tc>
          <w:tcPr>
            <w:tcW w:w="851" w:type="dxa"/>
            <w:tcBorders>
              <w:top w:val="nil"/>
              <w:left w:val="nil"/>
              <w:bottom w:val="nil"/>
              <w:right w:val="nil"/>
            </w:tcBorders>
            <w:shd w:val="clear" w:color="000000" w:fill="FBC1C4"/>
            <w:noWrap/>
            <w:vAlign w:val="center"/>
            <w:hideMark/>
          </w:tcPr>
          <w:p w14:paraId="78E5E2F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992" w:type="dxa"/>
            <w:tcBorders>
              <w:top w:val="nil"/>
              <w:left w:val="nil"/>
              <w:bottom w:val="nil"/>
              <w:right w:val="nil"/>
            </w:tcBorders>
            <w:shd w:val="clear" w:color="auto" w:fill="auto"/>
            <w:noWrap/>
            <w:vAlign w:val="center"/>
            <w:hideMark/>
          </w:tcPr>
          <w:p w14:paraId="2640177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115</w:t>
            </w:r>
          </w:p>
        </w:tc>
        <w:tc>
          <w:tcPr>
            <w:tcW w:w="850" w:type="dxa"/>
            <w:tcBorders>
              <w:top w:val="nil"/>
              <w:left w:val="nil"/>
              <w:bottom w:val="nil"/>
              <w:right w:val="nil"/>
            </w:tcBorders>
            <w:shd w:val="clear" w:color="auto" w:fill="auto"/>
            <w:noWrap/>
            <w:vAlign w:val="center"/>
            <w:hideMark/>
          </w:tcPr>
          <w:p w14:paraId="03D0D0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w:t>
            </w:r>
          </w:p>
        </w:tc>
        <w:tc>
          <w:tcPr>
            <w:tcW w:w="1051" w:type="dxa"/>
            <w:tcBorders>
              <w:top w:val="nil"/>
              <w:left w:val="nil"/>
              <w:bottom w:val="nil"/>
              <w:right w:val="nil"/>
            </w:tcBorders>
            <w:shd w:val="clear" w:color="auto" w:fill="auto"/>
            <w:noWrap/>
            <w:vAlign w:val="center"/>
            <w:hideMark/>
          </w:tcPr>
          <w:p w14:paraId="7CDC898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339512F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743" w:type="dxa"/>
            <w:tcBorders>
              <w:top w:val="nil"/>
              <w:left w:val="nil"/>
              <w:bottom w:val="nil"/>
              <w:right w:val="nil"/>
            </w:tcBorders>
            <w:shd w:val="clear" w:color="auto" w:fill="auto"/>
            <w:noWrap/>
            <w:vAlign w:val="center"/>
            <w:hideMark/>
          </w:tcPr>
          <w:p w14:paraId="7905E2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1011" w:type="dxa"/>
            <w:tcBorders>
              <w:top w:val="nil"/>
              <w:left w:val="nil"/>
              <w:bottom w:val="nil"/>
              <w:right w:val="nil"/>
            </w:tcBorders>
            <w:shd w:val="clear" w:color="auto" w:fill="auto"/>
            <w:noWrap/>
            <w:vAlign w:val="center"/>
            <w:hideMark/>
          </w:tcPr>
          <w:p w14:paraId="71C789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F01316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1354" w:type="dxa"/>
            <w:tcBorders>
              <w:top w:val="nil"/>
              <w:left w:val="nil"/>
              <w:bottom w:val="nil"/>
              <w:right w:val="nil"/>
            </w:tcBorders>
            <w:shd w:val="clear" w:color="auto" w:fill="auto"/>
            <w:noWrap/>
            <w:vAlign w:val="center"/>
            <w:hideMark/>
          </w:tcPr>
          <w:p w14:paraId="3BD17DA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1001" w:type="dxa"/>
            <w:tcBorders>
              <w:top w:val="nil"/>
              <w:left w:val="nil"/>
              <w:bottom w:val="nil"/>
              <w:right w:val="nil"/>
            </w:tcBorders>
            <w:shd w:val="clear" w:color="auto" w:fill="auto"/>
            <w:noWrap/>
            <w:vAlign w:val="center"/>
            <w:hideMark/>
          </w:tcPr>
          <w:p w14:paraId="6ECE81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c>
          <w:tcPr>
            <w:tcW w:w="992" w:type="dxa"/>
            <w:tcBorders>
              <w:top w:val="nil"/>
              <w:left w:val="nil"/>
              <w:bottom w:val="nil"/>
              <w:right w:val="nil"/>
            </w:tcBorders>
            <w:shd w:val="clear" w:color="000000" w:fill="CFDCEF"/>
            <w:noWrap/>
            <w:vAlign w:val="center"/>
            <w:hideMark/>
          </w:tcPr>
          <w:p w14:paraId="033E91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91%</w:t>
            </w:r>
          </w:p>
        </w:tc>
      </w:tr>
      <w:tr w:rsidR="0028350E" w:rsidRPr="007364B1" w14:paraId="382C7399" w14:textId="77777777" w:rsidTr="00AA33F9">
        <w:trPr>
          <w:trHeight w:val="360"/>
        </w:trPr>
        <w:tc>
          <w:tcPr>
            <w:tcW w:w="1985" w:type="dxa"/>
            <w:tcBorders>
              <w:top w:val="nil"/>
              <w:left w:val="nil"/>
              <w:bottom w:val="nil"/>
              <w:right w:val="nil"/>
            </w:tcBorders>
            <w:shd w:val="clear" w:color="auto" w:fill="auto"/>
            <w:noWrap/>
            <w:vAlign w:val="bottom"/>
            <w:hideMark/>
          </w:tcPr>
          <w:p w14:paraId="6A47E1A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62A933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w:t>
            </w:r>
          </w:p>
        </w:tc>
        <w:tc>
          <w:tcPr>
            <w:tcW w:w="1026" w:type="dxa"/>
            <w:tcBorders>
              <w:top w:val="nil"/>
              <w:left w:val="nil"/>
              <w:bottom w:val="nil"/>
              <w:right w:val="nil"/>
            </w:tcBorders>
            <w:shd w:val="clear" w:color="auto" w:fill="auto"/>
            <w:noWrap/>
            <w:vAlign w:val="center"/>
            <w:hideMark/>
          </w:tcPr>
          <w:p w14:paraId="103872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w:t>
            </w:r>
          </w:p>
        </w:tc>
        <w:tc>
          <w:tcPr>
            <w:tcW w:w="851" w:type="dxa"/>
            <w:tcBorders>
              <w:top w:val="nil"/>
              <w:left w:val="nil"/>
              <w:bottom w:val="nil"/>
              <w:right w:val="nil"/>
            </w:tcBorders>
            <w:shd w:val="clear" w:color="000000" w:fill="FBBABD"/>
            <w:noWrap/>
            <w:vAlign w:val="center"/>
            <w:hideMark/>
          </w:tcPr>
          <w:p w14:paraId="60875C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92" w:type="dxa"/>
            <w:tcBorders>
              <w:top w:val="nil"/>
              <w:left w:val="nil"/>
              <w:bottom w:val="nil"/>
              <w:right w:val="nil"/>
            </w:tcBorders>
            <w:shd w:val="clear" w:color="auto" w:fill="auto"/>
            <w:noWrap/>
            <w:vAlign w:val="center"/>
            <w:hideMark/>
          </w:tcPr>
          <w:p w14:paraId="43F4A6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w:t>
            </w:r>
          </w:p>
        </w:tc>
        <w:tc>
          <w:tcPr>
            <w:tcW w:w="850" w:type="dxa"/>
            <w:tcBorders>
              <w:top w:val="nil"/>
              <w:left w:val="nil"/>
              <w:bottom w:val="nil"/>
              <w:right w:val="nil"/>
            </w:tcBorders>
            <w:shd w:val="clear" w:color="auto" w:fill="auto"/>
            <w:noWrap/>
            <w:vAlign w:val="center"/>
            <w:hideMark/>
          </w:tcPr>
          <w:p w14:paraId="1B94A96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1051" w:type="dxa"/>
            <w:tcBorders>
              <w:top w:val="nil"/>
              <w:left w:val="nil"/>
              <w:bottom w:val="nil"/>
              <w:right w:val="nil"/>
            </w:tcBorders>
            <w:shd w:val="clear" w:color="auto" w:fill="auto"/>
            <w:noWrap/>
            <w:vAlign w:val="center"/>
            <w:hideMark/>
          </w:tcPr>
          <w:p w14:paraId="3133C79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2A7C7FF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w:t>
            </w:r>
          </w:p>
        </w:tc>
        <w:tc>
          <w:tcPr>
            <w:tcW w:w="743" w:type="dxa"/>
            <w:tcBorders>
              <w:top w:val="nil"/>
              <w:left w:val="nil"/>
              <w:bottom w:val="nil"/>
              <w:right w:val="nil"/>
            </w:tcBorders>
            <w:shd w:val="clear" w:color="auto" w:fill="auto"/>
            <w:noWrap/>
            <w:vAlign w:val="center"/>
            <w:hideMark/>
          </w:tcPr>
          <w:p w14:paraId="0544E7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1011" w:type="dxa"/>
            <w:tcBorders>
              <w:top w:val="nil"/>
              <w:left w:val="nil"/>
              <w:bottom w:val="nil"/>
              <w:right w:val="nil"/>
            </w:tcBorders>
            <w:shd w:val="clear" w:color="auto" w:fill="auto"/>
            <w:noWrap/>
            <w:vAlign w:val="center"/>
            <w:hideMark/>
          </w:tcPr>
          <w:p w14:paraId="3F7B176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03E7B4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1354" w:type="dxa"/>
            <w:tcBorders>
              <w:top w:val="nil"/>
              <w:left w:val="nil"/>
              <w:bottom w:val="nil"/>
              <w:right w:val="nil"/>
            </w:tcBorders>
            <w:shd w:val="clear" w:color="auto" w:fill="auto"/>
            <w:noWrap/>
            <w:vAlign w:val="center"/>
            <w:hideMark/>
          </w:tcPr>
          <w:p w14:paraId="280D16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001" w:type="dxa"/>
            <w:tcBorders>
              <w:top w:val="nil"/>
              <w:left w:val="nil"/>
              <w:bottom w:val="nil"/>
              <w:right w:val="nil"/>
            </w:tcBorders>
            <w:shd w:val="clear" w:color="auto" w:fill="auto"/>
            <w:noWrap/>
            <w:vAlign w:val="center"/>
            <w:hideMark/>
          </w:tcPr>
          <w:p w14:paraId="192460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c>
          <w:tcPr>
            <w:tcW w:w="992" w:type="dxa"/>
            <w:tcBorders>
              <w:top w:val="nil"/>
              <w:left w:val="nil"/>
              <w:bottom w:val="nil"/>
              <w:right w:val="nil"/>
            </w:tcBorders>
            <w:shd w:val="clear" w:color="000000" w:fill="E1E9F5"/>
            <w:noWrap/>
            <w:vAlign w:val="center"/>
            <w:hideMark/>
          </w:tcPr>
          <w:p w14:paraId="23A626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105%</w:t>
            </w:r>
          </w:p>
        </w:tc>
      </w:tr>
      <w:tr w:rsidR="0028350E" w:rsidRPr="007364B1" w14:paraId="7B3B0402"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1C5B939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0039ED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569</w:t>
            </w:r>
          </w:p>
        </w:tc>
        <w:tc>
          <w:tcPr>
            <w:tcW w:w="1026" w:type="dxa"/>
            <w:tcBorders>
              <w:top w:val="nil"/>
              <w:left w:val="nil"/>
              <w:bottom w:val="single" w:sz="4" w:space="0" w:color="auto"/>
              <w:right w:val="nil"/>
            </w:tcBorders>
            <w:shd w:val="clear" w:color="auto" w:fill="auto"/>
            <w:noWrap/>
            <w:vAlign w:val="center"/>
            <w:hideMark/>
          </w:tcPr>
          <w:p w14:paraId="496BA62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728</w:t>
            </w:r>
          </w:p>
        </w:tc>
        <w:tc>
          <w:tcPr>
            <w:tcW w:w="851" w:type="dxa"/>
            <w:tcBorders>
              <w:top w:val="nil"/>
              <w:left w:val="nil"/>
              <w:bottom w:val="single" w:sz="4" w:space="0" w:color="auto"/>
              <w:right w:val="nil"/>
            </w:tcBorders>
            <w:shd w:val="clear" w:color="000000" w:fill="FAAAAD"/>
            <w:noWrap/>
            <w:vAlign w:val="center"/>
            <w:hideMark/>
          </w:tcPr>
          <w:p w14:paraId="41D101B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992" w:type="dxa"/>
            <w:tcBorders>
              <w:top w:val="nil"/>
              <w:left w:val="nil"/>
              <w:bottom w:val="single" w:sz="4" w:space="0" w:color="auto"/>
              <w:right w:val="nil"/>
            </w:tcBorders>
            <w:shd w:val="clear" w:color="auto" w:fill="auto"/>
            <w:noWrap/>
            <w:vAlign w:val="center"/>
            <w:hideMark/>
          </w:tcPr>
          <w:p w14:paraId="0A3B23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774</w:t>
            </w:r>
          </w:p>
        </w:tc>
        <w:tc>
          <w:tcPr>
            <w:tcW w:w="850" w:type="dxa"/>
            <w:tcBorders>
              <w:top w:val="nil"/>
              <w:left w:val="nil"/>
              <w:bottom w:val="single" w:sz="4" w:space="0" w:color="auto"/>
              <w:right w:val="nil"/>
            </w:tcBorders>
            <w:shd w:val="clear" w:color="auto" w:fill="auto"/>
            <w:noWrap/>
            <w:vAlign w:val="center"/>
            <w:hideMark/>
          </w:tcPr>
          <w:p w14:paraId="19D60EB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97</w:t>
            </w:r>
          </w:p>
        </w:tc>
        <w:tc>
          <w:tcPr>
            <w:tcW w:w="1051" w:type="dxa"/>
            <w:tcBorders>
              <w:top w:val="nil"/>
              <w:left w:val="nil"/>
              <w:bottom w:val="single" w:sz="4" w:space="0" w:color="auto"/>
              <w:right w:val="nil"/>
            </w:tcBorders>
            <w:shd w:val="clear" w:color="auto" w:fill="auto"/>
            <w:noWrap/>
            <w:vAlign w:val="center"/>
            <w:hideMark/>
          </w:tcPr>
          <w:p w14:paraId="43FEE67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869" w:type="dxa"/>
            <w:tcBorders>
              <w:top w:val="nil"/>
              <w:left w:val="nil"/>
              <w:bottom w:val="single" w:sz="4" w:space="0" w:color="auto"/>
              <w:right w:val="nil"/>
            </w:tcBorders>
            <w:shd w:val="clear" w:color="auto" w:fill="auto"/>
            <w:noWrap/>
            <w:vAlign w:val="center"/>
            <w:hideMark/>
          </w:tcPr>
          <w:p w14:paraId="24DBF2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w:t>
            </w:r>
          </w:p>
        </w:tc>
        <w:tc>
          <w:tcPr>
            <w:tcW w:w="743" w:type="dxa"/>
            <w:tcBorders>
              <w:top w:val="nil"/>
              <w:left w:val="nil"/>
              <w:bottom w:val="single" w:sz="4" w:space="0" w:color="auto"/>
              <w:right w:val="nil"/>
            </w:tcBorders>
            <w:shd w:val="clear" w:color="auto" w:fill="auto"/>
            <w:noWrap/>
            <w:vAlign w:val="center"/>
            <w:hideMark/>
          </w:tcPr>
          <w:p w14:paraId="2501ED3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c>
          <w:tcPr>
            <w:tcW w:w="1011" w:type="dxa"/>
            <w:tcBorders>
              <w:top w:val="nil"/>
              <w:left w:val="nil"/>
              <w:bottom w:val="single" w:sz="4" w:space="0" w:color="auto"/>
              <w:right w:val="nil"/>
            </w:tcBorders>
            <w:shd w:val="clear" w:color="auto" w:fill="auto"/>
            <w:noWrap/>
            <w:vAlign w:val="center"/>
            <w:hideMark/>
          </w:tcPr>
          <w:p w14:paraId="55F74A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0AE854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w:t>
            </w:r>
          </w:p>
        </w:tc>
        <w:tc>
          <w:tcPr>
            <w:tcW w:w="1354" w:type="dxa"/>
            <w:tcBorders>
              <w:top w:val="nil"/>
              <w:left w:val="nil"/>
              <w:bottom w:val="single" w:sz="4" w:space="0" w:color="auto"/>
              <w:right w:val="nil"/>
            </w:tcBorders>
            <w:shd w:val="clear" w:color="auto" w:fill="auto"/>
            <w:noWrap/>
            <w:vAlign w:val="center"/>
            <w:hideMark/>
          </w:tcPr>
          <w:p w14:paraId="0DF389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w:t>
            </w:r>
          </w:p>
        </w:tc>
        <w:tc>
          <w:tcPr>
            <w:tcW w:w="1001" w:type="dxa"/>
            <w:tcBorders>
              <w:top w:val="nil"/>
              <w:left w:val="nil"/>
              <w:bottom w:val="single" w:sz="4" w:space="0" w:color="auto"/>
              <w:right w:val="nil"/>
            </w:tcBorders>
            <w:shd w:val="clear" w:color="auto" w:fill="auto"/>
            <w:noWrap/>
            <w:vAlign w:val="center"/>
            <w:hideMark/>
          </w:tcPr>
          <w:p w14:paraId="52DEF9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91%</w:t>
            </w:r>
          </w:p>
        </w:tc>
        <w:tc>
          <w:tcPr>
            <w:tcW w:w="992" w:type="dxa"/>
            <w:tcBorders>
              <w:top w:val="nil"/>
              <w:left w:val="nil"/>
              <w:bottom w:val="single" w:sz="4" w:space="0" w:color="auto"/>
              <w:right w:val="nil"/>
            </w:tcBorders>
            <w:shd w:val="clear" w:color="000000" w:fill="FCEFF1"/>
            <w:noWrap/>
            <w:vAlign w:val="center"/>
            <w:hideMark/>
          </w:tcPr>
          <w:p w14:paraId="4F0E86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139%</w:t>
            </w:r>
          </w:p>
        </w:tc>
      </w:tr>
      <w:tr w:rsidR="0028350E" w:rsidRPr="007364B1" w14:paraId="2BAB33AF"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2215B0E5"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353017E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38,392</w:t>
            </w:r>
          </w:p>
        </w:tc>
        <w:tc>
          <w:tcPr>
            <w:tcW w:w="1026" w:type="dxa"/>
            <w:tcBorders>
              <w:top w:val="nil"/>
              <w:left w:val="nil"/>
              <w:bottom w:val="single" w:sz="4" w:space="0" w:color="auto"/>
              <w:right w:val="nil"/>
            </w:tcBorders>
            <w:shd w:val="clear" w:color="auto" w:fill="auto"/>
            <w:noWrap/>
            <w:vAlign w:val="center"/>
            <w:hideMark/>
          </w:tcPr>
          <w:p w14:paraId="111119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58,367</w:t>
            </w:r>
          </w:p>
        </w:tc>
        <w:tc>
          <w:tcPr>
            <w:tcW w:w="851" w:type="dxa"/>
            <w:tcBorders>
              <w:top w:val="single" w:sz="4" w:space="0" w:color="auto"/>
              <w:left w:val="nil"/>
              <w:bottom w:val="single" w:sz="4" w:space="0" w:color="auto"/>
              <w:right w:val="nil"/>
            </w:tcBorders>
            <w:shd w:val="clear" w:color="000000" w:fill="F8696B"/>
            <w:noWrap/>
            <w:vAlign w:val="center"/>
            <w:hideMark/>
          </w:tcPr>
          <w:p w14:paraId="57F94E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w:t>
            </w:r>
          </w:p>
        </w:tc>
        <w:tc>
          <w:tcPr>
            <w:tcW w:w="992" w:type="dxa"/>
            <w:tcBorders>
              <w:top w:val="nil"/>
              <w:left w:val="nil"/>
              <w:bottom w:val="single" w:sz="4" w:space="0" w:color="auto"/>
              <w:right w:val="nil"/>
            </w:tcBorders>
            <w:shd w:val="clear" w:color="auto" w:fill="auto"/>
            <w:noWrap/>
            <w:vAlign w:val="center"/>
            <w:hideMark/>
          </w:tcPr>
          <w:p w14:paraId="124EDA3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98,983</w:t>
            </w:r>
          </w:p>
        </w:tc>
        <w:tc>
          <w:tcPr>
            <w:tcW w:w="850" w:type="dxa"/>
            <w:tcBorders>
              <w:top w:val="nil"/>
              <w:left w:val="nil"/>
              <w:bottom w:val="single" w:sz="4" w:space="0" w:color="auto"/>
              <w:right w:val="nil"/>
            </w:tcBorders>
            <w:shd w:val="clear" w:color="auto" w:fill="auto"/>
            <w:noWrap/>
            <w:vAlign w:val="center"/>
            <w:hideMark/>
          </w:tcPr>
          <w:p w14:paraId="761742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6,312</w:t>
            </w:r>
          </w:p>
        </w:tc>
        <w:tc>
          <w:tcPr>
            <w:tcW w:w="1051" w:type="dxa"/>
            <w:tcBorders>
              <w:top w:val="nil"/>
              <w:left w:val="nil"/>
              <w:bottom w:val="single" w:sz="4" w:space="0" w:color="auto"/>
              <w:right w:val="nil"/>
            </w:tcBorders>
            <w:shd w:val="clear" w:color="auto" w:fill="auto"/>
            <w:noWrap/>
            <w:vAlign w:val="center"/>
            <w:hideMark/>
          </w:tcPr>
          <w:p w14:paraId="7567E1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445</w:t>
            </w:r>
          </w:p>
        </w:tc>
        <w:tc>
          <w:tcPr>
            <w:tcW w:w="869" w:type="dxa"/>
            <w:tcBorders>
              <w:top w:val="nil"/>
              <w:left w:val="nil"/>
              <w:bottom w:val="single" w:sz="4" w:space="0" w:color="auto"/>
              <w:right w:val="nil"/>
            </w:tcBorders>
            <w:shd w:val="clear" w:color="auto" w:fill="auto"/>
            <w:noWrap/>
            <w:vAlign w:val="center"/>
            <w:hideMark/>
          </w:tcPr>
          <w:p w14:paraId="2D3CA5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6,757</w:t>
            </w:r>
          </w:p>
        </w:tc>
        <w:tc>
          <w:tcPr>
            <w:tcW w:w="743" w:type="dxa"/>
            <w:tcBorders>
              <w:top w:val="nil"/>
              <w:left w:val="nil"/>
              <w:bottom w:val="single" w:sz="4" w:space="0" w:color="auto"/>
              <w:right w:val="nil"/>
            </w:tcBorders>
            <w:shd w:val="clear" w:color="auto" w:fill="auto"/>
            <w:noWrap/>
            <w:vAlign w:val="center"/>
            <w:hideMark/>
          </w:tcPr>
          <w:p w14:paraId="0AA77E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9,946</w:t>
            </w:r>
          </w:p>
        </w:tc>
        <w:tc>
          <w:tcPr>
            <w:tcW w:w="1011" w:type="dxa"/>
            <w:tcBorders>
              <w:top w:val="nil"/>
              <w:left w:val="nil"/>
              <w:bottom w:val="single" w:sz="4" w:space="0" w:color="auto"/>
              <w:right w:val="nil"/>
            </w:tcBorders>
            <w:shd w:val="clear" w:color="auto" w:fill="auto"/>
            <w:noWrap/>
            <w:vAlign w:val="center"/>
            <w:hideMark/>
          </w:tcPr>
          <w:p w14:paraId="56A7B0D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7A3725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1,819</w:t>
            </w:r>
          </w:p>
        </w:tc>
        <w:tc>
          <w:tcPr>
            <w:tcW w:w="1354" w:type="dxa"/>
            <w:tcBorders>
              <w:top w:val="nil"/>
              <w:left w:val="nil"/>
              <w:bottom w:val="single" w:sz="4" w:space="0" w:color="auto"/>
              <w:right w:val="nil"/>
            </w:tcBorders>
            <w:shd w:val="clear" w:color="auto" w:fill="auto"/>
            <w:noWrap/>
            <w:vAlign w:val="center"/>
            <w:hideMark/>
          </w:tcPr>
          <w:p w14:paraId="30A6AF1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2,614</w:t>
            </w:r>
          </w:p>
        </w:tc>
        <w:tc>
          <w:tcPr>
            <w:tcW w:w="1001" w:type="dxa"/>
            <w:tcBorders>
              <w:top w:val="nil"/>
              <w:left w:val="nil"/>
              <w:bottom w:val="single" w:sz="4" w:space="0" w:color="auto"/>
              <w:right w:val="nil"/>
            </w:tcBorders>
            <w:shd w:val="clear" w:color="auto" w:fill="auto"/>
            <w:noWrap/>
            <w:vAlign w:val="center"/>
            <w:hideMark/>
          </w:tcPr>
          <w:p w14:paraId="0596D38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992" w:type="dxa"/>
            <w:tcBorders>
              <w:top w:val="single" w:sz="4" w:space="0" w:color="auto"/>
              <w:left w:val="nil"/>
              <w:bottom w:val="single" w:sz="4" w:space="0" w:color="auto"/>
              <w:right w:val="nil"/>
            </w:tcBorders>
            <w:shd w:val="clear" w:color="000000" w:fill="FBCACC"/>
            <w:noWrap/>
            <w:vAlign w:val="center"/>
            <w:hideMark/>
          </w:tcPr>
          <w:p w14:paraId="063EA0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174%</w:t>
            </w:r>
          </w:p>
        </w:tc>
      </w:tr>
    </w:tbl>
    <w:p w14:paraId="0F979DD1" w14:textId="77777777" w:rsidR="00AA33F9" w:rsidRDefault="00AA33F9" w:rsidP="00AA33F9">
      <w:pPr>
        <w:pStyle w:val="Tablenotesnumbers"/>
        <w:numPr>
          <w:ilvl w:val="1"/>
          <w:numId w:val="46"/>
        </w:numPr>
      </w:pPr>
      <w:r>
        <w:t>Steady state number is the sum of exits and the number aging out</w:t>
      </w:r>
    </w:p>
    <w:p w14:paraId="468E20E9" w14:textId="77777777"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61EA934B" w14:textId="77777777" w:rsidR="0028350E" w:rsidRDefault="0028350E" w:rsidP="0028350E"/>
    <w:p w14:paraId="7F219276" w14:textId="77777777" w:rsidR="0028350E" w:rsidRDefault="0028350E" w:rsidP="00A52191">
      <w:pPr>
        <w:pStyle w:val="AppendixH3"/>
      </w:pPr>
      <w:r w:rsidRPr="009E1993">
        <w:t>Flows of participant numbers in and out of disability types, for participants aged</w:t>
      </w:r>
      <w:r>
        <w:t xml:space="preserve"> 25-34</w:t>
      </w:r>
    </w:p>
    <w:tbl>
      <w:tblPr>
        <w:tblW w:w="14547" w:type="dxa"/>
        <w:tblInd w:w="108" w:type="dxa"/>
        <w:tblLook w:val="04A0" w:firstRow="1" w:lastRow="0" w:firstColumn="1" w:lastColumn="0" w:noHBand="0" w:noVBand="1"/>
      </w:tblPr>
      <w:tblGrid>
        <w:gridCol w:w="1985"/>
        <w:gridCol w:w="884"/>
        <w:gridCol w:w="1026"/>
        <w:gridCol w:w="851"/>
        <w:gridCol w:w="992"/>
        <w:gridCol w:w="850"/>
        <w:gridCol w:w="1051"/>
        <w:gridCol w:w="869"/>
        <w:gridCol w:w="708"/>
        <w:gridCol w:w="1011"/>
        <w:gridCol w:w="973"/>
        <w:gridCol w:w="1354"/>
        <w:gridCol w:w="1001"/>
        <w:gridCol w:w="992"/>
      </w:tblGrid>
      <w:tr w:rsidR="00ED2FC8" w:rsidRPr="007364B1" w14:paraId="249A21ED"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45FCC07D"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0C714C90"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1026" w:type="dxa"/>
            <w:tcBorders>
              <w:top w:val="single" w:sz="4" w:space="0" w:color="auto"/>
              <w:left w:val="nil"/>
              <w:bottom w:val="single" w:sz="4" w:space="0" w:color="auto"/>
              <w:right w:val="nil"/>
            </w:tcBorders>
            <w:shd w:val="clear" w:color="auto" w:fill="auto"/>
            <w:vAlign w:val="bottom"/>
            <w:hideMark/>
          </w:tcPr>
          <w:p w14:paraId="7192D8EC"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2998C0CF" w14:textId="515B7203"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64298E67" w14:textId="596923F6"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2948F104" w14:textId="4D91EED6"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6E52F9FF" w14:textId="5F213A73"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004D99C9" w14:textId="6DD60A83"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08" w:type="dxa"/>
            <w:tcBorders>
              <w:top w:val="single" w:sz="4" w:space="0" w:color="auto"/>
              <w:left w:val="nil"/>
              <w:bottom w:val="single" w:sz="4" w:space="0" w:color="auto"/>
              <w:right w:val="nil"/>
            </w:tcBorders>
            <w:shd w:val="clear" w:color="auto" w:fill="auto"/>
            <w:vAlign w:val="bottom"/>
            <w:hideMark/>
          </w:tcPr>
          <w:p w14:paraId="3C116818" w14:textId="0513E33D"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02D343C8"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7DDBF019" w14:textId="0ACBE1AC"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7996E1DF" w14:textId="0CD9B547"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2C64236C"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18AFA002"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5954A27E" w14:textId="77777777" w:rsidTr="00AA33F9">
        <w:trPr>
          <w:trHeight w:val="360"/>
        </w:trPr>
        <w:tc>
          <w:tcPr>
            <w:tcW w:w="1985" w:type="dxa"/>
            <w:tcBorders>
              <w:top w:val="nil"/>
              <w:left w:val="nil"/>
              <w:bottom w:val="nil"/>
              <w:right w:val="nil"/>
            </w:tcBorders>
            <w:shd w:val="clear" w:color="auto" w:fill="auto"/>
            <w:noWrap/>
            <w:vAlign w:val="bottom"/>
            <w:hideMark/>
          </w:tcPr>
          <w:p w14:paraId="4814599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4FBDBD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1,427</w:t>
            </w:r>
          </w:p>
        </w:tc>
        <w:tc>
          <w:tcPr>
            <w:tcW w:w="1026" w:type="dxa"/>
            <w:tcBorders>
              <w:top w:val="nil"/>
              <w:left w:val="nil"/>
              <w:bottom w:val="nil"/>
              <w:right w:val="nil"/>
            </w:tcBorders>
            <w:shd w:val="clear" w:color="auto" w:fill="auto"/>
            <w:noWrap/>
            <w:vAlign w:val="center"/>
            <w:hideMark/>
          </w:tcPr>
          <w:p w14:paraId="3D0FB14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1,571</w:t>
            </w:r>
          </w:p>
        </w:tc>
        <w:tc>
          <w:tcPr>
            <w:tcW w:w="851" w:type="dxa"/>
            <w:tcBorders>
              <w:top w:val="nil"/>
              <w:left w:val="nil"/>
              <w:bottom w:val="nil"/>
              <w:right w:val="nil"/>
            </w:tcBorders>
            <w:shd w:val="clear" w:color="000000" w:fill="FCFCFF"/>
            <w:noWrap/>
            <w:vAlign w:val="center"/>
            <w:hideMark/>
          </w:tcPr>
          <w:p w14:paraId="1E10DE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992" w:type="dxa"/>
            <w:tcBorders>
              <w:top w:val="nil"/>
              <w:left w:val="nil"/>
              <w:bottom w:val="nil"/>
              <w:right w:val="nil"/>
            </w:tcBorders>
            <w:shd w:val="clear" w:color="auto" w:fill="auto"/>
            <w:noWrap/>
            <w:vAlign w:val="center"/>
            <w:hideMark/>
          </w:tcPr>
          <w:p w14:paraId="0839F7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1,509</w:t>
            </w:r>
          </w:p>
        </w:tc>
        <w:tc>
          <w:tcPr>
            <w:tcW w:w="850" w:type="dxa"/>
            <w:tcBorders>
              <w:top w:val="nil"/>
              <w:left w:val="nil"/>
              <w:bottom w:val="nil"/>
              <w:right w:val="nil"/>
            </w:tcBorders>
            <w:shd w:val="clear" w:color="auto" w:fill="auto"/>
            <w:noWrap/>
            <w:vAlign w:val="center"/>
            <w:hideMark/>
          </w:tcPr>
          <w:p w14:paraId="32EBB0E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178</w:t>
            </w:r>
          </w:p>
        </w:tc>
        <w:tc>
          <w:tcPr>
            <w:tcW w:w="1051" w:type="dxa"/>
            <w:tcBorders>
              <w:top w:val="nil"/>
              <w:left w:val="nil"/>
              <w:bottom w:val="nil"/>
              <w:right w:val="nil"/>
            </w:tcBorders>
            <w:shd w:val="clear" w:color="auto" w:fill="auto"/>
            <w:noWrap/>
            <w:vAlign w:val="center"/>
            <w:hideMark/>
          </w:tcPr>
          <w:p w14:paraId="16ED66E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w:t>
            </w:r>
          </w:p>
        </w:tc>
        <w:tc>
          <w:tcPr>
            <w:tcW w:w="869" w:type="dxa"/>
            <w:tcBorders>
              <w:top w:val="nil"/>
              <w:left w:val="nil"/>
              <w:bottom w:val="nil"/>
              <w:right w:val="nil"/>
            </w:tcBorders>
            <w:shd w:val="clear" w:color="auto" w:fill="auto"/>
            <w:noWrap/>
            <w:vAlign w:val="center"/>
            <w:hideMark/>
          </w:tcPr>
          <w:p w14:paraId="2C918A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202</w:t>
            </w:r>
          </w:p>
        </w:tc>
        <w:tc>
          <w:tcPr>
            <w:tcW w:w="708" w:type="dxa"/>
            <w:tcBorders>
              <w:top w:val="nil"/>
              <w:left w:val="nil"/>
              <w:bottom w:val="nil"/>
              <w:right w:val="nil"/>
            </w:tcBorders>
            <w:shd w:val="clear" w:color="auto" w:fill="auto"/>
            <w:noWrap/>
            <w:vAlign w:val="center"/>
            <w:hideMark/>
          </w:tcPr>
          <w:p w14:paraId="667A4D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124</w:t>
            </w:r>
          </w:p>
        </w:tc>
        <w:tc>
          <w:tcPr>
            <w:tcW w:w="1011" w:type="dxa"/>
            <w:tcBorders>
              <w:top w:val="nil"/>
              <w:left w:val="nil"/>
              <w:bottom w:val="nil"/>
              <w:right w:val="nil"/>
            </w:tcBorders>
            <w:shd w:val="clear" w:color="auto" w:fill="auto"/>
            <w:noWrap/>
            <w:vAlign w:val="center"/>
            <w:hideMark/>
          </w:tcPr>
          <w:p w14:paraId="7CE8DB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C3225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c>
          <w:tcPr>
            <w:tcW w:w="1354" w:type="dxa"/>
            <w:tcBorders>
              <w:top w:val="nil"/>
              <w:left w:val="nil"/>
              <w:bottom w:val="nil"/>
              <w:right w:val="nil"/>
            </w:tcBorders>
            <w:shd w:val="clear" w:color="auto" w:fill="auto"/>
            <w:noWrap/>
            <w:vAlign w:val="center"/>
            <w:hideMark/>
          </w:tcPr>
          <w:p w14:paraId="7AC8906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216</w:t>
            </w:r>
          </w:p>
        </w:tc>
        <w:tc>
          <w:tcPr>
            <w:tcW w:w="1001" w:type="dxa"/>
            <w:tcBorders>
              <w:top w:val="nil"/>
              <w:left w:val="nil"/>
              <w:bottom w:val="nil"/>
              <w:right w:val="nil"/>
            </w:tcBorders>
            <w:shd w:val="clear" w:color="auto" w:fill="auto"/>
            <w:noWrap/>
            <w:vAlign w:val="center"/>
            <w:hideMark/>
          </w:tcPr>
          <w:p w14:paraId="7B58989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w:t>
            </w:r>
          </w:p>
        </w:tc>
        <w:tc>
          <w:tcPr>
            <w:tcW w:w="992" w:type="dxa"/>
            <w:tcBorders>
              <w:top w:val="nil"/>
              <w:left w:val="nil"/>
              <w:bottom w:val="nil"/>
              <w:right w:val="nil"/>
            </w:tcBorders>
            <w:shd w:val="clear" w:color="000000" w:fill="6F99CD"/>
            <w:noWrap/>
            <w:vAlign w:val="center"/>
            <w:hideMark/>
          </w:tcPr>
          <w:p w14:paraId="10E26BF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118%</w:t>
            </w:r>
          </w:p>
        </w:tc>
      </w:tr>
      <w:tr w:rsidR="0028350E" w:rsidRPr="007364B1" w14:paraId="212937E5" w14:textId="77777777" w:rsidTr="00AA33F9">
        <w:trPr>
          <w:trHeight w:val="360"/>
        </w:trPr>
        <w:tc>
          <w:tcPr>
            <w:tcW w:w="1985" w:type="dxa"/>
            <w:tcBorders>
              <w:top w:val="nil"/>
              <w:left w:val="nil"/>
              <w:bottom w:val="nil"/>
              <w:right w:val="nil"/>
            </w:tcBorders>
            <w:shd w:val="clear" w:color="auto" w:fill="auto"/>
            <w:noWrap/>
            <w:vAlign w:val="bottom"/>
            <w:hideMark/>
          </w:tcPr>
          <w:p w14:paraId="1EEAABB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2BCA738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8,333</w:t>
            </w:r>
          </w:p>
        </w:tc>
        <w:tc>
          <w:tcPr>
            <w:tcW w:w="1026" w:type="dxa"/>
            <w:tcBorders>
              <w:top w:val="nil"/>
              <w:left w:val="nil"/>
              <w:bottom w:val="nil"/>
              <w:right w:val="nil"/>
            </w:tcBorders>
            <w:shd w:val="clear" w:color="auto" w:fill="auto"/>
            <w:noWrap/>
            <w:vAlign w:val="center"/>
            <w:hideMark/>
          </w:tcPr>
          <w:p w14:paraId="10BFF3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15,809</w:t>
            </w:r>
          </w:p>
        </w:tc>
        <w:tc>
          <w:tcPr>
            <w:tcW w:w="851" w:type="dxa"/>
            <w:tcBorders>
              <w:top w:val="nil"/>
              <w:left w:val="nil"/>
              <w:bottom w:val="nil"/>
              <w:right w:val="nil"/>
            </w:tcBorders>
            <w:shd w:val="clear" w:color="000000" w:fill="FCE8EB"/>
            <w:noWrap/>
            <w:vAlign w:val="center"/>
            <w:hideMark/>
          </w:tcPr>
          <w:p w14:paraId="2EFC3B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+90%</w:t>
            </w:r>
          </w:p>
        </w:tc>
        <w:tc>
          <w:tcPr>
            <w:tcW w:w="992" w:type="dxa"/>
            <w:tcBorders>
              <w:top w:val="nil"/>
              <w:left w:val="nil"/>
              <w:bottom w:val="nil"/>
              <w:right w:val="nil"/>
            </w:tcBorders>
            <w:shd w:val="clear" w:color="auto" w:fill="auto"/>
            <w:noWrap/>
            <w:vAlign w:val="center"/>
            <w:hideMark/>
          </w:tcPr>
          <w:p w14:paraId="1D82CCB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33,993</w:t>
            </w:r>
          </w:p>
        </w:tc>
        <w:tc>
          <w:tcPr>
            <w:tcW w:w="850" w:type="dxa"/>
            <w:tcBorders>
              <w:top w:val="nil"/>
              <w:left w:val="nil"/>
              <w:bottom w:val="nil"/>
              <w:right w:val="nil"/>
            </w:tcBorders>
            <w:shd w:val="clear" w:color="auto" w:fill="auto"/>
            <w:noWrap/>
            <w:vAlign w:val="center"/>
            <w:hideMark/>
          </w:tcPr>
          <w:p w14:paraId="3DF4DC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617</w:t>
            </w:r>
          </w:p>
        </w:tc>
        <w:tc>
          <w:tcPr>
            <w:tcW w:w="1051" w:type="dxa"/>
            <w:tcBorders>
              <w:top w:val="nil"/>
              <w:left w:val="nil"/>
              <w:bottom w:val="nil"/>
              <w:right w:val="nil"/>
            </w:tcBorders>
            <w:shd w:val="clear" w:color="auto" w:fill="auto"/>
            <w:noWrap/>
            <w:vAlign w:val="center"/>
            <w:hideMark/>
          </w:tcPr>
          <w:p w14:paraId="75C5A22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w:t>
            </w:r>
          </w:p>
        </w:tc>
        <w:tc>
          <w:tcPr>
            <w:tcW w:w="869" w:type="dxa"/>
            <w:tcBorders>
              <w:top w:val="nil"/>
              <w:left w:val="nil"/>
              <w:bottom w:val="nil"/>
              <w:right w:val="nil"/>
            </w:tcBorders>
            <w:shd w:val="clear" w:color="auto" w:fill="auto"/>
            <w:noWrap/>
            <w:vAlign w:val="center"/>
            <w:hideMark/>
          </w:tcPr>
          <w:p w14:paraId="39EA2A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686</w:t>
            </w:r>
          </w:p>
        </w:tc>
        <w:tc>
          <w:tcPr>
            <w:tcW w:w="708" w:type="dxa"/>
            <w:tcBorders>
              <w:top w:val="nil"/>
              <w:left w:val="nil"/>
              <w:bottom w:val="nil"/>
              <w:right w:val="nil"/>
            </w:tcBorders>
            <w:shd w:val="clear" w:color="auto" w:fill="auto"/>
            <w:noWrap/>
            <w:vAlign w:val="center"/>
            <w:hideMark/>
          </w:tcPr>
          <w:p w14:paraId="6771229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2,253</w:t>
            </w:r>
          </w:p>
        </w:tc>
        <w:tc>
          <w:tcPr>
            <w:tcW w:w="1011" w:type="dxa"/>
            <w:tcBorders>
              <w:top w:val="nil"/>
              <w:left w:val="nil"/>
              <w:bottom w:val="nil"/>
              <w:right w:val="nil"/>
            </w:tcBorders>
            <w:shd w:val="clear" w:color="auto" w:fill="auto"/>
            <w:noWrap/>
            <w:vAlign w:val="center"/>
            <w:hideMark/>
          </w:tcPr>
          <w:p w14:paraId="7A491A7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188A9E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307</w:t>
            </w:r>
          </w:p>
        </w:tc>
        <w:tc>
          <w:tcPr>
            <w:tcW w:w="1354" w:type="dxa"/>
            <w:tcBorders>
              <w:top w:val="nil"/>
              <w:left w:val="nil"/>
              <w:bottom w:val="nil"/>
              <w:right w:val="nil"/>
            </w:tcBorders>
            <w:shd w:val="clear" w:color="auto" w:fill="auto"/>
            <w:noWrap/>
            <w:vAlign w:val="center"/>
            <w:hideMark/>
          </w:tcPr>
          <w:p w14:paraId="52EC0E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834</w:t>
            </w:r>
          </w:p>
        </w:tc>
        <w:tc>
          <w:tcPr>
            <w:tcW w:w="1001" w:type="dxa"/>
            <w:tcBorders>
              <w:top w:val="nil"/>
              <w:left w:val="nil"/>
              <w:bottom w:val="nil"/>
              <w:right w:val="nil"/>
            </w:tcBorders>
            <w:shd w:val="clear" w:color="auto" w:fill="auto"/>
            <w:noWrap/>
            <w:vAlign w:val="center"/>
            <w:hideMark/>
          </w:tcPr>
          <w:p w14:paraId="4504FFB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w:t>
            </w:r>
          </w:p>
        </w:tc>
        <w:tc>
          <w:tcPr>
            <w:tcW w:w="992" w:type="dxa"/>
            <w:tcBorders>
              <w:top w:val="nil"/>
              <w:left w:val="nil"/>
              <w:bottom w:val="nil"/>
              <w:right w:val="nil"/>
            </w:tcBorders>
            <w:shd w:val="clear" w:color="000000" w:fill="DFE8F5"/>
            <w:noWrap/>
            <w:vAlign w:val="center"/>
            <w:hideMark/>
          </w:tcPr>
          <w:p w14:paraId="6BD3387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373%</w:t>
            </w:r>
          </w:p>
        </w:tc>
      </w:tr>
      <w:tr w:rsidR="0028350E" w:rsidRPr="007364B1" w14:paraId="0044B23D" w14:textId="77777777" w:rsidTr="00AA33F9">
        <w:trPr>
          <w:trHeight w:val="360"/>
        </w:trPr>
        <w:tc>
          <w:tcPr>
            <w:tcW w:w="1985" w:type="dxa"/>
            <w:tcBorders>
              <w:top w:val="nil"/>
              <w:left w:val="nil"/>
              <w:bottom w:val="nil"/>
              <w:right w:val="nil"/>
            </w:tcBorders>
            <w:shd w:val="clear" w:color="auto" w:fill="auto"/>
            <w:noWrap/>
            <w:vAlign w:val="bottom"/>
            <w:hideMark/>
          </w:tcPr>
          <w:p w14:paraId="455214F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78FA701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2,415</w:t>
            </w:r>
          </w:p>
        </w:tc>
        <w:tc>
          <w:tcPr>
            <w:tcW w:w="1026" w:type="dxa"/>
            <w:tcBorders>
              <w:top w:val="nil"/>
              <w:left w:val="nil"/>
              <w:bottom w:val="nil"/>
              <w:right w:val="nil"/>
            </w:tcBorders>
            <w:shd w:val="clear" w:color="auto" w:fill="auto"/>
            <w:noWrap/>
            <w:vAlign w:val="center"/>
            <w:hideMark/>
          </w:tcPr>
          <w:p w14:paraId="3AAA02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2,818</w:t>
            </w:r>
          </w:p>
        </w:tc>
        <w:tc>
          <w:tcPr>
            <w:tcW w:w="851" w:type="dxa"/>
            <w:tcBorders>
              <w:top w:val="nil"/>
              <w:left w:val="nil"/>
              <w:bottom w:val="nil"/>
              <w:right w:val="nil"/>
            </w:tcBorders>
            <w:shd w:val="clear" w:color="000000" w:fill="FCEEF1"/>
            <w:noWrap/>
            <w:vAlign w:val="center"/>
            <w:hideMark/>
          </w:tcPr>
          <w:p w14:paraId="271ECB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992" w:type="dxa"/>
            <w:tcBorders>
              <w:top w:val="nil"/>
              <w:left w:val="nil"/>
              <w:bottom w:val="nil"/>
              <w:right w:val="nil"/>
            </w:tcBorders>
            <w:shd w:val="clear" w:color="auto" w:fill="auto"/>
            <w:noWrap/>
            <w:vAlign w:val="center"/>
            <w:hideMark/>
          </w:tcPr>
          <w:p w14:paraId="6375A2F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3,281</w:t>
            </w:r>
          </w:p>
        </w:tc>
        <w:tc>
          <w:tcPr>
            <w:tcW w:w="850" w:type="dxa"/>
            <w:tcBorders>
              <w:top w:val="nil"/>
              <w:left w:val="nil"/>
              <w:bottom w:val="nil"/>
              <w:right w:val="nil"/>
            </w:tcBorders>
            <w:shd w:val="clear" w:color="auto" w:fill="auto"/>
            <w:noWrap/>
            <w:vAlign w:val="center"/>
            <w:hideMark/>
          </w:tcPr>
          <w:p w14:paraId="32F9DDA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224</w:t>
            </w:r>
          </w:p>
        </w:tc>
        <w:tc>
          <w:tcPr>
            <w:tcW w:w="1051" w:type="dxa"/>
            <w:tcBorders>
              <w:top w:val="nil"/>
              <w:left w:val="nil"/>
              <w:bottom w:val="nil"/>
              <w:right w:val="nil"/>
            </w:tcBorders>
            <w:shd w:val="clear" w:color="auto" w:fill="auto"/>
            <w:noWrap/>
            <w:vAlign w:val="center"/>
            <w:hideMark/>
          </w:tcPr>
          <w:p w14:paraId="36B86C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w:t>
            </w:r>
          </w:p>
        </w:tc>
        <w:tc>
          <w:tcPr>
            <w:tcW w:w="869" w:type="dxa"/>
            <w:tcBorders>
              <w:top w:val="nil"/>
              <w:left w:val="nil"/>
              <w:bottom w:val="nil"/>
              <w:right w:val="nil"/>
            </w:tcBorders>
            <w:shd w:val="clear" w:color="auto" w:fill="auto"/>
            <w:noWrap/>
            <w:vAlign w:val="center"/>
            <w:hideMark/>
          </w:tcPr>
          <w:p w14:paraId="5C1498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247</w:t>
            </w:r>
          </w:p>
        </w:tc>
        <w:tc>
          <w:tcPr>
            <w:tcW w:w="708" w:type="dxa"/>
            <w:tcBorders>
              <w:top w:val="nil"/>
              <w:left w:val="nil"/>
              <w:bottom w:val="nil"/>
              <w:right w:val="nil"/>
            </w:tcBorders>
            <w:shd w:val="clear" w:color="auto" w:fill="auto"/>
            <w:noWrap/>
            <w:vAlign w:val="center"/>
            <w:hideMark/>
          </w:tcPr>
          <w:p w14:paraId="1D3D087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306</w:t>
            </w:r>
          </w:p>
        </w:tc>
        <w:tc>
          <w:tcPr>
            <w:tcW w:w="1011" w:type="dxa"/>
            <w:tcBorders>
              <w:top w:val="nil"/>
              <w:left w:val="nil"/>
              <w:bottom w:val="nil"/>
              <w:right w:val="nil"/>
            </w:tcBorders>
            <w:shd w:val="clear" w:color="auto" w:fill="auto"/>
            <w:noWrap/>
            <w:vAlign w:val="center"/>
            <w:hideMark/>
          </w:tcPr>
          <w:p w14:paraId="497A4A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382E3A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1354" w:type="dxa"/>
            <w:tcBorders>
              <w:top w:val="nil"/>
              <w:left w:val="nil"/>
              <w:bottom w:val="nil"/>
              <w:right w:val="nil"/>
            </w:tcBorders>
            <w:shd w:val="clear" w:color="auto" w:fill="auto"/>
            <w:noWrap/>
            <w:vAlign w:val="center"/>
            <w:hideMark/>
          </w:tcPr>
          <w:p w14:paraId="7F63E3F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c>
          <w:tcPr>
            <w:tcW w:w="1001" w:type="dxa"/>
            <w:tcBorders>
              <w:top w:val="nil"/>
              <w:left w:val="nil"/>
              <w:bottom w:val="nil"/>
              <w:right w:val="nil"/>
            </w:tcBorders>
            <w:shd w:val="clear" w:color="auto" w:fill="auto"/>
            <w:noWrap/>
            <w:vAlign w:val="center"/>
            <w:hideMark/>
          </w:tcPr>
          <w:p w14:paraId="362D6F6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992" w:type="dxa"/>
            <w:tcBorders>
              <w:top w:val="nil"/>
              <w:left w:val="nil"/>
              <w:bottom w:val="nil"/>
              <w:right w:val="nil"/>
            </w:tcBorders>
            <w:shd w:val="clear" w:color="000000" w:fill="CBDAEE"/>
            <w:noWrap/>
            <w:vAlign w:val="center"/>
            <w:hideMark/>
          </w:tcPr>
          <w:p w14:paraId="0817487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141%</w:t>
            </w:r>
          </w:p>
        </w:tc>
      </w:tr>
      <w:tr w:rsidR="0028350E" w:rsidRPr="007364B1" w14:paraId="4830A8FC" w14:textId="77777777" w:rsidTr="00AA33F9">
        <w:trPr>
          <w:trHeight w:val="360"/>
        </w:trPr>
        <w:tc>
          <w:tcPr>
            <w:tcW w:w="1985" w:type="dxa"/>
            <w:tcBorders>
              <w:top w:val="nil"/>
              <w:left w:val="nil"/>
              <w:bottom w:val="nil"/>
              <w:right w:val="nil"/>
            </w:tcBorders>
            <w:shd w:val="clear" w:color="auto" w:fill="auto"/>
            <w:noWrap/>
            <w:vAlign w:val="bottom"/>
            <w:hideMark/>
          </w:tcPr>
          <w:p w14:paraId="667684E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6BD6963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2,148</w:t>
            </w:r>
          </w:p>
        </w:tc>
        <w:tc>
          <w:tcPr>
            <w:tcW w:w="1026" w:type="dxa"/>
            <w:tcBorders>
              <w:top w:val="nil"/>
              <w:left w:val="nil"/>
              <w:bottom w:val="nil"/>
              <w:right w:val="nil"/>
            </w:tcBorders>
            <w:shd w:val="clear" w:color="auto" w:fill="auto"/>
            <w:noWrap/>
            <w:vAlign w:val="center"/>
            <w:hideMark/>
          </w:tcPr>
          <w:p w14:paraId="224CEE6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3,247</w:t>
            </w:r>
          </w:p>
        </w:tc>
        <w:tc>
          <w:tcPr>
            <w:tcW w:w="851" w:type="dxa"/>
            <w:tcBorders>
              <w:top w:val="nil"/>
              <w:left w:val="nil"/>
              <w:bottom w:val="nil"/>
              <w:right w:val="nil"/>
            </w:tcBorders>
            <w:shd w:val="clear" w:color="000000" w:fill="FCDEE0"/>
            <w:noWrap/>
            <w:vAlign w:val="center"/>
            <w:hideMark/>
          </w:tcPr>
          <w:p w14:paraId="7C63CBF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w:t>
            </w:r>
          </w:p>
        </w:tc>
        <w:tc>
          <w:tcPr>
            <w:tcW w:w="992" w:type="dxa"/>
            <w:tcBorders>
              <w:top w:val="nil"/>
              <w:left w:val="nil"/>
              <w:bottom w:val="nil"/>
              <w:right w:val="nil"/>
            </w:tcBorders>
            <w:shd w:val="clear" w:color="auto" w:fill="auto"/>
            <w:noWrap/>
            <w:vAlign w:val="center"/>
            <w:hideMark/>
          </w:tcPr>
          <w:p w14:paraId="1B9408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4,556</w:t>
            </w:r>
          </w:p>
        </w:tc>
        <w:tc>
          <w:tcPr>
            <w:tcW w:w="850" w:type="dxa"/>
            <w:tcBorders>
              <w:top w:val="nil"/>
              <w:left w:val="nil"/>
              <w:bottom w:val="nil"/>
              <w:right w:val="nil"/>
            </w:tcBorders>
            <w:shd w:val="clear" w:color="auto" w:fill="auto"/>
            <w:noWrap/>
            <w:vAlign w:val="center"/>
            <w:hideMark/>
          </w:tcPr>
          <w:p w14:paraId="1925BD9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205</w:t>
            </w:r>
          </w:p>
        </w:tc>
        <w:tc>
          <w:tcPr>
            <w:tcW w:w="1051" w:type="dxa"/>
            <w:tcBorders>
              <w:top w:val="nil"/>
              <w:left w:val="nil"/>
              <w:bottom w:val="nil"/>
              <w:right w:val="nil"/>
            </w:tcBorders>
            <w:shd w:val="clear" w:color="auto" w:fill="auto"/>
            <w:noWrap/>
            <w:vAlign w:val="center"/>
            <w:hideMark/>
          </w:tcPr>
          <w:p w14:paraId="57E7FF0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72</w:t>
            </w:r>
          </w:p>
        </w:tc>
        <w:tc>
          <w:tcPr>
            <w:tcW w:w="869" w:type="dxa"/>
            <w:tcBorders>
              <w:top w:val="nil"/>
              <w:left w:val="nil"/>
              <w:bottom w:val="nil"/>
              <w:right w:val="nil"/>
            </w:tcBorders>
            <w:shd w:val="clear" w:color="auto" w:fill="auto"/>
            <w:noWrap/>
            <w:vAlign w:val="center"/>
            <w:hideMark/>
          </w:tcPr>
          <w:p w14:paraId="7A2EDAC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277</w:t>
            </w:r>
          </w:p>
        </w:tc>
        <w:tc>
          <w:tcPr>
            <w:tcW w:w="708" w:type="dxa"/>
            <w:tcBorders>
              <w:top w:val="nil"/>
              <w:left w:val="nil"/>
              <w:bottom w:val="nil"/>
              <w:right w:val="nil"/>
            </w:tcBorders>
            <w:shd w:val="clear" w:color="auto" w:fill="auto"/>
            <w:noWrap/>
            <w:vAlign w:val="center"/>
            <w:hideMark/>
          </w:tcPr>
          <w:p w14:paraId="728CB39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321</w:t>
            </w:r>
          </w:p>
        </w:tc>
        <w:tc>
          <w:tcPr>
            <w:tcW w:w="1011" w:type="dxa"/>
            <w:tcBorders>
              <w:top w:val="nil"/>
              <w:left w:val="nil"/>
              <w:bottom w:val="nil"/>
              <w:right w:val="nil"/>
            </w:tcBorders>
            <w:shd w:val="clear" w:color="auto" w:fill="auto"/>
            <w:noWrap/>
            <w:vAlign w:val="center"/>
            <w:hideMark/>
          </w:tcPr>
          <w:p w14:paraId="1AD2FF9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BA3822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230</w:t>
            </w:r>
          </w:p>
        </w:tc>
        <w:tc>
          <w:tcPr>
            <w:tcW w:w="1354" w:type="dxa"/>
            <w:tcBorders>
              <w:top w:val="nil"/>
              <w:left w:val="nil"/>
              <w:bottom w:val="nil"/>
              <w:right w:val="nil"/>
            </w:tcBorders>
            <w:shd w:val="clear" w:color="auto" w:fill="auto"/>
            <w:noWrap/>
            <w:vAlign w:val="center"/>
            <w:hideMark/>
          </w:tcPr>
          <w:p w14:paraId="3AC493D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308</w:t>
            </w:r>
          </w:p>
        </w:tc>
        <w:tc>
          <w:tcPr>
            <w:tcW w:w="1001" w:type="dxa"/>
            <w:tcBorders>
              <w:top w:val="nil"/>
              <w:left w:val="nil"/>
              <w:bottom w:val="nil"/>
              <w:right w:val="nil"/>
            </w:tcBorders>
            <w:shd w:val="clear" w:color="auto" w:fill="auto"/>
            <w:noWrap/>
            <w:vAlign w:val="center"/>
            <w:hideMark/>
          </w:tcPr>
          <w:p w14:paraId="226792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75%</w:t>
            </w:r>
          </w:p>
        </w:tc>
        <w:tc>
          <w:tcPr>
            <w:tcW w:w="992" w:type="dxa"/>
            <w:tcBorders>
              <w:top w:val="nil"/>
              <w:left w:val="nil"/>
              <w:bottom w:val="nil"/>
              <w:right w:val="nil"/>
            </w:tcBorders>
            <w:shd w:val="clear" w:color="000000" w:fill="F9898B"/>
            <w:noWrap/>
            <w:vAlign w:val="center"/>
            <w:hideMark/>
          </w:tcPr>
          <w:p w14:paraId="7A707B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199%</w:t>
            </w:r>
          </w:p>
        </w:tc>
      </w:tr>
      <w:tr w:rsidR="0028350E" w:rsidRPr="007364B1" w14:paraId="14A70414" w14:textId="77777777" w:rsidTr="00AA33F9">
        <w:trPr>
          <w:trHeight w:val="360"/>
        </w:trPr>
        <w:tc>
          <w:tcPr>
            <w:tcW w:w="1985" w:type="dxa"/>
            <w:tcBorders>
              <w:top w:val="nil"/>
              <w:left w:val="nil"/>
              <w:bottom w:val="nil"/>
              <w:right w:val="nil"/>
            </w:tcBorders>
            <w:shd w:val="clear" w:color="auto" w:fill="auto"/>
            <w:noWrap/>
            <w:vAlign w:val="bottom"/>
            <w:hideMark/>
          </w:tcPr>
          <w:p w14:paraId="0DCF991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70312DD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15,613</w:t>
            </w:r>
          </w:p>
        </w:tc>
        <w:tc>
          <w:tcPr>
            <w:tcW w:w="1026" w:type="dxa"/>
            <w:tcBorders>
              <w:top w:val="nil"/>
              <w:left w:val="nil"/>
              <w:bottom w:val="nil"/>
              <w:right w:val="nil"/>
            </w:tcBorders>
            <w:shd w:val="clear" w:color="auto" w:fill="auto"/>
            <w:noWrap/>
            <w:vAlign w:val="center"/>
            <w:hideMark/>
          </w:tcPr>
          <w:p w14:paraId="29B8A8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20,269</w:t>
            </w:r>
          </w:p>
        </w:tc>
        <w:tc>
          <w:tcPr>
            <w:tcW w:w="851" w:type="dxa"/>
            <w:tcBorders>
              <w:top w:val="nil"/>
              <w:left w:val="nil"/>
              <w:bottom w:val="nil"/>
              <w:right w:val="nil"/>
            </w:tcBorders>
            <w:shd w:val="clear" w:color="000000" w:fill="FCE3E5"/>
            <w:noWrap/>
            <w:vAlign w:val="center"/>
            <w:hideMark/>
          </w:tcPr>
          <w:p w14:paraId="2C266D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w:t>
            </w:r>
          </w:p>
        </w:tc>
        <w:tc>
          <w:tcPr>
            <w:tcW w:w="992" w:type="dxa"/>
            <w:tcBorders>
              <w:top w:val="nil"/>
              <w:left w:val="nil"/>
              <w:bottom w:val="nil"/>
              <w:right w:val="nil"/>
            </w:tcBorders>
            <w:shd w:val="clear" w:color="auto" w:fill="auto"/>
            <w:noWrap/>
            <w:vAlign w:val="center"/>
            <w:hideMark/>
          </w:tcPr>
          <w:p w14:paraId="593E10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24,830</w:t>
            </w:r>
          </w:p>
        </w:tc>
        <w:tc>
          <w:tcPr>
            <w:tcW w:w="850" w:type="dxa"/>
            <w:tcBorders>
              <w:top w:val="nil"/>
              <w:left w:val="nil"/>
              <w:bottom w:val="nil"/>
              <w:right w:val="nil"/>
            </w:tcBorders>
            <w:shd w:val="clear" w:color="auto" w:fill="auto"/>
            <w:noWrap/>
            <w:vAlign w:val="center"/>
            <w:hideMark/>
          </w:tcPr>
          <w:p w14:paraId="3D1A52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1,433</w:t>
            </w:r>
          </w:p>
        </w:tc>
        <w:tc>
          <w:tcPr>
            <w:tcW w:w="1051" w:type="dxa"/>
            <w:tcBorders>
              <w:top w:val="nil"/>
              <w:left w:val="nil"/>
              <w:bottom w:val="nil"/>
              <w:right w:val="nil"/>
            </w:tcBorders>
            <w:shd w:val="clear" w:color="auto" w:fill="auto"/>
            <w:noWrap/>
            <w:vAlign w:val="center"/>
            <w:hideMark/>
          </w:tcPr>
          <w:p w14:paraId="35EAD5C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90</w:t>
            </w:r>
          </w:p>
        </w:tc>
        <w:tc>
          <w:tcPr>
            <w:tcW w:w="869" w:type="dxa"/>
            <w:tcBorders>
              <w:top w:val="nil"/>
              <w:left w:val="nil"/>
              <w:bottom w:val="nil"/>
              <w:right w:val="nil"/>
            </w:tcBorders>
            <w:shd w:val="clear" w:color="auto" w:fill="auto"/>
            <w:noWrap/>
            <w:vAlign w:val="center"/>
            <w:hideMark/>
          </w:tcPr>
          <w:p w14:paraId="0D185B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1,524</w:t>
            </w:r>
          </w:p>
        </w:tc>
        <w:tc>
          <w:tcPr>
            <w:tcW w:w="708" w:type="dxa"/>
            <w:tcBorders>
              <w:top w:val="nil"/>
              <w:left w:val="nil"/>
              <w:bottom w:val="nil"/>
              <w:right w:val="nil"/>
            </w:tcBorders>
            <w:shd w:val="clear" w:color="auto" w:fill="auto"/>
            <w:noWrap/>
            <w:vAlign w:val="center"/>
            <w:hideMark/>
          </w:tcPr>
          <w:p w14:paraId="7A7B5B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2,363</w:t>
            </w:r>
          </w:p>
        </w:tc>
        <w:tc>
          <w:tcPr>
            <w:tcW w:w="1011" w:type="dxa"/>
            <w:tcBorders>
              <w:top w:val="nil"/>
              <w:left w:val="nil"/>
              <w:bottom w:val="nil"/>
              <w:right w:val="nil"/>
            </w:tcBorders>
            <w:shd w:val="clear" w:color="auto" w:fill="auto"/>
            <w:noWrap/>
            <w:vAlign w:val="center"/>
            <w:hideMark/>
          </w:tcPr>
          <w:p w14:paraId="697BA03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6BDC16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330</w:t>
            </w:r>
          </w:p>
        </w:tc>
        <w:tc>
          <w:tcPr>
            <w:tcW w:w="1354" w:type="dxa"/>
            <w:tcBorders>
              <w:top w:val="nil"/>
              <w:left w:val="nil"/>
              <w:bottom w:val="nil"/>
              <w:right w:val="nil"/>
            </w:tcBorders>
            <w:shd w:val="clear" w:color="auto" w:fill="auto"/>
            <w:noWrap/>
            <w:vAlign w:val="center"/>
            <w:hideMark/>
          </w:tcPr>
          <w:p w14:paraId="78B291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528</w:t>
            </w:r>
          </w:p>
        </w:tc>
        <w:tc>
          <w:tcPr>
            <w:tcW w:w="1001" w:type="dxa"/>
            <w:tcBorders>
              <w:top w:val="nil"/>
              <w:left w:val="nil"/>
              <w:bottom w:val="nil"/>
              <w:right w:val="nil"/>
            </w:tcBorders>
            <w:shd w:val="clear" w:color="auto" w:fill="auto"/>
            <w:noWrap/>
            <w:vAlign w:val="center"/>
            <w:hideMark/>
          </w:tcPr>
          <w:p w14:paraId="757CDF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62%</w:t>
            </w:r>
          </w:p>
        </w:tc>
        <w:tc>
          <w:tcPr>
            <w:tcW w:w="992" w:type="dxa"/>
            <w:tcBorders>
              <w:top w:val="nil"/>
              <w:left w:val="nil"/>
              <w:bottom w:val="nil"/>
              <w:right w:val="nil"/>
            </w:tcBorders>
            <w:shd w:val="clear" w:color="000000" w:fill="FCFCFF"/>
            <w:noWrap/>
            <w:vAlign w:val="center"/>
            <w:hideMark/>
          </w:tcPr>
          <w:p w14:paraId="5297626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177%</w:t>
            </w:r>
          </w:p>
        </w:tc>
      </w:tr>
      <w:tr w:rsidR="0028350E" w:rsidRPr="007364B1" w14:paraId="6F4CFD01" w14:textId="77777777" w:rsidTr="00AA33F9">
        <w:trPr>
          <w:trHeight w:val="360"/>
        </w:trPr>
        <w:tc>
          <w:tcPr>
            <w:tcW w:w="1985" w:type="dxa"/>
            <w:tcBorders>
              <w:top w:val="nil"/>
              <w:left w:val="nil"/>
              <w:bottom w:val="nil"/>
              <w:right w:val="nil"/>
            </w:tcBorders>
            <w:shd w:val="clear" w:color="auto" w:fill="auto"/>
            <w:noWrap/>
            <w:vAlign w:val="bottom"/>
            <w:hideMark/>
          </w:tcPr>
          <w:p w14:paraId="6654340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475BE1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372</w:t>
            </w:r>
          </w:p>
        </w:tc>
        <w:tc>
          <w:tcPr>
            <w:tcW w:w="1026" w:type="dxa"/>
            <w:tcBorders>
              <w:top w:val="nil"/>
              <w:left w:val="nil"/>
              <w:bottom w:val="nil"/>
              <w:right w:val="nil"/>
            </w:tcBorders>
            <w:shd w:val="clear" w:color="auto" w:fill="auto"/>
            <w:noWrap/>
            <w:vAlign w:val="center"/>
            <w:hideMark/>
          </w:tcPr>
          <w:p w14:paraId="2AF274B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428</w:t>
            </w:r>
          </w:p>
        </w:tc>
        <w:tc>
          <w:tcPr>
            <w:tcW w:w="851" w:type="dxa"/>
            <w:tcBorders>
              <w:top w:val="nil"/>
              <w:left w:val="nil"/>
              <w:bottom w:val="nil"/>
              <w:right w:val="nil"/>
            </w:tcBorders>
            <w:shd w:val="clear" w:color="auto" w:fill="auto"/>
            <w:noWrap/>
            <w:vAlign w:val="center"/>
            <w:hideMark/>
          </w:tcPr>
          <w:p w14:paraId="3273E13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w:t>
            </w:r>
          </w:p>
        </w:tc>
        <w:tc>
          <w:tcPr>
            <w:tcW w:w="992" w:type="dxa"/>
            <w:tcBorders>
              <w:top w:val="nil"/>
              <w:left w:val="nil"/>
              <w:bottom w:val="nil"/>
              <w:right w:val="nil"/>
            </w:tcBorders>
            <w:shd w:val="clear" w:color="auto" w:fill="auto"/>
            <w:noWrap/>
            <w:vAlign w:val="center"/>
            <w:hideMark/>
          </w:tcPr>
          <w:p w14:paraId="22934A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427</w:t>
            </w:r>
          </w:p>
        </w:tc>
        <w:tc>
          <w:tcPr>
            <w:tcW w:w="850" w:type="dxa"/>
            <w:tcBorders>
              <w:top w:val="nil"/>
              <w:left w:val="nil"/>
              <w:bottom w:val="nil"/>
              <w:right w:val="nil"/>
            </w:tcBorders>
            <w:shd w:val="clear" w:color="auto" w:fill="auto"/>
            <w:noWrap/>
            <w:vAlign w:val="center"/>
            <w:hideMark/>
          </w:tcPr>
          <w:p w14:paraId="078F9D5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76</w:t>
            </w:r>
          </w:p>
        </w:tc>
        <w:tc>
          <w:tcPr>
            <w:tcW w:w="1051" w:type="dxa"/>
            <w:tcBorders>
              <w:top w:val="nil"/>
              <w:left w:val="nil"/>
              <w:bottom w:val="nil"/>
              <w:right w:val="nil"/>
            </w:tcBorders>
            <w:shd w:val="clear" w:color="auto" w:fill="auto"/>
            <w:noWrap/>
            <w:vAlign w:val="center"/>
            <w:hideMark/>
          </w:tcPr>
          <w:p w14:paraId="2B940C2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869" w:type="dxa"/>
            <w:tcBorders>
              <w:top w:val="nil"/>
              <w:left w:val="nil"/>
              <w:bottom w:val="nil"/>
              <w:right w:val="nil"/>
            </w:tcBorders>
            <w:shd w:val="clear" w:color="auto" w:fill="auto"/>
            <w:noWrap/>
            <w:vAlign w:val="center"/>
            <w:hideMark/>
          </w:tcPr>
          <w:p w14:paraId="69A28C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w:t>
            </w:r>
          </w:p>
        </w:tc>
        <w:tc>
          <w:tcPr>
            <w:tcW w:w="708" w:type="dxa"/>
            <w:tcBorders>
              <w:top w:val="nil"/>
              <w:left w:val="nil"/>
              <w:bottom w:val="nil"/>
              <w:right w:val="nil"/>
            </w:tcBorders>
            <w:shd w:val="clear" w:color="auto" w:fill="auto"/>
            <w:noWrap/>
            <w:vAlign w:val="center"/>
            <w:hideMark/>
          </w:tcPr>
          <w:p w14:paraId="1BF0542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1011" w:type="dxa"/>
            <w:tcBorders>
              <w:top w:val="nil"/>
              <w:left w:val="nil"/>
              <w:bottom w:val="nil"/>
              <w:right w:val="nil"/>
            </w:tcBorders>
            <w:shd w:val="clear" w:color="auto" w:fill="auto"/>
            <w:noWrap/>
            <w:vAlign w:val="center"/>
            <w:hideMark/>
          </w:tcPr>
          <w:p w14:paraId="6DD86F9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33E12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80</w:t>
            </w:r>
          </w:p>
        </w:tc>
        <w:tc>
          <w:tcPr>
            <w:tcW w:w="1354" w:type="dxa"/>
            <w:tcBorders>
              <w:top w:val="nil"/>
              <w:left w:val="nil"/>
              <w:bottom w:val="nil"/>
              <w:right w:val="nil"/>
            </w:tcBorders>
            <w:shd w:val="clear" w:color="auto" w:fill="auto"/>
            <w:noWrap/>
            <w:vAlign w:val="center"/>
            <w:hideMark/>
          </w:tcPr>
          <w:p w14:paraId="1F66201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82</w:t>
            </w:r>
          </w:p>
        </w:tc>
        <w:tc>
          <w:tcPr>
            <w:tcW w:w="1001" w:type="dxa"/>
            <w:tcBorders>
              <w:top w:val="nil"/>
              <w:left w:val="nil"/>
              <w:bottom w:val="nil"/>
              <w:right w:val="nil"/>
            </w:tcBorders>
            <w:shd w:val="clear" w:color="auto" w:fill="auto"/>
            <w:noWrap/>
            <w:vAlign w:val="center"/>
            <w:hideMark/>
          </w:tcPr>
          <w:p w14:paraId="2BEB007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97%</w:t>
            </w:r>
          </w:p>
        </w:tc>
        <w:tc>
          <w:tcPr>
            <w:tcW w:w="992" w:type="dxa"/>
            <w:tcBorders>
              <w:top w:val="nil"/>
              <w:left w:val="nil"/>
              <w:bottom w:val="nil"/>
              <w:right w:val="nil"/>
            </w:tcBorders>
            <w:shd w:val="clear" w:color="000000" w:fill="FFCEDC"/>
            <w:noWrap/>
            <w:vAlign w:val="center"/>
            <w:hideMark/>
          </w:tcPr>
          <w:p w14:paraId="717D4F0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118%</w:t>
            </w:r>
          </w:p>
        </w:tc>
      </w:tr>
      <w:tr w:rsidR="0028350E" w:rsidRPr="007364B1" w14:paraId="0B4F0214" w14:textId="77777777" w:rsidTr="00AA33F9">
        <w:trPr>
          <w:trHeight w:val="360"/>
        </w:trPr>
        <w:tc>
          <w:tcPr>
            <w:tcW w:w="1985" w:type="dxa"/>
            <w:tcBorders>
              <w:top w:val="nil"/>
              <w:left w:val="nil"/>
              <w:bottom w:val="nil"/>
              <w:right w:val="nil"/>
            </w:tcBorders>
            <w:shd w:val="clear" w:color="auto" w:fill="auto"/>
            <w:noWrap/>
            <w:vAlign w:val="bottom"/>
            <w:hideMark/>
          </w:tcPr>
          <w:p w14:paraId="7793042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5E1413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1026" w:type="dxa"/>
            <w:tcBorders>
              <w:top w:val="nil"/>
              <w:left w:val="nil"/>
              <w:bottom w:val="nil"/>
              <w:right w:val="nil"/>
            </w:tcBorders>
            <w:shd w:val="clear" w:color="auto" w:fill="auto"/>
            <w:noWrap/>
            <w:vAlign w:val="center"/>
            <w:hideMark/>
          </w:tcPr>
          <w:p w14:paraId="432CD3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51" w:type="dxa"/>
            <w:tcBorders>
              <w:top w:val="nil"/>
              <w:left w:val="nil"/>
              <w:bottom w:val="nil"/>
              <w:right w:val="nil"/>
            </w:tcBorders>
            <w:shd w:val="clear" w:color="000000" w:fill="FBCACC"/>
            <w:noWrap/>
            <w:vAlign w:val="center"/>
            <w:hideMark/>
          </w:tcPr>
          <w:p w14:paraId="29B27C6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992" w:type="dxa"/>
            <w:tcBorders>
              <w:top w:val="nil"/>
              <w:left w:val="nil"/>
              <w:bottom w:val="nil"/>
              <w:right w:val="nil"/>
            </w:tcBorders>
            <w:shd w:val="clear" w:color="auto" w:fill="auto"/>
            <w:noWrap/>
            <w:vAlign w:val="center"/>
            <w:hideMark/>
          </w:tcPr>
          <w:p w14:paraId="3F5A35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02B348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32DF603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869" w:type="dxa"/>
            <w:tcBorders>
              <w:top w:val="nil"/>
              <w:left w:val="nil"/>
              <w:bottom w:val="nil"/>
              <w:right w:val="nil"/>
            </w:tcBorders>
            <w:shd w:val="clear" w:color="auto" w:fill="auto"/>
            <w:noWrap/>
            <w:vAlign w:val="center"/>
            <w:hideMark/>
          </w:tcPr>
          <w:p w14:paraId="3E7A8A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708" w:type="dxa"/>
            <w:tcBorders>
              <w:top w:val="nil"/>
              <w:left w:val="nil"/>
              <w:bottom w:val="nil"/>
              <w:right w:val="nil"/>
            </w:tcBorders>
            <w:shd w:val="clear" w:color="auto" w:fill="auto"/>
            <w:noWrap/>
            <w:vAlign w:val="center"/>
            <w:hideMark/>
          </w:tcPr>
          <w:p w14:paraId="7E0EF96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11" w:type="dxa"/>
            <w:tcBorders>
              <w:top w:val="nil"/>
              <w:left w:val="nil"/>
              <w:bottom w:val="nil"/>
              <w:right w:val="nil"/>
            </w:tcBorders>
            <w:shd w:val="clear" w:color="auto" w:fill="auto"/>
            <w:noWrap/>
            <w:vAlign w:val="center"/>
            <w:hideMark/>
          </w:tcPr>
          <w:p w14:paraId="1F83A9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90026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35C4B1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55E168A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F8696B"/>
            <w:noWrap/>
            <w:vAlign w:val="center"/>
            <w:hideMark/>
          </w:tcPr>
          <w:p w14:paraId="4378C5F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r>
      <w:tr w:rsidR="0028350E" w:rsidRPr="007364B1" w14:paraId="0F4EAAF7" w14:textId="77777777" w:rsidTr="00AA33F9">
        <w:trPr>
          <w:trHeight w:val="360"/>
        </w:trPr>
        <w:tc>
          <w:tcPr>
            <w:tcW w:w="1985" w:type="dxa"/>
            <w:tcBorders>
              <w:top w:val="nil"/>
              <w:left w:val="nil"/>
              <w:bottom w:val="nil"/>
              <w:right w:val="nil"/>
            </w:tcBorders>
            <w:shd w:val="clear" w:color="auto" w:fill="auto"/>
            <w:noWrap/>
            <w:vAlign w:val="bottom"/>
            <w:hideMark/>
          </w:tcPr>
          <w:p w14:paraId="710F63F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767B35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209</w:t>
            </w:r>
          </w:p>
        </w:tc>
        <w:tc>
          <w:tcPr>
            <w:tcW w:w="1026" w:type="dxa"/>
            <w:tcBorders>
              <w:top w:val="nil"/>
              <w:left w:val="nil"/>
              <w:bottom w:val="nil"/>
              <w:right w:val="nil"/>
            </w:tcBorders>
            <w:shd w:val="clear" w:color="auto" w:fill="auto"/>
            <w:noWrap/>
            <w:vAlign w:val="center"/>
            <w:hideMark/>
          </w:tcPr>
          <w:p w14:paraId="6FCCCEE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411</w:t>
            </w:r>
          </w:p>
        </w:tc>
        <w:tc>
          <w:tcPr>
            <w:tcW w:w="851" w:type="dxa"/>
            <w:tcBorders>
              <w:top w:val="nil"/>
              <w:left w:val="nil"/>
              <w:bottom w:val="nil"/>
              <w:right w:val="nil"/>
            </w:tcBorders>
            <w:shd w:val="clear" w:color="000000" w:fill="FCDCDE"/>
            <w:noWrap/>
            <w:vAlign w:val="center"/>
            <w:hideMark/>
          </w:tcPr>
          <w:p w14:paraId="1F2B038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+97%</w:t>
            </w:r>
          </w:p>
        </w:tc>
        <w:tc>
          <w:tcPr>
            <w:tcW w:w="992" w:type="dxa"/>
            <w:tcBorders>
              <w:top w:val="nil"/>
              <w:left w:val="nil"/>
              <w:bottom w:val="nil"/>
              <w:right w:val="nil"/>
            </w:tcBorders>
            <w:shd w:val="clear" w:color="auto" w:fill="auto"/>
            <w:noWrap/>
            <w:vAlign w:val="center"/>
            <w:hideMark/>
          </w:tcPr>
          <w:p w14:paraId="503363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511</w:t>
            </w:r>
          </w:p>
        </w:tc>
        <w:tc>
          <w:tcPr>
            <w:tcW w:w="850" w:type="dxa"/>
            <w:tcBorders>
              <w:top w:val="nil"/>
              <w:left w:val="nil"/>
              <w:bottom w:val="nil"/>
              <w:right w:val="nil"/>
            </w:tcBorders>
            <w:shd w:val="clear" w:color="auto" w:fill="auto"/>
            <w:noWrap/>
            <w:vAlign w:val="center"/>
            <w:hideMark/>
          </w:tcPr>
          <w:p w14:paraId="5E7C2E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1051" w:type="dxa"/>
            <w:tcBorders>
              <w:top w:val="nil"/>
              <w:left w:val="nil"/>
              <w:bottom w:val="nil"/>
              <w:right w:val="nil"/>
            </w:tcBorders>
            <w:shd w:val="clear" w:color="auto" w:fill="auto"/>
            <w:noWrap/>
            <w:vAlign w:val="center"/>
            <w:hideMark/>
          </w:tcPr>
          <w:p w14:paraId="5D1CC63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869" w:type="dxa"/>
            <w:tcBorders>
              <w:top w:val="nil"/>
              <w:left w:val="nil"/>
              <w:bottom w:val="nil"/>
              <w:right w:val="nil"/>
            </w:tcBorders>
            <w:shd w:val="clear" w:color="auto" w:fill="auto"/>
            <w:noWrap/>
            <w:vAlign w:val="center"/>
            <w:hideMark/>
          </w:tcPr>
          <w:p w14:paraId="33EC1D7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w:t>
            </w:r>
          </w:p>
        </w:tc>
        <w:tc>
          <w:tcPr>
            <w:tcW w:w="708" w:type="dxa"/>
            <w:tcBorders>
              <w:top w:val="nil"/>
              <w:left w:val="nil"/>
              <w:bottom w:val="nil"/>
              <w:right w:val="nil"/>
            </w:tcBorders>
            <w:shd w:val="clear" w:color="auto" w:fill="auto"/>
            <w:noWrap/>
            <w:vAlign w:val="center"/>
            <w:hideMark/>
          </w:tcPr>
          <w:p w14:paraId="04334C0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w:t>
            </w:r>
          </w:p>
        </w:tc>
        <w:tc>
          <w:tcPr>
            <w:tcW w:w="1011" w:type="dxa"/>
            <w:tcBorders>
              <w:top w:val="nil"/>
              <w:left w:val="nil"/>
              <w:bottom w:val="nil"/>
              <w:right w:val="nil"/>
            </w:tcBorders>
            <w:shd w:val="clear" w:color="auto" w:fill="auto"/>
            <w:noWrap/>
            <w:vAlign w:val="center"/>
            <w:hideMark/>
          </w:tcPr>
          <w:p w14:paraId="3EF779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708E3E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1354" w:type="dxa"/>
            <w:tcBorders>
              <w:top w:val="nil"/>
              <w:left w:val="nil"/>
              <w:bottom w:val="nil"/>
              <w:right w:val="nil"/>
            </w:tcBorders>
            <w:shd w:val="clear" w:color="auto" w:fill="auto"/>
            <w:noWrap/>
            <w:vAlign w:val="center"/>
            <w:hideMark/>
          </w:tcPr>
          <w:p w14:paraId="6B1CB9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170</w:t>
            </w:r>
          </w:p>
        </w:tc>
        <w:tc>
          <w:tcPr>
            <w:tcW w:w="1001" w:type="dxa"/>
            <w:tcBorders>
              <w:top w:val="nil"/>
              <w:left w:val="nil"/>
              <w:bottom w:val="nil"/>
              <w:right w:val="nil"/>
            </w:tcBorders>
            <w:shd w:val="clear" w:color="auto" w:fill="auto"/>
            <w:noWrap/>
            <w:vAlign w:val="center"/>
            <w:hideMark/>
          </w:tcPr>
          <w:p w14:paraId="48141B8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w:t>
            </w:r>
          </w:p>
        </w:tc>
        <w:tc>
          <w:tcPr>
            <w:tcW w:w="992" w:type="dxa"/>
            <w:tcBorders>
              <w:top w:val="nil"/>
              <w:left w:val="nil"/>
              <w:bottom w:val="nil"/>
              <w:right w:val="nil"/>
            </w:tcBorders>
            <w:shd w:val="clear" w:color="000000" w:fill="FBCACD"/>
            <w:noWrap/>
            <w:vAlign w:val="center"/>
            <w:hideMark/>
          </w:tcPr>
          <w:p w14:paraId="46719A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222%</w:t>
            </w:r>
          </w:p>
        </w:tc>
      </w:tr>
      <w:tr w:rsidR="0028350E" w:rsidRPr="007364B1" w14:paraId="4B5A8A63" w14:textId="77777777" w:rsidTr="00AA33F9">
        <w:trPr>
          <w:trHeight w:val="360"/>
        </w:trPr>
        <w:tc>
          <w:tcPr>
            <w:tcW w:w="1985" w:type="dxa"/>
            <w:tcBorders>
              <w:top w:val="nil"/>
              <w:left w:val="nil"/>
              <w:bottom w:val="nil"/>
              <w:right w:val="nil"/>
            </w:tcBorders>
            <w:shd w:val="clear" w:color="auto" w:fill="auto"/>
            <w:noWrap/>
            <w:vAlign w:val="bottom"/>
            <w:hideMark/>
          </w:tcPr>
          <w:p w14:paraId="58016C5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49A54E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1,249</w:t>
            </w:r>
          </w:p>
        </w:tc>
        <w:tc>
          <w:tcPr>
            <w:tcW w:w="1026" w:type="dxa"/>
            <w:tcBorders>
              <w:top w:val="nil"/>
              <w:left w:val="nil"/>
              <w:bottom w:val="nil"/>
              <w:right w:val="nil"/>
            </w:tcBorders>
            <w:shd w:val="clear" w:color="auto" w:fill="auto"/>
            <w:noWrap/>
            <w:vAlign w:val="center"/>
            <w:hideMark/>
          </w:tcPr>
          <w:p w14:paraId="65B4B3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1,658</w:t>
            </w:r>
          </w:p>
        </w:tc>
        <w:tc>
          <w:tcPr>
            <w:tcW w:w="851" w:type="dxa"/>
            <w:tcBorders>
              <w:top w:val="nil"/>
              <w:left w:val="nil"/>
              <w:bottom w:val="nil"/>
              <w:right w:val="nil"/>
            </w:tcBorders>
            <w:shd w:val="clear" w:color="000000" w:fill="FCE6E9"/>
            <w:noWrap/>
            <w:vAlign w:val="center"/>
            <w:hideMark/>
          </w:tcPr>
          <w:p w14:paraId="604F1EC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w:t>
            </w:r>
          </w:p>
        </w:tc>
        <w:tc>
          <w:tcPr>
            <w:tcW w:w="992" w:type="dxa"/>
            <w:tcBorders>
              <w:top w:val="nil"/>
              <w:left w:val="nil"/>
              <w:bottom w:val="nil"/>
              <w:right w:val="nil"/>
            </w:tcBorders>
            <w:shd w:val="clear" w:color="auto" w:fill="auto"/>
            <w:noWrap/>
            <w:vAlign w:val="center"/>
            <w:hideMark/>
          </w:tcPr>
          <w:p w14:paraId="565BE2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2,177</w:t>
            </w:r>
          </w:p>
        </w:tc>
        <w:tc>
          <w:tcPr>
            <w:tcW w:w="850" w:type="dxa"/>
            <w:tcBorders>
              <w:top w:val="nil"/>
              <w:left w:val="nil"/>
              <w:bottom w:val="nil"/>
              <w:right w:val="nil"/>
            </w:tcBorders>
            <w:shd w:val="clear" w:color="auto" w:fill="auto"/>
            <w:noWrap/>
            <w:vAlign w:val="center"/>
            <w:hideMark/>
          </w:tcPr>
          <w:p w14:paraId="1E0D232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126</w:t>
            </w:r>
          </w:p>
        </w:tc>
        <w:tc>
          <w:tcPr>
            <w:tcW w:w="1051" w:type="dxa"/>
            <w:tcBorders>
              <w:top w:val="nil"/>
              <w:left w:val="nil"/>
              <w:bottom w:val="nil"/>
              <w:right w:val="nil"/>
            </w:tcBorders>
            <w:shd w:val="clear" w:color="auto" w:fill="auto"/>
            <w:noWrap/>
            <w:vAlign w:val="center"/>
            <w:hideMark/>
          </w:tcPr>
          <w:p w14:paraId="790AD3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869" w:type="dxa"/>
            <w:tcBorders>
              <w:top w:val="nil"/>
              <w:left w:val="nil"/>
              <w:bottom w:val="nil"/>
              <w:right w:val="nil"/>
            </w:tcBorders>
            <w:shd w:val="clear" w:color="auto" w:fill="auto"/>
            <w:noWrap/>
            <w:vAlign w:val="center"/>
            <w:hideMark/>
          </w:tcPr>
          <w:p w14:paraId="2F6E4AF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160</w:t>
            </w:r>
          </w:p>
        </w:tc>
        <w:tc>
          <w:tcPr>
            <w:tcW w:w="708" w:type="dxa"/>
            <w:tcBorders>
              <w:top w:val="nil"/>
              <w:left w:val="nil"/>
              <w:bottom w:val="nil"/>
              <w:right w:val="nil"/>
            </w:tcBorders>
            <w:shd w:val="clear" w:color="auto" w:fill="auto"/>
            <w:noWrap/>
            <w:vAlign w:val="center"/>
            <w:hideMark/>
          </w:tcPr>
          <w:p w14:paraId="353F518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163</w:t>
            </w:r>
          </w:p>
        </w:tc>
        <w:tc>
          <w:tcPr>
            <w:tcW w:w="1011" w:type="dxa"/>
            <w:tcBorders>
              <w:top w:val="nil"/>
              <w:left w:val="nil"/>
              <w:bottom w:val="nil"/>
              <w:right w:val="nil"/>
            </w:tcBorders>
            <w:shd w:val="clear" w:color="auto" w:fill="auto"/>
            <w:noWrap/>
            <w:vAlign w:val="center"/>
            <w:hideMark/>
          </w:tcPr>
          <w:p w14:paraId="592799C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F43838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99</w:t>
            </w:r>
          </w:p>
        </w:tc>
        <w:tc>
          <w:tcPr>
            <w:tcW w:w="1354" w:type="dxa"/>
            <w:tcBorders>
              <w:top w:val="nil"/>
              <w:left w:val="nil"/>
              <w:bottom w:val="nil"/>
              <w:right w:val="nil"/>
            </w:tcBorders>
            <w:shd w:val="clear" w:color="auto" w:fill="auto"/>
            <w:noWrap/>
            <w:vAlign w:val="center"/>
            <w:hideMark/>
          </w:tcPr>
          <w:p w14:paraId="3C19547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c>
          <w:tcPr>
            <w:tcW w:w="1001" w:type="dxa"/>
            <w:tcBorders>
              <w:top w:val="nil"/>
              <w:left w:val="nil"/>
              <w:bottom w:val="nil"/>
              <w:right w:val="nil"/>
            </w:tcBorders>
            <w:shd w:val="clear" w:color="auto" w:fill="auto"/>
            <w:noWrap/>
            <w:vAlign w:val="center"/>
            <w:hideMark/>
          </w:tcPr>
          <w:p w14:paraId="32C945B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w:t>
            </w:r>
          </w:p>
        </w:tc>
        <w:tc>
          <w:tcPr>
            <w:tcW w:w="992" w:type="dxa"/>
            <w:tcBorders>
              <w:top w:val="nil"/>
              <w:left w:val="nil"/>
              <w:bottom w:val="nil"/>
              <w:right w:val="nil"/>
            </w:tcBorders>
            <w:shd w:val="clear" w:color="000000" w:fill="F7F8FD"/>
            <w:noWrap/>
            <w:vAlign w:val="center"/>
            <w:hideMark/>
          </w:tcPr>
          <w:p w14:paraId="6E83A4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164%</w:t>
            </w:r>
          </w:p>
        </w:tc>
      </w:tr>
      <w:tr w:rsidR="0028350E" w:rsidRPr="007364B1" w14:paraId="1DF5BA26" w14:textId="77777777" w:rsidTr="00AA33F9">
        <w:trPr>
          <w:trHeight w:val="360"/>
        </w:trPr>
        <w:tc>
          <w:tcPr>
            <w:tcW w:w="1985" w:type="dxa"/>
            <w:tcBorders>
              <w:top w:val="nil"/>
              <w:left w:val="nil"/>
              <w:bottom w:val="nil"/>
              <w:right w:val="nil"/>
            </w:tcBorders>
            <w:shd w:val="clear" w:color="auto" w:fill="auto"/>
            <w:noWrap/>
            <w:vAlign w:val="bottom"/>
            <w:hideMark/>
          </w:tcPr>
          <w:p w14:paraId="6B7BC8A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06CDED4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1,199</w:t>
            </w:r>
          </w:p>
        </w:tc>
        <w:tc>
          <w:tcPr>
            <w:tcW w:w="1026" w:type="dxa"/>
            <w:tcBorders>
              <w:top w:val="nil"/>
              <w:left w:val="nil"/>
              <w:bottom w:val="nil"/>
              <w:right w:val="nil"/>
            </w:tcBorders>
            <w:shd w:val="clear" w:color="auto" w:fill="auto"/>
            <w:noWrap/>
            <w:vAlign w:val="center"/>
            <w:hideMark/>
          </w:tcPr>
          <w:p w14:paraId="2514E6F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1,420</w:t>
            </w:r>
          </w:p>
        </w:tc>
        <w:tc>
          <w:tcPr>
            <w:tcW w:w="851" w:type="dxa"/>
            <w:tcBorders>
              <w:top w:val="nil"/>
              <w:left w:val="nil"/>
              <w:bottom w:val="nil"/>
              <w:right w:val="nil"/>
            </w:tcBorders>
            <w:shd w:val="clear" w:color="000000" w:fill="FCECEF"/>
            <w:noWrap/>
            <w:vAlign w:val="center"/>
            <w:hideMark/>
          </w:tcPr>
          <w:p w14:paraId="2DED0B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992" w:type="dxa"/>
            <w:tcBorders>
              <w:top w:val="nil"/>
              <w:left w:val="nil"/>
              <w:bottom w:val="nil"/>
              <w:right w:val="nil"/>
            </w:tcBorders>
            <w:shd w:val="clear" w:color="auto" w:fill="auto"/>
            <w:noWrap/>
            <w:vAlign w:val="center"/>
            <w:hideMark/>
          </w:tcPr>
          <w:p w14:paraId="79EDD6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1,549</w:t>
            </w:r>
          </w:p>
        </w:tc>
        <w:tc>
          <w:tcPr>
            <w:tcW w:w="850" w:type="dxa"/>
            <w:tcBorders>
              <w:top w:val="nil"/>
              <w:left w:val="nil"/>
              <w:bottom w:val="nil"/>
              <w:right w:val="nil"/>
            </w:tcBorders>
            <w:shd w:val="clear" w:color="auto" w:fill="auto"/>
            <w:noWrap/>
            <w:vAlign w:val="center"/>
            <w:hideMark/>
          </w:tcPr>
          <w:p w14:paraId="345896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151</w:t>
            </w:r>
          </w:p>
        </w:tc>
        <w:tc>
          <w:tcPr>
            <w:tcW w:w="1051" w:type="dxa"/>
            <w:tcBorders>
              <w:top w:val="nil"/>
              <w:left w:val="nil"/>
              <w:bottom w:val="nil"/>
              <w:right w:val="nil"/>
            </w:tcBorders>
            <w:shd w:val="clear" w:color="auto" w:fill="auto"/>
            <w:noWrap/>
            <w:vAlign w:val="center"/>
            <w:hideMark/>
          </w:tcPr>
          <w:p w14:paraId="4584528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w:t>
            </w:r>
          </w:p>
        </w:tc>
        <w:tc>
          <w:tcPr>
            <w:tcW w:w="869" w:type="dxa"/>
            <w:tcBorders>
              <w:top w:val="nil"/>
              <w:left w:val="nil"/>
              <w:bottom w:val="nil"/>
              <w:right w:val="nil"/>
            </w:tcBorders>
            <w:shd w:val="clear" w:color="auto" w:fill="auto"/>
            <w:noWrap/>
            <w:vAlign w:val="center"/>
            <w:hideMark/>
          </w:tcPr>
          <w:p w14:paraId="005E8C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195</w:t>
            </w:r>
          </w:p>
        </w:tc>
        <w:tc>
          <w:tcPr>
            <w:tcW w:w="708" w:type="dxa"/>
            <w:tcBorders>
              <w:top w:val="nil"/>
              <w:left w:val="nil"/>
              <w:bottom w:val="nil"/>
              <w:right w:val="nil"/>
            </w:tcBorders>
            <w:shd w:val="clear" w:color="auto" w:fill="auto"/>
            <w:noWrap/>
            <w:vAlign w:val="center"/>
            <w:hideMark/>
          </w:tcPr>
          <w:p w14:paraId="464803A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117</w:t>
            </w:r>
          </w:p>
        </w:tc>
        <w:tc>
          <w:tcPr>
            <w:tcW w:w="1011" w:type="dxa"/>
            <w:tcBorders>
              <w:top w:val="nil"/>
              <w:left w:val="nil"/>
              <w:bottom w:val="nil"/>
              <w:right w:val="nil"/>
            </w:tcBorders>
            <w:shd w:val="clear" w:color="auto" w:fill="auto"/>
            <w:noWrap/>
            <w:vAlign w:val="center"/>
            <w:hideMark/>
          </w:tcPr>
          <w:p w14:paraId="53C0A4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06A85F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1354" w:type="dxa"/>
            <w:tcBorders>
              <w:top w:val="nil"/>
              <w:left w:val="nil"/>
              <w:bottom w:val="nil"/>
              <w:right w:val="nil"/>
            </w:tcBorders>
            <w:shd w:val="clear" w:color="auto" w:fill="auto"/>
            <w:noWrap/>
            <w:vAlign w:val="center"/>
            <w:hideMark/>
          </w:tcPr>
          <w:p w14:paraId="31A236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w:t>
            </w:r>
          </w:p>
        </w:tc>
        <w:tc>
          <w:tcPr>
            <w:tcW w:w="1001" w:type="dxa"/>
            <w:tcBorders>
              <w:top w:val="nil"/>
              <w:left w:val="nil"/>
              <w:bottom w:val="nil"/>
              <w:right w:val="nil"/>
            </w:tcBorders>
            <w:shd w:val="clear" w:color="auto" w:fill="auto"/>
            <w:noWrap/>
            <w:vAlign w:val="center"/>
            <w:hideMark/>
          </w:tcPr>
          <w:p w14:paraId="3714FA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86%</w:t>
            </w:r>
          </w:p>
        </w:tc>
        <w:tc>
          <w:tcPr>
            <w:tcW w:w="992" w:type="dxa"/>
            <w:tcBorders>
              <w:top w:val="nil"/>
              <w:left w:val="nil"/>
              <w:bottom w:val="nil"/>
              <w:right w:val="nil"/>
            </w:tcBorders>
            <w:shd w:val="clear" w:color="000000" w:fill="D4E0F1"/>
            <w:noWrap/>
            <w:vAlign w:val="center"/>
            <w:hideMark/>
          </w:tcPr>
          <w:p w14:paraId="3AE929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w:t>
            </w:r>
          </w:p>
        </w:tc>
      </w:tr>
      <w:tr w:rsidR="0028350E" w:rsidRPr="007364B1" w14:paraId="3D9026D7" w14:textId="77777777" w:rsidTr="00AA33F9">
        <w:trPr>
          <w:trHeight w:val="360"/>
        </w:trPr>
        <w:tc>
          <w:tcPr>
            <w:tcW w:w="1985" w:type="dxa"/>
            <w:tcBorders>
              <w:top w:val="nil"/>
              <w:left w:val="nil"/>
              <w:bottom w:val="nil"/>
              <w:right w:val="nil"/>
            </w:tcBorders>
            <w:shd w:val="clear" w:color="auto" w:fill="auto"/>
            <w:noWrap/>
            <w:vAlign w:val="bottom"/>
            <w:hideMark/>
          </w:tcPr>
          <w:p w14:paraId="76F3165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66AE41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w:t>
            </w:r>
          </w:p>
        </w:tc>
        <w:tc>
          <w:tcPr>
            <w:tcW w:w="1026" w:type="dxa"/>
            <w:tcBorders>
              <w:top w:val="nil"/>
              <w:left w:val="nil"/>
              <w:bottom w:val="nil"/>
              <w:right w:val="nil"/>
            </w:tcBorders>
            <w:shd w:val="clear" w:color="auto" w:fill="auto"/>
            <w:noWrap/>
            <w:vAlign w:val="center"/>
            <w:hideMark/>
          </w:tcPr>
          <w:p w14:paraId="460685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851" w:type="dxa"/>
            <w:tcBorders>
              <w:top w:val="nil"/>
              <w:left w:val="nil"/>
              <w:bottom w:val="nil"/>
              <w:right w:val="nil"/>
            </w:tcBorders>
            <w:shd w:val="clear" w:color="000000" w:fill="FCDADD"/>
            <w:noWrap/>
            <w:vAlign w:val="center"/>
            <w:hideMark/>
          </w:tcPr>
          <w:p w14:paraId="032D34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w:t>
            </w:r>
          </w:p>
        </w:tc>
        <w:tc>
          <w:tcPr>
            <w:tcW w:w="992" w:type="dxa"/>
            <w:tcBorders>
              <w:top w:val="nil"/>
              <w:left w:val="nil"/>
              <w:bottom w:val="nil"/>
              <w:right w:val="nil"/>
            </w:tcBorders>
            <w:shd w:val="clear" w:color="auto" w:fill="auto"/>
            <w:noWrap/>
            <w:vAlign w:val="center"/>
            <w:hideMark/>
          </w:tcPr>
          <w:p w14:paraId="7831B4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850" w:type="dxa"/>
            <w:tcBorders>
              <w:top w:val="nil"/>
              <w:left w:val="nil"/>
              <w:bottom w:val="nil"/>
              <w:right w:val="nil"/>
            </w:tcBorders>
            <w:shd w:val="clear" w:color="auto" w:fill="auto"/>
            <w:noWrap/>
            <w:vAlign w:val="center"/>
            <w:hideMark/>
          </w:tcPr>
          <w:p w14:paraId="25E689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051" w:type="dxa"/>
            <w:tcBorders>
              <w:top w:val="nil"/>
              <w:left w:val="nil"/>
              <w:bottom w:val="nil"/>
              <w:right w:val="nil"/>
            </w:tcBorders>
            <w:shd w:val="clear" w:color="auto" w:fill="auto"/>
            <w:noWrap/>
            <w:vAlign w:val="center"/>
            <w:hideMark/>
          </w:tcPr>
          <w:p w14:paraId="18241C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869" w:type="dxa"/>
            <w:tcBorders>
              <w:top w:val="nil"/>
              <w:left w:val="nil"/>
              <w:bottom w:val="nil"/>
              <w:right w:val="nil"/>
            </w:tcBorders>
            <w:shd w:val="clear" w:color="auto" w:fill="auto"/>
            <w:noWrap/>
            <w:vAlign w:val="center"/>
            <w:hideMark/>
          </w:tcPr>
          <w:p w14:paraId="3C729C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708" w:type="dxa"/>
            <w:tcBorders>
              <w:top w:val="nil"/>
              <w:left w:val="nil"/>
              <w:bottom w:val="nil"/>
              <w:right w:val="nil"/>
            </w:tcBorders>
            <w:shd w:val="clear" w:color="auto" w:fill="auto"/>
            <w:noWrap/>
            <w:vAlign w:val="center"/>
            <w:hideMark/>
          </w:tcPr>
          <w:p w14:paraId="13E9B5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11" w:type="dxa"/>
            <w:tcBorders>
              <w:top w:val="nil"/>
              <w:left w:val="nil"/>
              <w:bottom w:val="nil"/>
              <w:right w:val="nil"/>
            </w:tcBorders>
            <w:shd w:val="clear" w:color="auto" w:fill="auto"/>
            <w:noWrap/>
            <w:vAlign w:val="center"/>
            <w:hideMark/>
          </w:tcPr>
          <w:p w14:paraId="07DC77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FE15C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73A147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001" w:type="dxa"/>
            <w:tcBorders>
              <w:top w:val="nil"/>
              <w:left w:val="nil"/>
              <w:bottom w:val="nil"/>
              <w:right w:val="nil"/>
            </w:tcBorders>
            <w:shd w:val="clear" w:color="auto" w:fill="auto"/>
            <w:noWrap/>
            <w:vAlign w:val="center"/>
            <w:hideMark/>
          </w:tcPr>
          <w:p w14:paraId="0D30CE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w:t>
            </w:r>
          </w:p>
        </w:tc>
        <w:tc>
          <w:tcPr>
            <w:tcW w:w="992" w:type="dxa"/>
            <w:tcBorders>
              <w:top w:val="nil"/>
              <w:left w:val="nil"/>
              <w:bottom w:val="nil"/>
              <w:right w:val="nil"/>
            </w:tcBorders>
            <w:shd w:val="clear" w:color="000000" w:fill="ECF0F9"/>
            <w:noWrap/>
            <w:vAlign w:val="center"/>
            <w:hideMark/>
          </w:tcPr>
          <w:p w14:paraId="2475281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r>
      <w:tr w:rsidR="0028350E" w:rsidRPr="007364B1" w14:paraId="1DE6FFE5" w14:textId="77777777" w:rsidTr="00AA33F9">
        <w:trPr>
          <w:trHeight w:val="360"/>
        </w:trPr>
        <w:tc>
          <w:tcPr>
            <w:tcW w:w="1985" w:type="dxa"/>
            <w:tcBorders>
              <w:top w:val="nil"/>
              <w:left w:val="nil"/>
              <w:bottom w:val="nil"/>
              <w:right w:val="nil"/>
            </w:tcBorders>
            <w:shd w:val="clear" w:color="auto" w:fill="auto"/>
            <w:noWrap/>
            <w:vAlign w:val="bottom"/>
            <w:hideMark/>
          </w:tcPr>
          <w:p w14:paraId="5E2EE53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481B4F8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6,997</w:t>
            </w:r>
          </w:p>
        </w:tc>
        <w:tc>
          <w:tcPr>
            <w:tcW w:w="1026" w:type="dxa"/>
            <w:tcBorders>
              <w:top w:val="nil"/>
              <w:left w:val="nil"/>
              <w:bottom w:val="nil"/>
              <w:right w:val="nil"/>
            </w:tcBorders>
            <w:shd w:val="clear" w:color="auto" w:fill="auto"/>
            <w:noWrap/>
            <w:vAlign w:val="center"/>
            <w:hideMark/>
          </w:tcPr>
          <w:p w14:paraId="5AC700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8,990</w:t>
            </w:r>
          </w:p>
        </w:tc>
        <w:tc>
          <w:tcPr>
            <w:tcW w:w="851" w:type="dxa"/>
            <w:tcBorders>
              <w:top w:val="nil"/>
              <w:left w:val="nil"/>
              <w:bottom w:val="nil"/>
              <w:right w:val="nil"/>
            </w:tcBorders>
            <w:shd w:val="clear" w:color="000000" w:fill="F8696B"/>
            <w:noWrap/>
            <w:vAlign w:val="center"/>
            <w:hideMark/>
          </w:tcPr>
          <w:p w14:paraId="1F6099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992" w:type="dxa"/>
            <w:tcBorders>
              <w:top w:val="nil"/>
              <w:left w:val="nil"/>
              <w:bottom w:val="nil"/>
              <w:right w:val="nil"/>
            </w:tcBorders>
            <w:shd w:val="clear" w:color="auto" w:fill="auto"/>
            <w:noWrap/>
            <w:vAlign w:val="center"/>
            <w:hideMark/>
          </w:tcPr>
          <w:p w14:paraId="57EE651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9,126</w:t>
            </w:r>
          </w:p>
        </w:tc>
        <w:tc>
          <w:tcPr>
            <w:tcW w:w="850" w:type="dxa"/>
            <w:tcBorders>
              <w:top w:val="nil"/>
              <w:left w:val="nil"/>
              <w:bottom w:val="nil"/>
              <w:right w:val="nil"/>
            </w:tcBorders>
            <w:shd w:val="clear" w:color="auto" w:fill="auto"/>
            <w:noWrap/>
            <w:vAlign w:val="center"/>
            <w:hideMark/>
          </w:tcPr>
          <w:p w14:paraId="6FA94B7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1,013</w:t>
            </w:r>
          </w:p>
        </w:tc>
        <w:tc>
          <w:tcPr>
            <w:tcW w:w="1051" w:type="dxa"/>
            <w:tcBorders>
              <w:top w:val="nil"/>
              <w:left w:val="nil"/>
              <w:bottom w:val="nil"/>
              <w:right w:val="nil"/>
            </w:tcBorders>
            <w:shd w:val="clear" w:color="auto" w:fill="auto"/>
            <w:noWrap/>
            <w:vAlign w:val="center"/>
            <w:hideMark/>
          </w:tcPr>
          <w:p w14:paraId="4CC211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56</w:t>
            </w:r>
          </w:p>
        </w:tc>
        <w:tc>
          <w:tcPr>
            <w:tcW w:w="869" w:type="dxa"/>
            <w:tcBorders>
              <w:top w:val="nil"/>
              <w:left w:val="nil"/>
              <w:bottom w:val="nil"/>
              <w:right w:val="nil"/>
            </w:tcBorders>
            <w:shd w:val="clear" w:color="auto" w:fill="auto"/>
            <w:noWrap/>
            <w:vAlign w:val="center"/>
            <w:hideMark/>
          </w:tcPr>
          <w:p w14:paraId="4C2D82F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1,069</w:t>
            </w:r>
          </w:p>
        </w:tc>
        <w:tc>
          <w:tcPr>
            <w:tcW w:w="708" w:type="dxa"/>
            <w:tcBorders>
              <w:top w:val="nil"/>
              <w:left w:val="nil"/>
              <w:bottom w:val="nil"/>
              <w:right w:val="nil"/>
            </w:tcBorders>
            <w:shd w:val="clear" w:color="auto" w:fill="auto"/>
            <w:noWrap/>
            <w:vAlign w:val="center"/>
            <w:hideMark/>
          </w:tcPr>
          <w:p w14:paraId="090581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482</w:t>
            </w:r>
          </w:p>
        </w:tc>
        <w:tc>
          <w:tcPr>
            <w:tcW w:w="1011" w:type="dxa"/>
            <w:tcBorders>
              <w:top w:val="nil"/>
              <w:left w:val="nil"/>
              <w:bottom w:val="nil"/>
              <w:right w:val="nil"/>
            </w:tcBorders>
            <w:shd w:val="clear" w:color="auto" w:fill="auto"/>
            <w:noWrap/>
            <w:vAlign w:val="center"/>
            <w:hideMark/>
          </w:tcPr>
          <w:p w14:paraId="333FB1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D7681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1,085</w:t>
            </w:r>
          </w:p>
        </w:tc>
        <w:tc>
          <w:tcPr>
            <w:tcW w:w="1354" w:type="dxa"/>
            <w:tcBorders>
              <w:top w:val="nil"/>
              <w:left w:val="nil"/>
              <w:bottom w:val="nil"/>
              <w:right w:val="nil"/>
            </w:tcBorders>
            <w:shd w:val="clear" w:color="auto" w:fill="auto"/>
            <w:noWrap/>
            <w:vAlign w:val="center"/>
            <w:hideMark/>
          </w:tcPr>
          <w:p w14:paraId="365B9AE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1,560</w:t>
            </w:r>
          </w:p>
        </w:tc>
        <w:tc>
          <w:tcPr>
            <w:tcW w:w="1001" w:type="dxa"/>
            <w:tcBorders>
              <w:top w:val="nil"/>
              <w:left w:val="nil"/>
              <w:bottom w:val="nil"/>
              <w:right w:val="nil"/>
            </w:tcBorders>
            <w:shd w:val="clear" w:color="auto" w:fill="auto"/>
            <w:noWrap/>
            <w:vAlign w:val="center"/>
            <w:hideMark/>
          </w:tcPr>
          <w:p w14:paraId="735284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w:t>
            </w:r>
          </w:p>
        </w:tc>
        <w:tc>
          <w:tcPr>
            <w:tcW w:w="992" w:type="dxa"/>
            <w:tcBorders>
              <w:top w:val="nil"/>
              <w:left w:val="nil"/>
              <w:bottom w:val="nil"/>
              <w:right w:val="nil"/>
            </w:tcBorders>
            <w:shd w:val="clear" w:color="000000" w:fill="F98688"/>
            <w:noWrap/>
            <w:vAlign w:val="center"/>
            <w:hideMark/>
          </w:tcPr>
          <w:p w14:paraId="3FA0FB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147%</w:t>
            </w:r>
          </w:p>
        </w:tc>
      </w:tr>
      <w:tr w:rsidR="0028350E" w:rsidRPr="007364B1" w14:paraId="6DEE9244" w14:textId="77777777" w:rsidTr="00AA33F9">
        <w:trPr>
          <w:trHeight w:val="360"/>
        </w:trPr>
        <w:tc>
          <w:tcPr>
            <w:tcW w:w="1985" w:type="dxa"/>
            <w:tcBorders>
              <w:top w:val="nil"/>
              <w:left w:val="nil"/>
              <w:bottom w:val="nil"/>
              <w:right w:val="nil"/>
            </w:tcBorders>
            <w:shd w:val="clear" w:color="auto" w:fill="auto"/>
            <w:noWrap/>
            <w:vAlign w:val="bottom"/>
            <w:hideMark/>
          </w:tcPr>
          <w:p w14:paraId="41F3B36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3D37687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499</w:t>
            </w:r>
          </w:p>
        </w:tc>
        <w:tc>
          <w:tcPr>
            <w:tcW w:w="1026" w:type="dxa"/>
            <w:tcBorders>
              <w:top w:val="nil"/>
              <w:left w:val="nil"/>
              <w:bottom w:val="nil"/>
              <w:right w:val="nil"/>
            </w:tcBorders>
            <w:shd w:val="clear" w:color="auto" w:fill="auto"/>
            <w:noWrap/>
            <w:vAlign w:val="center"/>
            <w:hideMark/>
          </w:tcPr>
          <w:p w14:paraId="11B061F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452</w:t>
            </w:r>
          </w:p>
        </w:tc>
        <w:tc>
          <w:tcPr>
            <w:tcW w:w="851" w:type="dxa"/>
            <w:tcBorders>
              <w:top w:val="nil"/>
              <w:left w:val="nil"/>
              <w:bottom w:val="nil"/>
              <w:right w:val="nil"/>
            </w:tcBorders>
            <w:shd w:val="clear" w:color="000000" w:fill="FCFCFF"/>
            <w:noWrap/>
            <w:vAlign w:val="center"/>
            <w:hideMark/>
          </w:tcPr>
          <w:p w14:paraId="36AB49C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992" w:type="dxa"/>
            <w:tcBorders>
              <w:top w:val="nil"/>
              <w:left w:val="nil"/>
              <w:bottom w:val="nil"/>
              <w:right w:val="nil"/>
            </w:tcBorders>
            <w:shd w:val="clear" w:color="auto" w:fill="auto"/>
            <w:noWrap/>
            <w:vAlign w:val="center"/>
            <w:hideMark/>
          </w:tcPr>
          <w:p w14:paraId="643A13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390</w:t>
            </w:r>
          </w:p>
        </w:tc>
        <w:tc>
          <w:tcPr>
            <w:tcW w:w="850" w:type="dxa"/>
            <w:tcBorders>
              <w:top w:val="nil"/>
              <w:left w:val="nil"/>
              <w:bottom w:val="nil"/>
              <w:right w:val="nil"/>
            </w:tcBorders>
            <w:shd w:val="clear" w:color="auto" w:fill="auto"/>
            <w:noWrap/>
            <w:vAlign w:val="center"/>
            <w:hideMark/>
          </w:tcPr>
          <w:p w14:paraId="2300CAA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w:t>
            </w:r>
          </w:p>
        </w:tc>
        <w:tc>
          <w:tcPr>
            <w:tcW w:w="1051" w:type="dxa"/>
            <w:tcBorders>
              <w:top w:val="nil"/>
              <w:left w:val="nil"/>
              <w:bottom w:val="nil"/>
              <w:right w:val="nil"/>
            </w:tcBorders>
            <w:shd w:val="clear" w:color="auto" w:fill="auto"/>
            <w:noWrap/>
            <w:vAlign w:val="center"/>
            <w:hideMark/>
          </w:tcPr>
          <w:p w14:paraId="706A303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869" w:type="dxa"/>
            <w:tcBorders>
              <w:top w:val="nil"/>
              <w:left w:val="nil"/>
              <w:bottom w:val="nil"/>
              <w:right w:val="nil"/>
            </w:tcBorders>
            <w:shd w:val="clear" w:color="auto" w:fill="auto"/>
            <w:noWrap/>
            <w:vAlign w:val="center"/>
            <w:hideMark/>
          </w:tcPr>
          <w:p w14:paraId="34C7C0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74</w:t>
            </w:r>
          </w:p>
        </w:tc>
        <w:tc>
          <w:tcPr>
            <w:tcW w:w="708" w:type="dxa"/>
            <w:tcBorders>
              <w:top w:val="nil"/>
              <w:left w:val="nil"/>
              <w:bottom w:val="nil"/>
              <w:right w:val="nil"/>
            </w:tcBorders>
            <w:shd w:val="clear" w:color="auto" w:fill="auto"/>
            <w:noWrap/>
            <w:vAlign w:val="center"/>
            <w:hideMark/>
          </w:tcPr>
          <w:p w14:paraId="6E2B6D4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w:t>
            </w:r>
          </w:p>
        </w:tc>
        <w:tc>
          <w:tcPr>
            <w:tcW w:w="1011" w:type="dxa"/>
            <w:tcBorders>
              <w:top w:val="nil"/>
              <w:left w:val="nil"/>
              <w:bottom w:val="nil"/>
              <w:right w:val="nil"/>
            </w:tcBorders>
            <w:shd w:val="clear" w:color="auto" w:fill="auto"/>
            <w:noWrap/>
            <w:vAlign w:val="center"/>
            <w:hideMark/>
          </w:tcPr>
          <w:p w14:paraId="130D01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50660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w:t>
            </w:r>
          </w:p>
        </w:tc>
        <w:tc>
          <w:tcPr>
            <w:tcW w:w="1354" w:type="dxa"/>
            <w:tcBorders>
              <w:top w:val="nil"/>
              <w:left w:val="nil"/>
              <w:bottom w:val="nil"/>
              <w:right w:val="nil"/>
            </w:tcBorders>
            <w:shd w:val="clear" w:color="auto" w:fill="auto"/>
            <w:noWrap/>
            <w:vAlign w:val="center"/>
            <w:hideMark/>
          </w:tcPr>
          <w:p w14:paraId="10BD7F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w:t>
            </w:r>
          </w:p>
        </w:tc>
        <w:tc>
          <w:tcPr>
            <w:tcW w:w="1001" w:type="dxa"/>
            <w:tcBorders>
              <w:top w:val="nil"/>
              <w:left w:val="nil"/>
              <w:bottom w:val="nil"/>
              <w:right w:val="nil"/>
            </w:tcBorders>
            <w:shd w:val="clear" w:color="auto" w:fill="auto"/>
            <w:noWrap/>
            <w:vAlign w:val="center"/>
            <w:hideMark/>
          </w:tcPr>
          <w:p w14:paraId="50C108F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80%</w:t>
            </w:r>
          </w:p>
        </w:tc>
        <w:tc>
          <w:tcPr>
            <w:tcW w:w="992" w:type="dxa"/>
            <w:tcBorders>
              <w:top w:val="nil"/>
              <w:left w:val="nil"/>
              <w:bottom w:val="nil"/>
              <w:right w:val="nil"/>
            </w:tcBorders>
            <w:shd w:val="clear" w:color="000000" w:fill="5A8AC6"/>
            <w:noWrap/>
            <w:vAlign w:val="center"/>
            <w:hideMark/>
          </w:tcPr>
          <w:p w14:paraId="1882D33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r>
      <w:tr w:rsidR="0028350E" w:rsidRPr="007364B1" w14:paraId="07BAAD38" w14:textId="77777777" w:rsidTr="00AA33F9">
        <w:trPr>
          <w:trHeight w:val="360"/>
        </w:trPr>
        <w:tc>
          <w:tcPr>
            <w:tcW w:w="1985" w:type="dxa"/>
            <w:tcBorders>
              <w:top w:val="nil"/>
              <w:left w:val="nil"/>
              <w:bottom w:val="nil"/>
              <w:right w:val="nil"/>
            </w:tcBorders>
            <w:shd w:val="clear" w:color="auto" w:fill="auto"/>
            <w:noWrap/>
            <w:vAlign w:val="bottom"/>
            <w:hideMark/>
          </w:tcPr>
          <w:p w14:paraId="746E230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4041B13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177</w:t>
            </w:r>
          </w:p>
        </w:tc>
        <w:tc>
          <w:tcPr>
            <w:tcW w:w="1026" w:type="dxa"/>
            <w:tcBorders>
              <w:top w:val="nil"/>
              <w:left w:val="nil"/>
              <w:bottom w:val="nil"/>
              <w:right w:val="nil"/>
            </w:tcBorders>
            <w:shd w:val="clear" w:color="auto" w:fill="auto"/>
            <w:noWrap/>
            <w:vAlign w:val="center"/>
            <w:hideMark/>
          </w:tcPr>
          <w:p w14:paraId="333821F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234</w:t>
            </w:r>
          </w:p>
        </w:tc>
        <w:tc>
          <w:tcPr>
            <w:tcW w:w="851" w:type="dxa"/>
            <w:tcBorders>
              <w:top w:val="nil"/>
              <w:left w:val="nil"/>
              <w:bottom w:val="nil"/>
              <w:right w:val="nil"/>
            </w:tcBorders>
            <w:shd w:val="clear" w:color="000000" w:fill="FCE3E6"/>
            <w:noWrap/>
            <w:vAlign w:val="center"/>
            <w:hideMark/>
          </w:tcPr>
          <w:p w14:paraId="0B7C91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992" w:type="dxa"/>
            <w:tcBorders>
              <w:top w:val="nil"/>
              <w:left w:val="nil"/>
              <w:bottom w:val="nil"/>
              <w:right w:val="nil"/>
            </w:tcBorders>
            <w:shd w:val="clear" w:color="auto" w:fill="auto"/>
            <w:noWrap/>
            <w:vAlign w:val="center"/>
            <w:hideMark/>
          </w:tcPr>
          <w:p w14:paraId="44DFC9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252</w:t>
            </w:r>
          </w:p>
        </w:tc>
        <w:tc>
          <w:tcPr>
            <w:tcW w:w="850" w:type="dxa"/>
            <w:tcBorders>
              <w:top w:val="nil"/>
              <w:left w:val="nil"/>
              <w:bottom w:val="nil"/>
              <w:right w:val="nil"/>
            </w:tcBorders>
            <w:shd w:val="clear" w:color="auto" w:fill="auto"/>
            <w:noWrap/>
            <w:vAlign w:val="center"/>
            <w:hideMark/>
          </w:tcPr>
          <w:p w14:paraId="5839CE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1051" w:type="dxa"/>
            <w:tcBorders>
              <w:top w:val="nil"/>
              <w:left w:val="nil"/>
              <w:bottom w:val="nil"/>
              <w:right w:val="nil"/>
            </w:tcBorders>
            <w:shd w:val="clear" w:color="auto" w:fill="auto"/>
            <w:noWrap/>
            <w:vAlign w:val="center"/>
            <w:hideMark/>
          </w:tcPr>
          <w:p w14:paraId="3CC0AF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869" w:type="dxa"/>
            <w:tcBorders>
              <w:top w:val="nil"/>
              <w:left w:val="nil"/>
              <w:bottom w:val="nil"/>
              <w:right w:val="nil"/>
            </w:tcBorders>
            <w:shd w:val="clear" w:color="auto" w:fill="auto"/>
            <w:noWrap/>
            <w:vAlign w:val="center"/>
            <w:hideMark/>
          </w:tcPr>
          <w:p w14:paraId="470662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w:t>
            </w:r>
          </w:p>
        </w:tc>
        <w:tc>
          <w:tcPr>
            <w:tcW w:w="708" w:type="dxa"/>
            <w:tcBorders>
              <w:top w:val="nil"/>
              <w:left w:val="nil"/>
              <w:bottom w:val="nil"/>
              <w:right w:val="nil"/>
            </w:tcBorders>
            <w:shd w:val="clear" w:color="auto" w:fill="auto"/>
            <w:noWrap/>
            <w:vAlign w:val="center"/>
            <w:hideMark/>
          </w:tcPr>
          <w:p w14:paraId="5B0BF6F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1011" w:type="dxa"/>
            <w:tcBorders>
              <w:top w:val="nil"/>
              <w:left w:val="nil"/>
              <w:bottom w:val="nil"/>
              <w:right w:val="nil"/>
            </w:tcBorders>
            <w:shd w:val="clear" w:color="auto" w:fill="auto"/>
            <w:noWrap/>
            <w:vAlign w:val="center"/>
            <w:hideMark/>
          </w:tcPr>
          <w:p w14:paraId="750EB9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0E4A8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w:t>
            </w:r>
          </w:p>
        </w:tc>
        <w:tc>
          <w:tcPr>
            <w:tcW w:w="1354" w:type="dxa"/>
            <w:tcBorders>
              <w:top w:val="nil"/>
              <w:left w:val="nil"/>
              <w:bottom w:val="nil"/>
              <w:right w:val="nil"/>
            </w:tcBorders>
            <w:shd w:val="clear" w:color="auto" w:fill="auto"/>
            <w:noWrap/>
            <w:vAlign w:val="center"/>
            <w:hideMark/>
          </w:tcPr>
          <w:p w14:paraId="6F2DC7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w:t>
            </w:r>
          </w:p>
        </w:tc>
        <w:tc>
          <w:tcPr>
            <w:tcW w:w="1001" w:type="dxa"/>
            <w:tcBorders>
              <w:top w:val="nil"/>
              <w:left w:val="nil"/>
              <w:bottom w:val="nil"/>
              <w:right w:val="nil"/>
            </w:tcBorders>
            <w:shd w:val="clear" w:color="auto" w:fill="auto"/>
            <w:noWrap/>
            <w:vAlign w:val="center"/>
            <w:hideMark/>
          </w:tcPr>
          <w:p w14:paraId="4A40B9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90%</w:t>
            </w:r>
          </w:p>
        </w:tc>
        <w:tc>
          <w:tcPr>
            <w:tcW w:w="992" w:type="dxa"/>
            <w:tcBorders>
              <w:top w:val="nil"/>
              <w:left w:val="nil"/>
              <w:bottom w:val="nil"/>
              <w:right w:val="nil"/>
            </w:tcBorders>
            <w:shd w:val="clear" w:color="000000" w:fill="FCDBDD"/>
            <w:noWrap/>
            <w:vAlign w:val="center"/>
            <w:hideMark/>
          </w:tcPr>
          <w:p w14:paraId="3013EE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139%</w:t>
            </w:r>
          </w:p>
        </w:tc>
      </w:tr>
      <w:tr w:rsidR="0028350E" w:rsidRPr="007364B1" w14:paraId="61637930"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1F93E7A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082BC9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887</w:t>
            </w:r>
          </w:p>
        </w:tc>
        <w:tc>
          <w:tcPr>
            <w:tcW w:w="1026" w:type="dxa"/>
            <w:tcBorders>
              <w:top w:val="nil"/>
              <w:left w:val="nil"/>
              <w:bottom w:val="single" w:sz="4" w:space="0" w:color="auto"/>
              <w:right w:val="nil"/>
            </w:tcBorders>
            <w:shd w:val="clear" w:color="auto" w:fill="auto"/>
            <w:noWrap/>
            <w:vAlign w:val="center"/>
            <w:hideMark/>
          </w:tcPr>
          <w:p w14:paraId="12E7351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1,072</w:t>
            </w:r>
          </w:p>
        </w:tc>
        <w:tc>
          <w:tcPr>
            <w:tcW w:w="851" w:type="dxa"/>
            <w:tcBorders>
              <w:top w:val="nil"/>
              <w:left w:val="nil"/>
              <w:bottom w:val="single" w:sz="4" w:space="0" w:color="auto"/>
              <w:right w:val="nil"/>
            </w:tcBorders>
            <w:shd w:val="clear" w:color="000000" w:fill="FCE6E8"/>
            <w:noWrap/>
            <w:vAlign w:val="center"/>
            <w:hideMark/>
          </w:tcPr>
          <w:p w14:paraId="4AECC6F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w:t>
            </w:r>
          </w:p>
        </w:tc>
        <w:tc>
          <w:tcPr>
            <w:tcW w:w="992" w:type="dxa"/>
            <w:tcBorders>
              <w:top w:val="nil"/>
              <w:left w:val="nil"/>
              <w:bottom w:val="single" w:sz="4" w:space="0" w:color="auto"/>
              <w:right w:val="nil"/>
            </w:tcBorders>
            <w:shd w:val="clear" w:color="auto" w:fill="auto"/>
            <w:noWrap/>
            <w:vAlign w:val="center"/>
            <w:hideMark/>
          </w:tcPr>
          <w:p w14:paraId="7899C51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1,304</w:t>
            </w:r>
          </w:p>
        </w:tc>
        <w:tc>
          <w:tcPr>
            <w:tcW w:w="850" w:type="dxa"/>
            <w:tcBorders>
              <w:top w:val="nil"/>
              <w:left w:val="nil"/>
              <w:bottom w:val="single" w:sz="4" w:space="0" w:color="auto"/>
              <w:right w:val="nil"/>
            </w:tcBorders>
            <w:shd w:val="clear" w:color="auto" w:fill="auto"/>
            <w:noWrap/>
            <w:vAlign w:val="center"/>
            <w:hideMark/>
          </w:tcPr>
          <w:p w14:paraId="3E2C3C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1051" w:type="dxa"/>
            <w:tcBorders>
              <w:top w:val="nil"/>
              <w:left w:val="nil"/>
              <w:bottom w:val="single" w:sz="4" w:space="0" w:color="auto"/>
              <w:right w:val="nil"/>
            </w:tcBorders>
            <w:shd w:val="clear" w:color="auto" w:fill="auto"/>
            <w:noWrap/>
            <w:vAlign w:val="center"/>
            <w:hideMark/>
          </w:tcPr>
          <w:p w14:paraId="422699E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w:t>
            </w:r>
          </w:p>
        </w:tc>
        <w:tc>
          <w:tcPr>
            <w:tcW w:w="869" w:type="dxa"/>
            <w:tcBorders>
              <w:top w:val="nil"/>
              <w:left w:val="nil"/>
              <w:bottom w:val="single" w:sz="4" w:space="0" w:color="auto"/>
              <w:right w:val="nil"/>
            </w:tcBorders>
            <w:shd w:val="clear" w:color="auto" w:fill="auto"/>
            <w:noWrap/>
            <w:vAlign w:val="center"/>
            <w:hideMark/>
          </w:tcPr>
          <w:p w14:paraId="5DEB54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c>
          <w:tcPr>
            <w:tcW w:w="708" w:type="dxa"/>
            <w:tcBorders>
              <w:top w:val="nil"/>
              <w:left w:val="nil"/>
              <w:bottom w:val="single" w:sz="4" w:space="0" w:color="auto"/>
              <w:right w:val="nil"/>
            </w:tcBorders>
            <w:shd w:val="clear" w:color="auto" w:fill="auto"/>
            <w:noWrap/>
            <w:vAlign w:val="center"/>
            <w:hideMark/>
          </w:tcPr>
          <w:p w14:paraId="2802E5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97</w:t>
            </w:r>
          </w:p>
        </w:tc>
        <w:tc>
          <w:tcPr>
            <w:tcW w:w="1011" w:type="dxa"/>
            <w:tcBorders>
              <w:top w:val="nil"/>
              <w:left w:val="nil"/>
              <w:bottom w:val="single" w:sz="4" w:space="0" w:color="auto"/>
              <w:right w:val="nil"/>
            </w:tcBorders>
            <w:shd w:val="clear" w:color="auto" w:fill="auto"/>
            <w:noWrap/>
            <w:vAlign w:val="center"/>
            <w:hideMark/>
          </w:tcPr>
          <w:p w14:paraId="121E29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2A1FFC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62</w:t>
            </w:r>
          </w:p>
        </w:tc>
        <w:tc>
          <w:tcPr>
            <w:tcW w:w="1354" w:type="dxa"/>
            <w:tcBorders>
              <w:top w:val="nil"/>
              <w:left w:val="nil"/>
              <w:bottom w:val="single" w:sz="4" w:space="0" w:color="auto"/>
              <w:right w:val="nil"/>
            </w:tcBorders>
            <w:shd w:val="clear" w:color="auto" w:fill="auto"/>
            <w:noWrap/>
            <w:vAlign w:val="center"/>
            <w:hideMark/>
          </w:tcPr>
          <w:p w14:paraId="281BD6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1001" w:type="dxa"/>
            <w:tcBorders>
              <w:top w:val="nil"/>
              <w:left w:val="nil"/>
              <w:bottom w:val="single" w:sz="4" w:space="0" w:color="auto"/>
              <w:right w:val="nil"/>
            </w:tcBorders>
            <w:shd w:val="clear" w:color="auto" w:fill="auto"/>
            <w:noWrap/>
            <w:vAlign w:val="center"/>
            <w:hideMark/>
          </w:tcPr>
          <w:p w14:paraId="4F13C8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74%</w:t>
            </w:r>
          </w:p>
        </w:tc>
        <w:tc>
          <w:tcPr>
            <w:tcW w:w="992" w:type="dxa"/>
            <w:tcBorders>
              <w:top w:val="nil"/>
              <w:left w:val="nil"/>
              <w:bottom w:val="single" w:sz="4" w:space="0" w:color="auto"/>
              <w:right w:val="nil"/>
            </w:tcBorders>
            <w:shd w:val="clear" w:color="000000" w:fill="FCFCFF"/>
            <w:noWrap/>
            <w:vAlign w:val="center"/>
            <w:hideMark/>
          </w:tcPr>
          <w:p w14:paraId="4504BA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141%</w:t>
            </w:r>
          </w:p>
        </w:tc>
      </w:tr>
      <w:tr w:rsidR="0028350E" w:rsidRPr="007364B1" w14:paraId="5A483D5F"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402D242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1ED1578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41,565</w:t>
            </w:r>
          </w:p>
        </w:tc>
        <w:tc>
          <w:tcPr>
            <w:tcW w:w="1026" w:type="dxa"/>
            <w:tcBorders>
              <w:top w:val="nil"/>
              <w:left w:val="nil"/>
              <w:bottom w:val="single" w:sz="4" w:space="0" w:color="auto"/>
              <w:right w:val="nil"/>
            </w:tcBorders>
            <w:shd w:val="clear" w:color="auto" w:fill="auto"/>
            <w:noWrap/>
            <w:vAlign w:val="center"/>
            <w:hideMark/>
          </w:tcPr>
          <w:p w14:paraId="6017513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58,392</w:t>
            </w:r>
          </w:p>
        </w:tc>
        <w:tc>
          <w:tcPr>
            <w:tcW w:w="851" w:type="dxa"/>
            <w:tcBorders>
              <w:top w:val="single" w:sz="4" w:space="0" w:color="auto"/>
              <w:left w:val="nil"/>
              <w:bottom w:val="single" w:sz="4" w:space="0" w:color="auto"/>
              <w:right w:val="nil"/>
            </w:tcBorders>
            <w:shd w:val="clear" w:color="000000" w:fill="F8696B"/>
            <w:noWrap/>
            <w:vAlign w:val="center"/>
            <w:hideMark/>
          </w:tcPr>
          <w:p w14:paraId="7994C61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w:t>
            </w:r>
          </w:p>
        </w:tc>
        <w:tc>
          <w:tcPr>
            <w:tcW w:w="992" w:type="dxa"/>
            <w:tcBorders>
              <w:top w:val="nil"/>
              <w:left w:val="nil"/>
              <w:bottom w:val="single" w:sz="4" w:space="0" w:color="auto"/>
              <w:right w:val="nil"/>
            </w:tcBorders>
            <w:shd w:val="clear" w:color="auto" w:fill="auto"/>
            <w:noWrap/>
            <w:vAlign w:val="center"/>
            <w:hideMark/>
          </w:tcPr>
          <w:p w14:paraId="5B81136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83,914</w:t>
            </w:r>
          </w:p>
        </w:tc>
        <w:tc>
          <w:tcPr>
            <w:tcW w:w="850" w:type="dxa"/>
            <w:tcBorders>
              <w:top w:val="nil"/>
              <w:left w:val="nil"/>
              <w:bottom w:val="single" w:sz="4" w:space="0" w:color="auto"/>
              <w:right w:val="nil"/>
            </w:tcBorders>
            <w:shd w:val="clear" w:color="auto" w:fill="auto"/>
            <w:noWrap/>
            <w:vAlign w:val="center"/>
            <w:hideMark/>
          </w:tcPr>
          <w:p w14:paraId="01D28B1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4,263</w:t>
            </w:r>
          </w:p>
        </w:tc>
        <w:tc>
          <w:tcPr>
            <w:tcW w:w="1051" w:type="dxa"/>
            <w:tcBorders>
              <w:top w:val="nil"/>
              <w:left w:val="nil"/>
              <w:bottom w:val="single" w:sz="4" w:space="0" w:color="auto"/>
              <w:right w:val="nil"/>
            </w:tcBorders>
            <w:shd w:val="clear" w:color="auto" w:fill="auto"/>
            <w:noWrap/>
            <w:vAlign w:val="center"/>
            <w:hideMark/>
          </w:tcPr>
          <w:p w14:paraId="052E08E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455</w:t>
            </w:r>
          </w:p>
        </w:tc>
        <w:tc>
          <w:tcPr>
            <w:tcW w:w="869" w:type="dxa"/>
            <w:tcBorders>
              <w:top w:val="nil"/>
              <w:left w:val="nil"/>
              <w:bottom w:val="single" w:sz="4" w:space="0" w:color="auto"/>
              <w:right w:val="nil"/>
            </w:tcBorders>
            <w:shd w:val="clear" w:color="auto" w:fill="auto"/>
            <w:noWrap/>
            <w:vAlign w:val="center"/>
            <w:hideMark/>
          </w:tcPr>
          <w:p w14:paraId="52187E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4,717</w:t>
            </w:r>
          </w:p>
        </w:tc>
        <w:tc>
          <w:tcPr>
            <w:tcW w:w="708" w:type="dxa"/>
            <w:tcBorders>
              <w:top w:val="nil"/>
              <w:left w:val="nil"/>
              <w:bottom w:val="single" w:sz="4" w:space="0" w:color="auto"/>
              <w:right w:val="nil"/>
            </w:tcBorders>
            <w:shd w:val="clear" w:color="auto" w:fill="auto"/>
            <w:noWrap/>
            <w:vAlign w:val="center"/>
            <w:hideMark/>
          </w:tcPr>
          <w:p w14:paraId="10AD89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6,312</w:t>
            </w:r>
          </w:p>
        </w:tc>
        <w:tc>
          <w:tcPr>
            <w:tcW w:w="1011" w:type="dxa"/>
            <w:tcBorders>
              <w:top w:val="nil"/>
              <w:left w:val="nil"/>
              <w:bottom w:val="single" w:sz="4" w:space="0" w:color="auto"/>
              <w:right w:val="nil"/>
            </w:tcBorders>
            <w:shd w:val="clear" w:color="auto" w:fill="auto"/>
            <w:noWrap/>
            <w:vAlign w:val="center"/>
            <w:hideMark/>
          </w:tcPr>
          <w:p w14:paraId="6C8602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6C0AF7F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2,620</w:t>
            </w:r>
          </w:p>
        </w:tc>
        <w:tc>
          <w:tcPr>
            <w:tcW w:w="1354" w:type="dxa"/>
            <w:tcBorders>
              <w:top w:val="nil"/>
              <w:left w:val="nil"/>
              <w:bottom w:val="single" w:sz="4" w:space="0" w:color="auto"/>
              <w:right w:val="nil"/>
            </w:tcBorders>
            <w:shd w:val="clear" w:color="auto" w:fill="auto"/>
            <w:noWrap/>
            <w:vAlign w:val="center"/>
            <w:hideMark/>
          </w:tcPr>
          <w:p w14:paraId="7BD756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4,186</w:t>
            </w:r>
          </w:p>
        </w:tc>
        <w:tc>
          <w:tcPr>
            <w:tcW w:w="1001" w:type="dxa"/>
            <w:tcBorders>
              <w:top w:val="nil"/>
              <w:left w:val="nil"/>
              <w:bottom w:val="single" w:sz="4" w:space="0" w:color="auto"/>
              <w:right w:val="nil"/>
            </w:tcBorders>
            <w:shd w:val="clear" w:color="auto" w:fill="auto"/>
            <w:noWrap/>
            <w:vAlign w:val="center"/>
            <w:hideMark/>
          </w:tcPr>
          <w:p w14:paraId="0F1D9C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w:t>
            </w:r>
          </w:p>
        </w:tc>
        <w:tc>
          <w:tcPr>
            <w:tcW w:w="992" w:type="dxa"/>
            <w:tcBorders>
              <w:top w:val="single" w:sz="4" w:space="0" w:color="auto"/>
              <w:left w:val="nil"/>
              <w:bottom w:val="single" w:sz="4" w:space="0" w:color="auto"/>
              <w:right w:val="nil"/>
            </w:tcBorders>
            <w:shd w:val="clear" w:color="000000" w:fill="FBC1C3"/>
            <w:noWrap/>
            <w:vAlign w:val="center"/>
            <w:hideMark/>
          </w:tcPr>
          <w:p w14:paraId="7E172DE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189%</w:t>
            </w:r>
          </w:p>
        </w:tc>
      </w:tr>
    </w:tbl>
    <w:p w14:paraId="20675289" w14:textId="77777777" w:rsidR="0028350E" w:rsidRDefault="0028350E" w:rsidP="0028350E"/>
    <w:p w14:paraId="36D61043" w14:textId="77777777" w:rsidR="0028350E" w:rsidRDefault="0028350E" w:rsidP="00A52191">
      <w:pPr>
        <w:pStyle w:val="AppendixH3"/>
      </w:pPr>
      <w:r w:rsidRPr="009E1993">
        <w:t xml:space="preserve">Flows of participant numbers in and out of disability types, for participants aged </w:t>
      </w:r>
      <w:r>
        <w:t>35-44</w:t>
      </w:r>
    </w:p>
    <w:tbl>
      <w:tblPr>
        <w:tblW w:w="14513" w:type="dxa"/>
        <w:tblInd w:w="108" w:type="dxa"/>
        <w:tblLook w:val="04A0" w:firstRow="1" w:lastRow="0" w:firstColumn="1" w:lastColumn="0" w:noHBand="0" w:noVBand="1"/>
      </w:tblPr>
      <w:tblGrid>
        <w:gridCol w:w="1985"/>
        <w:gridCol w:w="884"/>
        <w:gridCol w:w="992"/>
        <w:gridCol w:w="851"/>
        <w:gridCol w:w="992"/>
        <w:gridCol w:w="850"/>
        <w:gridCol w:w="1051"/>
        <w:gridCol w:w="869"/>
        <w:gridCol w:w="708"/>
        <w:gridCol w:w="1011"/>
        <w:gridCol w:w="973"/>
        <w:gridCol w:w="1354"/>
        <w:gridCol w:w="1001"/>
        <w:gridCol w:w="992"/>
      </w:tblGrid>
      <w:tr w:rsidR="00ED2FC8" w:rsidRPr="007364B1" w14:paraId="71F8AD2C"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4D3AA08C"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5D2DFC44"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992" w:type="dxa"/>
            <w:tcBorders>
              <w:top w:val="single" w:sz="4" w:space="0" w:color="auto"/>
              <w:left w:val="nil"/>
              <w:bottom w:val="single" w:sz="4" w:space="0" w:color="auto"/>
              <w:right w:val="nil"/>
            </w:tcBorders>
            <w:shd w:val="clear" w:color="auto" w:fill="auto"/>
            <w:vAlign w:val="bottom"/>
            <w:hideMark/>
          </w:tcPr>
          <w:p w14:paraId="48339BA3"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7EE69B5F" w14:textId="285427FD"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6FE37F93" w14:textId="66704FB1"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05A2122F" w14:textId="1CBEDF9F"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35A03837" w14:textId="40AB9A6B"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5E997716" w14:textId="1C6952BD"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08" w:type="dxa"/>
            <w:tcBorders>
              <w:top w:val="single" w:sz="4" w:space="0" w:color="auto"/>
              <w:left w:val="nil"/>
              <w:bottom w:val="single" w:sz="4" w:space="0" w:color="auto"/>
              <w:right w:val="nil"/>
            </w:tcBorders>
            <w:shd w:val="clear" w:color="auto" w:fill="auto"/>
            <w:vAlign w:val="bottom"/>
            <w:hideMark/>
          </w:tcPr>
          <w:p w14:paraId="407A706B" w14:textId="50CA8159"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34378227"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5088DE5F" w14:textId="0DAB3D86"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2DC7B1F0" w14:textId="48C9412F"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61020C57"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26A062BD"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6FE5C26E" w14:textId="77777777" w:rsidTr="00AA33F9">
        <w:trPr>
          <w:trHeight w:val="360"/>
        </w:trPr>
        <w:tc>
          <w:tcPr>
            <w:tcW w:w="1985" w:type="dxa"/>
            <w:tcBorders>
              <w:top w:val="nil"/>
              <w:left w:val="nil"/>
              <w:bottom w:val="nil"/>
              <w:right w:val="nil"/>
            </w:tcBorders>
            <w:shd w:val="clear" w:color="auto" w:fill="auto"/>
            <w:noWrap/>
            <w:vAlign w:val="bottom"/>
            <w:hideMark/>
          </w:tcPr>
          <w:p w14:paraId="6C1859E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7D3D18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2,248</w:t>
            </w:r>
          </w:p>
        </w:tc>
        <w:tc>
          <w:tcPr>
            <w:tcW w:w="992" w:type="dxa"/>
            <w:tcBorders>
              <w:top w:val="nil"/>
              <w:left w:val="nil"/>
              <w:bottom w:val="nil"/>
              <w:right w:val="nil"/>
            </w:tcBorders>
            <w:shd w:val="clear" w:color="auto" w:fill="auto"/>
            <w:noWrap/>
            <w:vAlign w:val="center"/>
            <w:hideMark/>
          </w:tcPr>
          <w:p w14:paraId="2BDB37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2,393</w:t>
            </w:r>
          </w:p>
        </w:tc>
        <w:tc>
          <w:tcPr>
            <w:tcW w:w="851" w:type="dxa"/>
            <w:tcBorders>
              <w:top w:val="nil"/>
              <w:left w:val="nil"/>
              <w:bottom w:val="nil"/>
              <w:right w:val="nil"/>
            </w:tcBorders>
            <w:shd w:val="clear" w:color="000000" w:fill="FAA5A8"/>
            <w:noWrap/>
            <w:vAlign w:val="center"/>
            <w:hideMark/>
          </w:tcPr>
          <w:p w14:paraId="13F2626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992" w:type="dxa"/>
            <w:tcBorders>
              <w:top w:val="nil"/>
              <w:left w:val="nil"/>
              <w:bottom w:val="nil"/>
              <w:right w:val="nil"/>
            </w:tcBorders>
            <w:shd w:val="clear" w:color="auto" w:fill="auto"/>
            <w:noWrap/>
            <w:vAlign w:val="center"/>
            <w:hideMark/>
          </w:tcPr>
          <w:p w14:paraId="54B6AC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2,394</w:t>
            </w:r>
          </w:p>
        </w:tc>
        <w:tc>
          <w:tcPr>
            <w:tcW w:w="850" w:type="dxa"/>
            <w:tcBorders>
              <w:top w:val="nil"/>
              <w:left w:val="nil"/>
              <w:bottom w:val="nil"/>
              <w:right w:val="nil"/>
            </w:tcBorders>
            <w:shd w:val="clear" w:color="auto" w:fill="auto"/>
            <w:noWrap/>
            <w:vAlign w:val="center"/>
            <w:hideMark/>
          </w:tcPr>
          <w:p w14:paraId="7F1370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294</w:t>
            </w:r>
          </w:p>
        </w:tc>
        <w:tc>
          <w:tcPr>
            <w:tcW w:w="1051" w:type="dxa"/>
            <w:tcBorders>
              <w:top w:val="nil"/>
              <w:left w:val="nil"/>
              <w:bottom w:val="nil"/>
              <w:right w:val="nil"/>
            </w:tcBorders>
            <w:shd w:val="clear" w:color="auto" w:fill="auto"/>
            <w:noWrap/>
            <w:vAlign w:val="center"/>
            <w:hideMark/>
          </w:tcPr>
          <w:p w14:paraId="27D4CD7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53</w:t>
            </w:r>
          </w:p>
        </w:tc>
        <w:tc>
          <w:tcPr>
            <w:tcW w:w="869" w:type="dxa"/>
            <w:tcBorders>
              <w:top w:val="nil"/>
              <w:left w:val="nil"/>
              <w:bottom w:val="nil"/>
              <w:right w:val="nil"/>
            </w:tcBorders>
            <w:shd w:val="clear" w:color="auto" w:fill="auto"/>
            <w:noWrap/>
            <w:vAlign w:val="center"/>
            <w:hideMark/>
          </w:tcPr>
          <w:p w14:paraId="29DB4D8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347</w:t>
            </w:r>
          </w:p>
        </w:tc>
        <w:tc>
          <w:tcPr>
            <w:tcW w:w="708" w:type="dxa"/>
            <w:tcBorders>
              <w:top w:val="nil"/>
              <w:left w:val="nil"/>
              <w:bottom w:val="nil"/>
              <w:right w:val="nil"/>
            </w:tcBorders>
            <w:shd w:val="clear" w:color="auto" w:fill="auto"/>
            <w:noWrap/>
            <w:vAlign w:val="center"/>
            <w:hideMark/>
          </w:tcPr>
          <w:p w14:paraId="5D3A4B8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178</w:t>
            </w:r>
          </w:p>
        </w:tc>
        <w:tc>
          <w:tcPr>
            <w:tcW w:w="1011" w:type="dxa"/>
            <w:tcBorders>
              <w:top w:val="nil"/>
              <w:left w:val="nil"/>
              <w:bottom w:val="nil"/>
              <w:right w:val="nil"/>
            </w:tcBorders>
            <w:shd w:val="clear" w:color="auto" w:fill="auto"/>
            <w:noWrap/>
            <w:vAlign w:val="center"/>
            <w:hideMark/>
          </w:tcPr>
          <w:p w14:paraId="20711E5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EA5B9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204</w:t>
            </w:r>
          </w:p>
        </w:tc>
        <w:tc>
          <w:tcPr>
            <w:tcW w:w="1354" w:type="dxa"/>
            <w:tcBorders>
              <w:top w:val="nil"/>
              <w:left w:val="nil"/>
              <w:bottom w:val="nil"/>
              <w:right w:val="nil"/>
            </w:tcBorders>
            <w:shd w:val="clear" w:color="auto" w:fill="auto"/>
            <w:noWrap/>
            <w:vAlign w:val="center"/>
            <w:hideMark/>
          </w:tcPr>
          <w:p w14:paraId="26C3E7E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294</w:t>
            </w:r>
          </w:p>
        </w:tc>
        <w:tc>
          <w:tcPr>
            <w:tcW w:w="1001" w:type="dxa"/>
            <w:tcBorders>
              <w:top w:val="nil"/>
              <w:left w:val="nil"/>
              <w:bottom w:val="nil"/>
              <w:right w:val="nil"/>
            </w:tcBorders>
            <w:shd w:val="clear" w:color="auto" w:fill="auto"/>
            <w:noWrap/>
            <w:vAlign w:val="center"/>
            <w:hideMark/>
          </w:tcPr>
          <w:p w14:paraId="44A3F2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w:t>
            </w:r>
          </w:p>
        </w:tc>
        <w:tc>
          <w:tcPr>
            <w:tcW w:w="992" w:type="dxa"/>
            <w:tcBorders>
              <w:top w:val="nil"/>
              <w:left w:val="nil"/>
              <w:bottom w:val="nil"/>
              <w:right w:val="nil"/>
            </w:tcBorders>
            <w:shd w:val="clear" w:color="000000" w:fill="CDDBEE"/>
            <w:noWrap/>
            <w:vAlign w:val="center"/>
            <w:hideMark/>
          </w:tcPr>
          <w:p w14:paraId="60A9DF3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110%</w:t>
            </w:r>
          </w:p>
        </w:tc>
      </w:tr>
      <w:tr w:rsidR="0028350E" w:rsidRPr="007364B1" w14:paraId="2EE1747B" w14:textId="77777777" w:rsidTr="00AA33F9">
        <w:trPr>
          <w:trHeight w:val="360"/>
        </w:trPr>
        <w:tc>
          <w:tcPr>
            <w:tcW w:w="1985" w:type="dxa"/>
            <w:tcBorders>
              <w:top w:val="nil"/>
              <w:left w:val="nil"/>
              <w:bottom w:val="nil"/>
              <w:right w:val="nil"/>
            </w:tcBorders>
            <w:shd w:val="clear" w:color="auto" w:fill="auto"/>
            <w:noWrap/>
            <w:vAlign w:val="bottom"/>
            <w:hideMark/>
          </w:tcPr>
          <w:p w14:paraId="5C60FAA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0F7CF3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2,902</w:t>
            </w:r>
          </w:p>
        </w:tc>
        <w:tc>
          <w:tcPr>
            <w:tcW w:w="992" w:type="dxa"/>
            <w:tcBorders>
              <w:top w:val="nil"/>
              <w:left w:val="nil"/>
              <w:bottom w:val="nil"/>
              <w:right w:val="nil"/>
            </w:tcBorders>
            <w:shd w:val="clear" w:color="auto" w:fill="auto"/>
            <w:noWrap/>
            <w:vAlign w:val="center"/>
            <w:hideMark/>
          </w:tcPr>
          <w:p w14:paraId="478C87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5,154</w:t>
            </w:r>
          </w:p>
        </w:tc>
        <w:tc>
          <w:tcPr>
            <w:tcW w:w="851" w:type="dxa"/>
            <w:tcBorders>
              <w:top w:val="nil"/>
              <w:left w:val="nil"/>
              <w:bottom w:val="nil"/>
              <w:right w:val="nil"/>
            </w:tcBorders>
            <w:shd w:val="clear" w:color="000000" w:fill="F8696B"/>
            <w:noWrap/>
            <w:vAlign w:val="center"/>
            <w:hideMark/>
          </w:tcPr>
          <w:p w14:paraId="752A10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+78%</w:t>
            </w:r>
          </w:p>
        </w:tc>
        <w:tc>
          <w:tcPr>
            <w:tcW w:w="992" w:type="dxa"/>
            <w:tcBorders>
              <w:top w:val="nil"/>
              <w:left w:val="nil"/>
              <w:bottom w:val="nil"/>
              <w:right w:val="nil"/>
            </w:tcBorders>
            <w:shd w:val="clear" w:color="auto" w:fill="auto"/>
            <w:noWrap/>
            <w:vAlign w:val="center"/>
            <w:hideMark/>
          </w:tcPr>
          <w:p w14:paraId="69C6F7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8,459</w:t>
            </w:r>
          </w:p>
        </w:tc>
        <w:tc>
          <w:tcPr>
            <w:tcW w:w="850" w:type="dxa"/>
            <w:tcBorders>
              <w:top w:val="nil"/>
              <w:left w:val="nil"/>
              <w:bottom w:val="nil"/>
              <w:right w:val="nil"/>
            </w:tcBorders>
            <w:shd w:val="clear" w:color="auto" w:fill="auto"/>
            <w:noWrap/>
            <w:vAlign w:val="center"/>
            <w:hideMark/>
          </w:tcPr>
          <w:p w14:paraId="110B37A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234</w:t>
            </w:r>
          </w:p>
        </w:tc>
        <w:tc>
          <w:tcPr>
            <w:tcW w:w="1051" w:type="dxa"/>
            <w:tcBorders>
              <w:top w:val="nil"/>
              <w:left w:val="nil"/>
              <w:bottom w:val="nil"/>
              <w:right w:val="nil"/>
            </w:tcBorders>
            <w:shd w:val="clear" w:color="auto" w:fill="auto"/>
            <w:noWrap/>
            <w:vAlign w:val="center"/>
            <w:hideMark/>
          </w:tcPr>
          <w:p w14:paraId="76627E8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w:t>
            </w:r>
          </w:p>
        </w:tc>
        <w:tc>
          <w:tcPr>
            <w:tcW w:w="869" w:type="dxa"/>
            <w:tcBorders>
              <w:top w:val="nil"/>
              <w:left w:val="nil"/>
              <w:bottom w:val="nil"/>
              <w:right w:val="nil"/>
            </w:tcBorders>
            <w:shd w:val="clear" w:color="auto" w:fill="auto"/>
            <w:noWrap/>
            <w:vAlign w:val="center"/>
            <w:hideMark/>
          </w:tcPr>
          <w:p w14:paraId="3B9C9C6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260</w:t>
            </w:r>
          </w:p>
        </w:tc>
        <w:tc>
          <w:tcPr>
            <w:tcW w:w="708" w:type="dxa"/>
            <w:tcBorders>
              <w:top w:val="nil"/>
              <w:left w:val="nil"/>
              <w:bottom w:val="nil"/>
              <w:right w:val="nil"/>
            </w:tcBorders>
            <w:shd w:val="clear" w:color="auto" w:fill="auto"/>
            <w:noWrap/>
            <w:vAlign w:val="center"/>
            <w:hideMark/>
          </w:tcPr>
          <w:p w14:paraId="02288DB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617</w:t>
            </w:r>
          </w:p>
        </w:tc>
        <w:tc>
          <w:tcPr>
            <w:tcW w:w="1011" w:type="dxa"/>
            <w:tcBorders>
              <w:top w:val="nil"/>
              <w:left w:val="nil"/>
              <w:bottom w:val="nil"/>
              <w:right w:val="nil"/>
            </w:tcBorders>
            <w:shd w:val="clear" w:color="auto" w:fill="auto"/>
            <w:noWrap/>
            <w:vAlign w:val="center"/>
            <w:hideMark/>
          </w:tcPr>
          <w:p w14:paraId="68D1296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B2D32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207</w:t>
            </w:r>
          </w:p>
        </w:tc>
        <w:tc>
          <w:tcPr>
            <w:tcW w:w="1354" w:type="dxa"/>
            <w:tcBorders>
              <w:top w:val="nil"/>
              <w:left w:val="nil"/>
              <w:bottom w:val="nil"/>
              <w:right w:val="nil"/>
            </w:tcBorders>
            <w:shd w:val="clear" w:color="auto" w:fill="auto"/>
            <w:noWrap/>
            <w:vAlign w:val="center"/>
            <w:hideMark/>
          </w:tcPr>
          <w:p w14:paraId="5002B4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486</w:t>
            </w:r>
          </w:p>
        </w:tc>
        <w:tc>
          <w:tcPr>
            <w:tcW w:w="1001" w:type="dxa"/>
            <w:tcBorders>
              <w:top w:val="nil"/>
              <w:left w:val="nil"/>
              <w:bottom w:val="nil"/>
              <w:right w:val="nil"/>
            </w:tcBorders>
            <w:shd w:val="clear" w:color="auto" w:fill="auto"/>
            <w:noWrap/>
            <w:vAlign w:val="center"/>
            <w:hideMark/>
          </w:tcPr>
          <w:p w14:paraId="12D9E7E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w:t>
            </w:r>
          </w:p>
        </w:tc>
        <w:tc>
          <w:tcPr>
            <w:tcW w:w="992" w:type="dxa"/>
            <w:tcBorders>
              <w:top w:val="nil"/>
              <w:left w:val="nil"/>
              <w:bottom w:val="nil"/>
              <w:right w:val="nil"/>
            </w:tcBorders>
            <w:shd w:val="clear" w:color="000000" w:fill="F8696B"/>
            <w:noWrap/>
            <w:vAlign w:val="center"/>
            <w:hideMark/>
          </w:tcPr>
          <w:p w14:paraId="4CA346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317%</w:t>
            </w:r>
          </w:p>
        </w:tc>
      </w:tr>
      <w:tr w:rsidR="0028350E" w:rsidRPr="007364B1" w14:paraId="0BCB1EBE" w14:textId="77777777" w:rsidTr="00AA33F9">
        <w:trPr>
          <w:trHeight w:val="360"/>
        </w:trPr>
        <w:tc>
          <w:tcPr>
            <w:tcW w:w="1985" w:type="dxa"/>
            <w:tcBorders>
              <w:top w:val="nil"/>
              <w:left w:val="nil"/>
              <w:bottom w:val="nil"/>
              <w:right w:val="nil"/>
            </w:tcBorders>
            <w:shd w:val="clear" w:color="auto" w:fill="auto"/>
            <w:noWrap/>
            <w:vAlign w:val="bottom"/>
            <w:hideMark/>
          </w:tcPr>
          <w:p w14:paraId="1A3E6C6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67D062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1,889</w:t>
            </w:r>
          </w:p>
        </w:tc>
        <w:tc>
          <w:tcPr>
            <w:tcW w:w="992" w:type="dxa"/>
            <w:tcBorders>
              <w:top w:val="nil"/>
              <w:left w:val="nil"/>
              <w:bottom w:val="nil"/>
              <w:right w:val="nil"/>
            </w:tcBorders>
            <w:shd w:val="clear" w:color="auto" w:fill="auto"/>
            <w:noWrap/>
            <w:vAlign w:val="center"/>
            <w:hideMark/>
          </w:tcPr>
          <w:p w14:paraId="4063DC4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2,160</w:t>
            </w:r>
          </w:p>
        </w:tc>
        <w:tc>
          <w:tcPr>
            <w:tcW w:w="851" w:type="dxa"/>
            <w:tcBorders>
              <w:top w:val="nil"/>
              <w:left w:val="nil"/>
              <w:bottom w:val="nil"/>
              <w:right w:val="nil"/>
            </w:tcBorders>
            <w:shd w:val="clear" w:color="000000" w:fill="FA9FA1"/>
            <w:noWrap/>
            <w:vAlign w:val="center"/>
            <w:hideMark/>
          </w:tcPr>
          <w:p w14:paraId="520769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992" w:type="dxa"/>
            <w:tcBorders>
              <w:top w:val="nil"/>
              <w:left w:val="nil"/>
              <w:bottom w:val="nil"/>
              <w:right w:val="nil"/>
            </w:tcBorders>
            <w:shd w:val="clear" w:color="auto" w:fill="auto"/>
            <w:noWrap/>
            <w:vAlign w:val="center"/>
            <w:hideMark/>
          </w:tcPr>
          <w:p w14:paraId="017323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2,493</w:t>
            </w:r>
          </w:p>
        </w:tc>
        <w:tc>
          <w:tcPr>
            <w:tcW w:w="850" w:type="dxa"/>
            <w:tcBorders>
              <w:top w:val="nil"/>
              <w:left w:val="nil"/>
              <w:bottom w:val="nil"/>
              <w:right w:val="nil"/>
            </w:tcBorders>
            <w:shd w:val="clear" w:color="auto" w:fill="auto"/>
            <w:noWrap/>
            <w:vAlign w:val="center"/>
            <w:hideMark/>
          </w:tcPr>
          <w:p w14:paraId="39204F3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175</w:t>
            </w:r>
          </w:p>
        </w:tc>
        <w:tc>
          <w:tcPr>
            <w:tcW w:w="1051" w:type="dxa"/>
            <w:tcBorders>
              <w:top w:val="nil"/>
              <w:left w:val="nil"/>
              <w:bottom w:val="nil"/>
              <w:right w:val="nil"/>
            </w:tcBorders>
            <w:shd w:val="clear" w:color="auto" w:fill="auto"/>
            <w:noWrap/>
            <w:vAlign w:val="center"/>
            <w:hideMark/>
          </w:tcPr>
          <w:p w14:paraId="278D01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w:t>
            </w:r>
          </w:p>
        </w:tc>
        <w:tc>
          <w:tcPr>
            <w:tcW w:w="869" w:type="dxa"/>
            <w:tcBorders>
              <w:top w:val="nil"/>
              <w:left w:val="nil"/>
              <w:bottom w:val="nil"/>
              <w:right w:val="nil"/>
            </w:tcBorders>
            <w:shd w:val="clear" w:color="auto" w:fill="auto"/>
            <w:noWrap/>
            <w:vAlign w:val="center"/>
            <w:hideMark/>
          </w:tcPr>
          <w:p w14:paraId="676D20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195</w:t>
            </w:r>
          </w:p>
        </w:tc>
        <w:tc>
          <w:tcPr>
            <w:tcW w:w="708" w:type="dxa"/>
            <w:tcBorders>
              <w:top w:val="nil"/>
              <w:left w:val="nil"/>
              <w:bottom w:val="nil"/>
              <w:right w:val="nil"/>
            </w:tcBorders>
            <w:shd w:val="clear" w:color="auto" w:fill="auto"/>
            <w:noWrap/>
            <w:vAlign w:val="center"/>
            <w:hideMark/>
          </w:tcPr>
          <w:p w14:paraId="607215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224</w:t>
            </w:r>
          </w:p>
        </w:tc>
        <w:tc>
          <w:tcPr>
            <w:tcW w:w="1011" w:type="dxa"/>
            <w:tcBorders>
              <w:top w:val="nil"/>
              <w:left w:val="nil"/>
              <w:bottom w:val="nil"/>
              <w:right w:val="nil"/>
            </w:tcBorders>
            <w:shd w:val="clear" w:color="auto" w:fill="auto"/>
            <w:noWrap/>
            <w:vAlign w:val="center"/>
            <w:hideMark/>
          </w:tcPr>
          <w:p w14:paraId="13A8926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5063C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w:t>
            </w:r>
          </w:p>
        </w:tc>
        <w:tc>
          <w:tcPr>
            <w:tcW w:w="1354" w:type="dxa"/>
            <w:tcBorders>
              <w:top w:val="nil"/>
              <w:left w:val="nil"/>
              <w:bottom w:val="nil"/>
              <w:right w:val="nil"/>
            </w:tcBorders>
            <w:shd w:val="clear" w:color="auto" w:fill="auto"/>
            <w:noWrap/>
            <w:vAlign w:val="center"/>
            <w:hideMark/>
          </w:tcPr>
          <w:p w14:paraId="1B57A9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56</w:t>
            </w:r>
          </w:p>
        </w:tc>
        <w:tc>
          <w:tcPr>
            <w:tcW w:w="1001" w:type="dxa"/>
            <w:tcBorders>
              <w:top w:val="nil"/>
              <w:left w:val="nil"/>
              <w:bottom w:val="nil"/>
              <w:right w:val="nil"/>
            </w:tcBorders>
            <w:shd w:val="clear" w:color="auto" w:fill="auto"/>
            <w:noWrap/>
            <w:vAlign w:val="center"/>
            <w:hideMark/>
          </w:tcPr>
          <w:p w14:paraId="0D0FF2E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w:t>
            </w:r>
          </w:p>
        </w:tc>
        <w:tc>
          <w:tcPr>
            <w:tcW w:w="992" w:type="dxa"/>
            <w:tcBorders>
              <w:top w:val="nil"/>
              <w:left w:val="nil"/>
              <w:bottom w:val="nil"/>
              <w:right w:val="nil"/>
            </w:tcBorders>
            <w:shd w:val="clear" w:color="000000" w:fill="F7F8FD"/>
            <w:noWrap/>
            <w:vAlign w:val="center"/>
            <w:hideMark/>
          </w:tcPr>
          <w:p w14:paraId="37E5F3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135%</w:t>
            </w:r>
          </w:p>
        </w:tc>
      </w:tr>
      <w:tr w:rsidR="0028350E" w:rsidRPr="007364B1" w14:paraId="2F771C3F" w14:textId="77777777" w:rsidTr="00AA33F9">
        <w:trPr>
          <w:trHeight w:val="360"/>
        </w:trPr>
        <w:tc>
          <w:tcPr>
            <w:tcW w:w="1985" w:type="dxa"/>
            <w:tcBorders>
              <w:top w:val="nil"/>
              <w:left w:val="nil"/>
              <w:bottom w:val="nil"/>
              <w:right w:val="nil"/>
            </w:tcBorders>
            <w:shd w:val="clear" w:color="auto" w:fill="auto"/>
            <w:noWrap/>
            <w:vAlign w:val="bottom"/>
            <w:hideMark/>
          </w:tcPr>
          <w:p w14:paraId="0A67247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31EF6B2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1,689</w:t>
            </w:r>
          </w:p>
        </w:tc>
        <w:tc>
          <w:tcPr>
            <w:tcW w:w="992" w:type="dxa"/>
            <w:tcBorders>
              <w:top w:val="nil"/>
              <w:left w:val="nil"/>
              <w:bottom w:val="nil"/>
              <w:right w:val="nil"/>
            </w:tcBorders>
            <w:shd w:val="clear" w:color="auto" w:fill="auto"/>
            <w:noWrap/>
            <w:vAlign w:val="center"/>
            <w:hideMark/>
          </w:tcPr>
          <w:p w14:paraId="48EDD92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2,410</w:t>
            </w:r>
          </w:p>
        </w:tc>
        <w:tc>
          <w:tcPr>
            <w:tcW w:w="851" w:type="dxa"/>
            <w:tcBorders>
              <w:top w:val="nil"/>
              <w:left w:val="nil"/>
              <w:bottom w:val="nil"/>
              <w:right w:val="nil"/>
            </w:tcBorders>
            <w:shd w:val="clear" w:color="000000" w:fill="F98789"/>
            <w:noWrap/>
            <w:vAlign w:val="center"/>
            <w:hideMark/>
          </w:tcPr>
          <w:p w14:paraId="67AFC8C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w:t>
            </w:r>
          </w:p>
        </w:tc>
        <w:tc>
          <w:tcPr>
            <w:tcW w:w="992" w:type="dxa"/>
            <w:tcBorders>
              <w:top w:val="nil"/>
              <w:left w:val="nil"/>
              <w:bottom w:val="nil"/>
              <w:right w:val="nil"/>
            </w:tcBorders>
            <w:shd w:val="clear" w:color="auto" w:fill="auto"/>
            <w:noWrap/>
            <w:vAlign w:val="center"/>
            <w:hideMark/>
          </w:tcPr>
          <w:p w14:paraId="5DB5D1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3,159</w:t>
            </w:r>
          </w:p>
        </w:tc>
        <w:tc>
          <w:tcPr>
            <w:tcW w:w="850" w:type="dxa"/>
            <w:tcBorders>
              <w:top w:val="nil"/>
              <w:left w:val="nil"/>
              <w:bottom w:val="nil"/>
              <w:right w:val="nil"/>
            </w:tcBorders>
            <w:shd w:val="clear" w:color="auto" w:fill="auto"/>
            <w:noWrap/>
            <w:vAlign w:val="center"/>
            <w:hideMark/>
          </w:tcPr>
          <w:p w14:paraId="233CCF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199</w:t>
            </w:r>
          </w:p>
        </w:tc>
        <w:tc>
          <w:tcPr>
            <w:tcW w:w="1051" w:type="dxa"/>
            <w:tcBorders>
              <w:top w:val="nil"/>
              <w:left w:val="nil"/>
              <w:bottom w:val="nil"/>
              <w:right w:val="nil"/>
            </w:tcBorders>
            <w:shd w:val="clear" w:color="auto" w:fill="auto"/>
            <w:noWrap/>
            <w:vAlign w:val="center"/>
            <w:hideMark/>
          </w:tcPr>
          <w:p w14:paraId="6EDFFB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w:t>
            </w:r>
          </w:p>
        </w:tc>
        <w:tc>
          <w:tcPr>
            <w:tcW w:w="869" w:type="dxa"/>
            <w:tcBorders>
              <w:top w:val="nil"/>
              <w:left w:val="nil"/>
              <w:bottom w:val="nil"/>
              <w:right w:val="nil"/>
            </w:tcBorders>
            <w:shd w:val="clear" w:color="auto" w:fill="auto"/>
            <w:noWrap/>
            <w:vAlign w:val="center"/>
            <w:hideMark/>
          </w:tcPr>
          <w:p w14:paraId="21CC4F7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247</w:t>
            </w:r>
          </w:p>
        </w:tc>
        <w:tc>
          <w:tcPr>
            <w:tcW w:w="708" w:type="dxa"/>
            <w:tcBorders>
              <w:top w:val="nil"/>
              <w:left w:val="nil"/>
              <w:bottom w:val="nil"/>
              <w:right w:val="nil"/>
            </w:tcBorders>
            <w:shd w:val="clear" w:color="auto" w:fill="auto"/>
            <w:noWrap/>
            <w:vAlign w:val="center"/>
            <w:hideMark/>
          </w:tcPr>
          <w:p w14:paraId="3610D66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205</w:t>
            </w:r>
          </w:p>
        </w:tc>
        <w:tc>
          <w:tcPr>
            <w:tcW w:w="1011" w:type="dxa"/>
            <w:tcBorders>
              <w:top w:val="nil"/>
              <w:left w:val="nil"/>
              <w:bottom w:val="nil"/>
              <w:right w:val="nil"/>
            </w:tcBorders>
            <w:shd w:val="clear" w:color="auto" w:fill="auto"/>
            <w:noWrap/>
            <w:vAlign w:val="center"/>
            <w:hideMark/>
          </w:tcPr>
          <w:p w14:paraId="3EFE0F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39CD2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222</w:t>
            </w:r>
          </w:p>
        </w:tc>
        <w:tc>
          <w:tcPr>
            <w:tcW w:w="1354" w:type="dxa"/>
            <w:tcBorders>
              <w:top w:val="nil"/>
              <w:left w:val="nil"/>
              <w:bottom w:val="nil"/>
              <w:right w:val="nil"/>
            </w:tcBorders>
            <w:shd w:val="clear" w:color="auto" w:fill="auto"/>
            <w:noWrap/>
            <w:vAlign w:val="center"/>
            <w:hideMark/>
          </w:tcPr>
          <w:p w14:paraId="22503B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206</w:t>
            </w:r>
          </w:p>
        </w:tc>
        <w:tc>
          <w:tcPr>
            <w:tcW w:w="1001" w:type="dxa"/>
            <w:tcBorders>
              <w:top w:val="nil"/>
              <w:left w:val="nil"/>
              <w:bottom w:val="nil"/>
              <w:right w:val="nil"/>
            </w:tcBorders>
            <w:shd w:val="clear" w:color="auto" w:fill="auto"/>
            <w:noWrap/>
            <w:vAlign w:val="center"/>
            <w:hideMark/>
          </w:tcPr>
          <w:p w14:paraId="7B1A759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108%</w:t>
            </w:r>
          </w:p>
        </w:tc>
        <w:tc>
          <w:tcPr>
            <w:tcW w:w="992" w:type="dxa"/>
            <w:tcBorders>
              <w:top w:val="nil"/>
              <w:left w:val="nil"/>
              <w:bottom w:val="nil"/>
              <w:right w:val="nil"/>
            </w:tcBorders>
            <w:shd w:val="clear" w:color="000000" w:fill="FCDFE2"/>
            <w:noWrap/>
            <w:vAlign w:val="center"/>
            <w:hideMark/>
          </w:tcPr>
          <w:p w14:paraId="411DCE1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173%</w:t>
            </w:r>
          </w:p>
        </w:tc>
      </w:tr>
      <w:tr w:rsidR="0028350E" w:rsidRPr="007364B1" w14:paraId="3EF462FC" w14:textId="77777777" w:rsidTr="00AA33F9">
        <w:trPr>
          <w:trHeight w:val="360"/>
        </w:trPr>
        <w:tc>
          <w:tcPr>
            <w:tcW w:w="1985" w:type="dxa"/>
            <w:tcBorders>
              <w:top w:val="nil"/>
              <w:left w:val="nil"/>
              <w:bottom w:val="nil"/>
              <w:right w:val="nil"/>
            </w:tcBorders>
            <w:shd w:val="clear" w:color="auto" w:fill="auto"/>
            <w:noWrap/>
            <w:vAlign w:val="bottom"/>
            <w:hideMark/>
          </w:tcPr>
          <w:p w14:paraId="07836DF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581E3E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11,060</w:t>
            </w:r>
          </w:p>
        </w:tc>
        <w:tc>
          <w:tcPr>
            <w:tcW w:w="992" w:type="dxa"/>
            <w:tcBorders>
              <w:top w:val="nil"/>
              <w:left w:val="nil"/>
              <w:bottom w:val="nil"/>
              <w:right w:val="nil"/>
            </w:tcBorders>
            <w:shd w:val="clear" w:color="auto" w:fill="auto"/>
            <w:noWrap/>
            <w:vAlign w:val="center"/>
            <w:hideMark/>
          </w:tcPr>
          <w:p w14:paraId="1B4BB1B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13,491</w:t>
            </w:r>
          </w:p>
        </w:tc>
        <w:tc>
          <w:tcPr>
            <w:tcW w:w="851" w:type="dxa"/>
            <w:tcBorders>
              <w:top w:val="nil"/>
              <w:left w:val="nil"/>
              <w:bottom w:val="nil"/>
              <w:right w:val="nil"/>
            </w:tcBorders>
            <w:shd w:val="clear" w:color="000000" w:fill="FA989B"/>
            <w:noWrap/>
            <w:vAlign w:val="center"/>
            <w:hideMark/>
          </w:tcPr>
          <w:p w14:paraId="41ED35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w:t>
            </w:r>
          </w:p>
        </w:tc>
        <w:tc>
          <w:tcPr>
            <w:tcW w:w="992" w:type="dxa"/>
            <w:tcBorders>
              <w:top w:val="nil"/>
              <w:left w:val="nil"/>
              <w:bottom w:val="nil"/>
              <w:right w:val="nil"/>
            </w:tcBorders>
            <w:shd w:val="clear" w:color="auto" w:fill="auto"/>
            <w:noWrap/>
            <w:vAlign w:val="center"/>
            <w:hideMark/>
          </w:tcPr>
          <w:p w14:paraId="442AA4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16,444</w:t>
            </w:r>
          </w:p>
        </w:tc>
        <w:tc>
          <w:tcPr>
            <w:tcW w:w="850" w:type="dxa"/>
            <w:tcBorders>
              <w:top w:val="nil"/>
              <w:left w:val="nil"/>
              <w:bottom w:val="nil"/>
              <w:right w:val="nil"/>
            </w:tcBorders>
            <w:shd w:val="clear" w:color="auto" w:fill="auto"/>
            <w:noWrap/>
            <w:vAlign w:val="center"/>
            <w:hideMark/>
          </w:tcPr>
          <w:p w14:paraId="32F0E32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1,013</w:t>
            </w:r>
          </w:p>
        </w:tc>
        <w:tc>
          <w:tcPr>
            <w:tcW w:w="1051" w:type="dxa"/>
            <w:tcBorders>
              <w:top w:val="nil"/>
              <w:left w:val="nil"/>
              <w:bottom w:val="nil"/>
              <w:right w:val="nil"/>
            </w:tcBorders>
            <w:shd w:val="clear" w:color="auto" w:fill="auto"/>
            <w:noWrap/>
            <w:vAlign w:val="center"/>
            <w:hideMark/>
          </w:tcPr>
          <w:p w14:paraId="5E46EE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w:t>
            </w:r>
          </w:p>
        </w:tc>
        <w:tc>
          <w:tcPr>
            <w:tcW w:w="869" w:type="dxa"/>
            <w:tcBorders>
              <w:top w:val="nil"/>
              <w:left w:val="nil"/>
              <w:bottom w:val="nil"/>
              <w:right w:val="nil"/>
            </w:tcBorders>
            <w:shd w:val="clear" w:color="auto" w:fill="auto"/>
            <w:noWrap/>
            <w:vAlign w:val="center"/>
            <w:hideMark/>
          </w:tcPr>
          <w:p w14:paraId="623248A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1,105</w:t>
            </w:r>
          </w:p>
        </w:tc>
        <w:tc>
          <w:tcPr>
            <w:tcW w:w="708" w:type="dxa"/>
            <w:tcBorders>
              <w:top w:val="nil"/>
              <w:left w:val="nil"/>
              <w:bottom w:val="nil"/>
              <w:right w:val="nil"/>
            </w:tcBorders>
            <w:shd w:val="clear" w:color="auto" w:fill="auto"/>
            <w:noWrap/>
            <w:vAlign w:val="center"/>
            <w:hideMark/>
          </w:tcPr>
          <w:p w14:paraId="3E1A59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1,433</w:t>
            </w:r>
          </w:p>
        </w:tc>
        <w:tc>
          <w:tcPr>
            <w:tcW w:w="1011" w:type="dxa"/>
            <w:tcBorders>
              <w:top w:val="nil"/>
              <w:left w:val="nil"/>
              <w:bottom w:val="nil"/>
              <w:right w:val="nil"/>
            </w:tcBorders>
            <w:shd w:val="clear" w:color="auto" w:fill="auto"/>
            <w:noWrap/>
            <w:vAlign w:val="center"/>
            <w:hideMark/>
          </w:tcPr>
          <w:p w14:paraId="13D749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539DD6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279</w:t>
            </w:r>
          </w:p>
        </w:tc>
        <w:tc>
          <w:tcPr>
            <w:tcW w:w="1354" w:type="dxa"/>
            <w:tcBorders>
              <w:top w:val="nil"/>
              <w:left w:val="nil"/>
              <w:bottom w:val="nil"/>
              <w:right w:val="nil"/>
            </w:tcBorders>
            <w:shd w:val="clear" w:color="auto" w:fill="auto"/>
            <w:noWrap/>
            <w:vAlign w:val="center"/>
            <w:hideMark/>
          </w:tcPr>
          <w:p w14:paraId="57EFC01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438</w:t>
            </w:r>
          </w:p>
        </w:tc>
        <w:tc>
          <w:tcPr>
            <w:tcW w:w="1001" w:type="dxa"/>
            <w:tcBorders>
              <w:top w:val="nil"/>
              <w:left w:val="nil"/>
              <w:bottom w:val="nil"/>
              <w:right w:val="nil"/>
            </w:tcBorders>
            <w:shd w:val="clear" w:color="auto" w:fill="auto"/>
            <w:noWrap/>
            <w:vAlign w:val="center"/>
            <w:hideMark/>
          </w:tcPr>
          <w:p w14:paraId="23A9F0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c>
          <w:tcPr>
            <w:tcW w:w="992" w:type="dxa"/>
            <w:tcBorders>
              <w:top w:val="nil"/>
              <w:left w:val="nil"/>
              <w:bottom w:val="nil"/>
              <w:right w:val="nil"/>
            </w:tcBorders>
            <w:shd w:val="clear" w:color="000000" w:fill="FCEEF1"/>
            <w:noWrap/>
            <w:vAlign w:val="center"/>
            <w:hideMark/>
          </w:tcPr>
          <w:p w14:paraId="497C41C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155%</w:t>
            </w:r>
          </w:p>
        </w:tc>
      </w:tr>
      <w:tr w:rsidR="0028350E" w:rsidRPr="007364B1" w14:paraId="2C21EA3B" w14:textId="77777777" w:rsidTr="00AA33F9">
        <w:trPr>
          <w:trHeight w:val="360"/>
        </w:trPr>
        <w:tc>
          <w:tcPr>
            <w:tcW w:w="1985" w:type="dxa"/>
            <w:tcBorders>
              <w:top w:val="nil"/>
              <w:left w:val="nil"/>
              <w:bottom w:val="nil"/>
              <w:right w:val="nil"/>
            </w:tcBorders>
            <w:shd w:val="clear" w:color="auto" w:fill="auto"/>
            <w:noWrap/>
            <w:vAlign w:val="bottom"/>
            <w:hideMark/>
          </w:tcPr>
          <w:p w14:paraId="4086226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74E2C6D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1,315</w:t>
            </w:r>
          </w:p>
        </w:tc>
        <w:tc>
          <w:tcPr>
            <w:tcW w:w="992" w:type="dxa"/>
            <w:tcBorders>
              <w:top w:val="nil"/>
              <w:left w:val="nil"/>
              <w:bottom w:val="nil"/>
              <w:right w:val="nil"/>
            </w:tcBorders>
            <w:shd w:val="clear" w:color="auto" w:fill="auto"/>
            <w:noWrap/>
            <w:vAlign w:val="center"/>
            <w:hideMark/>
          </w:tcPr>
          <w:p w14:paraId="3AF34F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1,499</w:t>
            </w:r>
          </w:p>
        </w:tc>
        <w:tc>
          <w:tcPr>
            <w:tcW w:w="851" w:type="dxa"/>
            <w:tcBorders>
              <w:top w:val="nil"/>
              <w:left w:val="nil"/>
              <w:bottom w:val="nil"/>
              <w:right w:val="nil"/>
            </w:tcBorders>
            <w:shd w:val="clear" w:color="000000" w:fill="FA9FA1"/>
            <w:noWrap/>
            <w:vAlign w:val="center"/>
            <w:hideMark/>
          </w:tcPr>
          <w:p w14:paraId="2332EF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992" w:type="dxa"/>
            <w:tcBorders>
              <w:top w:val="nil"/>
              <w:left w:val="nil"/>
              <w:bottom w:val="nil"/>
              <w:right w:val="nil"/>
            </w:tcBorders>
            <w:shd w:val="clear" w:color="auto" w:fill="auto"/>
            <w:noWrap/>
            <w:vAlign w:val="center"/>
            <w:hideMark/>
          </w:tcPr>
          <w:p w14:paraId="7427AC1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1,534</w:t>
            </w:r>
          </w:p>
        </w:tc>
        <w:tc>
          <w:tcPr>
            <w:tcW w:w="850" w:type="dxa"/>
            <w:tcBorders>
              <w:top w:val="nil"/>
              <w:left w:val="nil"/>
              <w:bottom w:val="nil"/>
              <w:right w:val="nil"/>
            </w:tcBorders>
            <w:shd w:val="clear" w:color="auto" w:fill="auto"/>
            <w:noWrap/>
            <w:vAlign w:val="center"/>
            <w:hideMark/>
          </w:tcPr>
          <w:p w14:paraId="31012B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195</w:t>
            </w:r>
          </w:p>
        </w:tc>
        <w:tc>
          <w:tcPr>
            <w:tcW w:w="1051" w:type="dxa"/>
            <w:tcBorders>
              <w:top w:val="nil"/>
              <w:left w:val="nil"/>
              <w:bottom w:val="nil"/>
              <w:right w:val="nil"/>
            </w:tcBorders>
            <w:shd w:val="clear" w:color="auto" w:fill="auto"/>
            <w:noWrap/>
            <w:vAlign w:val="center"/>
            <w:hideMark/>
          </w:tcPr>
          <w:p w14:paraId="14F805F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869" w:type="dxa"/>
            <w:tcBorders>
              <w:top w:val="nil"/>
              <w:left w:val="nil"/>
              <w:bottom w:val="nil"/>
              <w:right w:val="nil"/>
            </w:tcBorders>
            <w:shd w:val="clear" w:color="auto" w:fill="auto"/>
            <w:noWrap/>
            <w:vAlign w:val="center"/>
            <w:hideMark/>
          </w:tcPr>
          <w:p w14:paraId="0A08DA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203</w:t>
            </w:r>
          </w:p>
        </w:tc>
        <w:tc>
          <w:tcPr>
            <w:tcW w:w="708" w:type="dxa"/>
            <w:tcBorders>
              <w:top w:val="nil"/>
              <w:left w:val="nil"/>
              <w:bottom w:val="nil"/>
              <w:right w:val="nil"/>
            </w:tcBorders>
            <w:shd w:val="clear" w:color="auto" w:fill="auto"/>
            <w:noWrap/>
            <w:vAlign w:val="center"/>
            <w:hideMark/>
          </w:tcPr>
          <w:p w14:paraId="10AB771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76</w:t>
            </w:r>
          </w:p>
        </w:tc>
        <w:tc>
          <w:tcPr>
            <w:tcW w:w="1011" w:type="dxa"/>
            <w:tcBorders>
              <w:top w:val="nil"/>
              <w:left w:val="nil"/>
              <w:bottom w:val="nil"/>
              <w:right w:val="nil"/>
            </w:tcBorders>
            <w:shd w:val="clear" w:color="auto" w:fill="auto"/>
            <w:noWrap/>
            <w:vAlign w:val="center"/>
            <w:hideMark/>
          </w:tcPr>
          <w:p w14:paraId="1D0493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39226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173</w:t>
            </w:r>
          </w:p>
        </w:tc>
        <w:tc>
          <w:tcPr>
            <w:tcW w:w="1354" w:type="dxa"/>
            <w:tcBorders>
              <w:top w:val="nil"/>
              <w:left w:val="nil"/>
              <w:bottom w:val="nil"/>
              <w:right w:val="nil"/>
            </w:tcBorders>
            <w:shd w:val="clear" w:color="auto" w:fill="auto"/>
            <w:noWrap/>
            <w:vAlign w:val="center"/>
            <w:hideMark/>
          </w:tcPr>
          <w:p w14:paraId="28C9358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262</w:t>
            </w:r>
          </w:p>
        </w:tc>
        <w:tc>
          <w:tcPr>
            <w:tcW w:w="1001" w:type="dxa"/>
            <w:tcBorders>
              <w:top w:val="nil"/>
              <w:left w:val="nil"/>
              <w:bottom w:val="nil"/>
              <w:right w:val="nil"/>
            </w:tcBorders>
            <w:shd w:val="clear" w:color="auto" w:fill="auto"/>
            <w:noWrap/>
            <w:vAlign w:val="center"/>
            <w:hideMark/>
          </w:tcPr>
          <w:p w14:paraId="4A1760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w:t>
            </w:r>
          </w:p>
        </w:tc>
        <w:tc>
          <w:tcPr>
            <w:tcW w:w="992" w:type="dxa"/>
            <w:tcBorders>
              <w:top w:val="nil"/>
              <w:left w:val="nil"/>
              <w:bottom w:val="nil"/>
              <w:right w:val="nil"/>
            </w:tcBorders>
            <w:shd w:val="clear" w:color="000000" w:fill="E2E9F5"/>
            <w:noWrap/>
            <w:vAlign w:val="center"/>
            <w:hideMark/>
          </w:tcPr>
          <w:p w14:paraId="7DD33EE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123%</w:t>
            </w:r>
          </w:p>
        </w:tc>
      </w:tr>
      <w:tr w:rsidR="0028350E" w:rsidRPr="007364B1" w14:paraId="2F3CD5A1" w14:textId="77777777" w:rsidTr="00AA33F9">
        <w:trPr>
          <w:trHeight w:val="360"/>
        </w:trPr>
        <w:tc>
          <w:tcPr>
            <w:tcW w:w="1985" w:type="dxa"/>
            <w:tcBorders>
              <w:top w:val="nil"/>
              <w:left w:val="nil"/>
              <w:bottom w:val="nil"/>
              <w:right w:val="nil"/>
            </w:tcBorders>
            <w:shd w:val="clear" w:color="auto" w:fill="auto"/>
            <w:noWrap/>
            <w:vAlign w:val="bottom"/>
            <w:hideMark/>
          </w:tcPr>
          <w:p w14:paraId="2C23B51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70E652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992" w:type="dxa"/>
            <w:tcBorders>
              <w:top w:val="nil"/>
              <w:left w:val="nil"/>
              <w:bottom w:val="nil"/>
              <w:right w:val="nil"/>
            </w:tcBorders>
            <w:shd w:val="clear" w:color="auto" w:fill="auto"/>
            <w:noWrap/>
            <w:vAlign w:val="center"/>
            <w:hideMark/>
          </w:tcPr>
          <w:p w14:paraId="4F0AEA3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51" w:type="dxa"/>
            <w:tcBorders>
              <w:top w:val="nil"/>
              <w:left w:val="nil"/>
              <w:bottom w:val="nil"/>
              <w:right w:val="nil"/>
            </w:tcBorders>
            <w:shd w:val="clear" w:color="000000" w:fill="FBBDC0"/>
            <w:noWrap/>
            <w:vAlign w:val="center"/>
            <w:hideMark/>
          </w:tcPr>
          <w:p w14:paraId="70C7F0E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w:t>
            </w:r>
          </w:p>
        </w:tc>
        <w:tc>
          <w:tcPr>
            <w:tcW w:w="992" w:type="dxa"/>
            <w:tcBorders>
              <w:top w:val="nil"/>
              <w:left w:val="nil"/>
              <w:bottom w:val="nil"/>
              <w:right w:val="nil"/>
            </w:tcBorders>
            <w:shd w:val="clear" w:color="auto" w:fill="auto"/>
            <w:noWrap/>
            <w:vAlign w:val="center"/>
            <w:hideMark/>
          </w:tcPr>
          <w:p w14:paraId="4171E59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4981047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7594BD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664989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708" w:type="dxa"/>
            <w:tcBorders>
              <w:top w:val="nil"/>
              <w:left w:val="nil"/>
              <w:bottom w:val="nil"/>
              <w:right w:val="nil"/>
            </w:tcBorders>
            <w:shd w:val="clear" w:color="auto" w:fill="auto"/>
            <w:noWrap/>
            <w:vAlign w:val="center"/>
            <w:hideMark/>
          </w:tcPr>
          <w:p w14:paraId="2E33619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043339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C29B3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26D864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56845C0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B5CAE6"/>
            <w:noWrap/>
            <w:vAlign w:val="center"/>
            <w:hideMark/>
          </w:tcPr>
          <w:p w14:paraId="2ECAA5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r>
      <w:tr w:rsidR="0028350E" w:rsidRPr="007364B1" w14:paraId="2904F9C4" w14:textId="77777777" w:rsidTr="00AA33F9">
        <w:trPr>
          <w:trHeight w:val="360"/>
        </w:trPr>
        <w:tc>
          <w:tcPr>
            <w:tcW w:w="1985" w:type="dxa"/>
            <w:tcBorders>
              <w:top w:val="nil"/>
              <w:left w:val="nil"/>
              <w:bottom w:val="nil"/>
              <w:right w:val="nil"/>
            </w:tcBorders>
            <w:shd w:val="clear" w:color="auto" w:fill="auto"/>
            <w:noWrap/>
            <w:vAlign w:val="bottom"/>
            <w:hideMark/>
          </w:tcPr>
          <w:p w14:paraId="4BDC540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5E91A3B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349</w:t>
            </w:r>
          </w:p>
        </w:tc>
        <w:tc>
          <w:tcPr>
            <w:tcW w:w="992" w:type="dxa"/>
            <w:tcBorders>
              <w:top w:val="nil"/>
              <w:left w:val="nil"/>
              <w:bottom w:val="nil"/>
              <w:right w:val="nil"/>
            </w:tcBorders>
            <w:shd w:val="clear" w:color="auto" w:fill="auto"/>
            <w:noWrap/>
            <w:vAlign w:val="center"/>
            <w:hideMark/>
          </w:tcPr>
          <w:p w14:paraId="1443267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606</w:t>
            </w:r>
          </w:p>
        </w:tc>
        <w:tc>
          <w:tcPr>
            <w:tcW w:w="851" w:type="dxa"/>
            <w:tcBorders>
              <w:top w:val="nil"/>
              <w:left w:val="nil"/>
              <w:bottom w:val="nil"/>
              <w:right w:val="nil"/>
            </w:tcBorders>
            <w:shd w:val="clear" w:color="000000" w:fill="F96D6F"/>
            <w:noWrap/>
            <w:vAlign w:val="center"/>
            <w:hideMark/>
          </w:tcPr>
          <w:p w14:paraId="6F26409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+74%</w:t>
            </w:r>
          </w:p>
        </w:tc>
        <w:tc>
          <w:tcPr>
            <w:tcW w:w="992" w:type="dxa"/>
            <w:tcBorders>
              <w:top w:val="nil"/>
              <w:left w:val="nil"/>
              <w:bottom w:val="nil"/>
              <w:right w:val="nil"/>
            </w:tcBorders>
            <w:shd w:val="clear" w:color="auto" w:fill="auto"/>
            <w:noWrap/>
            <w:vAlign w:val="center"/>
            <w:hideMark/>
          </w:tcPr>
          <w:p w14:paraId="29880F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682</w:t>
            </w:r>
          </w:p>
        </w:tc>
        <w:tc>
          <w:tcPr>
            <w:tcW w:w="850" w:type="dxa"/>
            <w:tcBorders>
              <w:top w:val="nil"/>
              <w:left w:val="nil"/>
              <w:bottom w:val="nil"/>
              <w:right w:val="nil"/>
            </w:tcBorders>
            <w:shd w:val="clear" w:color="auto" w:fill="auto"/>
            <w:noWrap/>
            <w:vAlign w:val="center"/>
            <w:hideMark/>
          </w:tcPr>
          <w:p w14:paraId="63C6D7F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w:t>
            </w:r>
          </w:p>
        </w:tc>
        <w:tc>
          <w:tcPr>
            <w:tcW w:w="1051" w:type="dxa"/>
            <w:tcBorders>
              <w:top w:val="nil"/>
              <w:left w:val="nil"/>
              <w:bottom w:val="nil"/>
              <w:right w:val="nil"/>
            </w:tcBorders>
            <w:shd w:val="clear" w:color="auto" w:fill="auto"/>
            <w:noWrap/>
            <w:vAlign w:val="center"/>
            <w:hideMark/>
          </w:tcPr>
          <w:p w14:paraId="5E59243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w:t>
            </w:r>
          </w:p>
        </w:tc>
        <w:tc>
          <w:tcPr>
            <w:tcW w:w="869" w:type="dxa"/>
            <w:tcBorders>
              <w:top w:val="nil"/>
              <w:left w:val="nil"/>
              <w:bottom w:val="nil"/>
              <w:right w:val="nil"/>
            </w:tcBorders>
            <w:shd w:val="clear" w:color="auto" w:fill="auto"/>
            <w:noWrap/>
            <w:vAlign w:val="center"/>
            <w:hideMark/>
          </w:tcPr>
          <w:p w14:paraId="1CCEE5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w:t>
            </w:r>
          </w:p>
        </w:tc>
        <w:tc>
          <w:tcPr>
            <w:tcW w:w="708" w:type="dxa"/>
            <w:tcBorders>
              <w:top w:val="nil"/>
              <w:left w:val="nil"/>
              <w:bottom w:val="nil"/>
              <w:right w:val="nil"/>
            </w:tcBorders>
            <w:shd w:val="clear" w:color="auto" w:fill="auto"/>
            <w:noWrap/>
            <w:vAlign w:val="center"/>
            <w:hideMark/>
          </w:tcPr>
          <w:p w14:paraId="4848A24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1011" w:type="dxa"/>
            <w:tcBorders>
              <w:top w:val="nil"/>
              <w:left w:val="nil"/>
              <w:bottom w:val="nil"/>
              <w:right w:val="nil"/>
            </w:tcBorders>
            <w:shd w:val="clear" w:color="auto" w:fill="auto"/>
            <w:noWrap/>
            <w:vAlign w:val="center"/>
            <w:hideMark/>
          </w:tcPr>
          <w:p w14:paraId="2586015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0ED488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w:t>
            </w:r>
          </w:p>
        </w:tc>
        <w:tc>
          <w:tcPr>
            <w:tcW w:w="1354" w:type="dxa"/>
            <w:tcBorders>
              <w:top w:val="nil"/>
              <w:left w:val="nil"/>
              <w:bottom w:val="nil"/>
              <w:right w:val="nil"/>
            </w:tcBorders>
            <w:shd w:val="clear" w:color="auto" w:fill="auto"/>
            <w:noWrap/>
            <w:vAlign w:val="center"/>
            <w:hideMark/>
          </w:tcPr>
          <w:p w14:paraId="4A03730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234</w:t>
            </w:r>
          </w:p>
        </w:tc>
        <w:tc>
          <w:tcPr>
            <w:tcW w:w="1001" w:type="dxa"/>
            <w:tcBorders>
              <w:top w:val="nil"/>
              <w:left w:val="nil"/>
              <w:bottom w:val="nil"/>
              <w:right w:val="nil"/>
            </w:tcBorders>
            <w:shd w:val="clear" w:color="auto" w:fill="auto"/>
            <w:noWrap/>
            <w:vAlign w:val="center"/>
            <w:hideMark/>
          </w:tcPr>
          <w:p w14:paraId="016098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w:t>
            </w:r>
          </w:p>
        </w:tc>
        <w:tc>
          <w:tcPr>
            <w:tcW w:w="992" w:type="dxa"/>
            <w:tcBorders>
              <w:top w:val="nil"/>
              <w:left w:val="nil"/>
              <w:bottom w:val="nil"/>
              <w:right w:val="nil"/>
            </w:tcBorders>
            <w:shd w:val="clear" w:color="000000" w:fill="FBD8DA"/>
            <w:noWrap/>
            <w:vAlign w:val="center"/>
            <w:hideMark/>
          </w:tcPr>
          <w:p w14:paraId="71BADE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183%</w:t>
            </w:r>
          </w:p>
        </w:tc>
      </w:tr>
      <w:tr w:rsidR="0028350E" w:rsidRPr="007364B1" w14:paraId="1820AF03" w14:textId="77777777" w:rsidTr="00AA33F9">
        <w:trPr>
          <w:trHeight w:val="360"/>
        </w:trPr>
        <w:tc>
          <w:tcPr>
            <w:tcW w:w="1985" w:type="dxa"/>
            <w:tcBorders>
              <w:top w:val="nil"/>
              <w:left w:val="nil"/>
              <w:bottom w:val="nil"/>
              <w:right w:val="nil"/>
            </w:tcBorders>
            <w:shd w:val="clear" w:color="auto" w:fill="auto"/>
            <w:noWrap/>
            <w:vAlign w:val="bottom"/>
            <w:hideMark/>
          </w:tcPr>
          <w:p w14:paraId="3EEE90A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6130E0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1,649</w:t>
            </w:r>
          </w:p>
        </w:tc>
        <w:tc>
          <w:tcPr>
            <w:tcW w:w="992" w:type="dxa"/>
            <w:tcBorders>
              <w:top w:val="nil"/>
              <w:left w:val="nil"/>
              <w:bottom w:val="nil"/>
              <w:right w:val="nil"/>
            </w:tcBorders>
            <w:shd w:val="clear" w:color="auto" w:fill="auto"/>
            <w:noWrap/>
            <w:vAlign w:val="center"/>
            <w:hideMark/>
          </w:tcPr>
          <w:p w14:paraId="2B1C2D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1,784</w:t>
            </w:r>
          </w:p>
        </w:tc>
        <w:tc>
          <w:tcPr>
            <w:tcW w:w="851" w:type="dxa"/>
            <w:tcBorders>
              <w:top w:val="nil"/>
              <w:left w:val="nil"/>
              <w:bottom w:val="nil"/>
              <w:right w:val="nil"/>
            </w:tcBorders>
            <w:shd w:val="clear" w:color="000000" w:fill="FAA4A6"/>
            <w:noWrap/>
            <w:vAlign w:val="center"/>
            <w:hideMark/>
          </w:tcPr>
          <w:p w14:paraId="73056A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992" w:type="dxa"/>
            <w:tcBorders>
              <w:top w:val="nil"/>
              <w:left w:val="nil"/>
              <w:bottom w:val="nil"/>
              <w:right w:val="nil"/>
            </w:tcBorders>
            <w:shd w:val="clear" w:color="auto" w:fill="auto"/>
            <w:noWrap/>
            <w:vAlign w:val="center"/>
            <w:hideMark/>
          </w:tcPr>
          <w:p w14:paraId="31CD0A0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1,900</w:t>
            </w:r>
          </w:p>
        </w:tc>
        <w:tc>
          <w:tcPr>
            <w:tcW w:w="850" w:type="dxa"/>
            <w:tcBorders>
              <w:top w:val="nil"/>
              <w:left w:val="nil"/>
              <w:bottom w:val="nil"/>
              <w:right w:val="nil"/>
            </w:tcBorders>
            <w:shd w:val="clear" w:color="auto" w:fill="auto"/>
            <w:noWrap/>
            <w:vAlign w:val="center"/>
            <w:hideMark/>
          </w:tcPr>
          <w:p w14:paraId="2206B5F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197</w:t>
            </w:r>
          </w:p>
        </w:tc>
        <w:tc>
          <w:tcPr>
            <w:tcW w:w="1051" w:type="dxa"/>
            <w:tcBorders>
              <w:top w:val="nil"/>
              <w:left w:val="nil"/>
              <w:bottom w:val="nil"/>
              <w:right w:val="nil"/>
            </w:tcBorders>
            <w:shd w:val="clear" w:color="auto" w:fill="auto"/>
            <w:noWrap/>
            <w:vAlign w:val="center"/>
            <w:hideMark/>
          </w:tcPr>
          <w:p w14:paraId="767E9A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w:t>
            </w:r>
          </w:p>
        </w:tc>
        <w:tc>
          <w:tcPr>
            <w:tcW w:w="869" w:type="dxa"/>
            <w:tcBorders>
              <w:top w:val="nil"/>
              <w:left w:val="nil"/>
              <w:bottom w:val="nil"/>
              <w:right w:val="nil"/>
            </w:tcBorders>
            <w:shd w:val="clear" w:color="auto" w:fill="auto"/>
            <w:noWrap/>
            <w:vAlign w:val="center"/>
            <w:hideMark/>
          </w:tcPr>
          <w:p w14:paraId="71FF795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253</w:t>
            </w:r>
          </w:p>
        </w:tc>
        <w:tc>
          <w:tcPr>
            <w:tcW w:w="708" w:type="dxa"/>
            <w:tcBorders>
              <w:top w:val="nil"/>
              <w:left w:val="nil"/>
              <w:bottom w:val="nil"/>
              <w:right w:val="nil"/>
            </w:tcBorders>
            <w:shd w:val="clear" w:color="auto" w:fill="auto"/>
            <w:noWrap/>
            <w:vAlign w:val="center"/>
            <w:hideMark/>
          </w:tcPr>
          <w:p w14:paraId="70DEF0D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126</w:t>
            </w:r>
          </w:p>
        </w:tc>
        <w:tc>
          <w:tcPr>
            <w:tcW w:w="1011" w:type="dxa"/>
            <w:tcBorders>
              <w:top w:val="nil"/>
              <w:left w:val="nil"/>
              <w:bottom w:val="nil"/>
              <w:right w:val="nil"/>
            </w:tcBorders>
            <w:shd w:val="clear" w:color="auto" w:fill="auto"/>
            <w:noWrap/>
            <w:vAlign w:val="center"/>
            <w:hideMark/>
          </w:tcPr>
          <w:p w14:paraId="33CB75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F5460B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160</w:t>
            </w:r>
          </w:p>
        </w:tc>
        <w:tc>
          <w:tcPr>
            <w:tcW w:w="1354" w:type="dxa"/>
            <w:tcBorders>
              <w:top w:val="nil"/>
              <w:left w:val="nil"/>
              <w:bottom w:val="nil"/>
              <w:right w:val="nil"/>
            </w:tcBorders>
            <w:shd w:val="clear" w:color="auto" w:fill="auto"/>
            <w:noWrap/>
            <w:vAlign w:val="center"/>
            <w:hideMark/>
          </w:tcPr>
          <w:p w14:paraId="030DF1B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248</w:t>
            </w:r>
          </w:p>
        </w:tc>
        <w:tc>
          <w:tcPr>
            <w:tcW w:w="1001" w:type="dxa"/>
            <w:tcBorders>
              <w:top w:val="nil"/>
              <w:left w:val="nil"/>
              <w:bottom w:val="nil"/>
              <w:right w:val="nil"/>
            </w:tcBorders>
            <w:shd w:val="clear" w:color="auto" w:fill="auto"/>
            <w:noWrap/>
            <w:vAlign w:val="center"/>
            <w:hideMark/>
          </w:tcPr>
          <w:p w14:paraId="48FDDE2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c>
          <w:tcPr>
            <w:tcW w:w="992" w:type="dxa"/>
            <w:tcBorders>
              <w:top w:val="nil"/>
              <w:left w:val="nil"/>
              <w:bottom w:val="nil"/>
              <w:right w:val="nil"/>
            </w:tcBorders>
            <w:shd w:val="clear" w:color="000000" w:fill="D1DEF0"/>
            <w:noWrap/>
            <w:vAlign w:val="center"/>
            <w:hideMark/>
          </w:tcPr>
          <w:p w14:paraId="4E40699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r>
      <w:tr w:rsidR="0028350E" w:rsidRPr="007364B1" w14:paraId="662E1FD7" w14:textId="77777777" w:rsidTr="00AA33F9">
        <w:trPr>
          <w:trHeight w:val="360"/>
        </w:trPr>
        <w:tc>
          <w:tcPr>
            <w:tcW w:w="1985" w:type="dxa"/>
            <w:tcBorders>
              <w:top w:val="nil"/>
              <w:left w:val="nil"/>
              <w:bottom w:val="nil"/>
              <w:right w:val="nil"/>
            </w:tcBorders>
            <w:shd w:val="clear" w:color="auto" w:fill="auto"/>
            <w:noWrap/>
            <w:vAlign w:val="bottom"/>
            <w:hideMark/>
          </w:tcPr>
          <w:p w14:paraId="38E6CD0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09551F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1,999</w:t>
            </w:r>
          </w:p>
        </w:tc>
        <w:tc>
          <w:tcPr>
            <w:tcW w:w="992" w:type="dxa"/>
            <w:tcBorders>
              <w:top w:val="nil"/>
              <w:left w:val="nil"/>
              <w:bottom w:val="nil"/>
              <w:right w:val="nil"/>
            </w:tcBorders>
            <w:shd w:val="clear" w:color="auto" w:fill="auto"/>
            <w:noWrap/>
            <w:vAlign w:val="center"/>
            <w:hideMark/>
          </w:tcPr>
          <w:p w14:paraId="21AED84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2,382</w:t>
            </w:r>
          </w:p>
        </w:tc>
        <w:tc>
          <w:tcPr>
            <w:tcW w:w="851" w:type="dxa"/>
            <w:tcBorders>
              <w:top w:val="nil"/>
              <w:left w:val="nil"/>
              <w:bottom w:val="nil"/>
              <w:right w:val="nil"/>
            </w:tcBorders>
            <w:shd w:val="clear" w:color="000000" w:fill="FA9B9D"/>
            <w:noWrap/>
            <w:vAlign w:val="center"/>
            <w:hideMark/>
          </w:tcPr>
          <w:p w14:paraId="4BAC982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w:t>
            </w:r>
          </w:p>
        </w:tc>
        <w:tc>
          <w:tcPr>
            <w:tcW w:w="992" w:type="dxa"/>
            <w:tcBorders>
              <w:top w:val="nil"/>
              <w:left w:val="nil"/>
              <w:bottom w:val="nil"/>
              <w:right w:val="nil"/>
            </w:tcBorders>
            <w:shd w:val="clear" w:color="auto" w:fill="auto"/>
            <w:noWrap/>
            <w:vAlign w:val="center"/>
            <w:hideMark/>
          </w:tcPr>
          <w:p w14:paraId="3755E1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2,535</w:t>
            </w:r>
          </w:p>
        </w:tc>
        <w:tc>
          <w:tcPr>
            <w:tcW w:w="850" w:type="dxa"/>
            <w:tcBorders>
              <w:top w:val="nil"/>
              <w:left w:val="nil"/>
              <w:bottom w:val="nil"/>
              <w:right w:val="nil"/>
            </w:tcBorders>
            <w:shd w:val="clear" w:color="auto" w:fill="auto"/>
            <w:noWrap/>
            <w:vAlign w:val="center"/>
            <w:hideMark/>
          </w:tcPr>
          <w:p w14:paraId="74A62F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257</w:t>
            </w:r>
          </w:p>
        </w:tc>
        <w:tc>
          <w:tcPr>
            <w:tcW w:w="1051" w:type="dxa"/>
            <w:tcBorders>
              <w:top w:val="nil"/>
              <w:left w:val="nil"/>
              <w:bottom w:val="nil"/>
              <w:right w:val="nil"/>
            </w:tcBorders>
            <w:shd w:val="clear" w:color="auto" w:fill="auto"/>
            <w:noWrap/>
            <w:vAlign w:val="center"/>
            <w:hideMark/>
          </w:tcPr>
          <w:p w14:paraId="26891F9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87</w:t>
            </w:r>
          </w:p>
        </w:tc>
        <w:tc>
          <w:tcPr>
            <w:tcW w:w="869" w:type="dxa"/>
            <w:tcBorders>
              <w:top w:val="nil"/>
              <w:left w:val="nil"/>
              <w:bottom w:val="nil"/>
              <w:right w:val="nil"/>
            </w:tcBorders>
            <w:shd w:val="clear" w:color="auto" w:fill="auto"/>
            <w:noWrap/>
            <w:vAlign w:val="center"/>
            <w:hideMark/>
          </w:tcPr>
          <w:p w14:paraId="758CC5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344</w:t>
            </w:r>
          </w:p>
        </w:tc>
        <w:tc>
          <w:tcPr>
            <w:tcW w:w="708" w:type="dxa"/>
            <w:tcBorders>
              <w:top w:val="nil"/>
              <w:left w:val="nil"/>
              <w:bottom w:val="nil"/>
              <w:right w:val="nil"/>
            </w:tcBorders>
            <w:shd w:val="clear" w:color="auto" w:fill="auto"/>
            <w:noWrap/>
            <w:vAlign w:val="center"/>
            <w:hideMark/>
          </w:tcPr>
          <w:p w14:paraId="347D13E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151</w:t>
            </w:r>
          </w:p>
        </w:tc>
        <w:tc>
          <w:tcPr>
            <w:tcW w:w="1011" w:type="dxa"/>
            <w:tcBorders>
              <w:top w:val="nil"/>
              <w:left w:val="nil"/>
              <w:bottom w:val="nil"/>
              <w:right w:val="nil"/>
            </w:tcBorders>
            <w:shd w:val="clear" w:color="auto" w:fill="auto"/>
            <w:noWrap/>
            <w:vAlign w:val="center"/>
            <w:hideMark/>
          </w:tcPr>
          <w:p w14:paraId="3D721DF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DF4C0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288</w:t>
            </w:r>
          </w:p>
        </w:tc>
        <w:tc>
          <w:tcPr>
            <w:tcW w:w="1354" w:type="dxa"/>
            <w:tcBorders>
              <w:top w:val="nil"/>
              <w:left w:val="nil"/>
              <w:bottom w:val="nil"/>
              <w:right w:val="nil"/>
            </w:tcBorders>
            <w:shd w:val="clear" w:color="auto" w:fill="auto"/>
            <w:noWrap/>
            <w:vAlign w:val="center"/>
            <w:hideMark/>
          </w:tcPr>
          <w:p w14:paraId="117AC6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258</w:t>
            </w:r>
          </w:p>
        </w:tc>
        <w:tc>
          <w:tcPr>
            <w:tcW w:w="1001" w:type="dxa"/>
            <w:tcBorders>
              <w:top w:val="nil"/>
              <w:left w:val="nil"/>
              <w:bottom w:val="nil"/>
              <w:right w:val="nil"/>
            </w:tcBorders>
            <w:shd w:val="clear" w:color="auto" w:fill="auto"/>
            <w:noWrap/>
            <w:vAlign w:val="center"/>
            <w:hideMark/>
          </w:tcPr>
          <w:p w14:paraId="2E112A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112%</w:t>
            </w:r>
          </w:p>
        </w:tc>
        <w:tc>
          <w:tcPr>
            <w:tcW w:w="992" w:type="dxa"/>
            <w:tcBorders>
              <w:top w:val="nil"/>
              <w:left w:val="nil"/>
              <w:bottom w:val="nil"/>
              <w:right w:val="nil"/>
            </w:tcBorders>
            <w:shd w:val="clear" w:color="000000" w:fill="EAEFF8"/>
            <w:noWrap/>
            <w:vAlign w:val="center"/>
            <w:hideMark/>
          </w:tcPr>
          <w:p w14:paraId="63A5AE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127%</w:t>
            </w:r>
          </w:p>
        </w:tc>
      </w:tr>
      <w:tr w:rsidR="0028350E" w:rsidRPr="007364B1" w14:paraId="294A6C77" w14:textId="77777777" w:rsidTr="00AA33F9">
        <w:trPr>
          <w:trHeight w:val="360"/>
        </w:trPr>
        <w:tc>
          <w:tcPr>
            <w:tcW w:w="1985" w:type="dxa"/>
            <w:tcBorders>
              <w:top w:val="nil"/>
              <w:left w:val="nil"/>
              <w:bottom w:val="nil"/>
              <w:right w:val="nil"/>
            </w:tcBorders>
            <w:shd w:val="clear" w:color="auto" w:fill="auto"/>
            <w:noWrap/>
            <w:vAlign w:val="bottom"/>
            <w:hideMark/>
          </w:tcPr>
          <w:p w14:paraId="1288735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17BEA51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w:t>
            </w:r>
          </w:p>
        </w:tc>
        <w:tc>
          <w:tcPr>
            <w:tcW w:w="992" w:type="dxa"/>
            <w:tcBorders>
              <w:top w:val="nil"/>
              <w:left w:val="nil"/>
              <w:bottom w:val="nil"/>
              <w:right w:val="nil"/>
            </w:tcBorders>
            <w:shd w:val="clear" w:color="auto" w:fill="auto"/>
            <w:noWrap/>
            <w:vAlign w:val="center"/>
            <w:hideMark/>
          </w:tcPr>
          <w:p w14:paraId="07CFD87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4BB126A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-97%</w:t>
            </w:r>
          </w:p>
        </w:tc>
        <w:tc>
          <w:tcPr>
            <w:tcW w:w="992" w:type="dxa"/>
            <w:tcBorders>
              <w:top w:val="nil"/>
              <w:left w:val="nil"/>
              <w:bottom w:val="nil"/>
              <w:right w:val="nil"/>
            </w:tcBorders>
            <w:shd w:val="clear" w:color="auto" w:fill="auto"/>
            <w:noWrap/>
            <w:vAlign w:val="center"/>
            <w:hideMark/>
          </w:tcPr>
          <w:p w14:paraId="6624961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249E6D1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51" w:type="dxa"/>
            <w:tcBorders>
              <w:top w:val="nil"/>
              <w:left w:val="nil"/>
              <w:bottom w:val="nil"/>
              <w:right w:val="nil"/>
            </w:tcBorders>
            <w:shd w:val="clear" w:color="auto" w:fill="auto"/>
            <w:noWrap/>
            <w:vAlign w:val="center"/>
            <w:hideMark/>
          </w:tcPr>
          <w:p w14:paraId="6CCAB2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869" w:type="dxa"/>
            <w:tcBorders>
              <w:top w:val="nil"/>
              <w:left w:val="nil"/>
              <w:bottom w:val="nil"/>
              <w:right w:val="nil"/>
            </w:tcBorders>
            <w:shd w:val="clear" w:color="auto" w:fill="auto"/>
            <w:noWrap/>
            <w:vAlign w:val="center"/>
            <w:hideMark/>
          </w:tcPr>
          <w:p w14:paraId="373212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708" w:type="dxa"/>
            <w:tcBorders>
              <w:top w:val="nil"/>
              <w:left w:val="nil"/>
              <w:bottom w:val="nil"/>
              <w:right w:val="nil"/>
            </w:tcBorders>
            <w:shd w:val="clear" w:color="auto" w:fill="auto"/>
            <w:noWrap/>
            <w:vAlign w:val="center"/>
            <w:hideMark/>
          </w:tcPr>
          <w:p w14:paraId="16EAD2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011" w:type="dxa"/>
            <w:tcBorders>
              <w:top w:val="nil"/>
              <w:left w:val="nil"/>
              <w:bottom w:val="nil"/>
              <w:right w:val="nil"/>
            </w:tcBorders>
            <w:shd w:val="clear" w:color="auto" w:fill="auto"/>
            <w:noWrap/>
            <w:vAlign w:val="center"/>
            <w:hideMark/>
          </w:tcPr>
          <w:p w14:paraId="49A187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4DBD4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106F078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001" w:type="dxa"/>
            <w:tcBorders>
              <w:top w:val="nil"/>
              <w:left w:val="nil"/>
              <w:bottom w:val="nil"/>
              <w:right w:val="nil"/>
            </w:tcBorders>
            <w:shd w:val="clear" w:color="auto" w:fill="auto"/>
            <w:noWrap/>
            <w:vAlign w:val="center"/>
            <w:hideMark/>
          </w:tcPr>
          <w:p w14:paraId="0E8140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w:t>
            </w:r>
          </w:p>
        </w:tc>
        <w:tc>
          <w:tcPr>
            <w:tcW w:w="992" w:type="dxa"/>
            <w:tcBorders>
              <w:top w:val="nil"/>
              <w:left w:val="nil"/>
              <w:bottom w:val="nil"/>
              <w:right w:val="nil"/>
            </w:tcBorders>
            <w:shd w:val="clear" w:color="000000" w:fill="5A8AC6"/>
            <w:noWrap/>
            <w:vAlign w:val="center"/>
            <w:hideMark/>
          </w:tcPr>
          <w:p w14:paraId="0FA0DCF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w:t>
            </w:r>
          </w:p>
        </w:tc>
      </w:tr>
      <w:tr w:rsidR="0028350E" w:rsidRPr="007364B1" w14:paraId="751780B3" w14:textId="77777777" w:rsidTr="00AA33F9">
        <w:trPr>
          <w:trHeight w:val="360"/>
        </w:trPr>
        <w:tc>
          <w:tcPr>
            <w:tcW w:w="1985" w:type="dxa"/>
            <w:tcBorders>
              <w:top w:val="nil"/>
              <w:left w:val="nil"/>
              <w:bottom w:val="nil"/>
              <w:right w:val="nil"/>
            </w:tcBorders>
            <w:shd w:val="clear" w:color="auto" w:fill="auto"/>
            <w:noWrap/>
            <w:vAlign w:val="bottom"/>
            <w:hideMark/>
          </w:tcPr>
          <w:p w14:paraId="272FDE8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7279D8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10,931</w:t>
            </w:r>
          </w:p>
        </w:tc>
        <w:tc>
          <w:tcPr>
            <w:tcW w:w="992" w:type="dxa"/>
            <w:tcBorders>
              <w:top w:val="nil"/>
              <w:left w:val="nil"/>
              <w:bottom w:val="nil"/>
              <w:right w:val="nil"/>
            </w:tcBorders>
            <w:shd w:val="clear" w:color="auto" w:fill="auto"/>
            <w:noWrap/>
            <w:vAlign w:val="center"/>
            <w:hideMark/>
          </w:tcPr>
          <w:p w14:paraId="477F54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14,690</w:t>
            </w:r>
          </w:p>
        </w:tc>
        <w:tc>
          <w:tcPr>
            <w:tcW w:w="851" w:type="dxa"/>
            <w:tcBorders>
              <w:top w:val="nil"/>
              <w:left w:val="nil"/>
              <w:bottom w:val="nil"/>
              <w:right w:val="nil"/>
            </w:tcBorders>
            <w:shd w:val="clear" w:color="000000" w:fill="F98E90"/>
            <w:noWrap/>
            <w:vAlign w:val="center"/>
            <w:hideMark/>
          </w:tcPr>
          <w:p w14:paraId="7AD091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992" w:type="dxa"/>
            <w:tcBorders>
              <w:top w:val="nil"/>
              <w:left w:val="nil"/>
              <w:bottom w:val="nil"/>
              <w:right w:val="nil"/>
            </w:tcBorders>
            <w:shd w:val="clear" w:color="auto" w:fill="auto"/>
            <w:noWrap/>
            <w:vAlign w:val="center"/>
            <w:hideMark/>
          </w:tcPr>
          <w:p w14:paraId="2E60B7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17,456</w:t>
            </w:r>
          </w:p>
        </w:tc>
        <w:tc>
          <w:tcPr>
            <w:tcW w:w="850" w:type="dxa"/>
            <w:tcBorders>
              <w:top w:val="nil"/>
              <w:left w:val="nil"/>
              <w:bottom w:val="nil"/>
              <w:right w:val="nil"/>
            </w:tcBorders>
            <w:shd w:val="clear" w:color="auto" w:fill="auto"/>
            <w:noWrap/>
            <w:vAlign w:val="center"/>
            <w:hideMark/>
          </w:tcPr>
          <w:p w14:paraId="4F6CFB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1,450</w:t>
            </w:r>
          </w:p>
        </w:tc>
        <w:tc>
          <w:tcPr>
            <w:tcW w:w="1051" w:type="dxa"/>
            <w:tcBorders>
              <w:top w:val="nil"/>
              <w:left w:val="nil"/>
              <w:bottom w:val="nil"/>
              <w:right w:val="nil"/>
            </w:tcBorders>
            <w:shd w:val="clear" w:color="auto" w:fill="auto"/>
            <w:noWrap/>
            <w:vAlign w:val="center"/>
            <w:hideMark/>
          </w:tcPr>
          <w:p w14:paraId="22EEA35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155</w:t>
            </w:r>
          </w:p>
        </w:tc>
        <w:tc>
          <w:tcPr>
            <w:tcW w:w="869" w:type="dxa"/>
            <w:tcBorders>
              <w:top w:val="nil"/>
              <w:left w:val="nil"/>
              <w:bottom w:val="nil"/>
              <w:right w:val="nil"/>
            </w:tcBorders>
            <w:shd w:val="clear" w:color="auto" w:fill="auto"/>
            <w:noWrap/>
            <w:vAlign w:val="center"/>
            <w:hideMark/>
          </w:tcPr>
          <w:p w14:paraId="37FDB83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1,606</w:t>
            </w:r>
          </w:p>
        </w:tc>
        <w:tc>
          <w:tcPr>
            <w:tcW w:w="708" w:type="dxa"/>
            <w:tcBorders>
              <w:top w:val="nil"/>
              <w:left w:val="nil"/>
              <w:bottom w:val="nil"/>
              <w:right w:val="nil"/>
            </w:tcBorders>
            <w:shd w:val="clear" w:color="auto" w:fill="auto"/>
            <w:noWrap/>
            <w:vAlign w:val="center"/>
            <w:hideMark/>
          </w:tcPr>
          <w:p w14:paraId="1B9208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1,013</w:t>
            </w:r>
          </w:p>
        </w:tc>
        <w:tc>
          <w:tcPr>
            <w:tcW w:w="1011" w:type="dxa"/>
            <w:tcBorders>
              <w:top w:val="nil"/>
              <w:left w:val="nil"/>
              <w:bottom w:val="nil"/>
              <w:right w:val="nil"/>
            </w:tcBorders>
            <w:shd w:val="clear" w:color="auto" w:fill="auto"/>
            <w:noWrap/>
            <w:vAlign w:val="center"/>
            <w:hideMark/>
          </w:tcPr>
          <w:p w14:paraId="4C65981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0899A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1,528</w:t>
            </w:r>
          </w:p>
        </w:tc>
        <w:tc>
          <w:tcPr>
            <w:tcW w:w="1354" w:type="dxa"/>
            <w:tcBorders>
              <w:top w:val="nil"/>
              <w:left w:val="nil"/>
              <w:bottom w:val="nil"/>
              <w:right w:val="nil"/>
            </w:tcBorders>
            <w:shd w:val="clear" w:color="auto" w:fill="auto"/>
            <w:noWrap/>
            <w:vAlign w:val="center"/>
            <w:hideMark/>
          </w:tcPr>
          <w:p w14:paraId="6A0682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2,030</w:t>
            </w:r>
          </w:p>
        </w:tc>
        <w:tc>
          <w:tcPr>
            <w:tcW w:w="1001" w:type="dxa"/>
            <w:tcBorders>
              <w:top w:val="nil"/>
              <w:left w:val="nil"/>
              <w:bottom w:val="nil"/>
              <w:right w:val="nil"/>
            </w:tcBorders>
            <w:shd w:val="clear" w:color="auto" w:fill="auto"/>
            <w:noWrap/>
            <w:vAlign w:val="center"/>
            <w:hideMark/>
          </w:tcPr>
          <w:p w14:paraId="16D791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75%</w:t>
            </w:r>
          </w:p>
        </w:tc>
        <w:tc>
          <w:tcPr>
            <w:tcW w:w="992" w:type="dxa"/>
            <w:tcBorders>
              <w:top w:val="nil"/>
              <w:left w:val="nil"/>
              <w:bottom w:val="nil"/>
              <w:right w:val="nil"/>
            </w:tcBorders>
            <w:shd w:val="clear" w:color="000000" w:fill="FCECEE"/>
            <w:noWrap/>
            <w:vAlign w:val="center"/>
            <w:hideMark/>
          </w:tcPr>
          <w:p w14:paraId="66F8E28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158%</w:t>
            </w:r>
          </w:p>
        </w:tc>
      </w:tr>
      <w:tr w:rsidR="0028350E" w:rsidRPr="007364B1" w14:paraId="283E55B7" w14:textId="77777777" w:rsidTr="00AA33F9">
        <w:trPr>
          <w:trHeight w:val="360"/>
        </w:trPr>
        <w:tc>
          <w:tcPr>
            <w:tcW w:w="1985" w:type="dxa"/>
            <w:tcBorders>
              <w:top w:val="nil"/>
              <w:left w:val="nil"/>
              <w:bottom w:val="nil"/>
              <w:right w:val="nil"/>
            </w:tcBorders>
            <w:shd w:val="clear" w:color="auto" w:fill="auto"/>
            <w:noWrap/>
            <w:vAlign w:val="bottom"/>
            <w:hideMark/>
          </w:tcPr>
          <w:p w14:paraId="21B1588D"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2B9EE71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877</w:t>
            </w:r>
          </w:p>
        </w:tc>
        <w:tc>
          <w:tcPr>
            <w:tcW w:w="992" w:type="dxa"/>
            <w:tcBorders>
              <w:top w:val="nil"/>
              <w:left w:val="nil"/>
              <w:bottom w:val="nil"/>
              <w:right w:val="nil"/>
            </w:tcBorders>
            <w:shd w:val="clear" w:color="auto" w:fill="auto"/>
            <w:noWrap/>
            <w:vAlign w:val="center"/>
            <w:hideMark/>
          </w:tcPr>
          <w:p w14:paraId="0A1393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940</w:t>
            </w:r>
          </w:p>
        </w:tc>
        <w:tc>
          <w:tcPr>
            <w:tcW w:w="851" w:type="dxa"/>
            <w:tcBorders>
              <w:top w:val="nil"/>
              <w:left w:val="nil"/>
              <w:bottom w:val="nil"/>
              <w:right w:val="nil"/>
            </w:tcBorders>
            <w:shd w:val="clear" w:color="000000" w:fill="FAA5A7"/>
            <w:noWrap/>
            <w:vAlign w:val="center"/>
            <w:hideMark/>
          </w:tcPr>
          <w:p w14:paraId="2C0205E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w:t>
            </w:r>
          </w:p>
        </w:tc>
        <w:tc>
          <w:tcPr>
            <w:tcW w:w="992" w:type="dxa"/>
            <w:tcBorders>
              <w:top w:val="nil"/>
              <w:left w:val="nil"/>
              <w:bottom w:val="nil"/>
              <w:right w:val="nil"/>
            </w:tcBorders>
            <w:shd w:val="clear" w:color="auto" w:fill="auto"/>
            <w:noWrap/>
            <w:vAlign w:val="center"/>
            <w:hideMark/>
          </w:tcPr>
          <w:p w14:paraId="64AA5A7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883</w:t>
            </w:r>
          </w:p>
        </w:tc>
        <w:tc>
          <w:tcPr>
            <w:tcW w:w="850" w:type="dxa"/>
            <w:tcBorders>
              <w:top w:val="nil"/>
              <w:left w:val="nil"/>
              <w:bottom w:val="nil"/>
              <w:right w:val="nil"/>
            </w:tcBorders>
            <w:shd w:val="clear" w:color="auto" w:fill="auto"/>
            <w:noWrap/>
            <w:vAlign w:val="center"/>
            <w:hideMark/>
          </w:tcPr>
          <w:p w14:paraId="765D93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1051" w:type="dxa"/>
            <w:tcBorders>
              <w:top w:val="nil"/>
              <w:left w:val="nil"/>
              <w:bottom w:val="nil"/>
              <w:right w:val="nil"/>
            </w:tcBorders>
            <w:shd w:val="clear" w:color="auto" w:fill="auto"/>
            <w:noWrap/>
            <w:vAlign w:val="center"/>
            <w:hideMark/>
          </w:tcPr>
          <w:p w14:paraId="7EF8E9C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869" w:type="dxa"/>
            <w:tcBorders>
              <w:top w:val="nil"/>
              <w:left w:val="nil"/>
              <w:bottom w:val="nil"/>
              <w:right w:val="nil"/>
            </w:tcBorders>
            <w:shd w:val="clear" w:color="auto" w:fill="auto"/>
            <w:noWrap/>
            <w:vAlign w:val="center"/>
            <w:hideMark/>
          </w:tcPr>
          <w:p w14:paraId="2E2DAC3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116</w:t>
            </w:r>
          </w:p>
        </w:tc>
        <w:tc>
          <w:tcPr>
            <w:tcW w:w="708" w:type="dxa"/>
            <w:tcBorders>
              <w:top w:val="nil"/>
              <w:left w:val="nil"/>
              <w:bottom w:val="nil"/>
              <w:right w:val="nil"/>
            </w:tcBorders>
            <w:shd w:val="clear" w:color="auto" w:fill="auto"/>
            <w:noWrap/>
            <w:vAlign w:val="center"/>
            <w:hideMark/>
          </w:tcPr>
          <w:p w14:paraId="2935B9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w:t>
            </w:r>
          </w:p>
        </w:tc>
        <w:tc>
          <w:tcPr>
            <w:tcW w:w="1011" w:type="dxa"/>
            <w:tcBorders>
              <w:top w:val="nil"/>
              <w:left w:val="nil"/>
              <w:bottom w:val="nil"/>
              <w:right w:val="nil"/>
            </w:tcBorders>
            <w:shd w:val="clear" w:color="auto" w:fill="auto"/>
            <w:noWrap/>
            <w:vAlign w:val="center"/>
            <w:hideMark/>
          </w:tcPr>
          <w:p w14:paraId="0D27357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43BC1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62</w:t>
            </w:r>
          </w:p>
        </w:tc>
        <w:tc>
          <w:tcPr>
            <w:tcW w:w="1354" w:type="dxa"/>
            <w:tcBorders>
              <w:top w:val="nil"/>
              <w:left w:val="nil"/>
              <w:bottom w:val="nil"/>
              <w:right w:val="nil"/>
            </w:tcBorders>
            <w:shd w:val="clear" w:color="auto" w:fill="auto"/>
            <w:noWrap/>
            <w:vAlign w:val="center"/>
            <w:hideMark/>
          </w:tcPr>
          <w:p w14:paraId="73838A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80</w:t>
            </w:r>
          </w:p>
        </w:tc>
        <w:tc>
          <w:tcPr>
            <w:tcW w:w="1001" w:type="dxa"/>
            <w:tcBorders>
              <w:top w:val="nil"/>
              <w:left w:val="nil"/>
              <w:bottom w:val="nil"/>
              <w:right w:val="nil"/>
            </w:tcBorders>
            <w:shd w:val="clear" w:color="auto" w:fill="auto"/>
            <w:noWrap/>
            <w:vAlign w:val="center"/>
            <w:hideMark/>
          </w:tcPr>
          <w:p w14:paraId="185FAF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78%</w:t>
            </w:r>
          </w:p>
        </w:tc>
        <w:tc>
          <w:tcPr>
            <w:tcW w:w="992" w:type="dxa"/>
            <w:tcBorders>
              <w:top w:val="nil"/>
              <w:left w:val="nil"/>
              <w:bottom w:val="nil"/>
              <w:right w:val="nil"/>
            </w:tcBorders>
            <w:shd w:val="clear" w:color="000000" w:fill="D2DEF0"/>
            <w:noWrap/>
            <w:vAlign w:val="center"/>
            <w:hideMark/>
          </w:tcPr>
          <w:p w14:paraId="29CC935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r>
      <w:tr w:rsidR="0028350E" w:rsidRPr="007364B1" w14:paraId="3EB5943F" w14:textId="77777777" w:rsidTr="00AA33F9">
        <w:trPr>
          <w:trHeight w:val="360"/>
        </w:trPr>
        <w:tc>
          <w:tcPr>
            <w:tcW w:w="1985" w:type="dxa"/>
            <w:tcBorders>
              <w:top w:val="nil"/>
              <w:left w:val="nil"/>
              <w:bottom w:val="nil"/>
              <w:right w:val="nil"/>
            </w:tcBorders>
            <w:shd w:val="clear" w:color="auto" w:fill="auto"/>
            <w:noWrap/>
            <w:vAlign w:val="bottom"/>
            <w:hideMark/>
          </w:tcPr>
          <w:p w14:paraId="7A6B1BC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7A159A6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562</w:t>
            </w:r>
          </w:p>
        </w:tc>
        <w:tc>
          <w:tcPr>
            <w:tcW w:w="992" w:type="dxa"/>
            <w:tcBorders>
              <w:top w:val="nil"/>
              <w:left w:val="nil"/>
              <w:bottom w:val="nil"/>
              <w:right w:val="nil"/>
            </w:tcBorders>
            <w:shd w:val="clear" w:color="auto" w:fill="auto"/>
            <w:noWrap/>
            <w:vAlign w:val="center"/>
            <w:hideMark/>
          </w:tcPr>
          <w:p w14:paraId="29D0431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735</w:t>
            </w:r>
          </w:p>
        </w:tc>
        <w:tc>
          <w:tcPr>
            <w:tcW w:w="851" w:type="dxa"/>
            <w:tcBorders>
              <w:top w:val="nil"/>
              <w:left w:val="nil"/>
              <w:bottom w:val="nil"/>
              <w:right w:val="nil"/>
            </w:tcBorders>
            <w:shd w:val="clear" w:color="000000" w:fill="FA9193"/>
            <w:noWrap/>
            <w:vAlign w:val="center"/>
            <w:hideMark/>
          </w:tcPr>
          <w:p w14:paraId="35AAD1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w:t>
            </w:r>
          </w:p>
        </w:tc>
        <w:tc>
          <w:tcPr>
            <w:tcW w:w="992" w:type="dxa"/>
            <w:tcBorders>
              <w:top w:val="nil"/>
              <w:left w:val="nil"/>
              <w:bottom w:val="nil"/>
              <w:right w:val="nil"/>
            </w:tcBorders>
            <w:shd w:val="clear" w:color="auto" w:fill="auto"/>
            <w:noWrap/>
            <w:vAlign w:val="center"/>
            <w:hideMark/>
          </w:tcPr>
          <w:p w14:paraId="7522B7B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847</w:t>
            </w:r>
          </w:p>
        </w:tc>
        <w:tc>
          <w:tcPr>
            <w:tcW w:w="850" w:type="dxa"/>
            <w:tcBorders>
              <w:top w:val="nil"/>
              <w:left w:val="nil"/>
              <w:bottom w:val="nil"/>
              <w:right w:val="nil"/>
            </w:tcBorders>
            <w:shd w:val="clear" w:color="auto" w:fill="auto"/>
            <w:noWrap/>
            <w:vAlign w:val="center"/>
            <w:hideMark/>
          </w:tcPr>
          <w:p w14:paraId="4FEDBE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w:t>
            </w:r>
          </w:p>
        </w:tc>
        <w:tc>
          <w:tcPr>
            <w:tcW w:w="1051" w:type="dxa"/>
            <w:tcBorders>
              <w:top w:val="nil"/>
              <w:left w:val="nil"/>
              <w:bottom w:val="nil"/>
              <w:right w:val="nil"/>
            </w:tcBorders>
            <w:shd w:val="clear" w:color="auto" w:fill="auto"/>
            <w:noWrap/>
            <w:vAlign w:val="center"/>
            <w:hideMark/>
          </w:tcPr>
          <w:p w14:paraId="6EA737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869" w:type="dxa"/>
            <w:tcBorders>
              <w:top w:val="nil"/>
              <w:left w:val="nil"/>
              <w:bottom w:val="nil"/>
              <w:right w:val="nil"/>
            </w:tcBorders>
            <w:shd w:val="clear" w:color="auto" w:fill="auto"/>
            <w:noWrap/>
            <w:vAlign w:val="center"/>
            <w:hideMark/>
          </w:tcPr>
          <w:p w14:paraId="201266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w:t>
            </w:r>
          </w:p>
        </w:tc>
        <w:tc>
          <w:tcPr>
            <w:tcW w:w="708" w:type="dxa"/>
            <w:tcBorders>
              <w:top w:val="nil"/>
              <w:left w:val="nil"/>
              <w:bottom w:val="nil"/>
              <w:right w:val="nil"/>
            </w:tcBorders>
            <w:shd w:val="clear" w:color="auto" w:fill="auto"/>
            <w:noWrap/>
            <w:vAlign w:val="center"/>
            <w:hideMark/>
          </w:tcPr>
          <w:p w14:paraId="7CE81EE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w:t>
            </w:r>
          </w:p>
        </w:tc>
        <w:tc>
          <w:tcPr>
            <w:tcW w:w="1011" w:type="dxa"/>
            <w:tcBorders>
              <w:top w:val="nil"/>
              <w:left w:val="nil"/>
              <w:bottom w:val="nil"/>
              <w:right w:val="nil"/>
            </w:tcBorders>
            <w:shd w:val="clear" w:color="auto" w:fill="auto"/>
            <w:noWrap/>
            <w:vAlign w:val="center"/>
            <w:hideMark/>
          </w:tcPr>
          <w:p w14:paraId="6FF746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C663A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116</w:t>
            </w:r>
          </w:p>
        </w:tc>
        <w:tc>
          <w:tcPr>
            <w:tcW w:w="1354" w:type="dxa"/>
            <w:tcBorders>
              <w:top w:val="nil"/>
              <w:left w:val="nil"/>
              <w:bottom w:val="nil"/>
              <w:right w:val="nil"/>
            </w:tcBorders>
            <w:shd w:val="clear" w:color="auto" w:fill="auto"/>
            <w:noWrap/>
            <w:vAlign w:val="center"/>
            <w:hideMark/>
          </w:tcPr>
          <w:p w14:paraId="78F0F5D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112</w:t>
            </w:r>
          </w:p>
        </w:tc>
        <w:tc>
          <w:tcPr>
            <w:tcW w:w="1001" w:type="dxa"/>
            <w:tcBorders>
              <w:top w:val="nil"/>
              <w:left w:val="nil"/>
              <w:bottom w:val="nil"/>
              <w:right w:val="nil"/>
            </w:tcBorders>
            <w:shd w:val="clear" w:color="auto" w:fill="auto"/>
            <w:noWrap/>
            <w:vAlign w:val="center"/>
            <w:hideMark/>
          </w:tcPr>
          <w:p w14:paraId="4F14FAE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992" w:type="dxa"/>
            <w:tcBorders>
              <w:top w:val="nil"/>
              <w:left w:val="nil"/>
              <w:bottom w:val="nil"/>
              <w:right w:val="nil"/>
            </w:tcBorders>
            <w:shd w:val="clear" w:color="000000" w:fill="FCFAFD"/>
            <w:noWrap/>
            <w:vAlign w:val="center"/>
            <w:hideMark/>
          </w:tcPr>
          <w:p w14:paraId="72EB0F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140%</w:t>
            </w:r>
          </w:p>
        </w:tc>
      </w:tr>
      <w:tr w:rsidR="0028350E" w:rsidRPr="007364B1" w14:paraId="1BF075EA"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5705082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7715D29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1,072</w:t>
            </w:r>
          </w:p>
        </w:tc>
        <w:tc>
          <w:tcPr>
            <w:tcW w:w="992" w:type="dxa"/>
            <w:tcBorders>
              <w:top w:val="nil"/>
              <w:left w:val="nil"/>
              <w:bottom w:val="single" w:sz="4" w:space="0" w:color="auto"/>
              <w:right w:val="nil"/>
            </w:tcBorders>
            <w:shd w:val="clear" w:color="auto" w:fill="auto"/>
            <w:noWrap/>
            <w:vAlign w:val="center"/>
            <w:hideMark/>
          </w:tcPr>
          <w:p w14:paraId="1B3E08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1,339</w:t>
            </w:r>
          </w:p>
        </w:tc>
        <w:tc>
          <w:tcPr>
            <w:tcW w:w="851" w:type="dxa"/>
            <w:tcBorders>
              <w:top w:val="nil"/>
              <w:left w:val="nil"/>
              <w:bottom w:val="single" w:sz="4" w:space="0" w:color="auto"/>
              <w:right w:val="nil"/>
            </w:tcBorders>
            <w:shd w:val="clear" w:color="000000" w:fill="FA9698"/>
            <w:noWrap/>
            <w:vAlign w:val="center"/>
            <w:hideMark/>
          </w:tcPr>
          <w:p w14:paraId="35DA437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w:t>
            </w:r>
          </w:p>
        </w:tc>
        <w:tc>
          <w:tcPr>
            <w:tcW w:w="992" w:type="dxa"/>
            <w:tcBorders>
              <w:top w:val="nil"/>
              <w:left w:val="nil"/>
              <w:bottom w:val="single" w:sz="4" w:space="0" w:color="auto"/>
              <w:right w:val="nil"/>
            </w:tcBorders>
            <w:shd w:val="clear" w:color="auto" w:fill="auto"/>
            <w:noWrap/>
            <w:vAlign w:val="center"/>
            <w:hideMark/>
          </w:tcPr>
          <w:p w14:paraId="115B01F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1,523</w:t>
            </w:r>
          </w:p>
        </w:tc>
        <w:tc>
          <w:tcPr>
            <w:tcW w:w="850" w:type="dxa"/>
            <w:tcBorders>
              <w:top w:val="nil"/>
              <w:left w:val="nil"/>
              <w:bottom w:val="single" w:sz="4" w:space="0" w:color="auto"/>
              <w:right w:val="nil"/>
            </w:tcBorders>
            <w:shd w:val="clear" w:color="auto" w:fill="auto"/>
            <w:noWrap/>
            <w:vAlign w:val="center"/>
            <w:hideMark/>
          </w:tcPr>
          <w:p w14:paraId="6B66995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c>
          <w:tcPr>
            <w:tcW w:w="1051" w:type="dxa"/>
            <w:tcBorders>
              <w:top w:val="nil"/>
              <w:left w:val="nil"/>
              <w:bottom w:val="single" w:sz="4" w:space="0" w:color="auto"/>
              <w:right w:val="nil"/>
            </w:tcBorders>
            <w:shd w:val="clear" w:color="auto" w:fill="auto"/>
            <w:noWrap/>
            <w:vAlign w:val="center"/>
            <w:hideMark/>
          </w:tcPr>
          <w:p w14:paraId="5A14DB0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869" w:type="dxa"/>
            <w:tcBorders>
              <w:top w:val="nil"/>
              <w:left w:val="nil"/>
              <w:bottom w:val="single" w:sz="4" w:space="0" w:color="auto"/>
              <w:right w:val="nil"/>
            </w:tcBorders>
            <w:shd w:val="clear" w:color="auto" w:fill="auto"/>
            <w:noWrap/>
            <w:vAlign w:val="center"/>
            <w:hideMark/>
          </w:tcPr>
          <w:p w14:paraId="6D232EF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708" w:type="dxa"/>
            <w:tcBorders>
              <w:top w:val="nil"/>
              <w:left w:val="nil"/>
              <w:bottom w:val="single" w:sz="4" w:space="0" w:color="auto"/>
              <w:right w:val="nil"/>
            </w:tcBorders>
            <w:shd w:val="clear" w:color="auto" w:fill="auto"/>
            <w:noWrap/>
            <w:vAlign w:val="center"/>
            <w:hideMark/>
          </w:tcPr>
          <w:p w14:paraId="79CCFB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1011" w:type="dxa"/>
            <w:tcBorders>
              <w:top w:val="nil"/>
              <w:left w:val="nil"/>
              <w:bottom w:val="single" w:sz="4" w:space="0" w:color="auto"/>
              <w:right w:val="nil"/>
            </w:tcBorders>
            <w:shd w:val="clear" w:color="auto" w:fill="auto"/>
            <w:noWrap/>
            <w:vAlign w:val="center"/>
            <w:hideMark/>
          </w:tcPr>
          <w:p w14:paraId="47E63F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672857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c>
          <w:tcPr>
            <w:tcW w:w="1354" w:type="dxa"/>
            <w:tcBorders>
              <w:top w:val="nil"/>
              <w:left w:val="nil"/>
              <w:bottom w:val="single" w:sz="4" w:space="0" w:color="auto"/>
              <w:right w:val="nil"/>
            </w:tcBorders>
            <w:shd w:val="clear" w:color="auto" w:fill="auto"/>
            <w:noWrap/>
            <w:vAlign w:val="center"/>
            <w:hideMark/>
          </w:tcPr>
          <w:p w14:paraId="11BA76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c>
          <w:tcPr>
            <w:tcW w:w="1001" w:type="dxa"/>
            <w:tcBorders>
              <w:top w:val="nil"/>
              <w:left w:val="nil"/>
              <w:bottom w:val="single" w:sz="4" w:space="0" w:color="auto"/>
              <w:right w:val="nil"/>
            </w:tcBorders>
            <w:shd w:val="clear" w:color="auto" w:fill="auto"/>
            <w:noWrap/>
            <w:vAlign w:val="center"/>
            <w:hideMark/>
          </w:tcPr>
          <w:p w14:paraId="3960F6F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single" w:sz="4" w:space="0" w:color="auto"/>
              <w:right w:val="nil"/>
            </w:tcBorders>
            <w:shd w:val="clear" w:color="000000" w:fill="FCF2F5"/>
            <w:noWrap/>
            <w:vAlign w:val="center"/>
            <w:hideMark/>
          </w:tcPr>
          <w:p w14:paraId="57EF8C9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150%</w:t>
            </w:r>
          </w:p>
        </w:tc>
      </w:tr>
      <w:tr w:rsidR="0028350E" w:rsidRPr="007364B1" w14:paraId="767E1EF6"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72E8405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52F820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38,558</w:t>
            </w:r>
          </w:p>
        </w:tc>
        <w:tc>
          <w:tcPr>
            <w:tcW w:w="992" w:type="dxa"/>
            <w:tcBorders>
              <w:top w:val="nil"/>
              <w:left w:val="nil"/>
              <w:bottom w:val="single" w:sz="4" w:space="0" w:color="auto"/>
              <w:right w:val="nil"/>
            </w:tcBorders>
            <w:shd w:val="clear" w:color="auto" w:fill="auto"/>
            <w:noWrap/>
            <w:vAlign w:val="center"/>
            <w:hideMark/>
          </w:tcPr>
          <w:p w14:paraId="14091C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49,583</w:t>
            </w:r>
          </w:p>
        </w:tc>
        <w:tc>
          <w:tcPr>
            <w:tcW w:w="851" w:type="dxa"/>
            <w:tcBorders>
              <w:top w:val="single" w:sz="4" w:space="0" w:color="auto"/>
              <w:left w:val="nil"/>
              <w:bottom w:val="single" w:sz="4" w:space="0" w:color="auto"/>
              <w:right w:val="nil"/>
            </w:tcBorders>
            <w:shd w:val="clear" w:color="000000" w:fill="F8696B"/>
            <w:noWrap/>
            <w:vAlign w:val="center"/>
            <w:hideMark/>
          </w:tcPr>
          <w:p w14:paraId="3CA4B8E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w:t>
            </w:r>
          </w:p>
        </w:tc>
        <w:tc>
          <w:tcPr>
            <w:tcW w:w="992" w:type="dxa"/>
            <w:tcBorders>
              <w:top w:val="nil"/>
              <w:left w:val="nil"/>
              <w:bottom w:val="single" w:sz="4" w:space="0" w:color="auto"/>
              <w:right w:val="nil"/>
            </w:tcBorders>
            <w:shd w:val="clear" w:color="auto" w:fill="auto"/>
            <w:noWrap/>
            <w:vAlign w:val="center"/>
            <w:hideMark/>
          </w:tcPr>
          <w:p w14:paraId="16564A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60,310</w:t>
            </w:r>
          </w:p>
        </w:tc>
        <w:tc>
          <w:tcPr>
            <w:tcW w:w="850" w:type="dxa"/>
            <w:tcBorders>
              <w:top w:val="nil"/>
              <w:left w:val="nil"/>
              <w:bottom w:val="single" w:sz="4" w:space="0" w:color="auto"/>
              <w:right w:val="nil"/>
            </w:tcBorders>
            <w:shd w:val="clear" w:color="auto" w:fill="auto"/>
            <w:noWrap/>
            <w:vAlign w:val="center"/>
            <w:hideMark/>
          </w:tcPr>
          <w:p w14:paraId="076FA07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4,389</w:t>
            </w:r>
          </w:p>
        </w:tc>
        <w:tc>
          <w:tcPr>
            <w:tcW w:w="1051" w:type="dxa"/>
            <w:tcBorders>
              <w:top w:val="nil"/>
              <w:left w:val="nil"/>
              <w:bottom w:val="single" w:sz="4" w:space="0" w:color="auto"/>
              <w:right w:val="nil"/>
            </w:tcBorders>
            <w:shd w:val="clear" w:color="auto" w:fill="auto"/>
            <w:noWrap/>
            <w:vAlign w:val="center"/>
            <w:hideMark/>
          </w:tcPr>
          <w:p w14:paraId="606B9E1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610</w:t>
            </w:r>
          </w:p>
        </w:tc>
        <w:tc>
          <w:tcPr>
            <w:tcW w:w="869" w:type="dxa"/>
            <w:tcBorders>
              <w:top w:val="nil"/>
              <w:left w:val="nil"/>
              <w:bottom w:val="single" w:sz="4" w:space="0" w:color="auto"/>
              <w:right w:val="nil"/>
            </w:tcBorders>
            <w:shd w:val="clear" w:color="auto" w:fill="auto"/>
            <w:noWrap/>
            <w:vAlign w:val="center"/>
            <w:hideMark/>
          </w:tcPr>
          <w:p w14:paraId="1B9BCB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4,999</w:t>
            </w:r>
          </w:p>
        </w:tc>
        <w:tc>
          <w:tcPr>
            <w:tcW w:w="708" w:type="dxa"/>
            <w:tcBorders>
              <w:top w:val="nil"/>
              <w:left w:val="nil"/>
              <w:bottom w:val="single" w:sz="4" w:space="0" w:color="auto"/>
              <w:right w:val="nil"/>
            </w:tcBorders>
            <w:shd w:val="clear" w:color="auto" w:fill="auto"/>
            <w:noWrap/>
            <w:vAlign w:val="center"/>
            <w:hideMark/>
          </w:tcPr>
          <w:p w14:paraId="42E5E7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4,263</w:t>
            </w:r>
          </w:p>
        </w:tc>
        <w:tc>
          <w:tcPr>
            <w:tcW w:w="1011" w:type="dxa"/>
            <w:tcBorders>
              <w:top w:val="nil"/>
              <w:left w:val="nil"/>
              <w:bottom w:val="single" w:sz="4" w:space="0" w:color="auto"/>
              <w:right w:val="nil"/>
            </w:tcBorders>
            <w:shd w:val="clear" w:color="auto" w:fill="auto"/>
            <w:noWrap/>
            <w:vAlign w:val="center"/>
            <w:hideMark/>
          </w:tcPr>
          <w:p w14:paraId="08EF725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6502671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3,484</w:t>
            </w:r>
          </w:p>
        </w:tc>
        <w:tc>
          <w:tcPr>
            <w:tcW w:w="1354" w:type="dxa"/>
            <w:tcBorders>
              <w:top w:val="nil"/>
              <w:left w:val="nil"/>
              <w:bottom w:val="single" w:sz="4" w:space="0" w:color="auto"/>
              <w:right w:val="nil"/>
            </w:tcBorders>
            <w:shd w:val="clear" w:color="auto" w:fill="auto"/>
            <w:noWrap/>
            <w:vAlign w:val="center"/>
            <w:hideMark/>
          </w:tcPr>
          <w:p w14:paraId="2838F3D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4,802</w:t>
            </w:r>
          </w:p>
        </w:tc>
        <w:tc>
          <w:tcPr>
            <w:tcW w:w="1001" w:type="dxa"/>
            <w:tcBorders>
              <w:top w:val="nil"/>
              <w:left w:val="nil"/>
              <w:bottom w:val="single" w:sz="4" w:space="0" w:color="auto"/>
              <w:right w:val="nil"/>
            </w:tcBorders>
            <w:shd w:val="clear" w:color="auto" w:fill="auto"/>
            <w:noWrap/>
            <w:vAlign w:val="center"/>
            <w:hideMark/>
          </w:tcPr>
          <w:p w14:paraId="2BEFFB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73%</w:t>
            </w:r>
          </w:p>
        </w:tc>
        <w:tc>
          <w:tcPr>
            <w:tcW w:w="992" w:type="dxa"/>
            <w:tcBorders>
              <w:top w:val="single" w:sz="4" w:space="0" w:color="auto"/>
              <w:left w:val="nil"/>
              <w:bottom w:val="single" w:sz="4" w:space="0" w:color="auto"/>
              <w:right w:val="nil"/>
            </w:tcBorders>
            <w:shd w:val="clear" w:color="000000" w:fill="FCEEF1"/>
            <w:noWrap/>
            <w:vAlign w:val="center"/>
            <w:hideMark/>
          </w:tcPr>
          <w:p w14:paraId="30A2F4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155%</w:t>
            </w:r>
          </w:p>
        </w:tc>
      </w:tr>
    </w:tbl>
    <w:p w14:paraId="02125E7D" w14:textId="77777777" w:rsidR="00AA33F9" w:rsidRDefault="00AA33F9" w:rsidP="00AA33F9">
      <w:pPr>
        <w:pStyle w:val="Tablenotesnumbers"/>
        <w:numPr>
          <w:ilvl w:val="1"/>
          <w:numId w:val="42"/>
        </w:numPr>
      </w:pPr>
      <w:r>
        <w:t>Steady state number is the sum of exits and the number aging out</w:t>
      </w:r>
    </w:p>
    <w:p w14:paraId="15BF8E25" w14:textId="77777777"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5F76C18B" w14:textId="77777777" w:rsidR="0028350E" w:rsidRDefault="0028350E" w:rsidP="0028350E"/>
    <w:p w14:paraId="69EBED33" w14:textId="77777777" w:rsidR="0028350E" w:rsidRDefault="0028350E" w:rsidP="00A52191">
      <w:pPr>
        <w:pStyle w:val="AppendixH3"/>
      </w:pPr>
      <w:r w:rsidRPr="009E1993">
        <w:t xml:space="preserve">Flows of participant numbers in and out of disability types, for participants aged </w:t>
      </w:r>
      <w:r>
        <w:t>45-54</w:t>
      </w:r>
    </w:p>
    <w:tbl>
      <w:tblPr>
        <w:tblW w:w="14534" w:type="dxa"/>
        <w:tblInd w:w="108" w:type="dxa"/>
        <w:tblLook w:val="04A0" w:firstRow="1" w:lastRow="0" w:firstColumn="1" w:lastColumn="0" w:noHBand="0" w:noVBand="1"/>
      </w:tblPr>
      <w:tblGrid>
        <w:gridCol w:w="1985"/>
        <w:gridCol w:w="884"/>
        <w:gridCol w:w="992"/>
        <w:gridCol w:w="851"/>
        <w:gridCol w:w="992"/>
        <w:gridCol w:w="850"/>
        <w:gridCol w:w="1051"/>
        <w:gridCol w:w="869"/>
        <w:gridCol w:w="729"/>
        <w:gridCol w:w="1011"/>
        <w:gridCol w:w="973"/>
        <w:gridCol w:w="1354"/>
        <w:gridCol w:w="1001"/>
        <w:gridCol w:w="992"/>
      </w:tblGrid>
      <w:tr w:rsidR="00ED2FC8" w:rsidRPr="007364B1" w14:paraId="43332D45"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1AF7B976"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2C92A7F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992" w:type="dxa"/>
            <w:tcBorders>
              <w:top w:val="single" w:sz="4" w:space="0" w:color="auto"/>
              <w:left w:val="nil"/>
              <w:bottom w:val="single" w:sz="4" w:space="0" w:color="auto"/>
              <w:right w:val="nil"/>
            </w:tcBorders>
            <w:shd w:val="clear" w:color="auto" w:fill="auto"/>
            <w:vAlign w:val="bottom"/>
            <w:hideMark/>
          </w:tcPr>
          <w:p w14:paraId="1142FFEF"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52612CB2" w14:textId="0E1BE1D8"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74FC7D55" w14:textId="353ED2C2"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15610976" w14:textId="0C0F7D43"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46B4B6C7" w14:textId="7CFA7114"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1DD4D200" w14:textId="224E8692"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29" w:type="dxa"/>
            <w:tcBorders>
              <w:top w:val="single" w:sz="4" w:space="0" w:color="auto"/>
              <w:left w:val="nil"/>
              <w:bottom w:val="single" w:sz="4" w:space="0" w:color="auto"/>
              <w:right w:val="nil"/>
            </w:tcBorders>
            <w:shd w:val="clear" w:color="auto" w:fill="auto"/>
            <w:vAlign w:val="bottom"/>
            <w:hideMark/>
          </w:tcPr>
          <w:p w14:paraId="08891E73" w14:textId="7DCFD602"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0F61CA18"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3592A38E" w14:textId="7EB716BC"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D64F52">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55995833" w14:textId="1DFB0E6D"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76D97FA8"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110335C9"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26406934" w14:textId="77777777" w:rsidTr="00AA33F9">
        <w:trPr>
          <w:trHeight w:val="360"/>
        </w:trPr>
        <w:tc>
          <w:tcPr>
            <w:tcW w:w="1985" w:type="dxa"/>
            <w:tcBorders>
              <w:top w:val="nil"/>
              <w:left w:val="nil"/>
              <w:bottom w:val="nil"/>
              <w:right w:val="nil"/>
            </w:tcBorders>
            <w:shd w:val="clear" w:color="auto" w:fill="auto"/>
            <w:noWrap/>
            <w:vAlign w:val="bottom"/>
            <w:hideMark/>
          </w:tcPr>
          <w:p w14:paraId="1D5C945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03B2E8F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3,816</w:t>
            </w:r>
          </w:p>
        </w:tc>
        <w:tc>
          <w:tcPr>
            <w:tcW w:w="992" w:type="dxa"/>
            <w:tcBorders>
              <w:top w:val="nil"/>
              <w:left w:val="nil"/>
              <w:bottom w:val="nil"/>
              <w:right w:val="nil"/>
            </w:tcBorders>
            <w:shd w:val="clear" w:color="auto" w:fill="auto"/>
            <w:noWrap/>
            <w:vAlign w:val="center"/>
            <w:hideMark/>
          </w:tcPr>
          <w:p w14:paraId="01A09A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4,036</w:t>
            </w:r>
          </w:p>
        </w:tc>
        <w:tc>
          <w:tcPr>
            <w:tcW w:w="851" w:type="dxa"/>
            <w:tcBorders>
              <w:top w:val="nil"/>
              <w:left w:val="nil"/>
              <w:bottom w:val="nil"/>
              <w:right w:val="nil"/>
            </w:tcBorders>
            <w:shd w:val="clear" w:color="000000" w:fill="FAA8AB"/>
            <w:noWrap/>
            <w:vAlign w:val="center"/>
            <w:hideMark/>
          </w:tcPr>
          <w:p w14:paraId="0960B95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992" w:type="dxa"/>
            <w:tcBorders>
              <w:top w:val="nil"/>
              <w:left w:val="nil"/>
              <w:bottom w:val="nil"/>
              <w:right w:val="nil"/>
            </w:tcBorders>
            <w:shd w:val="clear" w:color="auto" w:fill="auto"/>
            <w:noWrap/>
            <w:vAlign w:val="center"/>
            <w:hideMark/>
          </w:tcPr>
          <w:p w14:paraId="5EB22D6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3,830</w:t>
            </w:r>
          </w:p>
        </w:tc>
        <w:tc>
          <w:tcPr>
            <w:tcW w:w="850" w:type="dxa"/>
            <w:tcBorders>
              <w:top w:val="nil"/>
              <w:left w:val="nil"/>
              <w:bottom w:val="nil"/>
              <w:right w:val="nil"/>
            </w:tcBorders>
            <w:shd w:val="clear" w:color="auto" w:fill="auto"/>
            <w:noWrap/>
            <w:vAlign w:val="center"/>
            <w:hideMark/>
          </w:tcPr>
          <w:p w14:paraId="7484604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456</w:t>
            </w:r>
          </w:p>
        </w:tc>
        <w:tc>
          <w:tcPr>
            <w:tcW w:w="1051" w:type="dxa"/>
            <w:tcBorders>
              <w:top w:val="nil"/>
              <w:left w:val="nil"/>
              <w:bottom w:val="nil"/>
              <w:right w:val="nil"/>
            </w:tcBorders>
            <w:shd w:val="clear" w:color="auto" w:fill="auto"/>
            <w:noWrap/>
            <w:vAlign w:val="center"/>
            <w:hideMark/>
          </w:tcPr>
          <w:p w14:paraId="156E918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121</w:t>
            </w:r>
          </w:p>
        </w:tc>
        <w:tc>
          <w:tcPr>
            <w:tcW w:w="869" w:type="dxa"/>
            <w:tcBorders>
              <w:top w:val="nil"/>
              <w:left w:val="nil"/>
              <w:bottom w:val="nil"/>
              <w:right w:val="nil"/>
            </w:tcBorders>
            <w:shd w:val="clear" w:color="auto" w:fill="auto"/>
            <w:noWrap/>
            <w:vAlign w:val="center"/>
            <w:hideMark/>
          </w:tcPr>
          <w:p w14:paraId="4DD2E7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577</w:t>
            </w:r>
          </w:p>
        </w:tc>
        <w:tc>
          <w:tcPr>
            <w:tcW w:w="729" w:type="dxa"/>
            <w:tcBorders>
              <w:top w:val="nil"/>
              <w:left w:val="nil"/>
              <w:bottom w:val="nil"/>
              <w:right w:val="nil"/>
            </w:tcBorders>
            <w:shd w:val="clear" w:color="auto" w:fill="auto"/>
            <w:noWrap/>
            <w:vAlign w:val="center"/>
            <w:hideMark/>
          </w:tcPr>
          <w:p w14:paraId="2F1751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294</w:t>
            </w:r>
          </w:p>
        </w:tc>
        <w:tc>
          <w:tcPr>
            <w:tcW w:w="1011" w:type="dxa"/>
            <w:tcBorders>
              <w:top w:val="nil"/>
              <w:left w:val="nil"/>
              <w:bottom w:val="nil"/>
              <w:right w:val="nil"/>
            </w:tcBorders>
            <w:shd w:val="clear" w:color="auto" w:fill="auto"/>
            <w:noWrap/>
            <w:vAlign w:val="center"/>
            <w:hideMark/>
          </w:tcPr>
          <w:p w14:paraId="2C96BC4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DC1F0A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336</w:t>
            </w:r>
          </w:p>
        </w:tc>
        <w:tc>
          <w:tcPr>
            <w:tcW w:w="1354" w:type="dxa"/>
            <w:tcBorders>
              <w:top w:val="nil"/>
              <w:left w:val="nil"/>
              <w:bottom w:val="nil"/>
              <w:right w:val="nil"/>
            </w:tcBorders>
            <w:shd w:val="clear" w:color="auto" w:fill="auto"/>
            <w:noWrap/>
            <w:vAlign w:val="center"/>
            <w:hideMark/>
          </w:tcPr>
          <w:p w14:paraId="043ABA2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536</w:t>
            </w:r>
          </w:p>
        </w:tc>
        <w:tc>
          <w:tcPr>
            <w:tcW w:w="1001" w:type="dxa"/>
            <w:tcBorders>
              <w:top w:val="nil"/>
              <w:left w:val="nil"/>
              <w:bottom w:val="nil"/>
              <w:right w:val="nil"/>
            </w:tcBorders>
            <w:shd w:val="clear" w:color="auto" w:fill="auto"/>
            <w:noWrap/>
            <w:vAlign w:val="center"/>
            <w:hideMark/>
          </w:tcPr>
          <w:p w14:paraId="5C03F81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w:t>
            </w:r>
          </w:p>
        </w:tc>
        <w:tc>
          <w:tcPr>
            <w:tcW w:w="992" w:type="dxa"/>
            <w:tcBorders>
              <w:top w:val="nil"/>
              <w:left w:val="nil"/>
              <w:bottom w:val="nil"/>
              <w:right w:val="nil"/>
            </w:tcBorders>
            <w:shd w:val="clear" w:color="000000" w:fill="EDF1F9"/>
            <w:noWrap/>
            <w:vAlign w:val="center"/>
            <w:hideMark/>
          </w:tcPr>
          <w:p w14:paraId="1F51F56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w:t>
            </w:r>
          </w:p>
        </w:tc>
      </w:tr>
      <w:tr w:rsidR="0028350E" w:rsidRPr="007364B1" w14:paraId="3E89DFE3" w14:textId="77777777" w:rsidTr="00AA33F9">
        <w:trPr>
          <w:trHeight w:val="360"/>
        </w:trPr>
        <w:tc>
          <w:tcPr>
            <w:tcW w:w="1985" w:type="dxa"/>
            <w:tcBorders>
              <w:top w:val="nil"/>
              <w:left w:val="nil"/>
              <w:bottom w:val="nil"/>
              <w:right w:val="nil"/>
            </w:tcBorders>
            <w:shd w:val="clear" w:color="auto" w:fill="auto"/>
            <w:noWrap/>
            <w:vAlign w:val="bottom"/>
            <w:hideMark/>
          </w:tcPr>
          <w:p w14:paraId="1010C23D"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6DF8698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1,454</w:t>
            </w:r>
          </w:p>
        </w:tc>
        <w:tc>
          <w:tcPr>
            <w:tcW w:w="992" w:type="dxa"/>
            <w:tcBorders>
              <w:top w:val="nil"/>
              <w:left w:val="nil"/>
              <w:bottom w:val="nil"/>
              <w:right w:val="nil"/>
            </w:tcBorders>
            <w:shd w:val="clear" w:color="auto" w:fill="auto"/>
            <w:noWrap/>
            <w:vAlign w:val="center"/>
            <w:hideMark/>
          </w:tcPr>
          <w:p w14:paraId="6DF5A2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2,253</w:t>
            </w:r>
          </w:p>
        </w:tc>
        <w:tc>
          <w:tcPr>
            <w:tcW w:w="851" w:type="dxa"/>
            <w:tcBorders>
              <w:top w:val="nil"/>
              <w:left w:val="nil"/>
              <w:bottom w:val="nil"/>
              <w:right w:val="nil"/>
            </w:tcBorders>
            <w:shd w:val="clear" w:color="000000" w:fill="F98183"/>
            <w:noWrap/>
            <w:vAlign w:val="center"/>
            <w:hideMark/>
          </w:tcPr>
          <w:p w14:paraId="036CF0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w:t>
            </w:r>
          </w:p>
        </w:tc>
        <w:tc>
          <w:tcPr>
            <w:tcW w:w="992" w:type="dxa"/>
            <w:tcBorders>
              <w:top w:val="nil"/>
              <w:left w:val="nil"/>
              <w:bottom w:val="nil"/>
              <w:right w:val="nil"/>
            </w:tcBorders>
            <w:shd w:val="clear" w:color="auto" w:fill="auto"/>
            <w:noWrap/>
            <w:vAlign w:val="center"/>
            <w:hideMark/>
          </w:tcPr>
          <w:p w14:paraId="0541FC6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3,426</w:t>
            </w:r>
          </w:p>
        </w:tc>
        <w:tc>
          <w:tcPr>
            <w:tcW w:w="850" w:type="dxa"/>
            <w:tcBorders>
              <w:top w:val="nil"/>
              <w:left w:val="nil"/>
              <w:bottom w:val="nil"/>
              <w:right w:val="nil"/>
            </w:tcBorders>
            <w:shd w:val="clear" w:color="auto" w:fill="auto"/>
            <w:noWrap/>
            <w:vAlign w:val="center"/>
            <w:hideMark/>
          </w:tcPr>
          <w:p w14:paraId="4F7D323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131</w:t>
            </w:r>
          </w:p>
        </w:tc>
        <w:tc>
          <w:tcPr>
            <w:tcW w:w="1051" w:type="dxa"/>
            <w:tcBorders>
              <w:top w:val="nil"/>
              <w:left w:val="nil"/>
              <w:bottom w:val="nil"/>
              <w:right w:val="nil"/>
            </w:tcBorders>
            <w:shd w:val="clear" w:color="auto" w:fill="auto"/>
            <w:noWrap/>
            <w:vAlign w:val="center"/>
            <w:hideMark/>
          </w:tcPr>
          <w:p w14:paraId="10FD56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w:t>
            </w:r>
          </w:p>
        </w:tc>
        <w:tc>
          <w:tcPr>
            <w:tcW w:w="869" w:type="dxa"/>
            <w:tcBorders>
              <w:top w:val="nil"/>
              <w:left w:val="nil"/>
              <w:bottom w:val="nil"/>
              <w:right w:val="nil"/>
            </w:tcBorders>
            <w:shd w:val="clear" w:color="auto" w:fill="auto"/>
            <w:noWrap/>
            <w:vAlign w:val="center"/>
            <w:hideMark/>
          </w:tcPr>
          <w:p w14:paraId="61DF0A0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147</w:t>
            </w:r>
          </w:p>
        </w:tc>
        <w:tc>
          <w:tcPr>
            <w:tcW w:w="729" w:type="dxa"/>
            <w:tcBorders>
              <w:top w:val="nil"/>
              <w:left w:val="nil"/>
              <w:bottom w:val="nil"/>
              <w:right w:val="nil"/>
            </w:tcBorders>
            <w:shd w:val="clear" w:color="auto" w:fill="auto"/>
            <w:noWrap/>
            <w:vAlign w:val="center"/>
            <w:hideMark/>
          </w:tcPr>
          <w:p w14:paraId="448FC1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234</w:t>
            </w:r>
          </w:p>
        </w:tc>
        <w:tc>
          <w:tcPr>
            <w:tcW w:w="1011" w:type="dxa"/>
            <w:tcBorders>
              <w:top w:val="nil"/>
              <w:left w:val="nil"/>
              <w:bottom w:val="nil"/>
              <w:right w:val="nil"/>
            </w:tcBorders>
            <w:shd w:val="clear" w:color="auto" w:fill="auto"/>
            <w:noWrap/>
            <w:vAlign w:val="center"/>
            <w:hideMark/>
          </w:tcPr>
          <w:p w14:paraId="5A0000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D2032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113</w:t>
            </w:r>
          </w:p>
        </w:tc>
        <w:tc>
          <w:tcPr>
            <w:tcW w:w="1354" w:type="dxa"/>
            <w:tcBorders>
              <w:top w:val="nil"/>
              <w:left w:val="nil"/>
              <w:bottom w:val="nil"/>
              <w:right w:val="nil"/>
            </w:tcBorders>
            <w:shd w:val="clear" w:color="auto" w:fill="auto"/>
            <w:noWrap/>
            <w:vAlign w:val="center"/>
            <w:hideMark/>
          </w:tcPr>
          <w:p w14:paraId="672AFB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256</w:t>
            </w:r>
          </w:p>
        </w:tc>
        <w:tc>
          <w:tcPr>
            <w:tcW w:w="1001" w:type="dxa"/>
            <w:tcBorders>
              <w:top w:val="nil"/>
              <w:left w:val="nil"/>
              <w:bottom w:val="nil"/>
              <w:right w:val="nil"/>
            </w:tcBorders>
            <w:shd w:val="clear" w:color="auto" w:fill="auto"/>
            <w:noWrap/>
            <w:vAlign w:val="center"/>
            <w:hideMark/>
          </w:tcPr>
          <w:p w14:paraId="76FA4F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44%</w:t>
            </w:r>
          </w:p>
        </w:tc>
        <w:tc>
          <w:tcPr>
            <w:tcW w:w="992" w:type="dxa"/>
            <w:tcBorders>
              <w:top w:val="nil"/>
              <w:left w:val="nil"/>
              <w:bottom w:val="nil"/>
              <w:right w:val="nil"/>
            </w:tcBorders>
            <w:shd w:val="clear" w:color="000000" w:fill="F8696B"/>
            <w:noWrap/>
            <w:vAlign w:val="center"/>
            <w:hideMark/>
          </w:tcPr>
          <w:p w14:paraId="7BC48E0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236%</w:t>
            </w:r>
          </w:p>
        </w:tc>
      </w:tr>
      <w:tr w:rsidR="0028350E" w:rsidRPr="007364B1" w14:paraId="37F6F853" w14:textId="77777777" w:rsidTr="00AA33F9">
        <w:trPr>
          <w:trHeight w:val="360"/>
        </w:trPr>
        <w:tc>
          <w:tcPr>
            <w:tcW w:w="1985" w:type="dxa"/>
            <w:tcBorders>
              <w:top w:val="nil"/>
              <w:left w:val="nil"/>
              <w:bottom w:val="nil"/>
              <w:right w:val="nil"/>
            </w:tcBorders>
            <w:shd w:val="clear" w:color="auto" w:fill="auto"/>
            <w:noWrap/>
            <w:vAlign w:val="bottom"/>
            <w:hideMark/>
          </w:tcPr>
          <w:p w14:paraId="4A5EE19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3501BE7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1,678</w:t>
            </w:r>
          </w:p>
        </w:tc>
        <w:tc>
          <w:tcPr>
            <w:tcW w:w="992" w:type="dxa"/>
            <w:tcBorders>
              <w:top w:val="nil"/>
              <w:left w:val="nil"/>
              <w:bottom w:val="nil"/>
              <w:right w:val="nil"/>
            </w:tcBorders>
            <w:shd w:val="clear" w:color="auto" w:fill="auto"/>
            <w:noWrap/>
            <w:vAlign w:val="center"/>
            <w:hideMark/>
          </w:tcPr>
          <w:p w14:paraId="1EF5B0A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1,808</w:t>
            </w:r>
          </w:p>
        </w:tc>
        <w:tc>
          <w:tcPr>
            <w:tcW w:w="851" w:type="dxa"/>
            <w:tcBorders>
              <w:top w:val="nil"/>
              <w:left w:val="nil"/>
              <w:bottom w:val="nil"/>
              <w:right w:val="nil"/>
            </w:tcBorders>
            <w:shd w:val="clear" w:color="000000" w:fill="FAA7A9"/>
            <w:noWrap/>
            <w:vAlign w:val="center"/>
            <w:hideMark/>
          </w:tcPr>
          <w:p w14:paraId="5287D2E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992" w:type="dxa"/>
            <w:tcBorders>
              <w:top w:val="nil"/>
              <w:left w:val="nil"/>
              <w:bottom w:val="nil"/>
              <w:right w:val="nil"/>
            </w:tcBorders>
            <w:shd w:val="clear" w:color="auto" w:fill="auto"/>
            <w:noWrap/>
            <w:vAlign w:val="center"/>
            <w:hideMark/>
          </w:tcPr>
          <w:p w14:paraId="3FB3FE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1,942</w:t>
            </w:r>
          </w:p>
        </w:tc>
        <w:tc>
          <w:tcPr>
            <w:tcW w:w="850" w:type="dxa"/>
            <w:tcBorders>
              <w:top w:val="nil"/>
              <w:left w:val="nil"/>
              <w:bottom w:val="nil"/>
              <w:right w:val="nil"/>
            </w:tcBorders>
            <w:shd w:val="clear" w:color="auto" w:fill="auto"/>
            <w:noWrap/>
            <w:vAlign w:val="center"/>
            <w:hideMark/>
          </w:tcPr>
          <w:p w14:paraId="7744DD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w:t>
            </w:r>
          </w:p>
        </w:tc>
        <w:tc>
          <w:tcPr>
            <w:tcW w:w="1051" w:type="dxa"/>
            <w:tcBorders>
              <w:top w:val="nil"/>
              <w:left w:val="nil"/>
              <w:bottom w:val="nil"/>
              <w:right w:val="nil"/>
            </w:tcBorders>
            <w:shd w:val="clear" w:color="auto" w:fill="auto"/>
            <w:noWrap/>
            <w:vAlign w:val="center"/>
            <w:hideMark/>
          </w:tcPr>
          <w:p w14:paraId="27FF69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w:t>
            </w:r>
          </w:p>
        </w:tc>
        <w:tc>
          <w:tcPr>
            <w:tcW w:w="869" w:type="dxa"/>
            <w:tcBorders>
              <w:top w:val="nil"/>
              <w:left w:val="nil"/>
              <w:bottom w:val="nil"/>
              <w:right w:val="nil"/>
            </w:tcBorders>
            <w:shd w:val="clear" w:color="auto" w:fill="auto"/>
            <w:noWrap/>
            <w:vAlign w:val="center"/>
            <w:hideMark/>
          </w:tcPr>
          <w:p w14:paraId="0C7E6E9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176</w:t>
            </w:r>
          </w:p>
        </w:tc>
        <w:tc>
          <w:tcPr>
            <w:tcW w:w="729" w:type="dxa"/>
            <w:tcBorders>
              <w:top w:val="nil"/>
              <w:left w:val="nil"/>
              <w:bottom w:val="nil"/>
              <w:right w:val="nil"/>
            </w:tcBorders>
            <w:shd w:val="clear" w:color="auto" w:fill="auto"/>
            <w:noWrap/>
            <w:vAlign w:val="center"/>
            <w:hideMark/>
          </w:tcPr>
          <w:p w14:paraId="6964BD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175</w:t>
            </w:r>
          </w:p>
        </w:tc>
        <w:tc>
          <w:tcPr>
            <w:tcW w:w="1011" w:type="dxa"/>
            <w:tcBorders>
              <w:top w:val="nil"/>
              <w:left w:val="nil"/>
              <w:bottom w:val="nil"/>
              <w:right w:val="nil"/>
            </w:tcBorders>
            <w:shd w:val="clear" w:color="auto" w:fill="auto"/>
            <w:noWrap/>
            <w:vAlign w:val="center"/>
            <w:hideMark/>
          </w:tcPr>
          <w:p w14:paraId="58C8438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5D4720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w:t>
            </w:r>
          </w:p>
        </w:tc>
        <w:tc>
          <w:tcPr>
            <w:tcW w:w="1354" w:type="dxa"/>
            <w:tcBorders>
              <w:top w:val="nil"/>
              <w:left w:val="nil"/>
              <w:bottom w:val="nil"/>
              <w:right w:val="nil"/>
            </w:tcBorders>
            <w:shd w:val="clear" w:color="auto" w:fill="auto"/>
            <w:noWrap/>
            <w:vAlign w:val="center"/>
            <w:hideMark/>
          </w:tcPr>
          <w:p w14:paraId="12286A4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w:t>
            </w:r>
          </w:p>
        </w:tc>
        <w:tc>
          <w:tcPr>
            <w:tcW w:w="1001" w:type="dxa"/>
            <w:tcBorders>
              <w:top w:val="nil"/>
              <w:left w:val="nil"/>
              <w:bottom w:val="nil"/>
              <w:right w:val="nil"/>
            </w:tcBorders>
            <w:shd w:val="clear" w:color="auto" w:fill="auto"/>
            <w:noWrap/>
            <w:vAlign w:val="center"/>
            <w:hideMark/>
          </w:tcPr>
          <w:p w14:paraId="33816AC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w:t>
            </w:r>
          </w:p>
        </w:tc>
        <w:tc>
          <w:tcPr>
            <w:tcW w:w="992" w:type="dxa"/>
            <w:tcBorders>
              <w:top w:val="nil"/>
              <w:left w:val="nil"/>
              <w:bottom w:val="nil"/>
              <w:right w:val="nil"/>
            </w:tcBorders>
            <w:shd w:val="clear" w:color="000000" w:fill="F9FAFE"/>
            <w:noWrap/>
            <w:vAlign w:val="center"/>
            <w:hideMark/>
          </w:tcPr>
          <w:p w14:paraId="06E91C7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r>
      <w:tr w:rsidR="0028350E" w:rsidRPr="007364B1" w14:paraId="146A29D8" w14:textId="77777777" w:rsidTr="00AA33F9">
        <w:trPr>
          <w:trHeight w:val="360"/>
        </w:trPr>
        <w:tc>
          <w:tcPr>
            <w:tcW w:w="1985" w:type="dxa"/>
            <w:tcBorders>
              <w:top w:val="nil"/>
              <w:left w:val="nil"/>
              <w:bottom w:val="nil"/>
              <w:right w:val="nil"/>
            </w:tcBorders>
            <w:shd w:val="clear" w:color="auto" w:fill="auto"/>
            <w:noWrap/>
            <w:vAlign w:val="bottom"/>
            <w:hideMark/>
          </w:tcPr>
          <w:p w14:paraId="18A146D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7E288DC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2,434</w:t>
            </w:r>
          </w:p>
        </w:tc>
        <w:tc>
          <w:tcPr>
            <w:tcW w:w="992" w:type="dxa"/>
            <w:tcBorders>
              <w:top w:val="nil"/>
              <w:left w:val="nil"/>
              <w:bottom w:val="nil"/>
              <w:right w:val="nil"/>
            </w:tcBorders>
            <w:shd w:val="clear" w:color="auto" w:fill="auto"/>
            <w:noWrap/>
            <w:vAlign w:val="center"/>
            <w:hideMark/>
          </w:tcPr>
          <w:p w14:paraId="74D346E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2,991</w:t>
            </w:r>
          </w:p>
        </w:tc>
        <w:tc>
          <w:tcPr>
            <w:tcW w:w="851" w:type="dxa"/>
            <w:tcBorders>
              <w:top w:val="nil"/>
              <w:left w:val="nil"/>
              <w:bottom w:val="nil"/>
              <w:right w:val="nil"/>
            </w:tcBorders>
            <w:shd w:val="clear" w:color="000000" w:fill="FA9A9D"/>
            <w:noWrap/>
            <w:vAlign w:val="center"/>
            <w:hideMark/>
          </w:tcPr>
          <w:p w14:paraId="68532C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w:t>
            </w:r>
          </w:p>
        </w:tc>
        <w:tc>
          <w:tcPr>
            <w:tcW w:w="992" w:type="dxa"/>
            <w:tcBorders>
              <w:top w:val="nil"/>
              <w:left w:val="nil"/>
              <w:bottom w:val="nil"/>
              <w:right w:val="nil"/>
            </w:tcBorders>
            <w:shd w:val="clear" w:color="auto" w:fill="auto"/>
            <w:noWrap/>
            <w:vAlign w:val="center"/>
            <w:hideMark/>
          </w:tcPr>
          <w:p w14:paraId="59D4D56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3,507</w:t>
            </w:r>
          </w:p>
        </w:tc>
        <w:tc>
          <w:tcPr>
            <w:tcW w:w="850" w:type="dxa"/>
            <w:tcBorders>
              <w:top w:val="nil"/>
              <w:left w:val="nil"/>
              <w:bottom w:val="nil"/>
              <w:right w:val="nil"/>
            </w:tcBorders>
            <w:shd w:val="clear" w:color="auto" w:fill="auto"/>
            <w:noWrap/>
            <w:vAlign w:val="center"/>
            <w:hideMark/>
          </w:tcPr>
          <w:p w14:paraId="550CE2C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313</w:t>
            </w:r>
          </w:p>
        </w:tc>
        <w:tc>
          <w:tcPr>
            <w:tcW w:w="1051" w:type="dxa"/>
            <w:tcBorders>
              <w:top w:val="nil"/>
              <w:left w:val="nil"/>
              <w:bottom w:val="nil"/>
              <w:right w:val="nil"/>
            </w:tcBorders>
            <w:shd w:val="clear" w:color="auto" w:fill="auto"/>
            <w:noWrap/>
            <w:vAlign w:val="center"/>
            <w:hideMark/>
          </w:tcPr>
          <w:p w14:paraId="6A64FC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w:t>
            </w:r>
          </w:p>
        </w:tc>
        <w:tc>
          <w:tcPr>
            <w:tcW w:w="869" w:type="dxa"/>
            <w:tcBorders>
              <w:top w:val="nil"/>
              <w:left w:val="nil"/>
              <w:bottom w:val="nil"/>
              <w:right w:val="nil"/>
            </w:tcBorders>
            <w:shd w:val="clear" w:color="auto" w:fill="auto"/>
            <w:noWrap/>
            <w:vAlign w:val="center"/>
            <w:hideMark/>
          </w:tcPr>
          <w:p w14:paraId="3F2D3AA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405</w:t>
            </w:r>
          </w:p>
        </w:tc>
        <w:tc>
          <w:tcPr>
            <w:tcW w:w="729" w:type="dxa"/>
            <w:tcBorders>
              <w:top w:val="nil"/>
              <w:left w:val="nil"/>
              <w:bottom w:val="nil"/>
              <w:right w:val="nil"/>
            </w:tcBorders>
            <w:shd w:val="clear" w:color="auto" w:fill="auto"/>
            <w:noWrap/>
            <w:vAlign w:val="center"/>
            <w:hideMark/>
          </w:tcPr>
          <w:p w14:paraId="452FDC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199</w:t>
            </w:r>
          </w:p>
        </w:tc>
        <w:tc>
          <w:tcPr>
            <w:tcW w:w="1011" w:type="dxa"/>
            <w:tcBorders>
              <w:top w:val="nil"/>
              <w:left w:val="nil"/>
              <w:bottom w:val="nil"/>
              <w:right w:val="nil"/>
            </w:tcBorders>
            <w:shd w:val="clear" w:color="auto" w:fill="auto"/>
            <w:noWrap/>
            <w:vAlign w:val="center"/>
            <w:hideMark/>
          </w:tcPr>
          <w:p w14:paraId="582FDCA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F3126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343</w:t>
            </w:r>
          </w:p>
        </w:tc>
        <w:tc>
          <w:tcPr>
            <w:tcW w:w="1354" w:type="dxa"/>
            <w:tcBorders>
              <w:top w:val="nil"/>
              <w:left w:val="nil"/>
              <w:bottom w:val="nil"/>
              <w:right w:val="nil"/>
            </w:tcBorders>
            <w:shd w:val="clear" w:color="auto" w:fill="auto"/>
            <w:noWrap/>
            <w:vAlign w:val="center"/>
            <w:hideMark/>
          </w:tcPr>
          <w:p w14:paraId="5BAD0CE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318</w:t>
            </w:r>
          </w:p>
        </w:tc>
        <w:tc>
          <w:tcPr>
            <w:tcW w:w="1001" w:type="dxa"/>
            <w:tcBorders>
              <w:top w:val="nil"/>
              <w:left w:val="nil"/>
              <w:bottom w:val="nil"/>
              <w:right w:val="nil"/>
            </w:tcBorders>
            <w:shd w:val="clear" w:color="auto" w:fill="auto"/>
            <w:noWrap/>
            <w:vAlign w:val="center"/>
            <w:hideMark/>
          </w:tcPr>
          <w:p w14:paraId="18D5F1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108%</w:t>
            </w:r>
          </w:p>
        </w:tc>
        <w:tc>
          <w:tcPr>
            <w:tcW w:w="992" w:type="dxa"/>
            <w:tcBorders>
              <w:top w:val="nil"/>
              <w:left w:val="nil"/>
              <w:bottom w:val="nil"/>
              <w:right w:val="nil"/>
            </w:tcBorders>
            <w:shd w:val="clear" w:color="000000" w:fill="FCEBEE"/>
            <w:noWrap/>
            <w:vAlign w:val="center"/>
            <w:hideMark/>
          </w:tcPr>
          <w:p w14:paraId="628E9EA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w:t>
            </w:r>
          </w:p>
        </w:tc>
      </w:tr>
      <w:tr w:rsidR="0028350E" w:rsidRPr="007364B1" w14:paraId="43D5CFFC" w14:textId="77777777" w:rsidTr="00AA33F9">
        <w:trPr>
          <w:trHeight w:val="360"/>
        </w:trPr>
        <w:tc>
          <w:tcPr>
            <w:tcW w:w="1985" w:type="dxa"/>
            <w:tcBorders>
              <w:top w:val="nil"/>
              <w:left w:val="nil"/>
              <w:bottom w:val="nil"/>
              <w:right w:val="nil"/>
            </w:tcBorders>
            <w:shd w:val="clear" w:color="auto" w:fill="auto"/>
            <w:noWrap/>
            <w:vAlign w:val="bottom"/>
            <w:hideMark/>
          </w:tcPr>
          <w:p w14:paraId="47D3F28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290BDB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10,316</w:t>
            </w:r>
          </w:p>
        </w:tc>
        <w:tc>
          <w:tcPr>
            <w:tcW w:w="992" w:type="dxa"/>
            <w:tcBorders>
              <w:top w:val="nil"/>
              <w:left w:val="nil"/>
              <w:bottom w:val="nil"/>
              <w:right w:val="nil"/>
            </w:tcBorders>
            <w:shd w:val="clear" w:color="auto" w:fill="auto"/>
            <w:noWrap/>
            <w:vAlign w:val="center"/>
            <w:hideMark/>
          </w:tcPr>
          <w:p w14:paraId="46E5B35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10,675</w:t>
            </w:r>
          </w:p>
        </w:tc>
        <w:tc>
          <w:tcPr>
            <w:tcW w:w="851" w:type="dxa"/>
            <w:tcBorders>
              <w:top w:val="nil"/>
              <w:left w:val="nil"/>
              <w:bottom w:val="nil"/>
              <w:right w:val="nil"/>
            </w:tcBorders>
            <w:shd w:val="clear" w:color="000000" w:fill="FAAAAC"/>
            <w:noWrap/>
            <w:vAlign w:val="center"/>
            <w:hideMark/>
          </w:tcPr>
          <w:p w14:paraId="751DA25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992" w:type="dxa"/>
            <w:tcBorders>
              <w:top w:val="nil"/>
              <w:left w:val="nil"/>
              <w:bottom w:val="nil"/>
              <w:right w:val="nil"/>
            </w:tcBorders>
            <w:shd w:val="clear" w:color="auto" w:fill="auto"/>
            <w:noWrap/>
            <w:vAlign w:val="center"/>
            <w:hideMark/>
          </w:tcPr>
          <w:p w14:paraId="0CEAA5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11,807</w:t>
            </w:r>
          </w:p>
        </w:tc>
        <w:tc>
          <w:tcPr>
            <w:tcW w:w="850" w:type="dxa"/>
            <w:tcBorders>
              <w:top w:val="nil"/>
              <w:left w:val="nil"/>
              <w:bottom w:val="nil"/>
              <w:right w:val="nil"/>
            </w:tcBorders>
            <w:shd w:val="clear" w:color="auto" w:fill="auto"/>
            <w:noWrap/>
            <w:vAlign w:val="center"/>
            <w:hideMark/>
          </w:tcPr>
          <w:p w14:paraId="20DBDF9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1,033</w:t>
            </w:r>
          </w:p>
        </w:tc>
        <w:tc>
          <w:tcPr>
            <w:tcW w:w="1051" w:type="dxa"/>
            <w:tcBorders>
              <w:top w:val="nil"/>
              <w:left w:val="nil"/>
              <w:bottom w:val="nil"/>
              <w:right w:val="nil"/>
            </w:tcBorders>
            <w:shd w:val="clear" w:color="auto" w:fill="auto"/>
            <w:noWrap/>
            <w:vAlign w:val="center"/>
            <w:hideMark/>
          </w:tcPr>
          <w:p w14:paraId="2E1C7CC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162</w:t>
            </w:r>
          </w:p>
        </w:tc>
        <w:tc>
          <w:tcPr>
            <w:tcW w:w="869" w:type="dxa"/>
            <w:tcBorders>
              <w:top w:val="nil"/>
              <w:left w:val="nil"/>
              <w:bottom w:val="nil"/>
              <w:right w:val="nil"/>
            </w:tcBorders>
            <w:shd w:val="clear" w:color="auto" w:fill="auto"/>
            <w:noWrap/>
            <w:vAlign w:val="center"/>
            <w:hideMark/>
          </w:tcPr>
          <w:p w14:paraId="15EB42C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1,194</w:t>
            </w:r>
          </w:p>
        </w:tc>
        <w:tc>
          <w:tcPr>
            <w:tcW w:w="729" w:type="dxa"/>
            <w:tcBorders>
              <w:top w:val="nil"/>
              <w:left w:val="nil"/>
              <w:bottom w:val="nil"/>
              <w:right w:val="nil"/>
            </w:tcBorders>
            <w:shd w:val="clear" w:color="auto" w:fill="auto"/>
            <w:noWrap/>
            <w:vAlign w:val="center"/>
            <w:hideMark/>
          </w:tcPr>
          <w:p w14:paraId="7D6E4C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1,013</w:t>
            </w:r>
          </w:p>
        </w:tc>
        <w:tc>
          <w:tcPr>
            <w:tcW w:w="1011" w:type="dxa"/>
            <w:tcBorders>
              <w:top w:val="nil"/>
              <w:left w:val="nil"/>
              <w:bottom w:val="nil"/>
              <w:right w:val="nil"/>
            </w:tcBorders>
            <w:shd w:val="clear" w:color="auto" w:fill="auto"/>
            <w:noWrap/>
            <w:vAlign w:val="center"/>
            <w:hideMark/>
          </w:tcPr>
          <w:p w14:paraId="0B7B78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AD5C6C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268</w:t>
            </w:r>
          </w:p>
        </w:tc>
        <w:tc>
          <w:tcPr>
            <w:tcW w:w="1354" w:type="dxa"/>
            <w:tcBorders>
              <w:top w:val="nil"/>
              <w:left w:val="nil"/>
              <w:bottom w:val="nil"/>
              <w:right w:val="nil"/>
            </w:tcBorders>
            <w:shd w:val="clear" w:color="auto" w:fill="auto"/>
            <w:noWrap/>
            <w:vAlign w:val="center"/>
            <w:hideMark/>
          </w:tcPr>
          <w:p w14:paraId="1638BC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370</w:t>
            </w:r>
          </w:p>
        </w:tc>
        <w:tc>
          <w:tcPr>
            <w:tcW w:w="1001" w:type="dxa"/>
            <w:tcBorders>
              <w:top w:val="nil"/>
              <w:left w:val="nil"/>
              <w:bottom w:val="nil"/>
              <w:right w:val="nil"/>
            </w:tcBorders>
            <w:shd w:val="clear" w:color="auto" w:fill="auto"/>
            <w:noWrap/>
            <w:vAlign w:val="center"/>
            <w:hideMark/>
          </w:tcPr>
          <w:p w14:paraId="19A386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73%</w:t>
            </w:r>
          </w:p>
        </w:tc>
        <w:tc>
          <w:tcPr>
            <w:tcW w:w="992" w:type="dxa"/>
            <w:tcBorders>
              <w:top w:val="nil"/>
              <w:left w:val="nil"/>
              <w:bottom w:val="nil"/>
              <w:right w:val="nil"/>
            </w:tcBorders>
            <w:shd w:val="clear" w:color="000000" w:fill="EAEFF8"/>
            <w:noWrap/>
            <w:vAlign w:val="center"/>
            <w:hideMark/>
          </w:tcPr>
          <w:p w14:paraId="317A81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107%</w:t>
            </w:r>
          </w:p>
        </w:tc>
      </w:tr>
      <w:tr w:rsidR="0028350E" w:rsidRPr="007364B1" w14:paraId="56027741" w14:textId="77777777" w:rsidTr="00AA33F9">
        <w:trPr>
          <w:trHeight w:val="360"/>
        </w:trPr>
        <w:tc>
          <w:tcPr>
            <w:tcW w:w="1985" w:type="dxa"/>
            <w:tcBorders>
              <w:top w:val="nil"/>
              <w:left w:val="nil"/>
              <w:bottom w:val="nil"/>
              <w:right w:val="nil"/>
            </w:tcBorders>
            <w:shd w:val="clear" w:color="auto" w:fill="auto"/>
            <w:noWrap/>
            <w:vAlign w:val="bottom"/>
            <w:hideMark/>
          </w:tcPr>
          <w:p w14:paraId="7C98CD4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0D095CF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2,453</w:t>
            </w:r>
          </w:p>
        </w:tc>
        <w:tc>
          <w:tcPr>
            <w:tcW w:w="992" w:type="dxa"/>
            <w:tcBorders>
              <w:top w:val="nil"/>
              <w:left w:val="nil"/>
              <w:bottom w:val="nil"/>
              <w:right w:val="nil"/>
            </w:tcBorders>
            <w:shd w:val="clear" w:color="auto" w:fill="auto"/>
            <w:noWrap/>
            <w:vAlign w:val="center"/>
            <w:hideMark/>
          </w:tcPr>
          <w:p w14:paraId="3B3F4C2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2,834</w:t>
            </w:r>
          </w:p>
        </w:tc>
        <w:tc>
          <w:tcPr>
            <w:tcW w:w="851" w:type="dxa"/>
            <w:tcBorders>
              <w:top w:val="nil"/>
              <w:left w:val="nil"/>
              <w:bottom w:val="nil"/>
              <w:right w:val="nil"/>
            </w:tcBorders>
            <w:shd w:val="clear" w:color="000000" w:fill="FAA0A3"/>
            <w:noWrap/>
            <w:vAlign w:val="center"/>
            <w:hideMark/>
          </w:tcPr>
          <w:p w14:paraId="0659AD1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w:t>
            </w:r>
          </w:p>
        </w:tc>
        <w:tc>
          <w:tcPr>
            <w:tcW w:w="992" w:type="dxa"/>
            <w:tcBorders>
              <w:top w:val="nil"/>
              <w:left w:val="nil"/>
              <w:bottom w:val="nil"/>
              <w:right w:val="nil"/>
            </w:tcBorders>
            <w:shd w:val="clear" w:color="auto" w:fill="auto"/>
            <w:noWrap/>
            <w:vAlign w:val="center"/>
            <w:hideMark/>
          </w:tcPr>
          <w:p w14:paraId="395230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3,015</w:t>
            </w:r>
          </w:p>
        </w:tc>
        <w:tc>
          <w:tcPr>
            <w:tcW w:w="850" w:type="dxa"/>
            <w:tcBorders>
              <w:top w:val="nil"/>
              <w:left w:val="nil"/>
              <w:bottom w:val="nil"/>
              <w:right w:val="nil"/>
            </w:tcBorders>
            <w:shd w:val="clear" w:color="auto" w:fill="auto"/>
            <w:noWrap/>
            <w:vAlign w:val="center"/>
            <w:hideMark/>
          </w:tcPr>
          <w:p w14:paraId="21132DB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302</w:t>
            </w:r>
          </w:p>
        </w:tc>
        <w:tc>
          <w:tcPr>
            <w:tcW w:w="1051" w:type="dxa"/>
            <w:tcBorders>
              <w:top w:val="nil"/>
              <w:left w:val="nil"/>
              <w:bottom w:val="nil"/>
              <w:right w:val="nil"/>
            </w:tcBorders>
            <w:shd w:val="clear" w:color="auto" w:fill="auto"/>
            <w:noWrap/>
            <w:vAlign w:val="center"/>
            <w:hideMark/>
          </w:tcPr>
          <w:p w14:paraId="77CCE2F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869" w:type="dxa"/>
            <w:tcBorders>
              <w:top w:val="nil"/>
              <w:left w:val="nil"/>
              <w:bottom w:val="nil"/>
              <w:right w:val="nil"/>
            </w:tcBorders>
            <w:shd w:val="clear" w:color="auto" w:fill="auto"/>
            <w:noWrap/>
            <w:vAlign w:val="center"/>
            <w:hideMark/>
          </w:tcPr>
          <w:p w14:paraId="0A2B63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330</w:t>
            </w:r>
          </w:p>
        </w:tc>
        <w:tc>
          <w:tcPr>
            <w:tcW w:w="729" w:type="dxa"/>
            <w:tcBorders>
              <w:top w:val="nil"/>
              <w:left w:val="nil"/>
              <w:bottom w:val="nil"/>
              <w:right w:val="nil"/>
            </w:tcBorders>
            <w:shd w:val="clear" w:color="auto" w:fill="auto"/>
            <w:noWrap/>
            <w:vAlign w:val="center"/>
            <w:hideMark/>
          </w:tcPr>
          <w:p w14:paraId="3D984D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195</w:t>
            </w:r>
          </w:p>
        </w:tc>
        <w:tc>
          <w:tcPr>
            <w:tcW w:w="1011" w:type="dxa"/>
            <w:tcBorders>
              <w:top w:val="nil"/>
              <w:left w:val="nil"/>
              <w:bottom w:val="nil"/>
              <w:right w:val="nil"/>
            </w:tcBorders>
            <w:shd w:val="clear" w:color="auto" w:fill="auto"/>
            <w:noWrap/>
            <w:vAlign w:val="center"/>
            <w:hideMark/>
          </w:tcPr>
          <w:p w14:paraId="16D3CA7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60A60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230</w:t>
            </w:r>
          </w:p>
        </w:tc>
        <w:tc>
          <w:tcPr>
            <w:tcW w:w="1354" w:type="dxa"/>
            <w:tcBorders>
              <w:top w:val="nil"/>
              <w:left w:val="nil"/>
              <w:bottom w:val="nil"/>
              <w:right w:val="nil"/>
            </w:tcBorders>
            <w:shd w:val="clear" w:color="auto" w:fill="auto"/>
            <w:noWrap/>
            <w:vAlign w:val="center"/>
            <w:hideMark/>
          </w:tcPr>
          <w:p w14:paraId="6737A12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296</w:t>
            </w:r>
          </w:p>
        </w:tc>
        <w:tc>
          <w:tcPr>
            <w:tcW w:w="1001" w:type="dxa"/>
            <w:tcBorders>
              <w:top w:val="nil"/>
              <w:left w:val="nil"/>
              <w:bottom w:val="nil"/>
              <w:right w:val="nil"/>
            </w:tcBorders>
            <w:shd w:val="clear" w:color="auto" w:fill="auto"/>
            <w:noWrap/>
            <w:vAlign w:val="center"/>
            <w:hideMark/>
          </w:tcPr>
          <w:p w14:paraId="5C2D32F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78%</w:t>
            </w:r>
          </w:p>
        </w:tc>
        <w:tc>
          <w:tcPr>
            <w:tcW w:w="992" w:type="dxa"/>
            <w:tcBorders>
              <w:top w:val="nil"/>
              <w:left w:val="nil"/>
              <w:bottom w:val="nil"/>
              <w:right w:val="nil"/>
            </w:tcBorders>
            <w:shd w:val="clear" w:color="000000" w:fill="FCF2F5"/>
            <w:noWrap/>
            <w:vAlign w:val="center"/>
            <w:hideMark/>
          </w:tcPr>
          <w:p w14:paraId="4D08647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129%</w:t>
            </w:r>
          </w:p>
        </w:tc>
      </w:tr>
      <w:tr w:rsidR="0028350E" w:rsidRPr="007364B1" w14:paraId="45095F8C" w14:textId="77777777" w:rsidTr="00AA33F9">
        <w:trPr>
          <w:trHeight w:val="360"/>
        </w:trPr>
        <w:tc>
          <w:tcPr>
            <w:tcW w:w="1985" w:type="dxa"/>
            <w:tcBorders>
              <w:top w:val="nil"/>
              <w:left w:val="nil"/>
              <w:bottom w:val="nil"/>
              <w:right w:val="nil"/>
            </w:tcBorders>
            <w:shd w:val="clear" w:color="auto" w:fill="auto"/>
            <w:noWrap/>
            <w:vAlign w:val="bottom"/>
            <w:hideMark/>
          </w:tcPr>
          <w:p w14:paraId="37A5CC8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6EA468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992" w:type="dxa"/>
            <w:tcBorders>
              <w:top w:val="nil"/>
              <w:left w:val="nil"/>
              <w:bottom w:val="nil"/>
              <w:right w:val="nil"/>
            </w:tcBorders>
            <w:shd w:val="clear" w:color="auto" w:fill="auto"/>
            <w:noWrap/>
            <w:vAlign w:val="center"/>
            <w:hideMark/>
          </w:tcPr>
          <w:p w14:paraId="3437C09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59E437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234514F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2C43289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277829C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47E78EB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729" w:type="dxa"/>
            <w:tcBorders>
              <w:top w:val="nil"/>
              <w:left w:val="nil"/>
              <w:bottom w:val="nil"/>
              <w:right w:val="nil"/>
            </w:tcBorders>
            <w:shd w:val="clear" w:color="auto" w:fill="auto"/>
            <w:noWrap/>
            <w:vAlign w:val="center"/>
            <w:hideMark/>
          </w:tcPr>
          <w:p w14:paraId="195B9B2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6A5C5E1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4919AC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10EB8DA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37A5EC8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7370AF7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r>
      <w:tr w:rsidR="0028350E" w:rsidRPr="007364B1" w14:paraId="6A5312F6" w14:textId="77777777" w:rsidTr="00AA33F9">
        <w:trPr>
          <w:trHeight w:val="360"/>
        </w:trPr>
        <w:tc>
          <w:tcPr>
            <w:tcW w:w="1985" w:type="dxa"/>
            <w:tcBorders>
              <w:top w:val="nil"/>
              <w:left w:val="nil"/>
              <w:bottom w:val="nil"/>
              <w:right w:val="nil"/>
            </w:tcBorders>
            <w:shd w:val="clear" w:color="auto" w:fill="auto"/>
            <w:noWrap/>
            <w:vAlign w:val="bottom"/>
            <w:hideMark/>
          </w:tcPr>
          <w:p w14:paraId="13A3518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7B7C8A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649</w:t>
            </w:r>
          </w:p>
        </w:tc>
        <w:tc>
          <w:tcPr>
            <w:tcW w:w="992" w:type="dxa"/>
            <w:tcBorders>
              <w:top w:val="nil"/>
              <w:left w:val="nil"/>
              <w:bottom w:val="nil"/>
              <w:right w:val="nil"/>
            </w:tcBorders>
            <w:shd w:val="clear" w:color="auto" w:fill="auto"/>
            <w:noWrap/>
            <w:vAlign w:val="center"/>
            <w:hideMark/>
          </w:tcPr>
          <w:p w14:paraId="73D2A4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1,195</w:t>
            </w:r>
          </w:p>
        </w:tc>
        <w:tc>
          <w:tcPr>
            <w:tcW w:w="851" w:type="dxa"/>
            <w:tcBorders>
              <w:top w:val="nil"/>
              <w:left w:val="nil"/>
              <w:bottom w:val="nil"/>
              <w:right w:val="nil"/>
            </w:tcBorders>
            <w:shd w:val="clear" w:color="000000" w:fill="F8696B"/>
            <w:noWrap/>
            <w:vAlign w:val="center"/>
            <w:hideMark/>
          </w:tcPr>
          <w:p w14:paraId="72F919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+84%</w:t>
            </w:r>
          </w:p>
        </w:tc>
        <w:tc>
          <w:tcPr>
            <w:tcW w:w="992" w:type="dxa"/>
            <w:tcBorders>
              <w:top w:val="nil"/>
              <w:left w:val="nil"/>
              <w:bottom w:val="nil"/>
              <w:right w:val="nil"/>
            </w:tcBorders>
            <w:shd w:val="clear" w:color="auto" w:fill="auto"/>
            <w:noWrap/>
            <w:vAlign w:val="center"/>
            <w:hideMark/>
          </w:tcPr>
          <w:p w14:paraId="5955D08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1,344</w:t>
            </w:r>
          </w:p>
        </w:tc>
        <w:tc>
          <w:tcPr>
            <w:tcW w:w="850" w:type="dxa"/>
            <w:tcBorders>
              <w:top w:val="nil"/>
              <w:left w:val="nil"/>
              <w:bottom w:val="nil"/>
              <w:right w:val="nil"/>
            </w:tcBorders>
            <w:shd w:val="clear" w:color="auto" w:fill="auto"/>
            <w:noWrap/>
            <w:vAlign w:val="center"/>
            <w:hideMark/>
          </w:tcPr>
          <w:p w14:paraId="4C2D75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w:t>
            </w:r>
          </w:p>
        </w:tc>
        <w:tc>
          <w:tcPr>
            <w:tcW w:w="1051" w:type="dxa"/>
            <w:tcBorders>
              <w:top w:val="nil"/>
              <w:left w:val="nil"/>
              <w:bottom w:val="nil"/>
              <w:right w:val="nil"/>
            </w:tcBorders>
            <w:shd w:val="clear" w:color="auto" w:fill="auto"/>
            <w:noWrap/>
            <w:vAlign w:val="center"/>
            <w:hideMark/>
          </w:tcPr>
          <w:p w14:paraId="06F716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w:t>
            </w:r>
          </w:p>
        </w:tc>
        <w:tc>
          <w:tcPr>
            <w:tcW w:w="869" w:type="dxa"/>
            <w:tcBorders>
              <w:top w:val="nil"/>
              <w:left w:val="nil"/>
              <w:bottom w:val="nil"/>
              <w:right w:val="nil"/>
            </w:tcBorders>
            <w:shd w:val="clear" w:color="auto" w:fill="auto"/>
            <w:noWrap/>
            <w:vAlign w:val="center"/>
            <w:hideMark/>
          </w:tcPr>
          <w:p w14:paraId="5014C9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162</w:t>
            </w:r>
          </w:p>
        </w:tc>
        <w:tc>
          <w:tcPr>
            <w:tcW w:w="729" w:type="dxa"/>
            <w:tcBorders>
              <w:top w:val="nil"/>
              <w:left w:val="nil"/>
              <w:bottom w:val="nil"/>
              <w:right w:val="nil"/>
            </w:tcBorders>
            <w:shd w:val="clear" w:color="auto" w:fill="auto"/>
            <w:noWrap/>
            <w:vAlign w:val="center"/>
            <w:hideMark/>
          </w:tcPr>
          <w:p w14:paraId="4890C30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60</w:t>
            </w:r>
          </w:p>
        </w:tc>
        <w:tc>
          <w:tcPr>
            <w:tcW w:w="1011" w:type="dxa"/>
            <w:tcBorders>
              <w:top w:val="nil"/>
              <w:left w:val="nil"/>
              <w:bottom w:val="nil"/>
              <w:right w:val="nil"/>
            </w:tcBorders>
            <w:shd w:val="clear" w:color="auto" w:fill="auto"/>
            <w:noWrap/>
            <w:vAlign w:val="center"/>
            <w:hideMark/>
          </w:tcPr>
          <w:p w14:paraId="7497CA8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E4159B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238</w:t>
            </w:r>
          </w:p>
        </w:tc>
        <w:tc>
          <w:tcPr>
            <w:tcW w:w="1354" w:type="dxa"/>
            <w:tcBorders>
              <w:top w:val="nil"/>
              <w:left w:val="nil"/>
              <w:bottom w:val="nil"/>
              <w:right w:val="nil"/>
            </w:tcBorders>
            <w:shd w:val="clear" w:color="auto" w:fill="auto"/>
            <w:noWrap/>
            <w:vAlign w:val="center"/>
            <w:hideMark/>
          </w:tcPr>
          <w:p w14:paraId="2C1C60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454</w:t>
            </w:r>
          </w:p>
        </w:tc>
        <w:tc>
          <w:tcPr>
            <w:tcW w:w="1001" w:type="dxa"/>
            <w:tcBorders>
              <w:top w:val="nil"/>
              <w:left w:val="nil"/>
              <w:bottom w:val="nil"/>
              <w:right w:val="nil"/>
            </w:tcBorders>
            <w:shd w:val="clear" w:color="auto" w:fill="auto"/>
            <w:noWrap/>
            <w:vAlign w:val="center"/>
            <w:hideMark/>
          </w:tcPr>
          <w:p w14:paraId="57A496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w:t>
            </w:r>
          </w:p>
        </w:tc>
        <w:tc>
          <w:tcPr>
            <w:tcW w:w="992" w:type="dxa"/>
            <w:tcBorders>
              <w:top w:val="nil"/>
              <w:left w:val="nil"/>
              <w:bottom w:val="nil"/>
              <w:right w:val="nil"/>
            </w:tcBorders>
            <w:shd w:val="clear" w:color="000000" w:fill="FAADAF"/>
            <w:noWrap/>
            <w:vAlign w:val="center"/>
            <w:hideMark/>
          </w:tcPr>
          <w:p w14:paraId="6034F2C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183%</w:t>
            </w:r>
          </w:p>
        </w:tc>
      </w:tr>
      <w:tr w:rsidR="0028350E" w:rsidRPr="007364B1" w14:paraId="5863045B" w14:textId="77777777" w:rsidTr="00AA33F9">
        <w:trPr>
          <w:trHeight w:val="360"/>
        </w:trPr>
        <w:tc>
          <w:tcPr>
            <w:tcW w:w="1985" w:type="dxa"/>
            <w:tcBorders>
              <w:top w:val="nil"/>
              <w:left w:val="nil"/>
              <w:bottom w:val="nil"/>
              <w:right w:val="nil"/>
            </w:tcBorders>
            <w:shd w:val="clear" w:color="auto" w:fill="auto"/>
            <w:noWrap/>
            <w:vAlign w:val="bottom"/>
            <w:hideMark/>
          </w:tcPr>
          <w:p w14:paraId="100B509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1D1EA56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2,900</w:t>
            </w:r>
          </w:p>
        </w:tc>
        <w:tc>
          <w:tcPr>
            <w:tcW w:w="992" w:type="dxa"/>
            <w:tcBorders>
              <w:top w:val="nil"/>
              <w:left w:val="nil"/>
              <w:bottom w:val="nil"/>
              <w:right w:val="nil"/>
            </w:tcBorders>
            <w:shd w:val="clear" w:color="auto" w:fill="auto"/>
            <w:noWrap/>
            <w:vAlign w:val="center"/>
            <w:hideMark/>
          </w:tcPr>
          <w:p w14:paraId="3BBCAC1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3,259</w:t>
            </w:r>
          </w:p>
        </w:tc>
        <w:tc>
          <w:tcPr>
            <w:tcW w:w="851" w:type="dxa"/>
            <w:tcBorders>
              <w:top w:val="nil"/>
              <w:left w:val="nil"/>
              <w:bottom w:val="nil"/>
              <w:right w:val="nil"/>
            </w:tcBorders>
            <w:shd w:val="clear" w:color="000000" w:fill="FAA3A5"/>
            <w:noWrap/>
            <w:vAlign w:val="center"/>
            <w:hideMark/>
          </w:tcPr>
          <w:p w14:paraId="5022233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w:t>
            </w:r>
          </w:p>
        </w:tc>
        <w:tc>
          <w:tcPr>
            <w:tcW w:w="992" w:type="dxa"/>
            <w:tcBorders>
              <w:top w:val="nil"/>
              <w:left w:val="nil"/>
              <w:bottom w:val="nil"/>
              <w:right w:val="nil"/>
            </w:tcBorders>
            <w:shd w:val="clear" w:color="auto" w:fill="auto"/>
            <w:noWrap/>
            <w:vAlign w:val="center"/>
            <w:hideMark/>
          </w:tcPr>
          <w:p w14:paraId="48AD54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3,461</w:t>
            </w:r>
          </w:p>
        </w:tc>
        <w:tc>
          <w:tcPr>
            <w:tcW w:w="850" w:type="dxa"/>
            <w:tcBorders>
              <w:top w:val="nil"/>
              <w:left w:val="nil"/>
              <w:bottom w:val="nil"/>
              <w:right w:val="nil"/>
            </w:tcBorders>
            <w:shd w:val="clear" w:color="auto" w:fill="auto"/>
            <w:noWrap/>
            <w:vAlign w:val="center"/>
            <w:hideMark/>
          </w:tcPr>
          <w:p w14:paraId="3C93D2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397</w:t>
            </w:r>
          </w:p>
        </w:tc>
        <w:tc>
          <w:tcPr>
            <w:tcW w:w="1051" w:type="dxa"/>
            <w:tcBorders>
              <w:top w:val="nil"/>
              <w:left w:val="nil"/>
              <w:bottom w:val="nil"/>
              <w:right w:val="nil"/>
            </w:tcBorders>
            <w:shd w:val="clear" w:color="auto" w:fill="auto"/>
            <w:noWrap/>
            <w:vAlign w:val="center"/>
            <w:hideMark/>
          </w:tcPr>
          <w:p w14:paraId="0E0E56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178</w:t>
            </w:r>
          </w:p>
        </w:tc>
        <w:tc>
          <w:tcPr>
            <w:tcW w:w="869" w:type="dxa"/>
            <w:tcBorders>
              <w:top w:val="nil"/>
              <w:left w:val="nil"/>
              <w:bottom w:val="nil"/>
              <w:right w:val="nil"/>
            </w:tcBorders>
            <w:shd w:val="clear" w:color="auto" w:fill="auto"/>
            <w:noWrap/>
            <w:vAlign w:val="center"/>
            <w:hideMark/>
          </w:tcPr>
          <w:p w14:paraId="57095AF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575</w:t>
            </w:r>
          </w:p>
        </w:tc>
        <w:tc>
          <w:tcPr>
            <w:tcW w:w="729" w:type="dxa"/>
            <w:tcBorders>
              <w:top w:val="nil"/>
              <w:left w:val="nil"/>
              <w:bottom w:val="nil"/>
              <w:right w:val="nil"/>
            </w:tcBorders>
            <w:shd w:val="clear" w:color="auto" w:fill="auto"/>
            <w:noWrap/>
            <w:vAlign w:val="center"/>
            <w:hideMark/>
          </w:tcPr>
          <w:p w14:paraId="1CF483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197</w:t>
            </w:r>
          </w:p>
        </w:tc>
        <w:tc>
          <w:tcPr>
            <w:tcW w:w="1011" w:type="dxa"/>
            <w:tcBorders>
              <w:top w:val="nil"/>
              <w:left w:val="nil"/>
              <w:bottom w:val="nil"/>
              <w:right w:val="nil"/>
            </w:tcBorders>
            <w:shd w:val="clear" w:color="auto" w:fill="auto"/>
            <w:noWrap/>
            <w:vAlign w:val="center"/>
            <w:hideMark/>
          </w:tcPr>
          <w:p w14:paraId="6B5E610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EBC9E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463</w:t>
            </w:r>
          </w:p>
        </w:tc>
        <w:tc>
          <w:tcPr>
            <w:tcW w:w="1354" w:type="dxa"/>
            <w:tcBorders>
              <w:top w:val="nil"/>
              <w:left w:val="nil"/>
              <w:bottom w:val="nil"/>
              <w:right w:val="nil"/>
            </w:tcBorders>
            <w:shd w:val="clear" w:color="auto" w:fill="auto"/>
            <w:noWrap/>
            <w:vAlign w:val="center"/>
            <w:hideMark/>
          </w:tcPr>
          <w:p w14:paraId="45263D3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484</w:t>
            </w:r>
          </w:p>
        </w:tc>
        <w:tc>
          <w:tcPr>
            <w:tcW w:w="1001" w:type="dxa"/>
            <w:tcBorders>
              <w:top w:val="nil"/>
              <w:left w:val="nil"/>
              <w:bottom w:val="nil"/>
              <w:right w:val="nil"/>
            </w:tcBorders>
            <w:shd w:val="clear" w:color="auto" w:fill="auto"/>
            <w:noWrap/>
            <w:vAlign w:val="center"/>
            <w:hideMark/>
          </w:tcPr>
          <w:p w14:paraId="6706B5F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c>
          <w:tcPr>
            <w:tcW w:w="992" w:type="dxa"/>
            <w:tcBorders>
              <w:top w:val="nil"/>
              <w:left w:val="nil"/>
              <w:bottom w:val="nil"/>
              <w:right w:val="nil"/>
            </w:tcBorders>
            <w:shd w:val="clear" w:color="000000" w:fill="F4F6FC"/>
            <w:noWrap/>
            <w:vAlign w:val="center"/>
            <w:hideMark/>
          </w:tcPr>
          <w:p w14:paraId="0780199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115%</w:t>
            </w:r>
          </w:p>
        </w:tc>
      </w:tr>
      <w:tr w:rsidR="0028350E" w:rsidRPr="007364B1" w14:paraId="59176A29" w14:textId="77777777" w:rsidTr="00AA33F9">
        <w:trPr>
          <w:trHeight w:val="360"/>
        </w:trPr>
        <w:tc>
          <w:tcPr>
            <w:tcW w:w="1985" w:type="dxa"/>
            <w:tcBorders>
              <w:top w:val="nil"/>
              <w:left w:val="nil"/>
              <w:bottom w:val="nil"/>
              <w:right w:val="nil"/>
            </w:tcBorders>
            <w:shd w:val="clear" w:color="auto" w:fill="auto"/>
            <w:noWrap/>
            <w:vAlign w:val="bottom"/>
            <w:hideMark/>
          </w:tcPr>
          <w:p w14:paraId="69AB07F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615DD16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3,722</w:t>
            </w:r>
          </w:p>
        </w:tc>
        <w:tc>
          <w:tcPr>
            <w:tcW w:w="992" w:type="dxa"/>
            <w:tcBorders>
              <w:top w:val="nil"/>
              <w:left w:val="nil"/>
              <w:bottom w:val="nil"/>
              <w:right w:val="nil"/>
            </w:tcBorders>
            <w:shd w:val="clear" w:color="auto" w:fill="auto"/>
            <w:noWrap/>
            <w:vAlign w:val="center"/>
            <w:hideMark/>
          </w:tcPr>
          <w:p w14:paraId="6736E5C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4,352</w:t>
            </w:r>
          </w:p>
        </w:tc>
        <w:tc>
          <w:tcPr>
            <w:tcW w:w="851" w:type="dxa"/>
            <w:tcBorders>
              <w:top w:val="nil"/>
              <w:left w:val="nil"/>
              <w:bottom w:val="nil"/>
              <w:right w:val="nil"/>
            </w:tcBorders>
            <w:shd w:val="clear" w:color="000000" w:fill="FA9FA2"/>
            <w:noWrap/>
            <w:vAlign w:val="center"/>
            <w:hideMark/>
          </w:tcPr>
          <w:p w14:paraId="401A1E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992" w:type="dxa"/>
            <w:tcBorders>
              <w:top w:val="nil"/>
              <w:left w:val="nil"/>
              <w:bottom w:val="nil"/>
              <w:right w:val="nil"/>
            </w:tcBorders>
            <w:shd w:val="clear" w:color="auto" w:fill="auto"/>
            <w:noWrap/>
            <w:vAlign w:val="center"/>
            <w:hideMark/>
          </w:tcPr>
          <w:p w14:paraId="4512A21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4,858</w:t>
            </w:r>
          </w:p>
        </w:tc>
        <w:tc>
          <w:tcPr>
            <w:tcW w:w="850" w:type="dxa"/>
            <w:tcBorders>
              <w:top w:val="nil"/>
              <w:left w:val="nil"/>
              <w:bottom w:val="nil"/>
              <w:right w:val="nil"/>
            </w:tcBorders>
            <w:shd w:val="clear" w:color="auto" w:fill="auto"/>
            <w:noWrap/>
            <w:vAlign w:val="center"/>
            <w:hideMark/>
          </w:tcPr>
          <w:p w14:paraId="76E2611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495</w:t>
            </w:r>
          </w:p>
        </w:tc>
        <w:tc>
          <w:tcPr>
            <w:tcW w:w="1051" w:type="dxa"/>
            <w:tcBorders>
              <w:top w:val="nil"/>
              <w:left w:val="nil"/>
              <w:bottom w:val="nil"/>
              <w:right w:val="nil"/>
            </w:tcBorders>
            <w:shd w:val="clear" w:color="auto" w:fill="auto"/>
            <w:noWrap/>
            <w:vAlign w:val="center"/>
            <w:hideMark/>
          </w:tcPr>
          <w:p w14:paraId="65B49E4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208</w:t>
            </w:r>
          </w:p>
        </w:tc>
        <w:tc>
          <w:tcPr>
            <w:tcW w:w="869" w:type="dxa"/>
            <w:tcBorders>
              <w:top w:val="nil"/>
              <w:left w:val="nil"/>
              <w:bottom w:val="nil"/>
              <w:right w:val="nil"/>
            </w:tcBorders>
            <w:shd w:val="clear" w:color="auto" w:fill="auto"/>
            <w:noWrap/>
            <w:vAlign w:val="center"/>
            <w:hideMark/>
          </w:tcPr>
          <w:p w14:paraId="5D28F6A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703</w:t>
            </w:r>
          </w:p>
        </w:tc>
        <w:tc>
          <w:tcPr>
            <w:tcW w:w="729" w:type="dxa"/>
            <w:tcBorders>
              <w:top w:val="nil"/>
              <w:left w:val="nil"/>
              <w:bottom w:val="nil"/>
              <w:right w:val="nil"/>
            </w:tcBorders>
            <w:shd w:val="clear" w:color="auto" w:fill="auto"/>
            <w:noWrap/>
            <w:vAlign w:val="center"/>
            <w:hideMark/>
          </w:tcPr>
          <w:p w14:paraId="078BAEA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257</w:t>
            </w:r>
          </w:p>
        </w:tc>
        <w:tc>
          <w:tcPr>
            <w:tcW w:w="1011" w:type="dxa"/>
            <w:tcBorders>
              <w:top w:val="nil"/>
              <w:left w:val="nil"/>
              <w:bottom w:val="nil"/>
              <w:right w:val="nil"/>
            </w:tcBorders>
            <w:shd w:val="clear" w:color="auto" w:fill="auto"/>
            <w:noWrap/>
            <w:vAlign w:val="center"/>
            <w:hideMark/>
          </w:tcPr>
          <w:p w14:paraId="14B8F14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60DD14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598</w:t>
            </w:r>
          </w:p>
        </w:tc>
        <w:tc>
          <w:tcPr>
            <w:tcW w:w="1354" w:type="dxa"/>
            <w:tcBorders>
              <w:top w:val="nil"/>
              <w:left w:val="nil"/>
              <w:bottom w:val="nil"/>
              <w:right w:val="nil"/>
            </w:tcBorders>
            <w:shd w:val="clear" w:color="auto" w:fill="auto"/>
            <w:noWrap/>
            <w:vAlign w:val="center"/>
            <w:hideMark/>
          </w:tcPr>
          <w:p w14:paraId="2B2203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464</w:t>
            </w:r>
          </w:p>
        </w:tc>
        <w:tc>
          <w:tcPr>
            <w:tcW w:w="1001" w:type="dxa"/>
            <w:tcBorders>
              <w:top w:val="nil"/>
              <w:left w:val="nil"/>
              <w:bottom w:val="nil"/>
              <w:right w:val="nil"/>
            </w:tcBorders>
            <w:shd w:val="clear" w:color="auto" w:fill="auto"/>
            <w:noWrap/>
            <w:vAlign w:val="center"/>
            <w:hideMark/>
          </w:tcPr>
          <w:p w14:paraId="52F40C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129%</w:t>
            </w:r>
          </w:p>
        </w:tc>
        <w:tc>
          <w:tcPr>
            <w:tcW w:w="992" w:type="dxa"/>
            <w:tcBorders>
              <w:top w:val="nil"/>
              <w:left w:val="nil"/>
              <w:bottom w:val="nil"/>
              <w:right w:val="nil"/>
            </w:tcBorders>
            <w:shd w:val="clear" w:color="000000" w:fill="FCFBFE"/>
            <w:noWrap/>
            <w:vAlign w:val="center"/>
            <w:hideMark/>
          </w:tcPr>
          <w:p w14:paraId="77858A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122%</w:t>
            </w:r>
          </w:p>
        </w:tc>
      </w:tr>
      <w:tr w:rsidR="0028350E" w:rsidRPr="007364B1" w14:paraId="4FC6575D" w14:textId="77777777" w:rsidTr="00AA33F9">
        <w:trPr>
          <w:trHeight w:val="360"/>
        </w:trPr>
        <w:tc>
          <w:tcPr>
            <w:tcW w:w="1985" w:type="dxa"/>
            <w:tcBorders>
              <w:top w:val="nil"/>
              <w:left w:val="nil"/>
              <w:bottom w:val="nil"/>
              <w:right w:val="nil"/>
            </w:tcBorders>
            <w:shd w:val="clear" w:color="auto" w:fill="auto"/>
            <w:noWrap/>
            <w:vAlign w:val="bottom"/>
            <w:hideMark/>
          </w:tcPr>
          <w:p w14:paraId="72509E1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19CE4B4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992" w:type="dxa"/>
            <w:tcBorders>
              <w:top w:val="nil"/>
              <w:left w:val="nil"/>
              <w:bottom w:val="nil"/>
              <w:right w:val="nil"/>
            </w:tcBorders>
            <w:shd w:val="clear" w:color="auto" w:fill="auto"/>
            <w:noWrap/>
            <w:vAlign w:val="center"/>
            <w:hideMark/>
          </w:tcPr>
          <w:p w14:paraId="1A2A91C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6E272E7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702FA89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6F6446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74FF25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869" w:type="dxa"/>
            <w:tcBorders>
              <w:top w:val="nil"/>
              <w:left w:val="nil"/>
              <w:bottom w:val="nil"/>
              <w:right w:val="nil"/>
            </w:tcBorders>
            <w:shd w:val="clear" w:color="auto" w:fill="auto"/>
            <w:noWrap/>
            <w:vAlign w:val="center"/>
            <w:hideMark/>
          </w:tcPr>
          <w:p w14:paraId="7B5B5A5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w:t>
            </w:r>
          </w:p>
        </w:tc>
        <w:tc>
          <w:tcPr>
            <w:tcW w:w="729" w:type="dxa"/>
            <w:tcBorders>
              <w:top w:val="nil"/>
              <w:left w:val="nil"/>
              <w:bottom w:val="nil"/>
              <w:right w:val="nil"/>
            </w:tcBorders>
            <w:shd w:val="clear" w:color="auto" w:fill="auto"/>
            <w:noWrap/>
            <w:vAlign w:val="center"/>
            <w:hideMark/>
          </w:tcPr>
          <w:p w14:paraId="7AA555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011" w:type="dxa"/>
            <w:tcBorders>
              <w:top w:val="nil"/>
              <w:left w:val="nil"/>
              <w:bottom w:val="nil"/>
              <w:right w:val="nil"/>
            </w:tcBorders>
            <w:shd w:val="clear" w:color="auto" w:fill="auto"/>
            <w:noWrap/>
            <w:vAlign w:val="center"/>
            <w:hideMark/>
          </w:tcPr>
          <w:p w14:paraId="33D7B6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757156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1807343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1001" w:type="dxa"/>
            <w:tcBorders>
              <w:top w:val="nil"/>
              <w:left w:val="nil"/>
              <w:bottom w:val="nil"/>
              <w:right w:val="nil"/>
            </w:tcBorders>
            <w:shd w:val="clear" w:color="auto" w:fill="auto"/>
            <w:noWrap/>
            <w:vAlign w:val="center"/>
            <w:hideMark/>
          </w:tcPr>
          <w:p w14:paraId="676BD13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w:t>
            </w:r>
          </w:p>
        </w:tc>
        <w:tc>
          <w:tcPr>
            <w:tcW w:w="992" w:type="dxa"/>
            <w:tcBorders>
              <w:top w:val="nil"/>
              <w:left w:val="nil"/>
              <w:bottom w:val="nil"/>
              <w:right w:val="nil"/>
            </w:tcBorders>
            <w:shd w:val="clear" w:color="000000" w:fill="7AA0D1"/>
            <w:noWrap/>
            <w:vAlign w:val="center"/>
            <w:hideMark/>
          </w:tcPr>
          <w:p w14:paraId="2E4608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w:t>
            </w:r>
          </w:p>
        </w:tc>
      </w:tr>
      <w:tr w:rsidR="0028350E" w:rsidRPr="007364B1" w14:paraId="5A2B4BC9" w14:textId="77777777" w:rsidTr="00AA33F9">
        <w:trPr>
          <w:trHeight w:val="360"/>
        </w:trPr>
        <w:tc>
          <w:tcPr>
            <w:tcW w:w="1985" w:type="dxa"/>
            <w:tcBorders>
              <w:top w:val="nil"/>
              <w:left w:val="nil"/>
              <w:bottom w:val="nil"/>
              <w:right w:val="nil"/>
            </w:tcBorders>
            <w:shd w:val="clear" w:color="auto" w:fill="auto"/>
            <w:noWrap/>
            <w:vAlign w:val="bottom"/>
            <w:hideMark/>
          </w:tcPr>
          <w:p w14:paraId="0712782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6A995E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13,498</w:t>
            </w:r>
          </w:p>
        </w:tc>
        <w:tc>
          <w:tcPr>
            <w:tcW w:w="992" w:type="dxa"/>
            <w:tcBorders>
              <w:top w:val="nil"/>
              <w:left w:val="nil"/>
              <w:bottom w:val="nil"/>
              <w:right w:val="nil"/>
            </w:tcBorders>
            <w:shd w:val="clear" w:color="auto" w:fill="auto"/>
            <w:noWrap/>
            <w:vAlign w:val="center"/>
            <w:hideMark/>
          </w:tcPr>
          <w:p w14:paraId="18B9A3F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18,790</w:t>
            </w:r>
          </w:p>
        </w:tc>
        <w:tc>
          <w:tcPr>
            <w:tcW w:w="851" w:type="dxa"/>
            <w:tcBorders>
              <w:top w:val="nil"/>
              <w:left w:val="nil"/>
              <w:bottom w:val="nil"/>
              <w:right w:val="nil"/>
            </w:tcBorders>
            <w:shd w:val="clear" w:color="000000" w:fill="F98D90"/>
            <w:noWrap/>
            <w:vAlign w:val="center"/>
            <w:hideMark/>
          </w:tcPr>
          <w:p w14:paraId="24D3F7A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w:t>
            </w:r>
          </w:p>
        </w:tc>
        <w:tc>
          <w:tcPr>
            <w:tcW w:w="992" w:type="dxa"/>
            <w:tcBorders>
              <w:top w:val="nil"/>
              <w:left w:val="nil"/>
              <w:bottom w:val="nil"/>
              <w:right w:val="nil"/>
            </w:tcBorders>
            <w:shd w:val="clear" w:color="auto" w:fill="auto"/>
            <w:noWrap/>
            <w:vAlign w:val="center"/>
            <w:hideMark/>
          </w:tcPr>
          <w:p w14:paraId="72D068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22,614</w:t>
            </w:r>
          </w:p>
        </w:tc>
        <w:tc>
          <w:tcPr>
            <w:tcW w:w="850" w:type="dxa"/>
            <w:tcBorders>
              <w:top w:val="nil"/>
              <w:left w:val="nil"/>
              <w:bottom w:val="nil"/>
              <w:right w:val="nil"/>
            </w:tcBorders>
            <w:shd w:val="clear" w:color="auto" w:fill="auto"/>
            <w:noWrap/>
            <w:vAlign w:val="center"/>
            <w:hideMark/>
          </w:tcPr>
          <w:p w14:paraId="404AD3B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1,589</w:t>
            </w:r>
          </w:p>
        </w:tc>
        <w:tc>
          <w:tcPr>
            <w:tcW w:w="1051" w:type="dxa"/>
            <w:tcBorders>
              <w:top w:val="nil"/>
              <w:left w:val="nil"/>
              <w:bottom w:val="nil"/>
              <w:right w:val="nil"/>
            </w:tcBorders>
            <w:shd w:val="clear" w:color="auto" w:fill="auto"/>
            <w:noWrap/>
            <w:vAlign w:val="center"/>
            <w:hideMark/>
          </w:tcPr>
          <w:p w14:paraId="11A8C4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260</w:t>
            </w:r>
          </w:p>
        </w:tc>
        <w:tc>
          <w:tcPr>
            <w:tcW w:w="869" w:type="dxa"/>
            <w:tcBorders>
              <w:top w:val="nil"/>
              <w:left w:val="nil"/>
              <w:bottom w:val="nil"/>
              <w:right w:val="nil"/>
            </w:tcBorders>
            <w:shd w:val="clear" w:color="auto" w:fill="auto"/>
            <w:noWrap/>
            <w:vAlign w:val="center"/>
            <w:hideMark/>
          </w:tcPr>
          <w:p w14:paraId="127DFB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1,849</w:t>
            </w:r>
          </w:p>
        </w:tc>
        <w:tc>
          <w:tcPr>
            <w:tcW w:w="729" w:type="dxa"/>
            <w:tcBorders>
              <w:top w:val="nil"/>
              <w:left w:val="nil"/>
              <w:bottom w:val="nil"/>
              <w:right w:val="nil"/>
            </w:tcBorders>
            <w:shd w:val="clear" w:color="auto" w:fill="auto"/>
            <w:noWrap/>
            <w:vAlign w:val="center"/>
            <w:hideMark/>
          </w:tcPr>
          <w:p w14:paraId="061FC0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1,450</w:t>
            </w:r>
          </w:p>
        </w:tc>
        <w:tc>
          <w:tcPr>
            <w:tcW w:w="1011" w:type="dxa"/>
            <w:tcBorders>
              <w:top w:val="nil"/>
              <w:left w:val="nil"/>
              <w:bottom w:val="nil"/>
              <w:right w:val="nil"/>
            </w:tcBorders>
            <w:shd w:val="clear" w:color="auto" w:fill="auto"/>
            <w:noWrap/>
            <w:vAlign w:val="center"/>
            <w:hideMark/>
          </w:tcPr>
          <w:p w14:paraId="0B1C3F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5AD066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1,719</w:t>
            </w:r>
          </w:p>
        </w:tc>
        <w:tc>
          <w:tcPr>
            <w:tcW w:w="1354" w:type="dxa"/>
            <w:tcBorders>
              <w:top w:val="nil"/>
              <w:left w:val="nil"/>
              <w:bottom w:val="nil"/>
              <w:right w:val="nil"/>
            </w:tcBorders>
            <w:shd w:val="clear" w:color="auto" w:fill="auto"/>
            <w:noWrap/>
            <w:vAlign w:val="center"/>
            <w:hideMark/>
          </w:tcPr>
          <w:p w14:paraId="69DCA9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2,362</w:t>
            </w:r>
          </w:p>
        </w:tc>
        <w:tc>
          <w:tcPr>
            <w:tcW w:w="1001" w:type="dxa"/>
            <w:tcBorders>
              <w:top w:val="nil"/>
              <w:left w:val="nil"/>
              <w:bottom w:val="nil"/>
              <w:right w:val="nil"/>
            </w:tcBorders>
            <w:shd w:val="clear" w:color="auto" w:fill="auto"/>
            <w:noWrap/>
            <w:vAlign w:val="center"/>
            <w:hideMark/>
          </w:tcPr>
          <w:p w14:paraId="5153809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73%</w:t>
            </w:r>
          </w:p>
        </w:tc>
        <w:tc>
          <w:tcPr>
            <w:tcW w:w="992" w:type="dxa"/>
            <w:tcBorders>
              <w:top w:val="nil"/>
              <w:left w:val="nil"/>
              <w:bottom w:val="nil"/>
              <w:right w:val="nil"/>
            </w:tcBorders>
            <w:shd w:val="clear" w:color="000000" w:fill="FBBBBE"/>
            <w:noWrap/>
            <w:vAlign w:val="center"/>
            <w:hideMark/>
          </w:tcPr>
          <w:p w14:paraId="0B79C94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171%</w:t>
            </w:r>
          </w:p>
        </w:tc>
      </w:tr>
      <w:tr w:rsidR="0028350E" w:rsidRPr="007364B1" w14:paraId="73C03210" w14:textId="77777777" w:rsidTr="00AA33F9">
        <w:trPr>
          <w:trHeight w:val="360"/>
        </w:trPr>
        <w:tc>
          <w:tcPr>
            <w:tcW w:w="1985" w:type="dxa"/>
            <w:tcBorders>
              <w:top w:val="nil"/>
              <w:left w:val="nil"/>
              <w:bottom w:val="nil"/>
              <w:right w:val="nil"/>
            </w:tcBorders>
            <w:shd w:val="clear" w:color="auto" w:fill="auto"/>
            <w:noWrap/>
            <w:vAlign w:val="bottom"/>
            <w:hideMark/>
          </w:tcPr>
          <w:p w14:paraId="4A07313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10F6F0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1,250</w:t>
            </w:r>
          </w:p>
        </w:tc>
        <w:tc>
          <w:tcPr>
            <w:tcW w:w="992" w:type="dxa"/>
            <w:tcBorders>
              <w:top w:val="nil"/>
              <w:left w:val="nil"/>
              <w:bottom w:val="nil"/>
              <w:right w:val="nil"/>
            </w:tcBorders>
            <w:shd w:val="clear" w:color="auto" w:fill="auto"/>
            <w:noWrap/>
            <w:vAlign w:val="center"/>
            <w:hideMark/>
          </w:tcPr>
          <w:p w14:paraId="6C6604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1,305</w:t>
            </w:r>
          </w:p>
        </w:tc>
        <w:tc>
          <w:tcPr>
            <w:tcW w:w="851" w:type="dxa"/>
            <w:tcBorders>
              <w:top w:val="nil"/>
              <w:left w:val="nil"/>
              <w:bottom w:val="nil"/>
              <w:right w:val="nil"/>
            </w:tcBorders>
            <w:shd w:val="clear" w:color="000000" w:fill="FAA9AC"/>
            <w:noWrap/>
            <w:vAlign w:val="center"/>
            <w:hideMark/>
          </w:tcPr>
          <w:p w14:paraId="20C150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w:t>
            </w:r>
          </w:p>
        </w:tc>
        <w:tc>
          <w:tcPr>
            <w:tcW w:w="992" w:type="dxa"/>
            <w:tcBorders>
              <w:top w:val="nil"/>
              <w:left w:val="nil"/>
              <w:bottom w:val="nil"/>
              <w:right w:val="nil"/>
            </w:tcBorders>
            <w:shd w:val="clear" w:color="auto" w:fill="auto"/>
            <w:noWrap/>
            <w:vAlign w:val="center"/>
            <w:hideMark/>
          </w:tcPr>
          <w:p w14:paraId="33478D8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1,373</w:t>
            </w:r>
          </w:p>
        </w:tc>
        <w:tc>
          <w:tcPr>
            <w:tcW w:w="850" w:type="dxa"/>
            <w:tcBorders>
              <w:top w:val="nil"/>
              <w:left w:val="nil"/>
              <w:bottom w:val="nil"/>
              <w:right w:val="nil"/>
            </w:tcBorders>
            <w:shd w:val="clear" w:color="auto" w:fill="auto"/>
            <w:noWrap/>
            <w:vAlign w:val="center"/>
            <w:hideMark/>
          </w:tcPr>
          <w:p w14:paraId="5B0DD8D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w:t>
            </w:r>
          </w:p>
        </w:tc>
        <w:tc>
          <w:tcPr>
            <w:tcW w:w="1051" w:type="dxa"/>
            <w:tcBorders>
              <w:top w:val="nil"/>
              <w:left w:val="nil"/>
              <w:bottom w:val="nil"/>
              <w:right w:val="nil"/>
            </w:tcBorders>
            <w:shd w:val="clear" w:color="auto" w:fill="auto"/>
            <w:noWrap/>
            <w:vAlign w:val="center"/>
            <w:hideMark/>
          </w:tcPr>
          <w:p w14:paraId="3D45D8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w:t>
            </w:r>
          </w:p>
        </w:tc>
        <w:tc>
          <w:tcPr>
            <w:tcW w:w="869" w:type="dxa"/>
            <w:tcBorders>
              <w:top w:val="nil"/>
              <w:left w:val="nil"/>
              <w:bottom w:val="nil"/>
              <w:right w:val="nil"/>
            </w:tcBorders>
            <w:shd w:val="clear" w:color="auto" w:fill="auto"/>
            <w:noWrap/>
            <w:vAlign w:val="center"/>
            <w:hideMark/>
          </w:tcPr>
          <w:p w14:paraId="3B9DD8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179</w:t>
            </w:r>
          </w:p>
        </w:tc>
        <w:tc>
          <w:tcPr>
            <w:tcW w:w="729" w:type="dxa"/>
            <w:tcBorders>
              <w:top w:val="nil"/>
              <w:left w:val="nil"/>
              <w:bottom w:val="nil"/>
              <w:right w:val="nil"/>
            </w:tcBorders>
            <w:shd w:val="clear" w:color="auto" w:fill="auto"/>
            <w:noWrap/>
            <w:vAlign w:val="center"/>
            <w:hideMark/>
          </w:tcPr>
          <w:p w14:paraId="3187792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w:t>
            </w:r>
          </w:p>
        </w:tc>
        <w:tc>
          <w:tcPr>
            <w:tcW w:w="1011" w:type="dxa"/>
            <w:tcBorders>
              <w:top w:val="nil"/>
              <w:left w:val="nil"/>
              <w:bottom w:val="nil"/>
              <w:right w:val="nil"/>
            </w:tcBorders>
            <w:shd w:val="clear" w:color="auto" w:fill="auto"/>
            <w:noWrap/>
            <w:vAlign w:val="center"/>
            <w:hideMark/>
          </w:tcPr>
          <w:p w14:paraId="353F67B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C79D6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w:t>
            </w:r>
          </w:p>
        </w:tc>
        <w:tc>
          <w:tcPr>
            <w:tcW w:w="1354" w:type="dxa"/>
            <w:tcBorders>
              <w:top w:val="nil"/>
              <w:left w:val="nil"/>
              <w:bottom w:val="nil"/>
              <w:right w:val="nil"/>
            </w:tcBorders>
            <w:shd w:val="clear" w:color="auto" w:fill="auto"/>
            <w:noWrap/>
            <w:vAlign w:val="center"/>
            <w:hideMark/>
          </w:tcPr>
          <w:p w14:paraId="492DA1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142</w:t>
            </w:r>
          </w:p>
        </w:tc>
        <w:tc>
          <w:tcPr>
            <w:tcW w:w="1001" w:type="dxa"/>
            <w:tcBorders>
              <w:top w:val="nil"/>
              <w:left w:val="nil"/>
              <w:bottom w:val="nil"/>
              <w:right w:val="nil"/>
            </w:tcBorders>
            <w:shd w:val="clear" w:color="auto" w:fill="auto"/>
            <w:noWrap/>
            <w:vAlign w:val="center"/>
            <w:hideMark/>
          </w:tcPr>
          <w:p w14:paraId="76A6534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62%</w:t>
            </w:r>
          </w:p>
        </w:tc>
        <w:tc>
          <w:tcPr>
            <w:tcW w:w="992" w:type="dxa"/>
            <w:tcBorders>
              <w:top w:val="nil"/>
              <w:left w:val="nil"/>
              <w:bottom w:val="nil"/>
              <w:right w:val="nil"/>
            </w:tcBorders>
            <w:shd w:val="clear" w:color="000000" w:fill="EAEFF8"/>
            <w:noWrap/>
            <w:vAlign w:val="center"/>
            <w:hideMark/>
          </w:tcPr>
          <w:p w14:paraId="65D692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107%</w:t>
            </w:r>
          </w:p>
        </w:tc>
      </w:tr>
      <w:tr w:rsidR="0028350E" w:rsidRPr="007364B1" w14:paraId="2223C58C" w14:textId="77777777" w:rsidTr="00AA33F9">
        <w:trPr>
          <w:trHeight w:val="360"/>
        </w:trPr>
        <w:tc>
          <w:tcPr>
            <w:tcW w:w="1985" w:type="dxa"/>
            <w:tcBorders>
              <w:top w:val="nil"/>
              <w:left w:val="nil"/>
              <w:bottom w:val="nil"/>
              <w:right w:val="nil"/>
            </w:tcBorders>
            <w:shd w:val="clear" w:color="auto" w:fill="auto"/>
            <w:noWrap/>
            <w:vAlign w:val="bottom"/>
            <w:hideMark/>
          </w:tcPr>
          <w:p w14:paraId="2F4D74A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49818A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1,377</w:t>
            </w:r>
          </w:p>
        </w:tc>
        <w:tc>
          <w:tcPr>
            <w:tcW w:w="992" w:type="dxa"/>
            <w:tcBorders>
              <w:top w:val="nil"/>
              <w:left w:val="nil"/>
              <w:bottom w:val="nil"/>
              <w:right w:val="nil"/>
            </w:tcBorders>
            <w:shd w:val="clear" w:color="auto" w:fill="auto"/>
            <w:noWrap/>
            <w:vAlign w:val="center"/>
            <w:hideMark/>
          </w:tcPr>
          <w:p w14:paraId="09AA59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1,734</w:t>
            </w:r>
          </w:p>
        </w:tc>
        <w:tc>
          <w:tcPr>
            <w:tcW w:w="851" w:type="dxa"/>
            <w:tcBorders>
              <w:top w:val="nil"/>
              <w:left w:val="nil"/>
              <w:bottom w:val="nil"/>
              <w:right w:val="nil"/>
            </w:tcBorders>
            <w:shd w:val="clear" w:color="000000" w:fill="FA989A"/>
            <w:noWrap/>
            <w:vAlign w:val="center"/>
            <w:hideMark/>
          </w:tcPr>
          <w:p w14:paraId="673EA57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w:t>
            </w:r>
          </w:p>
        </w:tc>
        <w:tc>
          <w:tcPr>
            <w:tcW w:w="992" w:type="dxa"/>
            <w:tcBorders>
              <w:top w:val="nil"/>
              <w:left w:val="nil"/>
              <w:bottom w:val="nil"/>
              <w:right w:val="nil"/>
            </w:tcBorders>
            <w:shd w:val="clear" w:color="auto" w:fill="auto"/>
            <w:noWrap/>
            <w:vAlign w:val="center"/>
            <w:hideMark/>
          </w:tcPr>
          <w:p w14:paraId="695E0CA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2,006</w:t>
            </w:r>
          </w:p>
        </w:tc>
        <w:tc>
          <w:tcPr>
            <w:tcW w:w="850" w:type="dxa"/>
            <w:tcBorders>
              <w:top w:val="nil"/>
              <w:left w:val="nil"/>
              <w:bottom w:val="nil"/>
              <w:right w:val="nil"/>
            </w:tcBorders>
            <w:shd w:val="clear" w:color="auto" w:fill="auto"/>
            <w:noWrap/>
            <w:vAlign w:val="center"/>
            <w:hideMark/>
          </w:tcPr>
          <w:p w14:paraId="5819829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215</w:t>
            </w:r>
          </w:p>
        </w:tc>
        <w:tc>
          <w:tcPr>
            <w:tcW w:w="1051" w:type="dxa"/>
            <w:tcBorders>
              <w:top w:val="nil"/>
              <w:left w:val="nil"/>
              <w:bottom w:val="nil"/>
              <w:right w:val="nil"/>
            </w:tcBorders>
            <w:shd w:val="clear" w:color="auto" w:fill="auto"/>
            <w:noWrap/>
            <w:vAlign w:val="center"/>
            <w:hideMark/>
          </w:tcPr>
          <w:p w14:paraId="65B3E61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w:t>
            </w:r>
          </w:p>
        </w:tc>
        <w:tc>
          <w:tcPr>
            <w:tcW w:w="869" w:type="dxa"/>
            <w:tcBorders>
              <w:top w:val="nil"/>
              <w:left w:val="nil"/>
              <w:bottom w:val="nil"/>
              <w:right w:val="nil"/>
            </w:tcBorders>
            <w:shd w:val="clear" w:color="auto" w:fill="auto"/>
            <w:noWrap/>
            <w:vAlign w:val="center"/>
            <w:hideMark/>
          </w:tcPr>
          <w:p w14:paraId="418E2D1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253</w:t>
            </w:r>
          </w:p>
        </w:tc>
        <w:tc>
          <w:tcPr>
            <w:tcW w:w="729" w:type="dxa"/>
            <w:tcBorders>
              <w:top w:val="nil"/>
              <w:left w:val="nil"/>
              <w:bottom w:val="nil"/>
              <w:right w:val="nil"/>
            </w:tcBorders>
            <w:shd w:val="clear" w:color="auto" w:fill="auto"/>
            <w:noWrap/>
            <w:vAlign w:val="center"/>
            <w:hideMark/>
          </w:tcPr>
          <w:p w14:paraId="06656C9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w:t>
            </w:r>
          </w:p>
        </w:tc>
        <w:tc>
          <w:tcPr>
            <w:tcW w:w="1011" w:type="dxa"/>
            <w:tcBorders>
              <w:top w:val="nil"/>
              <w:left w:val="nil"/>
              <w:bottom w:val="nil"/>
              <w:right w:val="nil"/>
            </w:tcBorders>
            <w:shd w:val="clear" w:color="auto" w:fill="auto"/>
            <w:noWrap/>
            <w:vAlign w:val="center"/>
            <w:hideMark/>
          </w:tcPr>
          <w:p w14:paraId="7C0348B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508DA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249</w:t>
            </w:r>
          </w:p>
        </w:tc>
        <w:tc>
          <w:tcPr>
            <w:tcW w:w="1354" w:type="dxa"/>
            <w:tcBorders>
              <w:top w:val="nil"/>
              <w:left w:val="nil"/>
              <w:bottom w:val="nil"/>
              <w:right w:val="nil"/>
            </w:tcBorders>
            <w:shd w:val="clear" w:color="auto" w:fill="auto"/>
            <w:noWrap/>
            <w:vAlign w:val="center"/>
            <w:hideMark/>
          </w:tcPr>
          <w:p w14:paraId="5FA7314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294</w:t>
            </w:r>
          </w:p>
        </w:tc>
        <w:tc>
          <w:tcPr>
            <w:tcW w:w="1001" w:type="dxa"/>
            <w:tcBorders>
              <w:top w:val="nil"/>
              <w:left w:val="nil"/>
              <w:bottom w:val="nil"/>
              <w:right w:val="nil"/>
            </w:tcBorders>
            <w:shd w:val="clear" w:color="auto" w:fill="auto"/>
            <w:noWrap/>
            <w:vAlign w:val="center"/>
            <w:hideMark/>
          </w:tcPr>
          <w:p w14:paraId="2C1AB3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85%</w:t>
            </w:r>
          </w:p>
        </w:tc>
        <w:tc>
          <w:tcPr>
            <w:tcW w:w="992" w:type="dxa"/>
            <w:tcBorders>
              <w:top w:val="nil"/>
              <w:left w:val="nil"/>
              <w:bottom w:val="nil"/>
              <w:right w:val="nil"/>
            </w:tcBorders>
            <w:shd w:val="clear" w:color="000000" w:fill="FCEAEC"/>
            <w:noWrap/>
            <w:vAlign w:val="center"/>
            <w:hideMark/>
          </w:tcPr>
          <w:p w14:paraId="1757E61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135%</w:t>
            </w:r>
          </w:p>
        </w:tc>
      </w:tr>
      <w:tr w:rsidR="0028350E" w:rsidRPr="007364B1" w14:paraId="105D9BA6"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515E4B9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298802B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1,696</w:t>
            </w:r>
          </w:p>
        </w:tc>
        <w:tc>
          <w:tcPr>
            <w:tcW w:w="992" w:type="dxa"/>
            <w:tcBorders>
              <w:top w:val="nil"/>
              <w:left w:val="nil"/>
              <w:bottom w:val="single" w:sz="4" w:space="0" w:color="auto"/>
              <w:right w:val="nil"/>
            </w:tcBorders>
            <w:shd w:val="clear" w:color="auto" w:fill="auto"/>
            <w:noWrap/>
            <w:vAlign w:val="center"/>
            <w:hideMark/>
          </w:tcPr>
          <w:p w14:paraId="61DC9B7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1,778</w:t>
            </w:r>
          </w:p>
        </w:tc>
        <w:tc>
          <w:tcPr>
            <w:tcW w:w="851" w:type="dxa"/>
            <w:tcBorders>
              <w:top w:val="nil"/>
              <w:left w:val="nil"/>
              <w:bottom w:val="single" w:sz="4" w:space="0" w:color="auto"/>
              <w:right w:val="nil"/>
            </w:tcBorders>
            <w:shd w:val="clear" w:color="000000" w:fill="FAA9AB"/>
            <w:noWrap/>
            <w:vAlign w:val="center"/>
            <w:hideMark/>
          </w:tcPr>
          <w:p w14:paraId="6745098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w:t>
            </w:r>
          </w:p>
        </w:tc>
        <w:tc>
          <w:tcPr>
            <w:tcW w:w="992" w:type="dxa"/>
            <w:tcBorders>
              <w:top w:val="nil"/>
              <w:left w:val="nil"/>
              <w:bottom w:val="single" w:sz="4" w:space="0" w:color="auto"/>
              <w:right w:val="nil"/>
            </w:tcBorders>
            <w:shd w:val="clear" w:color="auto" w:fill="auto"/>
            <w:noWrap/>
            <w:vAlign w:val="center"/>
            <w:hideMark/>
          </w:tcPr>
          <w:p w14:paraId="5E8B966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1,939</w:t>
            </w:r>
          </w:p>
        </w:tc>
        <w:tc>
          <w:tcPr>
            <w:tcW w:w="850" w:type="dxa"/>
            <w:tcBorders>
              <w:top w:val="nil"/>
              <w:left w:val="nil"/>
              <w:bottom w:val="single" w:sz="4" w:space="0" w:color="auto"/>
              <w:right w:val="nil"/>
            </w:tcBorders>
            <w:shd w:val="clear" w:color="auto" w:fill="auto"/>
            <w:noWrap/>
            <w:vAlign w:val="center"/>
            <w:hideMark/>
          </w:tcPr>
          <w:p w14:paraId="2C169C4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203</w:t>
            </w:r>
          </w:p>
        </w:tc>
        <w:tc>
          <w:tcPr>
            <w:tcW w:w="1051" w:type="dxa"/>
            <w:tcBorders>
              <w:top w:val="nil"/>
              <w:left w:val="nil"/>
              <w:bottom w:val="single" w:sz="4" w:space="0" w:color="auto"/>
              <w:right w:val="nil"/>
            </w:tcBorders>
            <w:shd w:val="clear" w:color="auto" w:fill="auto"/>
            <w:noWrap/>
            <w:vAlign w:val="center"/>
            <w:hideMark/>
          </w:tcPr>
          <w:p w14:paraId="7A7630F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869" w:type="dxa"/>
            <w:tcBorders>
              <w:top w:val="nil"/>
              <w:left w:val="nil"/>
              <w:bottom w:val="single" w:sz="4" w:space="0" w:color="auto"/>
              <w:right w:val="nil"/>
            </w:tcBorders>
            <w:shd w:val="clear" w:color="auto" w:fill="auto"/>
            <w:noWrap/>
            <w:vAlign w:val="center"/>
            <w:hideMark/>
          </w:tcPr>
          <w:p w14:paraId="2341B0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231</w:t>
            </w:r>
          </w:p>
        </w:tc>
        <w:tc>
          <w:tcPr>
            <w:tcW w:w="729" w:type="dxa"/>
            <w:tcBorders>
              <w:top w:val="nil"/>
              <w:left w:val="nil"/>
              <w:bottom w:val="single" w:sz="4" w:space="0" w:color="auto"/>
              <w:right w:val="nil"/>
            </w:tcBorders>
            <w:shd w:val="clear" w:color="auto" w:fill="auto"/>
            <w:noWrap/>
            <w:vAlign w:val="center"/>
            <w:hideMark/>
          </w:tcPr>
          <w:p w14:paraId="2A2A60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c>
          <w:tcPr>
            <w:tcW w:w="1011" w:type="dxa"/>
            <w:tcBorders>
              <w:top w:val="nil"/>
              <w:left w:val="nil"/>
              <w:bottom w:val="single" w:sz="4" w:space="0" w:color="auto"/>
              <w:right w:val="nil"/>
            </w:tcBorders>
            <w:shd w:val="clear" w:color="auto" w:fill="auto"/>
            <w:noWrap/>
            <w:vAlign w:val="center"/>
            <w:hideMark/>
          </w:tcPr>
          <w:p w14:paraId="36BF4FA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645EEC1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132</w:t>
            </w:r>
          </w:p>
        </w:tc>
        <w:tc>
          <w:tcPr>
            <w:tcW w:w="1354" w:type="dxa"/>
            <w:tcBorders>
              <w:top w:val="nil"/>
              <w:left w:val="nil"/>
              <w:bottom w:val="single" w:sz="4" w:space="0" w:color="auto"/>
              <w:right w:val="nil"/>
            </w:tcBorders>
            <w:shd w:val="clear" w:color="auto" w:fill="auto"/>
            <w:noWrap/>
            <w:vAlign w:val="center"/>
            <w:hideMark/>
          </w:tcPr>
          <w:p w14:paraId="289514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152</w:t>
            </w:r>
          </w:p>
        </w:tc>
        <w:tc>
          <w:tcPr>
            <w:tcW w:w="1001" w:type="dxa"/>
            <w:tcBorders>
              <w:top w:val="nil"/>
              <w:left w:val="nil"/>
              <w:bottom w:val="single" w:sz="4" w:space="0" w:color="auto"/>
              <w:right w:val="nil"/>
            </w:tcBorders>
            <w:shd w:val="clear" w:color="auto" w:fill="auto"/>
            <w:noWrap/>
            <w:vAlign w:val="center"/>
            <w:hideMark/>
          </w:tcPr>
          <w:p w14:paraId="7A4C483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87%</w:t>
            </w:r>
          </w:p>
        </w:tc>
        <w:tc>
          <w:tcPr>
            <w:tcW w:w="992" w:type="dxa"/>
            <w:tcBorders>
              <w:top w:val="nil"/>
              <w:left w:val="nil"/>
              <w:bottom w:val="single" w:sz="4" w:space="0" w:color="auto"/>
              <w:right w:val="nil"/>
            </w:tcBorders>
            <w:shd w:val="clear" w:color="000000" w:fill="ECF1F9"/>
            <w:noWrap/>
            <w:vAlign w:val="center"/>
            <w:hideMark/>
          </w:tcPr>
          <w:p w14:paraId="5B7AC8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109%</w:t>
            </w:r>
          </w:p>
        </w:tc>
      </w:tr>
      <w:tr w:rsidR="0028350E" w:rsidRPr="007364B1" w14:paraId="30031F06"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7228DF1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25040AA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47,263</w:t>
            </w:r>
          </w:p>
        </w:tc>
        <w:tc>
          <w:tcPr>
            <w:tcW w:w="992" w:type="dxa"/>
            <w:tcBorders>
              <w:top w:val="nil"/>
              <w:left w:val="nil"/>
              <w:bottom w:val="single" w:sz="4" w:space="0" w:color="auto"/>
              <w:right w:val="nil"/>
            </w:tcBorders>
            <w:shd w:val="clear" w:color="auto" w:fill="auto"/>
            <w:noWrap/>
            <w:vAlign w:val="center"/>
            <w:hideMark/>
          </w:tcPr>
          <w:p w14:paraId="2719FF5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57,011</w:t>
            </w:r>
          </w:p>
        </w:tc>
        <w:tc>
          <w:tcPr>
            <w:tcW w:w="851" w:type="dxa"/>
            <w:tcBorders>
              <w:top w:val="single" w:sz="4" w:space="0" w:color="auto"/>
              <w:left w:val="nil"/>
              <w:bottom w:val="single" w:sz="4" w:space="0" w:color="auto"/>
              <w:right w:val="nil"/>
            </w:tcBorders>
            <w:shd w:val="clear" w:color="000000" w:fill="F8696B"/>
            <w:noWrap/>
            <w:vAlign w:val="center"/>
            <w:hideMark/>
          </w:tcPr>
          <w:p w14:paraId="2B656F7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w:t>
            </w:r>
          </w:p>
        </w:tc>
        <w:tc>
          <w:tcPr>
            <w:tcW w:w="992" w:type="dxa"/>
            <w:tcBorders>
              <w:top w:val="nil"/>
              <w:left w:val="nil"/>
              <w:bottom w:val="single" w:sz="4" w:space="0" w:color="auto"/>
              <w:right w:val="nil"/>
            </w:tcBorders>
            <w:shd w:val="clear" w:color="auto" w:fill="auto"/>
            <w:noWrap/>
            <w:vAlign w:val="center"/>
            <w:hideMark/>
          </w:tcPr>
          <w:p w14:paraId="6D711CC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65,122</w:t>
            </w:r>
          </w:p>
        </w:tc>
        <w:tc>
          <w:tcPr>
            <w:tcW w:w="850" w:type="dxa"/>
            <w:tcBorders>
              <w:top w:val="nil"/>
              <w:left w:val="nil"/>
              <w:bottom w:val="single" w:sz="4" w:space="0" w:color="auto"/>
              <w:right w:val="nil"/>
            </w:tcBorders>
            <w:shd w:val="clear" w:color="auto" w:fill="auto"/>
            <w:noWrap/>
            <w:vAlign w:val="center"/>
            <w:hideMark/>
          </w:tcPr>
          <w:p w14:paraId="276A49F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5,563</w:t>
            </w:r>
          </w:p>
        </w:tc>
        <w:tc>
          <w:tcPr>
            <w:tcW w:w="1051" w:type="dxa"/>
            <w:tcBorders>
              <w:top w:val="nil"/>
              <w:left w:val="nil"/>
              <w:bottom w:val="single" w:sz="4" w:space="0" w:color="auto"/>
              <w:right w:val="nil"/>
            </w:tcBorders>
            <w:shd w:val="clear" w:color="auto" w:fill="auto"/>
            <w:noWrap/>
            <w:vAlign w:val="center"/>
            <w:hideMark/>
          </w:tcPr>
          <w:p w14:paraId="33A3BDB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1,226</w:t>
            </w:r>
          </w:p>
        </w:tc>
        <w:tc>
          <w:tcPr>
            <w:tcW w:w="869" w:type="dxa"/>
            <w:tcBorders>
              <w:top w:val="nil"/>
              <w:left w:val="nil"/>
              <w:bottom w:val="single" w:sz="4" w:space="0" w:color="auto"/>
              <w:right w:val="nil"/>
            </w:tcBorders>
            <w:shd w:val="clear" w:color="auto" w:fill="auto"/>
            <w:noWrap/>
            <w:vAlign w:val="center"/>
            <w:hideMark/>
          </w:tcPr>
          <w:p w14:paraId="2BB2693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6,789</w:t>
            </w:r>
          </w:p>
        </w:tc>
        <w:tc>
          <w:tcPr>
            <w:tcW w:w="729" w:type="dxa"/>
            <w:tcBorders>
              <w:top w:val="nil"/>
              <w:left w:val="nil"/>
              <w:bottom w:val="single" w:sz="4" w:space="0" w:color="auto"/>
              <w:right w:val="nil"/>
            </w:tcBorders>
            <w:shd w:val="clear" w:color="auto" w:fill="auto"/>
            <w:noWrap/>
            <w:vAlign w:val="center"/>
            <w:hideMark/>
          </w:tcPr>
          <w:p w14:paraId="767BBC0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4,389</w:t>
            </w:r>
          </w:p>
        </w:tc>
        <w:tc>
          <w:tcPr>
            <w:tcW w:w="1011" w:type="dxa"/>
            <w:tcBorders>
              <w:top w:val="nil"/>
              <w:left w:val="nil"/>
              <w:bottom w:val="single" w:sz="4" w:space="0" w:color="auto"/>
              <w:right w:val="nil"/>
            </w:tcBorders>
            <w:shd w:val="clear" w:color="auto" w:fill="auto"/>
            <w:noWrap/>
            <w:vAlign w:val="center"/>
            <w:hideMark/>
          </w:tcPr>
          <w:p w14:paraId="03E9FA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4236B21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4,812</w:t>
            </w:r>
          </w:p>
        </w:tc>
        <w:tc>
          <w:tcPr>
            <w:tcW w:w="1354" w:type="dxa"/>
            <w:tcBorders>
              <w:top w:val="nil"/>
              <w:left w:val="nil"/>
              <w:bottom w:val="single" w:sz="4" w:space="0" w:color="auto"/>
              <w:right w:val="nil"/>
            </w:tcBorders>
            <w:shd w:val="clear" w:color="auto" w:fill="auto"/>
            <w:noWrap/>
            <w:vAlign w:val="center"/>
            <w:hideMark/>
          </w:tcPr>
          <w:p w14:paraId="475B74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6,184</w:t>
            </w:r>
          </w:p>
        </w:tc>
        <w:tc>
          <w:tcPr>
            <w:tcW w:w="1001" w:type="dxa"/>
            <w:tcBorders>
              <w:top w:val="nil"/>
              <w:left w:val="nil"/>
              <w:bottom w:val="single" w:sz="4" w:space="0" w:color="auto"/>
              <w:right w:val="nil"/>
            </w:tcBorders>
            <w:shd w:val="clear" w:color="auto" w:fill="auto"/>
            <w:noWrap/>
            <w:vAlign w:val="center"/>
            <w:hideMark/>
          </w:tcPr>
          <w:p w14:paraId="1A7DF4B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78%</w:t>
            </w:r>
          </w:p>
        </w:tc>
        <w:tc>
          <w:tcPr>
            <w:tcW w:w="992" w:type="dxa"/>
            <w:tcBorders>
              <w:top w:val="single" w:sz="4" w:space="0" w:color="auto"/>
              <w:left w:val="nil"/>
              <w:bottom w:val="single" w:sz="4" w:space="0" w:color="auto"/>
              <w:right w:val="nil"/>
            </w:tcBorders>
            <w:shd w:val="clear" w:color="000000" w:fill="FCE9EC"/>
            <w:noWrap/>
            <w:vAlign w:val="center"/>
            <w:hideMark/>
          </w:tcPr>
          <w:p w14:paraId="6D21428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136%</w:t>
            </w:r>
          </w:p>
        </w:tc>
      </w:tr>
    </w:tbl>
    <w:p w14:paraId="2BFC847F" w14:textId="77777777" w:rsidR="00AA33F9" w:rsidRDefault="00AA33F9" w:rsidP="00AA33F9">
      <w:pPr>
        <w:pStyle w:val="Tablenotesnumbers"/>
        <w:numPr>
          <w:ilvl w:val="1"/>
          <w:numId w:val="47"/>
        </w:numPr>
      </w:pPr>
      <w:r>
        <w:t>Steady state number is the sum of exits and the number aging out</w:t>
      </w:r>
    </w:p>
    <w:p w14:paraId="1173D2E8" w14:textId="77777777"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02C9F024" w14:textId="77777777" w:rsidR="0028350E" w:rsidRDefault="0028350E" w:rsidP="0028350E"/>
    <w:p w14:paraId="180E4915" w14:textId="77777777" w:rsidR="0028350E" w:rsidRDefault="0028350E" w:rsidP="00A52191">
      <w:pPr>
        <w:pStyle w:val="AppendixH3"/>
      </w:pPr>
      <w:r w:rsidRPr="009E1993">
        <w:t xml:space="preserve">Flows of participant numbers in and out of disability types, for participants aged </w:t>
      </w:r>
      <w:r>
        <w:t>55</w:t>
      </w:r>
      <w:r w:rsidRPr="009E1993">
        <w:t>-6</w:t>
      </w:r>
      <w:r>
        <w:t>4</w:t>
      </w:r>
    </w:p>
    <w:tbl>
      <w:tblPr>
        <w:tblW w:w="14515" w:type="dxa"/>
        <w:tblInd w:w="108" w:type="dxa"/>
        <w:tblLook w:val="04A0" w:firstRow="1" w:lastRow="0" w:firstColumn="1" w:lastColumn="0" w:noHBand="0" w:noVBand="1"/>
      </w:tblPr>
      <w:tblGrid>
        <w:gridCol w:w="1985"/>
        <w:gridCol w:w="884"/>
        <w:gridCol w:w="992"/>
        <w:gridCol w:w="851"/>
        <w:gridCol w:w="992"/>
        <w:gridCol w:w="850"/>
        <w:gridCol w:w="1051"/>
        <w:gridCol w:w="869"/>
        <w:gridCol w:w="710"/>
        <w:gridCol w:w="1011"/>
        <w:gridCol w:w="973"/>
        <w:gridCol w:w="1354"/>
        <w:gridCol w:w="1001"/>
        <w:gridCol w:w="992"/>
      </w:tblGrid>
      <w:tr w:rsidR="00ED2FC8" w:rsidRPr="007364B1" w14:paraId="1BFE3D94"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7716605A"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307B569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992" w:type="dxa"/>
            <w:tcBorders>
              <w:top w:val="single" w:sz="4" w:space="0" w:color="auto"/>
              <w:left w:val="nil"/>
              <w:bottom w:val="single" w:sz="4" w:space="0" w:color="auto"/>
              <w:right w:val="nil"/>
            </w:tcBorders>
            <w:shd w:val="clear" w:color="auto" w:fill="auto"/>
            <w:vAlign w:val="bottom"/>
            <w:hideMark/>
          </w:tcPr>
          <w:p w14:paraId="06B6402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18C86C84" w14:textId="2BBC02A2"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5BF7D4F3" w14:textId="1768446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4DB155AE" w14:textId="63E22D68"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2730C12A" w14:textId="28794529"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146F30A4" w14:textId="07D82B6E"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10" w:type="dxa"/>
            <w:tcBorders>
              <w:top w:val="single" w:sz="4" w:space="0" w:color="auto"/>
              <w:left w:val="nil"/>
              <w:bottom w:val="single" w:sz="4" w:space="0" w:color="auto"/>
              <w:right w:val="nil"/>
            </w:tcBorders>
            <w:shd w:val="clear" w:color="auto" w:fill="auto"/>
            <w:vAlign w:val="bottom"/>
            <w:hideMark/>
          </w:tcPr>
          <w:p w14:paraId="08A9C8E4" w14:textId="1C89CEA0"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748C86FA"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4E230ED8" w14:textId="756DBB9A"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793029">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31FD4F35" w14:textId="1ABEDE0F"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5DD47CD1"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3BC55297"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060CCA38" w14:textId="77777777" w:rsidTr="00AA33F9">
        <w:trPr>
          <w:trHeight w:val="360"/>
        </w:trPr>
        <w:tc>
          <w:tcPr>
            <w:tcW w:w="1985" w:type="dxa"/>
            <w:tcBorders>
              <w:top w:val="nil"/>
              <w:left w:val="nil"/>
              <w:bottom w:val="nil"/>
              <w:right w:val="nil"/>
            </w:tcBorders>
            <w:shd w:val="clear" w:color="auto" w:fill="auto"/>
            <w:noWrap/>
            <w:vAlign w:val="bottom"/>
            <w:hideMark/>
          </w:tcPr>
          <w:p w14:paraId="038D1EA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57DC9B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4,562</w:t>
            </w:r>
          </w:p>
        </w:tc>
        <w:tc>
          <w:tcPr>
            <w:tcW w:w="992" w:type="dxa"/>
            <w:tcBorders>
              <w:top w:val="nil"/>
              <w:left w:val="nil"/>
              <w:bottom w:val="nil"/>
              <w:right w:val="nil"/>
            </w:tcBorders>
            <w:shd w:val="clear" w:color="auto" w:fill="auto"/>
            <w:noWrap/>
            <w:vAlign w:val="center"/>
            <w:hideMark/>
          </w:tcPr>
          <w:p w14:paraId="4533DF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5,321</w:t>
            </w:r>
          </w:p>
        </w:tc>
        <w:tc>
          <w:tcPr>
            <w:tcW w:w="851" w:type="dxa"/>
            <w:tcBorders>
              <w:top w:val="nil"/>
              <w:left w:val="nil"/>
              <w:bottom w:val="nil"/>
              <w:right w:val="nil"/>
            </w:tcBorders>
            <w:shd w:val="clear" w:color="000000" w:fill="FAA5A7"/>
            <w:noWrap/>
            <w:vAlign w:val="center"/>
            <w:hideMark/>
          </w:tcPr>
          <w:p w14:paraId="721E15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992" w:type="dxa"/>
            <w:tcBorders>
              <w:top w:val="nil"/>
              <w:left w:val="nil"/>
              <w:bottom w:val="nil"/>
              <w:right w:val="nil"/>
            </w:tcBorders>
            <w:shd w:val="clear" w:color="auto" w:fill="auto"/>
            <w:noWrap/>
            <w:vAlign w:val="center"/>
            <w:hideMark/>
          </w:tcPr>
          <w:p w14:paraId="073D71B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5,466</w:t>
            </w:r>
          </w:p>
        </w:tc>
        <w:tc>
          <w:tcPr>
            <w:tcW w:w="850" w:type="dxa"/>
            <w:tcBorders>
              <w:top w:val="nil"/>
              <w:left w:val="nil"/>
              <w:bottom w:val="nil"/>
              <w:right w:val="nil"/>
            </w:tcBorders>
            <w:shd w:val="clear" w:color="auto" w:fill="auto"/>
            <w:noWrap/>
            <w:vAlign w:val="center"/>
            <w:hideMark/>
          </w:tcPr>
          <w:p w14:paraId="5B3F0F0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461</w:t>
            </w:r>
          </w:p>
        </w:tc>
        <w:tc>
          <w:tcPr>
            <w:tcW w:w="1051" w:type="dxa"/>
            <w:tcBorders>
              <w:top w:val="nil"/>
              <w:left w:val="nil"/>
              <w:bottom w:val="nil"/>
              <w:right w:val="nil"/>
            </w:tcBorders>
            <w:shd w:val="clear" w:color="auto" w:fill="auto"/>
            <w:noWrap/>
            <w:vAlign w:val="center"/>
            <w:hideMark/>
          </w:tcPr>
          <w:p w14:paraId="1D3072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209</w:t>
            </w:r>
          </w:p>
        </w:tc>
        <w:tc>
          <w:tcPr>
            <w:tcW w:w="869" w:type="dxa"/>
            <w:tcBorders>
              <w:top w:val="nil"/>
              <w:left w:val="nil"/>
              <w:bottom w:val="nil"/>
              <w:right w:val="nil"/>
            </w:tcBorders>
            <w:shd w:val="clear" w:color="auto" w:fill="auto"/>
            <w:noWrap/>
            <w:vAlign w:val="center"/>
            <w:hideMark/>
          </w:tcPr>
          <w:p w14:paraId="66994B7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670</w:t>
            </w:r>
          </w:p>
        </w:tc>
        <w:tc>
          <w:tcPr>
            <w:tcW w:w="710" w:type="dxa"/>
            <w:tcBorders>
              <w:top w:val="nil"/>
              <w:left w:val="nil"/>
              <w:bottom w:val="nil"/>
              <w:right w:val="nil"/>
            </w:tcBorders>
            <w:shd w:val="clear" w:color="auto" w:fill="auto"/>
            <w:noWrap/>
            <w:vAlign w:val="center"/>
            <w:hideMark/>
          </w:tcPr>
          <w:p w14:paraId="21F0FE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456</w:t>
            </w:r>
          </w:p>
        </w:tc>
        <w:tc>
          <w:tcPr>
            <w:tcW w:w="1011" w:type="dxa"/>
            <w:tcBorders>
              <w:top w:val="nil"/>
              <w:left w:val="nil"/>
              <w:bottom w:val="nil"/>
              <w:right w:val="nil"/>
            </w:tcBorders>
            <w:shd w:val="clear" w:color="auto" w:fill="auto"/>
            <w:noWrap/>
            <w:vAlign w:val="center"/>
            <w:hideMark/>
          </w:tcPr>
          <w:p w14:paraId="35653DA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7FA2CD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402</w:t>
            </w:r>
          </w:p>
        </w:tc>
        <w:tc>
          <w:tcPr>
            <w:tcW w:w="1354" w:type="dxa"/>
            <w:tcBorders>
              <w:top w:val="nil"/>
              <w:left w:val="nil"/>
              <w:bottom w:val="nil"/>
              <w:right w:val="nil"/>
            </w:tcBorders>
            <w:shd w:val="clear" w:color="auto" w:fill="auto"/>
            <w:noWrap/>
            <w:vAlign w:val="center"/>
            <w:hideMark/>
          </w:tcPr>
          <w:p w14:paraId="23972EC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580</w:t>
            </w:r>
          </w:p>
        </w:tc>
        <w:tc>
          <w:tcPr>
            <w:tcW w:w="1001" w:type="dxa"/>
            <w:tcBorders>
              <w:top w:val="nil"/>
              <w:left w:val="nil"/>
              <w:bottom w:val="nil"/>
              <w:right w:val="nil"/>
            </w:tcBorders>
            <w:shd w:val="clear" w:color="auto" w:fill="auto"/>
            <w:noWrap/>
            <w:vAlign w:val="center"/>
            <w:hideMark/>
          </w:tcPr>
          <w:p w14:paraId="79E9D5F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69%</w:t>
            </w:r>
          </w:p>
        </w:tc>
        <w:tc>
          <w:tcPr>
            <w:tcW w:w="992" w:type="dxa"/>
            <w:tcBorders>
              <w:top w:val="nil"/>
              <w:left w:val="nil"/>
              <w:bottom w:val="nil"/>
              <w:right w:val="nil"/>
            </w:tcBorders>
            <w:shd w:val="clear" w:color="000000" w:fill="F5F7FC"/>
            <w:noWrap/>
            <w:vAlign w:val="center"/>
            <w:hideMark/>
          </w:tcPr>
          <w:p w14:paraId="1AC155F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w:t>
            </w:r>
          </w:p>
        </w:tc>
      </w:tr>
      <w:tr w:rsidR="0028350E" w:rsidRPr="007364B1" w14:paraId="744C8AB2" w14:textId="77777777" w:rsidTr="00AA33F9">
        <w:trPr>
          <w:trHeight w:val="360"/>
        </w:trPr>
        <w:tc>
          <w:tcPr>
            <w:tcW w:w="1985" w:type="dxa"/>
            <w:tcBorders>
              <w:top w:val="nil"/>
              <w:left w:val="nil"/>
              <w:bottom w:val="nil"/>
              <w:right w:val="nil"/>
            </w:tcBorders>
            <w:shd w:val="clear" w:color="auto" w:fill="auto"/>
            <w:noWrap/>
            <w:vAlign w:val="bottom"/>
            <w:hideMark/>
          </w:tcPr>
          <w:p w14:paraId="33B66AC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782A78F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644</w:t>
            </w:r>
          </w:p>
        </w:tc>
        <w:tc>
          <w:tcPr>
            <w:tcW w:w="992" w:type="dxa"/>
            <w:tcBorders>
              <w:top w:val="nil"/>
              <w:left w:val="nil"/>
              <w:bottom w:val="nil"/>
              <w:right w:val="nil"/>
            </w:tcBorders>
            <w:shd w:val="clear" w:color="auto" w:fill="auto"/>
            <w:noWrap/>
            <w:vAlign w:val="center"/>
            <w:hideMark/>
          </w:tcPr>
          <w:p w14:paraId="106F18B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1,068</w:t>
            </w:r>
          </w:p>
        </w:tc>
        <w:tc>
          <w:tcPr>
            <w:tcW w:w="851" w:type="dxa"/>
            <w:tcBorders>
              <w:top w:val="nil"/>
              <w:left w:val="nil"/>
              <w:bottom w:val="nil"/>
              <w:right w:val="nil"/>
            </w:tcBorders>
            <w:shd w:val="clear" w:color="000000" w:fill="F98082"/>
            <w:noWrap/>
            <w:vAlign w:val="center"/>
            <w:hideMark/>
          </w:tcPr>
          <w:p w14:paraId="1114B3F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w:t>
            </w:r>
          </w:p>
        </w:tc>
        <w:tc>
          <w:tcPr>
            <w:tcW w:w="992" w:type="dxa"/>
            <w:tcBorders>
              <w:top w:val="nil"/>
              <w:left w:val="nil"/>
              <w:bottom w:val="nil"/>
              <w:right w:val="nil"/>
            </w:tcBorders>
            <w:shd w:val="clear" w:color="auto" w:fill="auto"/>
            <w:noWrap/>
            <w:vAlign w:val="center"/>
            <w:hideMark/>
          </w:tcPr>
          <w:p w14:paraId="624827F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1,674</w:t>
            </w:r>
          </w:p>
        </w:tc>
        <w:tc>
          <w:tcPr>
            <w:tcW w:w="850" w:type="dxa"/>
            <w:tcBorders>
              <w:top w:val="nil"/>
              <w:left w:val="nil"/>
              <w:bottom w:val="nil"/>
              <w:right w:val="nil"/>
            </w:tcBorders>
            <w:shd w:val="clear" w:color="auto" w:fill="auto"/>
            <w:noWrap/>
            <w:vAlign w:val="center"/>
            <w:hideMark/>
          </w:tcPr>
          <w:p w14:paraId="05326C3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w:t>
            </w:r>
          </w:p>
        </w:tc>
        <w:tc>
          <w:tcPr>
            <w:tcW w:w="1051" w:type="dxa"/>
            <w:tcBorders>
              <w:top w:val="nil"/>
              <w:left w:val="nil"/>
              <w:bottom w:val="nil"/>
              <w:right w:val="nil"/>
            </w:tcBorders>
            <w:shd w:val="clear" w:color="auto" w:fill="auto"/>
            <w:noWrap/>
            <w:vAlign w:val="center"/>
            <w:hideMark/>
          </w:tcPr>
          <w:p w14:paraId="7A6EAEB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w:t>
            </w:r>
          </w:p>
        </w:tc>
        <w:tc>
          <w:tcPr>
            <w:tcW w:w="869" w:type="dxa"/>
            <w:tcBorders>
              <w:top w:val="nil"/>
              <w:left w:val="nil"/>
              <w:bottom w:val="nil"/>
              <w:right w:val="nil"/>
            </w:tcBorders>
            <w:shd w:val="clear" w:color="auto" w:fill="auto"/>
            <w:noWrap/>
            <w:vAlign w:val="center"/>
            <w:hideMark/>
          </w:tcPr>
          <w:p w14:paraId="0331341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710" w:type="dxa"/>
            <w:tcBorders>
              <w:top w:val="nil"/>
              <w:left w:val="nil"/>
              <w:bottom w:val="nil"/>
              <w:right w:val="nil"/>
            </w:tcBorders>
            <w:shd w:val="clear" w:color="auto" w:fill="auto"/>
            <w:noWrap/>
            <w:vAlign w:val="center"/>
            <w:hideMark/>
          </w:tcPr>
          <w:p w14:paraId="11A8243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131</w:t>
            </w:r>
          </w:p>
        </w:tc>
        <w:tc>
          <w:tcPr>
            <w:tcW w:w="1011" w:type="dxa"/>
            <w:tcBorders>
              <w:top w:val="nil"/>
              <w:left w:val="nil"/>
              <w:bottom w:val="nil"/>
              <w:right w:val="nil"/>
            </w:tcBorders>
            <w:shd w:val="clear" w:color="auto" w:fill="auto"/>
            <w:noWrap/>
            <w:vAlign w:val="center"/>
            <w:hideMark/>
          </w:tcPr>
          <w:p w14:paraId="7A81D48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1C336A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w:t>
            </w:r>
          </w:p>
        </w:tc>
        <w:tc>
          <w:tcPr>
            <w:tcW w:w="1354" w:type="dxa"/>
            <w:tcBorders>
              <w:top w:val="nil"/>
              <w:left w:val="nil"/>
              <w:bottom w:val="nil"/>
              <w:right w:val="nil"/>
            </w:tcBorders>
            <w:shd w:val="clear" w:color="auto" w:fill="auto"/>
            <w:noWrap/>
            <w:vAlign w:val="center"/>
            <w:hideMark/>
          </w:tcPr>
          <w:p w14:paraId="1913946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82</w:t>
            </w:r>
          </w:p>
        </w:tc>
        <w:tc>
          <w:tcPr>
            <w:tcW w:w="1001" w:type="dxa"/>
            <w:tcBorders>
              <w:top w:val="nil"/>
              <w:left w:val="nil"/>
              <w:bottom w:val="nil"/>
              <w:right w:val="nil"/>
            </w:tcBorders>
            <w:shd w:val="clear" w:color="auto" w:fill="auto"/>
            <w:noWrap/>
            <w:vAlign w:val="center"/>
            <w:hideMark/>
          </w:tcPr>
          <w:p w14:paraId="1F3226E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w:t>
            </w:r>
          </w:p>
        </w:tc>
        <w:tc>
          <w:tcPr>
            <w:tcW w:w="992" w:type="dxa"/>
            <w:tcBorders>
              <w:top w:val="nil"/>
              <w:left w:val="nil"/>
              <w:bottom w:val="nil"/>
              <w:right w:val="nil"/>
            </w:tcBorders>
            <w:shd w:val="clear" w:color="000000" w:fill="F8696B"/>
            <w:noWrap/>
            <w:vAlign w:val="center"/>
            <w:hideMark/>
          </w:tcPr>
          <w:p w14:paraId="620BA8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263%</w:t>
            </w:r>
          </w:p>
        </w:tc>
      </w:tr>
      <w:tr w:rsidR="0028350E" w:rsidRPr="007364B1" w14:paraId="3A3A8F56" w14:textId="77777777" w:rsidTr="00AA33F9">
        <w:trPr>
          <w:trHeight w:val="360"/>
        </w:trPr>
        <w:tc>
          <w:tcPr>
            <w:tcW w:w="1985" w:type="dxa"/>
            <w:tcBorders>
              <w:top w:val="nil"/>
              <w:left w:val="nil"/>
              <w:bottom w:val="nil"/>
              <w:right w:val="nil"/>
            </w:tcBorders>
            <w:shd w:val="clear" w:color="auto" w:fill="auto"/>
            <w:noWrap/>
            <w:vAlign w:val="bottom"/>
            <w:hideMark/>
          </w:tcPr>
          <w:p w14:paraId="3771B81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20B013B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1,295</w:t>
            </w:r>
          </w:p>
        </w:tc>
        <w:tc>
          <w:tcPr>
            <w:tcW w:w="992" w:type="dxa"/>
            <w:tcBorders>
              <w:top w:val="nil"/>
              <w:left w:val="nil"/>
              <w:bottom w:val="nil"/>
              <w:right w:val="nil"/>
            </w:tcBorders>
            <w:shd w:val="clear" w:color="auto" w:fill="auto"/>
            <w:noWrap/>
            <w:vAlign w:val="center"/>
            <w:hideMark/>
          </w:tcPr>
          <w:p w14:paraId="1DF1004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1,477</w:t>
            </w:r>
          </w:p>
        </w:tc>
        <w:tc>
          <w:tcPr>
            <w:tcW w:w="851" w:type="dxa"/>
            <w:tcBorders>
              <w:top w:val="nil"/>
              <w:left w:val="nil"/>
              <w:bottom w:val="nil"/>
              <w:right w:val="nil"/>
            </w:tcBorders>
            <w:shd w:val="clear" w:color="000000" w:fill="FAA7A9"/>
            <w:noWrap/>
            <w:vAlign w:val="center"/>
            <w:hideMark/>
          </w:tcPr>
          <w:p w14:paraId="41A4E2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w:t>
            </w:r>
          </w:p>
        </w:tc>
        <w:tc>
          <w:tcPr>
            <w:tcW w:w="992" w:type="dxa"/>
            <w:tcBorders>
              <w:top w:val="nil"/>
              <w:left w:val="nil"/>
              <w:bottom w:val="nil"/>
              <w:right w:val="nil"/>
            </w:tcBorders>
            <w:shd w:val="clear" w:color="auto" w:fill="auto"/>
            <w:noWrap/>
            <w:vAlign w:val="center"/>
            <w:hideMark/>
          </w:tcPr>
          <w:p w14:paraId="6D8613F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1,660</w:t>
            </w:r>
          </w:p>
        </w:tc>
        <w:tc>
          <w:tcPr>
            <w:tcW w:w="850" w:type="dxa"/>
            <w:tcBorders>
              <w:top w:val="nil"/>
              <w:left w:val="nil"/>
              <w:bottom w:val="nil"/>
              <w:right w:val="nil"/>
            </w:tcBorders>
            <w:shd w:val="clear" w:color="auto" w:fill="auto"/>
            <w:noWrap/>
            <w:vAlign w:val="center"/>
            <w:hideMark/>
          </w:tcPr>
          <w:p w14:paraId="4BB8E45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112</w:t>
            </w:r>
          </w:p>
        </w:tc>
        <w:tc>
          <w:tcPr>
            <w:tcW w:w="1051" w:type="dxa"/>
            <w:tcBorders>
              <w:top w:val="nil"/>
              <w:left w:val="nil"/>
              <w:bottom w:val="nil"/>
              <w:right w:val="nil"/>
            </w:tcBorders>
            <w:shd w:val="clear" w:color="auto" w:fill="auto"/>
            <w:noWrap/>
            <w:vAlign w:val="center"/>
            <w:hideMark/>
          </w:tcPr>
          <w:p w14:paraId="0F1CAFF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w:t>
            </w:r>
          </w:p>
        </w:tc>
        <w:tc>
          <w:tcPr>
            <w:tcW w:w="869" w:type="dxa"/>
            <w:tcBorders>
              <w:top w:val="nil"/>
              <w:left w:val="nil"/>
              <w:bottom w:val="nil"/>
              <w:right w:val="nil"/>
            </w:tcBorders>
            <w:shd w:val="clear" w:color="auto" w:fill="auto"/>
            <w:noWrap/>
            <w:vAlign w:val="center"/>
            <w:hideMark/>
          </w:tcPr>
          <w:p w14:paraId="5A96EF0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w:t>
            </w:r>
          </w:p>
        </w:tc>
        <w:tc>
          <w:tcPr>
            <w:tcW w:w="710" w:type="dxa"/>
            <w:tcBorders>
              <w:top w:val="nil"/>
              <w:left w:val="nil"/>
              <w:bottom w:val="nil"/>
              <w:right w:val="nil"/>
            </w:tcBorders>
            <w:shd w:val="clear" w:color="auto" w:fill="auto"/>
            <w:noWrap/>
            <w:vAlign w:val="center"/>
            <w:hideMark/>
          </w:tcPr>
          <w:p w14:paraId="6B5C62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w:t>
            </w:r>
          </w:p>
        </w:tc>
        <w:tc>
          <w:tcPr>
            <w:tcW w:w="1011" w:type="dxa"/>
            <w:tcBorders>
              <w:top w:val="nil"/>
              <w:left w:val="nil"/>
              <w:bottom w:val="nil"/>
              <w:right w:val="nil"/>
            </w:tcBorders>
            <w:shd w:val="clear" w:color="auto" w:fill="auto"/>
            <w:noWrap/>
            <w:vAlign w:val="center"/>
            <w:hideMark/>
          </w:tcPr>
          <w:p w14:paraId="52348C8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500CFD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1354" w:type="dxa"/>
            <w:tcBorders>
              <w:top w:val="nil"/>
              <w:left w:val="nil"/>
              <w:bottom w:val="nil"/>
              <w:right w:val="nil"/>
            </w:tcBorders>
            <w:shd w:val="clear" w:color="auto" w:fill="auto"/>
            <w:noWrap/>
            <w:vAlign w:val="center"/>
            <w:hideMark/>
          </w:tcPr>
          <w:p w14:paraId="4B335EE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w:t>
            </w:r>
          </w:p>
        </w:tc>
        <w:tc>
          <w:tcPr>
            <w:tcW w:w="1001" w:type="dxa"/>
            <w:tcBorders>
              <w:top w:val="nil"/>
              <w:left w:val="nil"/>
              <w:bottom w:val="nil"/>
              <w:right w:val="nil"/>
            </w:tcBorders>
            <w:shd w:val="clear" w:color="auto" w:fill="auto"/>
            <w:noWrap/>
            <w:vAlign w:val="center"/>
            <w:hideMark/>
          </w:tcPr>
          <w:p w14:paraId="0CCC82F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83%</w:t>
            </w:r>
          </w:p>
        </w:tc>
        <w:tc>
          <w:tcPr>
            <w:tcW w:w="992" w:type="dxa"/>
            <w:tcBorders>
              <w:top w:val="nil"/>
              <w:left w:val="nil"/>
              <w:bottom w:val="nil"/>
              <w:right w:val="nil"/>
            </w:tcBorders>
            <w:shd w:val="clear" w:color="000000" w:fill="FCFCFF"/>
            <w:noWrap/>
            <w:vAlign w:val="center"/>
            <w:hideMark/>
          </w:tcPr>
          <w:p w14:paraId="1CC7DB7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r>
      <w:tr w:rsidR="0028350E" w:rsidRPr="007364B1" w14:paraId="641934AF" w14:textId="77777777" w:rsidTr="00AA33F9">
        <w:trPr>
          <w:trHeight w:val="360"/>
        </w:trPr>
        <w:tc>
          <w:tcPr>
            <w:tcW w:w="1985" w:type="dxa"/>
            <w:tcBorders>
              <w:top w:val="nil"/>
              <w:left w:val="nil"/>
              <w:bottom w:val="nil"/>
              <w:right w:val="nil"/>
            </w:tcBorders>
            <w:shd w:val="clear" w:color="auto" w:fill="auto"/>
            <w:noWrap/>
            <w:vAlign w:val="bottom"/>
            <w:hideMark/>
          </w:tcPr>
          <w:p w14:paraId="7399B7C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6B2CF9F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3,076</w:t>
            </w:r>
          </w:p>
        </w:tc>
        <w:tc>
          <w:tcPr>
            <w:tcW w:w="992" w:type="dxa"/>
            <w:tcBorders>
              <w:top w:val="nil"/>
              <w:left w:val="nil"/>
              <w:bottom w:val="nil"/>
              <w:right w:val="nil"/>
            </w:tcBorders>
            <w:shd w:val="clear" w:color="auto" w:fill="auto"/>
            <w:noWrap/>
            <w:vAlign w:val="center"/>
            <w:hideMark/>
          </w:tcPr>
          <w:p w14:paraId="377EE9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4,146</w:t>
            </w:r>
          </w:p>
        </w:tc>
        <w:tc>
          <w:tcPr>
            <w:tcW w:w="851" w:type="dxa"/>
            <w:tcBorders>
              <w:top w:val="nil"/>
              <w:left w:val="nil"/>
              <w:bottom w:val="nil"/>
              <w:right w:val="nil"/>
            </w:tcBorders>
            <w:shd w:val="clear" w:color="000000" w:fill="FA979A"/>
            <w:noWrap/>
            <w:vAlign w:val="center"/>
            <w:hideMark/>
          </w:tcPr>
          <w:p w14:paraId="1AC438D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w:t>
            </w:r>
          </w:p>
        </w:tc>
        <w:tc>
          <w:tcPr>
            <w:tcW w:w="992" w:type="dxa"/>
            <w:tcBorders>
              <w:top w:val="nil"/>
              <w:left w:val="nil"/>
              <w:bottom w:val="nil"/>
              <w:right w:val="nil"/>
            </w:tcBorders>
            <w:shd w:val="clear" w:color="auto" w:fill="auto"/>
            <w:noWrap/>
            <w:vAlign w:val="center"/>
            <w:hideMark/>
          </w:tcPr>
          <w:p w14:paraId="74C5739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4,757</w:t>
            </w:r>
          </w:p>
        </w:tc>
        <w:tc>
          <w:tcPr>
            <w:tcW w:w="850" w:type="dxa"/>
            <w:tcBorders>
              <w:top w:val="nil"/>
              <w:left w:val="nil"/>
              <w:bottom w:val="nil"/>
              <w:right w:val="nil"/>
            </w:tcBorders>
            <w:shd w:val="clear" w:color="auto" w:fill="auto"/>
            <w:noWrap/>
            <w:vAlign w:val="center"/>
            <w:hideMark/>
          </w:tcPr>
          <w:p w14:paraId="55F109E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344</w:t>
            </w:r>
          </w:p>
        </w:tc>
        <w:tc>
          <w:tcPr>
            <w:tcW w:w="1051" w:type="dxa"/>
            <w:tcBorders>
              <w:top w:val="nil"/>
              <w:left w:val="nil"/>
              <w:bottom w:val="nil"/>
              <w:right w:val="nil"/>
            </w:tcBorders>
            <w:shd w:val="clear" w:color="auto" w:fill="auto"/>
            <w:noWrap/>
            <w:vAlign w:val="center"/>
            <w:hideMark/>
          </w:tcPr>
          <w:p w14:paraId="1B15C1D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c>
          <w:tcPr>
            <w:tcW w:w="869" w:type="dxa"/>
            <w:tcBorders>
              <w:top w:val="nil"/>
              <w:left w:val="nil"/>
              <w:bottom w:val="nil"/>
              <w:right w:val="nil"/>
            </w:tcBorders>
            <w:shd w:val="clear" w:color="auto" w:fill="auto"/>
            <w:noWrap/>
            <w:vAlign w:val="center"/>
            <w:hideMark/>
          </w:tcPr>
          <w:p w14:paraId="2CBAA7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478</w:t>
            </w:r>
          </w:p>
        </w:tc>
        <w:tc>
          <w:tcPr>
            <w:tcW w:w="710" w:type="dxa"/>
            <w:tcBorders>
              <w:top w:val="nil"/>
              <w:left w:val="nil"/>
              <w:bottom w:val="nil"/>
              <w:right w:val="nil"/>
            </w:tcBorders>
            <w:shd w:val="clear" w:color="auto" w:fill="auto"/>
            <w:noWrap/>
            <w:vAlign w:val="center"/>
            <w:hideMark/>
          </w:tcPr>
          <w:p w14:paraId="0FB31BC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313</w:t>
            </w:r>
          </w:p>
        </w:tc>
        <w:tc>
          <w:tcPr>
            <w:tcW w:w="1011" w:type="dxa"/>
            <w:tcBorders>
              <w:top w:val="nil"/>
              <w:left w:val="nil"/>
              <w:bottom w:val="nil"/>
              <w:right w:val="nil"/>
            </w:tcBorders>
            <w:shd w:val="clear" w:color="auto" w:fill="auto"/>
            <w:noWrap/>
            <w:vAlign w:val="center"/>
            <w:hideMark/>
          </w:tcPr>
          <w:p w14:paraId="653CC9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7FEAC2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432</w:t>
            </w:r>
          </w:p>
        </w:tc>
        <w:tc>
          <w:tcPr>
            <w:tcW w:w="1354" w:type="dxa"/>
            <w:tcBorders>
              <w:top w:val="nil"/>
              <w:left w:val="nil"/>
              <w:bottom w:val="nil"/>
              <w:right w:val="nil"/>
            </w:tcBorders>
            <w:shd w:val="clear" w:color="auto" w:fill="auto"/>
            <w:noWrap/>
            <w:vAlign w:val="center"/>
            <w:hideMark/>
          </w:tcPr>
          <w:p w14:paraId="301FF23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454</w:t>
            </w:r>
          </w:p>
        </w:tc>
        <w:tc>
          <w:tcPr>
            <w:tcW w:w="1001" w:type="dxa"/>
            <w:tcBorders>
              <w:top w:val="nil"/>
              <w:left w:val="nil"/>
              <w:bottom w:val="nil"/>
              <w:right w:val="nil"/>
            </w:tcBorders>
            <w:shd w:val="clear" w:color="auto" w:fill="auto"/>
            <w:noWrap/>
            <w:vAlign w:val="center"/>
            <w:hideMark/>
          </w:tcPr>
          <w:p w14:paraId="549D21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95%</w:t>
            </w:r>
          </w:p>
        </w:tc>
        <w:tc>
          <w:tcPr>
            <w:tcW w:w="992" w:type="dxa"/>
            <w:tcBorders>
              <w:top w:val="nil"/>
              <w:left w:val="nil"/>
              <w:bottom w:val="nil"/>
              <w:right w:val="nil"/>
            </w:tcBorders>
            <w:shd w:val="clear" w:color="000000" w:fill="FCE3E6"/>
            <w:noWrap/>
            <w:vAlign w:val="center"/>
            <w:hideMark/>
          </w:tcPr>
          <w:p w14:paraId="2B22761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156%</w:t>
            </w:r>
          </w:p>
        </w:tc>
      </w:tr>
      <w:tr w:rsidR="0028350E" w:rsidRPr="007364B1" w14:paraId="792FF8FE" w14:textId="77777777" w:rsidTr="00AA33F9">
        <w:trPr>
          <w:trHeight w:val="360"/>
        </w:trPr>
        <w:tc>
          <w:tcPr>
            <w:tcW w:w="1985" w:type="dxa"/>
            <w:tcBorders>
              <w:top w:val="nil"/>
              <w:left w:val="nil"/>
              <w:bottom w:val="nil"/>
              <w:right w:val="nil"/>
            </w:tcBorders>
            <w:shd w:val="clear" w:color="auto" w:fill="auto"/>
            <w:noWrap/>
            <w:vAlign w:val="bottom"/>
            <w:hideMark/>
          </w:tcPr>
          <w:p w14:paraId="3606FFB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458D80D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8,951</w:t>
            </w:r>
          </w:p>
        </w:tc>
        <w:tc>
          <w:tcPr>
            <w:tcW w:w="992" w:type="dxa"/>
            <w:tcBorders>
              <w:top w:val="nil"/>
              <w:left w:val="nil"/>
              <w:bottom w:val="nil"/>
              <w:right w:val="nil"/>
            </w:tcBorders>
            <w:shd w:val="clear" w:color="auto" w:fill="auto"/>
            <w:noWrap/>
            <w:vAlign w:val="center"/>
            <w:hideMark/>
          </w:tcPr>
          <w:p w14:paraId="6093FAF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9,887</w:t>
            </w:r>
          </w:p>
        </w:tc>
        <w:tc>
          <w:tcPr>
            <w:tcW w:w="851" w:type="dxa"/>
            <w:tcBorders>
              <w:top w:val="nil"/>
              <w:left w:val="nil"/>
              <w:bottom w:val="nil"/>
              <w:right w:val="nil"/>
            </w:tcBorders>
            <w:shd w:val="clear" w:color="000000" w:fill="FAAAAC"/>
            <w:noWrap/>
            <w:vAlign w:val="center"/>
            <w:hideMark/>
          </w:tcPr>
          <w:p w14:paraId="280FA72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w:t>
            </w:r>
          </w:p>
        </w:tc>
        <w:tc>
          <w:tcPr>
            <w:tcW w:w="992" w:type="dxa"/>
            <w:tcBorders>
              <w:top w:val="nil"/>
              <w:left w:val="nil"/>
              <w:bottom w:val="nil"/>
              <w:right w:val="nil"/>
            </w:tcBorders>
            <w:shd w:val="clear" w:color="auto" w:fill="auto"/>
            <w:noWrap/>
            <w:vAlign w:val="center"/>
            <w:hideMark/>
          </w:tcPr>
          <w:p w14:paraId="7B8D543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10,435</w:t>
            </w:r>
          </w:p>
        </w:tc>
        <w:tc>
          <w:tcPr>
            <w:tcW w:w="850" w:type="dxa"/>
            <w:tcBorders>
              <w:top w:val="nil"/>
              <w:left w:val="nil"/>
              <w:bottom w:val="nil"/>
              <w:right w:val="nil"/>
            </w:tcBorders>
            <w:shd w:val="clear" w:color="auto" w:fill="auto"/>
            <w:noWrap/>
            <w:vAlign w:val="center"/>
            <w:hideMark/>
          </w:tcPr>
          <w:p w14:paraId="77E3DCC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772</w:t>
            </w:r>
          </w:p>
        </w:tc>
        <w:tc>
          <w:tcPr>
            <w:tcW w:w="1051" w:type="dxa"/>
            <w:tcBorders>
              <w:top w:val="nil"/>
              <w:left w:val="nil"/>
              <w:bottom w:val="nil"/>
              <w:right w:val="nil"/>
            </w:tcBorders>
            <w:shd w:val="clear" w:color="auto" w:fill="auto"/>
            <w:noWrap/>
            <w:vAlign w:val="center"/>
            <w:hideMark/>
          </w:tcPr>
          <w:p w14:paraId="7B98A2D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295</w:t>
            </w:r>
          </w:p>
        </w:tc>
        <w:tc>
          <w:tcPr>
            <w:tcW w:w="869" w:type="dxa"/>
            <w:tcBorders>
              <w:top w:val="nil"/>
              <w:left w:val="nil"/>
              <w:bottom w:val="nil"/>
              <w:right w:val="nil"/>
            </w:tcBorders>
            <w:shd w:val="clear" w:color="auto" w:fill="auto"/>
            <w:noWrap/>
            <w:vAlign w:val="center"/>
            <w:hideMark/>
          </w:tcPr>
          <w:p w14:paraId="29AB098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1,066</w:t>
            </w:r>
          </w:p>
        </w:tc>
        <w:tc>
          <w:tcPr>
            <w:tcW w:w="710" w:type="dxa"/>
            <w:tcBorders>
              <w:top w:val="nil"/>
              <w:left w:val="nil"/>
              <w:bottom w:val="nil"/>
              <w:right w:val="nil"/>
            </w:tcBorders>
            <w:shd w:val="clear" w:color="auto" w:fill="auto"/>
            <w:noWrap/>
            <w:vAlign w:val="center"/>
            <w:hideMark/>
          </w:tcPr>
          <w:p w14:paraId="2198BB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1,033</w:t>
            </w:r>
          </w:p>
        </w:tc>
        <w:tc>
          <w:tcPr>
            <w:tcW w:w="1011" w:type="dxa"/>
            <w:tcBorders>
              <w:top w:val="nil"/>
              <w:left w:val="nil"/>
              <w:bottom w:val="nil"/>
              <w:right w:val="nil"/>
            </w:tcBorders>
            <w:shd w:val="clear" w:color="auto" w:fill="auto"/>
            <w:noWrap/>
            <w:vAlign w:val="center"/>
            <w:hideMark/>
          </w:tcPr>
          <w:p w14:paraId="7B5D562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6BF8C7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265</w:t>
            </w:r>
          </w:p>
        </w:tc>
        <w:tc>
          <w:tcPr>
            <w:tcW w:w="1354" w:type="dxa"/>
            <w:tcBorders>
              <w:top w:val="nil"/>
              <w:left w:val="nil"/>
              <w:bottom w:val="nil"/>
              <w:right w:val="nil"/>
            </w:tcBorders>
            <w:shd w:val="clear" w:color="auto" w:fill="auto"/>
            <w:noWrap/>
            <w:vAlign w:val="center"/>
            <w:hideMark/>
          </w:tcPr>
          <w:p w14:paraId="3D7C407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356</w:t>
            </w:r>
          </w:p>
        </w:tc>
        <w:tc>
          <w:tcPr>
            <w:tcW w:w="1001" w:type="dxa"/>
            <w:tcBorders>
              <w:top w:val="nil"/>
              <w:left w:val="nil"/>
              <w:bottom w:val="nil"/>
              <w:right w:val="nil"/>
            </w:tcBorders>
            <w:shd w:val="clear" w:color="auto" w:fill="auto"/>
            <w:noWrap/>
            <w:vAlign w:val="center"/>
            <w:hideMark/>
          </w:tcPr>
          <w:p w14:paraId="62C1040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74%</w:t>
            </w:r>
          </w:p>
        </w:tc>
        <w:tc>
          <w:tcPr>
            <w:tcW w:w="992" w:type="dxa"/>
            <w:tcBorders>
              <w:top w:val="nil"/>
              <w:left w:val="nil"/>
              <w:bottom w:val="nil"/>
              <w:right w:val="nil"/>
            </w:tcBorders>
            <w:shd w:val="clear" w:color="000000" w:fill="ECF0F9"/>
            <w:noWrap/>
            <w:vAlign w:val="center"/>
            <w:hideMark/>
          </w:tcPr>
          <w:p w14:paraId="21C40CE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122%</w:t>
            </w:r>
          </w:p>
        </w:tc>
      </w:tr>
      <w:tr w:rsidR="0028350E" w:rsidRPr="007364B1" w14:paraId="165DCA89" w14:textId="77777777" w:rsidTr="00AA33F9">
        <w:trPr>
          <w:trHeight w:val="360"/>
        </w:trPr>
        <w:tc>
          <w:tcPr>
            <w:tcW w:w="1985" w:type="dxa"/>
            <w:tcBorders>
              <w:top w:val="nil"/>
              <w:left w:val="nil"/>
              <w:bottom w:val="nil"/>
              <w:right w:val="nil"/>
            </w:tcBorders>
            <w:shd w:val="clear" w:color="auto" w:fill="auto"/>
            <w:noWrap/>
            <w:vAlign w:val="bottom"/>
            <w:hideMark/>
          </w:tcPr>
          <w:p w14:paraId="40702AE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2A299DE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3,229</w:t>
            </w:r>
          </w:p>
        </w:tc>
        <w:tc>
          <w:tcPr>
            <w:tcW w:w="992" w:type="dxa"/>
            <w:tcBorders>
              <w:top w:val="nil"/>
              <w:left w:val="nil"/>
              <w:bottom w:val="nil"/>
              <w:right w:val="nil"/>
            </w:tcBorders>
            <w:shd w:val="clear" w:color="auto" w:fill="auto"/>
            <w:noWrap/>
            <w:vAlign w:val="center"/>
            <w:hideMark/>
          </w:tcPr>
          <w:p w14:paraId="199C83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3,830</w:t>
            </w:r>
          </w:p>
        </w:tc>
        <w:tc>
          <w:tcPr>
            <w:tcW w:w="851" w:type="dxa"/>
            <w:tcBorders>
              <w:top w:val="nil"/>
              <w:left w:val="nil"/>
              <w:bottom w:val="nil"/>
              <w:right w:val="nil"/>
            </w:tcBorders>
            <w:shd w:val="clear" w:color="000000" w:fill="FAA4A6"/>
            <w:noWrap/>
            <w:vAlign w:val="center"/>
            <w:hideMark/>
          </w:tcPr>
          <w:p w14:paraId="245BC65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w:t>
            </w:r>
          </w:p>
        </w:tc>
        <w:tc>
          <w:tcPr>
            <w:tcW w:w="992" w:type="dxa"/>
            <w:tcBorders>
              <w:top w:val="nil"/>
              <w:left w:val="nil"/>
              <w:bottom w:val="nil"/>
              <w:right w:val="nil"/>
            </w:tcBorders>
            <w:shd w:val="clear" w:color="auto" w:fill="auto"/>
            <w:noWrap/>
            <w:vAlign w:val="center"/>
            <w:hideMark/>
          </w:tcPr>
          <w:p w14:paraId="6FD5AC4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4,190</w:t>
            </w:r>
          </w:p>
        </w:tc>
        <w:tc>
          <w:tcPr>
            <w:tcW w:w="850" w:type="dxa"/>
            <w:tcBorders>
              <w:top w:val="nil"/>
              <w:left w:val="nil"/>
              <w:bottom w:val="nil"/>
              <w:right w:val="nil"/>
            </w:tcBorders>
            <w:shd w:val="clear" w:color="auto" w:fill="auto"/>
            <w:noWrap/>
            <w:vAlign w:val="center"/>
            <w:hideMark/>
          </w:tcPr>
          <w:p w14:paraId="73403A5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340</w:t>
            </w:r>
          </w:p>
        </w:tc>
        <w:tc>
          <w:tcPr>
            <w:tcW w:w="1051" w:type="dxa"/>
            <w:tcBorders>
              <w:top w:val="nil"/>
              <w:left w:val="nil"/>
              <w:bottom w:val="nil"/>
              <w:right w:val="nil"/>
            </w:tcBorders>
            <w:shd w:val="clear" w:color="auto" w:fill="auto"/>
            <w:noWrap/>
            <w:vAlign w:val="center"/>
            <w:hideMark/>
          </w:tcPr>
          <w:p w14:paraId="020A641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w:t>
            </w:r>
          </w:p>
        </w:tc>
        <w:tc>
          <w:tcPr>
            <w:tcW w:w="869" w:type="dxa"/>
            <w:tcBorders>
              <w:top w:val="nil"/>
              <w:left w:val="nil"/>
              <w:bottom w:val="nil"/>
              <w:right w:val="nil"/>
            </w:tcBorders>
            <w:shd w:val="clear" w:color="auto" w:fill="auto"/>
            <w:noWrap/>
            <w:vAlign w:val="center"/>
            <w:hideMark/>
          </w:tcPr>
          <w:p w14:paraId="63AE63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406</w:t>
            </w:r>
          </w:p>
        </w:tc>
        <w:tc>
          <w:tcPr>
            <w:tcW w:w="710" w:type="dxa"/>
            <w:tcBorders>
              <w:top w:val="nil"/>
              <w:left w:val="nil"/>
              <w:bottom w:val="nil"/>
              <w:right w:val="nil"/>
            </w:tcBorders>
            <w:shd w:val="clear" w:color="auto" w:fill="auto"/>
            <w:noWrap/>
            <w:vAlign w:val="center"/>
            <w:hideMark/>
          </w:tcPr>
          <w:p w14:paraId="341AD9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302</w:t>
            </w:r>
          </w:p>
        </w:tc>
        <w:tc>
          <w:tcPr>
            <w:tcW w:w="1011" w:type="dxa"/>
            <w:tcBorders>
              <w:top w:val="nil"/>
              <w:left w:val="nil"/>
              <w:bottom w:val="nil"/>
              <w:right w:val="nil"/>
            </w:tcBorders>
            <w:shd w:val="clear" w:color="auto" w:fill="auto"/>
            <w:noWrap/>
            <w:vAlign w:val="center"/>
            <w:hideMark/>
          </w:tcPr>
          <w:p w14:paraId="0511CE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7263F6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253</w:t>
            </w:r>
          </w:p>
        </w:tc>
        <w:tc>
          <w:tcPr>
            <w:tcW w:w="1354" w:type="dxa"/>
            <w:tcBorders>
              <w:top w:val="nil"/>
              <w:left w:val="nil"/>
              <w:bottom w:val="nil"/>
              <w:right w:val="nil"/>
            </w:tcBorders>
            <w:shd w:val="clear" w:color="auto" w:fill="auto"/>
            <w:noWrap/>
            <w:vAlign w:val="center"/>
            <w:hideMark/>
          </w:tcPr>
          <w:p w14:paraId="315BB4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328</w:t>
            </w:r>
          </w:p>
        </w:tc>
        <w:tc>
          <w:tcPr>
            <w:tcW w:w="1001" w:type="dxa"/>
            <w:tcBorders>
              <w:top w:val="nil"/>
              <w:left w:val="nil"/>
              <w:bottom w:val="nil"/>
              <w:right w:val="nil"/>
            </w:tcBorders>
            <w:shd w:val="clear" w:color="auto" w:fill="auto"/>
            <w:noWrap/>
            <w:vAlign w:val="center"/>
            <w:hideMark/>
          </w:tcPr>
          <w:p w14:paraId="2635E5E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77%</w:t>
            </w:r>
          </w:p>
        </w:tc>
        <w:tc>
          <w:tcPr>
            <w:tcW w:w="992" w:type="dxa"/>
            <w:tcBorders>
              <w:top w:val="nil"/>
              <w:left w:val="nil"/>
              <w:bottom w:val="nil"/>
              <w:right w:val="nil"/>
            </w:tcBorders>
            <w:shd w:val="clear" w:color="000000" w:fill="FCF8FB"/>
            <w:noWrap/>
            <w:vAlign w:val="center"/>
            <w:hideMark/>
          </w:tcPr>
          <w:p w14:paraId="7CC115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137%</w:t>
            </w:r>
          </w:p>
        </w:tc>
      </w:tr>
      <w:tr w:rsidR="0028350E" w:rsidRPr="007364B1" w14:paraId="464D843E" w14:textId="77777777" w:rsidTr="00AA33F9">
        <w:trPr>
          <w:trHeight w:val="360"/>
        </w:trPr>
        <w:tc>
          <w:tcPr>
            <w:tcW w:w="1985" w:type="dxa"/>
            <w:tcBorders>
              <w:top w:val="nil"/>
              <w:left w:val="nil"/>
              <w:bottom w:val="nil"/>
              <w:right w:val="nil"/>
            </w:tcBorders>
            <w:shd w:val="clear" w:color="auto" w:fill="auto"/>
            <w:noWrap/>
            <w:vAlign w:val="bottom"/>
            <w:hideMark/>
          </w:tcPr>
          <w:p w14:paraId="272FA85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6A59B86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992" w:type="dxa"/>
            <w:tcBorders>
              <w:top w:val="nil"/>
              <w:left w:val="nil"/>
              <w:bottom w:val="nil"/>
              <w:right w:val="nil"/>
            </w:tcBorders>
            <w:shd w:val="clear" w:color="auto" w:fill="auto"/>
            <w:noWrap/>
            <w:vAlign w:val="center"/>
            <w:hideMark/>
          </w:tcPr>
          <w:p w14:paraId="0F04BE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43FFE3D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4AD48AB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56DB7A7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3CF6AA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5DEE7D3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w:t>
            </w:r>
          </w:p>
        </w:tc>
        <w:tc>
          <w:tcPr>
            <w:tcW w:w="710" w:type="dxa"/>
            <w:tcBorders>
              <w:top w:val="nil"/>
              <w:left w:val="nil"/>
              <w:bottom w:val="nil"/>
              <w:right w:val="nil"/>
            </w:tcBorders>
            <w:shd w:val="clear" w:color="auto" w:fill="auto"/>
            <w:noWrap/>
            <w:vAlign w:val="center"/>
            <w:hideMark/>
          </w:tcPr>
          <w:p w14:paraId="2145AB2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08C2BA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1850B9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581A4D6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04189FC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3FB60E4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w:t>
            </w:r>
          </w:p>
        </w:tc>
      </w:tr>
      <w:tr w:rsidR="0028350E" w:rsidRPr="007364B1" w14:paraId="39E6334F" w14:textId="77777777" w:rsidTr="00AA33F9">
        <w:trPr>
          <w:trHeight w:val="360"/>
        </w:trPr>
        <w:tc>
          <w:tcPr>
            <w:tcW w:w="1985" w:type="dxa"/>
            <w:tcBorders>
              <w:top w:val="nil"/>
              <w:left w:val="nil"/>
              <w:bottom w:val="nil"/>
              <w:right w:val="nil"/>
            </w:tcBorders>
            <w:shd w:val="clear" w:color="auto" w:fill="auto"/>
            <w:noWrap/>
            <w:vAlign w:val="bottom"/>
            <w:hideMark/>
          </w:tcPr>
          <w:p w14:paraId="26D713F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2424E11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1,342</w:t>
            </w:r>
          </w:p>
        </w:tc>
        <w:tc>
          <w:tcPr>
            <w:tcW w:w="992" w:type="dxa"/>
            <w:tcBorders>
              <w:top w:val="nil"/>
              <w:left w:val="nil"/>
              <w:bottom w:val="nil"/>
              <w:right w:val="nil"/>
            </w:tcBorders>
            <w:shd w:val="clear" w:color="auto" w:fill="auto"/>
            <w:noWrap/>
            <w:vAlign w:val="center"/>
            <w:hideMark/>
          </w:tcPr>
          <w:p w14:paraId="35DBEF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2,632</w:t>
            </w:r>
          </w:p>
        </w:tc>
        <w:tc>
          <w:tcPr>
            <w:tcW w:w="851" w:type="dxa"/>
            <w:tcBorders>
              <w:top w:val="nil"/>
              <w:left w:val="nil"/>
              <w:bottom w:val="nil"/>
              <w:right w:val="nil"/>
            </w:tcBorders>
            <w:shd w:val="clear" w:color="000000" w:fill="F8696B"/>
            <w:noWrap/>
            <w:vAlign w:val="center"/>
            <w:hideMark/>
          </w:tcPr>
          <w:p w14:paraId="5179E17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+96%</w:t>
            </w:r>
          </w:p>
        </w:tc>
        <w:tc>
          <w:tcPr>
            <w:tcW w:w="992" w:type="dxa"/>
            <w:tcBorders>
              <w:top w:val="nil"/>
              <w:left w:val="nil"/>
              <w:bottom w:val="nil"/>
              <w:right w:val="nil"/>
            </w:tcBorders>
            <w:shd w:val="clear" w:color="auto" w:fill="auto"/>
            <w:noWrap/>
            <w:vAlign w:val="center"/>
            <w:hideMark/>
          </w:tcPr>
          <w:p w14:paraId="4BCAFA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3,133</w:t>
            </w:r>
          </w:p>
        </w:tc>
        <w:tc>
          <w:tcPr>
            <w:tcW w:w="850" w:type="dxa"/>
            <w:tcBorders>
              <w:top w:val="nil"/>
              <w:left w:val="nil"/>
              <w:bottom w:val="nil"/>
              <w:right w:val="nil"/>
            </w:tcBorders>
            <w:shd w:val="clear" w:color="auto" w:fill="auto"/>
            <w:noWrap/>
            <w:vAlign w:val="center"/>
            <w:hideMark/>
          </w:tcPr>
          <w:p w14:paraId="4506639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261</w:t>
            </w:r>
          </w:p>
        </w:tc>
        <w:tc>
          <w:tcPr>
            <w:tcW w:w="1051" w:type="dxa"/>
            <w:tcBorders>
              <w:top w:val="nil"/>
              <w:left w:val="nil"/>
              <w:bottom w:val="nil"/>
              <w:right w:val="nil"/>
            </w:tcBorders>
            <w:shd w:val="clear" w:color="auto" w:fill="auto"/>
            <w:noWrap/>
            <w:vAlign w:val="center"/>
            <w:hideMark/>
          </w:tcPr>
          <w:p w14:paraId="2128B03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118</w:t>
            </w:r>
          </w:p>
        </w:tc>
        <w:tc>
          <w:tcPr>
            <w:tcW w:w="869" w:type="dxa"/>
            <w:tcBorders>
              <w:top w:val="nil"/>
              <w:left w:val="nil"/>
              <w:bottom w:val="nil"/>
              <w:right w:val="nil"/>
            </w:tcBorders>
            <w:shd w:val="clear" w:color="auto" w:fill="auto"/>
            <w:noWrap/>
            <w:vAlign w:val="center"/>
            <w:hideMark/>
          </w:tcPr>
          <w:p w14:paraId="30FD059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379</w:t>
            </w:r>
          </w:p>
        </w:tc>
        <w:tc>
          <w:tcPr>
            <w:tcW w:w="710" w:type="dxa"/>
            <w:tcBorders>
              <w:top w:val="nil"/>
              <w:left w:val="nil"/>
              <w:bottom w:val="nil"/>
              <w:right w:val="nil"/>
            </w:tcBorders>
            <w:shd w:val="clear" w:color="auto" w:fill="auto"/>
            <w:noWrap/>
            <w:vAlign w:val="center"/>
            <w:hideMark/>
          </w:tcPr>
          <w:p w14:paraId="75CB98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w:t>
            </w:r>
          </w:p>
        </w:tc>
        <w:tc>
          <w:tcPr>
            <w:tcW w:w="1011" w:type="dxa"/>
            <w:tcBorders>
              <w:top w:val="nil"/>
              <w:left w:val="nil"/>
              <w:bottom w:val="nil"/>
              <w:right w:val="nil"/>
            </w:tcBorders>
            <w:shd w:val="clear" w:color="auto" w:fill="auto"/>
            <w:noWrap/>
            <w:vAlign w:val="center"/>
            <w:hideMark/>
          </w:tcPr>
          <w:p w14:paraId="1EB3520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05F0CB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576</w:t>
            </w:r>
          </w:p>
        </w:tc>
        <w:tc>
          <w:tcPr>
            <w:tcW w:w="1354" w:type="dxa"/>
            <w:tcBorders>
              <w:top w:val="nil"/>
              <w:left w:val="nil"/>
              <w:bottom w:val="nil"/>
              <w:right w:val="nil"/>
            </w:tcBorders>
            <w:shd w:val="clear" w:color="auto" w:fill="auto"/>
            <w:noWrap/>
            <w:vAlign w:val="center"/>
            <w:hideMark/>
          </w:tcPr>
          <w:p w14:paraId="3976D1F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922</w:t>
            </w:r>
          </w:p>
        </w:tc>
        <w:tc>
          <w:tcPr>
            <w:tcW w:w="1001" w:type="dxa"/>
            <w:tcBorders>
              <w:top w:val="nil"/>
              <w:left w:val="nil"/>
              <w:bottom w:val="nil"/>
              <w:right w:val="nil"/>
            </w:tcBorders>
            <w:shd w:val="clear" w:color="auto" w:fill="auto"/>
            <w:noWrap/>
            <w:vAlign w:val="center"/>
            <w:hideMark/>
          </w:tcPr>
          <w:p w14:paraId="1E60FD1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w:t>
            </w:r>
          </w:p>
        </w:tc>
        <w:tc>
          <w:tcPr>
            <w:tcW w:w="992" w:type="dxa"/>
            <w:tcBorders>
              <w:top w:val="nil"/>
              <w:left w:val="nil"/>
              <w:bottom w:val="nil"/>
              <w:right w:val="nil"/>
            </w:tcBorders>
            <w:shd w:val="clear" w:color="000000" w:fill="FBC3C5"/>
            <w:noWrap/>
            <w:vAlign w:val="center"/>
            <w:hideMark/>
          </w:tcPr>
          <w:p w14:paraId="09DB37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184%</w:t>
            </w:r>
          </w:p>
        </w:tc>
      </w:tr>
      <w:tr w:rsidR="0028350E" w:rsidRPr="007364B1" w14:paraId="3700CA8C" w14:textId="77777777" w:rsidTr="00AA33F9">
        <w:trPr>
          <w:trHeight w:val="360"/>
        </w:trPr>
        <w:tc>
          <w:tcPr>
            <w:tcW w:w="1985" w:type="dxa"/>
            <w:tcBorders>
              <w:top w:val="nil"/>
              <w:left w:val="nil"/>
              <w:bottom w:val="nil"/>
              <w:right w:val="nil"/>
            </w:tcBorders>
            <w:shd w:val="clear" w:color="auto" w:fill="auto"/>
            <w:noWrap/>
            <w:vAlign w:val="bottom"/>
            <w:hideMark/>
          </w:tcPr>
          <w:p w14:paraId="4F4B347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1328A01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6,681</w:t>
            </w:r>
          </w:p>
        </w:tc>
        <w:tc>
          <w:tcPr>
            <w:tcW w:w="992" w:type="dxa"/>
            <w:tcBorders>
              <w:top w:val="nil"/>
              <w:left w:val="nil"/>
              <w:bottom w:val="nil"/>
              <w:right w:val="nil"/>
            </w:tcBorders>
            <w:shd w:val="clear" w:color="auto" w:fill="auto"/>
            <w:noWrap/>
            <w:vAlign w:val="center"/>
            <w:hideMark/>
          </w:tcPr>
          <w:p w14:paraId="189314B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8,117</w:t>
            </w:r>
          </w:p>
        </w:tc>
        <w:tc>
          <w:tcPr>
            <w:tcW w:w="851" w:type="dxa"/>
            <w:tcBorders>
              <w:top w:val="nil"/>
              <w:left w:val="nil"/>
              <w:bottom w:val="nil"/>
              <w:right w:val="nil"/>
            </w:tcBorders>
            <w:shd w:val="clear" w:color="000000" w:fill="FAA1A4"/>
            <w:noWrap/>
            <w:vAlign w:val="center"/>
            <w:hideMark/>
          </w:tcPr>
          <w:p w14:paraId="5D8E48F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w:t>
            </w:r>
          </w:p>
        </w:tc>
        <w:tc>
          <w:tcPr>
            <w:tcW w:w="992" w:type="dxa"/>
            <w:tcBorders>
              <w:top w:val="nil"/>
              <w:left w:val="nil"/>
              <w:bottom w:val="nil"/>
              <w:right w:val="nil"/>
            </w:tcBorders>
            <w:shd w:val="clear" w:color="auto" w:fill="auto"/>
            <w:noWrap/>
            <w:vAlign w:val="center"/>
            <w:hideMark/>
          </w:tcPr>
          <w:p w14:paraId="3692AE3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9,186</w:t>
            </w:r>
          </w:p>
        </w:tc>
        <w:tc>
          <w:tcPr>
            <w:tcW w:w="850" w:type="dxa"/>
            <w:tcBorders>
              <w:top w:val="nil"/>
              <w:left w:val="nil"/>
              <w:bottom w:val="nil"/>
              <w:right w:val="nil"/>
            </w:tcBorders>
            <w:shd w:val="clear" w:color="auto" w:fill="auto"/>
            <w:noWrap/>
            <w:vAlign w:val="center"/>
            <w:hideMark/>
          </w:tcPr>
          <w:p w14:paraId="343300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1,014</w:t>
            </w:r>
          </w:p>
        </w:tc>
        <w:tc>
          <w:tcPr>
            <w:tcW w:w="1051" w:type="dxa"/>
            <w:tcBorders>
              <w:top w:val="nil"/>
              <w:left w:val="nil"/>
              <w:bottom w:val="nil"/>
              <w:right w:val="nil"/>
            </w:tcBorders>
            <w:shd w:val="clear" w:color="auto" w:fill="auto"/>
            <w:noWrap/>
            <w:vAlign w:val="center"/>
            <w:hideMark/>
          </w:tcPr>
          <w:p w14:paraId="23AACE6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547</w:t>
            </w:r>
          </w:p>
        </w:tc>
        <w:tc>
          <w:tcPr>
            <w:tcW w:w="869" w:type="dxa"/>
            <w:tcBorders>
              <w:top w:val="nil"/>
              <w:left w:val="nil"/>
              <w:bottom w:val="nil"/>
              <w:right w:val="nil"/>
            </w:tcBorders>
            <w:shd w:val="clear" w:color="auto" w:fill="auto"/>
            <w:noWrap/>
            <w:vAlign w:val="center"/>
            <w:hideMark/>
          </w:tcPr>
          <w:p w14:paraId="6ABC9F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1,561</w:t>
            </w:r>
          </w:p>
        </w:tc>
        <w:tc>
          <w:tcPr>
            <w:tcW w:w="710" w:type="dxa"/>
            <w:tcBorders>
              <w:top w:val="nil"/>
              <w:left w:val="nil"/>
              <w:bottom w:val="nil"/>
              <w:right w:val="nil"/>
            </w:tcBorders>
            <w:shd w:val="clear" w:color="auto" w:fill="auto"/>
            <w:noWrap/>
            <w:vAlign w:val="center"/>
            <w:hideMark/>
          </w:tcPr>
          <w:p w14:paraId="614E54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397</w:t>
            </w:r>
          </w:p>
        </w:tc>
        <w:tc>
          <w:tcPr>
            <w:tcW w:w="1011" w:type="dxa"/>
            <w:tcBorders>
              <w:top w:val="nil"/>
              <w:left w:val="nil"/>
              <w:bottom w:val="nil"/>
              <w:right w:val="nil"/>
            </w:tcBorders>
            <w:shd w:val="clear" w:color="auto" w:fill="auto"/>
            <w:noWrap/>
            <w:vAlign w:val="center"/>
            <w:hideMark/>
          </w:tcPr>
          <w:p w14:paraId="150CA39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0EBCF3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1,508</w:t>
            </w:r>
          </w:p>
        </w:tc>
        <w:tc>
          <w:tcPr>
            <w:tcW w:w="1354" w:type="dxa"/>
            <w:tcBorders>
              <w:top w:val="nil"/>
              <w:left w:val="nil"/>
              <w:bottom w:val="nil"/>
              <w:right w:val="nil"/>
            </w:tcBorders>
            <w:shd w:val="clear" w:color="auto" w:fill="auto"/>
            <w:noWrap/>
            <w:vAlign w:val="center"/>
            <w:hideMark/>
          </w:tcPr>
          <w:p w14:paraId="117832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1,442</w:t>
            </w:r>
          </w:p>
        </w:tc>
        <w:tc>
          <w:tcPr>
            <w:tcW w:w="1001" w:type="dxa"/>
            <w:tcBorders>
              <w:top w:val="nil"/>
              <w:left w:val="nil"/>
              <w:bottom w:val="nil"/>
              <w:right w:val="nil"/>
            </w:tcBorders>
            <w:shd w:val="clear" w:color="auto" w:fill="auto"/>
            <w:noWrap/>
            <w:vAlign w:val="center"/>
            <w:hideMark/>
          </w:tcPr>
          <w:p w14:paraId="4B2E10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105%</w:t>
            </w:r>
          </w:p>
        </w:tc>
        <w:tc>
          <w:tcPr>
            <w:tcW w:w="992" w:type="dxa"/>
            <w:tcBorders>
              <w:top w:val="nil"/>
              <w:left w:val="nil"/>
              <w:bottom w:val="nil"/>
              <w:right w:val="nil"/>
            </w:tcBorders>
            <w:shd w:val="clear" w:color="000000" w:fill="ECF1F9"/>
            <w:noWrap/>
            <w:vAlign w:val="center"/>
            <w:hideMark/>
          </w:tcPr>
          <w:p w14:paraId="412EAF1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122%</w:t>
            </w:r>
          </w:p>
        </w:tc>
      </w:tr>
      <w:tr w:rsidR="0028350E" w:rsidRPr="007364B1" w14:paraId="7023878E" w14:textId="77777777" w:rsidTr="00AA33F9">
        <w:trPr>
          <w:trHeight w:val="360"/>
        </w:trPr>
        <w:tc>
          <w:tcPr>
            <w:tcW w:w="1985" w:type="dxa"/>
            <w:tcBorders>
              <w:top w:val="nil"/>
              <w:left w:val="nil"/>
              <w:bottom w:val="nil"/>
              <w:right w:val="nil"/>
            </w:tcBorders>
            <w:shd w:val="clear" w:color="auto" w:fill="auto"/>
            <w:noWrap/>
            <w:vAlign w:val="bottom"/>
            <w:hideMark/>
          </w:tcPr>
          <w:p w14:paraId="34671CA0"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72C1EFB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6,332</w:t>
            </w:r>
          </w:p>
        </w:tc>
        <w:tc>
          <w:tcPr>
            <w:tcW w:w="992" w:type="dxa"/>
            <w:tcBorders>
              <w:top w:val="nil"/>
              <w:left w:val="nil"/>
              <w:bottom w:val="nil"/>
              <w:right w:val="nil"/>
            </w:tcBorders>
            <w:shd w:val="clear" w:color="auto" w:fill="auto"/>
            <w:noWrap/>
            <w:vAlign w:val="center"/>
            <w:hideMark/>
          </w:tcPr>
          <w:p w14:paraId="1515B47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8,075</w:t>
            </w:r>
          </w:p>
        </w:tc>
        <w:tc>
          <w:tcPr>
            <w:tcW w:w="851" w:type="dxa"/>
            <w:tcBorders>
              <w:top w:val="nil"/>
              <w:left w:val="nil"/>
              <w:bottom w:val="nil"/>
              <w:right w:val="nil"/>
            </w:tcBorders>
            <w:shd w:val="clear" w:color="000000" w:fill="FA9D9F"/>
            <w:noWrap/>
            <w:vAlign w:val="center"/>
            <w:hideMark/>
          </w:tcPr>
          <w:p w14:paraId="7CB91E9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992" w:type="dxa"/>
            <w:tcBorders>
              <w:top w:val="nil"/>
              <w:left w:val="nil"/>
              <w:bottom w:val="nil"/>
              <w:right w:val="nil"/>
            </w:tcBorders>
            <w:shd w:val="clear" w:color="auto" w:fill="auto"/>
            <w:noWrap/>
            <w:vAlign w:val="center"/>
            <w:hideMark/>
          </w:tcPr>
          <w:p w14:paraId="64D8174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9,217</w:t>
            </w:r>
          </w:p>
        </w:tc>
        <w:tc>
          <w:tcPr>
            <w:tcW w:w="850" w:type="dxa"/>
            <w:tcBorders>
              <w:top w:val="nil"/>
              <w:left w:val="nil"/>
              <w:bottom w:val="nil"/>
              <w:right w:val="nil"/>
            </w:tcBorders>
            <w:shd w:val="clear" w:color="auto" w:fill="auto"/>
            <w:noWrap/>
            <w:vAlign w:val="center"/>
            <w:hideMark/>
          </w:tcPr>
          <w:p w14:paraId="5102832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837</w:t>
            </w:r>
          </w:p>
        </w:tc>
        <w:tc>
          <w:tcPr>
            <w:tcW w:w="1051" w:type="dxa"/>
            <w:tcBorders>
              <w:top w:val="nil"/>
              <w:left w:val="nil"/>
              <w:bottom w:val="nil"/>
              <w:right w:val="nil"/>
            </w:tcBorders>
            <w:shd w:val="clear" w:color="auto" w:fill="auto"/>
            <w:noWrap/>
            <w:vAlign w:val="center"/>
            <w:hideMark/>
          </w:tcPr>
          <w:p w14:paraId="686EEA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450</w:t>
            </w:r>
          </w:p>
        </w:tc>
        <w:tc>
          <w:tcPr>
            <w:tcW w:w="869" w:type="dxa"/>
            <w:tcBorders>
              <w:top w:val="nil"/>
              <w:left w:val="nil"/>
              <w:bottom w:val="nil"/>
              <w:right w:val="nil"/>
            </w:tcBorders>
            <w:shd w:val="clear" w:color="auto" w:fill="auto"/>
            <w:noWrap/>
            <w:vAlign w:val="center"/>
            <w:hideMark/>
          </w:tcPr>
          <w:p w14:paraId="021AAD3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1,286</w:t>
            </w:r>
          </w:p>
        </w:tc>
        <w:tc>
          <w:tcPr>
            <w:tcW w:w="710" w:type="dxa"/>
            <w:tcBorders>
              <w:top w:val="nil"/>
              <w:left w:val="nil"/>
              <w:bottom w:val="nil"/>
              <w:right w:val="nil"/>
            </w:tcBorders>
            <w:shd w:val="clear" w:color="auto" w:fill="auto"/>
            <w:noWrap/>
            <w:vAlign w:val="center"/>
            <w:hideMark/>
          </w:tcPr>
          <w:p w14:paraId="5474144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495</w:t>
            </w:r>
          </w:p>
        </w:tc>
        <w:tc>
          <w:tcPr>
            <w:tcW w:w="1011" w:type="dxa"/>
            <w:tcBorders>
              <w:top w:val="nil"/>
              <w:left w:val="nil"/>
              <w:bottom w:val="nil"/>
              <w:right w:val="nil"/>
            </w:tcBorders>
            <w:shd w:val="clear" w:color="auto" w:fill="auto"/>
            <w:noWrap/>
            <w:vAlign w:val="center"/>
            <w:hideMark/>
          </w:tcPr>
          <w:p w14:paraId="043A1CC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46F690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1,219</w:t>
            </w:r>
          </w:p>
        </w:tc>
        <w:tc>
          <w:tcPr>
            <w:tcW w:w="1354" w:type="dxa"/>
            <w:tcBorders>
              <w:top w:val="nil"/>
              <w:left w:val="nil"/>
              <w:bottom w:val="nil"/>
              <w:right w:val="nil"/>
            </w:tcBorders>
            <w:shd w:val="clear" w:color="auto" w:fill="auto"/>
            <w:noWrap/>
            <w:vAlign w:val="center"/>
            <w:hideMark/>
          </w:tcPr>
          <w:p w14:paraId="011DA7E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876</w:t>
            </w:r>
          </w:p>
        </w:tc>
        <w:tc>
          <w:tcPr>
            <w:tcW w:w="1001" w:type="dxa"/>
            <w:tcBorders>
              <w:top w:val="nil"/>
              <w:left w:val="nil"/>
              <w:bottom w:val="nil"/>
              <w:right w:val="nil"/>
            </w:tcBorders>
            <w:shd w:val="clear" w:color="auto" w:fill="auto"/>
            <w:noWrap/>
            <w:vAlign w:val="center"/>
            <w:hideMark/>
          </w:tcPr>
          <w:p w14:paraId="69BF521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139%</w:t>
            </w:r>
          </w:p>
        </w:tc>
        <w:tc>
          <w:tcPr>
            <w:tcW w:w="992" w:type="dxa"/>
            <w:tcBorders>
              <w:top w:val="nil"/>
              <w:left w:val="nil"/>
              <w:bottom w:val="nil"/>
              <w:right w:val="nil"/>
            </w:tcBorders>
            <w:shd w:val="clear" w:color="000000" w:fill="FCFCFF"/>
            <w:noWrap/>
            <w:vAlign w:val="center"/>
            <w:hideMark/>
          </w:tcPr>
          <w:p w14:paraId="6BBDEC6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r>
      <w:tr w:rsidR="0028350E" w:rsidRPr="007364B1" w14:paraId="364D410C" w14:textId="77777777" w:rsidTr="00AA33F9">
        <w:trPr>
          <w:trHeight w:val="360"/>
        </w:trPr>
        <w:tc>
          <w:tcPr>
            <w:tcW w:w="1985" w:type="dxa"/>
            <w:tcBorders>
              <w:top w:val="nil"/>
              <w:left w:val="nil"/>
              <w:bottom w:val="nil"/>
              <w:right w:val="nil"/>
            </w:tcBorders>
            <w:shd w:val="clear" w:color="auto" w:fill="auto"/>
            <w:noWrap/>
            <w:vAlign w:val="bottom"/>
            <w:hideMark/>
          </w:tcPr>
          <w:p w14:paraId="1E1445E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0ACA776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w:t>
            </w:r>
          </w:p>
        </w:tc>
        <w:tc>
          <w:tcPr>
            <w:tcW w:w="992" w:type="dxa"/>
            <w:tcBorders>
              <w:top w:val="nil"/>
              <w:left w:val="nil"/>
              <w:bottom w:val="nil"/>
              <w:right w:val="nil"/>
            </w:tcBorders>
            <w:shd w:val="clear" w:color="auto" w:fill="auto"/>
            <w:noWrap/>
            <w:vAlign w:val="center"/>
            <w:hideMark/>
          </w:tcPr>
          <w:p w14:paraId="14526A2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1" w:type="dxa"/>
            <w:tcBorders>
              <w:top w:val="nil"/>
              <w:left w:val="nil"/>
              <w:bottom w:val="nil"/>
              <w:right w:val="nil"/>
            </w:tcBorders>
            <w:shd w:val="clear" w:color="000000" w:fill="FCFCFF"/>
            <w:noWrap/>
            <w:vAlign w:val="center"/>
            <w:hideMark/>
          </w:tcPr>
          <w:p w14:paraId="38BF30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19B6C85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1430D57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w:t>
            </w:r>
          </w:p>
        </w:tc>
        <w:tc>
          <w:tcPr>
            <w:tcW w:w="1051" w:type="dxa"/>
            <w:tcBorders>
              <w:top w:val="nil"/>
              <w:left w:val="nil"/>
              <w:bottom w:val="nil"/>
              <w:right w:val="nil"/>
            </w:tcBorders>
            <w:shd w:val="clear" w:color="auto" w:fill="auto"/>
            <w:noWrap/>
            <w:vAlign w:val="center"/>
            <w:hideMark/>
          </w:tcPr>
          <w:p w14:paraId="307A665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w:t>
            </w:r>
          </w:p>
        </w:tc>
        <w:tc>
          <w:tcPr>
            <w:tcW w:w="869" w:type="dxa"/>
            <w:tcBorders>
              <w:top w:val="nil"/>
              <w:left w:val="nil"/>
              <w:bottom w:val="nil"/>
              <w:right w:val="nil"/>
            </w:tcBorders>
            <w:shd w:val="clear" w:color="auto" w:fill="auto"/>
            <w:noWrap/>
            <w:vAlign w:val="center"/>
            <w:hideMark/>
          </w:tcPr>
          <w:p w14:paraId="62B3DF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w:t>
            </w:r>
          </w:p>
        </w:tc>
        <w:tc>
          <w:tcPr>
            <w:tcW w:w="710" w:type="dxa"/>
            <w:tcBorders>
              <w:top w:val="nil"/>
              <w:left w:val="nil"/>
              <w:bottom w:val="nil"/>
              <w:right w:val="nil"/>
            </w:tcBorders>
            <w:shd w:val="clear" w:color="auto" w:fill="auto"/>
            <w:noWrap/>
            <w:vAlign w:val="center"/>
            <w:hideMark/>
          </w:tcPr>
          <w:p w14:paraId="298C8D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1010355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8DAFD1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w:t>
            </w:r>
          </w:p>
        </w:tc>
        <w:tc>
          <w:tcPr>
            <w:tcW w:w="1354" w:type="dxa"/>
            <w:tcBorders>
              <w:top w:val="nil"/>
              <w:left w:val="nil"/>
              <w:bottom w:val="nil"/>
              <w:right w:val="nil"/>
            </w:tcBorders>
            <w:shd w:val="clear" w:color="auto" w:fill="auto"/>
            <w:noWrap/>
            <w:vAlign w:val="center"/>
            <w:hideMark/>
          </w:tcPr>
          <w:p w14:paraId="642CDEF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w:t>
            </w:r>
          </w:p>
        </w:tc>
        <w:tc>
          <w:tcPr>
            <w:tcW w:w="1001" w:type="dxa"/>
            <w:tcBorders>
              <w:top w:val="nil"/>
              <w:left w:val="nil"/>
              <w:bottom w:val="nil"/>
              <w:right w:val="nil"/>
            </w:tcBorders>
            <w:shd w:val="clear" w:color="auto" w:fill="auto"/>
            <w:noWrap/>
            <w:vAlign w:val="center"/>
            <w:hideMark/>
          </w:tcPr>
          <w:p w14:paraId="28732BC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40%</w:t>
            </w:r>
          </w:p>
        </w:tc>
        <w:tc>
          <w:tcPr>
            <w:tcW w:w="992" w:type="dxa"/>
            <w:tcBorders>
              <w:top w:val="nil"/>
              <w:left w:val="nil"/>
              <w:bottom w:val="nil"/>
              <w:right w:val="nil"/>
            </w:tcBorders>
            <w:shd w:val="clear" w:color="000000" w:fill="6390C9"/>
            <w:noWrap/>
            <w:vAlign w:val="center"/>
            <w:hideMark/>
          </w:tcPr>
          <w:p w14:paraId="6563875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w:t>
            </w:r>
          </w:p>
        </w:tc>
      </w:tr>
      <w:tr w:rsidR="0028350E" w:rsidRPr="007364B1" w14:paraId="4882A7F2" w14:textId="77777777" w:rsidTr="00AA33F9">
        <w:trPr>
          <w:trHeight w:val="360"/>
        </w:trPr>
        <w:tc>
          <w:tcPr>
            <w:tcW w:w="1985" w:type="dxa"/>
            <w:tcBorders>
              <w:top w:val="nil"/>
              <w:left w:val="nil"/>
              <w:bottom w:val="nil"/>
              <w:right w:val="nil"/>
            </w:tcBorders>
            <w:shd w:val="clear" w:color="auto" w:fill="auto"/>
            <w:noWrap/>
            <w:vAlign w:val="bottom"/>
            <w:hideMark/>
          </w:tcPr>
          <w:p w14:paraId="4CC534A9"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4482264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12,097</w:t>
            </w:r>
          </w:p>
        </w:tc>
        <w:tc>
          <w:tcPr>
            <w:tcW w:w="992" w:type="dxa"/>
            <w:tcBorders>
              <w:top w:val="nil"/>
              <w:left w:val="nil"/>
              <w:bottom w:val="nil"/>
              <w:right w:val="nil"/>
            </w:tcBorders>
            <w:shd w:val="clear" w:color="auto" w:fill="auto"/>
            <w:noWrap/>
            <w:vAlign w:val="center"/>
            <w:hideMark/>
          </w:tcPr>
          <w:p w14:paraId="5003B8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17,850</w:t>
            </w:r>
          </w:p>
        </w:tc>
        <w:tc>
          <w:tcPr>
            <w:tcW w:w="851" w:type="dxa"/>
            <w:tcBorders>
              <w:top w:val="nil"/>
              <w:left w:val="nil"/>
              <w:bottom w:val="nil"/>
              <w:right w:val="nil"/>
            </w:tcBorders>
            <w:shd w:val="clear" w:color="000000" w:fill="F98E90"/>
            <w:noWrap/>
            <w:vAlign w:val="center"/>
            <w:hideMark/>
          </w:tcPr>
          <w:p w14:paraId="39BB9C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+48%</w:t>
            </w:r>
          </w:p>
        </w:tc>
        <w:tc>
          <w:tcPr>
            <w:tcW w:w="992" w:type="dxa"/>
            <w:tcBorders>
              <w:top w:val="nil"/>
              <w:left w:val="nil"/>
              <w:bottom w:val="nil"/>
              <w:right w:val="nil"/>
            </w:tcBorders>
            <w:shd w:val="clear" w:color="auto" w:fill="auto"/>
            <w:noWrap/>
            <w:vAlign w:val="center"/>
            <w:hideMark/>
          </w:tcPr>
          <w:p w14:paraId="6D667AB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23,000</w:t>
            </w:r>
          </w:p>
        </w:tc>
        <w:tc>
          <w:tcPr>
            <w:tcW w:w="850" w:type="dxa"/>
            <w:tcBorders>
              <w:top w:val="nil"/>
              <w:left w:val="nil"/>
              <w:bottom w:val="nil"/>
              <w:right w:val="nil"/>
            </w:tcBorders>
            <w:shd w:val="clear" w:color="auto" w:fill="auto"/>
            <w:noWrap/>
            <w:vAlign w:val="center"/>
            <w:hideMark/>
          </w:tcPr>
          <w:p w14:paraId="0F7FEB6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1,226</w:t>
            </w:r>
          </w:p>
        </w:tc>
        <w:tc>
          <w:tcPr>
            <w:tcW w:w="1051" w:type="dxa"/>
            <w:tcBorders>
              <w:top w:val="nil"/>
              <w:left w:val="nil"/>
              <w:bottom w:val="nil"/>
              <w:right w:val="nil"/>
            </w:tcBorders>
            <w:shd w:val="clear" w:color="auto" w:fill="auto"/>
            <w:noWrap/>
            <w:vAlign w:val="center"/>
            <w:hideMark/>
          </w:tcPr>
          <w:p w14:paraId="39756A4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363</w:t>
            </w:r>
          </w:p>
        </w:tc>
        <w:tc>
          <w:tcPr>
            <w:tcW w:w="869" w:type="dxa"/>
            <w:tcBorders>
              <w:top w:val="nil"/>
              <w:left w:val="nil"/>
              <w:bottom w:val="nil"/>
              <w:right w:val="nil"/>
            </w:tcBorders>
            <w:shd w:val="clear" w:color="auto" w:fill="auto"/>
            <w:noWrap/>
            <w:vAlign w:val="center"/>
            <w:hideMark/>
          </w:tcPr>
          <w:p w14:paraId="687A628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1,589</w:t>
            </w:r>
          </w:p>
        </w:tc>
        <w:tc>
          <w:tcPr>
            <w:tcW w:w="710" w:type="dxa"/>
            <w:tcBorders>
              <w:top w:val="nil"/>
              <w:left w:val="nil"/>
              <w:bottom w:val="nil"/>
              <w:right w:val="nil"/>
            </w:tcBorders>
            <w:shd w:val="clear" w:color="auto" w:fill="auto"/>
            <w:noWrap/>
            <w:vAlign w:val="center"/>
            <w:hideMark/>
          </w:tcPr>
          <w:p w14:paraId="3A21EA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1,589</w:t>
            </w:r>
          </w:p>
        </w:tc>
        <w:tc>
          <w:tcPr>
            <w:tcW w:w="1011" w:type="dxa"/>
            <w:tcBorders>
              <w:top w:val="nil"/>
              <w:left w:val="nil"/>
              <w:bottom w:val="nil"/>
              <w:right w:val="nil"/>
            </w:tcBorders>
            <w:shd w:val="clear" w:color="auto" w:fill="auto"/>
            <w:noWrap/>
            <w:vAlign w:val="center"/>
            <w:hideMark/>
          </w:tcPr>
          <w:p w14:paraId="4236785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EB3D09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1,437</w:t>
            </w:r>
          </w:p>
        </w:tc>
        <w:tc>
          <w:tcPr>
            <w:tcW w:w="1354" w:type="dxa"/>
            <w:tcBorders>
              <w:top w:val="nil"/>
              <w:left w:val="nil"/>
              <w:bottom w:val="nil"/>
              <w:right w:val="nil"/>
            </w:tcBorders>
            <w:shd w:val="clear" w:color="auto" w:fill="auto"/>
            <w:noWrap/>
            <w:vAlign w:val="center"/>
            <w:hideMark/>
          </w:tcPr>
          <w:p w14:paraId="135503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2,144</w:t>
            </w:r>
          </w:p>
        </w:tc>
        <w:tc>
          <w:tcPr>
            <w:tcW w:w="1001" w:type="dxa"/>
            <w:tcBorders>
              <w:top w:val="nil"/>
              <w:left w:val="nil"/>
              <w:bottom w:val="nil"/>
              <w:right w:val="nil"/>
            </w:tcBorders>
            <w:shd w:val="clear" w:color="auto" w:fill="auto"/>
            <w:noWrap/>
            <w:vAlign w:val="center"/>
            <w:hideMark/>
          </w:tcPr>
          <w:p w14:paraId="3F67872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67%</w:t>
            </w:r>
          </w:p>
        </w:tc>
        <w:tc>
          <w:tcPr>
            <w:tcW w:w="992" w:type="dxa"/>
            <w:tcBorders>
              <w:top w:val="nil"/>
              <w:left w:val="nil"/>
              <w:bottom w:val="nil"/>
              <w:right w:val="nil"/>
            </w:tcBorders>
            <w:shd w:val="clear" w:color="000000" w:fill="FBBCBE"/>
            <w:noWrap/>
            <w:vAlign w:val="center"/>
            <w:hideMark/>
          </w:tcPr>
          <w:p w14:paraId="01B99B2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190%</w:t>
            </w:r>
          </w:p>
        </w:tc>
      </w:tr>
      <w:tr w:rsidR="0028350E" w:rsidRPr="007364B1" w14:paraId="1E489305" w14:textId="77777777" w:rsidTr="00AA33F9">
        <w:trPr>
          <w:trHeight w:val="360"/>
        </w:trPr>
        <w:tc>
          <w:tcPr>
            <w:tcW w:w="1985" w:type="dxa"/>
            <w:tcBorders>
              <w:top w:val="nil"/>
              <w:left w:val="nil"/>
              <w:bottom w:val="nil"/>
              <w:right w:val="nil"/>
            </w:tcBorders>
            <w:shd w:val="clear" w:color="auto" w:fill="auto"/>
            <w:noWrap/>
            <w:vAlign w:val="bottom"/>
            <w:hideMark/>
          </w:tcPr>
          <w:p w14:paraId="5771DB4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45F57CD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1,650</w:t>
            </w:r>
          </w:p>
        </w:tc>
        <w:tc>
          <w:tcPr>
            <w:tcW w:w="992" w:type="dxa"/>
            <w:tcBorders>
              <w:top w:val="nil"/>
              <w:left w:val="nil"/>
              <w:bottom w:val="nil"/>
              <w:right w:val="nil"/>
            </w:tcBorders>
            <w:shd w:val="clear" w:color="auto" w:fill="auto"/>
            <w:noWrap/>
            <w:vAlign w:val="center"/>
            <w:hideMark/>
          </w:tcPr>
          <w:p w14:paraId="75C34CB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1,868</w:t>
            </w:r>
          </w:p>
        </w:tc>
        <w:tc>
          <w:tcPr>
            <w:tcW w:w="851" w:type="dxa"/>
            <w:tcBorders>
              <w:top w:val="nil"/>
              <w:left w:val="nil"/>
              <w:bottom w:val="nil"/>
              <w:right w:val="nil"/>
            </w:tcBorders>
            <w:shd w:val="clear" w:color="000000" w:fill="FAA8AA"/>
            <w:noWrap/>
            <w:vAlign w:val="center"/>
            <w:hideMark/>
          </w:tcPr>
          <w:p w14:paraId="60624DE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w:t>
            </w:r>
          </w:p>
        </w:tc>
        <w:tc>
          <w:tcPr>
            <w:tcW w:w="992" w:type="dxa"/>
            <w:tcBorders>
              <w:top w:val="nil"/>
              <w:left w:val="nil"/>
              <w:bottom w:val="nil"/>
              <w:right w:val="nil"/>
            </w:tcBorders>
            <w:shd w:val="clear" w:color="auto" w:fill="auto"/>
            <w:noWrap/>
            <w:vAlign w:val="center"/>
            <w:hideMark/>
          </w:tcPr>
          <w:p w14:paraId="3652D5C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1,834</w:t>
            </w:r>
          </w:p>
        </w:tc>
        <w:tc>
          <w:tcPr>
            <w:tcW w:w="850" w:type="dxa"/>
            <w:tcBorders>
              <w:top w:val="nil"/>
              <w:left w:val="nil"/>
              <w:bottom w:val="nil"/>
              <w:right w:val="nil"/>
            </w:tcBorders>
            <w:shd w:val="clear" w:color="auto" w:fill="auto"/>
            <w:noWrap/>
            <w:vAlign w:val="center"/>
            <w:hideMark/>
          </w:tcPr>
          <w:p w14:paraId="22E11F9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168</w:t>
            </w:r>
          </w:p>
        </w:tc>
        <w:tc>
          <w:tcPr>
            <w:tcW w:w="1051" w:type="dxa"/>
            <w:tcBorders>
              <w:top w:val="nil"/>
              <w:left w:val="nil"/>
              <w:bottom w:val="nil"/>
              <w:right w:val="nil"/>
            </w:tcBorders>
            <w:shd w:val="clear" w:color="auto" w:fill="auto"/>
            <w:noWrap/>
            <w:vAlign w:val="center"/>
            <w:hideMark/>
          </w:tcPr>
          <w:p w14:paraId="3185E94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51</w:t>
            </w:r>
          </w:p>
        </w:tc>
        <w:tc>
          <w:tcPr>
            <w:tcW w:w="869" w:type="dxa"/>
            <w:tcBorders>
              <w:top w:val="nil"/>
              <w:left w:val="nil"/>
              <w:bottom w:val="nil"/>
              <w:right w:val="nil"/>
            </w:tcBorders>
            <w:shd w:val="clear" w:color="auto" w:fill="auto"/>
            <w:noWrap/>
            <w:vAlign w:val="center"/>
            <w:hideMark/>
          </w:tcPr>
          <w:p w14:paraId="79541C1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219</w:t>
            </w:r>
          </w:p>
        </w:tc>
        <w:tc>
          <w:tcPr>
            <w:tcW w:w="710" w:type="dxa"/>
            <w:tcBorders>
              <w:top w:val="nil"/>
              <w:left w:val="nil"/>
              <w:bottom w:val="nil"/>
              <w:right w:val="nil"/>
            </w:tcBorders>
            <w:shd w:val="clear" w:color="auto" w:fill="auto"/>
            <w:noWrap/>
            <w:vAlign w:val="center"/>
            <w:hideMark/>
          </w:tcPr>
          <w:p w14:paraId="2AC5A40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154</w:t>
            </w:r>
          </w:p>
        </w:tc>
        <w:tc>
          <w:tcPr>
            <w:tcW w:w="1011" w:type="dxa"/>
            <w:tcBorders>
              <w:top w:val="nil"/>
              <w:left w:val="nil"/>
              <w:bottom w:val="nil"/>
              <w:right w:val="nil"/>
            </w:tcBorders>
            <w:shd w:val="clear" w:color="auto" w:fill="auto"/>
            <w:noWrap/>
            <w:vAlign w:val="center"/>
            <w:hideMark/>
          </w:tcPr>
          <w:p w14:paraId="7B31562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EC34BA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119</w:t>
            </w:r>
          </w:p>
        </w:tc>
        <w:tc>
          <w:tcPr>
            <w:tcW w:w="1354" w:type="dxa"/>
            <w:tcBorders>
              <w:top w:val="nil"/>
              <w:left w:val="nil"/>
              <w:bottom w:val="nil"/>
              <w:right w:val="nil"/>
            </w:tcBorders>
            <w:shd w:val="clear" w:color="auto" w:fill="auto"/>
            <w:noWrap/>
            <w:vAlign w:val="center"/>
            <w:hideMark/>
          </w:tcPr>
          <w:p w14:paraId="1539D06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134</w:t>
            </w:r>
          </w:p>
        </w:tc>
        <w:tc>
          <w:tcPr>
            <w:tcW w:w="1001" w:type="dxa"/>
            <w:tcBorders>
              <w:top w:val="nil"/>
              <w:left w:val="nil"/>
              <w:bottom w:val="nil"/>
              <w:right w:val="nil"/>
            </w:tcBorders>
            <w:shd w:val="clear" w:color="auto" w:fill="auto"/>
            <w:noWrap/>
            <w:vAlign w:val="center"/>
            <w:hideMark/>
          </w:tcPr>
          <w:p w14:paraId="65FC187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w:t>
            </w:r>
          </w:p>
        </w:tc>
        <w:tc>
          <w:tcPr>
            <w:tcW w:w="992" w:type="dxa"/>
            <w:tcBorders>
              <w:top w:val="nil"/>
              <w:left w:val="nil"/>
              <w:bottom w:val="nil"/>
              <w:right w:val="nil"/>
            </w:tcBorders>
            <w:shd w:val="clear" w:color="000000" w:fill="F0F3FA"/>
            <w:noWrap/>
            <w:vAlign w:val="center"/>
            <w:hideMark/>
          </w:tcPr>
          <w:p w14:paraId="1343776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125%</w:t>
            </w:r>
          </w:p>
        </w:tc>
      </w:tr>
      <w:tr w:rsidR="0028350E" w:rsidRPr="007364B1" w14:paraId="301AE780" w14:textId="77777777" w:rsidTr="00AA33F9">
        <w:trPr>
          <w:trHeight w:val="360"/>
        </w:trPr>
        <w:tc>
          <w:tcPr>
            <w:tcW w:w="1985" w:type="dxa"/>
            <w:tcBorders>
              <w:top w:val="nil"/>
              <w:left w:val="nil"/>
              <w:bottom w:val="nil"/>
              <w:right w:val="nil"/>
            </w:tcBorders>
            <w:shd w:val="clear" w:color="auto" w:fill="auto"/>
            <w:noWrap/>
            <w:vAlign w:val="bottom"/>
            <w:hideMark/>
          </w:tcPr>
          <w:p w14:paraId="613CF02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79D69B27"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3,405</w:t>
            </w:r>
          </w:p>
        </w:tc>
        <w:tc>
          <w:tcPr>
            <w:tcW w:w="992" w:type="dxa"/>
            <w:tcBorders>
              <w:top w:val="nil"/>
              <w:left w:val="nil"/>
              <w:bottom w:val="nil"/>
              <w:right w:val="nil"/>
            </w:tcBorders>
            <w:shd w:val="clear" w:color="auto" w:fill="auto"/>
            <w:noWrap/>
            <w:vAlign w:val="center"/>
            <w:hideMark/>
          </w:tcPr>
          <w:p w14:paraId="390B18D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4,265</w:t>
            </w:r>
          </w:p>
        </w:tc>
        <w:tc>
          <w:tcPr>
            <w:tcW w:w="851" w:type="dxa"/>
            <w:tcBorders>
              <w:top w:val="nil"/>
              <w:left w:val="nil"/>
              <w:bottom w:val="nil"/>
              <w:right w:val="nil"/>
            </w:tcBorders>
            <w:shd w:val="clear" w:color="000000" w:fill="FA9FA1"/>
            <w:noWrap/>
            <w:vAlign w:val="center"/>
            <w:hideMark/>
          </w:tcPr>
          <w:p w14:paraId="79C4925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w:t>
            </w:r>
          </w:p>
        </w:tc>
        <w:tc>
          <w:tcPr>
            <w:tcW w:w="992" w:type="dxa"/>
            <w:tcBorders>
              <w:top w:val="nil"/>
              <w:left w:val="nil"/>
              <w:bottom w:val="nil"/>
              <w:right w:val="nil"/>
            </w:tcBorders>
            <w:shd w:val="clear" w:color="auto" w:fill="auto"/>
            <w:noWrap/>
            <w:vAlign w:val="center"/>
            <w:hideMark/>
          </w:tcPr>
          <w:p w14:paraId="052F3A8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4,799</w:t>
            </w:r>
          </w:p>
        </w:tc>
        <w:tc>
          <w:tcPr>
            <w:tcW w:w="850" w:type="dxa"/>
            <w:tcBorders>
              <w:top w:val="nil"/>
              <w:left w:val="nil"/>
              <w:bottom w:val="nil"/>
              <w:right w:val="nil"/>
            </w:tcBorders>
            <w:shd w:val="clear" w:color="auto" w:fill="auto"/>
            <w:noWrap/>
            <w:vAlign w:val="center"/>
            <w:hideMark/>
          </w:tcPr>
          <w:p w14:paraId="7FE5DB0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528</w:t>
            </w:r>
          </w:p>
        </w:tc>
        <w:tc>
          <w:tcPr>
            <w:tcW w:w="1051" w:type="dxa"/>
            <w:tcBorders>
              <w:top w:val="nil"/>
              <w:left w:val="nil"/>
              <w:bottom w:val="nil"/>
              <w:right w:val="nil"/>
            </w:tcBorders>
            <w:shd w:val="clear" w:color="auto" w:fill="auto"/>
            <w:noWrap/>
            <w:vAlign w:val="center"/>
            <w:hideMark/>
          </w:tcPr>
          <w:p w14:paraId="300FC6E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112</w:t>
            </w:r>
          </w:p>
        </w:tc>
        <w:tc>
          <w:tcPr>
            <w:tcW w:w="869" w:type="dxa"/>
            <w:tcBorders>
              <w:top w:val="nil"/>
              <w:left w:val="nil"/>
              <w:bottom w:val="nil"/>
              <w:right w:val="nil"/>
            </w:tcBorders>
            <w:shd w:val="clear" w:color="auto" w:fill="auto"/>
            <w:noWrap/>
            <w:vAlign w:val="center"/>
            <w:hideMark/>
          </w:tcPr>
          <w:p w14:paraId="684D4F9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640</w:t>
            </w:r>
          </w:p>
        </w:tc>
        <w:tc>
          <w:tcPr>
            <w:tcW w:w="710" w:type="dxa"/>
            <w:tcBorders>
              <w:top w:val="nil"/>
              <w:left w:val="nil"/>
              <w:bottom w:val="nil"/>
              <w:right w:val="nil"/>
            </w:tcBorders>
            <w:shd w:val="clear" w:color="auto" w:fill="auto"/>
            <w:noWrap/>
            <w:vAlign w:val="center"/>
            <w:hideMark/>
          </w:tcPr>
          <w:p w14:paraId="78F4753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215</w:t>
            </w:r>
          </w:p>
        </w:tc>
        <w:tc>
          <w:tcPr>
            <w:tcW w:w="1011" w:type="dxa"/>
            <w:tcBorders>
              <w:top w:val="nil"/>
              <w:left w:val="nil"/>
              <w:bottom w:val="nil"/>
              <w:right w:val="nil"/>
            </w:tcBorders>
            <w:shd w:val="clear" w:color="auto" w:fill="auto"/>
            <w:noWrap/>
            <w:vAlign w:val="center"/>
            <w:hideMark/>
          </w:tcPr>
          <w:p w14:paraId="554142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38FD7C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636</w:t>
            </w:r>
          </w:p>
        </w:tc>
        <w:tc>
          <w:tcPr>
            <w:tcW w:w="1354" w:type="dxa"/>
            <w:tcBorders>
              <w:top w:val="nil"/>
              <w:left w:val="nil"/>
              <w:bottom w:val="nil"/>
              <w:right w:val="nil"/>
            </w:tcBorders>
            <w:shd w:val="clear" w:color="auto" w:fill="auto"/>
            <w:noWrap/>
            <w:vAlign w:val="center"/>
            <w:hideMark/>
          </w:tcPr>
          <w:p w14:paraId="0056763E"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718</w:t>
            </w:r>
          </w:p>
        </w:tc>
        <w:tc>
          <w:tcPr>
            <w:tcW w:w="1001" w:type="dxa"/>
            <w:tcBorders>
              <w:top w:val="nil"/>
              <w:left w:val="nil"/>
              <w:bottom w:val="nil"/>
              <w:right w:val="nil"/>
            </w:tcBorders>
            <w:shd w:val="clear" w:color="auto" w:fill="auto"/>
            <w:noWrap/>
            <w:vAlign w:val="center"/>
            <w:hideMark/>
          </w:tcPr>
          <w:p w14:paraId="1002E6C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89%</w:t>
            </w:r>
          </w:p>
        </w:tc>
        <w:tc>
          <w:tcPr>
            <w:tcW w:w="992" w:type="dxa"/>
            <w:tcBorders>
              <w:top w:val="nil"/>
              <w:left w:val="nil"/>
              <w:bottom w:val="nil"/>
              <w:right w:val="nil"/>
            </w:tcBorders>
            <w:shd w:val="clear" w:color="000000" w:fill="FBFBFE"/>
            <w:noWrap/>
            <w:vAlign w:val="center"/>
            <w:hideMark/>
          </w:tcPr>
          <w:p w14:paraId="5A5CAB0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133%</w:t>
            </w:r>
          </w:p>
        </w:tc>
      </w:tr>
      <w:tr w:rsidR="0028350E" w:rsidRPr="007364B1" w14:paraId="0A5787DB"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132FD40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2CE5985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2,251</w:t>
            </w:r>
          </w:p>
        </w:tc>
        <w:tc>
          <w:tcPr>
            <w:tcW w:w="992" w:type="dxa"/>
            <w:tcBorders>
              <w:top w:val="nil"/>
              <w:left w:val="nil"/>
              <w:bottom w:val="single" w:sz="4" w:space="0" w:color="auto"/>
              <w:right w:val="nil"/>
            </w:tcBorders>
            <w:shd w:val="clear" w:color="auto" w:fill="auto"/>
            <w:noWrap/>
            <w:vAlign w:val="center"/>
            <w:hideMark/>
          </w:tcPr>
          <w:p w14:paraId="7F11F0E2"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2,643</w:t>
            </w:r>
          </w:p>
        </w:tc>
        <w:tc>
          <w:tcPr>
            <w:tcW w:w="851" w:type="dxa"/>
            <w:tcBorders>
              <w:top w:val="nil"/>
              <w:left w:val="nil"/>
              <w:bottom w:val="single" w:sz="4" w:space="0" w:color="auto"/>
              <w:right w:val="nil"/>
            </w:tcBorders>
            <w:shd w:val="clear" w:color="000000" w:fill="FAA4A7"/>
            <w:noWrap/>
            <w:vAlign w:val="center"/>
            <w:hideMark/>
          </w:tcPr>
          <w:p w14:paraId="6E52FF8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+17%</w:t>
            </w:r>
          </w:p>
        </w:tc>
        <w:tc>
          <w:tcPr>
            <w:tcW w:w="992" w:type="dxa"/>
            <w:tcBorders>
              <w:top w:val="nil"/>
              <w:left w:val="nil"/>
              <w:bottom w:val="single" w:sz="4" w:space="0" w:color="auto"/>
              <w:right w:val="nil"/>
            </w:tcBorders>
            <w:shd w:val="clear" w:color="auto" w:fill="auto"/>
            <w:noWrap/>
            <w:vAlign w:val="center"/>
            <w:hideMark/>
          </w:tcPr>
          <w:p w14:paraId="012251A4"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2,912</w:t>
            </w:r>
          </w:p>
        </w:tc>
        <w:tc>
          <w:tcPr>
            <w:tcW w:w="850" w:type="dxa"/>
            <w:tcBorders>
              <w:top w:val="nil"/>
              <w:left w:val="nil"/>
              <w:bottom w:val="single" w:sz="4" w:space="0" w:color="auto"/>
              <w:right w:val="nil"/>
            </w:tcBorders>
            <w:shd w:val="clear" w:color="auto" w:fill="auto"/>
            <w:noWrap/>
            <w:vAlign w:val="center"/>
            <w:hideMark/>
          </w:tcPr>
          <w:p w14:paraId="1CA2A1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267</w:t>
            </w:r>
          </w:p>
        </w:tc>
        <w:tc>
          <w:tcPr>
            <w:tcW w:w="1051" w:type="dxa"/>
            <w:tcBorders>
              <w:top w:val="nil"/>
              <w:left w:val="nil"/>
              <w:bottom w:val="single" w:sz="4" w:space="0" w:color="auto"/>
              <w:right w:val="nil"/>
            </w:tcBorders>
            <w:shd w:val="clear" w:color="auto" w:fill="auto"/>
            <w:noWrap/>
            <w:vAlign w:val="center"/>
            <w:hideMark/>
          </w:tcPr>
          <w:p w14:paraId="26196ED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65</w:t>
            </w:r>
          </w:p>
        </w:tc>
        <w:tc>
          <w:tcPr>
            <w:tcW w:w="869" w:type="dxa"/>
            <w:tcBorders>
              <w:top w:val="nil"/>
              <w:left w:val="nil"/>
              <w:bottom w:val="single" w:sz="4" w:space="0" w:color="auto"/>
              <w:right w:val="nil"/>
            </w:tcBorders>
            <w:shd w:val="clear" w:color="auto" w:fill="auto"/>
            <w:noWrap/>
            <w:vAlign w:val="center"/>
            <w:hideMark/>
          </w:tcPr>
          <w:p w14:paraId="38BDB87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332</w:t>
            </w:r>
          </w:p>
        </w:tc>
        <w:tc>
          <w:tcPr>
            <w:tcW w:w="710" w:type="dxa"/>
            <w:tcBorders>
              <w:top w:val="nil"/>
              <w:left w:val="nil"/>
              <w:bottom w:val="single" w:sz="4" w:space="0" w:color="auto"/>
              <w:right w:val="nil"/>
            </w:tcBorders>
            <w:shd w:val="clear" w:color="auto" w:fill="auto"/>
            <w:noWrap/>
            <w:vAlign w:val="center"/>
            <w:hideMark/>
          </w:tcPr>
          <w:p w14:paraId="615B39BC"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203</w:t>
            </w:r>
          </w:p>
        </w:tc>
        <w:tc>
          <w:tcPr>
            <w:tcW w:w="1011" w:type="dxa"/>
            <w:tcBorders>
              <w:top w:val="nil"/>
              <w:left w:val="nil"/>
              <w:bottom w:val="single" w:sz="4" w:space="0" w:color="auto"/>
              <w:right w:val="nil"/>
            </w:tcBorders>
            <w:shd w:val="clear" w:color="auto" w:fill="auto"/>
            <w:noWrap/>
            <w:vAlign w:val="center"/>
            <w:hideMark/>
          </w:tcPr>
          <w:p w14:paraId="03C2CAC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62EAC45B"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225</w:t>
            </w:r>
          </w:p>
        </w:tc>
        <w:tc>
          <w:tcPr>
            <w:tcW w:w="1354" w:type="dxa"/>
            <w:tcBorders>
              <w:top w:val="nil"/>
              <w:left w:val="nil"/>
              <w:bottom w:val="single" w:sz="4" w:space="0" w:color="auto"/>
              <w:right w:val="nil"/>
            </w:tcBorders>
            <w:shd w:val="clear" w:color="auto" w:fill="auto"/>
            <w:noWrap/>
            <w:vAlign w:val="center"/>
            <w:hideMark/>
          </w:tcPr>
          <w:p w14:paraId="637BC580"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256</w:t>
            </w:r>
          </w:p>
        </w:tc>
        <w:tc>
          <w:tcPr>
            <w:tcW w:w="1001" w:type="dxa"/>
            <w:tcBorders>
              <w:top w:val="nil"/>
              <w:left w:val="nil"/>
              <w:bottom w:val="single" w:sz="4" w:space="0" w:color="auto"/>
              <w:right w:val="nil"/>
            </w:tcBorders>
            <w:shd w:val="clear" w:color="auto" w:fill="auto"/>
            <w:noWrap/>
            <w:vAlign w:val="center"/>
            <w:hideMark/>
          </w:tcPr>
          <w:p w14:paraId="1E54B5A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w:t>
            </w:r>
          </w:p>
        </w:tc>
        <w:tc>
          <w:tcPr>
            <w:tcW w:w="992" w:type="dxa"/>
            <w:tcBorders>
              <w:top w:val="nil"/>
              <w:left w:val="nil"/>
              <w:bottom w:val="single" w:sz="4" w:space="0" w:color="auto"/>
              <w:right w:val="nil"/>
            </w:tcBorders>
            <w:shd w:val="clear" w:color="000000" w:fill="F6F8FD"/>
            <w:noWrap/>
            <w:vAlign w:val="center"/>
            <w:hideMark/>
          </w:tcPr>
          <w:p w14:paraId="32C9FF6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129%</w:t>
            </w:r>
          </w:p>
        </w:tc>
      </w:tr>
      <w:tr w:rsidR="0028350E" w:rsidRPr="007364B1" w14:paraId="7D67E641"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5B039EF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34F58135"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55,569</w:t>
            </w:r>
          </w:p>
        </w:tc>
        <w:tc>
          <w:tcPr>
            <w:tcW w:w="992" w:type="dxa"/>
            <w:tcBorders>
              <w:top w:val="nil"/>
              <w:left w:val="nil"/>
              <w:bottom w:val="single" w:sz="4" w:space="0" w:color="auto"/>
              <w:right w:val="nil"/>
            </w:tcBorders>
            <w:shd w:val="clear" w:color="auto" w:fill="auto"/>
            <w:noWrap/>
            <w:vAlign w:val="center"/>
            <w:hideMark/>
          </w:tcPr>
          <w:p w14:paraId="496A992F"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71,178</w:t>
            </w:r>
          </w:p>
        </w:tc>
        <w:tc>
          <w:tcPr>
            <w:tcW w:w="851" w:type="dxa"/>
            <w:tcBorders>
              <w:top w:val="single" w:sz="4" w:space="0" w:color="auto"/>
              <w:left w:val="nil"/>
              <w:bottom w:val="single" w:sz="4" w:space="0" w:color="auto"/>
              <w:right w:val="nil"/>
            </w:tcBorders>
            <w:shd w:val="clear" w:color="000000" w:fill="F8696B"/>
            <w:noWrap/>
            <w:vAlign w:val="center"/>
            <w:hideMark/>
          </w:tcPr>
          <w:p w14:paraId="19836C2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+28%</w:t>
            </w:r>
          </w:p>
        </w:tc>
        <w:tc>
          <w:tcPr>
            <w:tcW w:w="992" w:type="dxa"/>
            <w:tcBorders>
              <w:top w:val="nil"/>
              <w:left w:val="nil"/>
              <w:bottom w:val="single" w:sz="4" w:space="0" w:color="auto"/>
              <w:right w:val="nil"/>
            </w:tcBorders>
            <w:shd w:val="clear" w:color="auto" w:fill="auto"/>
            <w:noWrap/>
            <w:vAlign w:val="center"/>
            <w:hideMark/>
          </w:tcPr>
          <w:p w14:paraId="61D7EF79"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82,261</w:t>
            </w:r>
          </w:p>
        </w:tc>
        <w:tc>
          <w:tcPr>
            <w:tcW w:w="850" w:type="dxa"/>
            <w:tcBorders>
              <w:top w:val="nil"/>
              <w:left w:val="nil"/>
              <w:bottom w:val="single" w:sz="4" w:space="0" w:color="auto"/>
              <w:right w:val="nil"/>
            </w:tcBorders>
            <w:shd w:val="clear" w:color="auto" w:fill="auto"/>
            <w:noWrap/>
            <w:vAlign w:val="center"/>
            <w:hideMark/>
          </w:tcPr>
          <w:p w14:paraId="340AEBB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6,385</w:t>
            </w:r>
          </w:p>
        </w:tc>
        <w:tc>
          <w:tcPr>
            <w:tcW w:w="1051" w:type="dxa"/>
            <w:tcBorders>
              <w:top w:val="nil"/>
              <w:left w:val="nil"/>
              <w:bottom w:val="single" w:sz="4" w:space="0" w:color="auto"/>
              <w:right w:val="nil"/>
            </w:tcBorders>
            <w:shd w:val="clear" w:color="auto" w:fill="auto"/>
            <w:noWrap/>
            <w:vAlign w:val="center"/>
            <w:hideMark/>
          </w:tcPr>
          <w:p w14:paraId="2201C7D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2,460</w:t>
            </w:r>
          </w:p>
        </w:tc>
        <w:tc>
          <w:tcPr>
            <w:tcW w:w="869" w:type="dxa"/>
            <w:tcBorders>
              <w:top w:val="nil"/>
              <w:left w:val="nil"/>
              <w:bottom w:val="single" w:sz="4" w:space="0" w:color="auto"/>
              <w:right w:val="nil"/>
            </w:tcBorders>
            <w:shd w:val="clear" w:color="auto" w:fill="auto"/>
            <w:noWrap/>
            <w:vAlign w:val="center"/>
            <w:hideMark/>
          </w:tcPr>
          <w:p w14:paraId="395D30D8"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8,845</w:t>
            </w:r>
          </w:p>
        </w:tc>
        <w:tc>
          <w:tcPr>
            <w:tcW w:w="710" w:type="dxa"/>
            <w:tcBorders>
              <w:top w:val="nil"/>
              <w:left w:val="nil"/>
              <w:bottom w:val="single" w:sz="4" w:space="0" w:color="auto"/>
              <w:right w:val="nil"/>
            </w:tcBorders>
            <w:shd w:val="clear" w:color="auto" w:fill="auto"/>
            <w:noWrap/>
            <w:vAlign w:val="center"/>
            <w:hideMark/>
          </w:tcPr>
          <w:p w14:paraId="472793D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5,563</w:t>
            </w:r>
          </w:p>
        </w:tc>
        <w:tc>
          <w:tcPr>
            <w:tcW w:w="1011" w:type="dxa"/>
            <w:tcBorders>
              <w:top w:val="nil"/>
              <w:left w:val="nil"/>
              <w:bottom w:val="single" w:sz="4" w:space="0" w:color="auto"/>
              <w:right w:val="nil"/>
            </w:tcBorders>
            <w:shd w:val="clear" w:color="auto" w:fill="auto"/>
            <w:noWrap/>
            <w:vAlign w:val="center"/>
            <w:hideMark/>
          </w:tcPr>
          <w:p w14:paraId="545FF3AD"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001419C1"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7,143</w:t>
            </w:r>
          </w:p>
        </w:tc>
        <w:tc>
          <w:tcPr>
            <w:tcW w:w="1354" w:type="dxa"/>
            <w:tcBorders>
              <w:top w:val="nil"/>
              <w:left w:val="nil"/>
              <w:bottom w:val="single" w:sz="4" w:space="0" w:color="auto"/>
              <w:right w:val="nil"/>
            </w:tcBorders>
            <w:shd w:val="clear" w:color="auto" w:fill="auto"/>
            <w:noWrap/>
            <w:vAlign w:val="center"/>
            <w:hideMark/>
          </w:tcPr>
          <w:p w14:paraId="1E2CB5CA"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8,334</w:t>
            </w:r>
          </w:p>
        </w:tc>
        <w:tc>
          <w:tcPr>
            <w:tcW w:w="1001" w:type="dxa"/>
            <w:tcBorders>
              <w:top w:val="nil"/>
              <w:left w:val="nil"/>
              <w:bottom w:val="single" w:sz="4" w:space="0" w:color="auto"/>
              <w:right w:val="nil"/>
            </w:tcBorders>
            <w:shd w:val="clear" w:color="auto" w:fill="auto"/>
            <w:noWrap/>
            <w:vAlign w:val="center"/>
            <w:hideMark/>
          </w:tcPr>
          <w:p w14:paraId="3446D476"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86%</w:t>
            </w:r>
          </w:p>
        </w:tc>
        <w:tc>
          <w:tcPr>
            <w:tcW w:w="992" w:type="dxa"/>
            <w:tcBorders>
              <w:top w:val="single" w:sz="4" w:space="0" w:color="auto"/>
              <w:left w:val="nil"/>
              <w:bottom w:val="single" w:sz="4" w:space="0" w:color="auto"/>
              <w:right w:val="nil"/>
            </w:tcBorders>
            <w:shd w:val="clear" w:color="000000" w:fill="FCF1F3"/>
            <w:noWrap/>
            <w:vAlign w:val="center"/>
            <w:hideMark/>
          </w:tcPr>
          <w:p w14:paraId="1C517E53" w14:textId="77777777" w:rsidR="0028350E" w:rsidRPr="00C40058" w:rsidRDefault="0028350E" w:rsidP="002A2ED9">
            <w:pPr>
              <w:spacing w:before="0" w:after="0"/>
              <w:jc w:val="right"/>
              <w:rPr>
                <w:rFonts w:ascii="Blanco" w:eastAsia="Times New Roman" w:hAnsi="Blanco" w:cs="Times New Roman"/>
                <w:color w:val="231F20"/>
                <w:sz w:val="18"/>
                <w:szCs w:val="18"/>
                <w:lang w:val="en-AU" w:eastAsia="en-AU"/>
              </w:rPr>
            </w:pPr>
            <w:r w:rsidRPr="00C40058">
              <w:rPr>
                <w:rFonts w:ascii="Blanco" w:hAnsi="Blanco"/>
                <w:color w:val="231F20"/>
                <w:sz w:val="18"/>
                <w:szCs w:val="18"/>
              </w:rPr>
              <w:t>144%</w:t>
            </w:r>
          </w:p>
        </w:tc>
      </w:tr>
    </w:tbl>
    <w:p w14:paraId="0D1113DD" w14:textId="77777777" w:rsidR="00AA33F9" w:rsidRDefault="00AA33F9" w:rsidP="00AA33F9">
      <w:pPr>
        <w:pStyle w:val="Tablenotesnumbers"/>
        <w:numPr>
          <w:ilvl w:val="1"/>
          <w:numId w:val="48"/>
        </w:numPr>
      </w:pPr>
      <w:r>
        <w:t>Steady state number is the sum of exits and the number aging out</w:t>
      </w:r>
    </w:p>
    <w:p w14:paraId="6333BA4C" w14:textId="77777777"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15F93CFC" w14:textId="77777777" w:rsidR="0028350E" w:rsidRDefault="0028350E" w:rsidP="0028350E"/>
    <w:p w14:paraId="15A53C48" w14:textId="77777777" w:rsidR="0028350E" w:rsidRDefault="0028350E" w:rsidP="00A52191">
      <w:pPr>
        <w:pStyle w:val="AppendixH3"/>
      </w:pPr>
      <w:r w:rsidRPr="009E1993">
        <w:t xml:space="preserve">Flows of participant numbers in and out of disability types, for participants aged </w:t>
      </w:r>
      <w:r>
        <w:t>65+</w:t>
      </w:r>
    </w:p>
    <w:tbl>
      <w:tblPr>
        <w:tblW w:w="14549" w:type="dxa"/>
        <w:tblInd w:w="108" w:type="dxa"/>
        <w:tblLook w:val="04A0" w:firstRow="1" w:lastRow="0" w:firstColumn="1" w:lastColumn="0" w:noHBand="0" w:noVBand="1"/>
      </w:tblPr>
      <w:tblGrid>
        <w:gridCol w:w="1985"/>
        <w:gridCol w:w="884"/>
        <w:gridCol w:w="1026"/>
        <w:gridCol w:w="851"/>
        <w:gridCol w:w="992"/>
        <w:gridCol w:w="850"/>
        <w:gridCol w:w="1051"/>
        <w:gridCol w:w="869"/>
        <w:gridCol w:w="710"/>
        <w:gridCol w:w="1011"/>
        <w:gridCol w:w="973"/>
        <w:gridCol w:w="1354"/>
        <w:gridCol w:w="1001"/>
        <w:gridCol w:w="992"/>
      </w:tblGrid>
      <w:tr w:rsidR="00ED2FC8" w:rsidRPr="007364B1" w14:paraId="7B843F1B" w14:textId="77777777" w:rsidTr="005D0BB7">
        <w:trPr>
          <w:trHeight w:val="1501"/>
          <w:tblHeader/>
        </w:trPr>
        <w:tc>
          <w:tcPr>
            <w:tcW w:w="1985" w:type="dxa"/>
            <w:tcBorders>
              <w:top w:val="single" w:sz="4" w:space="0" w:color="auto"/>
              <w:left w:val="nil"/>
              <w:bottom w:val="single" w:sz="4" w:space="0" w:color="auto"/>
              <w:right w:val="nil"/>
            </w:tcBorders>
            <w:shd w:val="clear" w:color="auto" w:fill="auto"/>
            <w:noWrap/>
            <w:vAlign w:val="bottom"/>
            <w:hideMark/>
          </w:tcPr>
          <w:p w14:paraId="7F065A7D"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Disability </w:t>
            </w:r>
            <w:r>
              <w:rPr>
                <w:rFonts w:ascii="Blanco" w:eastAsia="Times New Roman" w:hAnsi="Blanco" w:cs="Times New Roman"/>
                <w:b/>
                <w:bCs/>
                <w:color w:val="231F20"/>
                <w:sz w:val="18"/>
                <w:szCs w:val="18"/>
                <w:lang w:val="en-AU" w:eastAsia="en-AU"/>
              </w:rPr>
              <w:t>Type</w:t>
            </w:r>
          </w:p>
        </w:tc>
        <w:tc>
          <w:tcPr>
            <w:tcW w:w="884" w:type="dxa"/>
            <w:tcBorders>
              <w:top w:val="single" w:sz="4" w:space="0" w:color="auto"/>
              <w:left w:val="nil"/>
              <w:bottom w:val="single" w:sz="4" w:space="0" w:color="auto"/>
              <w:right w:val="nil"/>
            </w:tcBorders>
            <w:shd w:val="clear" w:color="auto" w:fill="auto"/>
            <w:vAlign w:val="bottom"/>
            <w:hideMark/>
          </w:tcPr>
          <w:p w14:paraId="31CA606D"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2021 number</w:t>
            </w:r>
            <w:r>
              <w:rPr>
                <w:rFonts w:ascii="Blanco" w:eastAsia="Times New Roman" w:hAnsi="Blanco" w:cs="Times New Roman"/>
                <w:b/>
                <w:bCs/>
                <w:color w:val="231F20"/>
                <w:sz w:val="18"/>
                <w:szCs w:val="18"/>
                <w:lang w:val="en-AU" w:eastAsia="en-AU"/>
              </w:rPr>
              <w:t xml:space="preserve"> of people</w:t>
            </w:r>
          </w:p>
        </w:tc>
        <w:tc>
          <w:tcPr>
            <w:tcW w:w="1026" w:type="dxa"/>
            <w:tcBorders>
              <w:top w:val="single" w:sz="4" w:space="0" w:color="auto"/>
              <w:left w:val="nil"/>
              <w:bottom w:val="single" w:sz="4" w:space="0" w:color="auto"/>
              <w:right w:val="nil"/>
            </w:tcBorders>
            <w:shd w:val="clear" w:color="auto" w:fill="auto"/>
            <w:vAlign w:val="bottom"/>
            <w:hideMark/>
          </w:tcPr>
          <w:p w14:paraId="3BE2088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xml:space="preserve">2025 projected </w:t>
            </w:r>
          </w:p>
        </w:tc>
        <w:tc>
          <w:tcPr>
            <w:tcW w:w="851" w:type="dxa"/>
            <w:tcBorders>
              <w:top w:val="single" w:sz="4" w:space="0" w:color="auto"/>
              <w:left w:val="nil"/>
              <w:bottom w:val="single" w:sz="4" w:space="0" w:color="auto"/>
              <w:right w:val="nil"/>
            </w:tcBorders>
            <w:shd w:val="clear" w:color="auto" w:fill="auto"/>
            <w:vAlign w:val="bottom"/>
            <w:hideMark/>
          </w:tcPr>
          <w:p w14:paraId="696E9941" w14:textId="08E0FA64"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change</w:t>
            </w:r>
          </w:p>
        </w:tc>
        <w:tc>
          <w:tcPr>
            <w:tcW w:w="992" w:type="dxa"/>
            <w:tcBorders>
              <w:top w:val="single" w:sz="4" w:space="0" w:color="auto"/>
              <w:left w:val="nil"/>
              <w:bottom w:val="single" w:sz="4" w:space="0" w:color="auto"/>
              <w:right w:val="nil"/>
            </w:tcBorders>
            <w:shd w:val="clear" w:color="auto" w:fill="auto"/>
            <w:vAlign w:val="bottom"/>
            <w:hideMark/>
          </w:tcPr>
          <w:p w14:paraId="52FA4DDF" w14:textId="28AF5EE5"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2030 projected</w:t>
            </w:r>
          </w:p>
        </w:tc>
        <w:tc>
          <w:tcPr>
            <w:tcW w:w="850" w:type="dxa"/>
            <w:tcBorders>
              <w:top w:val="single" w:sz="4" w:space="0" w:color="auto"/>
              <w:left w:val="nil"/>
              <w:bottom w:val="single" w:sz="4" w:space="0" w:color="auto"/>
              <w:right w:val="nil"/>
            </w:tcBorders>
            <w:shd w:val="clear" w:color="auto" w:fill="auto"/>
            <w:vAlign w:val="bottom"/>
            <w:hideMark/>
          </w:tcPr>
          <w:p w14:paraId="678A3622" w14:textId="06CC1B8A"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out (4-year proj avg)</w:t>
            </w:r>
          </w:p>
        </w:tc>
        <w:tc>
          <w:tcPr>
            <w:tcW w:w="1051" w:type="dxa"/>
            <w:tcBorders>
              <w:top w:val="single" w:sz="4" w:space="0" w:color="auto"/>
              <w:left w:val="nil"/>
              <w:bottom w:val="single" w:sz="4" w:space="0" w:color="auto"/>
              <w:right w:val="nil"/>
            </w:tcBorders>
            <w:shd w:val="clear" w:color="auto" w:fill="auto"/>
            <w:vAlign w:val="bottom"/>
            <w:hideMark/>
          </w:tcPr>
          <w:p w14:paraId="3C4B9330" w14:textId="175BD104"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Exits (mortality + other)</w:t>
            </w:r>
          </w:p>
        </w:tc>
        <w:tc>
          <w:tcPr>
            <w:tcW w:w="869" w:type="dxa"/>
            <w:tcBorders>
              <w:top w:val="single" w:sz="4" w:space="0" w:color="auto"/>
              <w:left w:val="nil"/>
              <w:bottom w:val="single" w:sz="4" w:space="0" w:color="auto"/>
              <w:right w:val="nil"/>
            </w:tcBorders>
            <w:shd w:val="clear" w:color="auto" w:fill="auto"/>
            <w:vAlign w:val="bottom"/>
            <w:hideMark/>
          </w:tcPr>
          <w:p w14:paraId="3A5A744D" w14:textId="7B1B09D0"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Steady state number</w:t>
            </w:r>
          </w:p>
        </w:tc>
        <w:tc>
          <w:tcPr>
            <w:tcW w:w="710" w:type="dxa"/>
            <w:tcBorders>
              <w:top w:val="single" w:sz="4" w:space="0" w:color="auto"/>
              <w:left w:val="nil"/>
              <w:bottom w:val="single" w:sz="4" w:space="0" w:color="auto"/>
              <w:right w:val="nil"/>
            </w:tcBorders>
            <w:shd w:val="clear" w:color="auto" w:fill="auto"/>
            <w:vAlign w:val="bottom"/>
            <w:hideMark/>
          </w:tcPr>
          <w:p w14:paraId="3B2C7BF9" w14:textId="5F5F8AF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 aging in (4-year proj)</w:t>
            </w:r>
          </w:p>
        </w:tc>
        <w:tc>
          <w:tcPr>
            <w:tcW w:w="1011" w:type="dxa"/>
            <w:tcBorders>
              <w:top w:val="single" w:sz="4" w:space="0" w:color="auto"/>
              <w:left w:val="nil"/>
              <w:bottom w:val="single" w:sz="4" w:space="0" w:color="auto"/>
              <w:right w:val="nil"/>
            </w:tcBorders>
            <w:shd w:val="clear" w:color="auto" w:fill="auto"/>
            <w:vAlign w:val="bottom"/>
            <w:hideMark/>
          </w:tcPr>
          <w:p w14:paraId="349CDCAB"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Transfers (avg next 4 years)</w:t>
            </w:r>
          </w:p>
        </w:tc>
        <w:tc>
          <w:tcPr>
            <w:tcW w:w="973" w:type="dxa"/>
            <w:tcBorders>
              <w:top w:val="single" w:sz="4" w:space="0" w:color="auto"/>
              <w:left w:val="nil"/>
              <w:bottom w:val="single" w:sz="4" w:space="0" w:color="auto"/>
              <w:right w:val="nil"/>
            </w:tcBorders>
            <w:shd w:val="clear" w:color="auto" w:fill="auto"/>
            <w:vAlign w:val="bottom"/>
            <w:hideMark/>
          </w:tcPr>
          <w:p w14:paraId="00CA6477" w14:textId="09C4C3F0"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 xml:space="preserve">New </w:t>
            </w:r>
            <w:r w:rsidR="00793029">
              <w:rPr>
                <w:rFonts w:ascii="Blanco" w:eastAsia="Times New Roman" w:hAnsi="Blanco" w:cs="Times New Roman"/>
                <w:b/>
                <w:bCs/>
                <w:color w:val="231F20"/>
                <w:sz w:val="18"/>
                <w:szCs w:val="18"/>
                <w:lang w:val="en-AU" w:eastAsia="en-AU"/>
              </w:rPr>
              <w:t>e</w:t>
            </w:r>
            <w:r w:rsidR="00ED2FC8" w:rsidRPr="007364B1">
              <w:rPr>
                <w:rFonts w:ascii="Blanco" w:eastAsia="Times New Roman" w:hAnsi="Blanco" w:cs="Times New Roman"/>
                <w:b/>
                <w:bCs/>
                <w:color w:val="231F20"/>
                <w:sz w:val="18"/>
                <w:szCs w:val="18"/>
                <w:lang w:val="en-AU" w:eastAsia="en-AU"/>
              </w:rPr>
              <w:t>ntries (avg next four years)</w:t>
            </w:r>
          </w:p>
        </w:tc>
        <w:tc>
          <w:tcPr>
            <w:tcW w:w="1354" w:type="dxa"/>
            <w:tcBorders>
              <w:top w:val="single" w:sz="4" w:space="0" w:color="auto"/>
              <w:left w:val="nil"/>
              <w:bottom w:val="single" w:sz="4" w:space="0" w:color="auto"/>
              <w:right w:val="nil"/>
            </w:tcBorders>
            <w:shd w:val="clear" w:color="auto" w:fill="auto"/>
            <w:vAlign w:val="bottom"/>
            <w:hideMark/>
          </w:tcPr>
          <w:p w14:paraId="6F7CE29F" w14:textId="33DC474E" w:rsidR="00ED2FC8" w:rsidRPr="007364B1" w:rsidRDefault="00AA33F9" w:rsidP="00ED2FC8">
            <w:pPr>
              <w:spacing w:before="0" w:after="0"/>
              <w:rPr>
                <w:rFonts w:ascii="Blanco" w:eastAsia="Times New Roman" w:hAnsi="Blanco" w:cs="Times New Roman"/>
                <w:b/>
                <w:bCs/>
                <w:color w:val="231F20"/>
                <w:sz w:val="18"/>
                <w:szCs w:val="18"/>
                <w:lang w:val="en-AU" w:eastAsia="en-AU"/>
              </w:rPr>
            </w:pPr>
            <w:r>
              <w:rPr>
                <w:rFonts w:ascii="Blanco" w:eastAsia="Times New Roman" w:hAnsi="Blanco" w:cs="Times New Roman"/>
                <w:b/>
                <w:bCs/>
                <w:color w:val="231F20"/>
                <w:sz w:val="18"/>
                <w:szCs w:val="18"/>
                <w:lang w:val="en-AU" w:eastAsia="en-AU"/>
              </w:rPr>
              <w:t>Past e</w:t>
            </w:r>
            <w:r w:rsidR="00ED2FC8" w:rsidRPr="007364B1">
              <w:rPr>
                <w:rFonts w:ascii="Blanco" w:eastAsia="Times New Roman" w:hAnsi="Blanco" w:cs="Times New Roman"/>
                <w:b/>
                <w:bCs/>
                <w:color w:val="231F20"/>
                <w:sz w:val="18"/>
                <w:szCs w:val="18"/>
                <w:lang w:val="en-AU" w:eastAsia="en-AU"/>
              </w:rPr>
              <w:t>ntries (avg past 6 months from outside CMW state schemes, annualised)</w:t>
            </w:r>
          </w:p>
        </w:tc>
        <w:tc>
          <w:tcPr>
            <w:tcW w:w="1001" w:type="dxa"/>
            <w:tcBorders>
              <w:top w:val="single" w:sz="4" w:space="0" w:color="auto"/>
              <w:left w:val="nil"/>
              <w:bottom w:val="single" w:sz="4" w:space="0" w:color="auto"/>
              <w:right w:val="nil"/>
            </w:tcBorders>
            <w:shd w:val="clear" w:color="auto" w:fill="auto"/>
            <w:vAlign w:val="bottom"/>
            <w:hideMark/>
          </w:tcPr>
          <w:p w14:paraId="250EF336"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past</w:t>
            </w:r>
          </w:p>
        </w:tc>
        <w:tc>
          <w:tcPr>
            <w:tcW w:w="992" w:type="dxa"/>
            <w:tcBorders>
              <w:top w:val="single" w:sz="4" w:space="0" w:color="auto"/>
              <w:left w:val="nil"/>
              <w:bottom w:val="single" w:sz="4" w:space="0" w:color="auto"/>
              <w:right w:val="nil"/>
            </w:tcBorders>
            <w:shd w:val="clear" w:color="auto" w:fill="auto"/>
            <w:vAlign w:val="bottom"/>
            <w:hideMark/>
          </w:tcPr>
          <w:p w14:paraId="499530F7" w14:textId="77777777" w:rsidR="00ED2FC8" w:rsidRPr="007364B1" w:rsidRDefault="00ED2FC8" w:rsidP="00ED2FC8">
            <w:pPr>
              <w:spacing w:before="0" w:after="0"/>
              <w:rPr>
                <w:rFonts w:ascii="Blanco" w:eastAsia="Times New Roman" w:hAnsi="Blanco" w:cs="Times New Roman"/>
                <w:b/>
                <w:bCs/>
                <w:color w:val="231F20"/>
                <w:sz w:val="18"/>
                <w:szCs w:val="18"/>
                <w:lang w:val="en-AU" w:eastAsia="en-AU"/>
              </w:rPr>
            </w:pPr>
            <w:r w:rsidRPr="007364B1">
              <w:rPr>
                <w:rFonts w:ascii="Blanco" w:eastAsia="Times New Roman" w:hAnsi="Blanco" w:cs="Times New Roman"/>
                <w:b/>
                <w:bCs/>
                <w:color w:val="231F20"/>
                <w:sz w:val="18"/>
                <w:szCs w:val="18"/>
                <w:lang w:val="en-AU" w:eastAsia="en-AU"/>
              </w:rPr>
              <w:t>Ratio projected / steady state</w:t>
            </w:r>
          </w:p>
        </w:tc>
      </w:tr>
      <w:tr w:rsidR="0028350E" w:rsidRPr="007364B1" w14:paraId="50B91C69" w14:textId="77777777" w:rsidTr="00AA33F9">
        <w:trPr>
          <w:trHeight w:val="360"/>
        </w:trPr>
        <w:tc>
          <w:tcPr>
            <w:tcW w:w="1985" w:type="dxa"/>
            <w:tcBorders>
              <w:top w:val="nil"/>
              <w:left w:val="nil"/>
              <w:bottom w:val="nil"/>
              <w:right w:val="nil"/>
            </w:tcBorders>
            <w:shd w:val="clear" w:color="auto" w:fill="auto"/>
            <w:noWrap/>
            <w:vAlign w:val="bottom"/>
            <w:hideMark/>
          </w:tcPr>
          <w:p w14:paraId="1B75E4AC"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ABI</w:t>
            </w:r>
          </w:p>
        </w:tc>
        <w:tc>
          <w:tcPr>
            <w:tcW w:w="884" w:type="dxa"/>
            <w:tcBorders>
              <w:top w:val="nil"/>
              <w:left w:val="nil"/>
              <w:bottom w:val="nil"/>
              <w:right w:val="nil"/>
            </w:tcBorders>
            <w:shd w:val="clear" w:color="auto" w:fill="auto"/>
            <w:noWrap/>
            <w:vAlign w:val="center"/>
            <w:hideMark/>
          </w:tcPr>
          <w:p w14:paraId="14D269B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1,243</w:t>
            </w:r>
          </w:p>
        </w:tc>
        <w:tc>
          <w:tcPr>
            <w:tcW w:w="1026" w:type="dxa"/>
            <w:tcBorders>
              <w:top w:val="nil"/>
              <w:left w:val="nil"/>
              <w:bottom w:val="nil"/>
              <w:right w:val="nil"/>
            </w:tcBorders>
            <w:shd w:val="clear" w:color="auto" w:fill="auto"/>
            <w:noWrap/>
            <w:vAlign w:val="center"/>
            <w:hideMark/>
          </w:tcPr>
          <w:p w14:paraId="672D383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2,642</w:t>
            </w:r>
          </w:p>
        </w:tc>
        <w:tc>
          <w:tcPr>
            <w:tcW w:w="851" w:type="dxa"/>
            <w:tcBorders>
              <w:top w:val="nil"/>
              <w:left w:val="nil"/>
              <w:bottom w:val="nil"/>
              <w:right w:val="nil"/>
            </w:tcBorders>
            <w:shd w:val="clear" w:color="000000" w:fill="FBD6D9"/>
            <w:noWrap/>
            <w:vAlign w:val="center"/>
            <w:hideMark/>
          </w:tcPr>
          <w:p w14:paraId="4CD16C9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+113%</w:t>
            </w:r>
          </w:p>
        </w:tc>
        <w:tc>
          <w:tcPr>
            <w:tcW w:w="992" w:type="dxa"/>
            <w:tcBorders>
              <w:top w:val="nil"/>
              <w:left w:val="nil"/>
              <w:bottom w:val="nil"/>
              <w:right w:val="nil"/>
            </w:tcBorders>
            <w:shd w:val="clear" w:color="auto" w:fill="auto"/>
            <w:noWrap/>
            <w:vAlign w:val="center"/>
            <w:hideMark/>
          </w:tcPr>
          <w:p w14:paraId="193EDC6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4,088</w:t>
            </w:r>
          </w:p>
        </w:tc>
        <w:tc>
          <w:tcPr>
            <w:tcW w:w="850" w:type="dxa"/>
            <w:tcBorders>
              <w:top w:val="nil"/>
              <w:left w:val="nil"/>
              <w:bottom w:val="nil"/>
              <w:right w:val="nil"/>
            </w:tcBorders>
            <w:shd w:val="clear" w:color="auto" w:fill="auto"/>
            <w:noWrap/>
            <w:vAlign w:val="center"/>
            <w:hideMark/>
          </w:tcPr>
          <w:p w14:paraId="1B9B351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2C4F7D2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125</w:t>
            </w:r>
          </w:p>
        </w:tc>
        <w:tc>
          <w:tcPr>
            <w:tcW w:w="869" w:type="dxa"/>
            <w:tcBorders>
              <w:top w:val="nil"/>
              <w:left w:val="nil"/>
              <w:bottom w:val="nil"/>
              <w:right w:val="nil"/>
            </w:tcBorders>
            <w:shd w:val="clear" w:color="auto" w:fill="auto"/>
            <w:noWrap/>
            <w:vAlign w:val="center"/>
            <w:hideMark/>
          </w:tcPr>
          <w:p w14:paraId="00803E6C"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125</w:t>
            </w:r>
          </w:p>
        </w:tc>
        <w:tc>
          <w:tcPr>
            <w:tcW w:w="710" w:type="dxa"/>
            <w:tcBorders>
              <w:top w:val="nil"/>
              <w:left w:val="nil"/>
              <w:bottom w:val="nil"/>
              <w:right w:val="nil"/>
            </w:tcBorders>
            <w:shd w:val="clear" w:color="auto" w:fill="auto"/>
            <w:noWrap/>
            <w:vAlign w:val="center"/>
            <w:hideMark/>
          </w:tcPr>
          <w:p w14:paraId="52E76A2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461</w:t>
            </w:r>
          </w:p>
        </w:tc>
        <w:tc>
          <w:tcPr>
            <w:tcW w:w="1011" w:type="dxa"/>
            <w:tcBorders>
              <w:top w:val="nil"/>
              <w:left w:val="nil"/>
              <w:bottom w:val="nil"/>
              <w:right w:val="nil"/>
            </w:tcBorders>
            <w:shd w:val="clear" w:color="auto" w:fill="auto"/>
            <w:noWrap/>
            <w:vAlign w:val="center"/>
            <w:hideMark/>
          </w:tcPr>
          <w:p w14:paraId="12DF7D5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2D8092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20</w:t>
            </w:r>
          </w:p>
        </w:tc>
        <w:tc>
          <w:tcPr>
            <w:tcW w:w="1354" w:type="dxa"/>
            <w:tcBorders>
              <w:top w:val="nil"/>
              <w:left w:val="nil"/>
              <w:bottom w:val="nil"/>
              <w:right w:val="nil"/>
            </w:tcBorders>
            <w:shd w:val="clear" w:color="auto" w:fill="auto"/>
            <w:noWrap/>
            <w:vAlign w:val="center"/>
            <w:hideMark/>
          </w:tcPr>
          <w:p w14:paraId="54E4373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46</w:t>
            </w:r>
          </w:p>
        </w:tc>
        <w:tc>
          <w:tcPr>
            <w:tcW w:w="1001" w:type="dxa"/>
            <w:tcBorders>
              <w:top w:val="nil"/>
              <w:left w:val="nil"/>
              <w:bottom w:val="nil"/>
              <w:right w:val="nil"/>
            </w:tcBorders>
            <w:shd w:val="clear" w:color="auto" w:fill="auto"/>
            <w:noWrap/>
            <w:vAlign w:val="center"/>
            <w:hideMark/>
          </w:tcPr>
          <w:p w14:paraId="52274A9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44%</w:t>
            </w:r>
          </w:p>
        </w:tc>
        <w:tc>
          <w:tcPr>
            <w:tcW w:w="992" w:type="dxa"/>
            <w:tcBorders>
              <w:top w:val="nil"/>
              <w:left w:val="nil"/>
              <w:bottom w:val="nil"/>
              <w:right w:val="nil"/>
            </w:tcBorders>
            <w:shd w:val="clear" w:color="000000" w:fill="CDDBEE"/>
            <w:noWrap/>
            <w:vAlign w:val="center"/>
            <w:hideMark/>
          </w:tcPr>
          <w:p w14:paraId="486473B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385%</w:t>
            </w:r>
          </w:p>
        </w:tc>
      </w:tr>
      <w:tr w:rsidR="0028350E" w:rsidRPr="007364B1" w14:paraId="54FA994A" w14:textId="77777777" w:rsidTr="00AA33F9">
        <w:trPr>
          <w:trHeight w:val="360"/>
        </w:trPr>
        <w:tc>
          <w:tcPr>
            <w:tcW w:w="1985" w:type="dxa"/>
            <w:tcBorders>
              <w:top w:val="nil"/>
              <w:left w:val="nil"/>
              <w:bottom w:val="nil"/>
              <w:right w:val="nil"/>
            </w:tcBorders>
            <w:shd w:val="clear" w:color="auto" w:fill="auto"/>
            <w:noWrap/>
            <w:vAlign w:val="bottom"/>
            <w:hideMark/>
          </w:tcPr>
          <w:p w14:paraId="6883C08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Autism</w:t>
            </w:r>
          </w:p>
        </w:tc>
        <w:tc>
          <w:tcPr>
            <w:tcW w:w="884" w:type="dxa"/>
            <w:tcBorders>
              <w:top w:val="nil"/>
              <w:left w:val="nil"/>
              <w:bottom w:val="nil"/>
              <w:right w:val="nil"/>
            </w:tcBorders>
            <w:shd w:val="clear" w:color="auto" w:fill="auto"/>
            <w:noWrap/>
            <w:vAlign w:val="center"/>
            <w:hideMark/>
          </w:tcPr>
          <w:p w14:paraId="217F14A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125</w:t>
            </w:r>
          </w:p>
        </w:tc>
        <w:tc>
          <w:tcPr>
            <w:tcW w:w="1026" w:type="dxa"/>
            <w:tcBorders>
              <w:top w:val="nil"/>
              <w:left w:val="nil"/>
              <w:bottom w:val="nil"/>
              <w:right w:val="nil"/>
            </w:tcBorders>
            <w:shd w:val="clear" w:color="auto" w:fill="auto"/>
            <w:noWrap/>
            <w:vAlign w:val="center"/>
            <w:hideMark/>
          </w:tcPr>
          <w:p w14:paraId="23490BD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316</w:t>
            </w:r>
          </w:p>
        </w:tc>
        <w:tc>
          <w:tcPr>
            <w:tcW w:w="851" w:type="dxa"/>
            <w:tcBorders>
              <w:top w:val="nil"/>
              <w:left w:val="nil"/>
              <w:bottom w:val="nil"/>
              <w:right w:val="nil"/>
            </w:tcBorders>
            <w:shd w:val="clear" w:color="000000" w:fill="FBC2C4"/>
            <w:noWrap/>
            <w:vAlign w:val="center"/>
            <w:hideMark/>
          </w:tcPr>
          <w:p w14:paraId="4456F1A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+153%</w:t>
            </w:r>
          </w:p>
        </w:tc>
        <w:tc>
          <w:tcPr>
            <w:tcW w:w="992" w:type="dxa"/>
            <w:tcBorders>
              <w:top w:val="nil"/>
              <w:left w:val="nil"/>
              <w:bottom w:val="nil"/>
              <w:right w:val="nil"/>
            </w:tcBorders>
            <w:shd w:val="clear" w:color="auto" w:fill="auto"/>
            <w:noWrap/>
            <w:vAlign w:val="center"/>
            <w:hideMark/>
          </w:tcPr>
          <w:p w14:paraId="5682156C"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598</w:t>
            </w:r>
          </w:p>
        </w:tc>
        <w:tc>
          <w:tcPr>
            <w:tcW w:w="850" w:type="dxa"/>
            <w:tcBorders>
              <w:top w:val="nil"/>
              <w:left w:val="nil"/>
              <w:bottom w:val="nil"/>
              <w:right w:val="nil"/>
            </w:tcBorders>
            <w:shd w:val="clear" w:color="auto" w:fill="auto"/>
            <w:noWrap/>
            <w:vAlign w:val="center"/>
            <w:hideMark/>
          </w:tcPr>
          <w:p w14:paraId="577CA41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3AF76E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w:t>
            </w:r>
          </w:p>
        </w:tc>
        <w:tc>
          <w:tcPr>
            <w:tcW w:w="869" w:type="dxa"/>
            <w:tcBorders>
              <w:top w:val="nil"/>
              <w:left w:val="nil"/>
              <w:bottom w:val="nil"/>
              <w:right w:val="nil"/>
            </w:tcBorders>
            <w:shd w:val="clear" w:color="auto" w:fill="auto"/>
            <w:noWrap/>
            <w:vAlign w:val="center"/>
            <w:hideMark/>
          </w:tcPr>
          <w:p w14:paraId="5D72058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w:t>
            </w:r>
          </w:p>
        </w:tc>
        <w:tc>
          <w:tcPr>
            <w:tcW w:w="710" w:type="dxa"/>
            <w:tcBorders>
              <w:top w:val="nil"/>
              <w:left w:val="nil"/>
              <w:bottom w:val="nil"/>
              <w:right w:val="nil"/>
            </w:tcBorders>
            <w:shd w:val="clear" w:color="auto" w:fill="auto"/>
            <w:noWrap/>
            <w:vAlign w:val="center"/>
            <w:hideMark/>
          </w:tcPr>
          <w:p w14:paraId="7A4B55B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55</w:t>
            </w:r>
          </w:p>
        </w:tc>
        <w:tc>
          <w:tcPr>
            <w:tcW w:w="1011" w:type="dxa"/>
            <w:tcBorders>
              <w:top w:val="nil"/>
              <w:left w:val="nil"/>
              <w:bottom w:val="nil"/>
              <w:right w:val="nil"/>
            </w:tcBorders>
            <w:shd w:val="clear" w:color="auto" w:fill="auto"/>
            <w:noWrap/>
            <w:vAlign w:val="center"/>
            <w:hideMark/>
          </w:tcPr>
          <w:p w14:paraId="37257FB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4A0742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w:t>
            </w:r>
          </w:p>
        </w:tc>
        <w:tc>
          <w:tcPr>
            <w:tcW w:w="1354" w:type="dxa"/>
            <w:tcBorders>
              <w:top w:val="nil"/>
              <w:left w:val="nil"/>
              <w:bottom w:val="nil"/>
              <w:right w:val="nil"/>
            </w:tcBorders>
            <w:shd w:val="clear" w:color="auto" w:fill="auto"/>
            <w:noWrap/>
            <w:vAlign w:val="center"/>
            <w:hideMark/>
          </w:tcPr>
          <w:p w14:paraId="0A94E79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w:t>
            </w:r>
          </w:p>
        </w:tc>
        <w:tc>
          <w:tcPr>
            <w:tcW w:w="1001" w:type="dxa"/>
            <w:tcBorders>
              <w:top w:val="nil"/>
              <w:left w:val="nil"/>
              <w:bottom w:val="nil"/>
              <w:right w:val="nil"/>
            </w:tcBorders>
            <w:shd w:val="clear" w:color="auto" w:fill="auto"/>
            <w:noWrap/>
            <w:vAlign w:val="center"/>
            <w:hideMark/>
          </w:tcPr>
          <w:p w14:paraId="0D865E0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45%</w:t>
            </w:r>
          </w:p>
        </w:tc>
        <w:tc>
          <w:tcPr>
            <w:tcW w:w="992" w:type="dxa"/>
            <w:tcBorders>
              <w:top w:val="nil"/>
              <w:left w:val="nil"/>
              <w:bottom w:val="nil"/>
              <w:right w:val="nil"/>
            </w:tcBorders>
            <w:shd w:val="clear" w:color="000000" w:fill="FCE3E5"/>
            <w:noWrap/>
            <w:vAlign w:val="center"/>
            <w:hideMark/>
          </w:tcPr>
          <w:p w14:paraId="76D142B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672%</w:t>
            </w:r>
          </w:p>
        </w:tc>
      </w:tr>
      <w:tr w:rsidR="0028350E" w:rsidRPr="007364B1" w14:paraId="7ED87013" w14:textId="77777777" w:rsidTr="00AA33F9">
        <w:trPr>
          <w:trHeight w:val="360"/>
        </w:trPr>
        <w:tc>
          <w:tcPr>
            <w:tcW w:w="1985" w:type="dxa"/>
            <w:tcBorders>
              <w:top w:val="nil"/>
              <w:left w:val="nil"/>
              <w:bottom w:val="nil"/>
              <w:right w:val="nil"/>
            </w:tcBorders>
            <w:shd w:val="clear" w:color="auto" w:fill="auto"/>
            <w:noWrap/>
            <w:vAlign w:val="bottom"/>
            <w:hideMark/>
          </w:tcPr>
          <w:p w14:paraId="2CD7881F"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Cerebral Palsy</w:t>
            </w:r>
          </w:p>
        </w:tc>
        <w:tc>
          <w:tcPr>
            <w:tcW w:w="884" w:type="dxa"/>
            <w:tcBorders>
              <w:top w:val="nil"/>
              <w:left w:val="nil"/>
              <w:bottom w:val="nil"/>
              <w:right w:val="nil"/>
            </w:tcBorders>
            <w:shd w:val="clear" w:color="auto" w:fill="auto"/>
            <w:noWrap/>
            <w:vAlign w:val="center"/>
            <w:hideMark/>
          </w:tcPr>
          <w:p w14:paraId="638DD7B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307</w:t>
            </w:r>
          </w:p>
        </w:tc>
        <w:tc>
          <w:tcPr>
            <w:tcW w:w="1026" w:type="dxa"/>
            <w:tcBorders>
              <w:top w:val="nil"/>
              <w:left w:val="nil"/>
              <w:bottom w:val="nil"/>
              <w:right w:val="nil"/>
            </w:tcBorders>
            <w:shd w:val="clear" w:color="auto" w:fill="auto"/>
            <w:noWrap/>
            <w:vAlign w:val="center"/>
            <w:hideMark/>
          </w:tcPr>
          <w:p w14:paraId="539A5CA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663</w:t>
            </w:r>
          </w:p>
        </w:tc>
        <w:tc>
          <w:tcPr>
            <w:tcW w:w="851" w:type="dxa"/>
            <w:tcBorders>
              <w:top w:val="nil"/>
              <w:left w:val="nil"/>
              <w:bottom w:val="nil"/>
              <w:right w:val="nil"/>
            </w:tcBorders>
            <w:shd w:val="clear" w:color="000000" w:fill="FBD5D7"/>
            <w:noWrap/>
            <w:vAlign w:val="center"/>
            <w:hideMark/>
          </w:tcPr>
          <w:p w14:paraId="63E066B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+116%</w:t>
            </w:r>
          </w:p>
        </w:tc>
        <w:tc>
          <w:tcPr>
            <w:tcW w:w="992" w:type="dxa"/>
            <w:tcBorders>
              <w:top w:val="nil"/>
              <w:left w:val="nil"/>
              <w:bottom w:val="nil"/>
              <w:right w:val="nil"/>
            </w:tcBorders>
            <w:shd w:val="clear" w:color="auto" w:fill="auto"/>
            <w:noWrap/>
            <w:vAlign w:val="center"/>
            <w:hideMark/>
          </w:tcPr>
          <w:p w14:paraId="32D0D58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1,071</w:t>
            </w:r>
          </w:p>
        </w:tc>
        <w:tc>
          <w:tcPr>
            <w:tcW w:w="850" w:type="dxa"/>
            <w:tcBorders>
              <w:top w:val="nil"/>
              <w:left w:val="nil"/>
              <w:bottom w:val="nil"/>
              <w:right w:val="nil"/>
            </w:tcBorders>
            <w:shd w:val="clear" w:color="auto" w:fill="auto"/>
            <w:noWrap/>
            <w:vAlign w:val="center"/>
            <w:hideMark/>
          </w:tcPr>
          <w:p w14:paraId="109CFA4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713A6C4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23</w:t>
            </w:r>
          </w:p>
        </w:tc>
        <w:tc>
          <w:tcPr>
            <w:tcW w:w="869" w:type="dxa"/>
            <w:tcBorders>
              <w:top w:val="nil"/>
              <w:left w:val="nil"/>
              <w:bottom w:val="nil"/>
              <w:right w:val="nil"/>
            </w:tcBorders>
            <w:shd w:val="clear" w:color="auto" w:fill="auto"/>
            <w:noWrap/>
            <w:vAlign w:val="center"/>
            <w:hideMark/>
          </w:tcPr>
          <w:p w14:paraId="6957DA1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23</w:t>
            </w:r>
          </w:p>
        </w:tc>
        <w:tc>
          <w:tcPr>
            <w:tcW w:w="710" w:type="dxa"/>
            <w:tcBorders>
              <w:top w:val="nil"/>
              <w:left w:val="nil"/>
              <w:bottom w:val="nil"/>
              <w:right w:val="nil"/>
            </w:tcBorders>
            <w:shd w:val="clear" w:color="auto" w:fill="auto"/>
            <w:noWrap/>
            <w:vAlign w:val="center"/>
            <w:hideMark/>
          </w:tcPr>
          <w:p w14:paraId="6A57AF4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112</w:t>
            </w:r>
          </w:p>
        </w:tc>
        <w:tc>
          <w:tcPr>
            <w:tcW w:w="1011" w:type="dxa"/>
            <w:tcBorders>
              <w:top w:val="nil"/>
              <w:left w:val="nil"/>
              <w:bottom w:val="nil"/>
              <w:right w:val="nil"/>
            </w:tcBorders>
            <w:shd w:val="clear" w:color="auto" w:fill="auto"/>
            <w:noWrap/>
            <w:vAlign w:val="center"/>
            <w:hideMark/>
          </w:tcPr>
          <w:p w14:paraId="40ED073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03ADEE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w:t>
            </w:r>
          </w:p>
        </w:tc>
        <w:tc>
          <w:tcPr>
            <w:tcW w:w="1354" w:type="dxa"/>
            <w:tcBorders>
              <w:top w:val="nil"/>
              <w:left w:val="nil"/>
              <w:bottom w:val="nil"/>
              <w:right w:val="nil"/>
            </w:tcBorders>
            <w:shd w:val="clear" w:color="auto" w:fill="auto"/>
            <w:noWrap/>
            <w:vAlign w:val="center"/>
            <w:hideMark/>
          </w:tcPr>
          <w:p w14:paraId="4D867C3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w:t>
            </w:r>
          </w:p>
        </w:tc>
        <w:tc>
          <w:tcPr>
            <w:tcW w:w="1001" w:type="dxa"/>
            <w:tcBorders>
              <w:top w:val="nil"/>
              <w:left w:val="nil"/>
              <w:bottom w:val="nil"/>
              <w:right w:val="nil"/>
            </w:tcBorders>
            <w:shd w:val="clear" w:color="auto" w:fill="auto"/>
            <w:noWrap/>
            <w:vAlign w:val="center"/>
            <w:hideMark/>
          </w:tcPr>
          <w:p w14:paraId="3B592A1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70%</w:t>
            </w:r>
          </w:p>
        </w:tc>
        <w:tc>
          <w:tcPr>
            <w:tcW w:w="992" w:type="dxa"/>
            <w:tcBorders>
              <w:top w:val="nil"/>
              <w:left w:val="nil"/>
              <w:bottom w:val="nil"/>
              <w:right w:val="nil"/>
            </w:tcBorders>
            <w:shd w:val="clear" w:color="000000" w:fill="FCF7FA"/>
            <w:noWrap/>
            <w:vAlign w:val="center"/>
            <w:hideMark/>
          </w:tcPr>
          <w:p w14:paraId="66AFBC5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482%</w:t>
            </w:r>
          </w:p>
        </w:tc>
      </w:tr>
      <w:tr w:rsidR="0028350E" w:rsidRPr="007364B1" w14:paraId="27E9B657" w14:textId="77777777" w:rsidTr="00AA33F9">
        <w:trPr>
          <w:trHeight w:val="360"/>
        </w:trPr>
        <w:tc>
          <w:tcPr>
            <w:tcW w:w="1985" w:type="dxa"/>
            <w:tcBorders>
              <w:top w:val="nil"/>
              <w:left w:val="nil"/>
              <w:bottom w:val="nil"/>
              <w:right w:val="nil"/>
            </w:tcBorders>
            <w:shd w:val="clear" w:color="auto" w:fill="auto"/>
            <w:noWrap/>
            <w:vAlign w:val="bottom"/>
            <w:hideMark/>
          </w:tcPr>
          <w:p w14:paraId="5050846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Hearing Impairment</w:t>
            </w:r>
          </w:p>
        </w:tc>
        <w:tc>
          <w:tcPr>
            <w:tcW w:w="884" w:type="dxa"/>
            <w:tcBorders>
              <w:top w:val="nil"/>
              <w:left w:val="nil"/>
              <w:bottom w:val="nil"/>
              <w:right w:val="nil"/>
            </w:tcBorders>
            <w:shd w:val="clear" w:color="auto" w:fill="auto"/>
            <w:noWrap/>
            <w:vAlign w:val="center"/>
            <w:hideMark/>
          </w:tcPr>
          <w:p w14:paraId="3BF38AA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868</w:t>
            </w:r>
          </w:p>
        </w:tc>
        <w:tc>
          <w:tcPr>
            <w:tcW w:w="1026" w:type="dxa"/>
            <w:tcBorders>
              <w:top w:val="nil"/>
              <w:left w:val="nil"/>
              <w:bottom w:val="nil"/>
              <w:right w:val="nil"/>
            </w:tcBorders>
            <w:shd w:val="clear" w:color="auto" w:fill="auto"/>
            <w:noWrap/>
            <w:vAlign w:val="center"/>
            <w:hideMark/>
          </w:tcPr>
          <w:p w14:paraId="091A12F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2,062</w:t>
            </w:r>
          </w:p>
        </w:tc>
        <w:tc>
          <w:tcPr>
            <w:tcW w:w="851" w:type="dxa"/>
            <w:tcBorders>
              <w:top w:val="nil"/>
              <w:left w:val="nil"/>
              <w:bottom w:val="nil"/>
              <w:right w:val="nil"/>
            </w:tcBorders>
            <w:shd w:val="clear" w:color="000000" w:fill="FBCACC"/>
            <w:noWrap/>
            <w:vAlign w:val="center"/>
            <w:hideMark/>
          </w:tcPr>
          <w:p w14:paraId="4856445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+138%</w:t>
            </w:r>
          </w:p>
        </w:tc>
        <w:tc>
          <w:tcPr>
            <w:tcW w:w="992" w:type="dxa"/>
            <w:tcBorders>
              <w:top w:val="nil"/>
              <w:left w:val="nil"/>
              <w:bottom w:val="nil"/>
              <w:right w:val="nil"/>
            </w:tcBorders>
            <w:shd w:val="clear" w:color="auto" w:fill="auto"/>
            <w:noWrap/>
            <w:vAlign w:val="center"/>
            <w:hideMark/>
          </w:tcPr>
          <w:p w14:paraId="30891A7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3,619</w:t>
            </w:r>
          </w:p>
        </w:tc>
        <w:tc>
          <w:tcPr>
            <w:tcW w:w="850" w:type="dxa"/>
            <w:tcBorders>
              <w:top w:val="nil"/>
              <w:left w:val="nil"/>
              <w:bottom w:val="nil"/>
              <w:right w:val="nil"/>
            </w:tcBorders>
            <w:shd w:val="clear" w:color="auto" w:fill="auto"/>
            <w:noWrap/>
            <w:vAlign w:val="center"/>
            <w:hideMark/>
          </w:tcPr>
          <w:p w14:paraId="16CA3FE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802122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61</w:t>
            </w:r>
          </w:p>
        </w:tc>
        <w:tc>
          <w:tcPr>
            <w:tcW w:w="869" w:type="dxa"/>
            <w:tcBorders>
              <w:top w:val="nil"/>
              <w:left w:val="nil"/>
              <w:bottom w:val="nil"/>
              <w:right w:val="nil"/>
            </w:tcBorders>
            <w:shd w:val="clear" w:color="auto" w:fill="auto"/>
            <w:noWrap/>
            <w:vAlign w:val="center"/>
            <w:hideMark/>
          </w:tcPr>
          <w:p w14:paraId="327F337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61</w:t>
            </w:r>
          </w:p>
        </w:tc>
        <w:tc>
          <w:tcPr>
            <w:tcW w:w="710" w:type="dxa"/>
            <w:tcBorders>
              <w:top w:val="nil"/>
              <w:left w:val="nil"/>
              <w:bottom w:val="nil"/>
              <w:right w:val="nil"/>
            </w:tcBorders>
            <w:shd w:val="clear" w:color="auto" w:fill="auto"/>
            <w:noWrap/>
            <w:vAlign w:val="center"/>
            <w:hideMark/>
          </w:tcPr>
          <w:p w14:paraId="54E6392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344</w:t>
            </w:r>
          </w:p>
        </w:tc>
        <w:tc>
          <w:tcPr>
            <w:tcW w:w="1011" w:type="dxa"/>
            <w:tcBorders>
              <w:top w:val="nil"/>
              <w:left w:val="nil"/>
              <w:bottom w:val="nil"/>
              <w:right w:val="nil"/>
            </w:tcBorders>
            <w:shd w:val="clear" w:color="auto" w:fill="auto"/>
            <w:noWrap/>
            <w:vAlign w:val="center"/>
            <w:hideMark/>
          </w:tcPr>
          <w:p w14:paraId="1F2AFCE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4F35408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19</w:t>
            </w:r>
          </w:p>
        </w:tc>
        <w:tc>
          <w:tcPr>
            <w:tcW w:w="1354" w:type="dxa"/>
            <w:tcBorders>
              <w:top w:val="nil"/>
              <w:left w:val="nil"/>
              <w:bottom w:val="nil"/>
              <w:right w:val="nil"/>
            </w:tcBorders>
            <w:shd w:val="clear" w:color="auto" w:fill="auto"/>
            <w:noWrap/>
            <w:vAlign w:val="center"/>
            <w:hideMark/>
          </w:tcPr>
          <w:p w14:paraId="48F9324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26</w:t>
            </w:r>
          </w:p>
        </w:tc>
        <w:tc>
          <w:tcPr>
            <w:tcW w:w="1001" w:type="dxa"/>
            <w:tcBorders>
              <w:top w:val="nil"/>
              <w:left w:val="nil"/>
              <w:bottom w:val="nil"/>
              <w:right w:val="nil"/>
            </w:tcBorders>
            <w:shd w:val="clear" w:color="auto" w:fill="auto"/>
            <w:noWrap/>
            <w:vAlign w:val="center"/>
            <w:hideMark/>
          </w:tcPr>
          <w:p w14:paraId="1B0A2F8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75%</w:t>
            </w:r>
          </w:p>
        </w:tc>
        <w:tc>
          <w:tcPr>
            <w:tcW w:w="992" w:type="dxa"/>
            <w:tcBorders>
              <w:top w:val="nil"/>
              <w:left w:val="nil"/>
              <w:bottom w:val="nil"/>
              <w:right w:val="nil"/>
            </w:tcBorders>
            <w:shd w:val="clear" w:color="000000" w:fill="FCEAED"/>
            <w:noWrap/>
            <w:vAlign w:val="center"/>
            <w:hideMark/>
          </w:tcPr>
          <w:p w14:paraId="70CDF2D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600%</w:t>
            </w:r>
          </w:p>
        </w:tc>
      </w:tr>
      <w:tr w:rsidR="0028350E" w:rsidRPr="007364B1" w14:paraId="3E023378" w14:textId="77777777" w:rsidTr="00AA33F9">
        <w:trPr>
          <w:trHeight w:val="360"/>
        </w:trPr>
        <w:tc>
          <w:tcPr>
            <w:tcW w:w="1985" w:type="dxa"/>
            <w:tcBorders>
              <w:top w:val="nil"/>
              <w:left w:val="nil"/>
              <w:bottom w:val="nil"/>
              <w:right w:val="nil"/>
            </w:tcBorders>
            <w:shd w:val="clear" w:color="auto" w:fill="auto"/>
            <w:noWrap/>
            <w:vAlign w:val="bottom"/>
            <w:hideMark/>
          </w:tcPr>
          <w:p w14:paraId="4C04DCE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Intellectual Disability</w:t>
            </w:r>
          </w:p>
        </w:tc>
        <w:tc>
          <w:tcPr>
            <w:tcW w:w="884" w:type="dxa"/>
            <w:tcBorders>
              <w:top w:val="nil"/>
              <w:left w:val="nil"/>
              <w:bottom w:val="nil"/>
              <w:right w:val="nil"/>
            </w:tcBorders>
            <w:shd w:val="clear" w:color="auto" w:fill="auto"/>
            <w:noWrap/>
            <w:vAlign w:val="center"/>
            <w:hideMark/>
          </w:tcPr>
          <w:p w14:paraId="719A833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2,267</w:t>
            </w:r>
          </w:p>
        </w:tc>
        <w:tc>
          <w:tcPr>
            <w:tcW w:w="1026" w:type="dxa"/>
            <w:tcBorders>
              <w:top w:val="nil"/>
              <w:left w:val="nil"/>
              <w:bottom w:val="nil"/>
              <w:right w:val="nil"/>
            </w:tcBorders>
            <w:shd w:val="clear" w:color="auto" w:fill="auto"/>
            <w:noWrap/>
            <w:vAlign w:val="center"/>
            <w:hideMark/>
          </w:tcPr>
          <w:p w14:paraId="4FA7FEB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4,466</w:t>
            </w:r>
          </w:p>
        </w:tc>
        <w:tc>
          <w:tcPr>
            <w:tcW w:w="851" w:type="dxa"/>
            <w:tcBorders>
              <w:top w:val="nil"/>
              <w:left w:val="nil"/>
              <w:bottom w:val="nil"/>
              <w:right w:val="nil"/>
            </w:tcBorders>
            <w:shd w:val="clear" w:color="000000" w:fill="FCDEE1"/>
            <w:noWrap/>
            <w:vAlign w:val="center"/>
            <w:hideMark/>
          </w:tcPr>
          <w:p w14:paraId="7AE46FF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+97%</w:t>
            </w:r>
          </w:p>
        </w:tc>
        <w:tc>
          <w:tcPr>
            <w:tcW w:w="992" w:type="dxa"/>
            <w:tcBorders>
              <w:top w:val="nil"/>
              <w:left w:val="nil"/>
              <w:bottom w:val="nil"/>
              <w:right w:val="nil"/>
            </w:tcBorders>
            <w:shd w:val="clear" w:color="auto" w:fill="auto"/>
            <w:noWrap/>
            <w:vAlign w:val="center"/>
            <w:hideMark/>
          </w:tcPr>
          <w:p w14:paraId="28A7AE9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6,634</w:t>
            </w:r>
          </w:p>
        </w:tc>
        <w:tc>
          <w:tcPr>
            <w:tcW w:w="850" w:type="dxa"/>
            <w:tcBorders>
              <w:top w:val="nil"/>
              <w:left w:val="nil"/>
              <w:bottom w:val="nil"/>
              <w:right w:val="nil"/>
            </w:tcBorders>
            <w:shd w:val="clear" w:color="auto" w:fill="auto"/>
            <w:noWrap/>
            <w:vAlign w:val="center"/>
            <w:hideMark/>
          </w:tcPr>
          <w:p w14:paraId="43E0E31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2574D13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223</w:t>
            </w:r>
          </w:p>
        </w:tc>
        <w:tc>
          <w:tcPr>
            <w:tcW w:w="869" w:type="dxa"/>
            <w:tcBorders>
              <w:top w:val="nil"/>
              <w:left w:val="nil"/>
              <w:bottom w:val="nil"/>
              <w:right w:val="nil"/>
            </w:tcBorders>
            <w:shd w:val="clear" w:color="auto" w:fill="auto"/>
            <w:noWrap/>
            <w:vAlign w:val="center"/>
            <w:hideMark/>
          </w:tcPr>
          <w:p w14:paraId="0D8AAEA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223</w:t>
            </w:r>
          </w:p>
        </w:tc>
        <w:tc>
          <w:tcPr>
            <w:tcW w:w="710" w:type="dxa"/>
            <w:tcBorders>
              <w:top w:val="nil"/>
              <w:left w:val="nil"/>
              <w:bottom w:val="nil"/>
              <w:right w:val="nil"/>
            </w:tcBorders>
            <w:shd w:val="clear" w:color="auto" w:fill="auto"/>
            <w:noWrap/>
            <w:vAlign w:val="center"/>
            <w:hideMark/>
          </w:tcPr>
          <w:p w14:paraId="1C5B12B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772</w:t>
            </w:r>
          </w:p>
        </w:tc>
        <w:tc>
          <w:tcPr>
            <w:tcW w:w="1011" w:type="dxa"/>
            <w:tcBorders>
              <w:top w:val="nil"/>
              <w:left w:val="nil"/>
              <w:bottom w:val="nil"/>
              <w:right w:val="nil"/>
            </w:tcBorders>
            <w:shd w:val="clear" w:color="auto" w:fill="auto"/>
            <w:noWrap/>
            <w:vAlign w:val="center"/>
            <w:hideMark/>
          </w:tcPr>
          <w:p w14:paraId="6CE8B17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5EE1A8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w:t>
            </w:r>
          </w:p>
        </w:tc>
        <w:tc>
          <w:tcPr>
            <w:tcW w:w="1354" w:type="dxa"/>
            <w:tcBorders>
              <w:top w:val="nil"/>
              <w:left w:val="nil"/>
              <w:bottom w:val="nil"/>
              <w:right w:val="nil"/>
            </w:tcBorders>
            <w:shd w:val="clear" w:color="auto" w:fill="auto"/>
            <w:noWrap/>
            <w:vAlign w:val="center"/>
            <w:hideMark/>
          </w:tcPr>
          <w:p w14:paraId="0A7C41F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w:t>
            </w:r>
          </w:p>
        </w:tc>
        <w:tc>
          <w:tcPr>
            <w:tcW w:w="1001" w:type="dxa"/>
            <w:tcBorders>
              <w:top w:val="nil"/>
              <w:left w:val="nil"/>
              <w:bottom w:val="nil"/>
              <w:right w:val="nil"/>
            </w:tcBorders>
            <w:shd w:val="clear" w:color="auto" w:fill="auto"/>
            <w:noWrap/>
            <w:vAlign w:val="center"/>
            <w:hideMark/>
          </w:tcPr>
          <w:p w14:paraId="5BFAD4C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66%</w:t>
            </w:r>
          </w:p>
        </w:tc>
        <w:tc>
          <w:tcPr>
            <w:tcW w:w="992" w:type="dxa"/>
            <w:tcBorders>
              <w:top w:val="nil"/>
              <w:left w:val="nil"/>
              <w:bottom w:val="nil"/>
              <w:right w:val="nil"/>
            </w:tcBorders>
            <w:shd w:val="clear" w:color="000000" w:fill="A8C1E1"/>
            <w:noWrap/>
            <w:vAlign w:val="center"/>
            <w:hideMark/>
          </w:tcPr>
          <w:p w14:paraId="40C0C2E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350%</w:t>
            </w:r>
          </w:p>
        </w:tc>
      </w:tr>
      <w:tr w:rsidR="0028350E" w:rsidRPr="007364B1" w14:paraId="4EDA381C" w14:textId="77777777" w:rsidTr="00AA33F9">
        <w:trPr>
          <w:trHeight w:val="360"/>
        </w:trPr>
        <w:tc>
          <w:tcPr>
            <w:tcW w:w="1985" w:type="dxa"/>
            <w:tcBorders>
              <w:top w:val="nil"/>
              <w:left w:val="nil"/>
              <w:bottom w:val="nil"/>
              <w:right w:val="nil"/>
            </w:tcBorders>
            <w:shd w:val="clear" w:color="auto" w:fill="auto"/>
            <w:noWrap/>
            <w:vAlign w:val="bottom"/>
            <w:hideMark/>
          </w:tcPr>
          <w:p w14:paraId="757D5FBA"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Multiple Sclerosis</w:t>
            </w:r>
          </w:p>
        </w:tc>
        <w:tc>
          <w:tcPr>
            <w:tcW w:w="884" w:type="dxa"/>
            <w:tcBorders>
              <w:top w:val="nil"/>
              <w:left w:val="nil"/>
              <w:bottom w:val="nil"/>
              <w:right w:val="nil"/>
            </w:tcBorders>
            <w:shd w:val="clear" w:color="auto" w:fill="auto"/>
            <w:noWrap/>
            <w:vAlign w:val="center"/>
            <w:hideMark/>
          </w:tcPr>
          <w:p w14:paraId="65CE5A4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1,102</w:t>
            </w:r>
          </w:p>
        </w:tc>
        <w:tc>
          <w:tcPr>
            <w:tcW w:w="1026" w:type="dxa"/>
            <w:tcBorders>
              <w:top w:val="nil"/>
              <w:left w:val="nil"/>
              <w:bottom w:val="nil"/>
              <w:right w:val="nil"/>
            </w:tcBorders>
            <w:shd w:val="clear" w:color="auto" w:fill="auto"/>
            <w:noWrap/>
            <w:vAlign w:val="center"/>
            <w:hideMark/>
          </w:tcPr>
          <w:p w14:paraId="386B465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2,196</w:t>
            </w:r>
          </w:p>
        </w:tc>
        <w:tc>
          <w:tcPr>
            <w:tcW w:w="851" w:type="dxa"/>
            <w:tcBorders>
              <w:top w:val="nil"/>
              <w:left w:val="nil"/>
              <w:bottom w:val="nil"/>
              <w:right w:val="nil"/>
            </w:tcBorders>
            <w:shd w:val="clear" w:color="000000" w:fill="FCDDE0"/>
            <w:noWrap/>
            <w:vAlign w:val="center"/>
            <w:hideMark/>
          </w:tcPr>
          <w:p w14:paraId="06774A6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+99%</w:t>
            </w:r>
          </w:p>
        </w:tc>
        <w:tc>
          <w:tcPr>
            <w:tcW w:w="992" w:type="dxa"/>
            <w:tcBorders>
              <w:top w:val="nil"/>
              <w:left w:val="nil"/>
              <w:bottom w:val="nil"/>
              <w:right w:val="nil"/>
            </w:tcBorders>
            <w:shd w:val="clear" w:color="auto" w:fill="auto"/>
            <w:noWrap/>
            <w:vAlign w:val="center"/>
            <w:hideMark/>
          </w:tcPr>
          <w:p w14:paraId="296F465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3,547</w:t>
            </w:r>
          </w:p>
        </w:tc>
        <w:tc>
          <w:tcPr>
            <w:tcW w:w="850" w:type="dxa"/>
            <w:tcBorders>
              <w:top w:val="nil"/>
              <w:left w:val="nil"/>
              <w:bottom w:val="nil"/>
              <w:right w:val="nil"/>
            </w:tcBorders>
            <w:shd w:val="clear" w:color="auto" w:fill="auto"/>
            <w:noWrap/>
            <w:vAlign w:val="center"/>
            <w:hideMark/>
          </w:tcPr>
          <w:p w14:paraId="2CEA2C0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2EA8F49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79</w:t>
            </w:r>
          </w:p>
        </w:tc>
        <w:tc>
          <w:tcPr>
            <w:tcW w:w="869" w:type="dxa"/>
            <w:tcBorders>
              <w:top w:val="nil"/>
              <w:left w:val="nil"/>
              <w:bottom w:val="nil"/>
              <w:right w:val="nil"/>
            </w:tcBorders>
            <w:shd w:val="clear" w:color="auto" w:fill="auto"/>
            <w:noWrap/>
            <w:vAlign w:val="center"/>
            <w:hideMark/>
          </w:tcPr>
          <w:p w14:paraId="22BD41F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79</w:t>
            </w:r>
          </w:p>
        </w:tc>
        <w:tc>
          <w:tcPr>
            <w:tcW w:w="710" w:type="dxa"/>
            <w:tcBorders>
              <w:top w:val="nil"/>
              <w:left w:val="nil"/>
              <w:bottom w:val="nil"/>
              <w:right w:val="nil"/>
            </w:tcBorders>
            <w:shd w:val="clear" w:color="auto" w:fill="auto"/>
            <w:noWrap/>
            <w:vAlign w:val="center"/>
            <w:hideMark/>
          </w:tcPr>
          <w:p w14:paraId="51978DA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340</w:t>
            </w:r>
          </w:p>
        </w:tc>
        <w:tc>
          <w:tcPr>
            <w:tcW w:w="1011" w:type="dxa"/>
            <w:tcBorders>
              <w:top w:val="nil"/>
              <w:left w:val="nil"/>
              <w:bottom w:val="nil"/>
              <w:right w:val="nil"/>
            </w:tcBorders>
            <w:shd w:val="clear" w:color="auto" w:fill="auto"/>
            <w:noWrap/>
            <w:vAlign w:val="center"/>
            <w:hideMark/>
          </w:tcPr>
          <w:p w14:paraId="3E21DDA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3440A93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15</w:t>
            </w:r>
          </w:p>
        </w:tc>
        <w:tc>
          <w:tcPr>
            <w:tcW w:w="1354" w:type="dxa"/>
            <w:tcBorders>
              <w:top w:val="nil"/>
              <w:left w:val="nil"/>
              <w:bottom w:val="nil"/>
              <w:right w:val="nil"/>
            </w:tcBorders>
            <w:shd w:val="clear" w:color="auto" w:fill="auto"/>
            <w:noWrap/>
            <w:vAlign w:val="center"/>
            <w:hideMark/>
          </w:tcPr>
          <w:p w14:paraId="2FA90F4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w:t>
            </w:r>
          </w:p>
        </w:tc>
        <w:tc>
          <w:tcPr>
            <w:tcW w:w="1001" w:type="dxa"/>
            <w:tcBorders>
              <w:top w:val="nil"/>
              <w:left w:val="nil"/>
              <w:bottom w:val="nil"/>
              <w:right w:val="nil"/>
            </w:tcBorders>
            <w:shd w:val="clear" w:color="auto" w:fill="auto"/>
            <w:noWrap/>
            <w:vAlign w:val="center"/>
            <w:hideMark/>
          </w:tcPr>
          <w:p w14:paraId="03BCF92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95%</w:t>
            </w:r>
          </w:p>
        </w:tc>
        <w:tc>
          <w:tcPr>
            <w:tcW w:w="992" w:type="dxa"/>
            <w:tcBorders>
              <w:top w:val="nil"/>
              <w:left w:val="nil"/>
              <w:bottom w:val="nil"/>
              <w:right w:val="nil"/>
            </w:tcBorders>
            <w:shd w:val="clear" w:color="000000" w:fill="FCFAFD"/>
            <w:noWrap/>
            <w:vAlign w:val="center"/>
            <w:hideMark/>
          </w:tcPr>
          <w:p w14:paraId="03AE400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449%</w:t>
            </w:r>
          </w:p>
        </w:tc>
      </w:tr>
      <w:tr w:rsidR="0028350E" w:rsidRPr="007364B1" w14:paraId="58B7F61E" w14:textId="77777777" w:rsidTr="00AA33F9">
        <w:trPr>
          <w:trHeight w:val="360"/>
        </w:trPr>
        <w:tc>
          <w:tcPr>
            <w:tcW w:w="1985" w:type="dxa"/>
            <w:tcBorders>
              <w:top w:val="nil"/>
              <w:left w:val="nil"/>
              <w:bottom w:val="nil"/>
              <w:right w:val="nil"/>
            </w:tcBorders>
            <w:shd w:val="clear" w:color="auto" w:fill="auto"/>
            <w:noWrap/>
            <w:vAlign w:val="bottom"/>
            <w:hideMark/>
          </w:tcPr>
          <w:p w14:paraId="24A76A8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Delay</w:t>
            </w:r>
          </w:p>
        </w:tc>
        <w:tc>
          <w:tcPr>
            <w:tcW w:w="884" w:type="dxa"/>
            <w:tcBorders>
              <w:top w:val="nil"/>
              <w:left w:val="nil"/>
              <w:bottom w:val="nil"/>
              <w:right w:val="nil"/>
            </w:tcBorders>
            <w:shd w:val="clear" w:color="auto" w:fill="auto"/>
            <w:noWrap/>
            <w:vAlign w:val="center"/>
            <w:hideMark/>
          </w:tcPr>
          <w:p w14:paraId="45AEAD8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26" w:type="dxa"/>
            <w:tcBorders>
              <w:top w:val="nil"/>
              <w:left w:val="nil"/>
              <w:bottom w:val="nil"/>
              <w:right w:val="nil"/>
            </w:tcBorders>
            <w:shd w:val="clear" w:color="auto" w:fill="auto"/>
            <w:noWrap/>
            <w:vAlign w:val="center"/>
            <w:hideMark/>
          </w:tcPr>
          <w:p w14:paraId="594346B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851" w:type="dxa"/>
            <w:tcBorders>
              <w:top w:val="nil"/>
              <w:left w:val="nil"/>
              <w:bottom w:val="nil"/>
              <w:right w:val="nil"/>
            </w:tcBorders>
            <w:shd w:val="clear" w:color="auto" w:fill="auto"/>
            <w:noWrap/>
            <w:vAlign w:val="center"/>
            <w:hideMark/>
          </w:tcPr>
          <w:p w14:paraId="04FCC94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auto" w:fill="auto"/>
            <w:noWrap/>
            <w:vAlign w:val="center"/>
            <w:hideMark/>
          </w:tcPr>
          <w:p w14:paraId="70C35B3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850" w:type="dxa"/>
            <w:tcBorders>
              <w:top w:val="nil"/>
              <w:left w:val="nil"/>
              <w:bottom w:val="nil"/>
              <w:right w:val="nil"/>
            </w:tcBorders>
            <w:shd w:val="clear" w:color="auto" w:fill="auto"/>
            <w:noWrap/>
            <w:vAlign w:val="center"/>
            <w:hideMark/>
          </w:tcPr>
          <w:p w14:paraId="11907CA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F0A8A0C"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869" w:type="dxa"/>
            <w:tcBorders>
              <w:top w:val="nil"/>
              <w:left w:val="nil"/>
              <w:bottom w:val="nil"/>
              <w:right w:val="nil"/>
            </w:tcBorders>
            <w:shd w:val="clear" w:color="auto" w:fill="auto"/>
            <w:noWrap/>
            <w:vAlign w:val="center"/>
            <w:hideMark/>
          </w:tcPr>
          <w:p w14:paraId="025EF2D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710" w:type="dxa"/>
            <w:tcBorders>
              <w:top w:val="nil"/>
              <w:left w:val="nil"/>
              <w:bottom w:val="nil"/>
              <w:right w:val="nil"/>
            </w:tcBorders>
            <w:shd w:val="clear" w:color="auto" w:fill="auto"/>
            <w:noWrap/>
            <w:vAlign w:val="center"/>
            <w:hideMark/>
          </w:tcPr>
          <w:p w14:paraId="0F96B49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11" w:type="dxa"/>
            <w:tcBorders>
              <w:top w:val="nil"/>
              <w:left w:val="nil"/>
              <w:bottom w:val="nil"/>
              <w:right w:val="nil"/>
            </w:tcBorders>
            <w:shd w:val="clear" w:color="auto" w:fill="auto"/>
            <w:noWrap/>
            <w:vAlign w:val="center"/>
            <w:hideMark/>
          </w:tcPr>
          <w:p w14:paraId="239BBFB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91656F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59136E9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5986726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F8696B"/>
            <w:noWrap/>
            <w:vAlign w:val="center"/>
            <w:hideMark/>
          </w:tcPr>
          <w:p w14:paraId="15E04B5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1811%</w:t>
            </w:r>
          </w:p>
        </w:tc>
      </w:tr>
      <w:tr w:rsidR="0028350E" w:rsidRPr="007364B1" w14:paraId="7D2EC7C6" w14:textId="77777777" w:rsidTr="00AA33F9">
        <w:trPr>
          <w:trHeight w:val="360"/>
        </w:trPr>
        <w:tc>
          <w:tcPr>
            <w:tcW w:w="1985" w:type="dxa"/>
            <w:tcBorders>
              <w:top w:val="nil"/>
              <w:left w:val="nil"/>
              <w:bottom w:val="nil"/>
              <w:right w:val="nil"/>
            </w:tcBorders>
            <w:shd w:val="clear" w:color="auto" w:fill="auto"/>
            <w:noWrap/>
            <w:vAlign w:val="bottom"/>
            <w:hideMark/>
          </w:tcPr>
          <w:p w14:paraId="2469B3BE"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w:t>
            </w:r>
          </w:p>
        </w:tc>
        <w:tc>
          <w:tcPr>
            <w:tcW w:w="884" w:type="dxa"/>
            <w:tcBorders>
              <w:top w:val="nil"/>
              <w:left w:val="nil"/>
              <w:bottom w:val="nil"/>
              <w:right w:val="nil"/>
            </w:tcBorders>
            <w:shd w:val="clear" w:color="auto" w:fill="auto"/>
            <w:noWrap/>
            <w:vAlign w:val="center"/>
            <w:hideMark/>
          </w:tcPr>
          <w:p w14:paraId="0621478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287</w:t>
            </w:r>
          </w:p>
        </w:tc>
        <w:tc>
          <w:tcPr>
            <w:tcW w:w="1026" w:type="dxa"/>
            <w:tcBorders>
              <w:top w:val="nil"/>
              <w:left w:val="nil"/>
              <w:bottom w:val="nil"/>
              <w:right w:val="nil"/>
            </w:tcBorders>
            <w:shd w:val="clear" w:color="auto" w:fill="auto"/>
            <w:noWrap/>
            <w:vAlign w:val="center"/>
            <w:hideMark/>
          </w:tcPr>
          <w:p w14:paraId="45C104A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1,218</w:t>
            </w:r>
          </w:p>
        </w:tc>
        <w:tc>
          <w:tcPr>
            <w:tcW w:w="851" w:type="dxa"/>
            <w:tcBorders>
              <w:top w:val="nil"/>
              <w:left w:val="nil"/>
              <w:bottom w:val="nil"/>
              <w:right w:val="nil"/>
            </w:tcBorders>
            <w:shd w:val="clear" w:color="000000" w:fill="F8696B"/>
            <w:noWrap/>
            <w:vAlign w:val="center"/>
            <w:hideMark/>
          </w:tcPr>
          <w:p w14:paraId="18DBED2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+324%</w:t>
            </w:r>
          </w:p>
        </w:tc>
        <w:tc>
          <w:tcPr>
            <w:tcW w:w="992" w:type="dxa"/>
            <w:tcBorders>
              <w:top w:val="nil"/>
              <w:left w:val="nil"/>
              <w:bottom w:val="nil"/>
              <w:right w:val="nil"/>
            </w:tcBorders>
            <w:shd w:val="clear" w:color="auto" w:fill="auto"/>
            <w:noWrap/>
            <w:vAlign w:val="center"/>
            <w:hideMark/>
          </w:tcPr>
          <w:p w14:paraId="4826E33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2,397</w:t>
            </w:r>
          </w:p>
        </w:tc>
        <w:tc>
          <w:tcPr>
            <w:tcW w:w="850" w:type="dxa"/>
            <w:tcBorders>
              <w:top w:val="nil"/>
              <w:left w:val="nil"/>
              <w:bottom w:val="nil"/>
              <w:right w:val="nil"/>
            </w:tcBorders>
            <w:shd w:val="clear" w:color="auto" w:fill="auto"/>
            <w:noWrap/>
            <w:vAlign w:val="center"/>
            <w:hideMark/>
          </w:tcPr>
          <w:p w14:paraId="16E879B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F926A8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50</w:t>
            </w:r>
          </w:p>
        </w:tc>
        <w:tc>
          <w:tcPr>
            <w:tcW w:w="869" w:type="dxa"/>
            <w:tcBorders>
              <w:top w:val="nil"/>
              <w:left w:val="nil"/>
              <w:bottom w:val="nil"/>
              <w:right w:val="nil"/>
            </w:tcBorders>
            <w:shd w:val="clear" w:color="auto" w:fill="auto"/>
            <w:noWrap/>
            <w:vAlign w:val="center"/>
            <w:hideMark/>
          </w:tcPr>
          <w:p w14:paraId="5F0D78FC"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50</w:t>
            </w:r>
          </w:p>
        </w:tc>
        <w:tc>
          <w:tcPr>
            <w:tcW w:w="710" w:type="dxa"/>
            <w:tcBorders>
              <w:top w:val="nil"/>
              <w:left w:val="nil"/>
              <w:bottom w:val="nil"/>
              <w:right w:val="nil"/>
            </w:tcBorders>
            <w:shd w:val="clear" w:color="auto" w:fill="auto"/>
            <w:noWrap/>
            <w:vAlign w:val="center"/>
            <w:hideMark/>
          </w:tcPr>
          <w:p w14:paraId="22E7416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261</w:t>
            </w:r>
          </w:p>
        </w:tc>
        <w:tc>
          <w:tcPr>
            <w:tcW w:w="1011" w:type="dxa"/>
            <w:tcBorders>
              <w:top w:val="nil"/>
              <w:left w:val="nil"/>
              <w:bottom w:val="nil"/>
              <w:right w:val="nil"/>
            </w:tcBorders>
            <w:shd w:val="clear" w:color="auto" w:fill="auto"/>
            <w:noWrap/>
            <w:vAlign w:val="center"/>
            <w:hideMark/>
          </w:tcPr>
          <w:p w14:paraId="1CC3D3F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1FA6BD1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29</w:t>
            </w:r>
          </w:p>
        </w:tc>
        <w:tc>
          <w:tcPr>
            <w:tcW w:w="1354" w:type="dxa"/>
            <w:tcBorders>
              <w:top w:val="nil"/>
              <w:left w:val="nil"/>
              <w:bottom w:val="nil"/>
              <w:right w:val="nil"/>
            </w:tcBorders>
            <w:shd w:val="clear" w:color="auto" w:fill="auto"/>
            <w:noWrap/>
            <w:vAlign w:val="center"/>
            <w:hideMark/>
          </w:tcPr>
          <w:p w14:paraId="5AB1BEF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86</w:t>
            </w:r>
          </w:p>
        </w:tc>
        <w:tc>
          <w:tcPr>
            <w:tcW w:w="1001" w:type="dxa"/>
            <w:tcBorders>
              <w:top w:val="nil"/>
              <w:left w:val="nil"/>
              <w:bottom w:val="nil"/>
              <w:right w:val="nil"/>
            </w:tcBorders>
            <w:shd w:val="clear" w:color="auto" w:fill="auto"/>
            <w:noWrap/>
            <w:vAlign w:val="center"/>
            <w:hideMark/>
          </w:tcPr>
          <w:p w14:paraId="6FF8548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34%</w:t>
            </w:r>
          </w:p>
        </w:tc>
        <w:tc>
          <w:tcPr>
            <w:tcW w:w="992" w:type="dxa"/>
            <w:tcBorders>
              <w:top w:val="nil"/>
              <w:left w:val="nil"/>
              <w:bottom w:val="nil"/>
              <w:right w:val="nil"/>
            </w:tcBorders>
            <w:shd w:val="clear" w:color="000000" w:fill="FCEDF0"/>
            <w:noWrap/>
            <w:vAlign w:val="center"/>
            <w:hideMark/>
          </w:tcPr>
          <w:p w14:paraId="24D0E6B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578%</w:t>
            </w:r>
          </w:p>
        </w:tc>
      </w:tr>
      <w:tr w:rsidR="0028350E" w:rsidRPr="007364B1" w14:paraId="5F529B97" w14:textId="77777777" w:rsidTr="00AA33F9">
        <w:trPr>
          <w:trHeight w:val="360"/>
        </w:trPr>
        <w:tc>
          <w:tcPr>
            <w:tcW w:w="1985" w:type="dxa"/>
            <w:tcBorders>
              <w:top w:val="nil"/>
              <w:left w:val="nil"/>
              <w:bottom w:val="nil"/>
              <w:right w:val="nil"/>
            </w:tcBorders>
            <w:shd w:val="clear" w:color="auto" w:fill="auto"/>
            <w:noWrap/>
            <w:vAlign w:val="bottom"/>
            <w:hideMark/>
          </w:tcPr>
          <w:p w14:paraId="06B2EEF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Neurological</w:t>
            </w:r>
          </w:p>
        </w:tc>
        <w:tc>
          <w:tcPr>
            <w:tcW w:w="884" w:type="dxa"/>
            <w:tcBorders>
              <w:top w:val="nil"/>
              <w:left w:val="nil"/>
              <w:bottom w:val="nil"/>
              <w:right w:val="nil"/>
            </w:tcBorders>
            <w:shd w:val="clear" w:color="auto" w:fill="auto"/>
            <w:noWrap/>
            <w:vAlign w:val="center"/>
            <w:hideMark/>
          </w:tcPr>
          <w:p w14:paraId="1986534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2,882</w:t>
            </w:r>
          </w:p>
        </w:tc>
        <w:tc>
          <w:tcPr>
            <w:tcW w:w="1026" w:type="dxa"/>
            <w:tcBorders>
              <w:top w:val="nil"/>
              <w:left w:val="nil"/>
              <w:bottom w:val="nil"/>
              <w:right w:val="nil"/>
            </w:tcBorders>
            <w:shd w:val="clear" w:color="auto" w:fill="auto"/>
            <w:noWrap/>
            <w:vAlign w:val="center"/>
            <w:hideMark/>
          </w:tcPr>
          <w:p w14:paraId="51355A3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5,759</w:t>
            </w:r>
          </w:p>
        </w:tc>
        <w:tc>
          <w:tcPr>
            <w:tcW w:w="851" w:type="dxa"/>
            <w:tcBorders>
              <w:top w:val="nil"/>
              <w:left w:val="nil"/>
              <w:bottom w:val="nil"/>
              <w:right w:val="nil"/>
            </w:tcBorders>
            <w:shd w:val="clear" w:color="000000" w:fill="FCDDE0"/>
            <w:noWrap/>
            <w:vAlign w:val="center"/>
            <w:hideMark/>
          </w:tcPr>
          <w:p w14:paraId="06D34CF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+100%</w:t>
            </w:r>
          </w:p>
        </w:tc>
        <w:tc>
          <w:tcPr>
            <w:tcW w:w="992" w:type="dxa"/>
            <w:tcBorders>
              <w:top w:val="nil"/>
              <w:left w:val="nil"/>
              <w:bottom w:val="nil"/>
              <w:right w:val="nil"/>
            </w:tcBorders>
            <w:shd w:val="clear" w:color="auto" w:fill="auto"/>
            <w:noWrap/>
            <w:vAlign w:val="center"/>
            <w:hideMark/>
          </w:tcPr>
          <w:p w14:paraId="733BACA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8,843</w:t>
            </w:r>
          </w:p>
        </w:tc>
        <w:tc>
          <w:tcPr>
            <w:tcW w:w="850" w:type="dxa"/>
            <w:tcBorders>
              <w:top w:val="nil"/>
              <w:left w:val="nil"/>
              <w:bottom w:val="nil"/>
              <w:right w:val="nil"/>
            </w:tcBorders>
            <w:shd w:val="clear" w:color="auto" w:fill="auto"/>
            <w:noWrap/>
            <w:vAlign w:val="center"/>
            <w:hideMark/>
          </w:tcPr>
          <w:p w14:paraId="535AE96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1B97F9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393</w:t>
            </w:r>
          </w:p>
        </w:tc>
        <w:tc>
          <w:tcPr>
            <w:tcW w:w="869" w:type="dxa"/>
            <w:tcBorders>
              <w:top w:val="nil"/>
              <w:left w:val="nil"/>
              <w:bottom w:val="nil"/>
              <w:right w:val="nil"/>
            </w:tcBorders>
            <w:shd w:val="clear" w:color="auto" w:fill="auto"/>
            <w:noWrap/>
            <w:vAlign w:val="center"/>
            <w:hideMark/>
          </w:tcPr>
          <w:p w14:paraId="2461B0C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393</w:t>
            </w:r>
          </w:p>
        </w:tc>
        <w:tc>
          <w:tcPr>
            <w:tcW w:w="710" w:type="dxa"/>
            <w:tcBorders>
              <w:top w:val="nil"/>
              <w:left w:val="nil"/>
              <w:bottom w:val="nil"/>
              <w:right w:val="nil"/>
            </w:tcBorders>
            <w:shd w:val="clear" w:color="auto" w:fill="auto"/>
            <w:noWrap/>
            <w:vAlign w:val="center"/>
            <w:hideMark/>
          </w:tcPr>
          <w:p w14:paraId="52C6CC9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1,014</w:t>
            </w:r>
          </w:p>
        </w:tc>
        <w:tc>
          <w:tcPr>
            <w:tcW w:w="1011" w:type="dxa"/>
            <w:tcBorders>
              <w:top w:val="nil"/>
              <w:left w:val="nil"/>
              <w:bottom w:val="nil"/>
              <w:right w:val="nil"/>
            </w:tcBorders>
            <w:shd w:val="clear" w:color="auto" w:fill="auto"/>
            <w:noWrap/>
            <w:vAlign w:val="center"/>
            <w:hideMark/>
          </w:tcPr>
          <w:p w14:paraId="2FA33C4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44B786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121</w:t>
            </w:r>
          </w:p>
        </w:tc>
        <w:tc>
          <w:tcPr>
            <w:tcW w:w="1354" w:type="dxa"/>
            <w:tcBorders>
              <w:top w:val="nil"/>
              <w:left w:val="nil"/>
              <w:bottom w:val="nil"/>
              <w:right w:val="nil"/>
            </w:tcBorders>
            <w:shd w:val="clear" w:color="auto" w:fill="auto"/>
            <w:noWrap/>
            <w:vAlign w:val="center"/>
            <w:hideMark/>
          </w:tcPr>
          <w:p w14:paraId="7E58069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162</w:t>
            </w:r>
          </w:p>
        </w:tc>
        <w:tc>
          <w:tcPr>
            <w:tcW w:w="1001" w:type="dxa"/>
            <w:tcBorders>
              <w:top w:val="nil"/>
              <w:left w:val="nil"/>
              <w:bottom w:val="nil"/>
              <w:right w:val="nil"/>
            </w:tcBorders>
            <w:shd w:val="clear" w:color="auto" w:fill="auto"/>
            <w:noWrap/>
            <w:vAlign w:val="center"/>
            <w:hideMark/>
          </w:tcPr>
          <w:p w14:paraId="1202185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74%</w:t>
            </w:r>
          </w:p>
        </w:tc>
        <w:tc>
          <w:tcPr>
            <w:tcW w:w="992" w:type="dxa"/>
            <w:tcBorders>
              <w:top w:val="nil"/>
              <w:left w:val="nil"/>
              <w:bottom w:val="nil"/>
              <w:right w:val="nil"/>
            </w:tcBorders>
            <w:shd w:val="clear" w:color="000000" w:fill="6894CB"/>
            <w:noWrap/>
            <w:vAlign w:val="center"/>
            <w:hideMark/>
          </w:tcPr>
          <w:p w14:paraId="756C85B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289%</w:t>
            </w:r>
          </w:p>
        </w:tc>
      </w:tr>
      <w:tr w:rsidR="0028350E" w:rsidRPr="007364B1" w14:paraId="7DA8E578" w14:textId="77777777" w:rsidTr="00AA33F9">
        <w:trPr>
          <w:trHeight w:val="360"/>
        </w:trPr>
        <w:tc>
          <w:tcPr>
            <w:tcW w:w="1985" w:type="dxa"/>
            <w:tcBorders>
              <w:top w:val="nil"/>
              <w:left w:val="nil"/>
              <w:bottom w:val="nil"/>
              <w:right w:val="nil"/>
            </w:tcBorders>
            <w:shd w:val="clear" w:color="auto" w:fill="auto"/>
            <w:noWrap/>
            <w:vAlign w:val="bottom"/>
            <w:hideMark/>
          </w:tcPr>
          <w:p w14:paraId="7F27CF16"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Physical</w:t>
            </w:r>
          </w:p>
        </w:tc>
        <w:tc>
          <w:tcPr>
            <w:tcW w:w="884" w:type="dxa"/>
            <w:tcBorders>
              <w:top w:val="nil"/>
              <w:left w:val="nil"/>
              <w:bottom w:val="nil"/>
              <w:right w:val="nil"/>
            </w:tcBorders>
            <w:shd w:val="clear" w:color="auto" w:fill="auto"/>
            <w:noWrap/>
            <w:vAlign w:val="center"/>
            <w:hideMark/>
          </w:tcPr>
          <w:p w14:paraId="35407A0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2,272</w:t>
            </w:r>
          </w:p>
        </w:tc>
        <w:tc>
          <w:tcPr>
            <w:tcW w:w="1026" w:type="dxa"/>
            <w:tcBorders>
              <w:top w:val="nil"/>
              <w:left w:val="nil"/>
              <w:bottom w:val="nil"/>
              <w:right w:val="nil"/>
            </w:tcBorders>
            <w:shd w:val="clear" w:color="auto" w:fill="auto"/>
            <w:noWrap/>
            <w:vAlign w:val="center"/>
            <w:hideMark/>
          </w:tcPr>
          <w:p w14:paraId="05961BE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4,877</w:t>
            </w:r>
          </w:p>
        </w:tc>
        <w:tc>
          <w:tcPr>
            <w:tcW w:w="851" w:type="dxa"/>
            <w:tcBorders>
              <w:top w:val="nil"/>
              <w:left w:val="nil"/>
              <w:bottom w:val="nil"/>
              <w:right w:val="nil"/>
            </w:tcBorders>
            <w:shd w:val="clear" w:color="000000" w:fill="FBD5D8"/>
            <w:noWrap/>
            <w:vAlign w:val="center"/>
            <w:hideMark/>
          </w:tcPr>
          <w:p w14:paraId="6AB98A6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+115%</w:t>
            </w:r>
          </w:p>
        </w:tc>
        <w:tc>
          <w:tcPr>
            <w:tcW w:w="992" w:type="dxa"/>
            <w:tcBorders>
              <w:top w:val="nil"/>
              <w:left w:val="nil"/>
              <w:bottom w:val="nil"/>
              <w:right w:val="nil"/>
            </w:tcBorders>
            <w:shd w:val="clear" w:color="auto" w:fill="auto"/>
            <w:noWrap/>
            <w:vAlign w:val="center"/>
            <w:hideMark/>
          </w:tcPr>
          <w:p w14:paraId="6AFFFD5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7,955</w:t>
            </w:r>
          </w:p>
        </w:tc>
        <w:tc>
          <w:tcPr>
            <w:tcW w:w="850" w:type="dxa"/>
            <w:tcBorders>
              <w:top w:val="nil"/>
              <w:left w:val="nil"/>
              <w:bottom w:val="nil"/>
              <w:right w:val="nil"/>
            </w:tcBorders>
            <w:shd w:val="clear" w:color="auto" w:fill="auto"/>
            <w:noWrap/>
            <w:vAlign w:val="center"/>
            <w:hideMark/>
          </w:tcPr>
          <w:p w14:paraId="79A7D87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3728147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248</w:t>
            </w:r>
          </w:p>
        </w:tc>
        <w:tc>
          <w:tcPr>
            <w:tcW w:w="869" w:type="dxa"/>
            <w:tcBorders>
              <w:top w:val="nil"/>
              <w:left w:val="nil"/>
              <w:bottom w:val="nil"/>
              <w:right w:val="nil"/>
            </w:tcBorders>
            <w:shd w:val="clear" w:color="auto" w:fill="auto"/>
            <w:noWrap/>
            <w:vAlign w:val="center"/>
            <w:hideMark/>
          </w:tcPr>
          <w:p w14:paraId="17A6CF5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248</w:t>
            </w:r>
          </w:p>
        </w:tc>
        <w:tc>
          <w:tcPr>
            <w:tcW w:w="710" w:type="dxa"/>
            <w:tcBorders>
              <w:top w:val="nil"/>
              <w:left w:val="nil"/>
              <w:bottom w:val="nil"/>
              <w:right w:val="nil"/>
            </w:tcBorders>
            <w:shd w:val="clear" w:color="auto" w:fill="auto"/>
            <w:noWrap/>
            <w:vAlign w:val="center"/>
            <w:hideMark/>
          </w:tcPr>
          <w:p w14:paraId="756DCEF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837</w:t>
            </w:r>
          </w:p>
        </w:tc>
        <w:tc>
          <w:tcPr>
            <w:tcW w:w="1011" w:type="dxa"/>
            <w:tcBorders>
              <w:top w:val="nil"/>
              <w:left w:val="nil"/>
              <w:bottom w:val="nil"/>
              <w:right w:val="nil"/>
            </w:tcBorders>
            <w:shd w:val="clear" w:color="auto" w:fill="auto"/>
            <w:noWrap/>
            <w:vAlign w:val="center"/>
            <w:hideMark/>
          </w:tcPr>
          <w:p w14:paraId="10AAC68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2901F2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79</w:t>
            </w:r>
          </w:p>
        </w:tc>
        <w:tc>
          <w:tcPr>
            <w:tcW w:w="1354" w:type="dxa"/>
            <w:tcBorders>
              <w:top w:val="nil"/>
              <w:left w:val="nil"/>
              <w:bottom w:val="nil"/>
              <w:right w:val="nil"/>
            </w:tcBorders>
            <w:shd w:val="clear" w:color="auto" w:fill="auto"/>
            <w:noWrap/>
            <w:vAlign w:val="center"/>
            <w:hideMark/>
          </w:tcPr>
          <w:p w14:paraId="6E083F1C"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80</w:t>
            </w:r>
          </w:p>
        </w:tc>
        <w:tc>
          <w:tcPr>
            <w:tcW w:w="1001" w:type="dxa"/>
            <w:tcBorders>
              <w:top w:val="nil"/>
              <w:left w:val="nil"/>
              <w:bottom w:val="nil"/>
              <w:right w:val="nil"/>
            </w:tcBorders>
            <w:shd w:val="clear" w:color="auto" w:fill="auto"/>
            <w:noWrap/>
            <w:vAlign w:val="center"/>
            <w:hideMark/>
          </w:tcPr>
          <w:p w14:paraId="4D69FF7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99%</w:t>
            </w:r>
          </w:p>
        </w:tc>
        <w:tc>
          <w:tcPr>
            <w:tcW w:w="992" w:type="dxa"/>
            <w:tcBorders>
              <w:top w:val="nil"/>
              <w:left w:val="nil"/>
              <w:bottom w:val="nil"/>
              <w:right w:val="nil"/>
            </w:tcBorders>
            <w:shd w:val="clear" w:color="000000" w:fill="BCCFE8"/>
            <w:noWrap/>
            <w:vAlign w:val="center"/>
            <w:hideMark/>
          </w:tcPr>
          <w:p w14:paraId="767B924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369%</w:t>
            </w:r>
          </w:p>
        </w:tc>
      </w:tr>
      <w:tr w:rsidR="0028350E" w:rsidRPr="007364B1" w14:paraId="2FBDC4D1" w14:textId="77777777" w:rsidTr="00AA33F9">
        <w:trPr>
          <w:trHeight w:val="360"/>
        </w:trPr>
        <w:tc>
          <w:tcPr>
            <w:tcW w:w="1985" w:type="dxa"/>
            <w:tcBorders>
              <w:top w:val="nil"/>
              <w:left w:val="nil"/>
              <w:bottom w:val="nil"/>
              <w:right w:val="nil"/>
            </w:tcBorders>
            <w:shd w:val="clear" w:color="auto" w:fill="auto"/>
            <w:noWrap/>
            <w:vAlign w:val="bottom"/>
            <w:hideMark/>
          </w:tcPr>
          <w:p w14:paraId="537827B3"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Other Sensory</w:t>
            </w:r>
            <w:r>
              <w:rPr>
                <w:rFonts w:ascii="Blanco" w:eastAsia="Times New Roman" w:hAnsi="Blanco" w:cs="Times New Roman"/>
                <w:color w:val="231F20"/>
                <w:sz w:val="18"/>
                <w:szCs w:val="18"/>
                <w:lang w:val="en-AU" w:eastAsia="en-AU"/>
              </w:rPr>
              <w:t>/</w:t>
            </w:r>
            <w:r w:rsidRPr="007364B1">
              <w:rPr>
                <w:rFonts w:ascii="Blanco" w:eastAsia="Times New Roman" w:hAnsi="Blanco" w:cs="Times New Roman"/>
                <w:color w:val="231F20"/>
                <w:sz w:val="18"/>
                <w:szCs w:val="18"/>
                <w:lang w:val="en-AU" w:eastAsia="en-AU"/>
              </w:rPr>
              <w:t>Speech</w:t>
            </w:r>
          </w:p>
        </w:tc>
        <w:tc>
          <w:tcPr>
            <w:tcW w:w="884" w:type="dxa"/>
            <w:tcBorders>
              <w:top w:val="nil"/>
              <w:left w:val="nil"/>
              <w:bottom w:val="nil"/>
              <w:right w:val="nil"/>
            </w:tcBorders>
            <w:shd w:val="clear" w:color="auto" w:fill="auto"/>
            <w:noWrap/>
            <w:vAlign w:val="center"/>
            <w:hideMark/>
          </w:tcPr>
          <w:p w14:paraId="4397E8A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10</w:t>
            </w:r>
          </w:p>
        </w:tc>
        <w:tc>
          <w:tcPr>
            <w:tcW w:w="1026" w:type="dxa"/>
            <w:tcBorders>
              <w:top w:val="nil"/>
              <w:left w:val="nil"/>
              <w:bottom w:val="nil"/>
              <w:right w:val="nil"/>
            </w:tcBorders>
            <w:shd w:val="clear" w:color="auto" w:fill="auto"/>
            <w:noWrap/>
            <w:vAlign w:val="center"/>
            <w:hideMark/>
          </w:tcPr>
          <w:p w14:paraId="35C5145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14</w:t>
            </w:r>
          </w:p>
        </w:tc>
        <w:tc>
          <w:tcPr>
            <w:tcW w:w="851" w:type="dxa"/>
            <w:tcBorders>
              <w:top w:val="nil"/>
              <w:left w:val="nil"/>
              <w:bottom w:val="nil"/>
              <w:right w:val="nil"/>
            </w:tcBorders>
            <w:shd w:val="clear" w:color="000000" w:fill="FCFCFF"/>
            <w:noWrap/>
            <w:vAlign w:val="center"/>
            <w:hideMark/>
          </w:tcPr>
          <w:p w14:paraId="64AA97A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+38%</w:t>
            </w:r>
          </w:p>
        </w:tc>
        <w:tc>
          <w:tcPr>
            <w:tcW w:w="992" w:type="dxa"/>
            <w:tcBorders>
              <w:top w:val="nil"/>
              <w:left w:val="nil"/>
              <w:bottom w:val="nil"/>
              <w:right w:val="nil"/>
            </w:tcBorders>
            <w:shd w:val="clear" w:color="auto" w:fill="auto"/>
            <w:noWrap/>
            <w:vAlign w:val="center"/>
            <w:hideMark/>
          </w:tcPr>
          <w:p w14:paraId="7F8A105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10</w:t>
            </w:r>
          </w:p>
        </w:tc>
        <w:tc>
          <w:tcPr>
            <w:tcW w:w="850" w:type="dxa"/>
            <w:tcBorders>
              <w:top w:val="nil"/>
              <w:left w:val="nil"/>
              <w:bottom w:val="nil"/>
              <w:right w:val="nil"/>
            </w:tcBorders>
            <w:shd w:val="clear" w:color="auto" w:fill="auto"/>
            <w:noWrap/>
            <w:vAlign w:val="center"/>
            <w:hideMark/>
          </w:tcPr>
          <w:p w14:paraId="6EA24F9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63D460A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w:t>
            </w:r>
          </w:p>
        </w:tc>
        <w:tc>
          <w:tcPr>
            <w:tcW w:w="869" w:type="dxa"/>
            <w:tcBorders>
              <w:top w:val="nil"/>
              <w:left w:val="nil"/>
              <w:bottom w:val="nil"/>
              <w:right w:val="nil"/>
            </w:tcBorders>
            <w:shd w:val="clear" w:color="auto" w:fill="auto"/>
            <w:noWrap/>
            <w:vAlign w:val="center"/>
            <w:hideMark/>
          </w:tcPr>
          <w:p w14:paraId="658C7F7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w:t>
            </w:r>
          </w:p>
        </w:tc>
        <w:tc>
          <w:tcPr>
            <w:tcW w:w="710" w:type="dxa"/>
            <w:tcBorders>
              <w:top w:val="nil"/>
              <w:left w:val="nil"/>
              <w:bottom w:val="nil"/>
              <w:right w:val="nil"/>
            </w:tcBorders>
            <w:shd w:val="clear" w:color="auto" w:fill="auto"/>
            <w:noWrap/>
            <w:vAlign w:val="center"/>
            <w:hideMark/>
          </w:tcPr>
          <w:p w14:paraId="5A02FD2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w:t>
            </w:r>
          </w:p>
        </w:tc>
        <w:tc>
          <w:tcPr>
            <w:tcW w:w="1011" w:type="dxa"/>
            <w:tcBorders>
              <w:top w:val="nil"/>
              <w:left w:val="nil"/>
              <w:bottom w:val="nil"/>
              <w:right w:val="nil"/>
            </w:tcBorders>
            <w:shd w:val="clear" w:color="auto" w:fill="auto"/>
            <w:noWrap/>
            <w:vAlign w:val="center"/>
            <w:hideMark/>
          </w:tcPr>
          <w:p w14:paraId="3FB6A3D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5CB89E2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354" w:type="dxa"/>
            <w:tcBorders>
              <w:top w:val="nil"/>
              <w:left w:val="nil"/>
              <w:bottom w:val="nil"/>
              <w:right w:val="nil"/>
            </w:tcBorders>
            <w:shd w:val="clear" w:color="auto" w:fill="auto"/>
            <w:noWrap/>
            <w:vAlign w:val="center"/>
            <w:hideMark/>
          </w:tcPr>
          <w:p w14:paraId="31978A8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01" w:type="dxa"/>
            <w:tcBorders>
              <w:top w:val="nil"/>
              <w:left w:val="nil"/>
              <w:bottom w:val="nil"/>
              <w:right w:val="nil"/>
            </w:tcBorders>
            <w:shd w:val="clear" w:color="auto" w:fill="auto"/>
            <w:noWrap/>
            <w:vAlign w:val="center"/>
            <w:hideMark/>
          </w:tcPr>
          <w:p w14:paraId="1DAACA9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p>
        </w:tc>
        <w:tc>
          <w:tcPr>
            <w:tcW w:w="992" w:type="dxa"/>
            <w:tcBorders>
              <w:top w:val="nil"/>
              <w:left w:val="nil"/>
              <w:bottom w:val="nil"/>
              <w:right w:val="nil"/>
            </w:tcBorders>
            <w:shd w:val="clear" w:color="000000" w:fill="5A8AC6"/>
            <w:noWrap/>
            <w:vAlign w:val="center"/>
            <w:hideMark/>
          </w:tcPr>
          <w:p w14:paraId="3C29EED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275%</w:t>
            </w:r>
          </w:p>
        </w:tc>
      </w:tr>
      <w:tr w:rsidR="0028350E" w:rsidRPr="007364B1" w14:paraId="4857BE88" w14:textId="77777777" w:rsidTr="00AA33F9">
        <w:trPr>
          <w:trHeight w:val="360"/>
        </w:trPr>
        <w:tc>
          <w:tcPr>
            <w:tcW w:w="1985" w:type="dxa"/>
            <w:tcBorders>
              <w:top w:val="nil"/>
              <w:left w:val="nil"/>
              <w:bottom w:val="nil"/>
              <w:right w:val="nil"/>
            </w:tcBorders>
            <w:shd w:val="clear" w:color="auto" w:fill="auto"/>
            <w:noWrap/>
            <w:vAlign w:val="bottom"/>
            <w:hideMark/>
          </w:tcPr>
          <w:p w14:paraId="1E345DAB"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Psychosocial disability</w:t>
            </w:r>
          </w:p>
        </w:tc>
        <w:tc>
          <w:tcPr>
            <w:tcW w:w="884" w:type="dxa"/>
            <w:tcBorders>
              <w:top w:val="nil"/>
              <w:left w:val="nil"/>
              <w:bottom w:val="nil"/>
              <w:right w:val="nil"/>
            </w:tcBorders>
            <w:shd w:val="clear" w:color="auto" w:fill="auto"/>
            <w:noWrap/>
            <w:vAlign w:val="center"/>
            <w:hideMark/>
          </w:tcPr>
          <w:p w14:paraId="59FA377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2,453</w:t>
            </w:r>
          </w:p>
        </w:tc>
        <w:tc>
          <w:tcPr>
            <w:tcW w:w="1026" w:type="dxa"/>
            <w:tcBorders>
              <w:top w:val="nil"/>
              <w:left w:val="nil"/>
              <w:bottom w:val="nil"/>
              <w:right w:val="nil"/>
            </w:tcBorders>
            <w:shd w:val="clear" w:color="auto" w:fill="auto"/>
            <w:noWrap/>
            <w:vAlign w:val="center"/>
            <w:hideMark/>
          </w:tcPr>
          <w:p w14:paraId="6F2FDCD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6,793</w:t>
            </w:r>
          </w:p>
        </w:tc>
        <w:tc>
          <w:tcPr>
            <w:tcW w:w="851" w:type="dxa"/>
            <w:tcBorders>
              <w:top w:val="nil"/>
              <w:left w:val="nil"/>
              <w:bottom w:val="nil"/>
              <w:right w:val="nil"/>
            </w:tcBorders>
            <w:shd w:val="clear" w:color="000000" w:fill="FBB5B8"/>
            <w:noWrap/>
            <w:vAlign w:val="center"/>
            <w:hideMark/>
          </w:tcPr>
          <w:p w14:paraId="1A3774C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+177%</w:t>
            </w:r>
          </w:p>
        </w:tc>
        <w:tc>
          <w:tcPr>
            <w:tcW w:w="992" w:type="dxa"/>
            <w:tcBorders>
              <w:top w:val="nil"/>
              <w:left w:val="nil"/>
              <w:bottom w:val="nil"/>
              <w:right w:val="nil"/>
            </w:tcBorders>
            <w:shd w:val="clear" w:color="auto" w:fill="auto"/>
            <w:noWrap/>
            <w:vAlign w:val="center"/>
            <w:hideMark/>
          </w:tcPr>
          <w:p w14:paraId="5C86CB6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13,107</w:t>
            </w:r>
          </w:p>
        </w:tc>
        <w:tc>
          <w:tcPr>
            <w:tcW w:w="850" w:type="dxa"/>
            <w:tcBorders>
              <w:top w:val="nil"/>
              <w:left w:val="nil"/>
              <w:bottom w:val="nil"/>
              <w:right w:val="nil"/>
            </w:tcBorders>
            <w:shd w:val="clear" w:color="auto" w:fill="auto"/>
            <w:noWrap/>
            <w:vAlign w:val="center"/>
            <w:hideMark/>
          </w:tcPr>
          <w:p w14:paraId="3A353C1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274E9E1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194</w:t>
            </w:r>
          </w:p>
        </w:tc>
        <w:tc>
          <w:tcPr>
            <w:tcW w:w="869" w:type="dxa"/>
            <w:tcBorders>
              <w:top w:val="nil"/>
              <w:left w:val="nil"/>
              <w:bottom w:val="nil"/>
              <w:right w:val="nil"/>
            </w:tcBorders>
            <w:shd w:val="clear" w:color="auto" w:fill="auto"/>
            <w:noWrap/>
            <w:vAlign w:val="center"/>
            <w:hideMark/>
          </w:tcPr>
          <w:p w14:paraId="0E129AA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194</w:t>
            </w:r>
          </w:p>
        </w:tc>
        <w:tc>
          <w:tcPr>
            <w:tcW w:w="710" w:type="dxa"/>
            <w:tcBorders>
              <w:top w:val="nil"/>
              <w:left w:val="nil"/>
              <w:bottom w:val="nil"/>
              <w:right w:val="nil"/>
            </w:tcBorders>
            <w:shd w:val="clear" w:color="auto" w:fill="auto"/>
            <w:noWrap/>
            <w:vAlign w:val="center"/>
            <w:hideMark/>
          </w:tcPr>
          <w:p w14:paraId="7AC33C5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1,226</w:t>
            </w:r>
          </w:p>
        </w:tc>
        <w:tc>
          <w:tcPr>
            <w:tcW w:w="1011" w:type="dxa"/>
            <w:tcBorders>
              <w:top w:val="nil"/>
              <w:left w:val="nil"/>
              <w:bottom w:val="nil"/>
              <w:right w:val="nil"/>
            </w:tcBorders>
            <w:shd w:val="clear" w:color="auto" w:fill="auto"/>
            <w:noWrap/>
            <w:vAlign w:val="center"/>
            <w:hideMark/>
          </w:tcPr>
          <w:p w14:paraId="2EEF1A1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25C7E23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65</w:t>
            </w:r>
          </w:p>
        </w:tc>
        <w:tc>
          <w:tcPr>
            <w:tcW w:w="1354" w:type="dxa"/>
            <w:tcBorders>
              <w:top w:val="nil"/>
              <w:left w:val="nil"/>
              <w:bottom w:val="nil"/>
              <w:right w:val="nil"/>
            </w:tcBorders>
            <w:shd w:val="clear" w:color="auto" w:fill="auto"/>
            <w:noWrap/>
            <w:vAlign w:val="center"/>
            <w:hideMark/>
          </w:tcPr>
          <w:p w14:paraId="003DD18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110</w:t>
            </w:r>
          </w:p>
        </w:tc>
        <w:tc>
          <w:tcPr>
            <w:tcW w:w="1001" w:type="dxa"/>
            <w:tcBorders>
              <w:top w:val="nil"/>
              <w:left w:val="nil"/>
              <w:bottom w:val="nil"/>
              <w:right w:val="nil"/>
            </w:tcBorders>
            <w:shd w:val="clear" w:color="auto" w:fill="auto"/>
            <w:noWrap/>
            <w:vAlign w:val="center"/>
            <w:hideMark/>
          </w:tcPr>
          <w:p w14:paraId="5E9C5D2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59%</w:t>
            </w:r>
          </w:p>
        </w:tc>
        <w:tc>
          <w:tcPr>
            <w:tcW w:w="992" w:type="dxa"/>
            <w:tcBorders>
              <w:top w:val="nil"/>
              <w:left w:val="nil"/>
              <w:bottom w:val="nil"/>
              <w:right w:val="nil"/>
            </w:tcBorders>
            <w:shd w:val="clear" w:color="000000" w:fill="FCE3E6"/>
            <w:noWrap/>
            <w:vAlign w:val="center"/>
            <w:hideMark/>
          </w:tcPr>
          <w:p w14:paraId="2FAE2F4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665%</w:t>
            </w:r>
          </w:p>
        </w:tc>
      </w:tr>
      <w:tr w:rsidR="0028350E" w:rsidRPr="007364B1" w14:paraId="277A9AA9" w14:textId="77777777" w:rsidTr="00AA33F9">
        <w:trPr>
          <w:trHeight w:val="360"/>
        </w:trPr>
        <w:tc>
          <w:tcPr>
            <w:tcW w:w="1985" w:type="dxa"/>
            <w:tcBorders>
              <w:top w:val="nil"/>
              <w:left w:val="nil"/>
              <w:bottom w:val="nil"/>
              <w:right w:val="nil"/>
            </w:tcBorders>
            <w:shd w:val="clear" w:color="auto" w:fill="auto"/>
            <w:noWrap/>
            <w:vAlign w:val="bottom"/>
            <w:hideMark/>
          </w:tcPr>
          <w:p w14:paraId="69355327"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Spinal Cord Injury</w:t>
            </w:r>
          </w:p>
        </w:tc>
        <w:tc>
          <w:tcPr>
            <w:tcW w:w="884" w:type="dxa"/>
            <w:tcBorders>
              <w:top w:val="nil"/>
              <w:left w:val="nil"/>
              <w:bottom w:val="nil"/>
              <w:right w:val="nil"/>
            </w:tcBorders>
            <w:shd w:val="clear" w:color="auto" w:fill="auto"/>
            <w:noWrap/>
            <w:vAlign w:val="center"/>
            <w:hideMark/>
          </w:tcPr>
          <w:p w14:paraId="3DC3E0A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612</w:t>
            </w:r>
          </w:p>
        </w:tc>
        <w:tc>
          <w:tcPr>
            <w:tcW w:w="1026" w:type="dxa"/>
            <w:tcBorders>
              <w:top w:val="nil"/>
              <w:left w:val="nil"/>
              <w:bottom w:val="nil"/>
              <w:right w:val="nil"/>
            </w:tcBorders>
            <w:shd w:val="clear" w:color="auto" w:fill="auto"/>
            <w:noWrap/>
            <w:vAlign w:val="center"/>
            <w:hideMark/>
          </w:tcPr>
          <w:p w14:paraId="1E8E263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1,139</w:t>
            </w:r>
          </w:p>
        </w:tc>
        <w:tc>
          <w:tcPr>
            <w:tcW w:w="851" w:type="dxa"/>
            <w:tcBorders>
              <w:top w:val="nil"/>
              <w:left w:val="nil"/>
              <w:bottom w:val="nil"/>
              <w:right w:val="nil"/>
            </w:tcBorders>
            <w:shd w:val="clear" w:color="000000" w:fill="FCE4E7"/>
            <w:noWrap/>
            <w:vAlign w:val="center"/>
            <w:hideMark/>
          </w:tcPr>
          <w:p w14:paraId="4E5C9A4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+86%</w:t>
            </w:r>
          </w:p>
        </w:tc>
        <w:tc>
          <w:tcPr>
            <w:tcW w:w="992" w:type="dxa"/>
            <w:tcBorders>
              <w:top w:val="nil"/>
              <w:left w:val="nil"/>
              <w:bottom w:val="nil"/>
              <w:right w:val="nil"/>
            </w:tcBorders>
            <w:shd w:val="clear" w:color="auto" w:fill="auto"/>
            <w:noWrap/>
            <w:vAlign w:val="center"/>
            <w:hideMark/>
          </w:tcPr>
          <w:p w14:paraId="5197FD5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1,774</w:t>
            </w:r>
          </w:p>
        </w:tc>
        <w:tc>
          <w:tcPr>
            <w:tcW w:w="850" w:type="dxa"/>
            <w:tcBorders>
              <w:top w:val="nil"/>
              <w:left w:val="nil"/>
              <w:bottom w:val="nil"/>
              <w:right w:val="nil"/>
            </w:tcBorders>
            <w:shd w:val="clear" w:color="auto" w:fill="auto"/>
            <w:noWrap/>
            <w:vAlign w:val="center"/>
            <w:hideMark/>
          </w:tcPr>
          <w:p w14:paraId="4EDE16F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3923FC5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43</w:t>
            </w:r>
          </w:p>
        </w:tc>
        <w:tc>
          <w:tcPr>
            <w:tcW w:w="869" w:type="dxa"/>
            <w:tcBorders>
              <w:top w:val="nil"/>
              <w:left w:val="nil"/>
              <w:bottom w:val="nil"/>
              <w:right w:val="nil"/>
            </w:tcBorders>
            <w:shd w:val="clear" w:color="auto" w:fill="auto"/>
            <w:noWrap/>
            <w:vAlign w:val="center"/>
            <w:hideMark/>
          </w:tcPr>
          <w:p w14:paraId="3493693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43</w:t>
            </w:r>
          </w:p>
        </w:tc>
        <w:tc>
          <w:tcPr>
            <w:tcW w:w="710" w:type="dxa"/>
            <w:tcBorders>
              <w:top w:val="nil"/>
              <w:left w:val="nil"/>
              <w:bottom w:val="nil"/>
              <w:right w:val="nil"/>
            </w:tcBorders>
            <w:shd w:val="clear" w:color="auto" w:fill="auto"/>
            <w:noWrap/>
            <w:vAlign w:val="center"/>
            <w:hideMark/>
          </w:tcPr>
          <w:p w14:paraId="16377EB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168</w:t>
            </w:r>
          </w:p>
        </w:tc>
        <w:tc>
          <w:tcPr>
            <w:tcW w:w="1011" w:type="dxa"/>
            <w:tcBorders>
              <w:top w:val="nil"/>
              <w:left w:val="nil"/>
              <w:bottom w:val="nil"/>
              <w:right w:val="nil"/>
            </w:tcBorders>
            <w:shd w:val="clear" w:color="auto" w:fill="auto"/>
            <w:noWrap/>
            <w:vAlign w:val="center"/>
            <w:hideMark/>
          </w:tcPr>
          <w:p w14:paraId="6A057E0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6FC1F32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w:t>
            </w:r>
          </w:p>
        </w:tc>
        <w:tc>
          <w:tcPr>
            <w:tcW w:w="1354" w:type="dxa"/>
            <w:tcBorders>
              <w:top w:val="nil"/>
              <w:left w:val="nil"/>
              <w:bottom w:val="nil"/>
              <w:right w:val="nil"/>
            </w:tcBorders>
            <w:shd w:val="clear" w:color="auto" w:fill="auto"/>
            <w:noWrap/>
            <w:vAlign w:val="center"/>
            <w:hideMark/>
          </w:tcPr>
          <w:p w14:paraId="7E99A948"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26</w:t>
            </w:r>
          </w:p>
        </w:tc>
        <w:tc>
          <w:tcPr>
            <w:tcW w:w="1001" w:type="dxa"/>
            <w:tcBorders>
              <w:top w:val="nil"/>
              <w:left w:val="nil"/>
              <w:bottom w:val="nil"/>
              <w:right w:val="nil"/>
            </w:tcBorders>
            <w:shd w:val="clear" w:color="auto" w:fill="auto"/>
            <w:noWrap/>
            <w:vAlign w:val="center"/>
            <w:hideMark/>
          </w:tcPr>
          <w:p w14:paraId="68001D1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32%</w:t>
            </w:r>
          </w:p>
        </w:tc>
        <w:tc>
          <w:tcPr>
            <w:tcW w:w="992" w:type="dxa"/>
            <w:tcBorders>
              <w:top w:val="nil"/>
              <w:left w:val="nil"/>
              <w:bottom w:val="nil"/>
              <w:right w:val="nil"/>
            </w:tcBorders>
            <w:shd w:val="clear" w:color="000000" w:fill="E6EDF7"/>
            <w:noWrap/>
            <w:vAlign w:val="center"/>
            <w:hideMark/>
          </w:tcPr>
          <w:p w14:paraId="67684DB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409%</w:t>
            </w:r>
          </w:p>
        </w:tc>
      </w:tr>
      <w:tr w:rsidR="0028350E" w:rsidRPr="007364B1" w14:paraId="6C874989" w14:textId="77777777" w:rsidTr="00AA33F9">
        <w:trPr>
          <w:trHeight w:val="360"/>
        </w:trPr>
        <w:tc>
          <w:tcPr>
            <w:tcW w:w="1985" w:type="dxa"/>
            <w:tcBorders>
              <w:top w:val="nil"/>
              <w:left w:val="nil"/>
              <w:bottom w:val="nil"/>
              <w:right w:val="nil"/>
            </w:tcBorders>
            <w:shd w:val="clear" w:color="auto" w:fill="auto"/>
            <w:noWrap/>
            <w:vAlign w:val="bottom"/>
            <w:hideMark/>
          </w:tcPr>
          <w:p w14:paraId="258C00D1"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Stroke</w:t>
            </w:r>
          </w:p>
        </w:tc>
        <w:tc>
          <w:tcPr>
            <w:tcW w:w="884" w:type="dxa"/>
            <w:tcBorders>
              <w:top w:val="nil"/>
              <w:left w:val="nil"/>
              <w:bottom w:val="nil"/>
              <w:right w:val="nil"/>
            </w:tcBorders>
            <w:shd w:val="clear" w:color="auto" w:fill="auto"/>
            <w:noWrap/>
            <w:vAlign w:val="center"/>
            <w:hideMark/>
          </w:tcPr>
          <w:p w14:paraId="070806F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1,257</w:t>
            </w:r>
          </w:p>
        </w:tc>
        <w:tc>
          <w:tcPr>
            <w:tcW w:w="1026" w:type="dxa"/>
            <w:tcBorders>
              <w:top w:val="nil"/>
              <w:left w:val="nil"/>
              <w:bottom w:val="nil"/>
              <w:right w:val="nil"/>
            </w:tcBorders>
            <w:shd w:val="clear" w:color="auto" w:fill="auto"/>
            <w:noWrap/>
            <w:vAlign w:val="center"/>
            <w:hideMark/>
          </w:tcPr>
          <w:p w14:paraId="5A006F5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3,003</w:t>
            </w:r>
          </w:p>
        </w:tc>
        <w:tc>
          <w:tcPr>
            <w:tcW w:w="851" w:type="dxa"/>
            <w:tcBorders>
              <w:top w:val="nil"/>
              <w:left w:val="nil"/>
              <w:bottom w:val="nil"/>
              <w:right w:val="nil"/>
            </w:tcBorders>
            <w:shd w:val="clear" w:color="000000" w:fill="FBC9CB"/>
            <w:noWrap/>
            <w:vAlign w:val="center"/>
            <w:hideMark/>
          </w:tcPr>
          <w:p w14:paraId="5DBD857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+139%</w:t>
            </w:r>
          </w:p>
        </w:tc>
        <w:tc>
          <w:tcPr>
            <w:tcW w:w="992" w:type="dxa"/>
            <w:tcBorders>
              <w:top w:val="nil"/>
              <w:left w:val="nil"/>
              <w:bottom w:val="nil"/>
              <w:right w:val="nil"/>
            </w:tcBorders>
            <w:shd w:val="clear" w:color="auto" w:fill="auto"/>
            <w:noWrap/>
            <w:vAlign w:val="center"/>
            <w:hideMark/>
          </w:tcPr>
          <w:p w14:paraId="4AB562D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4,943</w:t>
            </w:r>
          </w:p>
        </w:tc>
        <w:tc>
          <w:tcPr>
            <w:tcW w:w="850" w:type="dxa"/>
            <w:tcBorders>
              <w:top w:val="nil"/>
              <w:left w:val="nil"/>
              <w:bottom w:val="nil"/>
              <w:right w:val="nil"/>
            </w:tcBorders>
            <w:shd w:val="clear" w:color="auto" w:fill="auto"/>
            <w:noWrap/>
            <w:vAlign w:val="center"/>
            <w:hideMark/>
          </w:tcPr>
          <w:p w14:paraId="2B9ED38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nil"/>
              <w:right w:val="nil"/>
            </w:tcBorders>
            <w:shd w:val="clear" w:color="auto" w:fill="auto"/>
            <w:noWrap/>
            <w:vAlign w:val="center"/>
            <w:hideMark/>
          </w:tcPr>
          <w:p w14:paraId="0726166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124</w:t>
            </w:r>
          </w:p>
        </w:tc>
        <w:tc>
          <w:tcPr>
            <w:tcW w:w="869" w:type="dxa"/>
            <w:tcBorders>
              <w:top w:val="nil"/>
              <w:left w:val="nil"/>
              <w:bottom w:val="nil"/>
              <w:right w:val="nil"/>
            </w:tcBorders>
            <w:shd w:val="clear" w:color="auto" w:fill="auto"/>
            <w:noWrap/>
            <w:vAlign w:val="center"/>
            <w:hideMark/>
          </w:tcPr>
          <w:p w14:paraId="5B36028C"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124</w:t>
            </w:r>
          </w:p>
        </w:tc>
        <w:tc>
          <w:tcPr>
            <w:tcW w:w="710" w:type="dxa"/>
            <w:tcBorders>
              <w:top w:val="nil"/>
              <w:left w:val="nil"/>
              <w:bottom w:val="nil"/>
              <w:right w:val="nil"/>
            </w:tcBorders>
            <w:shd w:val="clear" w:color="auto" w:fill="auto"/>
            <w:noWrap/>
            <w:vAlign w:val="center"/>
            <w:hideMark/>
          </w:tcPr>
          <w:p w14:paraId="420C973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528</w:t>
            </w:r>
          </w:p>
        </w:tc>
        <w:tc>
          <w:tcPr>
            <w:tcW w:w="1011" w:type="dxa"/>
            <w:tcBorders>
              <w:top w:val="nil"/>
              <w:left w:val="nil"/>
              <w:bottom w:val="nil"/>
              <w:right w:val="nil"/>
            </w:tcBorders>
            <w:shd w:val="clear" w:color="auto" w:fill="auto"/>
            <w:noWrap/>
            <w:vAlign w:val="center"/>
            <w:hideMark/>
          </w:tcPr>
          <w:p w14:paraId="7812EBF4"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nil"/>
              <w:right w:val="nil"/>
            </w:tcBorders>
            <w:shd w:val="clear" w:color="auto" w:fill="auto"/>
            <w:noWrap/>
            <w:vAlign w:val="center"/>
            <w:hideMark/>
          </w:tcPr>
          <w:p w14:paraId="08F2E5F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38</w:t>
            </w:r>
          </w:p>
        </w:tc>
        <w:tc>
          <w:tcPr>
            <w:tcW w:w="1354" w:type="dxa"/>
            <w:tcBorders>
              <w:top w:val="nil"/>
              <w:left w:val="nil"/>
              <w:bottom w:val="nil"/>
              <w:right w:val="nil"/>
            </w:tcBorders>
            <w:shd w:val="clear" w:color="auto" w:fill="auto"/>
            <w:noWrap/>
            <w:vAlign w:val="center"/>
            <w:hideMark/>
          </w:tcPr>
          <w:p w14:paraId="696C9449"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42</w:t>
            </w:r>
          </w:p>
        </w:tc>
        <w:tc>
          <w:tcPr>
            <w:tcW w:w="1001" w:type="dxa"/>
            <w:tcBorders>
              <w:top w:val="nil"/>
              <w:left w:val="nil"/>
              <w:bottom w:val="nil"/>
              <w:right w:val="nil"/>
            </w:tcBorders>
            <w:shd w:val="clear" w:color="auto" w:fill="auto"/>
            <w:noWrap/>
            <w:vAlign w:val="center"/>
            <w:hideMark/>
          </w:tcPr>
          <w:p w14:paraId="05819BC6"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91%</w:t>
            </w:r>
          </w:p>
        </w:tc>
        <w:tc>
          <w:tcPr>
            <w:tcW w:w="992" w:type="dxa"/>
            <w:tcBorders>
              <w:top w:val="nil"/>
              <w:left w:val="nil"/>
              <w:bottom w:val="nil"/>
              <w:right w:val="nil"/>
            </w:tcBorders>
            <w:shd w:val="clear" w:color="000000" w:fill="FCFAFD"/>
            <w:noWrap/>
            <w:vAlign w:val="center"/>
            <w:hideMark/>
          </w:tcPr>
          <w:p w14:paraId="5841B9F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456%</w:t>
            </w:r>
          </w:p>
        </w:tc>
      </w:tr>
      <w:tr w:rsidR="0028350E" w:rsidRPr="007364B1" w14:paraId="09BCEF3A"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1D1CF7B2"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Visual Impairment</w:t>
            </w:r>
          </w:p>
        </w:tc>
        <w:tc>
          <w:tcPr>
            <w:tcW w:w="884" w:type="dxa"/>
            <w:tcBorders>
              <w:top w:val="nil"/>
              <w:left w:val="nil"/>
              <w:bottom w:val="single" w:sz="4" w:space="0" w:color="auto"/>
              <w:right w:val="nil"/>
            </w:tcBorders>
            <w:shd w:val="clear" w:color="auto" w:fill="auto"/>
            <w:noWrap/>
            <w:vAlign w:val="center"/>
            <w:hideMark/>
          </w:tcPr>
          <w:p w14:paraId="7B5722E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896</w:t>
            </w:r>
          </w:p>
        </w:tc>
        <w:tc>
          <w:tcPr>
            <w:tcW w:w="1026" w:type="dxa"/>
            <w:tcBorders>
              <w:top w:val="nil"/>
              <w:left w:val="nil"/>
              <w:bottom w:val="single" w:sz="4" w:space="0" w:color="auto"/>
              <w:right w:val="nil"/>
            </w:tcBorders>
            <w:shd w:val="clear" w:color="auto" w:fill="auto"/>
            <w:noWrap/>
            <w:vAlign w:val="center"/>
            <w:hideMark/>
          </w:tcPr>
          <w:p w14:paraId="58E3F84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1,657</w:t>
            </w:r>
          </w:p>
        </w:tc>
        <w:tc>
          <w:tcPr>
            <w:tcW w:w="851" w:type="dxa"/>
            <w:tcBorders>
              <w:top w:val="nil"/>
              <w:left w:val="nil"/>
              <w:bottom w:val="single" w:sz="4" w:space="0" w:color="auto"/>
              <w:right w:val="nil"/>
            </w:tcBorders>
            <w:shd w:val="clear" w:color="000000" w:fill="FCE5E7"/>
            <w:noWrap/>
            <w:vAlign w:val="center"/>
            <w:hideMark/>
          </w:tcPr>
          <w:p w14:paraId="3CB974E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+85%</w:t>
            </w:r>
          </w:p>
        </w:tc>
        <w:tc>
          <w:tcPr>
            <w:tcW w:w="992" w:type="dxa"/>
            <w:tcBorders>
              <w:top w:val="nil"/>
              <w:left w:val="nil"/>
              <w:bottom w:val="single" w:sz="4" w:space="0" w:color="auto"/>
              <w:right w:val="nil"/>
            </w:tcBorders>
            <w:shd w:val="clear" w:color="auto" w:fill="auto"/>
            <w:noWrap/>
            <w:vAlign w:val="center"/>
            <w:hideMark/>
          </w:tcPr>
          <w:p w14:paraId="31C7382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2,400</w:t>
            </w:r>
          </w:p>
        </w:tc>
        <w:tc>
          <w:tcPr>
            <w:tcW w:w="850" w:type="dxa"/>
            <w:tcBorders>
              <w:top w:val="nil"/>
              <w:left w:val="nil"/>
              <w:bottom w:val="single" w:sz="4" w:space="0" w:color="auto"/>
              <w:right w:val="nil"/>
            </w:tcBorders>
            <w:shd w:val="clear" w:color="auto" w:fill="auto"/>
            <w:noWrap/>
            <w:vAlign w:val="center"/>
            <w:hideMark/>
          </w:tcPr>
          <w:p w14:paraId="42C1453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single" w:sz="4" w:space="0" w:color="auto"/>
              <w:right w:val="nil"/>
            </w:tcBorders>
            <w:shd w:val="clear" w:color="auto" w:fill="auto"/>
            <w:noWrap/>
            <w:vAlign w:val="center"/>
            <w:hideMark/>
          </w:tcPr>
          <w:p w14:paraId="0B8A540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87</w:t>
            </w:r>
          </w:p>
        </w:tc>
        <w:tc>
          <w:tcPr>
            <w:tcW w:w="869" w:type="dxa"/>
            <w:tcBorders>
              <w:top w:val="nil"/>
              <w:left w:val="nil"/>
              <w:bottom w:val="single" w:sz="4" w:space="0" w:color="auto"/>
              <w:right w:val="nil"/>
            </w:tcBorders>
            <w:shd w:val="clear" w:color="auto" w:fill="auto"/>
            <w:noWrap/>
            <w:vAlign w:val="center"/>
            <w:hideMark/>
          </w:tcPr>
          <w:p w14:paraId="54C5AD90"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87</w:t>
            </w:r>
          </w:p>
        </w:tc>
        <w:tc>
          <w:tcPr>
            <w:tcW w:w="710" w:type="dxa"/>
            <w:tcBorders>
              <w:top w:val="nil"/>
              <w:left w:val="nil"/>
              <w:bottom w:val="single" w:sz="4" w:space="0" w:color="auto"/>
              <w:right w:val="nil"/>
            </w:tcBorders>
            <w:shd w:val="clear" w:color="auto" w:fill="auto"/>
            <w:noWrap/>
            <w:vAlign w:val="center"/>
            <w:hideMark/>
          </w:tcPr>
          <w:p w14:paraId="3EA0492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267</w:t>
            </w:r>
          </w:p>
        </w:tc>
        <w:tc>
          <w:tcPr>
            <w:tcW w:w="1011" w:type="dxa"/>
            <w:tcBorders>
              <w:top w:val="nil"/>
              <w:left w:val="nil"/>
              <w:bottom w:val="single" w:sz="4" w:space="0" w:color="auto"/>
              <w:right w:val="nil"/>
            </w:tcBorders>
            <w:shd w:val="clear" w:color="auto" w:fill="auto"/>
            <w:noWrap/>
            <w:vAlign w:val="center"/>
            <w:hideMark/>
          </w:tcPr>
          <w:p w14:paraId="2624115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50BA608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w:t>
            </w:r>
          </w:p>
        </w:tc>
        <w:tc>
          <w:tcPr>
            <w:tcW w:w="1354" w:type="dxa"/>
            <w:tcBorders>
              <w:top w:val="nil"/>
              <w:left w:val="nil"/>
              <w:bottom w:val="single" w:sz="4" w:space="0" w:color="auto"/>
              <w:right w:val="nil"/>
            </w:tcBorders>
            <w:shd w:val="clear" w:color="auto" w:fill="auto"/>
            <w:noWrap/>
            <w:vAlign w:val="center"/>
            <w:hideMark/>
          </w:tcPr>
          <w:p w14:paraId="19168CD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30</w:t>
            </w:r>
          </w:p>
        </w:tc>
        <w:tc>
          <w:tcPr>
            <w:tcW w:w="1001" w:type="dxa"/>
            <w:tcBorders>
              <w:top w:val="nil"/>
              <w:left w:val="nil"/>
              <w:bottom w:val="single" w:sz="4" w:space="0" w:color="auto"/>
              <w:right w:val="nil"/>
            </w:tcBorders>
            <w:shd w:val="clear" w:color="auto" w:fill="auto"/>
            <w:noWrap/>
            <w:vAlign w:val="center"/>
            <w:hideMark/>
          </w:tcPr>
          <w:p w14:paraId="1125CD81"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41%</w:t>
            </w:r>
          </w:p>
        </w:tc>
        <w:tc>
          <w:tcPr>
            <w:tcW w:w="992" w:type="dxa"/>
            <w:tcBorders>
              <w:top w:val="nil"/>
              <w:left w:val="nil"/>
              <w:bottom w:val="single" w:sz="4" w:space="0" w:color="auto"/>
              <w:right w:val="nil"/>
            </w:tcBorders>
            <w:shd w:val="clear" w:color="000000" w:fill="8BACD7"/>
            <w:noWrap/>
            <w:vAlign w:val="center"/>
            <w:hideMark/>
          </w:tcPr>
          <w:p w14:paraId="72498695"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322%</w:t>
            </w:r>
          </w:p>
        </w:tc>
      </w:tr>
      <w:tr w:rsidR="0028350E" w:rsidRPr="007364B1" w14:paraId="39101967" w14:textId="77777777" w:rsidTr="00AA33F9">
        <w:trPr>
          <w:trHeight w:val="360"/>
        </w:trPr>
        <w:tc>
          <w:tcPr>
            <w:tcW w:w="1985" w:type="dxa"/>
            <w:tcBorders>
              <w:top w:val="nil"/>
              <w:left w:val="nil"/>
              <w:bottom w:val="single" w:sz="4" w:space="0" w:color="auto"/>
              <w:right w:val="nil"/>
            </w:tcBorders>
            <w:shd w:val="clear" w:color="auto" w:fill="auto"/>
            <w:noWrap/>
            <w:vAlign w:val="bottom"/>
            <w:hideMark/>
          </w:tcPr>
          <w:p w14:paraId="30324988" w14:textId="77777777" w:rsidR="0028350E" w:rsidRPr="007364B1" w:rsidRDefault="0028350E" w:rsidP="002A2ED9">
            <w:pPr>
              <w:spacing w:before="0" w:after="0"/>
              <w:rPr>
                <w:rFonts w:ascii="Blanco" w:eastAsia="Times New Roman" w:hAnsi="Blanco" w:cs="Times New Roman"/>
                <w:color w:val="231F20"/>
                <w:sz w:val="18"/>
                <w:szCs w:val="18"/>
                <w:lang w:val="en-AU" w:eastAsia="en-AU"/>
              </w:rPr>
            </w:pPr>
            <w:r w:rsidRPr="007364B1">
              <w:rPr>
                <w:rFonts w:ascii="Blanco" w:eastAsia="Times New Roman" w:hAnsi="Blanco" w:cs="Times New Roman"/>
                <w:color w:val="231F20"/>
                <w:sz w:val="18"/>
                <w:szCs w:val="18"/>
                <w:lang w:val="en-AU" w:eastAsia="en-AU"/>
              </w:rPr>
              <w:t>Total</w:t>
            </w:r>
          </w:p>
        </w:tc>
        <w:tc>
          <w:tcPr>
            <w:tcW w:w="884" w:type="dxa"/>
            <w:tcBorders>
              <w:top w:val="nil"/>
              <w:left w:val="nil"/>
              <w:bottom w:val="single" w:sz="4" w:space="0" w:color="auto"/>
              <w:right w:val="nil"/>
            </w:tcBorders>
            <w:shd w:val="clear" w:color="auto" w:fill="auto"/>
            <w:noWrap/>
            <w:vAlign w:val="center"/>
            <w:hideMark/>
          </w:tcPr>
          <w:p w14:paraId="143BA87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16,581</w:t>
            </w:r>
          </w:p>
        </w:tc>
        <w:tc>
          <w:tcPr>
            <w:tcW w:w="1026" w:type="dxa"/>
            <w:tcBorders>
              <w:top w:val="nil"/>
              <w:left w:val="nil"/>
              <w:bottom w:val="single" w:sz="4" w:space="0" w:color="auto"/>
              <w:right w:val="nil"/>
            </w:tcBorders>
            <w:shd w:val="clear" w:color="auto" w:fill="auto"/>
            <w:noWrap/>
            <w:vAlign w:val="center"/>
            <w:hideMark/>
          </w:tcPr>
          <w:p w14:paraId="4FBBCB8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36,804</w:t>
            </w:r>
          </w:p>
        </w:tc>
        <w:tc>
          <w:tcPr>
            <w:tcW w:w="851" w:type="dxa"/>
            <w:tcBorders>
              <w:top w:val="single" w:sz="4" w:space="0" w:color="auto"/>
              <w:left w:val="nil"/>
              <w:bottom w:val="single" w:sz="4" w:space="0" w:color="auto"/>
              <w:right w:val="nil"/>
            </w:tcBorders>
            <w:shd w:val="clear" w:color="000000" w:fill="F8696B"/>
            <w:noWrap/>
            <w:vAlign w:val="center"/>
            <w:hideMark/>
          </w:tcPr>
          <w:p w14:paraId="727CE1F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+122%</w:t>
            </w:r>
          </w:p>
        </w:tc>
        <w:tc>
          <w:tcPr>
            <w:tcW w:w="992" w:type="dxa"/>
            <w:tcBorders>
              <w:top w:val="nil"/>
              <w:left w:val="nil"/>
              <w:bottom w:val="single" w:sz="4" w:space="0" w:color="auto"/>
              <w:right w:val="nil"/>
            </w:tcBorders>
            <w:shd w:val="clear" w:color="auto" w:fill="auto"/>
            <w:noWrap/>
            <w:vAlign w:val="center"/>
            <w:hideMark/>
          </w:tcPr>
          <w:p w14:paraId="3BF6E48E"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60,987</w:t>
            </w:r>
          </w:p>
        </w:tc>
        <w:tc>
          <w:tcPr>
            <w:tcW w:w="850" w:type="dxa"/>
            <w:tcBorders>
              <w:top w:val="nil"/>
              <w:left w:val="nil"/>
              <w:bottom w:val="single" w:sz="4" w:space="0" w:color="auto"/>
              <w:right w:val="nil"/>
            </w:tcBorders>
            <w:shd w:val="clear" w:color="auto" w:fill="auto"/>
            <w:noWrap/>
            <w:vAlign w:val="center"/>
            <w:hideMark/>
          </w:tcPr>
          <w:p w14:paraId="09AAEB3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1051" w:type="dxa"/>
            <w:tcBorders>
              <w:top w:val="nil"/>
              <w:left w:val="nil"/>
              <w:bottom w:val="single" w:sz="4" w:space="0" w:color="auto"/>
              <w:right w:val="nil"/>
            </w:tcBorders>
            <w:shd w:val="clear" w:color="auto" w:fill="auto"/>
            <w:noWrap/>
            <w:vAlign w:val="center"/>
            <w:hideMark/>
          </w:tcPr>
          <w:p w14:paraId="7D0F39DB"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1,660</w:t>
            </w:r>
          </w:p>
        </w:tc>
        <w:tc>
          <w:tcPr>
            <w:tcW w:w="869" w:type="dxa"/>
            <w:tcBorders>
              <w:top w:val="nil"/>
              <w:left w:val="nil"/>
              <w:bottom w:val="single" w:sz="4" w:space="0" w:color="auto"/>
              <w:right w:val="nil"/>
            </w:tcBorders>
            <w:shd w:val="clear" w:color="auto" w:fill="auto"/>
            <w:noWrap/>
            <w:vAlign w:val="center"/>
            <w:hideMark/>
          </w:tcPr>
          <w:p w14:paraId="4C2B7753"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1,660</w:t>
            </w:r>
          </w:p>
        </w:tc>
        <w:tc>
          <w:tcPr>
            <w:tcW w:w="710" w:type="dxa"/>
            <w:tcBorders>
              <w:top w:val="nil"/>
              <w:left w:val="nil"/>
              <w:bottom w:val="single" w:sz="4" w:space="0" w:color="auto"/>
              <w:right w:val="nil"/>
            </w:tcBorders>
            <w:shd w:val="clear" w:color="auto" w:fill="auto"/>
            <w:noWrap/>
            <w:vAlign w:val="center"/>
            <w:hideMark/>
          </w:tcPr>
          <w:p w14:paraId="3A8D933A"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6,385</w:t>
            </w:r>
          </w:p>
        </w:tc>
        <w:tc>
          <w:tcPr>
            <w:tcW w:w="1011" w:type="dxa"/>
            <w:tcBorders>
              <w:top w:val="nil"/>
              <w:left w:val="nil"/>
              <w:bottom w:val="single" w:sz="4" w:space="0" w:color="auto"/>
              <w:right w:val="nil"/>
            </w:tcBorders>
            <w:shd w:val="clear" w:color="auto" w:fill="auto"/>
            <w:noWrap/>
            <w:vAlign w:val="center"/>
            <w:hideMark/>
          </w:tcPr>
          <w:p w14:paraId="6455FD5F"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0</w:t>
            </w:r>
          </w:p>
        </w:tc>
        <w:tc>
          <w:tcPr>
            <w:tcW w:w="973" w:type="dxa"/>
            <w:tcBorders>
              <w:top w:val="nil"/>
              <w:left w:val="nil"/>
              <w:bottom w:val="single" w:sz="4" w:space="0" w:color="auto"/>
              <w:right w:val="nil"/>
            </w:tcBorders>
            <w:shd w:val="clear" w:color="auto" w:fill="auto"/>
            <w:noWrap/>
            <w:vAlign w:val="center"/>
            <w:hideMark/>
          </w:tcPr>
          <w:p w14:paraId="51E6158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421</w:t>
            </w:r>
          </w:p>
        </w:tc>
        <w:tc>
          <w:tcPr>
            <w:tcW w:w="1354" w:type="dxa"/>
            <w:tcBorders>
              <w:top w:val="nil"/>
              <w:left w:val="nil"/>
              <w:bottom w:val="single" w:sz="4" w:space="0" w:color="auto"/>
              <w:right w:val="nil"/>
            </w:tcBorders>
            <w:shd w:val="clear" w:color="auto" w:fill="auto"/>
            <w:noWrap/>
            <w:vAlign w:val="center"/>
            <w:hideMark/>
          </w:tcPr>
          <w:p w14:paraId="02D4CB17"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646</w:t>
            </w:r>
          </w:p>
        </w:tc>
        <w:tc>
          <w:tcPr>
            <w:tcW w:w="1001" w:type="dxa"/>
            <w:tcBorders>
              <w:top w:val="nil"/>
              <w:left w:val="nil"/>
              <w:bottom w:val="single" w:sz="4" w:space="0" w:color="auto"/>
              <w:right w:val="nil"/>
            </w:tcBorders>
            <w:shd w:val="clear" w:color="auto" w:fill="auto"/>
            <w:noWrap/>
            <w:vAlign w:val="center"/>
            <w:hideMark/>
          </w:tcPr>
          <w:p w14:paraId="387FEC2D"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65%</w:t>
            </w:r>
          </w:p>
        </w:tc>
        <w:tc>
          <w:tcPr>
            <w:tcW w:w="992" w:type="dxa"/>
            <w:tcBorders>
              <w:top w:val="single" w:sz="4" w:space="0" w:color="auto"/>
              <w:left w:val="nil"/>
              <w:bottom w:val="single" w:sz="4" w:space="0" w:color="auto"/>
              <w:right w:val="nil"/>
            </w:tcBorders>
            <w:shd w:val="clear" w:color="000000" w:fill="E7EDF7"/>
            <w:noWrap/>
            <w:vAlign w:val="center"/>
            <w:hideMark/>
          </w:tcPr>
          <w:p w14:paraId="1E944462" w14:textId="77777777" w:rsidR="0028350E" w:rsidRPr="00D17371" w:rsidRDefault="0028350E" w:rsidP="002A2ED9">
            <w:pPr>
              <w:spacing w:before="0" w:after="0"/>
              <w:jc w:val="right"/>
              <w:rPr>
                <w:rFonts w:ascii="Blanco" w:eastAsia="Times New Roman" w:hAnsi="Blanco" w:cs="Times New Roman"/>
                <w:color w:val="231F20"/>
                <w:sz w:val="18"/>
                <w:szCs w:val="18"/>
                <w:lang w:val="en-AU" w:eastAsia="en-AU"/>
              </w:rPr>
            </w:pPr>
            <w:r w:rsidRPr="00D17371">
              <w:rPr>
                <w:rFonts w:ascii="Blanco" w:hAnsi="Blanco"/>
                <w:color w:val="231F20"/>
                <w:sz w:val="18"/>
                <w:szCs w:val="18"/>
              </w:rPr>
              <w:t>410%</w:t>
            </w:r>
          </w:p>
        </w:tc>
      </w:tr>
    </w:tbl>
    <w:p w14:paraId="491E4AED" w14:textId="77777777" w:rsidR="00AA33F9" w:rsidRDefault="00AA33F9" w:rsidP="00AA33F9">
      <w:pPr>
        <w:pStyle w:val="Tablenotesnumbers"/>
        <w:numPr>
          <w:ilvl w:val="1"/>
          <w:numId w:val="49"/>
        </w:numPr>
      </w:pPr>
      <w:r>
        <w:t>Steady state number is the sum of exits and the number aging out</w:t>
      </w:r>
    </w:p>
    <w:p w14:paraId="2A2D4A47" w14:textId="77777777" w:rsidR="00AA33F9" w:rsidRDefault="00AA33F9" w:rsidP="00AA33F9">
      <w:pPr>
        <w:pStyle w:val="Tablenotesnumbers"/>
        <w:ind w:left="709" w:hanging="709"/>
      </w:pPr>
      <w:r>
        <w:t>The ratio of entries / steady state in the final column is the sum of new entries, transfers and numbers aging in divided by the steady state number.</w:t>
      </w:r>
    </w:p>
    <w:p w14:paraId="39AB47EE" w14:textId="77777777" w:rsidR="0028350E" w:rsidRDefault="0028350E" w:rsidP="0028350E"/>
    <w:p w14:paraId="4775F851" w14:textId="36F00C99" w:rsidR="0028350E" w:rsidRPr="00C7061F" w:rsidRDefault="0028350E" w:rsidP="00C7061F">
      <w:pPr>
        <w:sectPr w:rsidR="0028350E" w:rsidRPr="00C7061F" w:rsidSect="0028350E">
          <w:headerReference w:type="even" r:id="rId149"/>
          <w:headerReference w:type="default" r:id="rId150"/>
          <w:footerReference w:type="default" r:id="rId151"/>
          <w:headerReference w:type="first" r:id="rId152"/>
          <w:pgSz w:w="16838" w:h="11906" w:orient="landscape" w:code="9"/>
          <w:pgMar w:top="1247" w:right="1418" w:bottom="1247" w:left="1418" w:header="709" w:footer="454" w:gutter="0"/>
          <w:cols w:space="708"/>
          <w:docGrid w:linePitch="360"/>
        </w:sectPr>
      </w:pPr>
    </w:p>
    <w:p w14:paraId="13C40B01" w14:textId="48F0FF2B" w:rsidR="00061AA1" w:rsidRPr="004C678D" w:rsidRDefault="00E063F5" w:rsidP="004C678D">
      <w:pPr>
        <w:pStyle w:val="Backcoverwebaddress"/>
        <w:rPr>
          <w:rStyle w:val="Whitetext"/>
        </w:rPr>
      </w:pPr>
      <w:hyperlink r:id="rId153" w:history="1">
        <w:r w:rsidR="004C678D" w:rsidRPr="004C678D">
          <w:rPr>
            <w:rStyle w:val="Whitetext"/>
          </w:rPr>
          <w:t>www.taylorfry.com.au</w:t>
        </w:r>
      </w:hyperlink>
    </w:p>
    <w:sectPr w:rsidR="00061AA1" w:rsidRPr="004C678D" w:rsidSect="00436B04">
      <w:headerReference w:type="even" r:id="rId154"/>
      <w:headerReference w:type="default" r:id="rId155"/>
      <w:footerReference w:type="default" r:id="rId156"/>
      <w:headerReference w:type="first" r:id="rId157"/>
      <w:pgSz w:w="11906" w:h="16838" w:code="9"/>
      <w:pgMar w:top="1418" w:right="1247" w:bottom="1418" w:left="1247" w:header="709"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FA67D" w14:textId="77777777" w:rsidR="00511672" w:rsidRDefault="00511672" w:rsidP="00874497">
      <w:pPr>
        <w:spacing w:after="0"/>
      </w:pPr>
      <w:r>
        <w:separator/>
      </w:r>
    </w:p>
  </w:endnote>
  <w:endnote w:type="continuationSeparator" w:id="0">
    <w:p w14:paraId="14B4A5C3" w14:textId="77777777" w:rsidR="00511672" w:rsidRDefault="00511672" w:rsidP="0087449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7C9A696-26B9-45D6-A4BF-0D02151CE5B8}"/>
    <w:embedBold r:id="rId2" w:fontKey="{65892D42-B17B-48C0-B437-77E274E8C708}"/>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lanco">
    <w:altName w:val="Cambria"/>
    <w:panose1 w:val="020A0503060703040403"/>
    <w:charset w:val="00"/>
    <w:family w:val="roman"/>
    <w:pitch w:val="variable"/>
    <w:sig w:usb0="20000007" w:usb1="00000000" w:usb2="00000000" w:usb3="00000000" w:csb0="00000193" w:csb1="00000000"/>
    <w:embedRegular r:id="rId3" w:fontKey="{772D2438-479B-4B60-B68C-25370904C77E}"/>
    <w:embedBold r:id="rId4" w:fontKey="{C5D99E28-87AC-4007-91A6-883449EA74CB}"/>
    <w:embedItalic r:id="rId5" w:fontKey="{514486B2-24AB-481D-A57E-1FF24F778298}"/>
  </w:font>
  <w:font w:name="SimHei">
    <w:altName w:val="黑体"/>
    <w:panose1 w:val="02010600030101010101"/>
    <w:charset w:val="86"/>
    <w:family w:val="modern"/>
    <w:pitch w:val="fixed"/>
    <w:sig w:usb0="800002BF" w:usb1="38CF7CFA" w:usb2="00000016" w:usb3="00000000" w:csb0="00040001" w:csb1="00000000"/>
  </w:font>
  <w:font w:name="Arial Black">
    <w:panose1 w:val="020B0A04020102020204"/>
    <w:charset w:val="00"/>
    <w:family w:val="swiss"/>
    <w:pitch w:val="variable"/>
    <w:sig w:usb0="A00002AF" w:usb1="400078FB" w:usb2="00000000" w:usb3="00000000" w:csb0="0000009F" w:csb1="00000000"/>
    <w:embedRegular r:id="rId6" w:fontKey="{95624CFC-1E1E-4BF7-BCD0-B8F654C6CF86}"/>
  </w:font>
  <w:font w:name="Segoe UI">
    <w:panose1 w:val="020B0502040204020203"/>
    <w:charset w:val="00"/>
    <w:family w:val="swiss"/>
    <w:pitch w:val="variable"/>
    <w:sig w:usb0="E4002EFF" w:usb1="C000E47F" w:usb2="00000009" w:usb3="00000000" w:csb0="000001FF" w:csb1="00000000"/>
    <w:embedRegular r:id="rId7" w:fontKey="{A707A678-507C-407B-90F6-D66F07559585}"/>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embedRegular r:id="rId8" w:fontKey="{56D9C9D7-1851-41F7-819D-66D54E76D4AD}"/>
  </w:font>
  <w:font w:name="Cambria">
    <w:panose1 w:val="02040503050406030204"/>
    <w:charset w:val="00"/>
    <w:family w:val="roman"/>
    <w:pitch w:val="variable"/>
    <w:sig w:usb0="E00006FF" w:usb1="420024FF" w:usb2="02000000" w:usb3="00000000" w:csb0="0000019F" w:csb1="00000000"/>
    <w:embedRegular r:id="rId9" w:fontKey="{96A13A7C-68A4-41FF-AF2B-D93E449978BC}"/>
    <w:embedBold r:id="rId10" w:fontKey="{AC2D1CAE-5960-434A-B8DD-F2DD2D74438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715D1" w14:textId="2689D9E7" w:rsidR="000171F0" w:rsidRDefault="000171F0">
    <w:pPr>
      <w:pStyle w:val="Footer"/>
    </w:pPr>
    <w:r w:rsidRPr="00A54D82">
      <w:ptab w:relativeTo="margin" w:alignment="right" w:leader="none"/>
    </w:r>
    <w:r w:rsidRPr="00A54D82">
      <w:rPr>
        <w:noProof/>
      </w:rPr>
      <w:drawing>
        <wp:inline distT="0" distB="0" distL="0" distR="0" wp14:anchorId="064281E1" wp14:editId="1D847B25">
          <wp:extent cx="976056" cy="82800"/>
          <wp:effectExtent l="0" t="0" r="0" b="0"/>
          <wp:docPr id="29" name="Picture 29"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ylor Fry logo"/>
                  <pic:cNvPicPr/>
                </pic:nvPicPr>
                <pic:blipFill>
                  <a:blip r:embed="rId1"/>
                  <a:stretch>
                    <a:fillRect/>
                  </a:stretch>
                </pic:blipFill>
                <pic:spPr>
                  <a:xfrm>
                    <a:off x="0" y="0"/>
                    <a:ext cx="976056" cy="82800"/>
                  </a:xfrm>
                  <a:prstGeom prst="rect">
                    <a:avLst/>
                  </a:prstGeom>
                </pic:spPr>
              </pic:pic>
            </a:graphicData>
          </a:graphic>
        </wp:inline>
      </w:drawing>
    </w:r>
    <w:r w:rsidR="00636EC7">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72575" w14:textId="28FDD12F" w:rsidR="004A11B5" w:rsidRPr="009A6CA5" w:rsidRDefault="004A11B5" w:rsidP="00FD29A3">
    <w:pPr>
      <w:pStyle w:val="Footer"/>
      <w:jc w:val="right"/>
    </w:pPr>
    <w:r w:rsidRPr="009A6CA5">
      <w:rPr>
        <w:noProof/>
      </w:rPr>
      <w:drawing>
        <wp:inline distT="0" distB="0" distL="0" distR="0" wp14:anchorId="22E30537" wp14:editId="27D14F9A">
          <wp:extent cx="976056" cy="82800"/>
          <wp:effectExtent l="0" t="0" r="0" b="0"/>
          <wp:docPr id="100" name="Picture 100"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aylor Fry logo"/>
                  <pic:cNvPicPr/>
                </pic:nvPicPr>
                <pic:blipFill>
                  <a:blip r:embed="rId1"/>
                  <a:stretch>
                    <a:fillRect/>
                  </a:stretch>
                </pic:blipFill>
                <pic:spPr>
                  <a:xfrm>
                    <a:off x="0" y="0"/>
                    <a:ext cx="976056" cy="82800"/>
                  </a:xfrm>
                  <a:prstGeom prst="rect">
                    <a:avLst/>
                  </a:prstGeom>
                </pic:spPr>
              </pic:pic>
            </a:graphicData>
          </a:graphic>
        </wp:inline>
      </w:drawing>
    </w:r>
    <w:r w:rsidRPr="009A6CA5">
      <w:fldChar w:fldCharType="begin"/>
    </w:r>
    <w:r w:rsidRPr="009A6CA5">
      <w:instrText xml:space="preserve"> PAGE   \* MERGEFORMAT </w:instrText>
    </w:r>
    <w:r w:rsidRPr="009A6CA5">
      <w:fldChar w:fldCharType="separate"/>
    </w:r>
    <w:r w:rsidRPr="009A6CA5">
      <w:t>1</w:t>
    </w:r>
    <w:r w:rsidRPr="009A6CA5">
      <w:fldChar w:fldCharType="end"/>
    </w:r>
  </w:p>
  <w:p w14:paraId="69B4DF41" w14:textId="19DF0EAE" w:rsidR="004A11B5" w:rsidRPr="009A6CA5" w:rsidRDefault="002D0617" w:rsidP="002D0617">
    <w:pPr>
      <w:pStyle w:val="Footer"/>
    </w:pPr>
    <w:r>
      <w:t xml:space="preserve">Review of NDIA Actuarial forecast model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D7F15" w14:textId="3913127D" w:rsidR="0028350E" w:rsidRPr="009A6CA5" w:rsidRDefault="0028350E" w:rsidP="00FD29A3">
    <w:pPr>
      <w:pStyle w:val="Footer"/>
      <w:jc w:val="right"/>
    </w:pPr>
    <w:r w:rsidRPr="009A6CA5">
      <w:rPr>
        <w:noProof/>
      </w:rPr>
      <w:drawing>
        <wp:inline distT="0" distB="0" distL="0" distR="0" wp14:anchorId="6A8414D2" wp14:editId="1712D250">
          <wp:extent cx="976056" cy="82800"/>
          <wp:effectExtent l="0" t="0" r="0" b="0"/>
          <wp:docPr id="16" name="Picture 16"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ylor Fry logo"/>
                  <pic:cNvPicPr/>
                </pic:nvPicPr>
                <pic:blipFill>
                  <a:blip r:embed="rId1"/>
                  <a:stretch>
                    <a:fillRect/>
                  </a:stretch>
                </pic:blipFill>
                <pic:spPr>
                  <a:xfrm>
                    <a:off x="0" y="0"/>
                    <a:ext cx="976056" cy="82800"/>
                  </a:xfrm>
                  <a:prstGeom prst="rect">
                    <a:avLst/>
                  </a:prstGeom>
                </pic:spPr>
              </pic:pic>
            </a:graphicData>
          </a:graphic>
        </wp:inline>
      </w:drawing>
    </w:r>
    <w:r w:rsidRPr="009A6CA5">
      <w:fldChar w:fldCharType="begin"/>
    </w:r>
    <w:r w:rsidRPr="009A6CA5">
      <w:instrText xml:space="preserve"> PAGE   \* MERGEFORMAT </w:instrText>
    </w:r>
    <w:r w:rsidRPr="009A6CA5">
      <w:fldChar w:fldCharType="separate"/>
    </w:r>
    <w:r w:rsidRPr="009A6CA5">
      <w:t>1</w:t>
    </w:r>
    <w:r w:rsidRPr="009A6CA5">
      <w:fldChar w:fldCharType="end"/>
    </w:r>
  </w:p>
  <w:p w14:paraId="44514562" w14:textId="6BAB2161" w:rsidR="0028350E" w:rsidRPr="009A6CA5" w:rsidRDefault="002D0617" w:rsidP="002D0617">
    <w:pPr>
      <w:pStyle w:val="Footer"/>
    </w:pPr>
    <w:r>
      <w:t xml:space="preserve">Review of NDIA Actuarial forecast model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6E4FD" w14:textId="66D47564" w:rsidR="00810E89" w:rsidRPr="009A6CA5" w:rsidRDefault="00810E89" w:rsidP="00FD29A3">
    <w:pPr>
      <w:pStyle w:val="Footer"/>
      <w:jc w:val="right"/>
    </w:pPr>
    <w:r w:rsidRPr="009A6CA5">
      <w:rPr>
        <w:noProof/>
      </w:rPr>
      <w:drawing>
        <wp:inline distT="0" distB="0" distL="0" distR="0" wp14:anchorId="10CE55BB" wp14:editId="4378970B">
          <wp:extent cx="976056" cy="82800"/>
          <wp:effectExtent l="0" t="0" r="0" b="0"/>
          <wp:docPr id="1" name="Picture 1"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ylor Fry logo"/>
                  <pic:cNvPicPr/>
                </pic:nvPicPr>
                <pic:blipFill>
                  <a:blip r:embed="rId1"/>
                  <a:stretch>
                    <a:fillRect/>
                  </a:stretch>
                </pic:blipFill>
                <pic:spPr>
                  <a:xfrm>
                    <a:off x="0" y="0"/>
                    <a:ext cx="976056" cy="82800"/>
                  </a:xfrm>
                  <a:prstGeom prst="rect">
                    <a:avLst/>
                  </a:prstGeom>
                </pic:spPr>
              </pic:pic>
            </a:graphicData>
          </a:graphic>
        </wp:inline>
      </w:drawing>
    </w:r>
    <w:r w:rsidRPr="009A6CA5">
      <w:fldChar w:fldCharType="begin"/>
    </w:r>
    <w:r w:rsidRPr="009A6CA5">
      <w:instrText xml:space="preserve"> PAGE   \* MERGEFORMAT </w:instrText>
    </w:r>
    <w:r w:rsidRPr="009A6CA5">
      <w:fldChar w:fldCharType="separate"/>
    </w:r>
    <w:r w:rsidRPr="009A6CA5">
      <w:t>1</w:t>
    </w:r>
    <w:r w:rsidRPr="009A6CA5">
      <w:fldChar w:fldCharType="end"/>
    </w:r>
  </w:p>
  <w:p w14:paraId="6C7BB2B9" w14:textId="3481BADD" w:rsidR="00810E89" w:rsidRPr="009A6CA5" w:rsidRDefault="002D0617" w:rsidP="002D0617">
    <w:pPr>
      <w:pStyle w:val="Footer"/>
    </w:pPr>
    <w:r>
      <w:t xml:space="preserve">Review of NDIA Actuarial forecast model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B0962" w14:textId="77777777" w:rsidR="00BF4AE9" w:rsidRDefault="00BF4AE9" w:rsidP="002E3E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B5D03" w14:textId="77777777" w:rsidR="0050643E" w:rsidRDefault="0050643E" w:rsidP="002E3E3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E2305" w14:textId="77777777" w:rsidR="0050643E" w:rsidRDefault="000D12A1" w:rsidP="000D12A1">
    <w:pPr>
      <w:pStyle w:val="Footer"/>
    </w:pPr>
    <w:r w:rsidRPr="00A54D82">
      <w:ptab w:relativeTo="margin" w:alignment="right" w:leader="none"/>
    </w:r>
    <w:r w:rsidRPr="00A54D82">
      <w:rPr>
        <w:noProof/>
      </w:rPr>
      <w:drawing>
        <wp:inline distT="0" distB="0" distL="0" distR="0" wp14:anchorId="7F612C07" wp14:editId="4FA86A8C">
          <wp:extent cx="976056" cy="82800"/>
          <wp:effectExtent l="0" t="0" r="0" b="0"/>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extLst>
                      <a:ext uri="{C183D7F6-B498-43B3-948B-1728B52AA6E4}">
                        <adec:decorative xmlns:adec="http://schemas.microsoft.com/office/drawing/2017/decorative" val="1"/>
                      </a:ext>
                    </a:extLst>
                  </pic:cNvPr>
                  <pic:cNvPicPr/>
                </pic:nvPicPr>
                <pic:blipFill>
                  <a:blip r:embed="rId1"/>
                  <a:stretch>
                    <a:fillRect/>
                  </a:stretch>
                </pic:blipFill>
                <pic:spPr>
                  <a:xfrm>
                    <a:off x="0" y="0"/>
                    <a:ext cx="976056" cy="82800"/>
                  </a:xfrm>
                  <a:prstGeom prst="rect">
                    <a:avLst/>
                  </a:prstGeom>
                </pic:spPr>
              </pic:pic>
            </a:graphicData>
          </a:graphic>
        </wp:inline>
      </w:drawing>
    </w:r>
    <w:r w:rsidRPr="00A54D82">
      <w:fldChar w:fldCharType="begin"/>
    </w:r>
    <w:r w:rsidRPr="00A54D82">
      <w:instrText xml:space="preserve"> PAGE   \* MERGEFORMAT </w:instrText>
    </w:r>
    <w:r w:rsidRPr="00A54D82">
      <w:fldChar w:fldCharType="separate"/>
    </w:r>
    <w:r w:rsidRPr="00A54D82">
      <w:t>1</w:t>
    </w:r>
    <w:r w:rsidRPr="00A54D82">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F9216" w14:textId="70496CB2" w:rsidR="0077362D" w:rsidRPr="00A54D82" w:rsidRDefault="0077362D" w:rsidP="00FD29A3">
    <w:pPr>
      <w:pStyle w:val="Footer"/>
      <w:jc w:val="right"/>
    </w:pPr>
    <w:r w:rsidRPr="00A54D82">
      <w:rPr>
        <w:noProof/>
      </w:rPr>
      <w:drawing>
        <wp:inline distT="0" distB="0" distL="0" distR="0" wp14:anchorId="16722023" wp14:editId="29B783ED">
          <wp:extent cx="976056" cy="82800"/>
          <wp:effectExtent l="0" t="0" r="0" b="0"/>
          <wp:docPr id="69" name="Picture 69"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aylor Fry logo"/>
                  <pic:cNvPicPr/>
                </pic:nvPicPr>
                <pic:blipFill>
                  <a:blip r:embed="rId1"/>
                  <a:stretch>
                    <a:fillRect/>
                  </a:stretch>
                </pic:blipFill>
                <pic:spPr>
                  <a:xfrm>
                    <a:off x="0" y="0"/>
                    <a:ext cx="976056" cy="82800"/>
                  </a:xfrm>
                  <a:prstGeom prst="rect">
                    <a:avLst/>
                  </a:prstGeom>
                </pic:spPr>
              </pic:pic>
            </a:graphicData>
          </a:graphic>
        </wp:inline>
      </w:drawing>
    </w:r>
    <w:r w:rsidRPr="00A54D82">
      <w:fldChar w:fldCharType="begin"/>
    </w:r>
    <w:r w:rsidRPr="00A54D82">
      <w:instrText xml:space="preserve"> PAGE   \* MERGEFORMAT </w:instrText>
    </w:r>
    <w:r w:rsidRPr="00A54D82">
      <w:fldChar w:fldCharType="separate"/>
    </w:r>
    <w:r w:rsidRPr="00A54D82">
      <w:t>1</w:t>
    </w:r>
    <w:r w:rsidRPr="00A54D82">
      <w:fldChar w:fldCharType="end"/>
    </w:r>
  </w:p>
  <w:p w14:paraId="6EF44974" w14:textId="008E0088" w:rsidR="0077362D" w:rsidRPr="00A54D82" w:rsidRDefault="00FD29A3" w:rsidP="00FD29A3">
    <w:pPr>
      <w:pStyle w:val="Footer"/>
    </w:pPr>
    <w:r>
      <w:t xml:space="preserve">Review of NDIA Actuarial forecast model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080E2" w14:textId="6EC47943" w:rsidR="0082016A" w:rsidRPr="00A54D82" w:rsidRDefault="00E063F5" w:rsidP="00A54D82">
    <w:pPr>
      <w:pStyle w:val="Footer"/>
    </w:pPr>
    <w:r>
      <w:fldChar w:fldCharType="begin"/>
    </w:r>
    <w:r>
      <w:instrText xml:space="preserve"> STYLEREF  "Title,Cover title"  \* MERGEFORMAT </w:instrText>
    </w:r>
    <w:r>
      <w:fldChar w:fldCharType="separate"/>
    </w:r>
    <w:r>
      <w:rPr>
        <w:noProof/>
      </w:rPr>
      <w:t>Review of NDIA actuarial forecast model and drivers of Scheme costs</w:t>
    </w:r>
    <w:r>
      <w:rPr>
        <w:noProof/>
      </w:rPr>
      <w:fldChar w:fldCharType="end"/>
    </w:r>
    <w:r w:rsidR="0082016A" w:rsidRPr="00A54D82">
      <w:ptab w:relativeTo="margin" w:alignment="right" w:leader="none"/>
    </w:r>
    <w:r w:rsidR="0082016A" w:rsidRPr="00A54D82">
      <w:fldChar w:fldCharType="begin"/>
    </w:r>
    <w:r w:rsidR="0082016A" w:rsidRPr="00A54D82">
      <w:instrText xml:space="preserve"> PAGE   \* MERGEFORMAT </w:instrText>
    </w:r>
    <w:r w:rsidR="0082016A" w:rsidRPr="00A54D82">
      <w:fldChar w:fldCharType="separate"/>
    </w:r>
    <w:r w:rsidR="0082016A" w:rsidRPr="00A54D82">
      <w:t>1</w:t>
    </w:r>
    <w:r w:rsidR="0082016A" w:rsidRPr="00A54D82">
      <w:fldChar w:fldCharType="end"/>
    </w:r>
  </w:p>
  <w:p w14:paraId="42DD32C5" w14:textId="25FF7E02" w:rsidR="00810E89" w:rsidRDefault="00E063F5" w:rsidP="0082016A">
    <w:pPr>
      <w:pStyle w:val="Footer"/>
    </w:pPr>
    <w:r>
      <w:fldChar w:fldCharType="begin"/>
    </w:r>
    <w:r>
      <w:instrText xml:space="preserve"> STYLEREF  "Subtitle,Cover subtitle"  \* MERGEFORMAT </w:instrText>
    </w:r>
    <w:r>
      <w:fldChar w:fldCharType="separate"/>
    </w:r>
    <w:r>
      <w:rPr>
        <w:noProof/>
      </w:rPr>
      <w:t>Full report</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5F4D9" w14:textId="1C32FEEA" w:rsidR="00A520C9" w:rsidRPr="00A54D82" w:rsidRDefault="00A520C9" w:rsidP="00FD29A3">
    <w:pPr>
      <w:pStyle w:val="Footer"/>
      <w:jc w:val="right"/>
    </w:pPr>
    <w:r w:rsidRPr="00A54D82">
      <w:rPr>
        <w:noProof/>
      </w:rPr>
      <w:drawing>
        <wp:inline distT="0" distB="0" distL="0" distR="0" wp14:anchorId="0BE2A533" wp14:editId="6AD8F015">
          <wp:extent cx="976057" cy="82800"/>
          <wp:effectExtent l="0" t="0" r="0" b="0"/>
          <wp:docPr id="82" name="Picture 82"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ylor Fry logo"/>
                  <pic:cNvPicPr/>
                </pic:nvPicPr>
                <pic:blipFill>
                  <a:blip r:embed="rId1">
                    <a:extLst>
                      <a:ext uri="{28A0092B-C50C-407E-A947-70E740481C1C}">
                        <a14:useLocalDpi xmlns:a14="http://schemas.microsoft.com/office/drawing/2010/main" val="0"/>
                      </a:ext>
                    </a:extLst>
                  </a:blip>
                  <a:stretch>
                    <a:fillRect/>
                  </a:stretch>
                </pic:blipFill>
                <pic:spPr>
                  <a:xfrm>
                    <a:off x="0" y="0"/>
                    <a:ext cx="976057" cy="82800"/>
                  </a:xfrm>
                  <a:prstGeom prst="rect">
                    <a:avLst/>
                  </a:prstGeom>
                </pic:spPr>
              </pic:pic>
            </a:graphicData>
          </a:graphic>
        </wp:inline>
      </w:drawing>
    </w:r>
    <w:r w:rsidRPr="00A54D82">
      <w:fldChar w:fldCharType="begin"/>
    </w:r>
    <w:r w:rsidRPr="00A54D82">
      <w:instrText xml:space="preserve"> PAGE   \* MERGEFORMAT </w:instrText>
    </w:r>
    <w:r w:rsidRPr="00A54D82">
      <w:fldChar w:fldCharType="separate"/>
    </w:r>
    <w:r w:rsidRPr="00A54D82">
      <w:t>1</w:t>
    </w:r>
    <w:r w:rsidRPr="00A54D82">
      <w:fldChar w:fldCharType="end"/>
    </w:r>
  </w:p>
  <w:p w14:paraId="55EEEF7D" w14:textId="3E68F60C" w:rsidR="00A520C9" w:rsidRPr="00A54D82" w:rsidRDefault="002D0617" w:rsidP="002D0617">
    <w:pPr>
      <w:pStyle w:val="Footer"/>
    </w:pPr>
    <w:r>
      <w:t xml:space="preserve">Review of NDIA Actuarial forecast model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2C65B" w14:textId="77777777" w:rsidR="00A520C9" w:rsidRDefault="00A520C9" w:rsidP="002E3E39">
    <w:pPr>
      <w:pStyle w:val="Footer"/>
    </w:pPr>
  </w:p>
  <w:p w14:paraId="1C004908" w14:textId="373C16CC" w:rsidR="00A520C9" w:rsidRDefault="00E063F5" w:rsidP="00421294">
    <w:pPr>
      <w:pStyle w:val="Footer"/>
    </w:pPr>
    <w:r>
      <w:fldChar w:fldCharType="begin"/>
    </w:r>
    <w:r>
      <w:instrText>STYLEREF  "Title,Cover title"  \* MERGEFORMAT</w:instrText>
    </w:r>
    <w:r>
      <w:fldChar w:fldCharType="separate"/>
    </w:r>
    <w:r>
      <w:rPr>
        <w:noProof/>
      </w:rPr>
      <w:t>Review of NDIA actuarial forecast model and drivers of Scheme costs</w:t>
    </w:r>
    <w:r>
      <w:rPr>
        <w:noProof/>
      </w:rPr>
      <w:fldChar w:fldCharType="end"/>
    </w:r>
    <w:r w:rsidR="00A520C9" w:rsidRPr="002E3E39">
      <w:t xml:space="preserve"> </w:t>
    </w:r>
    <w:r>
      <w:fldChar w:fldCharType="begin"/>
    </w:r>
    <w:r>
      <w:instrText>STYLEREF  "Subtitle,Cover subtitle"  \* MERGEFORMAT</w:instrText>
    </w:r>
    <w:r>
      <w:fldChar w:fldCharType="separate"/>
    </w:r>
    <w:r>
      <w:rPr>
        <w:noProof/>
      </w:rPr>
      <w:t>Full report</w:t>
    </w:r>
    <w:r>
      <w:rPr>
        <w:noProof/>
      </w:rPr>
      <w:fldChar w:fldCharType="end"/>
    </w:r>
    <w:r w:rsidR="00A520C9">
      <w:ptab w:relativeTo="margin" w:alignment="right" w:leader="none"/>
    </w:r>
    <w:r w:rsidR="00A520C9">
      <w:rPr>
        <w:noProof/>
      </w:rPr>
      <w:drawing>
        <wp:inline distT="0" distB="0" distL="0" distR="0" wp14:anchorId="39318973" wp14:editId="63702C11">
          <wp:extent cx="976057" cy="82800"/>
          <wp:effectExtent l="0" t="0" r="0" b="0"/>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76057" cy="82800"/>
                  </a:xfrm>
                  <a:prstGeom prst="rect">
                    <a:avLst/>
                  </a:prstGeom>
                </pic:spPr>
              </pic:pic>
            </a:graphicData>
          </a:graphic>
        </wp:inline>
      </w:drawing>
    </w:r>
    <w:r w:rsidR="00A520C9">
      <w:rPr>
        <w:noProof/>
      </w:rPr>
      <w:t xml:space="preserve"> </w:t>
    </w:r>
    <w:r w:rsidR="00A520C9">
      <w:fldChar w:fldCharType="begin"/>
    </w:r>
    <w:r w:rsidR="00A520C9">
      <w:instrText xml:space="preserve"> PAGE   \* MERGEFORMAT </w:instrText>
    </w:r>
    <w:r w:rsidR="00A520C9">
      <w:fldChar w:fldCharType="separate"/>
    </w:r>
    <w:r w:rsidR="00A520C9">
      <w:rPr>
        <w:noProof/>
      </w:rPr>
      <w:t>1</w:t>
    </w:r>
    <w:r w:rsidR="00A520C9">
      <w:rPr>
        <w:noProof/>
      </w:rPr>
      <w:fldChar w:fldCharType="end"/>
    </w:r>
  </w:p>
  <w:p w14:paraId="51FE85AE" w14:textId="77777777" w:rsidR="00A520C9" w:rsidRDefault="00A520C9" w:rsidP="004B6C95">
    <w:pPr>
      <w:pStyle w:val="BodyText"/>
      <w:numPr>
        <w:ilvl w:val="0"/>
        <w:numId w:val="28"/>
      </w:num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81018" w14:textId="5017A7CB" w:rsidR="00A520C9" w:rsidRPr="00A54D82" w:rsidRDefault="00A520C9" w:rsidP="00FD29A3">
    <w:pPr>
      <w:pStyle w:val="Footer"/>
      <w:jc w:val="right"/>
    </w:pPr>
    <w:r w:rsidRPr="00A54D82">
      <w:rPr>
        <w:noProof/>
      </w:rPr>
      <w:drawing>
        <wp:inline distT="0" distB="0" distL="0" distR="0" wp14:anchorId="1EF45D28" wp14:editId="0B333614">
          <wp:extent cx="976057" cy="82800"/>
          <wp:effectExtent l="0" t="0" r="0" b="0"/>
          <wp:docPr id="97" name="Picture 97" descr="Taylor F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aylor Fry logo"/>
                  <pic:cNvPicPr/>
                </pic:nvPicPr>
                <pic:blipFill>
                  <a:blip r:embed="rId1">
                    <a:extLst>
                      <a:ext uri="{28A0092B-C50C-407E-A947-70E740481C1C}">
                        <a14:useLocalDpi xmlns:a14="http://schemas.microsoft.com/office/drawing/2010/main" val="0"/>
                      </a:ext>
                    </a:extLst>
                  </a:blip>
                  <a:stretch>
                    <a:fillRect/>
                  </a:stretch>
                </pic:blipFill>
                <pic:spPr>
                  <a:xfrm>
                    <a:off x="0" y="0"/>
                    <a:ext cx="976057" cy="82800"/>
                  </a:xfrm>
                  <a:prstGeom prst="rect">
                    <a:avLst/>
                  </a:prstGeom>
                </pic:spPr>
              </pic:pic>
            </a:graphicData>
          </a:graphic>
        </wp:inline>
      </w:drawing>
    </w:r>
    <w:r w:rsidRPr="00A54D82">
      <w:fldChar w:fldCharType="begin"/>
    </w:r>
    <w:r w:rsidRPr="00A54D82">
      <w:instrText xml:space="preserve"> PAGE   \* MERGEFORMAT </w:instrText>
    </w:r>
    <w:r w:rsidRPr="00A54D82">
      <w:fldChar w:fldCharType="separate"/>
    </w:r>
    <w:r w:rsidRPr="00A54D82">
      <w:t>1</w:t>
    </w:r>
    <w:r w:rsidRPr="00A54D82">
      <w:fldChar w:fldCharType="end"/>
    </w:r>
  </w:p>
  <w:p w14:paraId="6A2E4E65" w14:textId="197B498C" w:rsidR="00A520C9" w:rsidRPr="00A54D82" w:rsidRDefault="002D0617" w:rsidP="002D0617">
    <w:pPr>
      <w:pStyle w:val="Footer"/>
    </w:pPr>
    <w:r>
      <w:t xml:space="preserve">Review of NDIA Actuarial forecast model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81C6A" w14:textId="77777777" w:rsidR="00A520C9" w:rsidRDefault="00A520C9" w:rsidP="002E3E39">
    <w:pPr>
      <w:pStyle w:val="Footer"/>
    </w:pPr>
  </w:p>
  <w:p w14:paraId="3E46EF9E" w14:textId="112010B6" w:rsidR="00A520C9" w:rsidRDefault="00E063F5" w:rsidP="00421294">
    <w:pPr>
      <w:pStyle w:val="Footer"/>
    </w:pPr>
    <w:r>
      <w:fldChar w:fldCharType="begin"/>
    </w:r>
    <w:r>
      <w:instrText>STYLEREF  "Title,Cover title"  \* MERGEFORMAT</w:instrText>
    </w:r>
    <w:r>
      <w:fldChar w:fldCharType="separate"/>
    </w:r>
    <w:r>
      <w:rPr>
        <w:noProof/>
      </w:rPr>
      <w:t>Review of NDIA actuarial forecast model and drivers of Scheme costs</w:t>
    </w:r>
    <w:r>
      <w:rPr>
        <w:noProof/>
      </w:rPr>
      <w:fldChar w:fldCharType="end"/>
    </w:r>
    <w:r w:rsidR="00A520C9" w:rsidRPr="002E3E39">
      <w:t xml:space="preserve"> </w:t>
    </w:r>
    <w:r>
      <w:fldChar w:fldCharType="begin"/>
    </w:r>
    <w:r>
      <w:instrText>STYLEREF  "Subtitle,Cover subtitle"  \* MERGEFORMAT</w:instrText>
    </w:r>
    <w:r>
      <w:fldChar w:fldCharType="separate"/>
    </w:r>
    <w:r w:rsidRPr="00E063F5">
      <w:rPr>
        <w:b/>
        <w:bCs/>
        <w:noProof/>
        <w:lang w:val="en-US"/>
      </w:rPr>
      <w:t>Full report</w:t>
    </w:r>
    <w:r>
      <w:rPr>
        <w:b/>
        <w:bCs/>
        <w:noProof/>
        <w:lang w:val="en-US"/>
      </w:rPr>
      <w:fldChar w:fldCharType="end"/>
    </w:r>
    <w:r w:rsidR="00A520C9">
      <w:ptab w:relativeTo="margin" w:alignment="right" w:leader="none"/>
    </w:r>
    <w:r w:rsidR="00A520C9">
      <w:rPr>
        <w:noProof/>
      </w:rPr>
      <w:drawing>
        <wp:inline distT="0" distB="0" distL="0" distR="0" wp14:anchorId="53592FE9" wp14:editId="25376662">
          <wp:extent cx="976057" cy="82800"/>
          <wp:effectExtent l="0" t="0" r="0" b="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76057" cy="82800"/>
                  </a:xfrm>
                  <a:prstGeom prst="rect">
                    <a:avLst/>
                  </a:prstGeom>
                </pic:spPr>
              </pic:pic>
            </a:graphicData>
          </a:graphic>
        </wp:inline>
      </w:drawing>
    </w:r>
    <w:r w:rsidR="00A520C9">
      <w:rPr>
        <w:noProof/>
      </w:rPr>
      <w:t xml:space="preserve"> </w:t>
    </w:r>
    <w:r w:rsidR="00A520C9">
      <w:fldChar w:fldCharType="begin"/>
    </w:r>
    <w:r w:rsidR="00A520C9">
      <w:instrText xml:space="preserve"> PAGE   \* MERGEFORMAT </w:instrText>
    </w:r>
    <w:r w:rsidR="00A520C9">
      <w:fldChar w:fldCharType="separate"/>
    </w:r>
    <w:r w:rsidR="00A520C9">
      <w:rPr>
        <w:noProof/>
      </w:rPr>
      <w:t>1</w:t>
    </w:r>
    <w:r w:rsidR="00A520C9">
      <w:rPr>
        <w:noProof/>
      </w:rPr>
      <w:fldChar w:fldCharType="end"/>
    </w:r>
  </w:p>
  <w:p w14:paraId="42634376" w14:textId="77777777" w:rsidR="00A520C9" w:rsidRDefault="00A520C9" w:rsidP="004B6C95">
    <w:pPr>
      <w:pStyle w:val="BodyText"/>
      <w:numPr>
        <w:ilvl w:val="0"/>
        <w:numId w:val="28"/>
      </w:num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8C6936" w14:textId="77777777" w:rsidR="00511672" w:rsidRDefault="00511672" w:rsidP="0000781D">
      <w:pPr>
        <w:spacing w:before="60" w:after="0"/>
      </w:pPr>
      <w:r>
        <w:separator/>
      </w:r>
    </w:p>
  </w:footnote>
  <w:footnote w:type="continuationSeparator" w:id="0">
    <w:p w14:paraId="4DA28AED" w14:textId="77777777" w:rsidR="00511672" w:rsidRDefault="00511672" w:rsidP="00874497">
      <w:pPr>
        <w:spacing w:after="0"/>
      </w:pPr>
      <w:r>
        <w:continuationSeparator/>
      </w:r>
    </w:p>
  </w:footnote>
  <w:footnote w:id="1">
    <w:p w14:paraId="5A49A3F3" w14:textId="77777777" w:rsidR="009B22E7" w:rsidRPr="0032676D" w:rsidRDefault="009B22E7" w:rsidP="009B22E7">
      <w:pPr>
        <w:pStyle w:val="FootnoteText"/>
        <w:rPr>
          <w:lang w:val="en-AU"/>
        </w:rPr>
      </w:pPr>
      <w:r>
        <w:rPr>
          <w:rStyle w:val="FootnoteReference"/>
        </w:rPr>
        <w:footnoteRef/>
      </w:r>
      <w:r>
        <w:t xml:space="preserve"> </w:t>
      </w:r>
      <w:r>
        <w:rPr>
          <w:lang w:val="en-AU"/>
        </w:rPr>
        <w:t xml:space="preserve">Table </w:t>
      </w:r>
      <w:r w:rsidRPr="0032676D">
        <w:rPr>
          <w:lang w:val="en-AU"/>
        </w:rPr>
        <w:t>6.9.2</w:t>
      </w:r>
      <w:r>
        <w:rPr>
          <w:lang w:val="en-AU"/>
        </w:rPr>
        <w:t xml:space="preserve"> of Budget paper No. 1. Of the $33.3B total, about 96% relates to participant costs</w:t>
      </w:r>
    </w:p>
  </w:footnote>
  <w:footnote w:id="2">
    <w:p w14:paraId="3703A652" w14:textId="5AC4E4FE" w:rsidR="00855DD5" w:rsidRPr="00855DD5" w:rsidRDefault="00855DD5">
      <w:pPr>
        <w:pStyle w:val="FootnoteText"/>
        <w:rPr>
          <w:lang w:val="en-AU"/>
        </w:rPr>
      </w:pPr>
      <w:r>
        <w:rPr>
          <w:rStyle w:val="FootnoteReference"/>
        </w:rPr>
        <w:footnoteRef/>
      </w:r>
      <w:r>
        <w:t xml:space="preserve"> We note the NDIS calculates a somewhat lower historical value for total inflation based on cohort-level changes in payments.</w:t>
      </w:r>
    </w:p>
  </w:footnote>
  <w:footnote w:id="3">
    <w:p w14:paraId="6E7613AF" w14:textId="530B0F00" w:rsidR="0032676D" w:rsidRPr="0032676D" w:rsidRDefault="0032676D">
      <w:pPr>
        <w:pStyle w:val="FootnoteText"/>
        <w:rPr>
          <w:lang w:val="en-AU"/>
        </w:rPr>
      </w:pPr>
      <w:r>
        <w:rPr>
          <w:rStyle w:val="FootnoteReference"/>
        </w:rPr>
        <w:footnoteRef/>
      </w:r>
      <w:r>
        <w:t xml:space="preserve"> </w:t>
      </w:r>
      <w:r>
        <w:rPr>
          <w:lang w:val="en-AU"/>
        </w:rPr>
        <w:t xml:space="preserve">Table </w:t>
      </w:r>
      <w:r w:rsidRPr="0032676D">
        <w:rPr>
          <w:lang w:val="en-AU"/>
        </w:rPr>
        <w:t>6.9.2</w:t>
      </w:r>
      <w:r>
        <w:rPr>
          <w:lang w:val="en-AU"/>
        </w:rPr>
        <w:t xml:space="preserve"> of Budget paper No. 1</w:t>
      </w:r>
      <w:r w:rsidR="00DB7B7E">
        <w:rPr>
          <w:lang w:val="en-AU"/>
        </w:rPr>
        <w:t>. Of the $33.3B total, about 96% relates to participant costs</w:t>
      </w:r>
    </w:p>
  </w:footnote>
  <w:footnote w:id="4">
    <w:p w14:paraId="74EC3DE8" w14:textId="77777777" w:rsidR="00A520C9" w:rsidRPr="00E32CEB" w:rsidRDefault="00A520C9" w:rsidP="00A520C9">
      <w:pPr>
        <w:pStyle w:val="FootnoteText"/>
        <w:rPr>
          <w:lang w:val="en-US"/>
        </w:rPr>
      </w:pPr>
      <w:r>
        <w:rPr>
          <w:rStyle w:val="FootnoteReference"/>
        </w:rPr>
        <w:footnoteRef/>
      </w:r>
      <w:r>
        <w:t xml:space="preserve"> </w:t>
      </w:r>
      <w:r w:rsidRPr="00E32CEB">
        <w:t>https://www.ndis.gov.au/media/833/download?attachment</w:t>
      </w:r>
    </w:p>
  </w:footnote>
  <w:footnote w:id="5">
    <w:p w14:paraId="6422DB0C" w14:textId="7F9D0DD6" w:rsidR="00243F4C" w:rsidRPr="00243F4C" w:rsidRDefault="00243F4C">
      <w:pPr>
        <w:pStyle w:val="FootnoteText"/>
        <w:rPr>
          <w:lang w:val="en-AU"/>
        </w:rPr>
      </w:pPr>
      <w:r>
        <w:rPr>
          <w:rStyle w:val="FootnoteReference"/>
        </w:rPr>
        <w:footnoteRef/>
      </w:r>
      <w:r>
        <w:t xml:space="preserve"> </w:t>
      </w:r>
      <w:r>
        <w:rPr>
          <w:lang w:val="en-AU"/>
        </w:rPr>
        <w:t xml:space="preserve">Strictly speaking, </w:t>
      </w:r>
      <w:r w:rsidR="0046638C">
        <w:rPr>
          <w:lang w:val="en-AU"/>
        </w:rPr>
        <w:t xml:space="preserve">the average of future costs combines both the likelihood of underestimation versus overestimation and the likely size of these differences. </w:t>
      </w:r>
    </w:p>
  </w:footnote>
  <w:footnote w:id="6">
    <w:p w14:paraId="52EB335F" w14:textId="77777777" w:rsidR="00DE154C" w:rsidRPr="00625619" w:rsidRDefault="00DE154C" w:rsidP="00DE154C">
      <w:pPr>
        <w:pStyle w:val="FootnoteText"/>
        <w:rPr>
          <w:lang w:val="en-AU"/>
        </w:rPr>
      </w:pPr>
      <w:r>
        <w:rPr>
          <w:rStyle w:val="FootnoteReference"/>
        </w:rPr>
        <w:footnoteRef/>
      </w:r>
      <w:r>
        <w:t xml:space="preserve"> </w:t>
      </w:r>
      <w:r>
        <w:rPr>
          <w:lang w:val="en-AU"/>
        </w:rPr>
        <w:t>We note some of these factors are overlapping, as in separate estimates for each would include some double counting.</w:t>
      </w:r>
    </w:p>
  </w:footnote>
  <w:footnote w:id="7">
    <w:p w14:paraId="2A95DB28" w14:textId="77777777" w:rsidR="00690C13" w:rsidRPr="00855DD5" w:rsidRDefault="00690C13" w:rsidP="00690C13">
      <w:pPr>
        <w:pStyle w:val="FootnoteText"/>
        <w:rPr>
          <w:lang w:val="en-AU"/>
        </w:rPr>
      </w:pPr>
      <w:r>
        <w:rPr>
          <w:rStyle w:val="FootnoteReference"/>
        </w:rPr>
        <w:footnoteRef/>
      </w:r>
      <w:r>
        <w:t xml:space="preserve"> We note the NDIS calculates a somewhat lower historical value for total inflation based on cohort-level changes in payments.</w:t>
      </w:r>
    </w:p>
  </w:footnote>
  <w:footnote w:id="8">
    <w:p w14:paraId="260FE9F7" w14:textId="77777777" w:rsidR="00A520C9" w:rsidRPr="00F348D7" w:rsidRDefault="00A520C9" w:rsidP="00A520C9">
      <w:pPr>
        <w:pStyle w:val="FootnoteText"/>
        <w:spacing w:before="40"/>
        <w:rPr>
          <w:lang w:val="en-US"/>
        </w:rPr>
      </w:pPr>
      <w:r>
        <w:rPr>
          <w:rStyle w:val="FootnoteReference"/>
        </w:rPr>
        <w:footnoteRef/>
      </w:r>
      <w:r>
        <w:t xml:space="preserve"> </w:t>
      </w:r>
      <w:r>
        <w:rPr>
          <w:lang w:val="en-US"/>
        </w:rPr>
        <w:t>See addendum 1 of the NDIS June 2021 quarterly report</w:t>
      </w:r>
    </w:p>
  </w:footnote>
  <w:footnote w:id="9">
    <w:p w14:paraId="235BA5DE" w14:textId="77777777" w:rsidR="00B44828" w:rsidRPr="00CB65D0" w:rsidRDefault="00B44828" w:rsidP="00C578E0">
      <w:pPr>
        <w:pStyle w:val="FootnoteText"/>
      </w:pPr>
      <w:r>
        <w:rPr>
          <w:rStyle w:val="FootnoteReference"/>
        </w:rPr>
        <w:footnoteRef/>
      </w:r>
      <w:r>
        <w:t xml:space="preserve"> In this section, average annualised payments were calculated based on all participants who were active as at 30 June each year and entered the scheme on or before payment transaction quarter. Overall average annualised payments for a given year were estimated by summing up quarterly average payments. </w:t>
      </w:r>
    </w:p>
  </w:footnote>
  <w:footnote w:id="10">
    <w:p w14:paraId="0DF6F2A5" w14:textId="77777777" w:rsidR="00B44828" w:rsidRPr="00752A47" w:rsidRDefault="00B44828" w:rsidP="00B44828">
      <w:pPr>
        <w:pStyle w:val="FootnoteText"/>
      </w:pPr>
      <w:r>
        <w:rPr>
          <w:rStyle w:val="FootnoteReference"/>
        </w:rPr>
        <w:footnoteRef/>
      </w:r>
      <w:r>
        <w:t xml:space="preserve"> Payments related to RAC supports were $511M or 3.9% of overall Daily Activities payment in 2020-21 of which $365M was paid during June 2021 quarter. 96% of RAC supports payments were non-SIL participants related. </w:t>
      </w:r>
    </w:p>
  </w:footnote>
  <w:footnote w:id="11">
    <w:p w14:paraId="55C751DF" w14:textId="42CC5E88" w:rsidR="00B44828" w:rsidRPr="00A279D7" w:rsidRDefault="00B44828" w:rsidP="00B44828">
      <w:pPr>
        <w:pStyle w:val="FootnoteText"/>
      </w:pPr>
      <w:r>
        <w:rPr>
          <w:rStyle w:val="FootnoteReference"/>
        </w:rPr>
        <w:footnoteRef/>
      </w:r>
      <w:r>
        <w:t xml:space="preserve"> Given data provided, we have based our assessments and calculations using participants who were active as at 30 June 21 with their first plan approved on or prior to 29 February 2020. As there are </w:t>
      </w:r>
      <w:r w:rsidR="00402FEE">
        <w:t xml:space="preserve">a </w:t>
      </w:r>
      <w:r>
        <w:t xml:space="preserve">small number of exits each month, using active participants as at 30 June 2021 would not have any material impacts on the overall assessments. </w:t>
      </w:r>
    </w:p>
  </w:footnote>
  <w:footnote w:id="12">
    <w:p w14:paraId="5A9CBF1D" w14:textId="77777777" w:rsidR="00B44828" w:rsidRPr="0005347B" w:rsidRDefault="00B44828" w:rsidP="00B44828">
      <w:pPr>
        <w:pStyle w:val="FootnoteText"/>
      </w:pPr>
      <w:r>
        <w:rPr>
          <w:rStyle w:val="FootnoteReference"/>
        </w:rPr>
        <w:footnoteRef/>
      </w:r>
      <w:r>
        <w:t xml:space="preserve"> Time series charts shown in this section are based on active participants excluding new entrants i.e., participants who were active as at 30 June each year with their first plan approved at least one year prior to payment transaction quarter. E.g., for March 2021 quarter, average annualised payment is calculated based on active participants as at 30 June 2021 with their first plan approved on or before 31 December 2020. </w:t>
      </w:r>
    </w:p>
  </w:footnote>
  <w:footnote w:id="13">
    <w:p w14:paraId="4877F5F4" w14:textId="0C8DD0F9" w:rsidR="008B6C65" w:rsidRPr="008B6C65" w:rsidRDefault="008B6C65" w:rsidP="00B26885">
      <w:pPr>
        <w:pStyle w:val="FootnoteText"/>
      </w:pPr>
      <w:r>
        <w:rPr>
          <w:rStyle w:val="FootnoteReference"/>
        </w:rPr>
        <w:footnoteRef/>
      </w:r>
      <w:r>
        <w:t xml:space="preserve"> Table 4: National Disability Insurance Scheme – Disability Support Worker Cost Model 2021-22</w:t>
      </w:r>
    </w:p>
  </w:footnote>
  <w:footnote w:id="14">
    <w:p w14:paraId="4B8F65CC" w14:textId="77777777" w:rsidR="00A520C9" w:rsidRPr="00CD64AA" w:rsidRDefault="00A520C9" w:rsidP="00A520C9">
      <w:pPr>
        <w:pStyle w:val="FootnoteText"/>
        <w:rPr>
          <w:lang w:val="en-US"/>
        </w:rPr>
      </w:pPr>
      <w:r>
        <w:rPr>
          <w:rStyle w:val="FootnoteReference"/>
        </w:rPr>
        <w:footnoteRef/>
      </w:r>
      <w:r>
        <w:t xml:space="preserve"> </w:t>
      </w:r>
      <w:r>
        <w:rPr>
          <w:lang w:val="en-US"/>
        </w:rPr>
        <w:t xml:space="preserve">We understand that </w:t>
      </w:r>
      <w:r w:rsidRPr="00CD64AA">
        <w:rPr>
          <w:lang w:val="en-US"/>
        </w:rPr>
        <w:t>separate bilateral negotiations are being undertaken to determine whether student transport, along with personal care, continue to be within scope of the scheme, with proposed changes, if agreed multilaterally, to be effective from 1 January 2023.</w:t>
      </w:r>
    </w:p>
  </w:footnote>
  <w:footnote w:id="15">
    <w:p w14:paraId="01E459E3" w14:textId="77777777" w:rsidR="00896394" w:rsidRPr="00F55152" w:rsidRDefault="00896394" w:rsidP="00896394">
      <w:pPr>
        <w:pStyle w:val="FootnoteText"/>
        <w:spacing w:before="60"/>
      </w:pPr>
      <w:r>
        <w:rPr>
          <w:rStyle w:val="FootnoteReference"/>
        </w:rPr>
        <w:footnoteRef/>
      </w:r>
      <w:r>
        <w:t xml:space="preserve"> Growth rate is estimated based on entire Australian population (i.e., includes all ages). Source: </w:t>
      </w:r>
      <w:r w:rsidRPr="00A55E24">
        <w:t>https://population.gov.au/research/research-australias-future-population.html</w:t>
      </w:r>
    </w:p>
  </w:footnote>
  <w:footnote w:id="16">
    <w:p w14:paraId="305902FA" w14:textId="77777777" w:rsidR="00896394" w:rsidRPr="0085578D" w:rsidRDefault="00896394" w:rsidP="00896394">
      <w:pPr>
        <w:pStyle w:val="FootnoteText"/>
        <w:spacing w:before="60"/>
        <w:rPr>
          <w:lang w:val="en-US"/>
        </w:rPr>
      </w:pPr>
      <w:r>
        <w:rPr>
          <w:rStyle w:val="FootnoteReference"/>
        </w:rPr>
        <w:footnoteRef/>
      </w:r>
      <w:r>
        <w:t xml:space="preserve"> ABS series from </w:t>
      </w:r>
      <w:r w:rsidRPr="0085578D">
        <w:t>https://www.abs.gov.au/statistics/people/population/population-projections-australia/2017-base-2066</w:t>
      </w:r>
    </w:p>
  </w:footnote>
  <w:footnote w:id="17">
    <w:p w14:paraId="61D3FC6C" w14:textId="77777777" w:rsidR="00896394" w:rsidRPr="00AF1A3B" w:rsidRDefault="00896394" w:rsidP="00896394">
      <w:pPr>
        <w:pStyle w:val="FootnoteText"/>
        <w:spacing w:before="60"/>
        <w:rPr>
          <w:lang w:val="en-AU"/>
        </w:rPr>
      </w:pPr>
      <w:r>
        <w:rPr>
          <w:rStyle w:val="FootnoteReference"/>
        </w:rPr>
        <w:footnoteRef/>
      </w:r>
      <w:r>
        <w:t xml:space="preserve"> </w:t>
      </w:r>
      <w:r w:rsidRPr="00AF1A3B">
        <w:t>https://budget.gov.au/2021-22/content/bp1/download/bp1_2021-22.pdf</w:t>
      </w:r>
    </w:p>
  </w:footnote>
  <w:footnote w:id="18">
    <w:p w14:paraId="1C87B6A5" w14:textId="77777777" w:rsidR="00896394" w:rsidRPr="00796D9C" w:rsidRDefault="00896394" w:rsidP="00896394">
      <w:pPr>
        <w:pStyle w:val="FootnoteText"/>
        <w:spacing w:before="60"/>
      </w:pPr>
      <w:r>
        <w:rPr>
          <w:rStyle w:val="FootnoteReference"/>
        </w:rPr>
        <w:footnoteRef/>
      </w:r>
      <w:r>
        <w:t xml:space="preserve"> Assumed GDP growth is 5.0% p.a. beyond 2024-25</w:t>
      </w:r>
    </w:p>
  </w:footnote>
  <w:footnote w:id="19">
    <w:p w14:paraId="1D7691A3" w14:textId="77777777" w:rsidR="00896394" w:rsidRPr="00CD6F98" w:rsidRDefault="00896394" w:rsidP="00896394">
      <w:pPr>
        <w:pStyle w:val="FootnoteText"/>
        <w:spacing w:before="60"/>
      </w:pPr>
      <w:r>
        <w:rPr>
          <w:rStyle w:val="FootnoteReference"/>
        </w:rPr>
        <w:footnoteRef/>
      </w:r>
      <w:r>
        <w:t xml:space="preserve"> Scheme payments after efficiency dividend </w:t>
      </w:r>
    </w:p>
  </w:footnote>
  <w:footnote w:id="20">
    <w:p w14:paraId="68BDEECF" w14:textId="77777777" w:rsidR="00896394" w:rsidRPr="00AF1A3B" w:rsidRDefault="00896394" w:rsidP="00896394">
      <w:pPr>
        <w:pStyle w:val="FootnoteText"/>
        <w:spacing w:before="60"/>
        <w:rPr>
          <w:lang w:val="en-AU"/>
        </w:rPr>
      </w:pPr>
      <w:r>
        <w:rPr>
          <w:rStyle w:val="FootnoteReference"/>
        </w:rPr>
        <w:footnoteRef/>
      </w:r>
      <w:r>
        <w:t xml:space="preserve"> </w:t>
      </w:r>
      <w:r w:rsidRPr="00AF1A3B">
        <w:t>https://budget.gov.au/2021-22/content/bp1/download/bp1_2021-22.pdf</w:t>
      </w:r>
    </w:p>
  </w:footnote>
  <w:footnote w:id="21">
    <w:p w14:paraId="0A4C1B53" w14:textId="77777777" w:rsidR="004A11B5" w:rsidRPr="00A30636" w:rsidRDefault="004A11B5" w:rsidP="004A11B5">
      <w:pPr>
        <w:pStyle w:val="FootnoteText"/>
        <w:rPr>
          <w:lang w:val="en-AU"/>
        </w:rPr>
      </w:pPr>
      <w:r>
        <w:rPr>
          <w:rStyle w:val="FootnoteReference"/>
        </w:rPr>
        <w:footnoteRef/>
      </w:r>
      <w:r>
        <w:t xml:space="preserve"> </w:t>
      </w:r>
      <w:r>
        <w:rPr>
          <w:lang w:val="en-AU"/>
        </w:rPr>
        <w:t>A gamma distribution model, with log link, on all quarters since September 2018.</w:t>
      </w:r>
    </w:p>
  </w:footnote>
  <w:footnote w:id="22">
    <w:p w14:paraId="671AF420" w14:textId="77777777" w:rsidR="004A11B5" w:rsidRPr="00BF5CBD" w:rsidRDefault="004A11B5" w:rsidP="004A11B5">
      <w:pPr>
        <w:pStyle w:val="FootnoteText"/>
        <w:rPr>
          <w:lang w:val="en-AU"/>
        </w:rPr>
      </w:pPr>
      <w:r>
        <w:rPr>
          <w:rStyle w:val="FootnoteReference"/>
        </w:rPr>
        <w:footnoteRef/>
      </w:r>
      <w:r>
        <w:t xml:space="preserve"> </w:t>
      </w:r>
      <w:r>
        <w:rPr>
          <w:lang w:val="en-AU"/>
        </w:rPr>
        <w:t>This is consistent with the AFSR 2021 report, although we note that theirs is calculated on an accrual basis, whereas we have analysed using payment date.</w:t>
      </w:r>
    </w:p>
  </w:footnote>
  <w:footnote w:id="23">
    <w:p w14:paraId="10144AD1" w14:textId="77777777" w:rsidR="004A11B5" w:rsidRPr="00641853" w:rsidRDefault="004A11B5" w:rsidP="004A11B5">
      <w:pPr>
        <w:pStyle w:val="FootnoteText"/>
        <w:rPr>
          <w:lang w:val="en-AU"/>
        </w:rPr>
      </w:pPr>
      <w:r>
        <w:rPr>
          <w:rStyle w:val="FootnoteReference"/>
        </w:rPr>
        <w:footnoteRef/>
      </w:r>
      <w:r>
        <w:t xml:space="preserve"> </w:t>
      </w:r>
      <w:r>
        <w:rPr>
          <w:lang w:val="en-AU"/>
        </w:rPr>
        <w:t>Where more than one plan has applied over the year, we have combined pro-rata to cover the financial year.</w:t>
      </w:r>
    </w:p>
  </w:footnote>
  <w:footnote w:id="24">
    <w:p w14:paraId="1D198AA5" w14:textId="20D60869" w:rsidR="00B37F0C" w:rsidRPr="00B37F0C" w:rsidRDefault="00B37F0C">
      <w:pPr>
        <w:pStyle w:val="FootnoteText"/>
        <w:rPr>
          <w:lang w:val="en-AU"/>
        </w:rPr>
      </w:pPr>
      <w:r>
        <w:rPr>
          <w:rStyle w:val="FootnoteReference"/>
        </w:rPr>
        <w:footnoteRef/>
      </w:r>
      <w:r>
        <w:t xml:space="preserve"> </w:t>
      </w:r>
      <w:r>
        <w:rPr>
          <w:lang w:val="en-AU"/>
        </w:rPr>
        <w:t>This compares to an acceptance rate for the Disability Services Pension (DSP) of 40%, although we acknowledge this comparison is not like-for-like as eligibility rules are substantially different.</w:t>
      </w:r>
    </w:p>
  </w:footnote>
  <w:footnote w:id="25">
    <w:p w14:paraId="27FE47C7" w14:textId="2166A692" w:rsidR="00D01E7E" w:rsidRPr="00D01E7E" w:rsidRDefault="00D01E7E" w:rsidP="00AB5EBA">
      <w:pPr>
        <w:pStyle w:val="FootnoteText"/>
        <w:spacing w:before="60"/>
        <w:rPr>
          <w:lang w:val="en-AU"/>
        </w:rPr>
      </w:pPr>
      <w:r>
        <w:rPr>
          <w:rStyle w:val="FootnoteReference"/>
        </w:rPr>
        <w:footnoteRef/>
      </w:r>
      <w:r>
        <w:t xml:space="preserve"> </w:t>
      </w:r>
      <w:r>
        <w:rPr>
          <w:lang w:val="en-AU"/>
        </w:rPr>
        <w:t xml:space="preserve">See </w:t>
      </w:r>
      <w:hyperlink r:id="rId1" w:anchor="plan-budgets-and-socio-economic-status-report" w:history="1">
        <w:r w:rsidRPr="00B97340">
          <w:rPr>
            <w:rStyle w:val="Hyperlink"/>
            <w:lang w:val="en-AU"/>
          </w:rPr>
          <w:t>https://data.ndis.gov.au/reports-and-analyses/other-analyses#plan-budgets-and-socio-economic-status-report</w:t>
        </w:r>
      </w:hyperlink>
      <w:r>
        <w:rPr>
          <w:lang w:val="en-AU"/>
        </w:rPr>
        <w:t xml:space="preserve"> </w:t>
      </w:r>
    </w:p>
  </w:footnote>
  <w:footnote w:id="26">
    <w:p w14:paraId="345A6BC2" w14:textId="674D3B0F" w:rsidR="00440653" w:rsidRPr="00440653" w:rsidRDefault="00440653">
      <w:pPr>
        <w:pStyle w:val="FootnoteText"/>
        <w:rPr>
          <w:lang w:val="en-US"/>
        </w:rPr>
      </w:pPr>
      <w:r>
        <w:rPr>
          <w:rStyle w:val="FootnoteReference"/>
        </w:rPr>
        <w:footnoteRef/>
      </w:r>
      <w:r>
        <w:t xml:space="preserve"> </w:t>
      </w:r>
      <w:r>
        <w:rPr>
          <w:lang w:val="en-US"/>
        </w:rPr>
        <w:t>MMM is the Modified Monash Model of remoteness</w:t>
      </w:r>
    </w:p>
  </w:footnote>
  <w:footnote w:id="27">
    <w:p w14:paraId="693A7EB3" w14:textId="7489A165" w:rsidR="002B1836" w:rsidRPr="002B1836" w:rsidRDefault="002B1836" w:rsidP="002D0617">
      <w:pPr>
        <w:pStyle w:val="FootnoteText"/>
        <w:spacing w:before="60"/>
        <w:rPr>
          <w:lang w:val="en-AU"/>
        </w:rPr>
      </w:pPr>
      <w:r>
        <w:rPr>
          <w:rStyle w:val="FootnoteReference"/>
        </w:rPr>
        <w:footnoteRef/>
      </w:r>
      <w:r>
        <w:t xml:space="preserve"> </w:t>
      </w:r>
      <w:r>
        <w:rPr>
          <w:lang w:val="en-AU"/>
        </w:rPr>
        <w:t xml:space="preserve">We have grouped developmental delay with global developmental delay, similar to treatment by the </w:t>
      </w:r>
      <w:r w:rsidR="002D0617">
        <w:rPr>
          <w:lang w:val="en-AU"/>
        </w:rPr>
        <w:t>S</w:t>
      </w:r>
      <w:r>
        <w:rPr>
          <w:lang w:val="en-AU"/>
        </w:rPr>
        <w:t xml:space="preserve">cheme </w:t>
      </w:r>
      <w:r w:rsidR="002D0617">
        <w:rPr>
          <w:lang w:val="en-AU"/>
        </w:rPr>
        <w:t>A</w:t>
      </w:r>
      <w:r>
        <w:rPr>
          <w:lang w:val="en-AU"/>
        </w:rPr>
        <w:t>ctuary</w:t>
      </w:r>
    </w:p>
  </w:footnote>
  <w:footnote w:id="28">
    <w:p w14:paraId="10DC4425" w14:textId="0966A257" w:rsidR="00CD1A99" w:rsidRPr="00CD1A99" w:rsidRDefault="00CD1A99" w:rsidP="002D0617">
      <w:pPr>
        <w:pStyle w:val="FootnoteText"/>
        <w:spacing w:before="60"/>
        <w:rPr>
          <w:lang w:val="en-AU"/>
        </w:rPr>
      </w:pPr>
      <w:r>
        <w:rPr>
          <w:rStyle w:val="FootnoteReference"/>
        </w:rPr>
        <w:footnoteRef/>
      </w:r>
      <w:r>
        <w:t xml:space="preserve"> </w:t>
      </w:r>
      <w:r>
        <w:rPr>
          <w:lang w:val="en-AU"/>
        </w:rPr>
        <w:t xml:space="preserve">See p 156 of the 2017 PC cost report, </w:t>
      </w:r>
      <w:hyperlink r:id="rId2" w:history="1">
        <w:r w:rsidRPr="006E765C">
          <w:rPr>
            <w:rStyle w:val="Hyperlink"/>
            <w:lang w:val="en-AU"/>
          </w:rPr>
          <w:t>https://www.pc.gov.au/inquiries/completed/ndis-costs/report/ndis-costs.pdf</w:t>
        </w:r>
      </w:hyperlink>
      <w:r>
        <w:rPr>
          <w:lang w:val="en-AU"/>
        </w:rPr>
        <w:t xml:space="preserve"> </w:t>
      </w:r>
    </w:p>
  </w:footnote>
  <w:footnote w:id="29">
    <w:p w14:paraId="000500ED" w14:textId="2A94E35B" w:rsidR="00B53A05" w:rsidRPr="00B53A05" w:rsidRDefault="00B53A05">
      <w:pPr>
        <w:pStyle w:val="FootnoteText"/>
        <w:rPr>
          <w:lang w:val="en-AU"/>
        </w:rPr>
      </w:pPr>
      <w:r>
        <w:rPr>
          <w:rStyle w:val="FootnoteReference"/>
        </w:rPr>
        <w:footnoteRef/>
      </w:r>
      <w:r>
        <w:t xml:space="preserve"> </w:t>
      </w:r>
      <w:r>
        <w:rPr>
          <w:lang w:val="en-AU"/>
        </w:rPr>
        <w:t>See Addendum 1 of the June 2021 quarterly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E5D1C" w14:textId="79F40F6D" w:rsidR="00810E89" w:rsidRDefault="009D5E57" w:rsidP="00B63F13">
    <w:pPr>
      <w:pStyle w:val="Header"/>
    </w:pPr>
    <w:r>
      <w:drawing>
        <wp:anchor distT="0" distB="0" distL="114300" distR="114300" simplePos="0" relativeHeight="251639808" behindDoc="1" locked="1" layoutInCell="1" allowOverlap="1" wp14:anchorId="556E0F88" wp14:editId="2CC97185">
          <wp:simplePos x="0" y="0"/>
          <wp:positionH relativeFrom="page">
            <wp:align>left</wp:align>
          </wp:positionH>
          <wp:positionV relativeFrom="page">
            <wp:align>top</wp:align>
          </wp:positionV>
          <wp:extent cx="7557135" cy="10688955"/>
          <wp:effectExtent l="0" t="0" r="5715"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1"/>
                  <a:stretch>
                    <a:fillRect/>
                  </a:stretch>
                </pic:blipFill>
                <pic:spPr>
                  <a:xfrm>
                    <a:off x="0" y="0"/>
                    <a:ext cx="7557507" cy="10688955"/>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4E111" w14:textId="7FEED81C" w:rsidR="0077362D" w:rsidRDefault="0077362D" w:rsidP="00B63F1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14949" w14:textId="295E62F0" w:rsidR="002A687C" w:rsidRDefault="002A687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D2A46" w14:textId="6FAEA0A2" w:rsidR="002A687C" w:rsidRDefault="002A687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DB2AA" w14:textId="19556389" w:rsidR="00810E89" w:rsidRDefault="00810E89" w:rsidP="00B63F1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C7B3F" w14:textId="08E5B71E" w:rsidR="002A687C" w:rsidRDefault="002A687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0DD83" w14:textId="317C5C02" w:rsidR="00A520C9" w:rsidRDefault="00A520C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6E10B" w14:textId="0AE2757F" w:rsidR="00A520C9" w:rsidRDefault="00A520C9" w:rsidP="000D272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0BDE9" w14:textId="7BD83BD5" w:rsidR="00A520C9" w:rsidRDefault="00A520C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152A9" w14:textId="34653025" w:rsidR="00A520C9" w:rsidRDefault="00A520C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1E381" w14:textId="28F4D1C3" w:rsidR="00A520C9" w:rsidRDefault="00A520C9" w:rsidP="000D272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FBlank"/>
      <w:tblpPr w:leftFromText="181" w:rightFromText="181" w:tblpX="8223" w:tblpYSpec="top"/>
      <w:tblOverlap w:val="never"/>
      <w:tblW w:w="2127" w:type="dxa"/>
      <w:tblLook w:val="04A0" w:firstRow="1" w:lastRow="0" w:firstColumn="1" w:lastColumn="0" w:noHBand="0" w:noVBand="1"/>
    </w:tblPr>
    <w:tblGrid>
      <w:gridCol w:w="2127"/>
    </w:tblGrid>
    <w:tr w:rsidR="00B63F13" w14:paraId="3E0F28E9" w14:textId="77777777" w:rsidTr="00AD742F">
      <w:trPr>
        <w:trHeight w:val="1361"/>
      </w:trPr>
      <w:tc>
        <w:tcPr>
          <w:tcW w:w="2127" w:type="dxa"/>
        </w:tcPr>
        <w:p w14:paraId="7E81365A" w14:textId="77777777" w:rsidR="00B63F13" w:rsidRDefault="00B63F13" w:rsidP="00AD742F">
          <w:pPr>
            <w:pStyle w:val="Header"/>
          </w:pPr>
        </w:p>
      </w:tc>
    </w:tr>
    <w:tr w:rsidR="00AD742F" w14:paraId="52F5BBA6" w14:textId="77777777" w:rsidTr="00AD742F">
      <w:trPr>
        <w:trHeight w:val="13039"/>
      </w:trPr>
      <w:tc>
        <w:tcPr>
          <w:tcW w:w="2127" w:type="dxa"/>
        </w:tcPr>
        <w:p w14:paraId="66A14331" w14:textId="77777777" w:rsidR="00AD742F" w:rsidRDefault="00AD742F" w:rsidP="00AD742F">
          <w:pPr>
            <w:pStyle w:val="Headerheading"/>
            <w:framePr w:hSpace="0" w:wrap="auto" w:vAnchor="margin" w:xAlign="left" w:yAlign="inline"/>
            <w:suppressOverlap w:val="0"/>
          </w:pPr>
          <w:r>
            <w:t>Sydney</w:t>
          </w:r>
        </w:p>
        <w:p w14:paraId="539B92C1" w14:textId="77777777" w:rsidR="00AD742F" w:rsidRDefault="00AD742F" w:rsidP="00AD742F">
          <w:pPr>
            <w:pStyle w:val="Header"/>
          </w:pPr>
          <w:r>
            <w:t>Level 22/45 Clarence St</w:t>
          </w:r>
        </w:p>
        <w:p w14:paraId="1259DBCB" w14:textId="77777777" w:rsidR="00AD742F" w:rsidRDefault="00AD742F" w:rsidP="00AD742F">
          <w:pPr>
            <w:pStyle w:val="Header"/>
          </w:pPr>
          <w:r>
            <w:t>Sydney NSW 2000</w:t>
          </w:r>
        </w:p>
        <w:p w14:paraId="1C51C0E2" w14:textId="77777777" w:rsidR="00AD742F" w:rsidRDefault="00AD742F" w:rsidP="00AD742F">
          <w:pPr>
            <w:pStyle w:val="Header"/>
          </w:pPr>
          <w:r>
            <w:t>Australia</w:t>
          </w:r>
        </w:p>
        <w:p w14:paraId="0761522E" w14:textId="77777777" w:rsidR="00AD742F" w:rsidRDefault="00AD742F" w:rsidP="00AD742F">
          <w:pPr>
            <w:pStyle w:val="Header"/>
          </w:pPr>
          <w:r>
            <w:t>+61 2 9249 2900</w:t>
          </w:r>
        </w:p>
        <w:p w14:paraId="3B9A6B67" w14:textId="77777777" w:rsidR="00AD742F" w:rsidRDefault="00AD742F" w:rsidP="00AD742F">
          <w:pPr>
            <w:pStyle w:val="Headerheading"/>
            <w:framePr w:hSpace="0" w:wrap="auto" w:vAnchor="margin" w:xAlign="left" w:yAlign="inline"/>
            <w:suppressOverlap w:val="0"/>
          </w:pPr>
          <w:r w:rsidRPr="00AD742F">
            <w:t>Melbourne</w:t>
          </w:r>
        </w:p>
        <w:p w14:paraId="2E172D34" w14:textId="77777777" w:rsidR="00AD742F" w:rsidRDefault="00AD742F" w:rsidP="00AD742F">
          <w:pPr>
            <w:pStyle w:val="Header"/>
          </w:pPr>
          <w:r>
            <w:t>Level 27/459 Collins St</w:t>
          </w:r>
        </w:p>
        <w:p w14:paraId="4A2DF51D" w14:textId="77777777" w:rsidR="00AD742F" w:rsidRDefault="00AD742F" w:rsidP="00AD742F">
          <w:pPr>
            <w:pStyle w:val="Header"/>
          </w:pPr>
          <w:r>
            <w:t>Melbourne VIC 3000</w:t>
          </w:r>
        </w:p>
        <w:p w14:paraId="60212F7A" w14:textId="77777777" w:rsidR="00AD742F" w:rsidRDefault="00AD742F" w:rsidP="00AD742F">
          <w:pPr>
            <w:pStyle w:val="Header"/>
          </w:pPr>
          <w:r>
            <w:t>Australia</w:t>
          </w:r>
        </w:p>
        <w:p w14:paraId="74274245" w14:textId="77777777" w:rsidR="00AD742F" w:rsidRDefault="00AD742F" w:rsidP="00AD742F">
          <w:pPr>
            <w:pStyle w:val="Header"/>
          </w:pPr>
          <w:r>
            <w:t>+61 3 9658 2333</w:t>
          </w:r>
        </w:p>
        <w:p w14:paraId="212640F0" w14:textId="77777777" w:rsidR="00AD742F" w:rsidRDefault="00AD742F" w:rsidP="00AD742F">
          <w:pPr>
            <w:pStyle w:val="Headerheading"/>
            <w:framePr w:hSpace="0" w:wrap="auto" w:vAnchor="margin" w:xAlign="left" w:yAlign="inline"/>
            <w:suppressOverlap w:val="0"/>
          </w:pPr>
          <w:r>
            <w:t>Wellington</w:t>
          </w:r>
        </w:p>
        <w:p w14:paraId="5395F201" w14:textId="77777777" w:rsidR="00AD742F" w:rsidRDefault="00AD742F" w:rsidP="00AD742F">
          <w:pPr>
            <w:pStyle w:val="Header"/>
          </w:pPr>
          <w:r>
            <w:t>Level 3/166 Featherston St</w:t>
          </w:r>
        </w:p>
        <w:p w14:paraId="3A7200C2" w14:textId="77777777" w:rsidR="00AD742F" w:rsidRDefault="00AD742F" w:rsidP="00AD742F">
          <w:pPr>
            <w:pStyle w:val="Header"/>
          </w:pPr>
          <w:r>
            <w:t>Wellington 6011</w:t>
          </w:r>
        </w:p>
        <w:p w14:paraId="4293D7A3" w14:textId="77777777" w:rsidR="00AD742F" w:rsidRDefault="00AD742F" w:rsidP="00AD742F">
          <w:pPr>
            <w:pStyle w:val="Header"/>
          </w:pPr>
          <w:r>
            <w:t>New Zealand</w:t>
          </w:r>
        </w:p>
        <w:p w14:paraId="3CC454CB" w14:textId="77777777" w:rsidR="00AD742F" w:rsidRDefault="00AD742F" w:rsidP="00AD742F">
          <w:pPr>
            <w:pStyle w:val="Header"/>
          </w:pPr>
          <w:r>
            <w:t>+64 4 974 5562</w:t>
          </w:r>
        </w:p>
      </w:tc>
    </w:tr>
  </w:tbl>
  <w:p w14:paraId="382CA938" w14:textId="71B9D1A5" w:rsidR="006753E0" w:rsidRDefault="006753E0" w:rsidP="00B63F13">
    <w:pPr>
      <w:pStyle w:val="Header"/>
    </w:pPr>
    <w:r>
      <w:drawing>
        <wp:anchor distT="0" distB="0" distL="114300" distR="114300" simplePos="0" relativeHeight="251637760" behindDoc="1" locked="1" layoutInCell="1" allowOverlap="1" wp14:anchorId="6E558B4B" wp14:editId="4714B8FB">
          <wp:simplePos x="0" y="0"/>
          <wp:positionH relativeFrom="page">
            <wp:align>left</wp:align>
          </wp:positionH>
          <wp:positionV relativeFrom="page">
            <wp:align>top</wp:align>
          </wp:positionV>
          <wp:extent cx="7559040" cy="10688320"/>
          <wp:effectExtent l="0" t="0" r="381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1"/>
                  <a:stretch>
                    <a:fillRect/>
                  </a:stretch>
                </pic:blipFill>
                <pic:spPr>
                  <a:xfrm>
                    <a:off x="0" y="0"/>
                    <a:ext cx="7559269" cy="10688398"/>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76671" w14:textId="2CC24887" w:rsidR="00A520C9" w:rsidRDefault="00A520C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5B239" w14:textId="0950B98C" w:rsidR="00A520C9" w:rsidRDefault="00A520C9">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89B09" w14:textId="78EAEC79" w:rsidR="00A520C9" w:rsidRDefault="00A520C9" w:rsidP="000D272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0BCE0" w14:textId="531FE2E8" w:rsidR="00A520C9" w:rsidRDefault="00A520C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51AC0" w14:textId="08D00010" w:rsidR="00A520C9" w:rsidRDefault="00A520C9">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5509E" w14:textId="2E9F1505" w:rsidR="00A520C9" w:rsidRDefault="00A520C9" w:rsidP="000D272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AB101" w14:textId="677EDC22" w:rsidR="00A520C9" w:rsidRDefault="00A520C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C84FA" w14:textId="0D7DEAC6" w:rsidR="004A11B5" w:rsidRDefault="006B2A3C">
    <w:pPr>
      <w:pStyle w:val="Header"/>
    </w:pPr>
    <w:r>
      <mc:AlternateContent>
        <mc:Choice Requires="wps">
          <w:drawing>
            <wp:anchor distT="0" distB="0" distL="114300" distR="114300" simplePos="0" relativeHeight="251642880" behindDoc="1" locked="0" layoutInCell="0" allowOverlap="1" wp14:anchorId="26B98841" wp14:editId="51994CCC">
              <wp:simplePos x="0" y="0"/>
              <wp:positionH relativeFrom="margin">
                <wp:align>center</wp:align>
              </wp:positionH>
              <wp:positionV relativeFrom="margin">
                <wp:align>center</wp:align>
              </wp:positionV>
              <wp:extent cx="6018530" cy="2407285"/>
              <wp:effectExtent l="0" t="1504950" r="0" b="1355090"/>
              <wp:wrapNone/>
              <wp:docPr id="17" name="WordArt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018530" cy="2407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12F0D0" w14:textId="77777777" w:rsidR="006B2A3C" w:rsidRDefault="006B2A3C" w:rsidP="006B2A3C">
                          <w:pPr>
                            <w:jc w:val="center"/>
                            <w:rPr>
                              <w:rFonts w:ascii="Blanco" w:hAnsi="Blanco"/>
                              <w:color w:val="C0C0C0"/>
                              <w:sz w:val="2"/>
                              <w:szCs w:val="2"/>
                              <w14:textFill>
                                <w14:solidFill>
                                  <w14:srgbClr w14:val="C0C0C0">
                                    <w14:alpha w14:val="50000"/>
                                  </w14:srgbClr>
                                </w14:solidFill>
                              </w14:textFill>
                            </w:rPr>
                          </w:pPr>
                          <w:r>
                            <w:rPr>
                              <w:rFonts w:ascii="Blanco" w:hAnsi="Blanco"/>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6B98841" id="_x0000_t202" coordsize="21600,21600" o:spt="202" path="m,l,21600r21600,l21600,xe">
              <v:stroke joinstyle="miter"/>
              <v:path gradientshapeok="t" o:connecttype="rect"/>
            </v:shapetype>
            <v:shape id="WordArt 45" o:spid="_x0000_s1031" type="#_x0000_t202" alt="&quot;&quot;" style="position:absolute;margin-left:0;margin-top:0;width:473.9pt;height:189.55pt;rotation:-45;z-index:-2516736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" o:allowincell="f" filled="f" stroked="f">
              <v:stroke joinstyle="round"/>
              <o:lock v:ext="edit" shapetype="t"/>
              <v:textbox style="mso-fit-shape-to-text:t">
                <w:txbxContent>
                  <w:p w14:paraId="3312F0D0" w14:textId="77777777" w:rsidR="006B2A3C" w:rsidRDefault="006B2A3C" w:rsidP="006B2A3C">
                    <w:pPr>
                      <w:jc w:val="center"/>
                      <w:rPr>
                        <w:rFonts w:ascii="Blanco" w:hAnsi="Blanco"/>
                        <w:color w:val="C0C0C0"/>
                        <w:sz w:val="2"/>
                        <w:szCs w:val="2"/>
                        <w14:textFill>
                          <w14:solidFill>
                            <w14:srgbClr w14:val="C0C0C0">
                              <w14:alpha w14:val="50000"/>
                            </w14:srgbClr>
                          </w14:solidFill>
                        </w14:textFill>
                      </w:rPr>
                    </w:pPr>
                    <w:r>
                      <w:rPr>
                        <w:rFonts w:ascii="Blanco" w:hAnsi="Blanco"/>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D1B94" w14:textId="63752CE0" w:rsidR="004A11B5" w:rsidRDefault="004A11B5" w:rsidP="00B63F13">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A3995" w14:textId="301D14C8" w:rsidR="004A11B5" w:rsidRDefault="006B2A3C">
    <w:pPr>
      <w:pStyle w:val="Header"/>
    </w:pPr>
    <w:r>
      <mc:AlternateContent>
        <mc:Choice Requires="wps">
          <w:drawing>
            <wp:anchor distT="0" distB="0" distL="114300" distR="114300" simplePos="0" relativeHeight="251641856" behindDoc="1" locked="0" layoutInCell="0" allowOverlap="1" wp14:anchorId="23D6919A" wp14:editId="1D43F196">
              <wp:simplePos x="0" y="0"/>
              <wp:positionH relativeFrom="margin">
                <wp:align>center</wp:align>
              </wp:positionH>
              <wp:positionV relativeFrom="margin">
                <wp:align>center</wp:align>
              </wp:positionV>
              <wp:extent cx="6018530" cy="2407285"/>
              <wp:effectExtent l="0" t="1504950" r="0" b="1355090"/>
              <wp:wrapNone/>
              <wp:docPr id="4" name="WordArt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018530" cy="24072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BD381CB" w14:textId="77777777" w:rsidR="006B2A3C" w:rsidRDefault="006B2A3C" w:rsidP="006B2A3C">
                          <w:pPr>
                            <w:jc w:val="center"/>
                            <w:rPr>
                              <w:rFonts w:ascii="Blanco" w:hAnsi="Blanco"/>
                              <w:color w:val="C0C0C0"/>
                              <w:sz w:val="2"/>
                              <w:szCs w:val="2"/>
                              <w14:textFill>
                                <w14:solidFill>
                                  <w14:srgbClr w14:val="C0C0C0">
                                    <w14:alpha w14:val="50000"/>
                                  </w14:srgbClr>
                                </w14:solidFill>
                              </w14:textFill>
                            </w:rPr>
                          </w:pPr>
                          <w:r>
                            <w:rPr>
                              <w:rFonts w:ascii="Blanco" w:hAnsi="Blanco"/>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3D6919A" id="_x0000_t202" coordsize="21600,21600" o:spt="202" path="m,l,21600r21600,l21600,xe">
              <v:stroke joinstyle="miter"/>
              <v:path gradientshapeok="t" o:connecttype="rect"/>
            </v:shapetype>
            <v:shape id="WordArt 44" o:spid="_x0000_s1032" type="#_x0000_t202" alt="&quot;&quot;" style="position:absolute;margin-left:0;margin-top:0;width:473.9pt;height:189.55pt;rotation:-45;z-index:-2516746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" o:allowincell="f" filled="f" stroked="f">
              <v:stroke joinstyle="round"/>
              <o:lock v:ext="edit" shapetype="t"/>
              <v:textbox style="mso-fit-shape-to-text:t">
                <w:txbxContent>
                  <w:p w14:paraId="0BD381CB" w14:textId="77777777" w:rsidR="006B2A3C" w:rsidRDefault="006B2A3C" w:rsidP="006B2A3C">
                    <w:pPr>
                      <w:jc w:val="center"/>
                      <w:rPr>
                        <w:rFonts w:ascii="Blanco" w:hAnsi="Blanco"/>
                        <w:color w:val="C0C0C0"/>
                        <w:sz w:val="2"/>
                        <w:szCs w:val="2"/>
                        <w14:textFill>
                          <w14:solidFill>
                            <w14:srgbClr w14:val="C0C0C0">
                              <w14:alpha w14:val="50000"/>
                            </w14:srgbClr>
                          </w14:solidFill>
                        </w14:textFill>
                      </w:rPr>
                    </w:pPr>
                    <w:r>
                      <w:rPr>
                        <w:rFonts w:ascii="Blanco" w:hAnsi="Blanco"/>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BE770" w14:textId="71355165" w:rsidR="002A687C" w:rsidRDefault="002A687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0FC7F" w14:textId="77777777" w:rsidR="0028350E" w:rsidRDefault="00E063F5">
    <w:pPr>
      <w:pStyle w:val="Header"/>
    </w:pPr>
    <w:r>
      <w:pict w14:anchorId="7AF342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70" type="#_x0000_t136" style="position:absolute;margin-left:0;margin-top:0;width:473.9pt;height:189.55pt;rotation:315;z-index:-251634688;mso-position-horizontal:center;mso-position-horizontal-relative:margin;mso-position-vertical:center;mso-position-vertical-relative:margin" o:allowincell="f" fillcolor="silver" stroked="f">
          <v:fill opacity=".5"/>
          <v:textpath style="font-family:&quot;Blanco&quot;;font-size:1pt" string="DRAFT"/>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37EDD" w14:textId="560787B2" w:rsidR="0028350E" w:rsidRDefault="0028350E" w:rsidP="00B63F13">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2D604" w14:textId="77777777" w:rsidR="0028350E" w:rsidRDefault="00E063F5">
    <w:pPr>
      <w:pStyle w:val="Header"/>
    </w:pPr>
    <w:r>
      <w:pict w14:anchorId="49BA46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9" type="#_x0000_t136" style="position:absolute;margin-left:0;margin-top:0;width:473.9pt;height:189.55pt;rotation:315;z-index:-251635712;mso-position-horizontal:center;mso-position-horizontal-relative:margin;mso-position-vertical:center;mso-position-vertical-relative:margin" o:allowincell="f" fillcolor="silver" stroked="f">
          <v:fill opacity=".5"/>
          <v:textpath style="font-family:&quot;Blanco&quot;;font-size:1pt" string="DRAFT"/>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A8BD6" w14:textId="28F37636" w:rsidR="002A687C" w:rsidRDefault="002A687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6DBA4" w14:textId="1F0AAE7D" w:rsidR="00810E89" w:rsidRDefault="00810E89" w:rsidP="00B63F13">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A3B67" w14:textId="27F624EE" w:rsidR="002A687C" w:rsidRDefault="002A687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E55C7" w14:textId="38BFD0D9" w:rsidR="002A687C" w:rsidRDefault="002A687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F3B35" w14:textId="31BBD7BF" w:rsidR="00BF4AE9" w:rsidRDefault="00155196" w:rsidP="00B63F13">
    <w:pPr>
      <w:pStyle w:val="Header"/>
    </w:pPr>
    <w:r>
      <w:drawing>
        <wp:anchor distT="0" distB="0" distL="114300" distR="114300" simplePos="0" relativeHeight="251638784" behindDoc="1" locked="0" layoutInCell="1" allowOverlap="1" wp14:anchorId="787E0487" wp14:editId="30812D9F">
          <wp:simplePos x="0" y="0"/>
          <wp:positionH relativeFrom="page">
            <wp:align>left</wp:align>
          </wp:positionH>
          <wp:positionV relativeFrom="page">
            <wp:align>top</wp:align>
          </wp:positionV>
          <wp:extent cx="7560000" cy="10689432"/>
          <wp:effectExtent l="0" t="0" r="3175"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1"/>
                  <a:stretch>
                    <a:fillRect/>
                  </a:stretch>
                </pic:blipFill>
                <pic:spPr>
                  <a:xfrm>
                    <a:off x="0" y="0"/>
                    <a:ext cx="7560000" cy="10689432"/>
                  </a:xfrm>
                  <a:prstGeom prst="rect">
                    <a:avLst/>
                  </a:prstGeom>
                </pic:spPr>
              </pic:pic>
            </a:graphicData>
          </a:graphic>
          <wp14:sizeRelH relativeFrom="page">
            <wp14:pctWidth>0</wp14:pctWidth>
          </wp14:sizeRelH>
          <wp14:sizeRelV relativeFrom="page">
            <wp14:pctHeight>0</wp14:pctHeight>
          </wp14:sizeRelV>
        </wp:anchor>
      </w:drawing>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9711B" w14:textId="77D4C613" w:rsidR="002A687C" w:rsidRDefault="002A687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92047" w14:textId="25808688" w:rsidR="00810E89" w:rsidRDefault="0018046F" w:rsidP="00B63F13">
    <w:pPr>
      <w:pStyle w:val="Header"/>
    </w:pPr>
    <w:r>
      <w:drawing>
        <wp:anchor distT="0" distB="0" distL="114300" distR="114300" simplePos="0" relativeHeight="251640832" behindDoc="1" locked="0" layoutInCell="1" allowOverlap="1" wp14:anchorId="1F796C7A" wp14:editId="52B39D5A">
          <wp:simplePos x="0" y="0"/>
          <wp:positionH relativeFrom="page">
            <wp:align>left</wp:align>
          </wp:positionH>
          <wp:positionV relativeFrom="page">
            <wp:align>top</wp:align>
          </wp:positionV>
          <wp:extent cx="7559999" cy="10689431"/>
          <wp:effectExtent l="0" t="0" r="3175" b="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1"/>
                  <a:stretch>
                    <a:fillRect/>
                  </a:stretch>
                </pic:blipFill>
                <pic:spPr>
                  <a:xfrm>
                    <a:off x="0" y="0"/>
                    <a:ext cx="7559999" cy="10689431"/>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C71BD" w14:textId="2300CFEC" w:rsidR="002A687C" w:rsidRDefault="002A687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A0844" w14:textId="2E80A416" w:rsidR="002A687C" w:rsidRDefault="002A687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2427E" w14:textId="18239D83" w:rsidR="0050643E" w:rsidRPr="00AD742F" w:rsidRDefault="0050643E" w:rsidP="00AD742F">
    <w:pPr>
      <w:pStyle w:val="Headerlog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FBlank"/>
      <w:tblpPr w:leftFromText="181" w:rightFromText="181" w:tblpX="8223" w:tblpYSpec="top"/>
      <w:tblOverlap w:val="never"/>
      <w:tblW w:w="2127" w:type="dxa"/>
      <w:tblLook w:val="04A0" w:firstRow="1" w:lastRow="0" w:firstColumn="1" w:lastColumn="0" w:noHBand="0" w:noVBand="1"/>
    </w:tblPr>
    <w:tblGrid>
      <w:gridCol w:w="2127"/>
    </w:tblGrid>
    <w:tr w:rsidR="00636EC7" w14:paraId="3AB5A645" w14:textId="77777777" w:rsidTr="00E43E28">
      <w:trPr>
        <w:trHeight w:val="1361"/>
      </w:trPr>
      <w:tc>
        <w:tcPr>
          <w:tcW w:w="2127" w:type="dxa"/>
        </w:tcPr>
        <w:p w14:paraId="6C9C13EF" w14:textId="77777777" w:rsidR="00636EC7" w:rsidRDefault="00636EC7" w:rsidP="00636EC7">
          <w:pPr>
            <w:pStyle w:val="Header"/>
          </w:pPr>
        </w:p>
      </w:tc>
    </w:tr>
    <w:tr w:rsidR="00636EC7" w14:paraId="29B9B0A5" w14:textId="77777777" w:rsidTr="00E43E28">
      <w:trPr>
        <w:trHeight w:hRule="exact" w:val="3969"/>
      </w:trPr>
      <w:tc>
        <w:tcPr>
          <w:tcW w:w="2127" w:type="dxa"/>
        </w:tcPr>
        <w:p w14:paraId="65B87503" w14:textId="77777777" w:rsidR="00636EC7" w:rsidRDefault="00636EC7" w:rsidP="00636EC7">
          <w:pPr>
            <w:pStyle w:val="Headerheading"/>
            <w:framePr w:hSpace="0" w:wrap="auto" w:vAnchor="margin" w:xAlign="left" w:yAlign="inline"/>
            <w:suppressOverlap w:val="0"/>
          </w:pPr>
          <w:r>
            <w:t>Sydney</w:t>
          </w:r>
        </w:p>
        <w:p w14:paraId="706DED05" w14:textId="77777777" w:rsidR="00636EC7" w:rsidRDefault="00636EC7" w:rsidP="00636EC7">
          <w:pPr>
            <w:pStyle w:val="Header"/>
          </w:pPr>
          <w:r>
            <w:t>Level 22/45 Clarence St</w:t>
          </w:r>
        </w:p>
        <w:p w14:paraId="442ADF76" w14:textId="77777777" w:rsidR="00636EC7" w:rsidRDefault="00636EC7" w:rsidP="00636EC7">
          <w:pPr>
            <w:pStyle w:val="Header"/>
          </w:pPr>
          <w:r>
            <w:t>Sydney NSW 2000</w:t>
          </w:r>
        </w:p>
        <w:p w14:paraId="3BCB9B71" w14:textId="77777777" w:rsidR="00636EC7" w:rsidRDefault="00636EC7" w:rsidP="00636EC7">
          <w:pPr>
            <w:pStyle w:val="Header"/>
          </w:pPr>
          <w:r>
            <w:t>Australia</w:t>
          </w:r>
        </w:p>
        <w:p w14:paraId="0D171545" w14:textId="77777777" w:rsidR="00636EC7" w:rsidRDefault="00636EC7" w:rsidP="00636EC7">
          <w:pPr>
            <w:pStyle w:val="Header"/>
          </w:pPr>
          <w:r>
            <w:t>+61 2 9249 2900</w:t>
          </w:r>
        </w:p>
        <w:p w14:paraId="4997BC07" w14:textId="77777777" w:rsidR="00636EC7" w:rsidRDefault="00636EC7" w:rsidP="00636EC7">
          <w:pPr>
            <w:pStyle w:val="Headerheading"/>
            <w:framePr w:hSpace="0" w:wrap="auto" w:vAnchor="margin" w:xAlign="left" w:yAlign="inline"/>
            <w:suppressOverlap w:val="0"/>
          </w:pPr>
          <w:r w:rsidRPr="00AD742F">
            <w:t>Melbourne</w:t>
          </w:r>
        </w:p>
        <w:p w14:paraId="5D1528B7" w14:textId="77777777" w:rsidR="00636EC7" w:rsidRDefault="00636EC7" w:rsidP="00636EC7">
          <w:pPr>
            <w:pStyle w:val="Header"/>
          </w:pPr>
          <w:r>
            <w:t>Level 27/459 Collins St</w:t>
          </w:r>
        </w:p>
        <w:p w14:paraId="0FC7DBF6" w14:textId="77777777" w:rsidR="00636EC7" w:rsidRDefault="00636EC7" w:rsidP="00636EC7">
          <w:pPr>
            <w:pStyle w:val="Header"/>
          </w:pPr>
          <w:r>
            <w:t>Melbourne VIC 3000</w:t>
          </w:r>
        </w:p>
        <w:p w14:paraId="014E19EE" w14:textId="77777777" w:rsidR="00636EC7" w:rsidRDefault="00636EC7" w:rsidP="00636EC7">
          <w:pPr>
            <w:pStyle w:val="Header"/>
          </w:pPr>
          <w:r>
            <w:t>Australia</w:t>
          </w:r>
        </w:p>
        <w:p w14:paraId="2C455D5C" w14:textId="77777777" w:rsidR="00636EC7" w:rsidRDefault="00636EC7" w:rsidP="00636EC7">
          <w:pPr>
            <w:pStyle w:val="Header"/>
          </w:pPr>
          <w:r>
            <w:t>+61 3 9658 2333</w:t>
          </w:r>
        </w:p>
        <w:p w14:paraId="7C1B581A" w14:textId="77777777" w:rsidR="00636EC7" w:rsidRDefault="00636EC7" w:rsidP="00636EC7">
          <w:pPr>
            <w:pStyle w:val="Headerheading"/>
            <w:framePr w:hSpace="0" w:wrap="auto" w:vAnchor="margin" w:xAlign="left" w:yAlign="inline"/>
            <w:suppressOverlap w:val="0"/>
          </w:pPr>
          <w:r>
            <w:t>Wellington</w:t>
          </w:r>
        </w:p>
        <w:p w14:paraId="400FE64D" w14:textId="77777777" w:rsidR="00636EC7" w:rsidRDefault="00636EC7" w:rsidP="00636EC7">
          <w:pPr>
            <w:pStyle w:val="Header"/>
          </w:pPr>
          <w:r>
            <w:t>Level 3/166 Featherston St</w:t>
          </w:r>
        </w:p>
        <w:p w14:paraId="3D02FC27" w14:textId="77777777" w:rsidR="00636EC7" w:rsidRDefault="00636EC7" w:rsidP="00636EC7">
          <w:pPr>
            <w:pStyle w:val="Header"/>
          </w:pPr>
          <w:r>
            <w:t>Wellington 6011</w:t>
          </w:r>
        </w:p>
        <w:p w14:paraId="36903863" w14:textId="77777777" w:rsidR="00636EC7" w:rsidRDefault="00636EC7" w:rsidP="00636EC7">
          <w:pPr>
            <w:pStyle w:val="Header"/>
          </w:pPr>
          <w:r>
            <w:t>New Zealand</w:t>
          </w:r>
        </w:p>
        <w:p w14:paraId="55D00E19" w14:textId="77777777" w:rsidR="00636EC7" w:rsidRDefault="00636EC7" w:rsidP="00636EC7">
          <w:pPr>
            <w:pStyle w:val="Header"/>
          </w:pPr>
          <w:r>
            <w:t>+64 4 974 5562</w:t>
          </w:r>
        </w:p>
      </w:tc>
    </w:tr>
  </w:tbl>
  <w:p w14:paraId="301B9EF1" w14:textId="4EB5C62E" w:rsidR="002A687C" w:rsidRDefault="00636EC7">
    <w:pPr>
      <w:pStyle w:val="Header"/>
    </w:pPr>
    <w:r>
      <w:drawing>
        <wp:anchor distT="0" distB="0" distL="114300" distR="114300" simplePos="0" relativeHeight="251684864" behindDoc="1" locked="1" layoutInCell="1" allowOverlap="1" wp14:anchorId="3856AD74" wp14:editId="53AF8EFE">
          <wp:simplePos x="0" y="0"/>
          <wp:positionH relativeFrom="page">
            <wp:posOffset>26035</wp:posOffset>
          </wp:positionH>
          <wp:positionV relativeFrom="page">
            <wp:posOffset>24130</wp:posOffset>
          </wp:positionV>
          <wp:extent cx="7559040" cy="10688320"/>
          <wp:effectExtent l="0" t="0" r="3810" b="0"/>
          <wp:wrapNone/>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pic:nvPicPr>
                <pic:blipFill>
                  <a:blip r:embed="rId1"/>
                  <a:stretch>
                    <a:fillRect/>
                  </a:stretch>
                </pic:blipFill>
                <pic:spPr>
                  <a:xfrm>
                    <a:off x="0" y="0"/>
                    <a:ext cx="7559040" cy="1068832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7FB1B" w14:textId="25065B72" w:rsidR="002A687C" w:rsidRDefault="002A68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69CAFC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E82439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7A840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5D2036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B24E6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EFA08E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EFAE5CA"/>
    <w:lvl w:ilvl="0">
      <w:start w:val="1"/>
      <w:numFmt w:val="bullet"/>
      <w:pStyle w:val="ListBullet3"/>
      <w:lvlText w:val="–"/>
      <w:lvlJc w:val="left"/>
      <w:pPr>
        <w:ind w:left="1072" w:hanging="358"/>
      </w:pPr>
      <w:rPr>
        <w:rFonts w:ascii="Calibri" w:hAnsi="Calibri" w:hint="default"/>
      </w:rPr>
    </w:lvl>
  </w:abstractNum>
  <w:abstractNum w:abstractNumId="7" w15:restartNumberingAfterBreak="0">
    <w:nsid w:val="FFFFFF83"/>
    <w:multiLevelType w:val="singleLevel"/>
    <w:tmpl w:val="37A2CCDE"/>
    <w:lvl w:ilvl="0">
      <w:start w:val="1"/>
      <w:numFmt w:val="bullet"/>
      <w:pStyle w:val="ListBullet2"/>
      <w:lvlText w:val="–"/>
      <w:lvlJc w:val="left"/>
      <w:pPr>
        <w:ind w:left="357" w:firstLine="0"/>
      </w:pPr>
      <w:rPr>
        <w:rFonts w:ascii="Calibri" w:hAnsi="Calibri" w:hint="default"/>
      </w:rPr>
    </w:lvl>
  </w:abstractNum>
  <w:abstractNum w:abstractNumId="8" w15:restartNumberingAfterBreak="0">
    <w:nsid w:val="FFFFFF88"/>
    <w:multiLevelType w:val="singleLevel"/>
    <w:tmpl w:val="9452B0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EC676CE"/>
    <w:lvl w:ilvl="0">
      <w:start w:val="1"/>
      <w:numFmt w:val="bullet"/>
      <w:pStyle w:val="ListBullet"/>
      <w:lvlText w:val=""/>
      <w:lvlJc w:val="left"/>
      <w:pPr>
        <w:ind w:left="360" w:hanging="360"/>
      </w:pPr>
      <w:rPr>
        <w:rFonts w:ascii="Wingdings" w:hAnsi="Wingdings" w:hint="default"/>
      </w:rPr>
    </w:lvl>
  </w:abstractNum>
  <w:abstractNum w:abstractNumId="10" w15:restartNumberingAfterBreak="0">
    <w:nsid w:val="06284C84"/>
    <w:multiLevelType w:val="hybridMultilevel"/>
    <w:tmpl w:val="5F000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663607"/>
    <w:multiLevelType w:val="multilevel"/>
    <w:tmpl w:val="D792B0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06773B64"/>
    <w:multiLevelType w:val="multilevel"/>
    <w:tmpl w:val="13B6A8D2"/>
    <w:lvl w:ilvl="0">
      <w:start w:val="1"/>
      <w:numFmt w:val="decimal"/>
      <w:lvlText w:val="Table %1."/>
      <w:lvlJc w:val="left"/>
      <w:pPr>
        <w:ind w:left="360" w:hanging="360"/>
      </w:pPr>
      <w:rPr>
        <w:rFonts w:hint="default"/>
        <w:b/>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09ED0C58"/>
    <w:multiLevelType w:val="hybridMultilevel"/>
    <w:tmpl w:val="5B428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C193FF8"/>
    <w:multiLevelType w:val="hybridMultilevel"/>
    <w:tmpl w:val="7D3A8EDA"/>
    <w:lvl w:ilvl="0" w:tplc="B8367942">
      <w:start w:val="7"/>
      <w:numFmt w:val="decimal"/>
      <w:lvlText w:val="(%1)"/>
      <w:lvlJc w:val="left"/>
      <w:pPr>
        <w:ind w:left="720" w:hanging="360"/>
      </w:pPr>
      <w:rPr>
        <w:rFonts w:hint="default"/>
        <w:color w:val="006EC8" w:themeColor="accen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3123C1B"/>
    <w:multiLevelType w:val="multilevel"/>
    <w:tmpl w:val="4F444514"/>
    <w:lvl w:ilvl="0">
      <w:start w:val="1"/>
      <w:numFmt w:val="decimal"/>
      <w:lvlText w:val="%1."/>
      <w:lvlJc w:val="left"/>
      <w:pPr>
        <w:ind w:left="360" w:hanging="360"/>
      </w:pPr>
      <w:rPr>
        <w:rFonts w:hint="default"/>
        <w:b w:val="0"/>
        <w:i w:val="0"/>
      </w:rPr>
    </w:lvl>
    <w:lvl w:ilvl="1">
      <w:start w:val="1"/>
      <w:numFmt w:val="decimal"/>
      <w:lvlText w:val="Figure %1-%2"/>
      <w:lvlJc w:val="left"/>
      <w:pPr>
        <w:ind w:left="792" w:hanging="432"/>
      </w:pPr>
      <w:rPr>
        <w:rFonts w:hint="default"/>
        <w:b/>
        <w:i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EE87360"/>
    <w:multiLevelType w:val="multilevel"/>
    <w:tmpl w:val="EC8680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22D616D3"/>
    <w:multiLevelType w:val="hybridMultilevel"/>
    <w:tmpl w:val="A8869424"/>
    <w:lvl w:ilvl="0" w:tplc="1C38D074">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052397D"/>
    <w:multiLevelType w:val="multilevel"/>
    <w:tmpl w:val="BD9A69B2"/>
    <w:lvl w:ilvl="0">
      <w:start w:val="1"/>
      <w:numFmt w:val="upperLetter"/>
      <w:pStyle w:val="Heading5"/>
      <w:lvlText w:val="Appendix %1"/>
      <w:lvlJc w:val="left"/>
      <w:pPr>
        <w:ind w:left="0" w:firstLine="0"/>
      </w:pPr>
      <w:rPr>
        <w:rFonts w:hint="default"/>
      </w:rPr>
    </w:lvl>
    <w:lvl w:ilvl="1">
      <w:start w:val="1"/>
      <w:numFmt w:val="decimal"/>
      <w:pStyle w:val="Heading6"/>
      <w:lvlText w:val="%1.%2"/>
      <w:lvlJc w:val="left"/>
      <w:pPr>
        <w:tabs>
          <w:tab w:val="num" w:pos="851"/>
        </w:tabs>
        <w:ind w:left="851" w:hanging="851"/>
      </w:pPr>
      <w:rPr>
        <w:rFonts w:hint="default"/>
      </w:rPr>
    </w:lvl>
    <w:lvl w:ilvl="2">
      <w:start w:val="1"/>
      <w:numFmt w:val="decimal"/>
      <w:pStyle w:val="Heading7"/>
      <w:lvlText w:val="%1.%2.%3"/>
      <w:lvlJc w:val="left"/>
      <w:pPr>
        <w:tabs>
          <w:tab w:val="num" w:pos="851"/>
        </w:tabs>
        <w:ind w:left="851" w:hanging="851"/>
      </w:pPr>
      <w:rPr>
        <w:rFonts w:hint="default"/>
      </w:rPr>
    </w:lvl>
    <w:lvl w:ilvl="3">
      <w:start w:val="1"/>
      <w:numFmt w:val="decimal"/>
      <w:pStyle w:val="Heading8"/>
      <w:lvlText w:val="%1.%2.%3.%4"/>
      <w:lvlJc w:val="left"/>
      <w:pPr>
        <w:ind w:left="851" w:hanging="851"/>
      </w:pPr>
      <w:rPr>
        <w:rFonts w:hint="default"/>
      </w:rPr>
    </w:lvl>
    <w:lvl w:ilvl="4">
      <w:start w:val="1"/>
      <w:numFmt w:val="decimal"/>
      <w:lvlRestart w:val="2"/>
      <w:lvlText w:val="Figure %1.%2.%5"/>
      <w:lvlJc w:val="left"/>
      <w:pPr>
        <w:ind w:left="1418" w:hanging="1418"/>
      </w:pPr>
      <w:rPr>
        <w:rFonts w:hint="default"/>
        <w:b/>
        <w:i w:val="0"/>
      </w:rPr>
    </w:lvl>
    <w:lvl w:ilvl="5">
      <w:start w:val="1"/>
      <w:numFmt w:val="decimal"/>
      <w:lvlRestart w:val="2"/>
      <w:lvlText w:val="Table %1.%2.%6"/>
      <w:lvlJc w:val="left"/>
      <w:pPr>
        <w:ind w:left="1418" w:hanging="1418"/>
      </w:pPr>
      <w:rPr>
        <w:rFonts w:hint="default"/>
        <w:b/>
        <w:i w:val="0"/>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9" w15:restartNumberingAfterBreak="0">
    <w:nsid w:val="4D736DDB"/>
    <w:multiLevelType w:val="multilevel"/>
    <w:tmpl w:val="73701E68"/>
    <w:lvl w:ilvl="0">
      <w:start w:val="1"/>
      <w:numFmt w:val="decimal"/>
      <w:pStyle w:val="Heading1"/>
      <w:lvlText w:val="%1"/>
      <w:lvlJc w:val="left"/>
      <w:pPr>
        <w:ind w:left="851" w:hanging="851"/>
      </w:pPr>
      <w:rPr>
        <w:rFonts w:hint="default"/>
        <w:sz w:val="36"/>
        <w:szCs w:val="36"/>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b w:val="0"/>
        <w:i w:val="0"/>
      </w:rPr>
    </w:lvl>
    <w:lvl w:ilvl="4">
      <w:start w:val="1"/>
      <w:numFmt w:val="upperLetter"/>
      <w:lvlText w:val="%5"/>
      <w:lvlJc w:val="left"/>
      <w:pPr>
        <w:ind w:left="851" w:hanging="851"/>
      </w:pPr>
      <w:rPr>
        <w:rFonts w:hint="default"/>
        <w:b w:val="0"/>
        <w:i w:val="0"/>
      </w:rPr>
    </w:lvl>
    <w:lvl w:ilvl="5">
      <w:start w:val="1"/>
      <w:numFmt w:val="decimal"/>
      <w:lvlRestart w:val="1"/>
      <w:lvlText w:val="%5.%6"/>
      <w:lvlJc w:val="left"/>
      <w:pPr>
        <w:ind w:left="851" w:hanging="851"/>
      </w:pPr>
      <w:rPr>
        <w:rFonts w:hint="default"/>
        <w:b w:val="0"/>
        <w:i w:val="0"/>
      </w:rPr>
    </w:lvl>
    <w:lvl w:ilvl="6">
      <w:start w:val="1"/>
      <w:numFmt w:val="decimal"/>
      <w:lvlText w:val="%5.%6.%7"/>
      <w:lvlJc w:val="left"/>
      <w:pPr>
        <w:ind w:left="851" w:hanging="851"/>
      </w:pPr>
      <w:rPr>
        <w:rFonts w:hint="default"/>
        <w:color w:val="auto"/>
      </w:rPr>
    </w:lvl>
    <w:lvl w:ilvl="7">
      <w:start w:val="1"/>
      <w:numFmt w:val="decimal"/>
      <w:lvlText w:val="%5.%6.%7.%8"/>
      <w:lvlJc w:val="left"/>
      <w:pPr>
        <w:ind w:left="851" w:hanging="851"/>
      </w:pPr>
      <w:rPr>
        <w:rFonts w:hint="default"/>
        <w:color w:val="auto"/>
      </w:rPr>
    </w:lvl>
    <w:lvl w:ilvl="8">
      <w:start w:val="1"/>
      <w:numFmt w:val="none"/>
      <w:lvlText w:val="%9"/>
      <w:lvlJc w:val="left"/>
      <w:pPr>
        <w:ind w:left="0" w:firstLine="0"/>
      </w:pPr>
      <w:rPr>
        <w:rFonts w:hint="default"/>
        <w:color w:val="006EC8" w:themeColor="accent1"/>
      </w:rPr>
    </w:lvl>
  </w:abstractNum>
  <w:abstractNum w:abstractNumId="20" w15:restartNumberingAfterBreak="0">
    <w:nsid w:val="4E502148"/>
    <w:multiLevelType w:val="multilevel"/>
    <w:tmpl w:val="139A5408"/>
    <w:lvl w:ilvl="0">
      <w:start w:val="1"/>
      <w:numFmt w:val="none"/>
      <w:pStyle w:val="Tablenotesorsource"/>
      <w:lvlText w:val="%1"/>
      <w:lvlJc w:val="left"/>
      <w:pPr>
        <w:ind w:left="0" w:firstLine="0"/>
      </w:pPr>
      <w:rPr>
        <w:rFonts w:hint="default"/>
      </w:rPr>
    </w:lvl>
    <w:lvl w:ilvl="1">
      <w:start w:val="1"/>
      <w:numFmt w:val="lowerLetter"/>
      <w:pStyle w:val="Tablenotesnumbers"/>
      <w:lvlText w:val="%1(%2)"/>
      <w:lvlJc w:val="left"/>
      <w:pPr>
        <w:ind w:left="0" w:firstLine="0"/>
      </w:pPr>
    </w:lvl>
    <w:lvl w:ilvl="2">
      <w:start w:val="1"/>
      <w:numFmt w:val="none"/>
      <w:lvlText w:val="%1"/>
      <w:lvlJc w:val="left"/>
      <w:pPr>
        <w:ind w:left="0" w:firstLine="0"/>
      </w:pPr>
      <w:rPr>
        <w:rFonts w:hint="default"/>
      </w:rPr>
    </w:lvl>
    <w:lvl w:ilvl="3">
      <w:start w:val="1"/>
      <w:numFmt w:val="none"/>
      <w:lvlText w:val="%1"/>
      <w:lvlJc w:val="left"/>
      <w:pPr>
        <w:ind w:left="0" w:firstLine="0"/>
      </w:pPr>
      <w:rPr>
        <w:rFonts w:hint="default"/>
      </w:rPr>
    </w:lvl>
    <w:lvl w:ilvl="4">
      <w:start w:val="1"/>
      <w:numFmt w:val="none"/>
      <w:lvlText w:val="%1"/>
      <w:lvlJc w:val="left"/>
      <w:pPr>
        <w:ind w:left="0" w:firstLine="0"/>
      </w:pPr>
      <w:rPr>
        <w:rFonts w:hint="default"/>
      </w:rPr>
    </w:lvl>
    <w:lvl w:ilvl="5">
      <w:start w:val="1"/>
      <w:numFmt w:val="none"/>
      <w:lvlText w:val="%1"/>
      <w:lvlJc w:val="left"/>
      <w:pPr>
        <w:ind w:left="0" w:firstLine="0"/>
      </w:pPr>
      <w:rPr>
        <w:rFonts w:hint="default"/>
      </w:rPr>
    </w:lvl>
    <w:lvl w:ilvl="6">
      <w:start w:val="1"/>
      <w:numFmt w:val="none"/>
      <w:lvlText w:val="%1"/>
      <w:lvlJc w:val="left"/>
      <w:pPr>
        <w:ind w:left="0" w:firstLine="0"/>
      </w:pPr>
      <w:rPr>
        <w:rFonts w:hint="default"/>
      </w:rPr>
    </w:lvl>
    <w:lvl w:ilvl="7">
      <w:start w:val="1"/>
      <w:numFmt w:val="none"/>
      <w:lvlText w:val="%1"/>
      <w:lvlJc w:val="left"/>
      <w:pPr>
        <w:ind w:left="0" w:firstLine="0"/>
      </w:pPr>
      <w:rPr>
        <w:rFonts w:hint="default"/>
      </w:rPr>
    </w:lvl>
    <w:lvl w:ilvl="8">
      <w:start w:val="1"/>
      <w:numFmt w:val="none"/>
      <w:lvlText w:val="%1"/>
      <w:lvlJc w:val="left"/>
      <w:pPr>
        <w:ind w:left="0" w:firstLine="0"/>
      </w:pPr>
      <w:rPr>
        <w:rFonts w:hint="default"/>
      </w:rPr>
    </w:lvl>
  </w:abstractNum>
  <w:abstractNum w:abstractNumId="21" w15:restartNumberingAfterBreak="0">
    <w:nsid w:val="521B1AFA"/>
    <w:multiLevelType w:val="hybridMultilevel"/>
    <w:tmpl w:val="CB1A5FBA"/>
    <w:lvl w:ilvl="0" w:tplc="E4169E06">
      <w:start w:val="7"/>
      <w:numFmt w:val="bullet"/>
      <w:lvlText w:val="-"/>
      <w:lvlJc w:val="left"/>
      <w:pPr>
        <w:ind w:left="720" w:hanging="360"/>
      </w:pPr>
      <w:rPr>
        <w:rFonts w:ascii="Blanco" w:eastAsiaTheme="minorHAnsi" w:hAnsi="Blanco"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2972DF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59621E6"/>
    <w:multiLevelType w:val="hybridMultilevel"/>
    <w:tmpl w:val="7B6678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99593A"/>
    <w:multiLevelType w:val="hybridMultilevel"/>
    <w:tmpl w:val="66763F78"/>
    <w:lvl w:ilvl="0" w:tplc="14DA54B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AEB207C"/>
    <w:multiLevelType w:val="multilevel"/>
    <w:tmpl w:val="582E5BB2"/>
    <w:lvl w:ilvl="0">
      <w:start w:val="1"/>
      <w:numFmt w:val="bullet"/>
      <w:pStyle w:val="Bullet1"/>
      <w:lvlText w:val=""/>
      <w:lvlJc w:val="left"/>
      <w:pPr>
        <w:ind w:left="360" w:hanging="360"/>
      </w:pPr>
      <w:rPr>
        <w:rFonts w:ascii="Wingdings" w:hAnsi="Wingdings" w:hint="default"/>
        <w:color w:val="006EC8" w:themeColor="accent1"/>
      </w:rPr>
    </w:lvl>
    <w:lvl w:ilvl="1">
      <w:start w:val="1"/>
      <w:numFmt w:val="bullet"/>
      <w:pStyle w:val="Bullet2"/>
      <w:lvlText w:val="–"/>
      <w:lvlJc w:val="left"/>
      <w:pPr>
        <w:ind w:left="714" w:hanging="354"/>
      </w:pPr>
      <w:rPr>
        <w:rFonts w:ascii="Calibri" w:hAnsi="Calibri" w:hint="default"/>
        <w:color w:val="006EC8" w:themeColor="accent1"/>
      </w:rPr>
    </w:lvl>
    <w:lvl w:ilvl="2">
      <w:start w:val="1"/>
      <w:numFmt w:val="bullet"/>
      <w:pStyle w:val="Bullet3"/>
      <w:lvlText w:val="–"/>
      <w:lvlJc w:val="left"/>
      <w:pPr>
        <w:ind w:left="1072" w:hanging="358"/>
      </w:pPr>
      <w:rPr>
        <w:rFonts w:ascii="Calibri" w:hAnsi="Calibri"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62227ADD"/>
    <w:multiLevelType w:val="hybridMultilevel"/>
    <w:tmpl w:val="2BF259C0"/>
    <w:lvl w:ilvl="0" w:tplc="C88E8C26">
      <w:start w:val="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C8A3942"/>
    <w:multiLevelType w:val="multilevel"/>
    <w:tmpl w:val="64B85912"/>
    <w:lvl w:ilvl="0">
      <w:start w:val="1"/>
      <w:numFmt w:val="none"/>
      <w:pStyle w:val="Sectiontitle"/>
      <w:suff w:val="nothing"/>
      <w:lvlText w:val=""/>
      <w:lvlJc w:val="left"/>
      <w:pPr>
        <w:ind w:left="0" w:firstLine="0"/>
      </w:pPr>
      <w:rPr>
        <w:rFonts w:hint="default"/>
      </w:rPr>
    </w:lvl>
    <w:lvl w:ilvl="1">
      <w:start w:val="1"/>
      <w:numFmt w:val="decimal"/>
      <w:pStyle w:val="Subparagraph1"/>
      <w:lvlText w:val="%1%2."/>
      <w:lvlJc w:val="left"/>
      <w:pPr>
        <w:ind w:left="357" w:hanging="357"/>
      </w:pPr>
      <w:rPr>
        <w:rFonts w:hint="default"/>
        <w:color w:val="006EC8" w:themeColor="accent1"/>
      </w:rPr>
    </w:lvl>
    <w:lvl w:ilvl="2">
      <w:start w:val="1"/>
      <w:numFmt w:val="lowerLetter"/>
      <w:pStyle w:val="Subparagraph2"/>
      <w:lvlText w:val="%1%3."/>
      <w:lvlJc w:val="left"/>
      <w:pPr>
        <w:tabs>
          <w:tab w:val="num" w:pos="357"/>
        </w:tabs>
        <w:ind w:left="357" w:firstLine="0"/>
      </w:pPr>
      <w:rPr>
        <w:rFonts w:hint="default"/>
        <w:color w:val="006EC8" w:themeColor="accent1"/>
      </w:rPr>
    </w:lvl>
    <w:lvl w:ilvl="3">
      <w:start w:val="1"/>
      <w:numFmt w:val="lowerRoman"/>
      <w:pStyle w:val="Subparagraph3"/>
      <w:lvlText w:val="%1%4."/>
      <w:lvlJc w:val="left"/>
      <w:pPr>
        <w:tabs>
          <w:tab w:val="num" w:pos="714"/>
        </w:tabs>
        <w:ind w:left="357" w:firstLine="357"/>
      </w:pPr>
      <w:rPr>
        <w:rFonts w:hint="default"/>
        <w:color w:val="006EC8" w:themeColor="accent1"/>
      </w:rPr>
    </w:lvl>
    <w:lvl w:ilvl="4">
      <w:start w:val="1"/>
      <w:numFmt w:val="none"/>
      <w:lvlText w:val="%1"/>
      <w:lvlJc w:val="left"/>
      <w:pPr>
        <w:ind w:left="0" w:firstLine="0"/>
      </w:pPr>
      <w:rPr>
        <w:rFonts w:hint="default"/>
      </w:rPr>
    </w:lvl>
    <w:lvl w:ilvl="5">
      <w:start w:val="1"/>
      <w:numFmt w:val="none"/>
      <w:lvlText w:val="%1"/>
      <w:lvlJc w:val="left"/>
      <w:pPr>
        <w:ind w:left="0" w:firstLine="0"/>
      </w:pPr>
      <w:rPr>
        <w:rFonts w:hint="default"/>
      </w:rPr>
    </w:lvl>
    <w:lvl w:ilvl="6">
      <w:start w:val="1"/>
      <w:numFmt w:val="none"/>
      <w:lvlText w:val="%1"/>
      <w:lvlJc w:val="left"/>
      <w:pPr>
        <w:ind w:left="0" w:firstLine="0"/>
      </w:pPr>
      <w:rPr>
        <w:rFonts w:hint="default"/>
      </w:rPr>
    </w:lvl>
    <w:lvl w:ilvl="7">
      <w:start w:val="1"/>
      <w:numFmt w:val="none"/>
      <w:lvlText w:val="%1"/>
      <w:lvlJc w:val="left"/>
      <w:pPr>
        <w:ind w:left="0" w:firstLine="0"/>
      </w:pPr>
      <w:rPr>
        <w:rFonts w:hint="default"/>
      </w:rPr>
    </w:lvl>
    <w:lvl w:ilvl="8">
      <w:start w:val="1"/>
      <w:numFmt w:val="none"/>
      <w:lvlText w:val="%1"/>
      <w:lvlJc w:val="left"/>
      <w:pPr>
        <w:ind w:left="0" w:firstLine="0"/>
      </w:pPr>
      <w:rPr>
        <w:rFonts w:hint="default"/>
      </w:rPr>
    </w:lvl>
  </w:abstractNum>
  <w:abstractNum w:abstractNumId="28" w15:restartNumberingAfterBreak="0">
    <w:nsid w:val="71A64D90"/>
    <w:multiLevelType w:val="multilevel"/>
    <w:tmpl w:val="72D0282A"/>
    <w:lvl w:ilvl="0">
      <w:start w:val="1"/>
      <w:numFmt w:val="decimal"/>
      <w:lvlText w:val="%1."/>
      <w:lvlJc w:val="left"/>
      <w:pPr>
        <w:ind w:left="360" w:hanging="360"/>
      </w:pPr>
      <w:rPr>
        <w:rFonts w:hint="default"/>
        <w:color w:val="006EC8" w:themeColor="accent1"/>
      </w:rPr>
    </w:lvl>
    <w:lvl w:ilvl="1">
      <w:start w:val="1"/>
      <w:numFmt w:val="lowerLetter"/>
      <w:lvlText w:val="%2."/>
      <w:lvlJc w:val="left"/>
      <w:pPr>
        <w:ind w:left="357" w:firstLine="3"/>
      </w:pPr>
      <w:rPr>
        <w:rFonts w:hint="default"/>
        <w:color w:val="006EC8" w:themeColor="accent1"/>
      </w:rPr>
    </w:lvl>
    <w:lvl w:ilvl="2">
      <w:start w:val="1"/>
      <w:numFmt w:val="lowerRoman"/>
      <w:lvlText w:val="%3."/>
      <w:lvlJc w:val="left"/>
      <w:pPr>
        <w:ind w:left="357" w:firstLine="357"/>
      </w:pPr>
      <w:rPr>
        <w:rFonts w:hint="default"/>
        <w:color w:val="006EC8" w:themeColor="accent1"/>
      </w:rPr>
    </w:lvl>
    <w:lvl w:ilvl="3">
      <w:start w:val="1"/>
      <w:numFmt w:val="none"/>
      <w:lvlText w:val=""/>
      <w:lvlJc w:val="left"/>
      <w:pPr>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9" w15:restartNumberingAfterBreak="0">
    <w:nsid w:val="75580576"/>
    <w:multiLevelType w:val="hybridMultilevel"/>
    <w:tmpl w:val="49BE5322"/>
    <w:lvl w:ilvl="0" w:tplc="C88E8C26">
      <w:start w:val="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7275C4E"/>
    <w:multiLevelType w:val="hybridMultilevel"/>
    <w:tmpl w:val="E1CE3A1C"/>
    <w:lvl w:ilvl="0" w:tplc="0C090001">
      <w:start w:val="1"/>
      <w:numFmt w:val="bullet"/>
      <w:lvlText w:val=""/>
      <w:lvlJc w:val="left"/>
      <w:pPr>
        <w:ind w:left="764" w:hanging="360"/>
      </w:pPr>
      <w:rPr>
        <w:rFonts w:ascii="Symbol" w:hAnsi="Symbol"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num w:numId="1">
    <w:abstractNumId w:val="9"/>
  </w:num>
  <w:num w:numId="2">
    <w:abstractNumId w:val="7"/>
  </w:num>
  <w:num w:numId="3">
    <w:abstractNumId w:val="6"/>
  </w:num>
  <w:num w:numId="4">
    <w:abstractNumId w:val="7"/>
    <w:lvlOverride w:ilvl="0">
      <w:startOverride w:val="1"/>
    </w:lvlOverride>
  </w:num>
  <w:num w:numId="5">
    <w:abstractNumId w:val="6"/>
    <w:lvlOverride w:ilvl="0">
      <w:startOverride w:val="1"/>
    </w:lvlOverride>
  </w:num>
  <w:num w:numId="6">
    <w:abstractNumId w:val="7"/>
    <w:lvlOverride w:ilvl="0">
      <w:startOverride w:val="1"/>
    </w:lvlOverride>
  </w:num>
  <w:num w:numId="7">
    <w:abstractNumId w:val="6"/>
    <w:lvlOverride w:ilvl="0">
      <w:startOverride w:val="1"/>
    </w:lvlOverride>
  </w:num>
  <w:num w:numId="8">
    <w:abstractNumId w:val="18"/>
  </w:num>
  <w:num w:numId="9">
    <w:abstractNumId w:val="19"/>
  </w:num>
  <w:num w:numId="10">
    <w:abstractNumId w:val="15"/>
  </w:num>
  <w:num w:numId="11">
    <w:abstractNumId w:val="12"/>
  </w:num>
  <w:num w:numId="12">
    <w:abstractNumId w:val="25"/>
  </w:num>
  <w:num w:numId="13">
    <w:abstractNumId w:val="20"/>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2"/>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16"/>
  </w:num>
  <w:num w:numId="30">
    <w:abstractNumId w:val="11"/>
  </w:num>
  <w:num w:numId="31">
    <w:abstractNumId w:val="23"/>
  </w:num>
  <w:num w:numId="32">
    <w:abstractNumId w:val="26"/>
  </w:num>
  <w:num w:numId="33">
    <w:abstractNumId w:val="29"/>
  </w:num>
  <w:num w:numId="34">
    <w:abstractNumId w:val="10"/>
  </w:num>
  <w:num w:numId="35">
    <w:abstractNumId w:val="13"/>
  </w:num>
  <w:num w:numId="36">
    <w:abstractNumId w:val="30"/>
  </w:num>
  <w:num w:numId="37">
    <w:abstractNumId w:val="17"/>
  </w:num>
  <w:num w:numId="38">
    <w:abstractNumId w:val="21"/>
  </w:num>
  <w:num w:numId="39">
    <w:abstractNumId w:val="25"/>
  </w:num>
  <w:num w:numId="40">
    <w:abstractNumId w:val="25"/>
  </w:num>
  <w:num w:numId="41">
    <w:abstractNumId w:val="14"/>
  </w:num>
  <w:num w:numId="4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embedTrueType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20C9"/>
    <w:rsid w:val="0000064B"/>
    <w:rsid w:val="00001801"/>
    <w:rsid w:val="0000318A"/>
    <w:rsid w:val="00004FB6"/>
    <w:rsid w:val="0000781D"/>
    <w:rsid w:val="00014391"/>
    <w:rsid w:val="00014B9B"/>
    <w:rsid w:val="00015430"/>
    <w:rsid w:val="00016686"/>
    <w:rsid w:val="000171F0"/>
    <w:rsid w:val="00017D74"/>
    <w:rsid w:val="00020D55"/>
    <w:rsid w:val="000211C1"/>
    <w:rsid w:val="00023142"/>
    <w:rsid w:val="00023E69"/>
    <w:rsid w:val="00024698"/>
    <w:rsid w:val="00026FDC"/>
    <w:rsid w:val="00033E97"/>
    <w:rsid w:val="000346B4"/>
    <w:rsid w:val="000370EE"/>
    <w:rsid w:val="00037EF0"/>
    <w:rsid w:val="000414EF"/>
    <w:rsid w:val="00043BC4"/>
    <w:rsid w:val="000440FC"/>
    <w:rsid w:val="00044764"/>
    <w:rsid w:val="00044C25"/>
    <w:rsid w:val="00044EB4"/>
    <w:rsid w:val="0004762D"/>
    <w:rsid w:val="00051135"/>
    <w:rsid w:val="0005171F"/>
    <w:rsid w:val="000558D3"/>
    <w:rsid w:val="0005603E"/>
    <w:rsid w:val="000605D7"/>
    <w:rsid w:val="00061AA1"/>
    <w:rsid w:val="000632E0"/>
    <w:rsid w:val="0006455A"/>
    <w:rsid w:val="00064C3A"/>
    <w:rsid w:val="00065EFF"/>
    <w:rsid w:val="00066033"/>
    <w:rsid w:val="00072161"/>
    <w:rsid w:val="000729AF"/>
    <w:rsid w:val="0007482F"/>
    <w:rsid w:val="00075572"/>
    <w:rsid w:val="00084633"/>
    <w:rsid w:val="00086375"/>
    <w:rsid w:val="00086CAA"/>
    <w:rsid w:val="0008747D"/>
    <w:rsid w:val="00091668"/>
    <w:rsid w:val="000930D7"/>
    <w:rsid w:val="00093F6F"/>
    <w:rsid w:val="00095047"/>
    <w:rsid w:val="000965F4"/>
    <w:rsid w:val="00096CA9"/>
    <w:rsid w:val="000974B3"/>
    <w:rsid w:val="000975EB"/>
    <w:rsid w:val="00097D42"/>
    <w:rsid w:val="000A0F34"/>
    <w:rsid w:val="000A1527"/>
    <w:rsid w:val="000A3F39"/>
    <w:rsid w:val="000A4AB7"/>
    <w:rsid w:val="000A65EB"/>
    <w:rsid w:val="000B2CD7"/>
    <w:rsid w:val="000B31AB"/>
    <w:rsid w:val="000B5918"/>
    <w:rsid w:val="000B698F"/>
    <w:rsid w:val="000C0132"/>
    <w:rsid w:val="000C24D7"/>
    <w:rsid w:val="000C2B6F"/>
    <w:rsid w:val="000C38E1"/>
    <w:rsid w:val="000C5C48"/>
    <w:rsid w:val="000C6EC3"/>
    <w:rsid w:val="000D12A1"/>
    <w:rsid w:val="000D213F"/>
    <w:rsid w:val="000D2721"/>
    <w:rsid w:val="000E0C7E"/>
    <w:rsid w:val="000E140E"/>
    <w:rsid w:val="000E281E"/>
    <w:rsid w:val="000E575E"/>
    <w:rsid w:val="000E5F7C"/>
    <w:rsid w:val="000F1E12"/>
    <w:rsid w:val="000F1EBC"/>
    <w:rsid w:val="000F2BC7"/>
    <w:rsid w:val="000F3C4C"/>
    <w:rsid w:val="000F3F4A"/>
    <w:rsid w:val="000F57B5"/>
    <w:rsid w:val="000F6151"/>
    <w:rsid w:val="000F695F"/>
    <w:rsid w:val="00100E16"/>
    <w:rsid w:val="00102A53"/>
    <w:rsid w:val="00102D8A"/>
    <w:rsid w:val="00104CC0"/>
    <w:rsid w:val="00104D39"/>
    <w:rsid w:val="00105141"/>
    <w:rsid w:val="00106F85"/>
    <w:rsid w:val="00107B1F"/>
    <w:rsid w:val="00110779"/>
    <w:rsid w:val="00115F83"/>
    <w:rsid w:val="0012007A"/>
    <w:rsid w:val="00121E42"/>
    <w:rsid w:val="0012220F"/>
    <w:rsid w:val="00122975"/>
    <w:rsid w:val="00123148"/>
    <w:rsid w:val="001237F2"/>
    <w:rsid w:val="001240FE"/>
    <w:rsid w:val="001251E9"/>
    <w:rsid w:val="001275CA"/>
    <w:rsid w:val="001276AE"/>
    <w:rsid w:val="00131CDF"/>
    <w:rsid w:val="0013229B"/>
    <w:rsid w:val="00132A33"/>
    <w:rsid w:val="00132D7A"/>
    <w:rsid w:val="001330E5"/>
    <w:rsid w:val="00135394"/>
    <w:rsid w:val="00135C9C"/>
    <w:rsid w:val="001365C2"/>
    <w:rsid w:val="00137440"/>
    <w:rsid w:val="00137FBA"/>
    <w:rsid w:val="00140750"/>
    <w:rsid w:val="00140EFA"/>
    <w:rsid w:val="00140FA0"/>
    <w:rsid w:val="00143AB3"/>
    <w:rsid w:val="0014750C"/>
    <w:rsid w:val="00150D66"/>
    <w:rsid w:val="00151698"/>
    <w:rsid w:val="00151CEC"/>
    <w:rsid w:val="00154371"/>
    <w:rsid w:val="00154517"/>
    <w:rsid w:val="0015504F"/>
    <w:rsid w:val="00155196"/>
    <w:rsid w:val="00155C77"/>
    <w:rsid w:val="001605CF"/>
    <w:rsid w:val="00160620"/>
    <w:rsid w:val="00162233"/>
    <w:rsid w:val="0016592E"/>
    <w:rsid w:val="001666F0"/>
    <w:rsid w:val="0016721A"/>
    <w:rsid w:val="00167241"/>
    <w:rsid w:val="00167DFD"/>
    <w:rsid w:val="001702D2"/>
    <w:rsid w:val="00171A1C"/>
    <w:rsid w:val="001775F5"/>
    <w:rsid w:val="00177748"/>
    <w:rsid w:val="0018046F"/>
    <w:rsid w:val="00181A3B"/>
    <w:rsid w:val="00182988"/>
    <w:rsid w:val="00183538"/>
    <w:rsid w:val="0018354F"/>
    <w:rsid w:val="001838B4"/>
    <w:rsid w:val="00185C9E"/>
    <w:rsid w:val="00186C8C"/>
    <w:rsid w:val="00190A20"/>
    <w:rsid w:val="00193405"/>
    <w:rsid w:val="00193F00"/>
    <w:rsid w:val="00194918"/>
    <w:rsid w:val="001952D0"/>
    <w:rsid w:val="001A1468"/>
    <w:rsid w:val="001A3E4B"/>
    <w:rsid w:val="001A4807"/>
    <w:rsid w:val="001A5806"/>
    <w:rsid w:val="001A600D"/>
    <w:rsid w:val="001A7EC3"/>
    <w:rsid w:val="001B12DE"/>
    <w:rsid w:val="001B1917"/>
    <w:rsid w:val="001B241A"/>
    <w:rsid w:val="001B276F"/>
    <w:rsid w:val="001B7A59"/>
    <w:rsid w:val="001C02A0"/>
    <w:rsid w:val="001C13F1"/>
    <w:rsid w:val="001C177D"/>
    <w:rsid w:val="001C2868"/>
    <w:rsid w:val="001C2F30"/>
    <w:rsid w:val="001C4016"/>
    <w:rsid w:val="001D1A65"/>
    <w:rsid w:val="001D27FC"/>
    <w:rsid w:val="001D3357"/>
    <w:rsid w:val="001D38C6"/>
    <w:rsid w:val="001D565B"/>
    <w:rsid w:val="001E20F2"/>
    <w:rsid w:val="001E28D2"/>
    <w:rsid w:val="001E3729"/>
    <w:rsid w:val="001E3BD8"/>
    <w:rsid w:val="001E427D"/>
    <w:rsid w:val="001E5601"/>
    <w:rsid w:val="001E65F5"/>
    <w:rsid w:val="001E6F11"/>
    <w:rsid w:val="001E7B90"/>
    <w:rsid w:val="001F01A5"/>
    <w:rsid w:val="001F15C7"/>
    <w:rsid w:val="001F28B3"/>
    <w:rsid w:val="001F5811"/>
    <w:rsid w:val="002057E9"/>
    <w:rsid w:val="00205BA2"/>
    <w:rsid w:val="002135AC"/>
    <w:rsid w:val="002164DB"/>
    <w:rsid w:val="0021662B"/>
    <w:rsid w:val="002177DC"/>
    <w:rsid w:val="0022029D"/>
    <w:rsid w:val="00222510"/>
    <w:rsid w:val="00223741"/>
    <w:rsid w:val="0022376D"/>
    <w:rsid w:val="00224240"/>
    <w:rsid w:val="00224319"/>
    <w:rsid w:val="00224942"/>
    <w:rsid w:val="00224C9E"/>
    <w:rsid w:val="00226C3F"/>
    <w:rsid w:val="00227861"/>
    <w:rsid w:val="00227BC0"/>
    <w:rsid w:val="0023199F"/>
    <w:rsid w:val="00232FFF"/>
    <w:rsid w:val="00234591"/>
    <w:rsid w:val="00235249"/>
    <w:rsid w:val="00235E8A"/>
    <w:rsid w:val="002402A6"/>
    <w:rsid w:val="00240FEF"/>
    <w:rsid w:val="00242A7A"/>
    <w:rsid w:val="00243216"/>
    <w:rsid w:val="00243417"/>
    <w:rsid w:val="00243A1E"/>
    <w:rsid w:val="00243F4C"/>
    <w:rsid w:val="0024448D"/>
    <w:rsid w:val="00245C10"/>
    <w:rsid w:val="0024612E"/>
    <w:rsid w:val="00247844"/>
    <w:rsid w:val="00250068"/>
    <w:rsid w:val="002518D5"/>
    <w:rsid w:val="00252D1B"/>
    <w:rsid w:val="002537FC"/>
    <w:rsid w:val="002554BD"/>
    <w:rsid w:val="00261658"/>
    <w:rsid w:val="00262AFF"/>
    <w:rsid w:val="002631BC"/>
    <w:rsid w:val="002649F3"/>
    <w:rsid w:val="00265EE0"/>
    <w:rsid w:val="002670EE"/>
    <w:rsid w:val="00267650"/>
    <w:rsid w:val="00267BEF"/>
    <w:rsid w:val="002731B9"/>
    <w:rsid w:val="002757F2"/>
    <w:rsid w:val="00276C9B"/>
    <w:rsid w:val="002817E4"/>
    <w:rsid w:val="00281C2D"/>
    <w:rsid w:val="002823D4"/>
    <w:rsid w:val="0028350E"/>
    <w:rsid w:val="002837F4"/>
    <w:rsid w:val="00285DB6"/>
    <w:rsid w:val="002873DA"/>
    <w:rsid w:val="002902E6"/>
    <w:rsid w:val="00293A74"/>
    <w:rsid w:val="00293D97"/>
    <w:rsid w:val="00294E16"/>
    <w:rsid w:val="00297CC9"/>
    <w:rsid w:val="002A173D"/>
    <w:rsid w:val="002A260E"/>
    <w:rsid w:val="002A37E4"/>
    <w:rsid w:val="002A44FB"/>
    <w:rsid w:val="002A66D6"/>
    <w:rsid w:val="002A687C"/>
    <w:rsid w:val="002A6936"/>
    <w:rsid w:val="002A6AA8"/>
    <w:rsid w:val="002A79E5"/>
    <w:rsid w:val="002B1836"/>
    <w:rsid w:val="002B1CAD"/>
    <w:rsid w:val="002B2D7C"/>
    <w:rsid w:val="002B2EA9"/>
    <w:rsid w:val="002B3E08"/>
    <w:rsid w:val="002B4625"/>
    <w:rsid w:val="002B4C47"/>
    <w:rsid w:val="002C01B8"/>
    <w:rsid w:val="002C3E2D"/>
    <w:rsid w:val="002C465D"/>
    <w:rsid w:val="002C4F36"/>
    <w:rsid w:val="002C5123"/>
    <w:rsid w:val="002C650B"/>
    <w:rsid w:val="002C779F"/>
    <w:rsid w:val="002D0617"/>
    <w:rsid w:val="002D17C8"/>
    <w:rsid w:val="002D1C31"/>
    <w:rsid w:val="002D42A3"/>
    <w:rsid w:val="002D7FA2"/>
    <w:rsid w:val="002E004A"/>
    <w:rsid w:val="002E1834"/>
    <w:rsid w:val="002E3E39"/>
    <w:rsid w:val="002E4841"/>
    <w:rsid w:val="002E60C5"/>
    <w:rsid w:val="002E7266"/>
    <w:rsid w:val="002F1030"/>
    <w:rsid w:val="00301357"/>
    <w:rsid w:val="0031091A"/>
    <w:rsid w:val="00310FB6"/>
    <w:rsid w:val="00311B80"/>
    <w:rsid w:val="0031603F"/>
    <w:rsid w:val="003164F3"/>
    <w:rsid w:val="0032179D"/>
    <w:rsid w:val="00324B9C"/>
    <w:rsid w:val="0032676D"/>
    <w:rsid w:val="003273CC"/>
    <w:rsid w:val="00327D29"/>
    <w:rsid w:val="003301EC"/>
    <w:rsid w:val="00330584"/>
    <w:rsid w:val="00330D50"/>
    <w:rsid w:val="00332777"/>
    <w:rsid w:val="003372D3"/>
    <w:rsid w:val="0034127A"/>
    <w:rsid w:val="003433BB"/>
    <w:rsid w:val="00344DD0"/>
    <w:rsid w:val="00351ABD"/>
    <w:rsid w:val="0035311C"/>
    <w:rsid w:val="00353E78"/>
    <w:rsid w:val="00354ADD"/>
    <w:rsid w:val="0035605D"/>
    <w:rsid w:val="00360451"/>
    <w:rsid w:val="00362597"/>
    <w:rsid w:val="00362B5C"/>
    <w:rsid w:val="003651F4"/>
    <w:rsid w:val="00370A8A"/>
    <w:rsid w:val="00371E8A"/>
    <w:rsid w:val="003721C9"/>
    <w:rsid w:val="003728FA"/>
    <w:rsid w:val="003742A2"/>
    <w:rsid w:val="0037513E"/>
    <w:rsid w:val="00375312"/>
    <w:rsid w:val="0037549F"/>
    <w:rsid w:val="00376E9C"/>
    <w:rsid w:val="0037734E"/>
    <w:rsid w:val="00381247"/>
    <w:rsid w:val="00381C86"/>
    <w:rsid w:val="0038342F"/>
    <w:rsid w:val="00383993"/>
    <w:rsid w:val="00386517"/>
    <w:rsid w:val="0039283A"/>
    <w:rsid w:val="003936E1"/>
    <w:rsid w:val="00393B24"/>
    <w:rsid w:val="003944D7"/>
    <w:rsid w:val="00394C9D"/>
    <w:rsid w:val="0039667A"/>
    <w:rsid w:val="003A2617"/>
    <w:rsid w:val="003A283A"/>
    <w:rsid w:val="003A45E0"/>
    <w:rsid w:val="003A51CF"/>
    <w:rsid w:val="003A6AD1"/>
    <w:rsid w:val="003A76F9"/>
    <w:rsid w:val="003A78A9"/>
    <w:rsid w:val="003B1053"/>
    <w:rsid w:val="003B51E7"/>
    <w:rsid w:val="003B572C"/>
    <w:rsid w:val="003B5C00"/>
    <w:rsid w:val="003B606E"/>
    <w:rsid w:val="003B6D26"/>
    <w:rsid w:val="003C21B6"/>
    <w:rsid w:val="003C373F"/>
    <w:rsid w:val="003C3CEB"/>
    <w:rsid w:val="003C41B1"/>
    <w:rsid w:val="003C4378"/>
    <w:rsid w:val="003C53C3"/>
    <w:rsid w:val="003C5D3D"/>
    <w:rsid w:val="003C6033"/>
    <w:rsid w:val="003C6436"/>
    <w:rsid w:val="003E0385"/>
    <w:rsid w:val="003E0DC3"/>
    <w:rsid w:val="003E3693"/>
    <w:rsid w:val="003E6516"/>
    <w:rsid w:val="003E6E95"/>
    <w:rsid w:val="003E6F9C"/>
    <w:rsid w:val="003F0FF5"/>
    <w:rsid w:val="003F17E5"/>
    <w:rsid w:val="003F3BB0"/>
    <w:rsid w:val="003F4047"/>
    <w:rsid w:val="003F40CA"/>
    <w:rsid w:val="003F41A4"/>
    <w:rsid w:val="003F577D"/>
    <w:rsid w:val="003F6E70"/>
    <w:rsid w:val="00402FEE"/>
    <w:rsid w:val="00403105"/>
    <w:rsid w:val="00404013"/>
    <w:rsid w:val="00404142"/>
    <w:rsid w:val="00407883"/>
    <w:rsid w:val="00407F45"/>
    <w:rsid w:val="00407F98"/>
    <w:rsid w:val="00410C44"/>
    <w:rsid w:val="00412333"/>
    <w:rsid w:val="00413C40"/>
    <w:rsid w:val="00413F4E"/>
    <w:rsid w:val="00415CD3"/>
    <w:rsid w:val="00415F67"/>
    <w:rsid w:val="00421294"/>
    <w:rsid w:val="004215AC"/>
    <w:rsid w:val="00436B04"/>
    <w:rsid w:val="00440653"/>
    <w:rsid w:val="004446E1"/>
    <w:rsid w:val="004449BE"/>
    <w:rsid w:val="00444DF8"/>
    <w:rsid w:val="00447304"/>
    <w:rsid w:val="004474EF"/>
    <w:rsid w:val="00453016"/>
    <w:rsid w:val="004542E6"/>
    <w:rsid w:val="004612B1"/>
    <w:rsid w:val="00464A81"/>
    <w:rsid w:val="00465BDD"/>
    <w:rsid w:val="0046638C"/>
    <w:rsid w:val="0046741D"/>
    <w:rsid w:val="00467CF3"/>
    <w:rsid w:val="00474A1E"/>
    <w:rsid w:val="0047610E"/>
    <w:rsid w:val="004772FA"/>
    <w:rsid w:val="00477793"/>
    <w:rsid w:val="004806EA"/>
    <w:rsid w:val="00482CB4"/>
    <w:rsid w:val="00485F4E"/>
    <w:rsid w:val="0048673C"/>
    <w:rsid w:val="00490F44"/>
    <w:rsid w:val="00491A27"/>
    <w:rsid w:val="00494D6B"/>
    <w:rsid w:val="004A11B5"/>
    <w:rsid w:val="004A64D1"/>
    <w:rsid w:val="004B5CF7"/>
    <w:rsid w:val="004B7101"/>
    <w:rsid w:val="004B774A"/>
    <w:rsid w:val="004C1D75"/>
    <w:rsid w:val="004C26D1"/>
    <w:rsid w:val="004C374B"/>
    <w:rsid w:val="004C4393"/>
    <w:rsid w:val="004C678D"/>
    <w:rsid w:val="004C7E07"/>
    <w:rsid w:val="004D6F6A"/>
    <w:rsid w:val="004E39A5"/>
    <w:rsid w:val="004E3A67"/>
    <w:rsid w:val="004E42CC"/>
    <w:rsid w:val="004E6038"/>
    <w:rsid w:val="004E6151"/>
    <w:rsid w:val="004E6968"/>
    <w:rsid w:val="004E6C81"/>
    <w:rsid w:val="004E7E22"/>
    <w:rsid w:val="004F046F"/>
    <w:rsid w:val="004F66FD"/>
    <w:rsid w:val="004F74C3"/>
    <w:rsid w:val="00501702"/>
    <w:rsid w:val="00503B34"/>
    <w:rsid w:val="005040A4"/>
    <w:rsid w:val="005046A1"/>
    <w:rsid w:val="00504F94"/>
    <w:rsid w:val="00505072"/>
    <w:rsid w:val="0050643E"/>
    <w:rsid w:val="005109F6"/>
    <w:rsid w:val="00511672"/>
    <w:rsid w:val="00512430"/>
    <w:rsid w:val="00512A48"/>
    <w:rsid w:val="0051479F"/>
    <w:rsid w:val="005173EE"/>
    <w:rsid w:val="005201B8"/>
    <w:rsid w:val="00520FBE"/>
    <w:rsid w:val="00522ADA"/>
    <w:rsid w:val="00523C11"/>
    <w:rsid w:val="005243A2"/>
    <w:rsid w:val="005249BF"/>
    <w:rsid w:val="00525569"/>
    <w:rsid w:val="00526AC4"/>
    <w:rsid w:val="00527012"/>
    <w:rsid w:val="00527CA5"/>
    <w:rsid w:val="00531407"/>
    <w:rsid w:val="00531AD3"/>
    <w:rsid w:val="005345B7"/>
    <w:rsid w:val="00537C53"/>
    <w:rsid w:val="00543BB1"/>
    <w:rsid w:val="005447DC"/>
    <w:rsid w:val="00544C6C"/>
    <w:rsid w:val="00545941"/>
    <w:rsid w:val="00546D4F"/>
    <w:rsid w:val="005505DE"/>
    <w:rsid w:val="00555120"/>
    <w:rsid w:val="005577E6"/>
    <w:rsid w:val="00560F6A"/>
    <w:rsid w:val="005620FB"/>
    <w:rsid w:val="005639F7"/>
    <w:rsid w:val="00563F94"/>
    <w:rsid w:val="00564947"/>
    <w:rsid w:val="00564D91"/>
    <w:rsid w:val="0056706B"/>
    <w:rsid w:val="00567940"/>
    <w:rsid w:val="00567E7A"/>
    <w:rsid w:val="00571102"/>
    <w:rsid w:val="005711C1"/>
    <w:rsid w:val="00574A14"/>
    <w:rsid w:val="00580151"/>
    <w:rsid w:val="00582017"/>
    <w:rsid w:val="00585F76"/>
    <w:rsid w:val="00596711"/>
    <w:rsid w:val="00597642"/>
    <w:rsid w:val="005A234B"/>
    <w:rsid w:val="005A2D5B"/>
    <w:rsid w:val="005A3BBB"/>
    <w:rsid w:val="005A4E97"/>
    <w:rsid w:val="005A678F"/>
    <w:rsid w:val="005A797D"/>
    <w:rsid w:val="005B082D"/>
    <w:rsid w:val="005B0B8B"/>
    <w:rsid w:val="005B0F46"/>
    <w:rsid w:val="005B303D"/>
    <w:rsid w:val="005B7AEB"/>
    <w:rsid w:val="005C0224"/>
    <w:rsid w:val="005C28E6"/>
    <w:rsid w:val="005C5188"/>
    <w:rsid w:val="005C664C"/>
    <w:rsid w:val="005C6715"/>
    <w:rsid w:val="005C7009"/>
    <w:rsid w:val="005D0BB7"/>
    <w:rsid w:val="005D2C20"/>
    <w:rsid w:val="005D30FD"/>
    <w:rsid w:val="005D4CAE"/>
    <w:rsid w:val="005D60DA"/>
    <w:rsid w:val="005D634C"/>
    <w:rsid w:val="005E3A08"/>
    <w:rsid w:val="005E3AD2"/>
    <w:rsid w:val="005E4970"/>
    <w:rsid w:val="005E6F2F"/>
    <w:rsid w:val="005F1487"/>
    <w:rsid w:val="005F15C3"/>
    <w:rsid w:val="005F5490"/>
    <w:rsid w:val="005F58F0"/>
    <w:rsid w:val="006009AE"/>
    <w:rsid w:val="00602DC7"/>
    <w:rsid w:val="006102F3"/>
    <w:rsid w:val="00611B03"/>
    <w:rsid w:val="00612353"/>
    <w:rsid w:val="00612C2A"/>
    <w:rsid w:val="00616867"/>
    <w:rsid w:val="00616AFB"/>
    <w:rsid w:val="0062265C"/>
    <w:rsid w:val="00625619"/>
    <w:rsid w:val="0062599A"/>
    <w:rsid w:val="00630508"/>
    <w:rsid w:val="006324E0"/>
    <w:rsid w:val="0063470F"/>
    <w:rsid w:val="00636EC7"/>
    <w:rsid w:val="00636FA6"/>
    <w:rsid w:val="00644C1E"/>
    <w:rsid w:val="00647041"/>
    <w:rsid w:val="0064760E"/>
    <w:rsid w:val="00647D05"/>
    <w:rsid w:val="00650784"/>
    <w:rsid w:val="0065090F"/>
    <w:rsid w:val="00650948"/>
    <w:rsid w:val="006529C9"/>
    <w:rsid w:val="00652D69"/>
    <w:rsid w:val="00653722"/>
    <w:rsid w:val="00655440"/>
    <w:rsid w:val="006555BB"/>
    <w:rsid w:val="0065577C"/>
    <w:rsid w:val="00660035"/>
    <w:rsid w:val="006606FA"/>
    <w:rsid w:val="0066141B"/>
    <w:rsid w:val="006652A5"/>
    <w:rsid w:val="00666A0F"/>
    <w:rsid w:val="00670FEB"/>
    <w:rsid w:val="006753E0"/>
    <w:rsid w:val="0067580F"/>
    <w:rsid w:val="006763A6"/>
    <w:rsid w:val="006771D1"/>
    <w:rsid w:val="006827FA"/>
    <w:rsid w:val="006834A7"/>
    <w:rsid w:val="006835B7"/>
    <w:rsid w:val="00685AC5"/>
    <w:rsid w:val="00685AE2"/>
    <w:rsid w:val="0068679A"/>
    <w:rsid w:val="00690C13"/>
    <w:rsid w:val="00690C8F"/>
    <w:rsid w:val="006A0944"/>
    <w:rsid w:val="006A0C0C"/>
    <w:rsid w:val="006A13AC"/>
    <w:rsid w:val="006A6340"/>
    <w:rsid w:val="006A71C0"/>
    <w:rsid w:val="006A743C"/>
    <w:rsid w:val="006B1CD8"/>
    <w:rsid w:val="006B21C0"/>
    <w:rsid w:val="006B28A0"/>
    <w:rsid w:val="006B2A3C"/>
    <w:rsid w:val="006B4B83"/>
    <w:rsid w:val="006B5236"/>
    <w:rsid w:val="006B7A22"/>
    <w:rsid w:val="006C3057"/>
    <w:rsid w:val="006C4709"/>
    <w:rsid w:val="006C47B4"/>
    <w:rsid w:val="006C4F50"/>
    <w:rsid w:val="006C6807"/>
    <w:rsid w:val="006C7902"/>
    <w:rsid w:val="006C7D3F"/>
    <w:rsid w:val="006C7F86"/>
    <w:rsid w:val="006D28D4"/>
    <w:rsid w:val="006D3E3D"/>
    <w:rsid w:val="006D681A"/>
    <w:rsid w:val="006D7244"/>
    <w:rsid w:val="006E0E47"/>
    <w:rsid w:val="006E1D3B"/>
    <w:rsid w:val="006E2852"/>
    <w:rsid w:val="006E602C"/>
    <w:rsid w:val="006F70A2"/>
    <w:rsid w:val="006F7665"/>
    <w:rsid w:val="007011AC"/>
    <w:rsid w:val="00702DE2"/>
    <w:rsid w:val="007040EA"/>
    <w:rsid w:val="007053B2"/>
    <w:rsid w:val="0070692D"/>
    <w:rsid w:val="007109E9"/>
    <w:rsid w:val="00712354"/>
    <w:rsid w:val="00713312"/>
    <w:rsid w:val="00713E2E"/>
    <w:rsid w:val="00717B28"/>
    <w:rsid w:val="00720121"/>
    <w:rsid w:val="00721DC3"/>
    <w:rsid w:val="00722183"/>
    <w:rsid w:val="0072265F"/>
    <w:rsid w:val="0072483C"/>
    <w:rsid w:val="00725AF9"/>
    <w:rsid w:val="00726993"/>
    <w:rsid w:val="00731047"/>
    <w:rsid w:val="00731D1B"/>
    <w:rsid w:val="00734F9A"/>
    <w:rsid w:val="00737192"/>
    <w:rsid w:val="007416B0"/>
    <w:rsid w:val="007447EE"/>
    <w:rsid w:val="00744C79"/>
    <w:rsid w:val="007450ED"/>
    <w:rsid w:val="0074587F"/>
    <w:rsid w:val="00745BF1"/>
    <w:rsid w:val="00751FFC"/>
    <w:rsid w:val="00752094"/>
    <w:rsid w:val="00752301"/>
    <w:rsid w:val="007532BD"/>
    <w:rsid w:val="00753CFB"/>
    <w:rsid w:val="00754B70"/>
    <w:rsid w:val="007567E0"/>
    <w:rsid w:val="0075773C"/>
    <w:rsid w:val="00757831"/>
    <w:rsid w:val="00757A38"/>
    <w:rsid w:val="00760567"/>
    <w:rsid w:val="00760DC2"/>
    <w:rsid w:val="007612E8"/>
    <w:rsid w:val="00772517"/>
    <w:rsid w:val="00772638"/>
    <w:rsid w:val="007730AD"/>
    <w:rsid w:val="0077362D"/>
    <w:rsid w:val="00776315"/>
    <w:rsid w:val="007778B3"/>
    <w:rsid w:val="00777CE7"/>
    <w:rsid w:val="00781EED"/>
    <w:rsid w:val="00782ABC"/>
    <w:rsid w:val="007834F2"/>
    <w:rsid w:val="007837E0"/>
    <w:rsid w:val="00785021"/>
    <w:rsid w:val="007870A2"/>
    <w:rsid w:val="007905C0"/>
    <w:rsid w:val="00790883"/>
    <w:rsid w:val="00793029"/>
    <w:rsid w:val="007935E7"/>
    <w:rsid w:val="00793BA5"/>
    <w:rsid w:val="00795A4E"/>
    <w:rsid w:val="007968AA"/>
    <w:rsid w:val="007A0F91"/>
    <w:rsid w:val="007A2CF4"/>
    <w:rsid w:val="007A5D84"/>
    <w:rsid w:val="007A6423"/>
    <w:rsid w:val="007B05FB"/>
    <w:rsid w:val="007B093E"/>
    <w:rsid w:val="007B1DB5"/>
    <w:rsid w:val="007B43B5"/>
    <w:rsid w:val="007B5F6E"/>
    <w:rsid w:val="007C00FB"/>
    <w:rsid w:val="007C0CDC"/>
    <w:rsid w:val="007C1A22"/>
    <w:rsid w:val="007C4D5E"/>
    <w:rsid w:val="007C5D24"/>
    <w:rsid w:val="007C7632"/>
    <w:rsid w:val="007D045D"/>
    <w:rsid w:val="007D0978"/>
    <w:rsid w:val="007D71EA"/>
    <w:rsid w:val="007D79E8"/>
    <w:rsid w:val="007E12B8"/>
    <w:rsid w:val="007E20FD"/>
    <w:rsid w:val="007E5467"/>
    <w:rsid w:val="007E7711"/>
    <w:rsid w:val="007F3AF8"/>
    <w:rsid w:val="007F43E7"/>
    <w:rsid w:val="007F4E6D"/>
    <w:rsid w:val="007F6BE8"/>
    <w:rsid w:val="007F7049"/>
    <w:rsid w:val="007F7302"/>
    <w:rsid w:val="007F737A"/>
    <w:rsid w:val="007F772E"/>
    <w:rsid w:val="008021DB"/>
    <w:rsid w:val="00804F52"/>
    <w:rsid w:val="0080563C"/>
    <w:rsid w:val="00805742"/>
    <w:rsid w:val="00806732"/>
    <w:rsid w:val="008100FC"/>
    <w:rsid w:val="00810399"/>
    <w:rsid w:val="00810E89"/>
    <w:rsid w:val="008115BD"/>
    <w:rsid w:val="00811F85"/>
    <w:rsid w:val="00812E69"/>
    <w:rsid w:val="0081422E"/>
    <w:rsid w:val="0081568E"/>
    <w:rsid w:val="0081588B"/>
    <w:rsid w:val="00815AE4"/>
    <w:rsid w:val="00816E52"/>
    <w:rsid w:val="00817109"/>
    <w:rsid w:val="0081796F"/>
    <w:rsid w:val="00817C12"/>
    <w:rsid w:val="00817D6D"/>
    <w:rsid w:val="0082016A"/>
    <w:rsid w:val="00821223"/>
    <w:rsid w:val="00821DF2"/>
    <w:rsid w:val="00823C1B"/>
    <w:rsid w:val="008263F7"/>
    <w:rsid w:val="008265B5"/>
    <w:rsid w:val="008312DA"/>
    <w:rsid w:val="00836C35"/>
    <w:rsid w:val="00837307"/>
    <w:rsid w:val="008408B5"/>
    <w:rsid w:val="00842C8C"/>
    <w:rsid w:val="0084357F"/>
    <w:rsid w:val="00843D48"/>
    <w:rsid w:val="00854AC5"/>
    <w:rsid w:val="008558A2"/>
    <w:rsid w:val="00855DD5"/>
    <w:rsid w:val="0086055C"/>
    <w:rsid w:val="008674FD"/>
    <w:rsid w:val="00871F64"/>
    <w:rsid w:val="00872501"/>
    <w:rsid w:val="008729F6"/>
    <w:rsid w:val="00874497"/>
    <w:rsid w:val="00877886"/>
    <w:rsid w:val="00882459"/>
    <w:rsid w:val="00884CB8"/>
    <w:rsid w:val="00886EB3"/>
    <w:rsid w:val="00891E94"/>
    <w:rsid w:val="008929FA"/>
    <w:rsid w:val="00896394"/>
    <w:rsid w:val="008A090D"/>
    <w:rsid w:val="008A20FB"/>
    <w:rsid w:val="008B5C69"/>
    <w:rsid w:val="008B6C65"/>
    <w:rsid w:val="008C13C6"/>
    <w:rsid w:val="008C54A0"/>
    <w:rsid w:val="008C5CE5"/>
    <w:rsid w:val="008D09BA"/>
    <w:rsid w:val="008D1434"/>
    <w:rsid w:val="008D21CC"/>
    <w:rsid w:val="008D2958"/>
    <w:rsid w:val="008D2F4D"/>
    <w:rsid w:val="008D39D3"/>
    <w:rsid w:val="008E25A8"/>
    <w:rsid w:val="008E412D"/>
    <w:rsid w:val="008E6530"/>
    <w:rsid w:val="008F0C56"/>
    <w:rsid w:val="008F3130"/>
    <w:rsid w:val="008F69FE"/>
    <w:rsid w:val="008F6BB4"/>
    <w:rsid w:val="008F775C"/>
    <w:rsid w:val="0090417F"/>
    <w:rsid w:val="00904765"/>
    <w:rsid w:val="00904A2F"/>
    <w:rsid w:val="009064E0"/>
    <w:rsid w:val="00907D88"/>
    <w:rsid w:val="009111F3"/>
    <w:rsid w:val="009125AE"/>
    <w:rsid w:val="00912B30"/>
    <w:rsid w:val="00912E8D"/>
    <w:rsid w:val="0091373E"/>
    <w:rsid w:val="00915C2D"/>
    <w:rsid w:val="00916EF0"/>
    <w:rsid w:val="00917262"/>
    <w:rsid w:val="00920684"/>
    <w:rsid w:val="00921484"/>
    <w:rsid w:val="00921F69"/>
    <w:rsid w:val="009231F9"/>
    <w:rsid w:val="0092420A"/>
    <w:rsid w:val="009255CA"/>
    <w:rsid w:val="00925ECE"/>
    <w:rsid w:val="00927D59"/>
    <w:rsid w:val="0093011A"/>
    <w:rsid w:val="00935520"/>
    <w:rsid w:val="009366CE"/>
    <w:rsid w:val="00936D3E"/>
    <w:rsid w:val="00942C14"/>
    <w:rsid w:val="00943834"/>
    <w:rsid w:val="00943BB4"/>
    <w:rsid w:val="00946075"/>
    <w:rsid w:val="00946D1D"/>
    <w:rsid w:val="00947F31"/>
    <w:rsid w:val="00951232"/>
    <w:rsid w:val="00953202"/>
    <w:rsid w:val="00961332"/>
    <w:rsid w:val="009616B4"/>
    <w:rsid w:val="00962639"/>
    <w:rsid w:val="00963BE7"/>
    <w:rsid w:val="00967157"/>
    <w:rsid w:val="00967B07"/>
    <w:rsid w:val="009724F2"/>
    <w:rsid w:val="00975CD2"/>
    <w:rsid w:val="00981378"/>
    <w:rsid w:val="009816EC"/>
    <w:rsid w:val="0098296A"/>
    <w:rsid w:val="009837B0"/>
    <w:rsid w:val="00985EDF"/>
    <w:rsid w:val="0098729D"/>
    <w:rsid w:val="00990973"/>
    <w:rsid w:val="009923B9"/>
    <w:rsid w:val="00992AF6"/>
    <w:rsid w:val="009933AA"/>
    <w:rsid w:val="009937CD"/>
    <w:rsid w:val="009945C3"/>
    <w:rsid w:val="009956A3"/>
    <w:rsid w:val="00996D1E"/>
    <w:rsid w:val="00997D83"/>
    <w:rsid w:val="009A1371"/>
    <w:rsid w:val="009A457A"/>
    <w:rsid w:val="009A6334"/>
    <w:rsid w:val="009A6CA5"/>
    <w:rsid w:val="009A7702"/>
    <w:rsid w:val="009B11BD"/>
    <w:rsid w:val="009B22E7"/>
    <w:rsid w:val="009B3FE1"/>
    <w:rsid w:val="009B45FF"/>
    <w:rsid w:val="009C261B"/>
    <w:rsid w:val="009C5939"/>
    <w:rsid w:val="009C7932"/>
    <w:rsid w:val="009D0862"/>
    <w:rsid w:val="009D1821"/>
    <w:rsid w:val="009D22B7"/>
    <w:rsid w:val="009D2E45"/>
    <w:rsid w:val="009D2F56"/>
    <w:rsid w:val="009D4E2A"/>
    <w:rsid w:val="009D5663"/>
    <w:rsid w:val="009D5E57"/>
    <w:rsid w:val="009D689C"/>
    <w:rsid w:val="009E0E97"/>
    <w:rsid w:val="009E1C5F"/>
    <w:rsid w:val="009E23C1"/>
    <w:rsid w:val="009E2DB3"/>
    <w:rsid w:val="009E7F48"/>
    <w:rsid w:val="009F10D9"/>
    <w:rsid w:val="009F2C4F"/>
    <w:rsid w:val="009F47AC"/>
    <w:rsid w:val="009F6584"/>
    <w:rsid w:val="009F7176"/>
    <w:rsid w:val="00A01BB0"/>
    <w:rsid w:val="00A02643"/>
    <w:rsid w:val="00A05714"/>
    <w:rsid w:val="00A076AE"/>
    <w:rsid w:val="00A120BA"/>
    <w:rsid w:val="00A14165"/>
    <w:rsid w:val="00A14990"/>
    <w:rsid w:val="00A16FE1"/>
    <w:rsid w:val="00A17C45"/>
    <w:rsid w:val="00A20FF2"/>
    <w:rsid w:val="00A257F1"/>
    <w:rsid w:val="00A27AED"/>
    <w:rsid w:val="00A30A31"/>
    <w:rsid w:val="00A326C6"/>
    <w:rsid w:val="00A335E0"/>
    <w:rsid w:val="00A33E88"/>
    <w:rsid w:val="00A34202"/>
    <w:rsid w:val="00A35213"/>
    <w:rsid w:val="00A35549"/>
    <w:rsid w:val="00A4062D"/>
    <w:rsid w:val="00A4117B"/>
    <w:rsid w:val="00A420DA"/>
    <w:rsid w:val="00A4447C"/>
    <w:rsid w:val="00A4723A"/>
    <w:rsid w:val="00A50196"/>
    <w:rsid w:val="00A520C9"/>
    <w:rsid w:val="00A52191"/>
    <w:rsid w:val="00A5296C"/>
    <w:rsid w:val="00A53085"/>
    <w:rsid w:val="00A53A0B"/>
    <w:rsid w:val="00A53F92"/>
    <w:rsid w:val="00A54B04"/>
    <w:rsid w:val="00A54D82"/>
    <w:rsid w:val="00A55E24"/>
    <w:rsid w:val="00A56716"/>
    <w:rsid w:val="00A56F23"/>
    <w:rsid w:val="00A57350"/>
    <w:rsid w:val="00A60CE4"/>
    <w:rsid w:val="00A63372"/>
    <w:rsid w:val="00A63EEE"/>
    <w:rsid w:val="00A6507F"/>
    <w:rsid w:val="00A65275"/>
    <w:rsid w:val="00A6530D"/>
    <w:rsid w:val="00A6662D"/>
    <w:rsid w:val="00A66665"/>
    <w:rsid w:val="00A666E0"/>
    <w:rsid w:val="00A6763D"/>
    <w:rsid w:val="00A67C04"/>
    <w:rsid w:val="00A70124"/>
    <w:rsid w:val="00A730E9"/>
    <w:rsid w:val="00A77878"/>
    <w:rsid w:val="00A80097"/>
    <w:rsid w:val="00A8011F"/>
    <w:rsid w:val="00A8154A"/>
    <w:rsid w:val="00A81C2B"/>
    <w:rsid w:val="00A82655"/>
    <w:rsid w:val="00A830B9"/>
    <w:rsid w:val="00A84D68"/>
    <w:rsid w:val="00A86C04"/>
    <w:rsid w:val="00A86F0A"/>
    <w:rsid w:val="00A875A0"/>
    <w:rsid w:val="00A9248A"/>
    <w:rsid w:val="00A9433B"/>
    <w:rsid w:val="00A94A7E"/>
    <w:rsid w:val="00A94B94"/>
    <w:rsid w:val="00A9646D"/>
    <w:rsid w:val="00A96AC6"/>
    <w:rsid w:val="00A96BA5"/>
    <w:rsid w:val="00A97F27"/>
    <w:rsid w:val="00AA1664"/>
    <w:rsid w:val="00AA1F92"/>
    <w:rsid w:val="00AA33F9"/>
    <w:rsid w:val="00AA6148"/>
    <w:rsid w:val="00AA6A2E"/>
    <w:rsid w:val="00AA705D"/>
    <w:rsid w:val="00AA7697"/>
    <w:rsid w:val="00AB04FC"/>
    <w:rsid w:val="00AB12E8"/>
    <w:rsid w:val="00AB1908"/>
    <w:rsid w:val="00AB1956"/>
    <w:rsid w:val="00AB1C3A"/>
    <w:rsid w:val="00AB1F8A"/>
    <w:rsid w:val="00AB2BB6"/>
    <w:rsid w:val="00AB5843"/>
    <w:rsid w:val="00AB598D"/>
    <w:rsid w:val="00AB5EBA"/>
    <w:rsid w:val="00AB6B38"/>
    <w:rsid w:val="00AB731F"/>
    <w:rsid w:val="00AB7D43"/>
    <w:rsid w:val="00AC2519"/>
    <w:rsid w:val="00AC401A"/>
    <w:rsid w:val="00AC4E87"/>
    <w:rsid w:val="00AC7347"/>
    <w:rsid w:val="00AC7B4A"/>
    <w:rsid w:val="00AD3A6E"/>
    <w:rsid w:val="00AD6956"/>
    <w:rsid w:val="00AD742F"/>
    <w:rsid w:val="00AE1BD8"/>
    <w:rsid w:val="00AE21FC"/>
    <w:rsid w:val="00AE4336"/>
    <w:rsid w:val="00AE5DDE"/>
    <w:rsid w:val="00AE785D"/>
    <w:rsid w:val="00AF0127"/>
    <w:rsid w:val="00AF0215"/>
    <w:rsid w:val="00AF1A3B"/>
    <w:rsid w:val="00AF1DFE"/>
    <w:rsid w:val="00AF215E"/>
    <w:rsid w:val="00AF4D4A"/>
    <w:rsid w:val="00B01336"/>
    <w:rsid w:val="00B03AF2"/>
    <w:rsid w:val="00B05256"/>
    <w:rsid w:val="00B052A8"/>
    <w:rsid w:val="00B05D32"/>
    <w:rsid w:val="00B119DB"/>
    <w:rsid w:val="00B130A5"/>
    <w:rsid w:val="00B14620"/>
    <w:rsid w:val="00B14B0E"/>
    <w:rsid w:val="00B17DE3"/>
    <w:rsid w:val="00B212C1"/>
    <w:rsid w:val="00B218C6"/>
    <w:rsid w:val="00B22F5A"/>
    <w:rsid w:val="00B24792"/>
    <w:rsid w:val="00B254B2"/>
    <w:rsid w:val="00B25EE8"/>
    <w:rsid w:val="00B265B6"/>
    <w:rsid w:val="00B26885"/>
    <w:rsid w:val="00B30173"/>
    <w:rsid w:val="00B30BE0"/>
    <w:rsid w:val="00B37BC8"/>
    <w:rsid w:val="00B37F0C"/>
    <w:rsid w:val="00B41565"/>
    <w:rsid w:val="00B440FE"/>
    <w:rsid w:val="00B44828"/>
    <w:rsid w:val="00B449E6"/>
    <w:rsid w:val="00B476E0"/>
    <w:rsid w:val="00B47BE3"/>
    <w:rsid w:val="00B53271"/>
    <w:rsid w:val="00B53A05"/>
    <w:rsid w:val="00B63F13"/>
    <w:rsid w:val="00B63FDC"/>
    <w:rsid w:val="00B66BEA"/>
    <w:rsid w:val="00B670CC"/>
    <w:rsid w:val="00B67C79"/>
    <w:rsid w:val="00B70356"/>
    <w:rsid w:val="00B7264E"/>
    <w:rsid w:val="00B726E9"/>
    <w:rsid w:val="00B72805"/>
    <w:rsid w:val="00B73B69"/>
    <w:rsid w:val="00B7674A"/>
    <w:rsid w:val="00B77276"/>
    <w:rsid w:val="00B803EB"/>
    <w:rsid w:val="00B80F8A"/>
    <w:rsid w:val="00B813A0"/>
    <w:rsid w:val="00B85525"/>
    <w:rsid w:val="00B855EA"/>
    <w:rsid w:val="00B87FDD"/>
    <w:rsid w:val="00B976C4"/>
    <w:rsid w:val="00B97BB5"/>
    <w:rsid w:val="00BA0FC3"/>
    <w:rsid w:val="00BA2085"/>
    <w:rsid w:val="00BA21A2"/>
    <w:rsid w:val="00BA3C4C"/>
    <w:rsid w:val="00BB075C"/>
    <w:rsid w:val="00BB277E"/>
    <w:rsid w:val="00BB3434"/>
    <w:rsid w:val="00BB7EC8"/>
    <w:rsid w:val="00BC1697"/>
    <w:rsid w:val="00BC1B17"/>
    <w:rsid w:val="00BC3B3E"/>
    <w:rsid w:val="00BC40D4"/>
    <w:rsid w:val="00BC5603"/>
    <w:rsid w:val="00BC641D"/>
    <w:rsid w:val="00BC6986"/>
    <w:rsid w:val="00BC6B9A"/>
    <w:rsid w:val="00BC7DFB"/>
    <w:rsid w:val="00BD2246"/>
    <w:rsid w:val="00BD2EF1"/>
    <w:rsid w:val="00BD4E48"/>
    <w:rsid w:val="00BD6C4D"/>
    <w:rsid w:val="00BD7F5E"/>
    <w:rsid w:val="00BE1D16"/>
    <w:rsid w:val="00BE4ABD"/>
    <w:rsid w:val="00BE4E87"/>
    <w:rsid w:val="00BE5FAE"/>
    <w:rsid w:val="00BE67BE"/>
    <w:rsid w:val="00BF2899"/>
    <w:rsid w:val="00BF419E"/>
    <w:rsid w:val="00BF422C"/>
    <w:rsid w:val="00BF4AE9"/>
    <w:rsid w:val="00BF733E"/>
    <w:rsid w:val="00C018F6"/>
    <w:rsid w:val="00C0338B"/>
    <w:rsid w:val="00C11963"/>
    <w:rsid w:val="00C12523"/>
    <w:rsid w:val="00C13EB8"/>
    <w:rsid w:val="00C150FE"/>
    <w:rsid w:val="00C16277"/>
    <w:rsid w:val="00C17399"/>
    <w:rsid w:val="00C21B79"/>
    <w:rsid w:val="00C22013"/>
    <w:rsid w:val="00C248C8"/>
    <w:rsid w:val="00C2567C"/>
    <w:rsid w:val="00C27C75"/>
    <w:rsid w:val="00C319CD"/>
    <w:rsid w:val="00C338FE"/>
    <w:rsid w:val="00C34085"/>
    <w:rsid w:val="00C34A73"/>
    <w:rsid w:val="00C378C4"/>
    <w:rsid w:val="00C41356"/>
    <w:rsid w:val="00C41D5A"/>
    <w:rsid w:val="00C42D4C"/>
    <w:rsid w:val="00C46594"/>
    <w:rsid w:val="00C465A9"/>
    <w:rsid w:val="00C46C70"/>
    <w:rsid w:val="00C51195"/>
    <w:rsid w:val="00C5170C"/>
    <w:rsid w:val="00C54F19"/>
    <w:rsid w:val="00C555F7"/>
    <w:rsid w:val="00C57633"/>
    <w:rsid w:val="00C578E0"/>
    <w:rsid w:val="00C57D49"/>
    <w:rsid w:val="00C601EB"/>
    <w:rsid w:val="00C6149C"/>
    <w:rsid w:val="00C627A6"/>
    <w:rsid w:val="00C6320E"/>
    <w:rsid w:val="00C634DB"/>
    <w:rsid w:val="00C635D2"/>
    <w:rsid w:val="00C647E4"/>
    <w:rsid w:val="00C663E7"/>
    <w:rsid w:val="00C66E6F"/>
    <w:rsid w:val="00C7061F"/>
    <w:rsid w:val="00C7069F"/>
    <w:rsid w:val="00C712C8"/>
    <w:rsid w:val="00C7154E"/>
    <w:rsid w:val="00C7178F"/>
    <w:rsid w:val="00C72558"/>
    <w:rsid w:val="00C72C36"/>
    <w:rsid w:val="00C72F6A"/>
    <w:rsid w:val="00C73348"/>
    <w:rsid w:val="00C73BF7"/>
    <w:rsid w:val="00C76D05"/>
    <w:rsid w:val="00C773ED"/>
    <w:rsid w:val="00C7757C"/>
    <w:rsid w:val="00C8181B"/>
    <w:rsid w:val="00C8454E"/>
    <w:rsid w:val="00C915C4"/>
    <w:rsid w:val="00C91AF6"/>
    <w:rsid w:val="00C91B70"/>
    <w:rsid w:val="00C92373"/>
    <w:rsid w:val="00C9417A"/>
    <w:rsid w:val="00C976E2"/>
    <w:rsid w:val="00CA074B"/>
    <w:rsid w:val="00CA2A67"/>
    <w:rsid w:val="00CA4579"/>
    <w:rsid w:val="00CA511A"/>
    <w:rsid w:val="00CA6520"/>
    <w:rsid w:val="00CB3C8B"/>
    <w:rsid w:val="00CB46C4"/>
    <w:rsid w:val="00CB49F0"/>
    <w:rsid w:val="00CB5047"/>
    <w:rsid w:val="00CB79EC"/>
    <w:rsid w:val="00CC1AE7"/>
    <w:rsid w:val="00CC4E4A"/>
    <w:rsid w:val="00CC52E0"/>
    <w:rsid w:val="00CC53C1"/>
    <w:rsid w:val="00CC7AC1"/>
    <w:rsid w:val="00CD066D"/>
    <w:rsid w:val="00CD0DC9"/>
    <w:rsid w:val="00CD1A99"/>
    <w:rsid w:val="00CE040D"/>
    <w:rsid w:val="00CE0E7C"/>
    <w:rsid w:val="00CE19B7"/>
    <w:rsid w:val="00CE2059"/>
    <w:rsid w:val="00CE3B88"/>
    <w:rsid w:val="00CE626D"/>
    <w:rsid w:val="00CF22B8"/>
    <w:rsid w:val="00CF34E2"/>
    <w:rsid w:val="00CF3C20"/>
    <w:rsid w:val="00CF6AB9"/>
    <w:rsid w:val="00CF7887"/>
    <w:rsid w:val="00D01504"/>
    <w:rsid w:val="00D01B97"/>
    <w:rsid w:val="00D01E7E"/>
    <w:rsid w:val="00D0399F"/>
    <w:rsid w:val="00D046CD"/>
    <w:rsid w:val="00D06159"/>
    <w:rsid w:val="00D12200"/>
    <w:rsid w:val="00D128D7"/>
    <w:rsid w:val="00D14F23"/>
    <w:rsid w:val="00D1584E"/>
    <w:rsid w:val="00D162FD"/>
    <w:rsid w:val="00D167F3"/>
    <w:rsid w:val="00D17445"/>
    <w:rsid w:val="00D21F56"/>
    <w:rsid w:val="00D23E1F"/>
    <w:rsid w:val="00D25D46"/>
    <w:rsid w:val="00D2697D"/>
    <w:rsid w:val="00D26F46"/>
    <w:rsid w:val="00D302EF"/>
    <w:rsid w:val="00D303ED"/>
    <w:rsid w:val="00D31D3F"/>
    <w:rsid w:val="00D320CF"/>
    <w:rsid w:val="00D324DF"/>
    <w:rsid w:val="00D326B0"/>
    <w:rsid w:val="00D338B8"/>
    <w:rsid w:val="00D37EBA"/>
    <w:rsid w:val="00D40A30"/>
    <w:rsid w:val="00D40B34"/>
    <w:rsid w:val="00D4410A"/>
    <w:rsid w:val="00D45FDA"/>
    <w:rsid w:val="00D53DA6"/>
    <w:rsid w:val="00D6056C"/>
    <w:rsid w:val="00D64F52"/>
    <w:rsid w:val="00D65992"/>
    <w:rsid w:val="00D71431"/>
    <w:rsid w:val="00D71802"/>
    <w:rsid w:val="00D71EE7"/>
    <w:rsid w:val="00D7389C"/>
    <w:rsid w:val="00D753C4"/>
    <w:rsid w:val="00D762DF"/>
    <w:rsid w:val="00D76744"/>
    <w:rsid w:val="00D77EC3"/>
    <w:rsid w:val="00D8033A"/>
    <w:rsid w:val="00D8044E"/>
    <w:rsid w:val="00D82C14"/>
    <w:rsid w:val="00D83B84"/>
    <w:rsid w:val="00D84835"/>
    <w:rsid w:val="00D84A65"/>
    <w:rsid w:val="00D8583C"/>
    <w:rsid w:val="00D870C6"/>
    <w:rsid w:val="00D872FD"/>
    <w:rsid w:val="00D91B36"/>
    <w:rsid w:val="00D93129"/>
    <w:rsid w:val="00D94905"/>
    <w:rsid w:val="00D952BC"/>
    <w:rsid w:val="00D973DB"/>
    <w:rsid w:val="00D97573"/>
    <w:rsid w:val="00DA0E2A"/>
    <w:rsid w:val="00DA1580"/>
    <w:rsid w:val="00DA2EE6"/>
    <w:rsid w:val="00DA3AEC"/>
    <w:rsid w:val="00DB12C8"/>
    <w:rsid w:val="00DB1801"/>
    <w:rsid w:val="00DB1C29"/>
    <w:rsid w:val="00DB2A87"/>
    <w:rsid w:val="00DB4786"/>
    <w:rsid w:val="00DB7B7E"/>
    <w:rsid w:val="00DB7B8C"/>
    <w:rsid w:val="00DB7EDD"/>
    <w:rsid w:val="00DC0855"/>
    <w:rsid w:val="00DC0BBD"/>
    <w:rsid w:val="00DC0C51"/>
    <w:rsid w:val="00DC2409"/>
    <w:rsid w:val="00DC296C"/>
    <w:rsid w:val="00DC3139"/>
    <w:rsid w:val="00DC407C"/>
    <w:rsid w:val="00DC4EBD"/>
    <w:rsid w:val="00DC5EFE"/>
    <w:rsid w:val="00DD0175"/>
    <w:rsid w:val="00DD03A5"/>
    <w:rsid w:val="00DD0D5D"/>
    <w:rsid w:val="00DD0D8C"/>
    <w:rsid w:val="00DD0F84"/>
    <w:rsid w:val="00DD1239"/>
    <w:rsid w:val="00DD1C78"/>
    <w:rsid w:val="00DD21FB"/>
    <w:rsid w:val="00DD23C6"/>
    <w:rsid w:val="00DD409C"/>
    <w:rsid w:val="00DD4479"/>
    <w:rsid w:val="00DD44BD"/>
    <w:rsid w:val="00DD5D2A"/>
    <w:rsid w:val="00DD69B1"/>
    <w:rsid w:val="00DD6A6D"/>
    <w:rsid w:val="00DD6D14"/>
    <w:rsid w:val="00DD70AA"/>
    <w:rsid w:val="00DD75B3"/>
    <w:rsid w:val="00DE001A"/>
    <w:rsid w:val="00DE154C"/>
    <w:rsid w:val="00DE2E90"/>
    <w:rsid w:val="00DE539B"/>
    <w:rsid w:val="00DE6F11"/>
    <w:rsid w:val="00DF0355"/>
    <w:rsid w:val="00DF0812"/>
    <w:rsid w:val="00DF18B8"/>
    <w:rsid w:val="00DF36AF"/>
    <w:rsid w:val="00DF6582"/>
    <w:rsid w:val="00E01740"/>
    <w:rsid w:val="00E025AB"/>
    <w:rsid w:val="00E063F5"/>
    <w:rsid w:val="00E070D2"/>
    <w:rsid w:val="00E152C9"/>
    <w:rsid w:val="00E169EB"/>
    <w:rsid w:val="00E16D0D"/>
    <w:rsid w:val="00E20A33"/>
    <w:rsid w:val="00E20F9D"/>
    <w:rsid w:val="00E2213A"/>
    <w:rsid w:val="00E30167"/>
    <w:rsid w:val="00E30F56"/>
    <w:rsid w:val="00E31D30"/>
    <w:rsid w:val="00E32389"/>
    <w:rsid w:val="00E33AEF"/>
    <w:rsid w:val="00E341A1"/>
    <w:rsid w:val="00E34FCD"/>
    <w:rsid w:val="00E35A37"/>
    <w:rsid w:val="00E36D7C"/>
    <w:rsid w:val="00E4084A"/>
    <w:rsid w:val="00E40FD7"/>
    <w:rsid w:val="00E412BD"/>
    <w:rsid w:val="00E41880"/>
    <w:rsid w:val="00E43176"/>
    <w:rsid w:val="00E4449E"/>
    <w:rsid w:val="00E453BA"/>
    <w:rsid w:val="00E45E33"/>
    <w:rsid w:val="00E47004"/>
    <w:rsid w:val="00E50847"/>
    <w:rsid w:val="00E517E0"/>
    <w:rsid w:val="00E54011"/>
    <w:rsid w:val="00E555DB"/>
    <w:rsid w:val="00E56C4E"/>
    <w:rsid w:val="00E6217F"/>
    <w:rsid w:val="00E63E61"/>
    <w:rsid w:val="00E64396"/>
    <w:rsid w:val="00E65E5C"/>
    <w:rsid w:val="00E66E49"/>
    <w:rsid w:val="00E70FED"/>
    <w:rsid w:val="00E722C4"/>
    <w:rsid w:val="00E730E9"/>
    <w:rsid w:val="00E737ED"/>
    <w:rsid w:val="00E73D21"/>
    <w:rsid w:val="00E77CE1"/>
    <w:rsid w:val="00E801A8"/>
    <w:rsid w:val="00E807B6"/>
    <w:rsid w:val="00E80B25"/>
    <w:rsid w:val="00E91D64"/>
    <w:rsid w:val="00E931BB"/>
    <w:rsid w:val="00E939C8"/>
    <w:rsid w:val="00E96424"/>
    <w:rsid w:val="00EB023A"/>
    <w:rsid w:val="00EB1CDF"/>
    <w:rsid w:val="00EB22D0"/>
    <w:rsid w:val="00EB4ED4"/>
    <w:rsid w:val="00EB5563"/>
    <w:rsid w:val="00EB608A"/>
    <w:rsid w:val="00EB6662"/>
    <w:rsid w:val="00EB6FF2"/>
    <w:rsid w:val="00EC2A38"/>
    <w:rsid w:val="00EC31AE"/>
    <w:rsid w:val="00EC5A6E"/>
    <w:rsid w:val="00EC79C6"/>
    <w:rsid w:val="00EC7D13"/>
    <w:rsid w:val="00ED2326"/>
    <w:rsid w:val="00ED2FC8"/>
    <w:rsid w:val="00ED387C"/>
    <w:rsid w:val="00EE1763"/>
    <w:rsid w:val="00EE2B64"/>
    <w:rsid w:val="00EE46DD"/>
    <w:rsid w:val="00EE4C77"/>
    <w:rsid w:val="00EE72A9"/>
    <w:rsid w:val="00EE7D46"/>
    <w:rsid w:val="00EF083B"/>
    <w:rsid w:val="00EF0BF3"/>
    <w:rsid w:val="00EF23D2"/>
    <w:rsid w:val="00EF4A36"/>
    <w:rsid w:val="00EF7D37"/>
    <w:rsid w:val="00F0089C"/>
    <w:rsid w:val="00F02446"/>
    <w:rsid w:val="00F033DC"/>
    <w:rsid w:val="00F07767"/>
    <w:rsid w:val="00F07AE1"/>
    <w:rsid w:val="00F1179E"/>
    <w:rsid w:val="00F13167"/>
    <w:rsid w:val="00F15FF8"/>
    <w:rsid w:val="00F164D6"/>
    <w:rsid w:val="00F1690A"/>
    <w:rsid w:val="00F2245F"/>
    <w:rsid w:val="00F22E5F"/>
    <w:rsid w:val="00F23671"/>
    <w:rsid w:val="00F23B1D"/>
    <w:rsid w:val="00F23C3C"/>
    <w:rsid w:val="00F301DC"/>
    <w:rsid w:val="00F30C4F"/>
    <w:rsid w:val="00F30F13"/>
    <w:rsid w:val="00F3197B"/>
    <w:rsid w:val="00F32577"/>
    <w:rsid w:val="00F34A9C"/>
    <w:rsid w:val="00F36406"/>
    <w:rsid w:val="00F364FB"/>
    <w:rsid w:val="00F3657B"/>
    <w:rsid w:val="00F40E7A"/>
    <w:rsid w:val="00F42104"/>
    <w:rsid w:val="00F44920"/>
    <w:rsid w:val="00F46F37"/>
    <w:rsid w:val="00F47B9E"/>
    <w:rsid w:val="00F541B8"/>
    <w:rsid w:val="00F54876"/>
    <w:rsid w:val="00F56FCF"/>
    <w:rsid w:val="00F641C5"/>
    <w:rsid w:val="00F71C0C"/>
    <w:rsid w:val="00F7219B"/>
    <w:rsid w:val="00F72733"/>
    <w:rsid w:val="00F74101"/>
    <w:rsid w:val="00F74CCA"/>
    <w:rsid w:val="00F75FF2"/>
    <w:rsid w:val="00F76C23"/>
    <w:rsid w:val="00F770DA"/>
    <w:rsid w:val="00F77CDC"/>
    <w:rsid w:val="00F77E90"/>
    <w:rsid w:val="00F811FA"/>
    <w:rsid w:val="00F929B4"/>
    <w:rsid w:val="00F94138"/>
    <w:rsid w:val="00F9462A"/>
    <w:rsid w:val="00F96217"/>
    <w:rsid w:val="00F9624B"/>
    <w:rsid w:val="00F97567"/>
    <w:rsid w:val="00FA155A"/>
    <w:rsid w:val="00FA3AC8"/>
    <w:rsid w:val="00FA3C6C"/>
    <w:rsid w:val="00FA5AE7"/>
    <w:rsid w:val="00FA5B9A"/>
    <w:rsid w:val="00FA6D71"/>
    <w:rsid w:val="00FB19D3"/>
    <w:rsid w:val="00FB20F3"/>
    <w:rsid w:val="00FB6224"/>
    <w:rsid w:val="00FC00FC"/>
    <w:rsid w:val="00FC03A3"/>
    <w:rsid w:val="00FC31DA"/>
    <w:rsid w:val="00FC49AC"/>
    <w:rsid w:val="00FC6D42"/>
    <w:rsid w:val="00FC71FA"/>
    <w:rsid w:val="00FC7753"/>
    <w:rsid w:val="00FC77D6"/>
    <w:rsid w:val="00FD064B"/>
    <w:rsid w:val="00FD198A"/>
    <w:rsid w:val="00FD29A3"/>
    <w:rsid w:val="00FD2D51"/>
    <w:rsid w:val="00FD373D"/>
    <w:rsid w:val="00FD54B1"/>
    <w:rsid w:val="00FD5DA9"/>
    <w:rsid w:val="00FD64CA"/>
    <w:rsid w:val="00FD74BC"/>
    <w:rsid w:val="00FE229C"/>
    <w:rsid w:val="00FE2AD1"/>
    <w:rsid w:val="00FE5D0B"/>
    <w:rsid w:val="00FF1A73"/>
    <w:rsid w:val="00FF232B"/>
    <w:rsid w:val="00FF6CD9"/>
    <w:rsid w:val="00FF731E"/>
    <w:rsid w:val="00FF78FC"/>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ACF204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lsdException w:name="Body Text Indent 3" w:semiHidden="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1DFE"/>
    <w:pPr>
      <w:spacing w:before="120" w:after="120" w:line="240" w:lineRule="auto"/>
    </w:pPr>
    <w:rPr>
      <w:sz w:val="21"/>
      <w:lang w:val="en-GB"/>
    </w:rPr>
  </w:style>
  <w:style w:type="paragraph" w:styleId="Heading1">
    <w:name w:val="heading 1"/>
    <w:basedOn w:val="Normal"/>
    <w:next w:val="Normal"/>
    <w:link w:val="Heading1Char"/>
    <w:uiPriority w:val="9"/>
    <w:qFormat/>
    <w:rsid w:val="00C27C75"/>
    <w:pPr>
      <w:keepNext/>
      <w:keepLines/>
      <w:pageBreakBefore/>
      <w:numPr>
        <w:numId w:val="9"/>
      </w:numPr>
      <w:spacing w:after="360"/>
      <w:outlineLvl w:val="0"/>
    </w:pPr>
    <w:rPr>
      <w:rFonts w:asciiTheme="majorHAnsi" w:eastAsiaTheme="majorEastAsia" w:hAnsiTheme="majorHAnsi" w:cstheme="majorBidi"/>
      <w:color w:val="006EC8" w:themeColor="accent1"/>
      <w:sz w:val="32"/>
      <w:szCs w:val="32"/>
    </w:rPr>
  </w:style>
  <w:style w:type="paragraph" w:styleId="Heading2">
    <w:name w:val="heading 2"/>
    <w:basedOn w:val="Normal"/>
    <w:next w:val="Normal"/>
    <w:link w:val="Heading2Char"/>
    <w:uiPriority w:val="9"/>
    <w:qFormat/>
    <w:rsid w:val="000211C1"/>
    <w:pPr>
      <w:keepNext/>
      <w:keepLines/>
      <w:numPr>
        <w:ilvl w:val="1"/>
        <w:numId w:val="9"/>
      </w:numPr>
      <w:spacing w:before="360" w:after="180"/>
      <w:outlineLvl w:val="1"/>
    </w:pPr>
    <w:rPr>
      <w:rFonts w:asciiTheme="majorHAnsi" w:eastAsiaTheme="majorEastAsia" w:hAnsiTheme="majorHAnsi" w:cstheme="majorBidi"/>
      <w:color w:val="006EC8" w:themeColor="accent1"/>
      <w:sz w:val="28"/>
      <w:szCs w:val="28"/>
    </w:rPr>
  </w:style>
  <w:style w:type="paragraph" w:styleId="Heading3">
    <w:name w:val="heading 3"/>
    <w:basedOn w:val="Normal"/>
    <w:next w:val="Normal"/>
    <w:link w:val="Heading3Char"/>
    <w:uiPriority w:val="9"/>
    <w:qFormat/>
    <w:rsid w:val="00B130A5"/>
    <w:pPr>
      <w:keepNext/>
      <w:keepLines/>
      <w:numPr>
        <w:ilvl w:val="2"/>
        <w:numId w:val="9"/>
      </w:numPr>
      <w:spacing w:before="300"/>
      <w:outlineLvl w:val="2"/>
    </w:pPr>
    <w:rPr>
      <w:rFonts w:asciiTheme="majorHAnsi" w:eastAsiaTheme="majorEastAsia" w:hAnsiTheme="majorHAnsi" w:cstheme="majorBidi"/>
      <w:color w:val="006EC8" w:themeColor="accent1"/>
      <w:sz w:val="24"/>
      <w:szCs w:val="24"/>
    </w:rPr>
  </w:style>
  <w:style w:type="paragraph" w:styleId="Heading4">
    <w:name w:val="heading 4"/>
    <w:basedOn w:val="Normal"/>
    <w:next w:val="Normal"/>
    <w:link w:val="Heading4Char"/>
    <w:uiPriority w:val="9"/>
    <w:qFormat/>
    <w:rsid w:val="000211C1"/>
    <w:pPr>
      <w:keepNext/>
      <w:keepLines/>
      <w:numPr>
        <w:ilvl w:val="3"/>
        <w:numId w:val="9"/>
      </w:numPr>
      <w:spacing w:before="300"/>
      <w:outlineLvl w:val="3"/>
    </w:pPr>
    <w:rPr>
      <w:rFonts w:asciiTheme="majorHAnsi" w:eastAsiaTheme="majorEastAsia" w:hAnsiTheme="majorHAnsi" w:cstheme="majorBidi"/>
      <w:color w:val="006EC8" w:themeColor="accent1"/>
    </w:rPr>
  </w:style>
  <w:style w:type="paragraph" w:styleId="Heading5">
    <w:name w:val="heading 5"/>
    <w:aliases w:val="Appendix heading 1,Caption (figure)"/>
    <w:basedOn w:val="Normal"/>
    <w:next w:val="Normal"/>
    <w:link w:val="Heading5Char"/>
    <w:uiPriority w:val="9"/>
    <w:unhideWhenUsed/>
    <w:qFormat/>
    <w:rsid w:val="007F7302"/>
    <w:pPr>
      <w:keepNext/>
      <w:keepLines/>
      <w:pageBreakBefore/>
      <w:numPr>
        <w:numId w:val="8"/>
      </w:numPr>
      <w:spacing w:after="360"/>
      <w:ind w:left="1985" w:hanging="1985"/>
      <w:outlineLvl w:val="4"/>
    </w:pPr>
    <w:rPr>
      <w:rFonts w:asciiTheme="majorHAnsi" w:eastAsiaTheme="majorEastAsia" w:hAnsiTheme="majorHAnsi" w:cstheme="majorBidi"/>
      <w:noProof/>
      <w:color w:val="006EC8" w:themeColor="accent1"/>
      <w:sz w:val="32"/>
      <w:szCs w:val="32"/>
    </w:rPr>
  </w:style>
  <w:style w:type="paragraph" w:styleId="Heading6">
    <w:name w:val="heading 6"/>
    <w:aliases w:val="Appendix heading 2,Caption (table)"/>
    <w:basedOn w:val="Normal"/>
    <w:next w:val="Normal"/>
    <w:link w:val="Heading6Char"/>
    <w:uiPriority w:val="9"/>
    <w:unhideWhenUsed/>
    <w:qFormat/>
    <w:rsid w:val="00F47B9E"/>
    <w:pPr>
      <w:keepNext/>
      <w:keepLines/>
      <w:numPr>
        <w:ilvl w:val="1"/>
        <w:numId w:val="8"/>
      </w:numPr>
      <w:tabs>
        <w:tab w:val="clear" w:pos="851"/>
      </w:tabs>
      <w:spacing w:before="360" w:after="180"/>
      <w:outlineLvl w:val="5"/>
    </w:pPr>
    <w:rPr>
      <w:rFonts w:asciiTheme="majorHAnsi" w:eastAsiaTheme="majorEastAsia" w:hAnsiTheme="majorHAnsi" w:cstheme="majorBidi"/>
      <w:noProof/>
      <w:color w:val="006EC8" w:themeColor="accent1"/>
      <w:sz w:val="28"/>
      <w:szCs w:val="28"/>
    </w:rPr>
  </w:style>
  <w:style w:type="paragraph" w:styleId="Heading7">
    <w:name w:val="heading 7"/>
    <w:aliases w:val="Appendix heading 3"/>
    <w:basedOn w:val="Heading6"/>
    <w:next w:val="Normal"/>
    <w:link w:val="Heading7Char"/>
    <w:unhideWhenUsed/>
    <w:qFormat/>
    <w:rsid w:val="00F47B9E"/>
    <w:pPr>
      <w:numPr>
        <w:ilvl w:val="2"/>
      </w:numPr>
      <w:tabs>
        <w:tab w:val="clear" w:pos="851"/>
      </w:tabs>
      <w:spacing w:before="300" w:after="120"/>
      <w:outlineLvl w:val="6"/>
    </w:pPr>
    <w:rPr>
      <w:sz w:val="24"/>
      <w:szCs w:val="22"/>
    </w:rPr>
  </w:style>
  <w:style w:type="paragraph" w:styleId="Heading8">
    <w:name w:val="heading 8"/>
    <w:aliases w:val="Appendix heading 4"/>
    <w:basedOn w:val="Heading6"/>
    <w:next w:val="Normal"/>
    <w:link w:val="Heading8Char"/>
    <w:unhideWhenUsed/>
    <w:qFormat/>
    <w:rsid w:val="00F47B9E"/>
    <w:pPr>
      <w:numPr>
        <w:ilvl w:val="3"/>
      </w:numPr>
      <w:spacing w:before="300" w:after="120"/>
      <w:outlineLvl w:val="7"/>
    </w:pPr>
    <w:rPr>
      <w:sz w:val="22"/>
      <w:szCs w:val="20"/>
    </w:rPr>
  </w:style>
  <w:style w:type="paragraph" w:styleId="Heading9">
    <w:name w:val="heading 9"/>
    <w:basedOn w:val="ListNumber3"/>
    <w:next w:val="Normal"/>
    <w:link w:val="Heading9Char"/>
    <w:qFormat/>
    <w:rsid w:val="005A678F"/>
    <w:pPr>
      <w:ind w:left="1224" w:hanging="50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7C75"/>
    <w:rPr>
      <w:rFonts w:asciiTheme="majorHAnsi" w:eastAsiaTheme="majorEastAsia" w:hAnsiTheme="majorHAnsi" w:cstheme="majorBidi"/>
      <w:color w:val="006EC8" w:themeColor="accent1"/>
      <w:sz w:val="32"/>
      <w:szCs w:val="32"/>
      <w:lang w:val="en-GB"/>
    </w:rPr>
  </w:style>
  <w:style w:type="character" w:customStyle="1" w:styleId="Heading2Char">
    <w:name w:val="Heading 2 Char"/>
    <w:basedOn w:val="DefaultParagraphFont"/>
    <w:link w:val="Heading2"/>
    <w:uiPriority w:val="9"/>
    <w:rsid w:val="00171A1C"/>
    <w:rPr>
      <w:rFonts w:asciiTheme="majorHAnsi" w:eastAsiaTheme="majorEastAsia" w:hAnsiTheme="majorHAnsi" w:cstheme="majorBidi"/>
      <w:color w:val="006EC8" w:themeColor="accent1"/>
      <w:sz w:val="28"/>
      <w:szCs w:val="28"/>
      <w:lang w:val="en-GB"/>
    </w:rPr>
  </w:style>
  <w:style w:type="character" w:customStyle="1" w:styleId="Heading3Char">
    <w:name w:val="Heading 3 Char"/>
    <w:basedOn w:val="DefaultParagraphFont"/>
    <w:link w:val="Heading3"/>
    <w:uiPriority w:val="9"/>
    <w:rsid w:val="00171A1C"/>
    <w:rPr>
      <w:rFonts w:asciiTheme="majorHAnsi" w:eastAsiaTheme="majorEastAsia" w:hAnsiTheme="majorHAnsi" w:cstheme="majorBidi"/>
      <w:color w:val="006EC8" w:themeColor="accent1"/>
      <w:sz w:val="24"/>
      <w:szCs w:val="24"/>
      <w:lang w:val="en-GB"/>
    </w:rPr>
  </w:style>
  <w:style w:type="character" w:customStyle="1" w:styleId="Heading4Char">
    <w:name w:val="Heading 4 Char"/>
    <w:basedOn w:val="DefaultParagraphFont"/>
    <w:link w:val="Heading4"/>
    <w:uiPriority w:val="9"/>
    <w:rsid w:val="00171A1C"/>
    <w:rPr>
      <w:rFonts w:asciiTheme="majorHAnsi" w:eastAsiaTheme="majorEastAsia" w:hAnsiTheme="majorHAnsi" w:cstheme="majorBidi"/>
      <w:color w:val="006EC8" w:themeColor="accent1"/>
      <w:lang w:val="en-GB"/>
    </w:rPr>
  </w:style>
  <w:style w:type="character" w:customStyle="1" w:styleId="Heading5Char">
    <w:name w:val="Heading 5 Char"/>
    <w:aliases w:val="Appendix heading 1 Char,Caption (figure) Char"/>
    <w:basedOn w:val="DefaultParagraphFont"/>
    <w:link w:val="Heading5"/>
    <w:uiPriority w:val="9"/>
    <w:rsid w:val="007F7302"/>
    <w:rPr>
      <w:rFonts w:asciiTheme="majorHAnsi" w:eastAsiaTheme="majorEastAsia" w:hAnsiTheme="majorHAnsi" w:cstheme="majorBidi"/>
      <w:noProof/>
      <w:color w:val="006EC8" w:themeColor="accent1"/>
      <w:sz w:val="32"/>
      <w:szCs w:val="32"/>
      <w:lang w:val="en-GB"/>
    </w:rPr>
  </w:style>
  <w:style w:type="character" w:customStyle="1" w:styleId="Heading6Char">
    <w:name w:val="Heading 6 Char"/>
    <w:aliases w:val="Appendix heading 2 Char,Caption (table) Char"/>
    <w:basedOn w:val="DefaultParagraphFont"/>
    <w:link w:val="Heading6"/>
    <w:uiPriority w:val="9"/>
    <w:rsid w:val="00F47B9E"/>
    <w:rPr>
      <w:rFonts w:asciiTheme="majorHAnsi" w:eastAsiaTheme="majorEastAsia" w:hAnsiTheme="majorHAnsi" w:cstheme="majorBidi"/>
      <w:noProof/>
      <w:color w:val="006EC8" w:themeColor="accent1"/>
      <w:sz w:val="28"/>
      <w:szCs w:val="28"/>
      <w:lang w:val="en-GB"/>
    </w:rPr>
  </w:style>
  <w:style w:type="character" w:customStyle="1" w:styleId="Heading7Char">
    <w:name w:val="Heading 7 Char"/>
    <w:aliases w:val="Appendix heading 3 Char"/>
    <w:basedOn w:val="DefaultParagraphFont"/>
    <w:link w:val="Heading7"/>
    <w:uiPriority w:val="9"/>
    <w:rsid w:val="00F47B9E"/>
    <w:rPr>
      <w:rFonts w:asciiTheme="majorHAnsi" w:eastAsiaTheme="majorEastAsia" w:hAnsiTheme="majorHAnsi" w:cstheme="majorBidi"/>
      <w:noProof/>
      <w:color w:val="006EC8" w:themeColor="accent1"/>
      <w:sz w:val="24"/>
      <w:lang w:val="en-GB"/>
    </w:rPr>
  </w:style>
  <w:style w:type="character" w:customStyle="1" w:styleId="Heading8Char">
    <w:name w:val="Heading 8 Char"/>
    <w:aliases w:val="Appendix heading 4 Char"/>
    <w:basedOn w:val="DefaultParagraphFont"/>
    <w:link w:val="Heading8"/>
    <w:uiPriority w:val="9"/>
    <w:rsid w:val="00F47B9E"/>
    <w:rPr>
      <w:rFonts w:asciiTheme="majorHAnsi" w:eastAsiaTheme="majorEastAsia" w:hAnsiTheme="majorHAnsi" w:cstheme="majorBidi"/>
      <w:noProof/>
      <w:color w:val="006EC8" w:themeColor="accent1"/>
      <w:szCs w:val="20"/>
      <w:lang w:val="en-GB"/>
    </w:rPr>
  </w:style>
  <w:style w:type="character" w:customStyle="1" w:styleId="Heading9Char">
    <w:name w:val="Heading 9 Char"/>
    <w:basedOn w:val="DefaultParagraphFont"/>
    <w:link w:val="Heading9"/>
    <w:semiHidden/>
    <w:rsid w:val="009E7F48"/>
    <w:rPr>
      <w:lang w:val="en-GB"/>
    </w:rPr>
  </w:style>
  <w:style w:type="paragraph" w:styleId="ListBullet">
    <w:name w:val="List Bullet"/>
    <w:basedOn w:val="Normal"/>
    <w:uiPriority w:val="99"/>
    <w:semiHidden/>
    <w:rsid w:val="00A67C04"/>
    <w:pPr>
      <w:numPr>
        <w:numId w:val="1"/>
      </w:numPr>
    </w:pPr>
  </w:style>
  <w:style w:type="paragraph" w:styleId="ListBullet2">
    <w:name w:val="List Bullet 2"/>
    <w:basedOn w:val="Normal"/>
    <w:uiPriority w:val="99"/>
    <w:semiHidden/>
    <w:rsid w:val="00A67C04"/>
    <w:pPr>
      <w:numPr>
        <w:numId w:val="2"/>
      </w:numPr>
      <w:ind w:left="0"/>
    </w:pPr>
  </w:style>
  <w:style w:type="paragraph" w:styleId="ListBullet3">
    <w:name w:val="List Bullet 3"/>
    <w:basedOn w:val="Normal"/>
    <w:uiPriority w:val="99"/>
    <w:semiHidden/>
    <w:rsid w:val="00A67C04"/>
    <w:pPr>
      <w:numPr>
        <w:numId w:val="3"/>
      </w:numPr>
      <w:ind w:left="1071" w:hanging="357"/>
    </w:pPr>
  </w:style>
  <w:style w:type="character" w:styleId="Emphasis">
    <w:name w:val="Emphasis"/>
    <w:aliases w:val="*Italic"/>
    <w:basedOn w:val="DefaultParagraphFont"/>
    <w:uiPriority w:val="20"/>
    <w:qFormat/>
    <w:rsid w:val="009D5663"/>
    <w:rPr>
      <w:i/>
      <w:iCs/>
    </w:rPr>
  </w:style>
  <w:style w:type="character" w:styleId="Strong">
    <w:name w:val="Strong"/>
    <w:aliases w:val="*Bold"/>
    <w:basedOn w:val="DefaultParagraphFont"/>
    <w:uiPriority w:val="22"/>
    <w:qFormat/>
    <w:rsid w:val="009D5663"/>
    <w:rPr>
      <w:b/>
      <w:bCs/>
    </w:rPr>
  </w:style>
  <w:style w:type="paragraph" w:customStyle="1" w:styleId="NNheading1">
    <w:name w:val="NN heading 1"/>
    <w:basedOn w:val="Heading1"/>
    <w:next w:val="Normal"/>
    <w:qFormat/>
    <w:rsid w:val="006C47B4"/>
    <w:pPr>
      <w:pageBreakBefore w:val="0"/>
      <w:numPr>
        <w:numId w:val="0"/>
      </w:numPr>
    </w:pPr>
  </w:style>
  <w:style w:type="paragraph" w:customStyle="1" w:styleId="NNheading2">
    <w:name w:val="NN heading 2"/>
    <w:basedOn w:val="Heading2"/>
    <w:next w:val="Normal"/>
    <w:qFormat/>
    <w:rsid w:val="00597642"/>
    <w:pPr>
      <w:numPr>
        <w:ilvl w:val="0"/>
        <w:numId w:val="0"/>
      </w:numPr>
    </w:pPr>
  </w:style>
  <w:style w:type="paragraph" w:customStyle="1" w:styleId="NNheading3">
    <w:name w:val="NN heading 3"/>
    <w:basedOn w:val="Sectionnumber"/>
    <w:next w:val="Normal"/>
    <w:qFormat/>
    <w:rsid w:val="006A71C0"/>
    <w:pPr>
      <w:spacing w:before="300" w:after="120" w:line="240" w:lineRule="auto"/>
      <w:jc w:val="left"/>
    </w:pPr>
    <w:rPr>
      <w:rFonts w:ascii="Blanco" w:hAnsi="Blanco"/>
      <w:caps w:val="0"/>
      <w:color w:val="006EC8" w:themeColor="accent1"/>
      <w:sz w:val="24"/>
    </w:rPr>
  </w:style>
  <w:style w:type="paragraph" w:customStyle="1" w:styleId="NNheading4">
    <w:name w:val="NN heading 4"/>
    <w:basedOn w:val="Heading4"/>
    <w:next w:val="Normal"/>
    <w:qFormat/>
    <w:rsid w:val="00597642"/>
    <w:pPr>
      <w:numPr>
        <w:ilvl w:val="0"/>
        <w:numId w:val="0"/>
      </w:numPr>
    </w:pPr>
  </w:style>
  <w:style w:type="paragraph" w:customStyle="1" w:styleId="Headerheading">
    <w:name w:val="Header heading"/>
    <w:basedOn w:val="Header"/>
    <w:qFormat/>
    <w:rsid w:val="00AD742F"/>
    <w:pPr>
      <w:framePr w:hSpace="180" w:wrap="around" w:vAnchor="text" w:hAnchor="text" w:x="7230" w:y="1"/>
      <w:spacing w:before="280"/>
      <w:suppressOverlap/>
    </w:pPr>
    <w:rPr>
      <w:b/>
      <w:color w:val="006EC8" w:themeColor="accent1"/>
    </w:rPr>
  </w:style>
  <w:style w:type="table" w:styleId="TableGrid">
    <w:name w:val="Table Grid"/>
    <w:basedOn w:val="TableNormal"/>
    <w:uiPriority w:val="39"/>
    <w:rsid w:val="000D21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FRecoomendationtable">
    <w:name w:val="TF_Recoomendation table"/>
    <w:basedOn w:val="TableNormal"/>
    <w:uiPriority w:val="99"/>
    <w:rsid w:val="00DA1580"/>
    <w:pPr>
      <w:spacing w:after="0" w:line="240" w:lineRule="auto"/>
    </w:pPr>
    <w:tblPr>
      <w:tblBorders>
        <w:top w:val="single" w:sz="4" w:space="0" w:color="006EC8" w:themeColor="accent1"/>
        <w:bottom w:val="single" w:sz="4" w:space="0" w:color="006EC8" w:themeColor="accent1"/>
      </w:tblBorders>
      <w:tblCellMar>
        <w:top w:w="57" w:type="dxa"/>
        <w:left w:w="0" w:type="dxa"/>
        <w:bottom w:w="57" w:type="dxa"/>
        <w:right w:w="0" w:type="dxa"/>
      </w:tblCellMar>
    </w:tblPr>
  </w:style>
  <w:style w:type="paragraph" w:customStyle="1" w:styleId="Headerlogo">
    <w:name w:val="Header logo"/>
    <w:basedOn w:val="Header"/>
    <w:qFormat/>
    <w:rsid w:val="00AD742F"/>
    <w:pPr>
      <w:jc w:val="right"/>
    </w:pPr>
  </w:style>
  <w:style w:type="paragraph" w:styleId="Title">
    <w:name w:val="Title"/>
    <w:aliases w:val="Cover title"/>
    <w:basedOn w:val="Normal"/>
    <w:next w:val="Normal"/>
    <w:link w:val="TitleChar"/>
    <w:uiPriority w:val="10"/>
    <w:qFormat/>
    <w:rsid w:val="002D1C31"/>
    <w:pPr>
      <w:spacing w:line="216" w:lineRule="auto"/>
    </w:pPr>
    <w:rPr>
      <w:b/>
      <w:bCs/>
      <w:color w:val="FFFFFF"/>
      <w:sz w:val="56"/>
      <w:szCs w:val="56"/>
    </w:rPr>
  </w:style>
  <w:style w:type="character" w:customStyle="1" w:styleId="TitleChar">
    <w:name w:val="Title Char"/>
    <w:aliases w:val="Cover title Char"/>
    <w:basedOn w:val="DefaultParagraphFont"/>
    <w:link w:val="Title"/>
    <w:uiPriority w:val="10"/>
    <w:rsid w:val="002D1C31"/>
    <w:rPr>
      <w:b/>
      <w:bCs/>
      <w:color w:val="FFFFFF"/>
      <w:sz w:val="56"/>
      <w:szCs w:val="56"/>
      <w:lang w:val="en-GB"/>
    </w:rPr>
  </w:style>
  <w:style w:type="paragraph" w:styleId="Subtitle">
    <w:name w:val="Subtitle"/>
    <w:aliases w:val="Cover subtitle"/>
    <w:basedOn w:val="Normal"/>
    <w:next w:val="Normal"/>
    <w:link w:val="SubtitleChar"/>
    <w:uiPriority w:val="11"/>
    <w:qFormat/>
    <w:rsid w:val="002D1C31"/>
    <w:pPr>
      <w:spacing w:before="560"/>
    </w:pPr>
    <w:rPr>
      <w:sz w:val="36"/>
      <w:szCs w:val="36"/>
    </w:rPr>
  </w:style>
  <w:style w:type="character" w:customStyle="1" w:styleId="SubtitleChar">
    <w:name w:val="Subtitle Char"/>
    <w:aliases w:val="Cover subtitle Char"/>
    <w:basedOn w:val="DefaultParagraphFont"/>
    <w:link w:val="Subtitle"/>
    <w:uiPriority w:val="11"/>
    <w:rsid w:val="002D1C31"/>
    <w:rPr>
      <w:sz w:val="36"/>
      <w:szCs w:val="36"/>
      <w:lang w:val="en-GB"/>
    </w:rPr>
  </w:style>
  <w:style w:type="paragraph" w:customStyle="1" w:styleId="Coverdate">
    <w:name w:val="Cover date"/>
    <w:basedOn w:val="Normal"/>
    <w:qFormat/>
    <w:rsid w:val="002D1C31"/>
    <w:pPr>
      <w:spacing w:before="360"/>
    </w:pPr>
    <w:rPr>
      <w:sz w:val="24"/>
      <w:szCs w:val="24"/>
    </w:rPr>
  </w:style>
  <w:style w:type="paragraph" w:customStyle="1" w:styleId="Bullet1">
    <w:name w:val="Bullet 1"/>
    <w:basedOn w:val="Normal"/>
    <w:next w:val="Normal"/>
    <w:qFormat/>
    <w:rsid w:val="00E35A37"/>
    <w:pPr>
      <w:numPr>
        <w:numId w:val="12"/>
      </w:numPr>
    </w:pPr>
  </w:style>
  <w:style w:type="paragraph" w:customStyle="1" w:styleId="Bullet2">
    <w:name w:val="Bullet 2"/>
    <w:basedOn w:val="Normal"/>
    <w:next w:val="Normal"/>
    <w:qFormat/>
    <w:rsid w:val="008265B5"/>
    <w:pPr>
      <w:numPr>
        <w:ilvl w:val="1"/>
        <w:numId w:val="12"/>
      </w:numPr>
      <w:ind w:hanging="357"/>
    </w:pPr>
  </w:style>
  <w:style w:type="paragraph" w:customStyle="1" w:styleId="Bullet3">
    <w:name w:val="Bullet 3"/>
    <w:basedOn w:val="Bullet2"/>
    <w:next w:val="Normal"/>
    <w:qFormat/>
    <w:rsid w:val="008265B5"/>
    <w:pPr>
      <w:numPr>
        <w:ilvl w:val="2"/>
      </w:numPr>
      <w:ind w:left="1071" w:hanging="357"/>
    </w:pPr>
  </w:style>
  <w:style w:type="character" w:customStyle="1" w:styleId="BoldItalic">
    <w:name w:val="*Bold + Italic"/>
    <w:basedOn w:val="DefaultParagraphFont"/>
    <w:uiPriority w:val="1"/>
    <w:qFormat/>
    <w:rsid w:val="005D60DA"/>
    <w:rPr>
      <w:b/>
      <w:i/>
    </w:rPr>
  </w:style>
  <w:style w:type="character" w:customStyle="1" w:styleId="ALLCAPS">
    <w:name w:val="*ALL CAPS"/>
    <w:basedOn w:val="DefaultParagraphFont"/>
    <w:uiPriority w:val="1"/>
    <w:qFormat/>
    <w:rsid w:val="00DC296C"/>
    <w:rPr>
      <w:caps/>
      <w:smallCaps w:val="0"/>
    </w:rPr>
  </w:style>
  <w:style w:type="character" w:customStyle="1" w:styleId="Superscript">
    <w:name w:val="*Superscript"/>
    <w:basedOn w:val="DefaultParagraphFont"/>
    <w:uiPriority w:val="1"/>
    <w:qFormat/>
    <w:rsid w:val="00DC296C"/>
    <w:rPr>
      <w:vertAlign w:val="superscript"/>
    </w:rPr>
  </w:style>
  <w:style w:type="character" w:customStyle="1" w:styleId="Subscript">
    <w:name w:val="*Subscript"/>
    <w:basedOn w:val="DefaultParagraphFont"/>
    <w:uiPriority w:val="1"/>
    <w:qFormat/>
    <w:rsid w:val="00DC296C"/>
    <w:rPr>
      <w:vertAlign w:val="subscript"/>
    </w:rPr>
  </w:style>
  <w:style w:type="character" w:customStyle="1" w:styleId="Accentcolour1">
    <w:name w:val="*Accent colour 1"/>
    <w:basedOn w:val="DefaultParagraphFont"/>
    <w:uiPriority w:val="1"/>
    <w:qFormat/>
    <w:rsid w:val="00E070D2"/>
    <w:rPr>
      <w:color w:val="006EC8" w:themeColor="accent1"/>
    </w:rPr>
  </w:style>
  <w:style w:type="character" w:customStyle="1" w:styleId="Accentcolour2">
    <w:name w:val="*Accent colour 2"/>
    <w:basedOn w:val="DefaultParagraphFont"/>
    <w:uiPriority w:val="1"/>
    <w:qFormat/>
    <w:rsid w:val="00E070D2"/>
    <w:rPr>
      <w:color w:val="00BEE6" w:themeColor="accent2"/>
    </w:rPr>
  </w:style>
  <w:style w:type="character" w:customStyle="1" w:styleId="Accentcolour3">
    <w:name w:val="*Accent colour 3"/>
    <w:basedOn w:val="DefaultParagraphFont"/>
    <w:uiPriority w:val="1"/>
    <w:qFormat/>
    <w:rsid w:val="00E070D2"/>
    <w:rPr>
      <w:color w:val="FFDC00" w:themeColor="accent3"/>
    </w:rPr>
  </w:style>
  <w:style w:type="character" w:customStyle="1" w:styleId="Accentcolour4">
    <w:name w:val="*Accent colour 4"/>
    <w:basedOn w:val="DefaultParagraphFont"/>
    <w:uiPriority w:val="1"/>
    <w:qFormat/>
    <w:rsid w:val="00E070D2"/>
    <w:rPr>
      <w:color w:val="993399" w:themeColor="accent4"/>
    </w:rPr>
  </w:style>
  <w:style w:type="character" w:customStyle="1" w:styleId="Accentcolour5">
    <w:name w:val="*Accent colour 5"/>
    <w:basedOn w:val="DefaultParagraphFont"/>
    <w:uiPriority w:val="1"/>
    <w:qFormat/>
    <w:rsid w:val="00E070D2"/>
    <w:rPr>
      <w:color w:val="FF1452" w:themeColor="accent5"/>
    </w:rPr>
  </w:style>
  <w:style w:type="character" w:customStyle="1" w:styleId="Accentcolour6">
    <w:name w:val="*Accent colour 6"/>
    <w:basedOn w:val="DefaultParagraphFont"/>
    <w:uiPriority w:val="1"/>
    <w:qFormat/>
    <w:rsid w:val="00E070D2"/>
    <w:rPr>
      <w:color w:val="00E0BF" w:themeColor="accent6"/>
    </w:rPr>
  </w:style>
  <w:style w:type="character" w:customStyle="1" w:styleId="Accentcolour1bold">
    <w:name w:val="*Accent colour 1 bold"/>
    <w:basedOn w:val="Accentcolour1"/>
    <w:uiPriority w:val="1"/>
    <w:qFormat/>
    <w:rsid w:val="00CE040D"/>
    <w:rPr>
      <w:b/>
      <w:color w:val="006EC8" w:themeColor="accent1"/>
    </w:rPr>
  </w:style>
  <w:style w:type="character" w:customStyle="1" w:styleId="Accentcolour2bold">
    <w:name w:val="*Accent colour 2 bold"/>
    <w:basedOn w:val="Accentcolour2"/>
    <w:uiPriority w:val="1"/>
    <w:qFormat/>
    <w:rsid w:val="00F54876"/>
    <w:rPr>
      <w:b/>
      <w:color w:val="00BEE6" w:themeColor="accent2"/>
    </w:rPr>
  </w:style>
  <w:style w:type="character" w:customStyle="1" w:styleId="Accentcolour3bold">
    <w:name w:val="*Accent colour 3 bold"/>
    <w:basedOn w:val="Accentcolour3"/>
    <w:uiPriority w:val="1"/>
    <w:qFormat/>
    <w:rsid w:val="00F54876"/>
    <w:rPr>
      <w:b/>
      <w:color w:val="FFDC00" w:themeColor="accent3"/>
    </w:rPr>
  </w:style>
  <w:style w:type="character" w:customStyle="1" w:styleId="Accentcolour4bold">
    <w:name w:val="*Accent colour 4 bold"/>
    <w:basedOn w:val="Accentcolour4"/>
    <w:uiPriority w:val="1"/>
    <w:qFormat/>
    <w:rsid w:val="00F54876"/>
    <w:rPr>
      <w:b/>
      <w:color w:val="993399" w:themeColor="accent4"/>
    </w:rPr>
  </w:style>
  <w:style w:type="character" w:customStyle="1" w:styleId="Accentcolour5bold">
    <w:name w:val="*Accent colour 5 bold"/>
    <w:basedOn w:val="Accentcolour5"/>
    <w:uiPriority w:val="1"/>
    <w:qFormat/>
    <w:rsid w:val="00F54876"/>
    <w:rPr>
      <w:b/>
      <w:color w:val="FF1452" w:themeColor="accent5"/>
    </w:rPr>
  </w:style>
  <w:style w:type="character" w:customStyle="1" w:styleId="Accentcolour6bold">
    <w:name w:val="*Accent colour 6 bold"/>
    <w:basedOn w:val="Accentcolour6"/>
    <w:uiPriority w:val="1"/>
    <w:qFormat/>
    <w:rsid w:val="00F54876"/>
    <w:rPr>
      <w:b/>
      <w:color w:val="00E0BF" w:themeColor="accent6"/>
    </w:rPr>
  </w:style>
  <w:style w:type="character" w:styleId="PlaceholderText">
    <w:name w:val="Placeholder Text"/>
    <w:basedOn w:val="DefaultParagraphFont"/>
    <w:uiPriority w:val="99"/>
    <w:semiHidden/>
    <w:rsid w:val="00C73BF7"/>
    <w:rPr>
      <w:color w:val="808080"/>
    </w:rPr>
  </w:style>
  <w:style w:type="paragraph" w:styleId="Header">
    <w:name w:val="header"/>
    <w:basedOn w:val="Normal"/>
    <w:link w:val="HeaderChar"/>
    <w:uiPriority w:val="99"/>
    <w:unhideWhenUsed/>
    <w:qFormat/>
    <w:rsid w:val="00AD742F"/>
    <w:pPr>
      <w:tabs>
        <w:tab w:val="center" w:pos="4513"/>
        <w:tab w:val="right" w:pos="9026"/>
      </w:tabs>
      <w:spacing w:before="0" w:after="0"/>
      <w:contextualSpacing/>
    </w:pPr>
    <w:rPr>
      <w:noProof/>
      <w:sz w:val="16"/>
    </w:rPr>
  </w:style>
  <w:style w:type="character" w:customStyle="1" w:styleId="HeaderChar">
    <w:name w:val="Header Char"/>
    <w:basedOn w:val="DefaultParagraphFont"/>
    <w:link w:val="Header"/>
    <w:uiPriority w:val="99"/>
    <w:rsid w:val="00AD742F"/>
    <w:rPr>
      <w:noProof/>
      <w:sz w:val="16"/>
      <w:lang w:val="en-GB"/>
    </w:rPr>
  </w:style>
  <w:style w:type="paragraph" w:styleId="Footer">
    <w:name w:val="footer"/>
    <w:basedOn w:val="Normal"/>
    <w:link w:val="FooterChar"/>
    <w:uiPriority w:val="99"/>
    <w:unhideWhenUsed/>
    <w:rsid w:val="003A51CF"/>
    <w:pPr>
      <w:tabs>
        <w:tab w:val="center" w:pos="4513"/>
        <w:tab w:val="right" w:pos="9026"/>
      </w:tabs>
      <w:spacing w:after="0"/>
      <w:contextualSpacing/>
    </w:pPr>
    <w:rPr>
      <w:sz w:val="16"/>
    </w:rPr>
  </w:style>
  <w:style w:type="character" w:customStyle="1" w:styleId="FooterChar">
    <w:name w:val="Footer Char"/>
    <w:basedOn w:val="DefaultParagraphFont"/>
    <w:link w:val="Footer"/>
    <w:uiPriority w:val="99"/>
    <w:rsid w:val="003A51CF"/>
    <w:rPr>
      <w:sz w:val="16"/>
      <w:lang w:val="en-GB"/>
    </w:rPr>
  </w:style>
  <w:style w:type="character" w:customStyle="1" w:styleId="Whitetext">
    <w:name w:val="*White text"/>
    <w:basedOn w:val="DefaultParagraphFont"/>
    <w:uiPriority w:val="1"/>
    <w:qFormat/>
    <w:rsid w:val="00874497"/>
    <w:rPr>
      <w:color w:val="FFFFFF"/>
    </w:rPr>
  </w:style>
  <w:style w:type="paragraph" w:styleId="TOCHeading">
    <w:name w:val="TOC Heading"/>
    <w:basedOn w:val="Heading1"/>
    <w:next w:val="Normal"/>
    <w:uiPriority w:val="39"/>
    <w:qFormat/>
    <w:rsid w:val="003B51E7"/>
    <w:pPr>
      <w:numPr>
        <w:numId w:val="0"/>
      </w:numPr>
      <w:outlineLvl w:val="9"/>
    </w:pPr>
  </w:style>
  <w:style w:type="paragraph" w:customStyle="1" w:styleId="Sectionnumber">
    <w:name w:val="Section number"/>
    <w:basedOn w:val="Normal"/>
    <w:qFormat/>
    <w:rsid w:val="005C5188"/>
    <w:pPr>
      <w:spacing w:before="0" w:after="0" w:line="6000" w:lineRule="exact"/>
      <w:contextualSpacing/>
      <w:jc w:val="right"/>
    </w:pPr>
    <w:rPr>
      <w:rFonts w:ascii="Arial Black" w:hAnsi="Arial Black"/>
      <w:caps/>
      <w:color w:val="FFFFFF"/>
      <w:position w:val="-68"/>
      <w:sz w:val="600"/>
      <w:szCs w:val="600"/>
    </w:rPr>
  </w:style>
  <w:style w:type="paragraph" w:customStyle="1" w:styleId="Sectiontitle">
    <w:name w:val="Section title"/>
    <w:basedOn w:val="Normal"/>
    <w:qFormat/>
    <w:rsid w:val="001A4807"/>
    <w:pPr>
      <w:numPr>
        <w:numId w:val="28"/>
      </w:numPr>
      <w:spacing w:before="0" w:after="0" w:line="720" w:lineRule="exact"/>
      <w:ind w:left="1134"/>
      <w:jc w:val="right"/>
    </w:pPr>
    <w:rPr>
      <w:color w:val="FFFFFF"/>
      <w:sz w:val="72"/>
      <w:szCs w:val="72"/>
    </w:rPr>
  </w:style>
  <w:style w:type="table" w:customStyle="1" w:styleId="TFBlank">
    <w:name w:val="TF_Blank"/>
    <w:basedOn w:val="TableNormal"/>
    <w:uiPriority w:val="99"/>
    <w:rsid w:val="00AE785D"/>
    <w:pPr>
      <w:spacing w:after="0" w:line="240" w:lineRule="auto"/>
    </w:pPr>
    <w:tblPr/>
  </w:style>
  <w:style w:type="table" w:customStyle="1" w:styleId="TFBlue">
    <w:name w:val="TF_Blue"/>
    <w:basedOn w:val="TableNormal"/>
    <w:uiPriority w:val="99"/>
    <w:rsid w:val="00190A20"/>
    <w:pPr>
      <w:spacing w:before="60" w:after="60" w:line="240" w:lineRule="auto"/>
    </w:pPr>
    <w:tblPr>
      <w:tblStyleRowBandSize w:val="1"/>
      <w:tblBorders>
        <w:top w:val="single" w:sz="4" w:space="0" w:color="006EC8" w:themeColor="accent1"/>
        <w:bottom w:val="single" w:sz="4" w:space="0" w:color="006EC8" w:themeColor="accent1"/>
      </w:tblBorders>
    </w:tblPr>
    <w:tblStylePr w:type="firstRow">
      <w:pPr>
        <w:jc w:val="left"/>
      </w:pPr>
      <w:rPr>
        <w:b/>
      </w:rPr>
      <w:tblPr/>
      <w:trPr>
        <w:tblHeader/>
      </w:trPr>
      <w:tcPr>
        <w:tcBorders>
          <w:top w:val="single" w:sz="4" w:space="0" w:color="006EC8" w:themeColor="accent1"/>
          <w:left w:val="nil"/>
          <w:bottom w:val="single" w:sz="4" w:space="0" w:color="006EC8" w:themeColor="accent1"/>
          <w:right w:val="nil"/>
          <w:insideH w:val="nil"/>
          <w:insideV w:val="nil"/>
          <w:tl2br w:val="nil"/>
          <w:tr2bl w:val="nil"/>
        </w:tcBorders>
        <w:vAlign w:val="bottom"/>
      </w:tcPr>
    </w:tblStylePr>
    <w:tblStylePr w:type="lastRow">
      <w:rPr>
        <w:b/>
      </w:rPr>
      <w:tblPr/>
      <w:tcPr>
        <w:tcBorders>
          <w:top w:val="single" w:sz="4" w:space="0" w:color="006EC8" w:themeColor="accent1"/>
          <w:left w:val="nil"/>
          <w:bottom w:val="single" w:sz="4" w:space="0" w:color="006EC8" w:themeColor="accent1"/>
          <w:right w:val="nil"/>
          <w:insideH w:val="nil"/>
          <w:insideV w:val="nil"/>
          <w:tl2br w:val="nil"/>
          <w:tr2bl w:val="nil"/>
        </w:tcBorders>
      </w:tcPr>
    </w:tblStylePr>
    <w:tblStylePr w:type="band1Horz">
      <w:tblPr/>
      <w:tcPr>
        <w:shd w:val="clear" w:color="auto" w:fill="EFF8FF"/>
      </w:tcPr>
    </w:tblStylePr>
  </w:style>
  <w:style w:type="paragraph" w:customStyle="1" w:styleId="Tabletext">
    <w:name w:val="Table text"/>
    <w:basedOn w:val="Normal"/>
    <w:qFormat/>
    <w:rsid w:val="001E3BD8"/>
    <w:pPr>
      <w:spacing w:before="60" w:after="60"/>
    </w:pPr>
  </w:style>
  <w:style w:type="paragraph" w:customStyle="1" w:styleId="Tablenumbers">
    <w:name w:val="Table numbers"/>
    <w:basedOn w:val="Tabletext"/>
    <w:qFormat/>
    <w:rsid w:val="001E3BD8"/>
    <w:pPr>
      <w:jc w:val="right"/>
    </w:pPr>
  </w:style>
  <w:style w:type="paragraph" w:customStyle="1" w:styleId="Tablecentred">
    <w:name w:val="Table centred"/>
    <w:basedOn w:val="Tabletext"/>
    <w:qFormat/>
    <w:rsid w:val="001E3BD8"/>
    <w:pPr>
      <w:jc w:val="center"/>
    </w:pPr>
  </w:style>
  <w:style w:type="paragraph" w:customStyle="1" w:styleId="Tablenotesorsource">
    <w:name w:val="Table notes or source"/>
    <w:basedOn w:val="Normal"/>
    <w:next w:val="Normal"/>
    <w:qFormat/>
    <w:rsid w:val="00AA1664"/>
    <w:pPr>
      <w:numPr>
        <w:numId w:val="13"/>
      </w:numPr>
      <w:spacing w:after="40"/>
    </w:pPr>
    <w:rPr>
      <w:sz w:val="18"/>
    </w:rPr>
  </w:style>
  <w:style w:type="paragraph" w:customStyle="1" w:styleId="Tablenotesnumbers">
    <w:name w:val="Table notes numbers"/>
    <w:basedOn w:val="Normal"/>
    <w:next w:val="Normal"/>
    <w:qFormat/>
    <w:rsid w:val="00097D42"/>
    <w:pPr>
      <w:numPr>
        <w:ilvl w:val="1"/>
        <w:numId w:val="13"/>
      </w:numPr>
      <w:spacing w:before="40" w:after="40"/>
      <w:ind w:left="357" w:hanging="357"/>
    </w:pPr>
    <w:rPr>
      <w:sz w:val="18"/>
    </w:rPr>
  </w:style>
  <w:style w:type="table" w:customStyle="1" w:styleId="TFGrey">
    <w:name w:val="TF_Grey"/>
    <w:basedOn w:val="TableNormal"/>
    <w:uiPriority w:val="99"/>
    <w:rsid w:val="00C2567C"/>
    <w:pPr>
      <w:spacing w:after="0" w:line="240" w:lineRule="auto"/>
    </w:pPr>
    <w:tblPr>
      <w:tblStyleRowBandSize w:val="1"/>
      <w:tblBorders>
        <w:top w:val="single" w:sz="4" w:space="0" w:color="96888C" w:themeColor="text1" w:themeTint="80"/>
        <w:bottom w:val="single" w:sz="4" w:space="0" w:color="96888C" w:themeColor="text1" w:themeTint="80"/>
      </w:tblBorders>
    </w:tblPr>
    <w:tblStylePr w:type="firstRow">
      <w:pPr>
        <w:jc w:val="left"/>
      </w:pPr>
      <w:rPr>
        <w:b/>
      </w:rPr>
      <w:tblPr/>
      <w:trPr>
        <w:tblHeader/>
      </w:trPr>
      <w:tcPr>
        <w:tcBorders>
          <w:top w:val="single" w:sz="4" w:space="0" w:color="96888C" w:themeColor="text1" w:themeTint="80"/>
          <w:left w:val="nil"/>
          <w:bottom w:val="single" w:sz="4" w:space="0" w:color="96888C" w:themeColor="text1" w:themeTint="80"/>
          <w:right w:val="nil"/>
          <w:insideH w:val="nil"/>
          <w:insideV w:val="nil"/>
          <w:tl2br w:val="nil"/>
          <w:tr2bl w:val="nil"/>
        </w:tcBorders>
        <w:vAlign w:val="bottom"/>
      </w:tcPr>
    </w:tblStylePr>
    <w:tblStylePr w:type="lastRow">
      <w:rPr>
        <w:b/>
      </w:rPr>
      <w:tblPr/>
      <w:tcPr>
        <w:tcBorders>
          <w:top w:val="single" w:sz="4" w:space="0" w:color="96888C" w:themeColor="text1" w:themeTint="80"/>
          <w:left w:val="nil"/>
          <w:bottom w:val="single" w:sz="4" w:space="0" w:color="96888C" w:themeColor="text1" w:themeTint="80"/>
          <w:right w:val="nil"/>
          <w:insideH w:val="nil"/>
          <w:insideV w:val="nil"/>
          <w:tl2br w:val="nil"/>
          <w:tr2bl w:val="nil"/>
        </w:tcBorders>
      </w:tcPr>
    </w:tblStylePr>
    <w:tblStylePr w:type="band1Horz">
      <w:tblPr/>
      <w:tcPr>
        <w:shd w:val="clear" w:color="auto" w:fill="F8F6F7"/>
      </w:tcPr>
    </w:tblStylePr>
  </w:style>
  <w:style w:type="paragraph" w:styleId="TOC1">
    <w:name w:val="toc 1"/>
    <w:basedOn w:val="Normal"/>
    <w:next w:val="Normal"/>
    <w:autoRedefine/>
    <w:uiPriority w:val="39"/>
    <w:rsid w:val="00F07767"/>
    <w:pPr>
      <w:tabs>
        <w:tab w:val="left" w:pos="440"/>
        <w:tab w:val="left" w:pos="1276"/>
        <w:tab w:val="right" w:leader="dot" w:pos="9402"/>
      </w:tabs>
      <w:spacing w:after="0"/>
    </w:pPr>
    <w:rPr>
      <w:b/>
      <w:noProof/>
    </w:rPr>
  </w:style>
  <w:style w:type="paragraph" w:styleId="TOC2">
    <w:name w:val="toc 2"/>
    <w:basedOn w:val="Normal"/>
    <w:next w:val="Normal"/>
    <w:autoRedefine/>
    <w:uiPriority w:val="39"/>
    <w:rsid w:val="008558A2"/>
    <w:pPr>
      <w:tabs>
        <w:tab w:val="right" w:leader="dot" w:pos="9402"/>
      </w:tabs>
      <w:spacing w:before="40" w:after="40"/>
      <w:ind w:left="1276" w:hanging="851"/>
    </w:pPr>
  </w:style>
  <w:style w:type="character" w:styleId="Hyperlink">
    <w:name w:val="Hyperlink"/>
    <w:basedOn w:val="DefaultParagraphFont"/>
    <w:uiPriority w:val="99"/>
    <w:unhideWhenUsed/>
    <w:rsid w:val="007870A2"/>
    <w:rPr>
      <w:color w:val="006EC8" w:themeColor="accent1"/>
      <w:u w:val="single"/>
    </w:rPr>
  </w:style>
  <w:style w:type="paragraph" w:styleId="NoSpacing">
    <w:name w:val="No Spacing"/>
    <w:uiPriority w:val="1"/>
    <w:qFormat/>
    <w:rsid w:val="00904A2F"/>
    <w:pPr>
      <w:spacing w:after="0" w:line="240" w:lineRule="auto"/>
    </w:pPr>
    <w:rPr>
      <w:lang w:val="en-GB"/>
    </w:rPr>
  </w:style>
  <w:style w:type="character" w:customStyle="1" w:styleId="Whitetextbold">
    <w:name w:val="*White text bold"/>
    <w:basedOn w:val="DefaultParagraphFont"/>
    <w:uiPriority w:val="1"/>
    <w:qFormat/>
    <w:rsid w:val="00E33AEF"/>
    <w:rPr>
      <w:b/>
      <w:color w:val="FFFFFF"/>
    </w:rPr>
  </w:style>
  <w:style w:type="character" w:styleId="UnresolvedMention">
    <w:name w:val="Unresolved Mention"/>
    <w:basedOn w:val="DefaultParagraphFont"/>
    <w:uiPriority w:val="99"/>
    <w:semiHidden/>
    <w:unhideWhenUsed/>
    <w:rsid w:val="00F76C23"/>
    <w:rPr>
      <w:color w:val="605E5C"/>
      <w:shd w:val="clear" w:color="auto" w:fill="E1DFDD"/>
    </w:rPr>
  </w:style>
  <w:style w:type="paragraph" w:customStyle="1" w:styleId="Backcoverwebaddress">
    <w:name w:val="Back cover web address"/>
    <w:basedOn w:val="Normal"/>
    <w:qFormat/>
    <w:rsid w:val="009E7F48"/>
    <w:pPr>
      <w:spacing w:before="13680"/>
      <w:jc w:val="right"/>
    </w:pPr>
    <w:rPr>
      <w:color w:val="FFFFFF"/>
    </w:rPr>
  </w:style>
  <w:style w:type="character" w:styleId="CommentReference">
    <w:name w:val="annotation reference"/>
    <w:basedOn w:val="DefaultParagraphFont"/>
    <w:uiPriority w:val="99"/>
    <w:semiHidden/>
    <w:unhideWhenUsed/>
    <w:rsid w:val="006C47B4"/>
    <w:rPr>
      <w:sz w:val="16"/>
      <w:szCs w:val="16"/>
    </w:rPr>
  </w:style>
  <w:style w:type="paragraph" w:styleId="CommentText">
    <w:name w:val="annotation text"/>
    <w:basedOn w:val="Normal"/>
    <w:link w:val="CommentTextChar"/>
    <w:uiPriority w:val="99"/>
    <w:unhideWhenUsed/>
    <w:rsid w:val="006C47B4"/>
    <w:rPr>
      <w:sz w:val="20"/>
      <w:szCs w:val="20"/>
    </w:rPr>
  </w:style>
  <w:style w:type="character" w:customStyle="1" w:styleId="CommentTextChar">
    <w:name w:val="Comment Text Char"/>
    <w:basedOn w:val="DefaultParagraphFont"/>
    <w:link w:val="CommentText"/>
    <w:uiPriority w:val="99"/>
    <w:rsid w:val="006C47B4"/>
    <w:rPr>
      <w:sz w:val="20"/>
      <w:szCs w:val="20"/>
      <w:lang w:val="en-GB"/>
    </w:rPr>
  </w:style>
  <w:style w:type="paragraph" w:styleId="CommentSubject">
    <w:name w:val="annotation subject"/>
    <w:basedOn w:val="CommentText"/>
    <w:next w:val="CommentText"/>
    <w:link w:val="CommentSubjectChar"/>
    <w:uiPriority w:val="99"/>
    <w:semiHidden/>
    <w:unhideWhenUsed/>
    <w:rsid w:val="006C47B4"/>
    <w:rPr>
      <w:b/>
      <w:bCs/>
    </w:rPr>
  </w:style>
  <w:style w:type="character" w:customStyle="1" w:styleId="CommentSubjectChar">
    <w:name w:val="Comment Subject Char"/>
    <w:basedOn w:val="CommentTextChar"/>
    <w:link w:val="CommentSubject"/>
    <w:uiPriority w:val="99"/>
    <w:semiHidden/>
    <w:rsid w:val="006C47B4"/>
    <w:rPr>
      <w:b/>
      <w:bCs/>
      <w:sz w:val="20"/>
      <w:szCs w:val="20"/>
      <w:lang w:val="en-GB"/>
    </w:rPr>
  </w:style>
  <w:style w:type="paragraph" w:styleId="BalloonText">
    <w:name w:val="Balloon Text"/>
    <w:basedOn w:val="Normal"/>
    <w:link w:val="BalloonTextChar"/>
    <w:uiPriority w:val="99"/>
    <w:semiHidden/>
    <w:unhideWhenUsed/>
    <w:rsid w:val="006C47B4"/>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47B4"/>
    <w:rPr>
      <w:rFonts w:ascii="Segoe UI" w:hAnsi="Segoe UI" w:cs="Segoe UI"/>
      <w:sz w:val="18"/>
      <w:szCs w:val="18"/>
      <w:lang w:val="en-GB"/>
    </w:rPr>
  </w:style>
  <w:style w:type="paragraph" w:styleId="Quote">
    <w:name w:val="Quote"/>
    <w:basedOn w:val="Normal"/>
    <w:next w:val="Normal"/>
    <w:link w:val="QuoteChar"/>
    <w:uiPriority w:val="29"/>
    <w:qFormat/>
    <w:rsid w:val="00C8181B"/>
    <w:pPr>
      <w:spacing w:after="0"/>
    </w:pPr>
    <w:rPr>
      <w:rFonts w:ascii="Arial Black" w:hAnsi="Arial Black"/>
      <w:sz w:val="36"/>
      <w:szCs w:val="36"/>
    </w:rPr>
  </w:style>
  <w:style w:type="character" w:customStyle="1" w:styleId="QuoteChar">
    <w:name w:val="Quote Char"/>
    <w:basedOn w:val="DefaultParagraphFont"/>
    <w:link w:val="Quote"/>
    <w:uiPriority w:val="29"/>
    <w:rsid w:val="00C8181B"/>
    <w:rPr>
      <w:rFonts w:ascii="Arial Black" w:hAnsi="Arial Black"/>
      <w:sz w:val="36"/>
      <w:szCs w:val="36"/>
      <w:lang w:val="en-GB"/>
    </w:rPr>
  </w:style>
  <w:style w:type="paragraph" w:customStyle="1" w:styleId="Sidebarheading">
    <w:name w:val="Sidebar heading"/>
    <w:basedOn w:val="Normal"/>
    <w:qFormat/>
    <w:rsid w:val="006C3057"/>
    <w:pPr>
      <w:framePr w:w="3402" w:hSpace="181" w:wrap="around" w:vAnchor="text" w:hAnchor="margin" w:xAlign="right" w:y="1"/>
      <w:pBdr>
        <w:left w:val="single" w:sz="8" w:space="10" w:color="96888C" w:themeColor="text1" w:themeTint="80"/>
      </w:pBdr>
    </w:pPr>
    <w:rPr>
      <w:sz w:val="28"/>
      <w:szCs w:val="28"/>
    </w:rPr>
  </w:style>
  <w:style w:type="paragraph" w:customStyle="1" w:styleId="Sidebartext">
    <w:name w:val="Sidebar text"/>
    <w:basedOn w:val="Sidebarheading"/>
    <w:qFormat/>
    <w:rsid w:val="006C3057"/>
    <w:pPr>
      <w:framePr w:wrap="around"/>
    </w:pPr>
    <w:rPr>
      <w:sz w:val="22"/>
      <w:szCs w:val="22"/>
    </w:rPr>
  </w:style>
  <w:style w:type="paragraph" w:customStyle="1" w:styleId="Quotesource">
    <w:name w:val="Quote source"/>
    <w:basedOn w:val="Normal"/>
    <w:qFormat/>
    <w:rsid w:val="00182988"/>
    <w:pPr>
      <w:spacing w:before="40"/>
    </w:pPr>
    <w:rPr>
      <w:sz w:val="18"/>
      <w:szCs w:val="18"/>
    </w:rPr>
  </w:style>
  <w:style w:type="paragraph" w:customStyle="1" w:styleId="LetterAddressandaddressee">
    <w:name w:val="Letter_Address and addressee"/>
    <w:basedOn w:val="Normal"/>
    <w:qFormat/>
    <w:rsid w:val="0077362D"/>
    <w:pPr>
      <w:spacing w:before="720"/>
      <w:contextualSpacing/>
    </w:pPr>
  </w:style>
  <w:style w:type="paragraph" w:customStyle="1" w:styleId="LetterDate">
    <w:name w:val="Letter_Date"/>
    <w:basedOn w:val="Normal"/>
    <w:qFormat/>
    <w:rsid w:val="0077362D"/>
    <w:pPr>
      <w:spacing w:before="1680"/>
    </w:pPr>
  </w:style>
  <w:style w:type="paragraph" w:styleId="Salutation">
    <w:name w:val="Salutation"/>
    <w:aliases w:val="Letter_Salutation"/>
    <w:basedOn w:val="Normal"/>
    <w:next w:val="Normal"/>
    <w:link w:val="SalutationChar"/>
    <w:uiPriority w:val="99"/>
    <w:rsid w:val="0077362D"/>
    <w:pPr>
      <w:spacing w:before="1200"/>
    </w:pPr>
  </w:style>
  <w:style w:type="character" w:customStyle="1" w:styleId="SalutationChar">
    <w:name w:val="Salutation Char"/>
    <w:aliases w:val="Letter_Salutation Char"/>
    <w:basedOn w:val="DefaultParagraphFont"/>
    <w:link w:val="Salutation"/>
    <w:uiPriority w:val="99"/>
    <w:rsid w:val="0077362D"/>
    <w:rPr>
      <w:lang w:val="en-GB"/>
    </w:rPr>
  </w:style>
  <w:style w:type="paragraph" w:customStyle="1" w:styleId="LetterSubjectline">
    <w:name w:val="Letter_Subject line"/>
    <w:basedOn w:val="Normal"/>
    <w:next w:val="Normal"/>
    <w:qFormat/>
    <w:rsid w:val="0077362D"/>
    <w:pPr>
      <w:spacing w:before="400" w:after="400"/>
    </w:pPr>
    <w:rPr>
      <w:color w:val="006EC8" w:themeColor="accent1"/>
      <w:sz w:val="28"/>
      <w:szCs w:val="28"/>
    </w:rPr>
  </w:style>
  <w:style w:type="paragraph" w:customStyle="1" w:styleId="LetterSignoff">
    <w:name w:val="Letter_Signoff"/>
    <w:basedOn w:val="Normal"/>
    <w:qFormat/>
    <w:rsid w:val="0081796F"/>
    <w:pPr>
      <w:spacing w:before="960"/>
      <w:contextualSpacing/>
    </w:pPr>
  </w:style>
  <w:style w:type="paragraph" w:customStyle="1" w:styleId="Letterfooter">
    <w:name w:val="Letter_footer"/>
    <w:basedOn w:val="Footer"/>
    <w:qFormat/>
    <w:rsid w:val="005F5490"/>
    <w:pPr>
      <w:jc w:val="right"/>
    </w:pPr>
  </w:style>
  <w:style w:type="paragraph" w:styleId="Bibliography">
    <w:name w:val="Bibliography"/>
    <w:basedOn w:val="Normal"/>
    <w:next w:val="Normal"/>
    <w:uiPriority w:val="37"/>
    <w:semiHidden/>
    <w:unhideWhenUsed/>
    <w:rsid w:val="00193F00"/>
  </w:style>
  <w:style w:type="paragraph" w:styleId="BlockText">
    <w:name w:val="Block Text"/>
    <w:basedOn w:val="Normal"/>
    <w:uiPriority w:val="99"/>
    <w:semiHidden/>
    <w:unhideWhenUsed/>
    <w:rsid w:val="00193F00"/>
    <w:pPr>
      <w:pBdr>
        <w:top w:val="single" w:sz="2" w:space="10" w:color="006EC8" w:themeColor="accent1"/>
        <w:left w:val="single" w:sz="2" w:space="10" w:color="006EC8" w:themeColor="accent1"/>
        <w:bottom w:val="single" w:sz="2" w:space="10" w:color="006EC8" w:themeColor="accent1"/>
        <w:right w:val="single" w:sz="2" w:space="10" w:color="006EC8" w:themeColor="accent1"/>
      </w:pBdr>
      <w:ind w:left="1152" w:right="1152"/>
    </w:pPr>
    <w:rPr>
      <w:rFonts w:eastAsiaTheme="minorEastAsia"/>
      <w:i/>
      <w:iCs/>
      <w:color w:val="006EC8" w:themeColor="accent1"/>
    </w:rPr>
  </w:style>
  <w:style w:type="paragraph" w:styleId="Caption">
    <w:name w:val="caption"/>
    <w:basedOn w:val="Normal"/>
    <w:next w:val="Normal"/>
    <w:uiPriority w:val="35"/>
    <w:qFormat/>
    <w:rsid w:val="00261658"/>
    <w:pPr>
      <w:keepNext/>
      <w:keepLines/>
      <w:spacing w:before="200"/>
    </w:pPr>
    <w:rPr>
      <w:iCs/>
      <w:color w:val="006EC8" w:themeColor="accent1"/>
      <w:szCs w:val="18"/>
    </w:rPr>
  </w:style>
  <w:style w:type="paragraph" w:styleId="Closing">
    <w:name w:val="Closing"/>
    <w:basedOn w:val="Normal"/>
    <w:link w:val="ClosingChar"/>
    <w:uiPriority w:val="99"/>
    <w:semiHidden/>
    <w:unhideWhenUsed/>
    <w:rsid w:val="00193F00"/>
    <w:pPr>
      <w:spacing w:after="0"/>
      <w:ind w:left="4252"/>
    </w:pPr>
  </w:style>
  <w:style w:type="character" w:customStyle="1" w:styleId="ClosingChar">
    <w:name w:val="Closing Char"/>
    <w:basedOn w:val="DefaultParagraphFont"/>
    <w:link w:val="Closing"/>
    <w:uiPriority w:val="99"/>
    <w:semiHidden/>
    <w:rsid w:val="00193F00"/>
    <w:rPr>
      <w:lang w:val="en-GB"/>
    </w:rPr>
  </w:style>
  <w:style w:type="paragraph" w:styleId="Date">
    <w:name w:val="Date"/>
    <w:basedOn w:val="Normal"/>
    <w:next w:val="Normal"/>
    <w:link w:val="DateChar"/>
    <w:uiPriority w:val="99"/>
    <w:semiHidden/>
    <w:unhideWhenUsed/>
    <w:rsid w:val="00193F00"/>
  </w:style>
  <w:style w:type="character" w:customStyle="1" w:styleId="DateChar">
    <w:name w:val="Date Char"/>
    <w:basedOn w:val="DefaultParagraphFont"/>
    <w:link w:val="Date"/>
    <w:uiPriority w:val="99"/>
    <w:semiHidden/>
    <w:rsid w:val="00193F00"/>
    <w:rPr>
      <w:lang w:val="en-GB"/>
    </w:rPr>
  </w:style>
  <w:style w:type="paragraph" w:styleId="DocumentMap">
    <w:name w:val="Document Map"/>
    <w:basedOn w:val="Normal"/>
    <w:link w:val="DocumentMapChar"/>
    <w:uiPriority w:val="99"/>
    <w:semiHidden/>
    <w:unhideWhenUsed/>
    <w:rsid w:val="00193F00"/>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193F00"/>
    <w:rPr>
      <w:rFonts w:ascii="Segoe UI" w:hAnsi="Segoe UI" w:cs="Segoe UI"/>
      <w:sz w:val="16"/>
      <w:szCs w:val="16"/>
      <w:lang w:val="en-GB"/>
    </w:rPr>
  </w:style>
  <w:style w:type="paragraph" w:styleId="E-mailSignature">
    <w:name w:val="E-mail Signature"/>
    <w:basedOn w:val="Normal"/>
    <w:link w:val="E-mailSignatureChar"/>
    <w:uiPriority w:val="99"/>
    <w:semiHidden/>
    <w:unhideWhenUsed/>
    <w:rsid w:val="00193F00"/>
    <w:pPr>
      <w:spacing w:after="0"/>
    </w:pPr>
  </w:style>
  <w:style w:type="character" w:customStyle="1" w:styleId="E-mailSignatureChar">
    <w:name w:val="E-mail Signature Char"/>
    <w:basedOn w:val="DefaultParagraphFont"/>
    <w:link w:val="E-mailSignature"/>
    <w:uiPriority w:val="99"/>
    <w:semiHidden/>
    <w:rsid w:val="00193F00"/>
    <w:rPr>
      <w:lang w:val="en-GB"/>
    </w:rPr>
  </w:style>
  <w:style w:type="paragraph" w:styleId="EndnoteText">
    <w:name w:val="endnote text"/>
    <w:basedOn w:val="Normal"/>
    <w:link w:val="EndnoteTextChar"/>
    <w:uiPriority w:val="99"/>
    <w:semiHidden/>
    <w:unhideWhenUsed/>
    <w:rsid w:val="00193F00"/>
    <w:pPr>
      <w:spacing w:after="0"/>
    </w:pPr>
    <w:rPr>
      <w:sz w:val="20"/>
      <w:szCs w:val="20"/>
    </w:rPr>
  </w:style>
  <w:style w:type="character" w:customStyle="1" w:styleId="EndnoteTextChar">
    <w:name w:val="Endnote Text Char"/>
    <w:basedOn w:val="DefaultParagraphFont"/>
    <w:link w:val="EndnoteText"/>
    <w:uiPriority w:val="99"/>
    <w:semiHidden/>
    <w:rsid w:val="00193F00"/>
    <w:rPr>
      <w:sz w:val="20"/>
      <w:szCs w:val="20"/>
      <w:lang w:val="en-GB"/>
    </w:rPr>
  </w:style>
  <w:style w:type="paragraph" w:styleId="EnvelopeAddress">
    <w:name w:val="envelope address"/>
    <w:basedOn w:val="Normal"/>
    <w:uiPriority w:val="99"/>
    <w:semiHidden/>
    <w:unhideWhenUsed/>
    <w:rsid w:val="00193F00"/>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193F00"/>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unhideWhenUsed/>
    <w:rsid w:val="00C578E0"/>
    <w:pPr>
      <w:spacing w:after="0"/>
      <w:ind w:left="113" w:hanging="113"/>
    </w:pPr>
    <w:rPr>
      <w:sz w:val="20"/>
      <w:szCs w:val="20"/>
    </w:rPr>
  </w:style>
  <w:style w:type="character" w:customStyle="1" w:styleId="FootnoteTextChar">
    <w:name w:val="Footnote Text Char"/>
    <w:basedOn w:val="DefaultParagraphFont"/>
    <w:link w:val="FootnoteText"/>
    <w:uiPriority w:val="99"/>
    <w:rsid w:val="00C578E0"/>
    <w:rPr>
      <w:sz w:val="20"/>
      <w:szCs w:val="20"/>
      <w:lang w:val="en-GB"/>
    </w:rPr>
  </w:style>
  <w:style w:type="paragraph" w:styleId="HTMLAddress">
    <w:name w:val="HTML Address"/>
    <w:basedOn w:val="Normal"/>
    <w:link w:val="HTMLAddressChar"/>
    <w:uiPriority w:val="99"/>
    <w:semiHidden/>
    <w:unhideWhenUsed/>
    <w:rsid w:val="00193F00"/>
    <w:pPr>
      <w:spacing w:after="0"/>
    </w:pPr>
    <w:rPr>
      <w:i/>
      <w:iCs/>
    </w:rPr>
  </w:style>
  <w:style w:type="character" w:customStyle="1" w:styleId="HTMLAddressChar">
    <w:name w:val="HTML Address Char"/>
    <w:basedOn w:val="DefaultParagraphFont"/>
    <w:link w:val="HTMLAddress"/>
    <w:uiPriority w:val="99"/>
    <w:semiHidden/>
    <w:rsid w:val="00193F00"/>
    <w:rPr>
      <w:i/>
      <w:iCs/>
      <w:lang w:val="en-GB"/>
    </w:rPr>
  </w:style>
  <w:style w:type="paragraph" w:styleId="HTMLPreformatted">
    <w:name w:val="HTML Preformatted"/>
    <w:basedOn w:val="Normal"/>
    <w:link w:val="HTMLPreformattedChar"/>
    <w:uiPriority w:val="99"/>
    <w:semiHidden/>
    <w:unhideWhenUsed/>
    <w:rsid w:val="00193F00"/>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93F00"/>
    <w:rPr>
      <w:rFonts w:ascii="Consolas" w:hAnsi="Consolas"/>
      <w:sz w:val="20"/>
      <w:szCs w:val="20"/>
      <w:lang w:val="en-GB"/>
    </w:rPr>
  </w:style>
  <w:style w:type="paragraph" w:styleId="Index1">
    <w:name w:val="index 1"/>
    <w:basedOn w:val="Normal"/>
    <w:next w:val="Normal"/>
    <w:autoRedefine/>
    <w:uiPriority w:val="99"/>
    <w:semiHidden/>
    <w:unhideWhenUsed/>
    <w:rsid w:val="00193F00"/>
    <w:pPr>
      <w:spacing w:after="0"/>
      <w:ind w:left="220" w:hanging="220"/>
    </w:pPr>
  </w:style>
  <w:style w:type="paragraph" w:styleId="Index2">
    <w:name w:val="index 2"/>
    <w:basedOn w:val="Normal"/>
    <w:next w:val="Normal"/>
    <w:autoRedefine/>
    <w:uiPriority w:val="99"/>
    <w:semiHidden/>
    <w:unhideWhenUsed/>
    <w:rsid w:val="00193F00"/>
    <w:pPr>
      <w:spacing w:after="0"/>
      <w:ind w:left="440" w:hanging="220"/>
    </w:pPr>
  </w:style>
  <w:style w:type="paragraph" w:styleId="Index3">
    <w:name w:val="index 3"/>
    <w:basedOn w:val="Normal"/>
    <w:next w:val="Normal"/>
    <w:autoRedefine/>
    <w:uiPriority w:val="99"/>
    <w:semiHidden/>
    <w:unhideWhenUsed/>
    <w:rsid w:val="00193F00"/>
    <w:pPr>
      <w:spacing w:after="0"/>
      <w:ind w:left="660" w:hanging="220"/>
    </w:pPr>
  </w:style>
  <w:style w:type="paragraph" w:styleId="Index4">
    <w:name w:val="index 4"/>
    <w:basedOn w:val="Normal"/>
    <w:next w:val="Normal"/>
    <w:autoRedefine/>
    <w:uiPriority w:val="99"/>
    <w:semiHidden/>
    <w:unhideWhenUsed/>
    <w:rsid w:val="00193F00"/>
    <w:pPr>
      <w:spacing w:after="0"/>
      <w:ind w:left="880" w:hanging="220"/>
    </w:pPr>
  </w:style>
  <w:style w:type="paragraph" w:styleId="Index5">
    <w:name w:val="index 5"/>
    <w:basedOn w:val="Normal"/>
    <w:next w:val="Normal"/>
    <w:autoRedefine/>
    <w:uiPriority w:val="99"/>
    <w:semiHidden/>
    <w:unhideWhenUsed/>
    <w:rsid w:val="00193F00"/>
    <w:pPr>
      <w:spacing w:after="0"/>
      <w:ind w:left="1100" w:hanging="220"/>
    </w:pPr>
  </w:style>
  <w:style w:type="paragraph" w:styleId="Index6">
    <w:name w:val="index 6"/>
    <w:basedOn w:val="Normal"/>
    <w:next w:val="Normal"/>
    <w:autoRedefine/>
    <w:uiPriority w:val="99"/>
    <w:semiHidden/>
    <w:unhideWhenUsed/>
    <w:rsid w:val="00193F00"/>
    <w:pPr>
      <w:spacing w:after="0"/>
      <w:ind w:left="1320" w:hanging="220"/>
    </w:pPr>
  </w:style>
  <w:style w:type="paragraph" w:styleId="Index7">
    <w:name w:val="index 7"/>
    <w:basedOn w:val="Normal"/>
    <w:next w:val="Normal"/>
    <w:autoRedefine/>
    <w:uiPriority w:val="99"/>
    <w:semiHidden/>
    <w:unhideWhenUsed/>
    <w:rsid w:val="00193F00"/>
    <w:pPr>
      <w:spacing w:after="0"/>
      <w:ind w:left="1540" w:hanging="220"/>
    </w:pPr>
  </w:style>
  <w:style w:type="paragraph" w:styleId="Index8">
    <w:name w:val="index 8"/>
    <w:basedOn w:val="Normal"/>
    <w:next w:val="Normal"/>
    <w:autoRedefine/>
    <w:uiPriority w:val="99"/>
    <w:semiHidden/>
    <w:unhideWhenUsed/>
    <w:rsid w:val="00193F00"/>
    <w:pPr>
      <w:spacing w:after="0"/>
      <w:ind w:left="1760" w:hanging="220"/>
    </w:pPr>
  </w:style>
  <w:style w:type="paragraph" w:styleId="Index9">
    <w:name w:val="index 9"/>
    <w:basedOn w:val="Normal"/>
    <w:next w:val="Normal"/>
    <w:autoRedefine/>
    <w:uiPriority w:val="99"/>
    <w:semiHidden/>
    <w:unhideWhenUsed/>
    <w:rsid w:val="00193F00"/>
    <w:pPr>
      <w:spacing w:after="0"/>
      <w:ind w:left="1980" w:hanging="220"/>
    </w:pPr>
  </w:style>
  <w:style w:type="paragraph" w:styleId="IndexHeading">
    <w:name w:val="index heading"/>
    <w:basedOn w:val="Normal"/>
    <w:next w:val="Index1"/>
    <w:uiPriority w:val="99"/>
    <w:semiHidden/>
    <w:unhideWhenUsed/>
    <w:rsid w:val="00193F00"/>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193F00"/>
    <w:pPr>
      <w:pBdr>
        <w:top w:val="single" w:sz="4" w:space="10" w:color="006EC8" w:themeColor="accent1"/>
        <w:bottom w:val="single" w:sz="4" w:space="10" w:color="006EC8" w:themeColor="accent1"/>
      </w:pBdr>
      <w:spacing w:before="360" w:after="360"/>
      <w:ind w:left="864" w:right="864"/>
      <w:jc w:val="center"/>
    </w:pPr>
    <w:rPr>
      <w:i/>
      <w:iCs/>
      <w:color w:val="006EC8" w:themeColor="accent1"/>
    </w:rPr>
  </w:style>
  <w:style w:type="character" w:customStyle="1" w:styleId="IntenseQuoteChar">
    <w:name w:val="Intense Quote Char"/>
    <w:basedOn w:val="DefaultParagraphFont"/>
    <w:link w:val="IntenseQuote"/>
    <w:uiPriority w:val="30"/>
    <w:semiHidden/>
    <w:rsid w:val="00193F00"/>
    <w:rPr>
      <w:i/>
      <w:iCs/>
      <w:color w:val="006EC8" w:themeColor="accent1"/>
      <w:lang w:val="en-GB"/>
    </w:rPr>
  </w:style>
  <w:style w:type="paragraph" w:styleId="List">
    <w:name w:val="List"/>
    <w:basedOn w:val="Normal"/>
    <w:uiPriority w:val="99"/>
    <w:semiHidden/>
    <w:unhideWhenUsed/>
    <w:rsid w:val="00193F00"/>
    <w:pPr>
      <w:ind w:left="283" w:hanging="283"/>
      <w:contextualSpacing/>
    </w:pPr>
  </w:style>
  <w:style w:type="paragraph" w:styleId="List2">
    <w:name w:val="List 2"/>
    <w:basedOn w:val="Normal"/>
    <w:uiPriority w:val="99"/>
    <w:semiHidden/>
    <w:unhideWhenUsed/>
    <w:rsid w:val="00193F00"/>
    <w:pPr>
      <w:ind w:left="566" w:hanging="283"/>
      <w:contextualSpacing/>
    </w:pPr>
  </w:style>
  <w:style w:type="paragraph" w:styleId="List3">
    <w:name w:val="List 3"/>
    <w:basedOn w:val="Normal"/>
    <w:uiPriority w:val="99"/>
    <w:semiHidden/>
    <w:unhideWhenUsed/>
    <w:rsid w:val="00193F00"/>
    <w:pPr>
      <w:ind w:left="849" w:hanging="283"/>
      <w:contextualSpacing/>
    </w:pPr>
  </w:style>
  <w:style w:type="paragraph" w:styleId="List4">
    <w:name w:val="List 4"/>
    <w:basedOn w:val="Normal"/>
    <w:uiPriority w:val="99"/>
    <w:semiHidden/>
    <w:unhideWhenUsed/>
    <w:rsid w:val="00193F00"/>
    <w:pPr>
      <w:ind w:left="1132" w:hanging="283"/>
      <w:contextualSpacing/>
    </w:pPr>
  </w:style>
  <w:style w:type="paragraph" w:styleId="List5">
    <w:name w:val="List 5"/>
    <w:basedOn w:val="Normal"/>
    <w:uiPriority w:val="99"/>
    <w:semiHidden/>
    <w:unhideWhenUsed/>
    <w:rsid w:val="00193F00"/>
    <w:pPr>
      <w:ind w:left="1415" w:hanging="283"/>
      <w:contextualSpacing/>
    </w:pPr>
  </w:style>
  <w:style w:type="paragraph" w:styleId="ListBullet4">
    <w:name w:val="List Bullet 4"/>
    <w:basedOn w:val="Normal"/>
    <w:uiPriority w:val="99"/>
    <w:semiHidden/>
    <w:unhideWhenUsed/>
    <w:rsid w:val="00193F00"/>
    <w:pPr>
      <w:numPr>
        <w:numId w:val="14"/>
      </w:numPr>
      <w:contextualSpacing/>
    </w:pPr>
  </w:style>
  <w:style w:type="paragraph" w:styleId="ListBullet5">
    <w:name w:val="List Bullet 5"/>
    <w:basedOn w:val="Normal"/>
    <w:uiPriority w:val="99"/>
    <w:semiHidden/>
    <w:unhideWhenUsed/>
    <w:rsid w:val="00193F00"/>
    <w:pPr>
      <w:numPr>
        <w:numId w:val="15"/>
      </w:numPr>
      <w:contextualSpacing/>
    </w:pPr>
  </w:style>
  <w:style w:type="paragraph" w:styleId="ListContinue">
    <w:name w:val="List Continue"/>
    <w:basedOn w:val="Normal"/>
    <w:uiPriority w:val="99"/>
    <w:semiHidden/>
    <w:rsid w:val="00193F00"/>
    <w:pPr>
      <w:contextualSpacing/>
    </w:pPr>
  </w:style>
  <w:style w:type="paragraph" w:styleId="ListContinue2">
    <w:name w:val="List Continue 2"/>
    <w:basedOn w:val="Normal"/>
    <w:uiPriority w:val="99"/>
    <w:semiHidden/>
    <w:rsid w:val="00193F00"/>
    <w:pPr>
      <w:contextualSpacing/>
    </w:pPr>
  </w:style>
  <w:style w:type="paragraph" w:styleId="ListContinue3">
    <w:name w:val="List Continue 3"/>
    <w:basedOn w:val="Normal"/>
    <w:uiPriority w:val="99"/>
    <w:semiHidden/>
    <w:rsid w:val="00193F00"/>
    <w:pPr>
      <w:ind w:left="849"/>
      <w:contextualSpacing/>
    </w:pPr>
  </w:style>
  <w:style w:type="paragraph" w:styleId="ListContinue4">
    <w:name w:val="List Continue 4"/>
    <w:basedOn w:val="Normal"/>
    <w:uiPriority w:val="99"/>
    <w:semiHidden/>
    <w:rsid w:val="00193F00"/>
    <w:pPr>
      <w:ind w:left="1132"/>
      <w:contextualSpacing/>
    </w:pPr>
  </w:style>
  <w:style w:type="paragraph" w:styleId="ListContinue5">
    <w:name w:val="List Continue 5"/>
    <w:basedOn w:val="Normal"/>
    <w:uiPriority w:val="99"/>
    <w:semiHidden/>
    <w:rsid w:val="00193F00"/>
    <w:pPr>
      <w:ind w:left="1415"/>
      <w:contextualSpacing/>
    </w:pPr>
  </w:style>
  <w:style w:type="paragraph" w:styleId="ListNumber">
    <w:name w:val="List Number"/>
    <w:basedOn w:val="Normal"/>
    <w:uiPriority w:val="99"/>
    <w:semiHidden/>
    <w:rsid w:val="00193F00"/>
    <w:pPr>
      <w:contextualSpacing/>
    </w:pPr>
  </w:style>
  <w:style w:type="paragraph" w:styleId="ListNumber2">
    <w:name w:val="List Number 2"/>
    <w:basedOn w:val="Normal"/>
    <w:uiPriority w:val="99"/>
    <w:semiHidden/>
    <w:rsid w:val="00D17445"/>
    <w:pPr>
      <w:contextualSpacing/>
    </w:pPr>
  </w:style>
  <w:style w:type="paragraph" w:styleId="ListNumber3">
    <w:name w:val="List Number 3"/>
    <w:basedOn w:val="Normal"/>
    <w:uiPriority w:val="99"/>
    <w:semiHidden/>
    <w:rsid w:val="00D17445"/>
    <w:pPr>
      <w:contextualSpacing/>
    </w:pPr>
  </w:style>
  <w:style w:type="paragraph" w:styleId="ListNumber4">
    <w:name w:val="List Number 4"/>
    <w:basedOn w:val="Normal"/>
    <w:uiPriority w:val="99"/>
    <w:semiHidden/>
    <w:rsid w:val="00193F00"/>
    <w:pPr>
      <w:contextualSpacing/>
    </w:pPr>
  </w:style>
  <w:style w:type="paragraph" w:styleId="ListNumber5">
    <w:name w:val="List Number 5"/>
    <w:basedOn w:val="Normal"/>
    <w:uiPriority w:val="99"/>
    <w:semiHidden/>
    <w:rsid w:val="00193F00"/>
    <w:pPr>
      <w:contextualSpacing/>
    </w:pPr>
  </w:style>
  <w:style w:type="paragraph" w:styleId="ListParagraph">
    <w:name w:val="List Paragraph"/>
    <w:aliases w:val="List Paragraph11,List Paragraph1,L,Bullet point,List Paragraph111,F5 List Paragraph,Dot pt,CV text,Medium Grid 1 - Accent 21,Numbered Paragraph,List Paragraph2,NFP GP Bulleted List,FooterText,numbered,列出段,0Bullet,Bulleted Para"/>
    <w:basedOn w:val="Normal"/>
    <w:uiPriority w:val="34"/>
    <w:qFormat/>
    <w:rsid w:val="00193F00"/>
    <w:pPr>
      <w:ind w:left="720"/>
      <w:contextualSpacing/>
    </w:pPr>
  </w:style>
  <w:style w:type="paragraph" w:styleId="MacroText">
    <w:name w:val="macro"/>
    <w:link w:val="MacroTextChar"/>
    <w:uiPriority w:val="99"/>
    <w:semiHidden/>
    <w:unhideWhenUsed/>
    <w:rsid w:val="00193F0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 w:val="20"/>
      <w:szCs w:val="20"/>
      <w:lang w:val="en-GB"/>
    </w:rPr>
  </w:style>
  <w:style w:type="character" w:customStyle="1" w:styleId="MacroTextChar">
    <w:name w:val="Macro Text Char"/>
    <w:basedOn w:val="DefaultParagraphFont"/>
    <w:link w:val="MacroText"/>
    <w:uiPriority w:val="99"/>
    <w:semiHidden/>
    <w:rsid w:val="00193F00"/>
    <w:rPr>
      <w:rFonts w:ascii="Consolas" w:hAnsi="Consolas"/>
      <w:sz w:val="20"/>
      <w:szCs w:val="20"/>
      <w:lang w:val="en-GB"/>
    </w:rPr>
  </w:style>
  <w:style w:type="paragraph" w:styleId="MessageHeader">
    <w:name w:val="Message Header"/>
    <w:basedOn w:val="Normal"/>
    <w:link w:val="MessageHeaderChar"/>
    <w:uiPriority w:val="99"/>
    <w:semiHidden/>
    <w:unhideWhenUsed/>
    <w:rsid w:val="00193F0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193F00"/>
    <w:rPr>
      <w:rFonts w:asciiTheme="majorHAnsi" w:eastAsiaTheme="majorEastAsia" w:hAnsiTheme="majorHAnsi" w:cstheme="majorBidi"/>
      <w:sz w:val="24"/>
      <w:szCs w:val="24"/>
      <w:shd w:val="pct20" w:color="auto" w:fill="auto"/>
      <w:lang w:val="en-GB"/>
    </w:rPr>
  </w:style>
  <w:style w:type="paragraph" w:styleId="NormalWeb">
    <w:name w:val="Normal (Web)"/>
    <w:basedOn w:val="Normal"/>
    <w:uiPriority w:val="99"/>
    <w:semiHidden/>
    <w:unhideWhenUsed/>
    <w:rsid w:val="00193F00"/>
    <w:rPr>
      <w:rFonts w:ascii="Times New Roman" w:hAnsi="Times New Roman" w:cs="Times New Roman"/>
      <w:sz w:val="24"/>
      <w:szCs w:val="24"/>
    </w:rPr>
  </w:style>
  <w:style w:type="paragraph" w:styleId="NormalIndent">
    <w:name w:val="Normal Indent"/>
    <w:basedOn w:val="Normal"/>
    <w:uiPriority w:val="99"/>
    <w:rsid w:val="009E7F48"/>
    <w:pPr>
      <w:ind w:left="357"/>
    </w:pPr>
  </w:style>
  <w:style w:type="paragraph" w:styleId="NoteHeading">
    <w:name w:val="Note Heading"/>
    <w:basedOn w:val="Normal"/>
    <w:next w:val="Normal"/>
    <w:link w:val="NoteHeadingChar"/>
    <w:uiPriority w:val="99"/>
    <w:semiHidden/>
    <w:unhideWhenUsed/>
    <w:rsid w:val="00193F00"/>
    <w:pPr>
      <w:spacing w:after="0"/>
    </w:pPr>
  </w:style>
  <w:style w:type="character" w:customStyle="1" w:styleId="NoteHeadingChar">
    <w:name w:val="Note Heading Char"/>
    <w:basedOn w:val="DefaultParagraphFont"/>
    <w:link w:val="NoteHeading"/>
    <w:uiPriority w:val="99"/>
    <w:semiHidden/>
    <w:rsid w:val="00193F00"/>
    <w:rPr>
      <w:lang w:val="en-GB"/>
    </w:rPr>
  </w:style>
  <w:style w:type="paragraph" w:styleId="PlainText">
    <w:name w:val="Plain Text"/>
    <w:basedOn w:val="Normal"/>
    <w:link w:val="PlainTextChar"/>
    <w:uiPriority w:val="99"/>
    <w:semiHidden/>
    <w:unhideWhenUsed/>
    <w:rsid w:val="00193F00"/>
    <w:pPr>
      <w:spacing w:after="0"/>
    </w:pPr>
    <w:rPr>
      <w:rFonts w:ascii="Consolas" w:hAnsi="Consolas"/>
      <w:szCs w:val="21"/>
    </w:rPr>
  </w:style>
  <w:style w:type="character" w:customStyle="1" w:styleId="PlainTextChar">
    <w:name w:val="Plain Text Char"/>
    <w:basedOn w:val="DefaultParagraphFont"/>
    <w:link w:val="PlainText"/>
    <w:uiPriority w:val="99"/>
    <w:semiHidden/>
    <w:rsid w:val="00193F00"/>
    <w:rPr>
      <w:rFonts w:ascii="Consolas" w:hAnsi="Consolas"/>
      <w:sz w:val="21"/>
      <w:szCs w:val="21"/>
      <w:lang w:val="en-GB"/>
    </w:rPr>
  </w:style>
  <w:style w:type="paragraph" w:styleId="Signature">
    <w:name w:val="Signature"/>
    <w:basedOn w:val="Normal"/>
    <w:link w:val="SignatureChar"/>
    <w:uiPriority w:val="99"/>
    <w:semiHidden/>
    <w:unhideWhenUsed/>
    <w:rsid w:val="00193F00"/>
    <w:pPr>
      <w:spacing w:after="0"/>
      <w:ind w:left="4252"/>
    </w:pPr>
  </w:style>
  <w:style w:type="character" w:customStyle="1" w:styleId="SignatureChar">
    <w:name w:val="Signature Char"/>
    <w:basedOn w:val="DefaultParagraphFont"/>
    <w:link w:val="Signature"/>
    <w:uiPriority w:val="99"/>
    <w:semiHidden/>
    <w:rsid w:val="00193F00"/>
    <w:rPr>
      <w:lang w:val="en-GB"/>
    </w:rPr>
  </w:style>
  <w:style w:type="paragraph" w:styleId="TableofAuthorities">
    <w:name w:val="table of authorities"/>
    <w:basedOn w:val="Normal"/>
    <w:next w:val="Normal"/>
    <w:uiPriority w:val="99"/>
    <w:semiHidden/>
    <w:unhideWhenUsed/>
    <w:rsid w:val="00193F00"/>
    <w:pPr>
      <w:spacing w:after="0"/>
      <w:ind w:left="220" w:hanging="220"/>
    </w:pPr>
  </w:style>
  <w:style w:type="paragraph" w:styleId="TableofFigures">
    <w:name w:val="table of figures"/>
    <w:basedOn w:val="Normal"/>
    <w:next w:val="Normal"/>
    <w:uiPriority w:val="99"/>
    <w:semiHidden/>
    <w:unhideWhenUsed/>
    <w:rsid w:val="00193F00"/>
    <w:pPr>
      <w:spacing w:after="0"/>
    </w:pPr>
  </w:style>
  <w:style w:type="paragraph" w:styleId="TOAHeading">
    <w:name w:val="toa heading"/>
    <w:basedOn w:val="Normal"/>
    <w:next w:val="Normal"/>
    <w:uiPriority w:val="99"/>
    <w:semiHidden/>
    <w:unhideWhenUsed/>
    <w:rsid w:val="00193F00"/>
    <w:rPr>
      <w:rFonts w:asciiTheme="majorHAnsi" w:eastAsiaTheme="majorEastAsia" w:hAnsiTheme="majorHAnsi" w:cstheme="majorBidi"/>
      <w:b/>
      <w:bCs/>
      <w:sz w:val="24"/>
      <w:szCs w:val="24"/>
    </w:rPr>
  </w:style>
  <w:style w:type="paragraph" w:styleId="TOC3">
    <w:name w:val="toc 3"/>
    <w:basedOn w:val="Normal"/>
    <w:next w:val="Normal"/>
    <w:autoRedefine/>
    <w:uiPriority w:val="39"/>
    <w:rsid w:val="000F57B5"/>
    <w:pPr>
      <w:tabs>
        <w:tab w:val="right" w:leader="dot" w:pos="9402"/>
      </w:tabs>
      <w:spacing w:after="100"/>
    </w:pPr>
    <w:rPr>
      <w:b/>
      <w:color w:val="006EC8" w:themeColor="accent1"/>
    </w:rPr>
  </w:style>
  <w:style w:type="paragraph" w:styleId="TOC4">
    <w:name w:val="toc 4"/>
    <w:basedOn w:val="Normal"/>
    <w:next w:val="Normal"/>
    <w:autoRedefine/>
    <w:uiPriority w:val="39"/>
    <w:rsid w:val="000F57B5"/>
    <w:pPr>
      <w:tabs>
        <w:tab w:val="right" w:pos="9402"/>
      </w:tabs>
      <w:spacing w:before="60" w:after="0"/>
    </w:pPr>
    <w:rPr>
      <w:color w:val="006EC8" w:themeColor="accent1"/>
      <w:sz w:val="36"/>
    </w:rPr>
  </w:style>
  <w:style w:type="paragraph" w:styleId="TOC5">
    <w:name w:val="toc 5"/>
    <w:basedOn w:val="Normal"/>
    <w:next w:val="Normal"/>
    <w:autoRedefine/>
    <w:uiPriority w:val="39"/>
    <w:semiHidden/>
    <w:unhideWhenUsed/>
    <w:rsid w:val="00193F00"/>
    <w:pPr>
      <w:spacing w:after="100"/>
      <w:ind w:left="880"/>
    </w:pPr>
  </w:style>
  <w:style w:type="paragraph" w:styleId="TOC6">
    <w:name w:val="toc 6"/>
    <w:basedOn w:val="Normal"/>
    <w:next w:val="Normal"/>
    <w:autoRedefine/>
    <w:uiPriority w:val="39"/>
    <w:semiHidden/>
    <w:unhideWhenUsed/>
    <w:rsid w:val="00193F00"/>
    <w:pPr>
      <w:spacing w:after="100"/>
      <w:ind w:left="1100"/>
    </w:pPr>
  </w:style>
  <w:style w:type="paragraph" w:styleId="TOC7">
    <w:name w:val="toc 7"/>
    <w:basedOn w:val="Normal"/>
    <w:next w:val="Normal"/>
    <w:autoRedefine/>
    <w:uiPriority w:val="39"/>
    <w:semiHidden/>
    <w:unhideWhenUsed/>
    <w:rsid w:val="00193F00"/>
    <w:pPr>
      <w:spacing w:after="100"/>
      <w:ind w:left="1320"/>
    </w:pPr>
  </w:style>
  <w:style w:type="paragraph" w:styleId="TOC8">
    <w:name w:val="toc 8"/>
    <w:basedOn w:val="Normal"/>
    <w:next w:val="Normal"/>
    <w:autoRedefine/>
    <w:uiPriority w:val="39"/>
    <w:semiHidden/>
    <w:unhideWhenUsed/>
    <w:rsid w:val="00193F00"/>
    <w:pPr>
      <w:spacing w:after="100"/>
      <w:ind w:left="1540"/>
    </w:pPr>
  </w:style>
  <w:style w:type="paragraph" w:styleId="TOC9">
    <w:name w:val="toc 9"/>
    <w:basedOn w:val="Normal"/>
    <w:next w:val="Normal"/>
    <w:autoRedefine/>
    <w:uiPriority w:val="39"/>
    <w:semiHidden/>
    <w:unhideWhenUsed/>
    <w:rsid w:val="00193F00"/>
    <w:pPr>
      <w:spacing w:after="100"/>
      <w:ind w:left="1760"/>
    </w:pPr>
  </w:style>
  <w:style w:type="paragraph" w:customStyle="1" w:styleId="CVName">
    <w:name w:val="CV_Name"/>
    <w:basedOn w:val="Normal"/>
    <w:qFormat/>
    <w:rsid w:val="009E7F48"/>
    <w:pPr>
      <w:spacing w:after="0"/>
    </w:pPr>
    <w:rPr>
      <w:b/>
      <w:bCs/>
      <w:color w:val="006EC8" w:themeColor="accent1"/>
      <w:sz w:val="32"/>
      <w:szCs w:val="36"/>
    </w:rPr>
  </w:style>
  <w:style w:type="paragraph" w:customStyle="1" w:styleId="CVTitle">
    <w:name w:val="CV_Title"/>
    <w:basedOn w:val="Normal"/>
    <w:qFormat/>
    <w:rsid w:val="009E7F48"/>
    <w:pPr>
      <w:spacing w:after="200"/>
    </w:pPr>
    <w:rPr>
      <w:color w:val="006EC8" w:themeColor="accent1"/>
      <w:sz w:val="32"/>
      <w:szCs w:val="28"/>
    </w:rPr>
  </w:style>
  <w:style w:type="character" w:styleId="FootnoteReference">
    <w:name w:val="footnote reference"/>
    <w:basedOn w:val="DefaultParagraphFont"/>
    <w:uiPriority w:val="99"/>
    <w:semiHidden/>
    <w:unhideWhenUsed/>
    <w:rsid w:val="004E39A5"/>
    <w:rPr>
      <w:vertAlign w:val="superscript"/>
    </w:rPr>
  </w:style>
  <w:style w:type="paragraph" w:customStyle="1" w:styleId="Subparagraph1">
    <w:name w:val="Subparagraph 1"/>
    <w:basedOn w:val="ListNumber"/>
    <w:qFormat/>
    <w:rsid w:val="005A678F"/>
    <w:pPr>
      <w:numPr>
        <w:ilvl w:val="1"/>
        <w:numId w:val="28"/>
      </w:numPr>
    </w:pPr>
  </w:style>
  <w:style w:type="paragraph" w:customStyle="1" w:styleId="Subparagraph2">
    <w:name w:val="Subparagraph 2"/>
    <w:basedOn w:val="ListNumber2"/>
    <w:qFormat/>
    <w:rsid w:val="00E65E5C"/>
    <w:pPr>
      <w:numPr>
        <w:ilvl w:val="2"/>
        <w:numId w:val="28"/>
      </w:numPr>
      <w:ind w:left="714" w:hanging="357"/>
    </w:pPr>
    <w:rPr>
      <w:noProof/>
    </w:rPr>
  </w:style>
  <w:style w:type="paragraph" w:customStyle="1" w:styleId="Subparagraph3">
    <w:name w:val="Subparagraph 3"/>
    <w:basedOn w:val="Heading9"/>
    <w:qFormat/>
    <w:rsid w:val="002135AC"/>
    <w:pPr>
      <w:numPr>
        <w:ilvl w:val="3"/>
        <w:numId w:val="28"/>
      </w:numPr>
      <w:ind w:left="1071" w:hanging="357"/>
    </w:pPr>
    <w:rPr>
      <w:noProof/>
    </w:rPr>
  </w:style>
  <w:style w:type="paragraph" w:customStyle="1" w:styleId="Normalindent2">
    <w:name w:val="Normal indent 2"/>
    <w:basedOn w:val="Normal"/>
    <w:qFormat/>
    <w:rsid w:val="009E7F48"/>
    <w:pPr>
      <w:ind w:left="714"/>
    </w:pPr>
  </w:style>
  <w:style w:type="paragraph" w:customStyle="1" w:styleId="Normalindent3">
    <w:name w:val="Normal indent 3"/>
    <w:basedOn w:val="Normal"/>
    <w:qFormat/>
    <w:rsid w:val="009E7F48"/>
    <w:pPr>
      <w:ind w:left="1072"/>
    </w:pPr>
  </w:style>
  <w:style w:type="paragraph" w:styleId="BodyText">
    <w:name w:val="Body Text"/>
    <w:basedOn w:val="Normal"/>
    <w:link w:val="BodyTextChar"/>
    <w:uiPriority w:val="99"/>
    <w:rsid w:val="00D320CF"/>
  </w:style>
  <w:style w:type="character" w:customStyle="1" w:styleId="BodyTextChar">
    <w:name w:val="Body Text Char"/>
    <w:basedOn w:val="DefaultParagraphFont"/>
    <w:link w:val="BodyText"/>
    <w:uiPriority w:val="99"/>
    <w:rsid w:val="00D320CF"/>
    <w:rPr>
      <w:sz w:val="21"/>
      <w:lang w:val="en-GB"/>
    </w:rPr>
  </w:style>
  <w:style w:type="paragraph" w:customStyle="1" w:styleId="NNheading3alt">
    <w:name w:val="NN heading 3 alt"/>
    <w:basedOn w:val="Heading3"/>
    <w:next w:val="Normal"/>
    <w:qFormat/>
    <w:rsid w:val="00A520C9"/>
    <w:pPr>
      <w:numPr>
        <w:ilvl w:val="0"/>
        <w:numId w:val="0"/>
      </w:numPr>
    </w:pPr>
  </w:style>
  <w:style w:type="table" w:styleId="GridTable1Light-Accent1">
    <w:name w:val="Grid Table 1 Light Accent 1"/>
    <w:basedOn w:val="TableNormal"/>
    <w:uiPriority w:val="46"/>
    <w:rsid w:val="00A520C9"/>
    <w:pPr>
      <w:spacing w:after="0" w:line="240" w:lineRule="auto"/>
    </w:pPr>
    <w:tblPr>
      <w:tblStyleRowBandSize w:val="1"/>
      <w:tblStyleColBandSize w:val="1"/>
      <w:tblBorders>
        <w:top w:val="single" w:sz="4" w:space="0" w:color="83C7FF" w:themeColor="accent1" w:themeTint="66"/>
        <w:left w:val="single" w:sz="4" w:space="0" w:color="83C7FF" w:themeColor="accent1" w:themeTint="66"/>
        <w:bottom w:val="single" w:sz="4" w:space="0" w:color="83C7FF" w:themeColor="accent1" w:themeTint="66"/>
        <w:right w:val="single" w:sz="4" w:space="0" w:color="83C7FF" w:themeColor="accent1" w:themeTint="66"/>
        <w:insideH w:val="single" w:sz="4" w:space="0" w:color="83C7FF" w:themeColor="accent1" w:themeTint="66"/>
        <w:insideV w:val="single" w:sz="4" w:space="0" w:color="83C7FF" w:themeColor="accent1" w:themeTint="66"/>
      </w:tblBorders>
    </w:tblPr>
    <w:tblStylePr w:type="firstRow">
      <w:rPr>
        <w:b/>
        <w:bCs/>
      </w:rPr>
      <w:tblPr/>
      <w:tcPr>
        <w:tcBorders>
          <w:bottom w:val="single" w:sz="12" w:space="0" w:color="45ABFF" w:themeColor="accent1" w:themeTint="99"/>
        </w:tcBorders>
      </w:tcPr>
    </w:tblStylePr>
    <w:tblStylePr w:type="lastRow">
      <w:rPr>
        <w:b/>
        <w:bCs/>
      </w:rPr>
      <w:tblPr/>
      <w:tcPr>
        <w:tcBorders>
          <w:top w:val="double" w:sz="2" w:space="0" w:color="45ABFF"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A520C9"/>
    <w:pPr>
      <w:spacing w:after="0" w:line="240" w:lineRule="auto"/>
    </w:pPr>
    <w:rPr>
      <w:sz w:val="21"/>
      <w:lang w:val="en-GB"/>
    </w:rPr>
  </w:style>
  <w:style w:type="table" w:styleId="ListTable5Dark-Accent1">
    <w:name w:val="List Table 5 Dark Accent 1"/>
    <w:basedOn w:val="TableNormal"/>
    <w:uiPriority w:val="50"/>
    <w:rsid w:val="00A520C9"/>
    <w:pPr>
      <w:spacing w:after="0" w:line="240" w:lineRule="auto"/>
    </w:pPr>
    <w:rPr>
      <w:color w:val="FFFFFF" w:themeColor="background1"/>
    </w:rPr>
    <w:tblPr>
      <w:tblStyleRowBandSize w:val="1"/>
      <w:tblStyleColBandSize w:val="1"/>
      <w:tblBorders>
        <w:top w:val="single" w:sz="24" w:space="0" w:color="006EC8" w:themeColor="accent1"/>
        <w:left w:val="single" w:sz="24" w:space="0" w:color="006EC8" w:themeColor="accent1"/>
        <w:bottom w:val="single" w:sz="24" w:space="0" w:color="006EC8" w:themeColor="accent1"/>
        <w:right w:val="single" w:sz="24" w:space="0" w:color="006EC8" w:themeColor="accent1"/>
      </w:tblBorders>
    </w:tblPr>
    <w:tcPr>
      <w:shd w:val="clear" w:color="auto" w:fill="006E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1Light-Accent1">
    <w:name w:val="List Table 1 Light Accent 1"/>
    <w:basedOn w:val="TableNormal"/>
    <w:uiPriority w:val="46"/>
    <w:rsid w:val="00A520C9"/>
    <w:pPr>
      <w:spacing w:after="0" w:line="240" w:lineRule="auto"/>
    </w:pPr>
    <w:tblPr>
      <w:tblStyleRowBandSize w:val="1"/>
      <w:tblStyleColBandSize w:val="1"/>
    </w:tblPr>
    <w:tblStylePr w:type="firstRow">
      <w:rPr>
        <w:b/>
        <w:bCs/>
      </w:rPr>
      <w:tblPr/>
      <w:tcPr>
        <w:tcBorders>
          <w:bottom w:val="single" w:sz="4" w:space="0" w:color="45ABFF" w:themeColor="accent1" w:themeTint="99"/>
        </w:tcBorders>
      </w:tcPr>
    </w:tblStylePr>
    <w:tblStylePr w:type="lastRow">
      <w:rPr>
        <w:b/>
        <w:bCs/>
      </w:rPr>
      <w:tblPr/>
      <w:tcPr>
        <w:tcBorders>
          <w:top w:val="single" w:sz="4" w:space="0" w:color="45ABFF" w:themeColor="accent1" w:themeTint="99"/>
        </w:tcBorders>
      </w:tcPr>
    </w:tblStylePr>
    <w:tblStylePr w:type="firstCol">
      <w:rPr>
        <w:b/>
        <w:bCs/>
      </w:rPr>
    </w:tblStylePr>
    <w:tblStylePr w:type="lastCol">
      <w:rPr>
        <w:b/>
        <w:bCs/>
      </w:rPr>
    </w:tblStylePr>
    <w:tblStylePr w:type="band1Vert">
      <w:tblPr/>
      <w:tcPr>
        <w:shd w:val="clear" w:color="auto" w:fill="C1E3FF" w:themeFill="accent1" w:themeFillTint="33"/>
      </w:tcPr>
    </w:tblStylePr>
    <w:tblStylePr w:type="band1Horz">
      <w:tblPr/>
      <w:tcPr>
        <w:shd w:val="clear" w:color="auto" w:fill="C1E3FF" w:themeFill="accent1" w:themeFillTint="33"/>
      </w:tcPr>
    </w:tblStylePr>
  </w:style>
  <w:style w:type="character" w:styleId="EndnoteReference">
    <w:name w:val="endnote reference"/>
    <w:basedOn w:val="DefaultParagraphFont"/>
    <w:uiPriority w:val="99"/>
    <w:semiHidden/>
    <w:unhideWhenUsed/>
    <w:rsid w:val="00CD1A99"/>
    <w:rPr>
      <w:vertAlign w:val="superscript"/>
    </w:rPr>
  </w:style>
  <w:style w:type="paragraph" w:customStyle="1" w:styleId="NNheading2Exec">
    <w:name w:val="NN heading 2 Exec"/>
    <w:basedOn w:val="NNheading4"/>
    <w:qFormat/>
    <w:rsid w:val="00376E9C"/>
    <w:pPr>
      <w:spacing w:after="240"/>
      <w:outlineLvl w:val="1"/>
    </w:pPr>
    <w:rPr>
      <w:color w:val="FFFFFF" w:themeColor="background1"/>
    </w:rPr>
  </w:style>
  <w:style w:type="character" w:styleId="FollowedHyperlink">
    <w:name w:val="FollowedHyperlink"/>
    <w:basedOn w:val="DefaultParagraphFont"/>
    <w:uiPriority w:val="99"/>
    <w:semiHidden/>
    <w:unhideWhenUsed/>
    <w:rsid w:val="007D0978"/>
    <w:rPr>
      <w:color w:val="000000" w:themeColor="followedHyperlink"/>
      <w:u w:val="single"/>
    </w:rPr>
  </w:style>
  <w:style w:type="paragraph" w:customStyle="1" w:styleId="NNheading3alt2">
    <w:name w:val="NN heading 3 alt2"/>
    <w:basedOn w:val="NNheading4"/>
    <w:qFormat/>
    <w:rsid w:val="00376E9C"/>
    <w:pPr>
      <w:outlineLvl w:val="2"/>
    </w:pPr>
  </w:style>
  <w:style w:type="paragraph" w:customStyle="1" w:styleId="NNheading2alt">
    <w:name w:val="NN heading 2 alt"/>
    <w:basedOn w:val="NNheading4"/>
    <w:qFormat/>
    <w:rsid w:val="00376E9C"/>
    <w:pPr>
      <w:spacing w:before="240"/>
      <w:outlineLvl w:val="1"/>
    </w:pPr>
  </w:style>
  <w:style w:type="paragraph" w:styleId="BodyText2">
    <w:name w:val="Body Text 2"/>
    <w:basedOn w:val="Normal"/>
    <w:link w:val="BodyText2Char"/>
    <w:uiPriority w:val="99"/>
    <w:semiHidden/>
    <w:unhideWhenUsed/>
    <w:rsid w:val="00FB20F3"/>
    <w:pPr>
      <w:spacing w:line="480" w:lineRule="auto"/>
    </w:pPr>
  </w:style>
  <w:style w:type="character" w:customStyle="1" w:styleId="BodyText2Char">
    <w:name w:val="Body Text 2 Char"/>
    <w:basedOn w:val="DefaultParagraphFont"/>
    <w:link w:val="BodyText2"/>
    <w:uiPriority w:val="99"/>
    <w:semiHidden/>
    <w:rsid w:val="00FB20F3"/>
    <w:rPr>
      <w:sz w:val="21"/>
      <w:lang w:val="en-GB"/>
    </w:rPr>
  </w:style>
  <w:style w:type="paragraph" w:styleId="BodyText3">
    <w:name w:val="Body Text 3"/>
    <w:basedOn w:val="Normal"/>
    <w:link w:val="BodyText3Char"/>
    <w:uiPriority w:val="99"/>
    <w:semiHidden/>
    <w:unhideWhenUsed/>
    <w:rsid w:val="00FB20F3"/>
    <w:rPr>
      <w:sz w:val="16"/>
      <w:szCs w:val="16"/>
    </w:rPr>
  </w:style>
  <w:style w:type="character" w:customStyle="1" w:styleId="BodyText3Char">
    <w:name w:val="Body Text 3 Char"/>
    <w:basedOn w:val="DefaultParagraphFont"/>
    <w:link w:val="BodyText3"/>
    <w:uiPriority w:val="99"/>
    <w:semiHidden/>
    <w:rsid w:val="00FB20F3"/>
    <w:rPr>
      <w:sz w:val="16"/>
      <w:szCs w:val="16"/>
      <w:lang w:val="en-GB"/>
    </w:rPr>
  </w:style>
  <w:style w:type="paragraph" w:styleId="BodyTextFirstIndent">
    <w:name w:val="Body Text First Indent"/>
    <w:basedOn w:val="BodyText"/>
    <w:link w:val="BodyTextFirstIndentChar"/>
    <w:uiPriority w:val="99"/>
    <w:semiHidden/>
    <w:unhideWhenUsed/>
    <w:rsid w:val="00FB20F3"/>
    <w:pPr>
      <w:ind w:firstLine="360"/>
    </w:pPr>
  </w:style>
  <w:style w:type="character" w:customStyle="1" w:styleId="BodyTextFirstIndentChar">
    <w:name w:val="Body Text First Indent Char"/>
    <w:basedOn w:val="BodyTextChar"/>
    <w:link w:val="BodyTextFirstIndent"/>
    <w:uiPriority w:val="99"/>
    <w:semiHidden/>
    <w:rsid w:val="00FB20F3"/>
    <w:rPr>
      <w:sz w:val="21"/>
      <w:lang w:val="en-GB"/>
    </w:rPr>
  </w:style>
  <w:style w:type="paragraph" w:styleId="BodyTextIndent">
    <w:name w:val="Body Text Indent"/>
    <w:basedOn w:val="Normal"/>
    <w:link w:val="BodyTextIndentChar"/>
    <w:uiPriority w:val="99"/>
    <w:semiHidden/>
    <w:rsid w:val="00FB20F3"/>
    <w:pPr>
      <w:ind w:left="283"/>
    </w:pPr>
  </w:style>
  <w:style w:type="character" w:customStyle="1" w:styleId="BodyTextIndentChar">
    <w:name w:val="Body Text Indent Char"/>
    <w:basedOn w:val="DefaultParagraphFont"/>
    <w:link w:val="BodyTextIndent"/>
    <w:uiPriority w:val="99"/>
    <w:semiHidden/>
    <w:rsid w:val="00FB20F3"/>
    <w:rPr>
      <w:sz w:val="21"/>
      <w:lang w:val="en-GB"/>
    </w:rPr>
  </w:style>
  <w:style w:type="paragraph" w:styleId="BodyTextFirstIndent2">
    <w:name w:val="Body Text First Indent 2"/>
    <w:basedOn w:val="BodyTextIndent"/>
    <w:link w:val="BodyTextFirstIndent2Char"/>
    <w:uiPriority w:val="99"/>
    <w:semiHidden/>
    <w:unhideWhenUsed/>
    <w:rsid w:val="00FB20F3"/>
    <w:pPr>
      <w:ind w:left="360" w:firstLine="360"/>
    </w:pPr>
  </w:style>
  <w:style w:type="character" w:customStyle="1" w:styleId="BodyTextFirstIndent2Char">
    <w:name w:val="Body Text First Indent 2 Char"/>
    <w:basedOn w:val="BodyTextIndentChar"/>
    <w:link w:val="BodyTextFirstIndent2"/>
    <w:uiPriority w:val="99"/>
    <w:semiHidden/>
    <w:rsid w:val="00FB20F3"/>
    <w:rPr>
      <w:sz w:val="21"/>
      <w:lang w:val="en-GB"/>
    </w:rPr>
  </w:style>
  <w:style w:type="paragraph" w:styleId="BodyTextIndent2">
    <w:name w:val="Body Text Indent 2"/>
    <w:basedOn w:val="Normal"/>
    <w:link w:val="BodyTextIndent2Char"/>
    <w:uiPriority w:val="99"/>
    <w:semiHidden/>
    <w:rsid w:val="00FB20F3"/>
    <w:pPr>
      <w:spacing w:line="480" w:lineRule="auto"/>
      <w:ind w:left="283"/>
    </w:pPr>
  </w:style>
  <w:style w:type="character" w:customStyle="1" w:styleId="BodyTextIndent2Char">
    <w:name w:val="Body Text Indent 2 Char"/>
    <w:basedOn w:val="DefaultParagraphFont"/>
    <w:link w:val="BodyTextIndent2"/>
    <w:uiPriority w:val="99"/>
    <w:semiHidden/>
    <w:rsid w:val="00FB20F3"/>
    <w:rPr>
      <w:sz w:val="21"/>
      <w:lang w:val="en-GB"/>
    </w:rPr>
  </w:style>
  <w:style w:type="paragraph" w:styleId="BodyTextIndent3">
    <w:name w:val="Body Text Indent 3"/>
    <w:basedOn w:val="Normal"/>
    <w:link w:val="BodyTextIndent3Char"/>
    <w:uiPriority w:val="99"/>
    <w:semiHidden/>
    <w:rsid w:val="00FB20F3"/>
    <w:pPr>
      <w:ind w:left="283"/>
    </w:pPr>
    <w:rPr>
      <w:sz w:val="16"/>
      <w:szCs w:val="16"/>
    </w:rPr>
  </w:style>
  <w:style w:type="character" w:customStyle="1" w:styleId="BodyTextIndent3Char">
    <w:name w:val="Body Text Indent 3 Char"/>
    <w:basedOn w:val="DefaultParagraphFont"/>
    <w:link w:val="BodyTextIndent3"/>
    <w:uiPriority w:val="99"/>
    <w:semiHidden/>
    <w:rsid w:val="00FB20F3"/>
    <w:rPr>
      <w:sz w:val="16"/>
      <w:szCs w:val="16"/>
      <w:lang w:val="en-GB"/>
    </w:rPr>
  </w:style>
  <w:style w:type="paragraph" w:customStyle="1" w:styleId="AppendixTitle">
    <w:name w:val="Appendix Title"/>
    <w:basedOn w:val="Heading5"/>
    <w:qFormat/>
    <w:rsid w:val="00A52191"/>
    <w:pPr>
      <w:outlineLvl w:val="0"/>
    </w:pPr>
  </w:style>
  <w:style w:type="paragraph" w:customStyle="1" w:styleId="AppendixSubheading">
    <w:name w:val="Appendix Subheading"/>
    <w:basedOn w:val="Heading6"/>
    <w:qFormat/>
    <w:rsid w:val="00A52191"/>
    <w:pPr>
      <w:outlineLvl w:val="1"/>
    </w:pPr>
  </w:style>
  <w:style w:type="paragraph" w:customStyle="1" w:styleId="AppendixH3">
    <w:name w:val="Appendix H3"/>
    <w:basedOn w:val="Heading7"/>
    <w:qFormat/>
    <w:rsid w:val="00A52191"/>
    <w:pPr>
      <w:outlineLvl w:val="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182399">
      <w:bodyDiv w:val="1"/>
      <w:marLeft w:val="0"/>
      <w:marRight w:val="0"/>
      <w:marTop w:val="0"/>
      <w:marBottom w:val="0"/>
      <w:divBdr>
        <w:top w:val="none" w:sz="0" w:space="0" w:color="auto"/>
        <w:left w:val="none" w:sz="0" w:space="0" w:color="auto"/>
        <w:bottom w:val="none" w:sz="0" w:space="0" w:color="auto"/>
        <w:right w:val="none" w:sz="0" w:space="0" w:color="auto"/>
      </w:divBdr>
    </w:div>
    <w:div w:id="445926640">
      <w:bodyDiv w:val="1"/>
      <w:marLeft w:val="0"/>
      <w:marRight w:val="0"/>
      <w:marTop w:val="0"/>
      <w:marBottom w:val="0"/>
      <w:divBdr>
        <w:top w:val="none" w:sz="0" w:space="0" w:color="auto"/>
        <w:left w:val="none" w:sz="0" w:space="0" w:color="auto"/>
        <w:bottom w:val="none" w:sz="0" w:space="0" w:color="auto"/>
        <w:right w:val="none" w:sz="0" w:space="0" w:color="auto"/>
      </w:divBdr>
    </w:div>
    <w:div w:id="502814966">
      <w:bodyDiv w:val="1"/>
      <w:marLeft w:val="0"/>
      <w:marRight w:val="0"/>
      <w:marTop w:val="0"/>
      <w:marBottom w:val="0"/>
      <w:divBdr>
        <w:top w:val="none" w:sz="0" w:space="0" w:color="auto"/>
        <w:left w:val="none" w:sz="0" w:space="0" w:color="auto"/>
        <w:bottom w:val="none" w:sz="0" w:space="0" w:color="auto"/>
        <w:right w:val="none" w:sz="0" w:space="0" w:color="auto"/>
      </w:divBdr>
    </w:div>
    <w:div w:id="679045744">
      <w:bodyDiv w:val="1"/>
      <w:marLeft w:val="0"/>
      <w:marRight w:val="0"/>
      <w:marTop w:val="0"/>
      <w:marBottom w:val="0"/>
      <w:divBdr>
        <w:top w:val="none" w:sz="0" w:space="0" w:color="auto"/>
        <w:left w:val="none" w:sz="0" w:space="0" w:color="auto"/>
        <w:bottom w:val="none" w:sz="0" w:space="0" w:color="auto"/>
        <w:right w:val="none" w:sz="0" w:space="0" w:color="auto"/>
      </w:divBdr>
    </w:div>
    <w:div w:id="864708705">
      <w:bodyDiv w:val="1"/>
      <w:marLeft w:val="0"/>
      <w:marRight w:val="0"/>
      <w:marTop w:val="0"/>
      <w:marBottom w:val="0"/>
      <w:divBdr>
        <w:top w:val="none" w:sz="0" w:space="0" w:color="auto"/>
        <w:left w:val="none" w:sz="0" w:space="0" w:color="auto"/>
        <w:bottom w:val="none" w:sz="0" w:space="0" w:color="auto"/>
        <w:right w:val="none" w:sz="0" w:space="0" w:color="auto"/>
      </w:divBdr>
    </w:div>
    <w:div w:id="996030833">
      <w:bodyDiv w:val="1"/>
      <w:marLeft w:val="0"/>
      <w:marRight w:val="0"/>
      <w:marTop w:val="0"/>
      <w:marBottom w:val="0"/>
      <w:divBdr>
        <w:top w:val="none" w:sz="0" w:space="0" w:color="auto"/>
        <w:left w:val="none" w:sz="0" w:space="0" w:color="auto"/>
        <w:bottom w:val="none" w:sz="0" w:space="0" w:color="auto"/>
        <w:right w:val="none" w:sz="0" w:space="0" w:color="auto"/>
      </w:divBdr>
    </w:div>
    <w:div w:id="1195734744">
      <w:bodyDiv w:val="1"/>
      <w:marLeft w:val="0"/>
      <w:marRight w:val="0"/>
      <w:marTop w:val="0"/>
      <w:marBottom w:val="0"/>
      <w:divBdr>
        <w:top w:val="none" w:sz="0" w:space="0" w:color="auto"/>
        <w:left w:val="none" w:sz="0" w:space="0" w:color="auto"/>
        <w:bottom w:val="none" w:sz="0" w:space="0" w:color="auto"/>
        <w:right w:val="none" w:sz="0" w:space="0" w:color="auto"/>
      </w:divBdr>
    </w:div>
    <w:div w:id="1373189903">
      <w:bodyDiv w:val="1"/>
      <w:marLeft w:val="0"/>
      <w:marRight w:val="0"/>
      <w:marTop w:val="0"/>
      <w:marBottom w:val="0"/>
      <w:divBdr>
        <w:top w:val="none" w:sz="0" w:space="0" w:color="auto"/>
        <w:left w:val="none" w:sz="0" w:space="0" w:color="auto"/>
        <w:bottom w:val="none" w:sz="0" w:space="0" w:color="auto"/>
        <w:right w:val="none" w:sz="0" w:space="0" w:color="auto"/>
      </w:divBdr>
    </w:div>
    <w:div w:id="1567957898">
      <w:bodyDiv w:val="1"/>
      <w:marLeft w:val="0"/>
      <w:marRight w:val="0"/>
      <w:marTop w:val="0"/>
      <w:marBottom w:val="0"/>
      <w:divBdr>
        <w:top w:val="none" w:sz="0" w:space="0" w:color="auto"/>
        <w:left w:val="none" w:sz="0" w:space="0" w:color="auto"/>
        <w:bottom w:val="none" w:sz="0" w:space="0" w:color="auto"/>
        <w:right w:val="none" w:sz="0" w:space="0" w:color="auto"/>
      </w:divBdr>
    </w:div>
    <w:div w:id="1904489648">
      <w:bodyDiv w:val="1"/>
      <w:marLeft w:val="0"/>
      <w:marRight w:val="0"/>
      <w:marTop w:val="0"/>
      <w:marBottom w:val="0"/>
      <w:divBdr>
        <w:top w:val="none" w:sz="0" w:space="0" w:color="auto"/>
        <w:left w:val="none" w:sz="0" w:space="0" w:color="auto"/>
        <w:bottom w:val="none" w:sz="0" w:space="0" w:color="auto"/>
        <w:right w:val="none" w:sz="0" w:space="0" w:color="auto"/>
      </w:divBdr>
    </w:div>
    <w:div w:id="1973830542">
      <w:bodyDiv w:val="1"/>
      <w:marLeft w:val="0"/>
      <w:marRight w:val="0"/>
      <w:marTop w:val="0"/>
      <w:marBottom w:val="0"/>
      <w:divBdr>
        <w:top w:val="none" w:sz="0" w:space="0" w:color="auto"/>
        <w:left w:val="none" w:sz="0" w:space="0" w:color="auto"/>
        <w:bottom w:val="none" w:sz="0" w:space="0" w:color="auto"/>
        <w:right w:val="none" w:sz="0" w:space="0" w:color="auto"/>
      </w:divBdr>
    </w:div>
    <w:div w:id="2003460374">
      <w:bodyDiv w:val="1"/>
      <w:marLeft w:val="0"/>
      <w:marRight w:val="0"/>
      <w:marTop w:val="0"/>
      <w:marBottom w:val="0"/>
      <w:divBdr>
        <w:top w:val="none" w:sz="0" w:space="0" w:color="auto"/>
        <w:left w:val="none" w:sz="0" w:space="0" w:color="auto"/>
        <w:bottom w:val="none" w:sz="0" w:space="0" w:color="auto"/>
        <w:right w:val="none" w:sz="0" w:space="0" w:color="auto"/>
      </w:divBdr>
    </w:div>
    <w:div w:id="2106922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microsoft.com/office/2007/relationships/hdphoto" Target="media/hdphoto1.wdp"/><Relationship Id="rId42" Type="http://schemas.openxmlformats.org/officeDocument/2006/relationships/header" Target="header13.xml"/><Relationship Id="rId63" Type="http://schemas.openxmlformats.org/officeDocument/2006/relationships/image" Target="media/image34.emf"/><Relationship Id="rId84" Type="http://schemas.openxmlformats.org/officeDocument/2006/relationships/image" Target="media/image55.svg"/><Relationship Id="rId138" Type="http://schemas.openxmlformats.org/officeDocument/2006/relationships/image" Target="media/image97.png"/><Relationship Id="rId159" Type="http://schemas.openxmlformats.org/officeDocument/2006/relationships/glossaryDocument" Target="glossary/document.xml"/><Relationship Id="rId107" Type="http://schemas.openxmlformats.org/officeDocument/2006/relationships/image" Target="media/image70.png"/><Relationship Id="rId11" Type="http://schemas.openxmlformats.org/officeDocument/2006/relationships/header" Target="header4.xml"/><Relationship Id="rId32" Type="http://schemas.openxmlformats.org/officeDocument/2006/relationships/image" Target="media/image18.svg"/><Relationship Id="rId53" Type="http://schemas.openxmlformats.org/officeDocument/2006/relationships/header" Target="header20.xml"/><Relationship Id="rId74" Type="http://schemas.openxmlformats.org/officeDocument/2006/relationships/image" Target="media/image45.png"/><Relationship Id="rId128" Type="http://schemas.openxmlformats.org/officeDocument/2006/relationships/image" Target="media/image87.emf"/><Relationship Id="rId149" Type="http://schemas.openxmlformats.org/officeDocument/2006/relationships/header" Target="header33.xml"/><Relationship Id="rId5" Type="http://schemas.openxmlformats.org/officeDocument/2006/relationships/footnotes" Target="footnotes.xml"/><Relationship Id="rId95" Type="http://schemas.openxmlformats.org/officeDocument/2006/relationships/header" Target="header26.xml"/><Relationship Id="rId160" Type="http://schemas.openxmlformats.org/officeDocument/2006/relationships/theme" Target="theme/theme1.xml"/><Relationship Id="rId22" Type="http://schemas.openxmlformats.org/officeDocument/2006/relationships/image" Target="media/image8.emf"/><Relationship Id="rId43" Type="http://schemas.openxmlformats.org/officeDocument/2006/relationships/footer" Target="footer5.xml"/><Relationship Id="rId64" Type="http://schemas.openxmlformats.org/officeDocument/2006/relationships/image" Target="media/image35.emf"/><Relationship Id="rId118" Type="http://schemas.openxmlformats.org/officeDocument/2006/relationships/image" Target="media/image77.svg"/><Relationship Id="rId139" Type="http://schemas.openxmlformats.org/officeDocument/2006/relationships/image" Target="media/image98.svg"/><Relationship Id="rId80" Type="http://schemas.openxmlformats.org/officeDocument/2006/relationships/image" Target="media/image51.emf"/><Relationship Id="rId85" Type="http://schemas.openxmlformats.org/officeDocument/2006/relationships/image" Target="media/image56.png"/><Relationship Id="rId150" Type="http://schemas.openxmlformats.org/officeDocument/2006/relationships/header" Target="header34.xml"/><Relationship Id="rId155" Type="http://schemas.openxmlformats.org/officeDocument/2006/relationships/header" Target="header37.xml"/><Relationship Id="rId12" Type="http://schemas.openxmlformats.org/officeDocument/2006/relationships/footer" Target="footer2.xml"/><Relationship Id="rId17"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footer" Target="footer4.xml"/><Relationship Id="rId59" Type="http://schemas.openxmlformats.org/officeDocument/2006/relationships/image" Target="media/image30.emf"/><Relationship Id="rId103" Type="http://schemas.openxmlformats.org/officeDocument/2006/relationships/image" Target="media/image66.emf"/><Relationship Id="rId108" Type="http://schemas.openxmlformats.org/officeDocument/2006/relationships/image" Target="media/image71.svg"/><Relationship Id="rId124" Type="http://schemas.openxmlformats.org/officeDocument/2006/relationships/image" Target="media/image83.svg"/><Relationship Id="rId129" Type="http://schemas.openxmlformats.org/officeDocument/2006/relationships/image" Target="media/image88.emf"/><Relationship Id="rId54" Type="http://schemas.openxmlformats.org/officeDocument/2006/relationships/image" Target="media/image25.emf"/><Relationship Id="rId70" Type="http://schemas.openxmlformats.org/officeDocument/2006/relationships/image" Target="media/image41.emf"/><Relationship Id="rId75" Type="http://schemas.openxmlformats.org/officeDocument/2006/relationships/image" Target="media/image46.svg"/><Relationship Id="rId91" Type="http://schemas.openxmlformats.org/officeDocument/2006/relationships/image" Target="media/image58.png"/><Relationship Id="rId96" Type="http://schemas.openxmlformats.org/officeDocument/2006/relationships/image" Target="media/image59.emf"/><Relationship Id="rId140" Type="http://schemas.openxmlformats.org/officeDocument/2006/relationships/image" Target="media/image99.emf"/><Relationship Id="rId145" Type="http://schemas.openxmlformats.org/officeDocument/2006/relationships/header" Target="header30.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emf"/><Relationship Id="rId28" Type="http://schemas.openxmlformats.org/officeDocument/2006/relationships/image" Target="media/image14.svg"/><Relationship Id="rId49" Type="http://schemas.openxmlformats.org/officeDocument/2006/relationships/image" Target="media/image24.png"/><Relationship Id="rId114" Type="http://schemas.openxmlformats.org/officeDocument/2006/relationships/image" Target="media/image73.png"/><Relationship Id="rId119" Type="http://schemas.openxmlformats.org/officeDocument/2006/relationships/image" Target="media/image78.emf"/><Relationship Id="rId44" Type="http://schemas.openxmlformats.org/officeDocument/2006/relationships/header" Target="header14.xml"/><Relationship Id="rId60" Type="http://schemas.openxmlformats.org/officeDocument/2006/relationships/image" Target="media/image31.emf"/><Relationship Id="rId65" Type="http://schemas.openxmlformats.org/officeDocument/2006/relationships/image" Target="media/image36.emf"/><Relationship Id="rId81" Type="http://schemas.openxmlformats.org/officeDocument/2006/relationships/image" Target="media/image52.png"/><Relationship Id="rId86" Type="http://schemas.openxmlformats.org/officeDocument/2006/relationships/image" Target="media/image57.svg"/><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footer" Target="footer12.xml"/><Relationship Id="rId156" Type="http://schemas.openxmlformats.org/officeDocument/2006/relationships/footer" Target="footer13.xml"/><Relationship Id="rId13" Type="http://schemas.openxmlformats.org/officeDocument/2006/relationships/header" Target="header5.xml"/><Relationship Id="rId18" Type="http://schemas.openxmlformats.org/officeDocument/2006/relationships/header" Target="header8.xml"/><Relationship Id="rId39" Type="http://schemas.openxmlformats.org/officeDocument/2006/relationships/header" Target="header11.xml"/><Relationship Id="rId109" Type="http://schemas.openxmlformats.org/officeDocument/2006/relationships/header" Target="header27.xml"/><Relationship Id="rId34" Type="http://schemas.openxmlformats.org/officeDocument/2006/relationships/image" Target="media/image20.svg"/><Relationship Id="rId50" Type="http://schemas.openxmlformats.org/officeDocument/2006/relationships/header" Target="header18.xml"/><Relationship Id="rId55" Type="http://schemas.openxmlformats.org/officeDocument/2006/relationships/image" Target="media/image26.png"/><Relationship Id="rId76" Type="http://schemas.openxmlformats.org/officeDocument/2006/relationships/image" Target="media/image47.emf"/><Relationship Id="rId97" Type="http://schemas.openxmlformats.org/officeDocument/2006/relationships/image" Target="media/image60.emf"/><Relationship Id="rId104" Type="http://schemas.openxmlformats.org/officeDocument/2006/relationships/image" Target="media/image67.emf"/><Relationship Id="rId120" Type="http://schemas.openxmlformats.org/officeDocument/2006/relationships/image" Target="media/image79.emf"/><Relationship Id="rId125" Type="http://schemas.openxmlformats.org/officeDocument/2006/relationships/image" Target="media/image84.emf"/><Relationship Id="rId141" Type="http://schemas.openxmlformats.org/officeDocument/2006/relationships/image" Target="media/image100.emf"/><Relationship Id="rId146" Type="http://schemas.openxmlformats.org/officeDocument/2006/relationships/header" Target="header31.xml"/><Relationship Id="rId7" Type="http://schemas.openxmlformats.org/officeDocument/2006/relationships/header" Target="header1.xml"/><Relationship Id="rId71" Type="http://schemas.openxmlformats.org/officeDocument/2006/relationships/image" Target="media/image42.emf"/><Relationship Id="rId92" Type="http://schemas.openxmlformats.org/officeDocument/2006/relationships/header" Target="header24.xml"/><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emf"/><Relationship Id="rId40" Type="http://schemas.openxmlformats.org/officeDocument/2006/relationships/image" Target="media/image22.png"/><Relationship Id="rId45" Type="http://schemas.openxmlformats.org/officeDocument/2006/relationships/header" Target="header15.xml"/><Relationship Id="rId66" Type="http://schemas.openxmlformats.org/officeDocument/2006/relationships/image" Target="media/image37.png"/><Relationship Id="rId87" Type="http://schemas.openxmlformats.org/officeDocument/2006/relationships/header" Target="header21.xml"/><Relationship Id="rId110" Type="http://schemas.openxmlformats.org/officeDocument/2006/relationships/header" Target="header28.xml"/><Relationship Id="rId115" Type="http://schemas.openxmlformats.org/officeDocument/2006/relationships/image" Target="media/image74.svg"/><Relationship Id="rId131" Type="http://schemas.openxmlformats.org/officeDocument/2006/relationships/image" Target="media/image90.png"/><Relationship Id="rId136" Type="http://schemas.openxmlformats.org/officeDocument/2006/relationships/image" Target="media/image95.svg"/><Relationship Id="rId157" Type="http://schemas.openxmlformats.org/officeDocument/2006/relationships/header" Target="header38.xml"/><Relationship Id="rId61" Type="http://schemas.openxmlformats.org/officeDocument/2006/relationships/image" Target="media/image32.emf"/><Relationship Id="rId82" Type="http://schemas.openxmlformats.org/officeDocument/2006/relationships/image" Target="media/image53.svg"/><Relationship Id="rId152" Type="http://schemas.openxmlformats.org/officeDocument/2006/relationships/header" Target="header35.xml"/><Relationship Id="rId19" Type="http://schemas.openxmlformats.org/officeDocument/2006/relationships/image" Target="media/image6.png"/><Relationship Id="rId14" Type="http://schemas.openxmlformats.org/officeDocument/2006/relationships/hyperlink" Target="mailto:James.MacIsaac@dffh.vic.gov.au" TargetMode="External"/><Relationship Id="rId30" Type="http://schemas.openxmlformats.org/officeDocument/2006/relationships/image" Target="media/image16.svg"/><Relationship Id="rId35" Type="http://schemas.openxmlformats.org/officeDocument/2006/relationships/image" Target="media/image21.emf"/><Relationship Id="rId56" Type="http://schemas.openxmlformats.org/officeDocument/2006/relationships/image" Target="media/image27.svg"/><Relationship Id="rId77" Type="http://schemas.openxmlformats.org/officeDocument/2006/relationships/image" Target="media/image48.emf"/><Relationship Id="rId100" Type="http://schemas.openxmlformats.org/officeDocument/2006/relationships/image" Target="media/image63.svg"/><Relationship Id="rId105" Type="http://schemas.openxmlformats.org/officeDocument/2006/relationships/image" Target="media/image68.png"/><Relationship Id="rId126" Type="http://schemas.openxmlformats.org/officeDocument/2006/relationships/image" Target="media/image85.emf"/><Relationship Id="rId147" Type="http://schemas.openxmlformats.org/officeDocument/2006/relationships/footer" Target="footer11.xml"/><Relationship Id="rId8" Type="http://schemas.openxmlformats.org/officeDocument/2006/relationships/header" Target="header2.xml"/><Relationship Id="rId51" Type="http://schemas.openxmlformats.org/officeDocument/2006/relationships/header" Target="header19.xml"/><Relationship Id="rId72" Type="http://schemas.openxmlformats.org/officeDocument/2006/relationships/image" Target="media/image43.png"/><Relationship Id="rId93" Type="http://schemas.openxmlformats.org/officeDocument/2006/relationships/header" Target="header25.xml"/><Relationship Id="rId98" Type="http://schemas.openxmlformats.org/officeDocument/2006/relationships/image" Target="media/image61.emf"/><Relationship Id="rId121" Type="http://schemas.openxmlformats.org/officeDocument/2006/relationships/image" Target="media/image80.emf"/><Relationship Id="rId142" Type="http://schemas.openxmlformats.org/officeDocument/2006/relationships/image" Target="media/image101.emf"/><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header" Target="header16.xml"/><Relationship Id="rId67" Type="http://schemas.openxmlformats.org/officeDocument/2006/relationships/image" Target="media/image38.svg"/><Relationship Id="rId116" Type="http://schemas.openxmlformats.org/officeDocument/2006/relationships/image" Target="media/image75.emf"/><Relationship Id="rId137" Type="http://schemas.openxmlformats.org/officeDocument/2006/relationships/image" Target="media/image96.emf"/><Relationship Id="rId158"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eader" Target="header12.xml"/><Relationship Id="rId62" Type="http://schemas.openxmlformats.org/officeDocument/2006/relationships/image" Target="media/image33.emf"/><Relationship Id="rId83" Type="http://schemas.openxmlformats.org/officeDocument/2006/relationships/image" Target="media/image54.png"/><Relationship Id="rId88" Type="http://schemas.openxmlformats.org/officeDocument/2006/relationships/header" Target="header22.xml"/><Relationship Id="rId111" Type="http://schemas.openxmlformats.org/officeDocument/2006/relationships/footer" Target="footer10.xml"/><Relationship Id="rId132" Type="http://schemas.openxmlformats.org/officeDocument/2006/relationships/image" Target="media/image91.png"/><Relationship Id="rId153" Type="http://schemas.openxmlformats.org/officeDocument/2006/relationships/hyperlink" Target="http://www.taylorfry.com.au" TargetMode="External"/><Relationship Id="rId15" Type="http://schemas.openxmlformats.org/officeDocument/2006/relationships/header" Target="header6.xml"/><Relationship Id="rId36" Type="http://schemas.openxmlformats.org/officeDocument/2006/relationships/header" Target="header9.xml"/><Relationship Id="rId57" Type="http://schemas.openxmlformats.org/officeDocument/2006/relationships/image" Target="media/image28.png"/><Relationship Id="rId106" Type="http://schemas.openxmlformats.org/officeDocument/2006/relationships/image" Target="media/image69.svg"/><Relationship Id="rId127" Type="http://schemas.openxmlformats.org/officeDocument/2006/relationships/image" Target="media/image86.emf"/><Relationship Id="rId10" Type="http://schemas.openxmlformats.org/officeDocument/2006/relationships/header" Target="header3.xml"/><Relationship Id="rId31" Type="http://schemas.openxmlformats.org/officeDocument/2006/relationships/image" Target="media/image17.png"/><Relationship Id="rId52" Type="http://schemas.openxmlformats.org/officeDocument/2006/relationships/footer" Target="footer7.xml"/><Relationship Id="rId73" Type="http://schemas.openxmlformats.org/officeDocument/2006/relationships/image" Target="media/image44.svg"/><Relationship Id="rId78" Type="http://schemas.openxmlformats.org/officeDocument/2006/relationships/image" Target="media/image49.png"/><Relationship Id="rId94" Type="http://schemas.openxmlformats.org/officeDocument/2006/relationships/footer" Target="footer9.xml"/><Relationship Id="rId99" Type="http://schemas.openxmlformats.org/officeDocument/2006/relationships/image" Target="media/image62.png"/><Relationship Id="rId101" Type="http://schemas.openxmlformats.org/officeDocument/2006/relationships/image" Target="media/image64.emf"/><Relationship Id="rId122" Type="http://schemas.openxmlformats.org/officeDocument/2006/relationships/image" Target="media/image81.emf"/><Relationship Id="rId143" Type="http://schemas.openxmlformats.org/officeDocument/2006/relationships/image" Target="media/image102.png"/><Relationship Id="rId148" Type="http://schemas.openxmlformats.org/officeDocument/2006/relationships/header" Target="header32.xml"/><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image" Target="media/image12.emf"/><Relationship Id="rId47" Type="http://schemas.openxmlformats.org/officeDocument/2006/relationships/footer" Target="footer6.xml"/><Relationship Id="rId68" Type="http://schemas.openxmlformats.org/officeDocument/2006/relationships/image" Target="media/image39.emf"/><Relationship Id="rId89" Type="http://schemas.openxmlformats.org/officeDocument/2006/relationships/footer" Target="footer8.xml"/><Relationship Id="rId112" Type="http://schemas.openxmlformats.org/officeDocument/2006/relationships/header" Target="header29.xml"/><Relationship Id="rId133" Type="http://schemas.openxmlformats.org/officeDocument/2006/relationships/image" Target="media/image92.png"/><Relationship Id="rId154" Type="http://schemas.openxmlformats.org/officeDocument/2006/relationships/header" Target="header36.xml"/><Relationship Id="rId16" Type="http://schemas.openxmlformats.org/officeDocument/2006/relationships/header" Target="header7.xml"/><Relationship Id="rId37" Type="http://schemas.openxmlformats.org/officeDocument/2006/relationships/header" Target="header10.xml"/><Relationship Id="rId58" Type="http://schemas.openxmlformats.org/officeDocument/2006/relationships/image" Target="media/image29.svg"/><Relationship Id="rId79" Type="http://schemas.openxmlformats.org/officeDocument/2006/relationships/image" Target="media/image50.svg"/><Relationship Id="rId102" Type="http://schemas.openxmlformats.org/officeDocument/2006/relationships/image" Target="media/image65.emf"/><Relationship Id="rId123" Type="http://schemas.openxmlformats.org/officeDocument/2006/relationships/image" Target="media/image82.png"/><Relationship Id="rId144" Type="http://schemas.openxmlformats.org/officeDocument/2006/relationships/image" Target="media/image103.svg"/><Relationship Id="rId90" Type="http://schemas.openxmlformats.org/officeDocument/2006/relationships/header" Target="header23.xml"/><Relationship Id="rId27" Type="http://schemas.openxmlformats.org/officeDocument/2006/relationships/image" Target="media/image13.png"/><Relationship Id="rId48" Type="http://schemas.openxmlformats.org/officeDocument/2006/relationships/header" Target="header17.xml"/><Relationship Id="rId69" Type="http://schemas.openxmlformats.org/officeDocument/2006/relationships/image" Target="media/image40.emf"/><Relationship Id="rId113" Type="http://schemas.openxmlformats.org/officeDocument/2006/relationships/image" Target="media/image72.emf"/><Relationship Id="rId134" Type="http://schemas.openxmlformats.org/officeDocument/2006/relationships/image" Target="media/image93.sv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23.png"/></Relationships>
</file>

<file path=word/_rels/footer7.xml.rels><?xml version="1.0" encoding="UTF-8" standalone="yes"?>
<Relationships xmlns="http://schemas.openxmlformats.org/package/2006/relationships"><Relationship Id="rId1" Type="http://schemas.openxmlformats.org/officeDocument/2006/relationships/image" Target="media/image23.png"/></Relationships>
</file>

<file path=word/_rels/footer8.xml.rels><?xml version="1.0" encoding="UTF-8" standalone="yes"?>
<Relationships xmlns="http://schemas.openxmlformats.org/package/2006/relationships"><Relationship Id="rId1" Type="http://schemas.openxmlformats.org/officeDocument/2006/relationships/image" Target="media/image23.png"/></Relationships>
</file>

<file path=word/_rels/footer9.xml.rels><?xml version="1.0" encoding="UTF-8" standalone="yes"?>
<Relationships xmlns="http://schemas.openxmlformats.org/package/2006/relationships"><Relationship Id="rId1" Type="http://schemas.openxmlformats.org/officeDocument/2006/relationships/image" Target="media/image23.png"/></Relationships>
</file>

<file path=word/_rels/footnotes.xml.rels><?xml version="1.0" encoding="UTF-8" standalone="yes"?>
<Relationships xmlns="http://schemas.openxmlformats.org/package/2006/relationships"><Relationship Id="rId2" Type="http://schemas.openxmlformats.org/officeDocument/2006/relationships/hyperlink" Target="https://www.pc.gov.au/inquiries/completed/ndis-costs/report/ndis-costs.pdf" TargetMode="External"/><Relationship Id="rId1" Type="http://schemas.openxmlformats.org/officeDocument/2006/relationships/hyperlink" Target="https://data.ndis.gov.au/reports-and-analyses/other-analy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10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3A2FD5C4E74414AAD1A5A119EA61540"/>
        <w:category>
          <w:name w:val="General"/>
          <w:gallery w:val="placeholder"/>
        </w:category>
        <w:types>
          <w:type w:val="bbPlcHdr"/>
        </w:types>
        <w:behaviors>
          <w:behavior w:val="content"/>
        </w:behaviors>
        <w:guid w:val="{1408D8C6-32E5-4BC5-8E29-BD27F2E05FD9}"/>
      </w:docPartPr>
      <w:docPartBody>
        <w:p w:rsidR="006228EF" w:rsidRDefault="006228EF">
          <w:pPr>
            <w:pStyle w:val="43A2FD5C4E74414AAD1A5A119EA61540"/>
          </w:pPr>
          <w:r w:rsidRPr="00DD03A5">
            <w:rPr>
              <w:rStyle w:val="PlaceholderText"/>
              <w:color w:val="FFFFFF"/>
            </w:rPr>
            <w:t>Click or tap to enter a date.</w:t>
          </w:r>
        </w:p>
      </w:docPartBody>
    </w:docPart>
    <w:docPart>
      <w:docPartPr>
        <w:name w:val="A04180BE961A43608815CBA9958CB737"/>
        <w:category>
          <w:name w:val="General"/>
          <w:gallery w:val="placeholder"/>
        </w:category>
        <w:types>
          <w:type w:val="bbPlcHdr"/>
        </w:types>
        <w:behaviors>
          <w:behavior w:val="content"/>
        </w:behaviors>
        <w:guid w:val="{6FF3F080-6C3E-4F89-94AE-10F171F40D73}"/>
      </w:docPartPr>
      <w:docPartBody>
        <w:p w:rsidR="006228EF" w:rsidRDefault="006228EF">
          <w:pPr>
            <w:pStyle w:val="A04180BE961A43608815CBA9958CB737"/>
          </w:pPr>
          <w:r w:rsidRPr="00DD03A5">
            <w:rPr>
              <w:rStyle w:val="PlaceholderText"/>
              <w:color w:val="FFFFFF"/>
            </w:rPr>
            <w:t>Document classification.</w:t>
          </w:r>
        </w:p>
      </w:docPartBody>
    </w:docPart>
    <w:docPart>
      <w:docPartPr>
        <w:name w:val="C2AFF7EAB6784D1FBAC6CD5855453FC1"/>
        <w:category>
          <w:name w:val="General"/>
          <w:gallery w:val="placeholder"/>
        </w:category>
        <w:types>
          <w:type w:val="bbPlcHdr"/>
        </w:types>
        <w:behaviors>
          <w:behavior w:val="content"/>
        </w:behaviors>
        <w:guid w:val="{4F6E78B8-5F70-4187-9CB8-636FFB1A190E}"/>
      </w:docPartPr>
      <w:docPartBody>
        <w:p w:rsidR="006228EF" w:rsidRDefault="006228EF">
          <w:pPr>
            <w:pStyle w:val="C2AFF7EAB6784D1FBAC6CD5855453FC1"/>
          </w:pPr>
          <w:r w:rsidRPr="009B2D64">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lanco">
    <w:altName w:val="Cambria"/>
    <w:panose1 w:val="020A0503060703040403"/>
    <w:charset w:val="00"/>
    <w:family w:val="roman"/>
    <w:pitch w:val="variable"/>
    <w:sig w:usb0="20000007" w:usb1="00000000" w:usb2="00000000" w:usb3="00000000" w:csb0="00000193" w:csb1="00000000"/>
  </w:font>
  <w:font w:name="SimHei">
    <w:altName w:val="黑体"/>
    <w:panose1 w:val="02010600030101010101"/>
    <w:charset w:val="86"/>
    <w:family w:val="modern"/>
    <w:pitch w:val="fixed"/>
    <w:sig w:usb0="800002BF" w:usb1="38CF7CFA"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28EF"/>
    <w:rsid w:val="000508CF"/>
    <w:rsid w:val="0018708D"/>
    <w:rsid w:val="001A038D"/>
    <w:rsid w:val="001C6F9A"/>
    <w:rsid w:val="00281B65"/>
    <w:rsid w:val="002B251C"/>
    <w:rsid w:val="003170A8"/>
    <w:rsid w:val="00342F0C"/>
    <w:rsid w:val="00455827"/>
    <w:rsid w:val="004A6F44"/>
    <w:rsid w:val="004D70F1"/>
    <w:rsid w:val="004D79F0"/>
    <w:rsid w:val="00540CCD"/>
    <w:rsid w:val="005444F8"/>
    <w:rsid w:val="00546BE3"/>
    <w:rsid w:val="005516D0"/>
    <w:rsid w:val="005A3BDF"/>
    <w:rsid w:val="005A66AD"/>
    <w:rsid w:val="00600A61"/>
    <w:rsid w:val="006228EF"/>
    <w:rsid w:val="006428CB"/>
    <w:rsid w:val="006B5EF2"/>
    <w:rsid w:val="006D6E51"/>
    <w:rsid w:val="00711716"/>
    <w:rsid w:val="0075427D"/>
    <w:rsid w:val="00791126"/>
    <w:rsid w:val="007C02D3"/>
    <w:rsid w:val="00804B58"/>
    <w:rsid w:val="0085192D"/>
    <w:rsid w:val="0085485D"/>
    <w:rsid w:val="008E11D2"/>
    <w:rsid w:val="00925516"/>
    <w:rsid w:val="00972988"/>
    <w:rsid w:val="009D0BA4"/>
    <w:rsid w:val="009D2B49"/>
    <w:rsid w:val="00A05A8E"/>
    <w:rsid w:val="00A11DF3"/>
    <w:rsid w:val="00AA692B"/>
    <w:rsid w:val="00B1723A"/>
    <w:rsid w:val="00B26AA6"/>
    <w:rsid w:val="00B97CDF"/>
    <w:rsid w:val="00BA6091"/>
    <w:rsid w:val="00BC18B3"/>
    <w:rsid w:val="00BE79BF"/>
    <w:rsid w:val="00C42190"/>
    <w:rsid w:val="00C538C8"/>
    <w:rsid w:val="00C63FD8"/>
    <w:rsid w:val="00CA639A"/>
    <w:rsid w:val="00D35A5C"/>
    <w:rsid w:val="00DA06DC"/>
    <w:rsid w:val="00DC024B"/>
    <w:rsid w:val="00E10FDC"/>
    <w:rsid w:val="00E1530C"/>
    <w:rsid w:val="00EA747D"/>
    <w:rsid w:val="00EC285E"/>
    <w:rsid w:val="00F138D1"/>
    <w:rsid w:val="00F26308"/>
    <w:rsid w:val="00F3445C"/>
    <w:rsid w:val="00FB215E"/>
    <w:rsid w:val="00FF63E0"/>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3A2FD5C4E74414AAD1A5A119EA61540">
    <w:name w:val="43A2FD5C4E74414AAD1A5A119EA61540"/>
  </w:style>
  <w:style w:type="paragraph" w:customStyle="1" w:styleId="A04180BE961A43608815CBA9958CB737">
    <w:name w:val="A04180BE961A43608815CBA9958CB737"/>
  </w:style>
  <w:style w:type="paragraph" w:customStyle="1" w:styleId="C2AFF7EAB6784D1FBAC6CD5855453FC1">
    <w:name w:val="C2AFF7EAB6784D1FBAC6CD5855453F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Taylor Fry (colours)">
      <a:dk1>
        <a:srgbClr val="231F20"/>
      </a:dk1>
      <a:lt1>
        <a:srgbClr val="FFFFFF"/>
      </a:lt1>
      <a:dk2>
        <a:srgbClr val="E7E6E6"/>
      </a:dk2>
      <a:lt2>
        <a:srgbClr val="FF6950"/>
      </a:lt2>
      <a:accent1>
        <a:srgbClr val="006EC8"/>
      </a:accent1>
      <a:accent2>
        <a:srgbClr val="00BEE6"/>
      </a:accent2>
      <a:accent3>
        <a:srgbClr val="FFDC00"/>
      </a:accent3>
      <a:accent4>
        <a:srgbClr val="993399"/>
      </a:accent4>
      <a:accent5>
        <a:srgbClr val="FF1452"/>
      </a:accent5>
      <a:accent6>
        <a:srgbClr val="00E0BF"/>
      </a:accent6>
      <a:hlink>
        <a:srgbClr val="FF6950"/>
      </a:hlink>
      <a:folHlink>
        <a:srgbClr val="000000"/>
      </a:folHlink>
    </a:clrScheme>
    <a:fontScheme name="Taylor Fry (fonts)">
      <a:majorFont>
        <a:latin typeface="Blanco"/>
        <a:ea typeface=""/>
        <a:cs typeface=""/>
      </a:majorFont>
      <a:minorFont>
        <a:latin typeface="Blanc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127</Pages>
  <Words>39647</Words>
  <Characters>225989</Characters>
  <Application>Microsoft Office Word</Application>
  <DocSecurity>0</DocSecurity>
  <Lines>1883</Lines>
  <Paragraphs>530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2022-01-27T23:36:00Z</dcterms:created>
  <dcterms:modified xsi:type="dcterms:W3CDTF">2022-01-27T23:43:00Z</dcterms:modified>
</cp:coreProperties>
</file>