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E0A9D" w14:textId="7F011AA4" w:rsidR="00B3033F" w:rsidRDefault="00B3033F" w:rsidP="0051204E">
      <w:pPr>
        <w:pStyle w:val="Heading3"/>
        <w:spacing w:before="120"/>
      </w:pPr>
      <w:bookmarkStart w:id="0" w:name="_GoBack"/>
      <w:bookmarkEnd w:id="0"/>
      <w:r>
        <w:rPr>
          <w:rFonts w:eastAsia="Times New Roman"/>
          <w:noProof/>
          <w:lang w:eastAsia="en-AU"/>
        </w:rPr>
        <w:drawing>
          <wp:inline distT="0" distB="0" distL="0" distR="0" wp14:anchorId="08331289" wp14:editId="6F8290FD">
            <wp:extent cx="5358765" cy="1775460"/>
            <wp:effectExtent l="0" t="0" r="0" b="0"/>
            <wp:docPr id="1" name="Picture 1" descr="https://gallery.mailchimp.com/4f0e428c1124b11fd9b2f9694/images/e69a1438-b2be-4a22-bc31-184b8a7e6c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4f0e428c1124b11fd9b2f9694/images/e69a1438-b2be-4a22-bc31-184b8a7e6ce6.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58765" cy="1775460"/>
                    </a:xfrm>
                    <a:prstGeom prst="rect">
                      <a:avLst/>
                    </a:prstGeom>
                    <a:noFill/>
                    <a:ln>
                      <a:noFill/>
                    </a:ln>
                  </pic:spPr>
                </pic:pic>
              </a:graphicData>
            </a:graphic>
          </wp:inline>
        </w:drawing>
      </w:r>
    </w:p>
    <w:p w14:paraId="508067AC" w14:textId="368CC5D3" w:rsidR="0051204E" w:rsidRPr="00B3033F" w:rsidRDefault="0051204E" w:rsidP="0051204E">
      <w:pPr>
        <w:pStyle w:val="Heading3"/>
        <w:spacing w:before="120"/>
        <w:rPr>
          <w:sz w:val="32"/>
        </w:rPr>
      </w:pPr>
      <w:r w:rsidRPr="00B3033F">
        <w:rPr>
          <w:sz w:val="32"/>
        </w:rPr>
        <w:t>Minister’s introduction</w:t>
      </w:r>
    </w:p>
    <w:p w14:paraId="60CD7DFC" w14:textId="04496092" w:rsidR="00B3033F" w:rsidRPr="00F728D4" w:rsidRDefault="0051204E" w:rsidP="0051204E">
      <w:pPr>
        <w:pStyle w:val="ListBullet"/>
        <w:numPr>
          <w:ilvl w:val="0"/>
          <w:numId w:val="0"/>
        </w:numPr>
        <w:tabs>
          <w:tab w:val="left" w:pos="720"/>
        </w:tabs>
        <w:spacing w:before="120" w:line="240" w:lineRule="auto"/>
        <w:rPr>
          <w:rFonts w:eastAsiaTheme="majorEastAsia" w:cstheme="majorBidi"/>
          <w:b/>
          <w:bCs/>
          <w:color w:val="006600"/>
          <w:spacing w:val="0"/>
          <w:sz w:val="22"/>
          <w:szCs w:val="22"/>
          <w:lang w:eastAsia="en-US"/>
        </w:rPr>
      </w:pPr>
      <w:r w:rsidRPr="00132462">
        <w:rPr>
          <w:sz w:val="22"/>
          <w:szCs w:val="22"/>
        </w:rPr>
        <w:t>I am pleased to continue the Government’s $96.1 million commitment to trialling new ways to help vulnerable Australians prepare for work, find work and keep work</w:t>
      </w:r>
      <w:r w:rsidRPr="00132462">
        <w:rPr>
          <w:b/>
          <w:sz w:val="22"/>
          <w:szCs w:val="22"/>
        </w:rPr>
        <w:t>.</w:t>
      </w:r>
      <w:r w:rsidRPr="00132462">
        <w:rPr>
          <w:sz w:val="22"/>
          <w:szCs w:val="22"/>
        </w:rPr>
        <w:t xml:space="preserve"> </w:t>
      </w:r>
      <w:r w:rsidRPr="00132462">
        <w:rPr>
          <w:sz w:val="22"/>
          <w:szCs w:val="22"/>
        </w:rPr>
        <w:br/>
      </w:r>
      <w:r w:rsidRPr="00132462">
        <w:rPr>
          <w:sz w:val="22"/>
          <w:szCs w:val="22"/>
        </w:rPr>
        <w:br/>
        <w:t>A key focus of the Try, Test and Learn (TTL) Fund is developing an evidence base on what works, for whom, and under what circumstances. This will enable the Government to begin transforming investment in existing programs or make a case for</w:t>
      </w:r>
      <w:r w:rsidR="00550E02">
        <w:rPr>
          <w:sz w:val="22"/>
          <w:szCs w:val="22"/>
        </w:rPr>
        <w:t xml:space="preserve"> new</w:t>
      </w:r>
      <w:r w:rsidRPr="00132462">
        <w:rPr>
          <w:sz w:val="22"/>
          <w:szCs w:val="22"/>
        </w:rPr>
        <w:t xml:space="preserve"> investment</w:t>
      </w:r>
      <w:r w:rsidR="00550E02">
        <w:rPr>
          <w:sz w:val="22"/>
          <w:szCs w:val="22"/>
        </w:rPr>
        <w:t>s</w:t>
      </w:r>
      <w:r w:rsidRPr="00132462">
        <w:rPr>
          <w:sz w:val="22"/>
          <w:szCs w:val="22"/>
        </w:rPr>
        <w:t>.</w:t>
      </w:r>
      <w:r w:rsidRPr="00132462">
        <w:rPr>
          <w:sz w:val="22"/>
          <w:szCs w:val="22"/>
        </w:rPr>
        <w:br/>
      </w:r>
      <w:r w:rsidRPr="00132462">
        <w:rPr>
          <w:sz w:val="22"/>
          <w:szCs w:val="22"/>
        </w:rPr>
        <w:br/>
      </w:r>
      <w:r w:rsidRPr="00132462">
        <w:rPr>
          <w:rFonts w:eastAsia="Times New Roman"/>
          <w:sz w:val="22"/>
          <w:szCs w:val="22"/>
          <w:lang w:val="en-US"/>
        </w:rPr>
        <w:t xml:space="preserve">The first project I have announced under tranche 2 is $600,000 for the </w:t>
      </w:r>
      <w:hyperlink r:id="rId8" w:history="1">
        <w:r w:rsidRPr="00132462">
          <w:rPr>
            <w:rStyle w:val="Hyperlink"/>
            <w:sz w:val="22"/>
            <w:szCs w:val="22"/>
          </w:rPr>
          <w:t>Employer-led Refugee Employment Project</w:t>
        </w:r>
      </w:hyperlink>
      <w:r w:rsidRPr="00132462">
        <w:rPr>
          <w:rStyle w:val="Hyperlink"/>
          <w:sz w:val="22"/>
          <w:szCs w:val="22"/>
          <w:u w:val="none"/>
        </w:rPr>
        <w:t xml:space="preserve">. </w:t>
      </w:r>
      <w:r w:rsidRPr="00132462">
        <w:rPr>
          <w:rStyle w:val="Hyperlink"/>
          <w:color w:val="000000" w:themeColor="text1"/>
          <w:sz w:val="22"/>
          <w:szCs w:val="22"/>
          <w:u w:val="none"/>
        </w:rPr>
        <w:t>T</w:t>
      </w:r>
      <w:r w:rsidRPr="00132462">
        <w:rPr>
          <w:color w:val="000000" w:themeColor="text1"/>
          <w:sz w:val="22"/>
          <w:szCs w:val="22"/>
        </w:rPr>
        <w:t>his</w:t>
      </w:r>
      <w:r w:rsidRPr="00132462">
        <w:rPr>
          <w:sz w:val="22"/>
          <w:szCs w:val="22"/>
        </w:rPr>
        <w:t xml:space="preserve"> 18-month trial in South Australia, Victoria, Queensland and New South Wales, will provide training, coaching and work experience to prepare 100 working-age migrants and refugees for paid positions within the Woolworths Group. </w:t>
      </w:r>
      <w:r w:rsidRPr="00132462">
        <w:rPr>
          <w:sz w:val="22"/>
          <w:szCs w:val="22"/>
        </w:rPr>
        <w:br/>
      </w:r>
      <w:r w:rsidRPr="00132462">
        <w:rPr>
          <w:sz w:val="22"/>
          <w:szCs w:val="22"/>
        </w:rPr>
        <w:br/>
        <w:t>The Employer-led Refugee Employment Project aims to help migrants and refugees into work so that they can provide the essentials for their families, develop social networks and fully realise the opportunities that Australia offers.</w:t>
      </w:r>
      <w:r w:rsidRPr="00132462">
        <w:rPr>
          <w:rFonts w:eastAsia="Times New Roman"/>
          <w:sz w:val="22"/>
          <w:szCs w:val="22"/>
          <w:lang w:val="en-US"/>
        </w:rPr>
        <w:br/>
      </w:r>
      <w:r w:rsidRPr="00132462">
        <w:rPr>
          <w:rFonts w:eastAsia="Times New Roman"/>
          <w:sz w:val="22"/>
          <w:szCs w:val="22"/>
          <w:lang w:val="en-US"/>
        </w:rPr>
        <w:br/>
      </w:r>
      <w:r w:rsidRPr="00132462" w:rsidDel="00BE1F98">
        <w:rPr>
          <w:sz w:val="22"/>
          <w:szCs w:val="22"/>
        </w:rPr>
        <w:t xml:space="preserve">For tranche 2, I am pleased to announce that </w:t>
      </w:r>
      <w:r>
        <w:rPr>
          <w:sz w:val="22"/>
          <w:szCs w:val="22"/>
        </w:rPr>
        <w:t>my Department</w:t>
      </w:r>
      <w:r w:rsidRPr="00132462" w:rsidDel="00BE1F98">
        <w:rPr>
          <w:sz w:val="22"/>
          <w:szCs w:val="22"/>
        </w:rPr>
        <w:t xml:space="preserve"> received </w:t>
      </w:r>
      <w:r w:rsidRPr="00132462">
        <w:rPr>
          <w:sz w:val="22"/>
          <w:szCs w:val="22"/>
        </w:rPr>
        <w:t>well over</w:t>
      </w:r>
      <w:r w:rsidRPr="00132462" w:rsidDel="00BE1F98">
        <w:rPr>
          <w:sz w:val="22"/>
          <w:szCs w:val="22"/>
        </w:rPr>
        <w:t xml:space="preserve"> 400</w:t>
      </w:r>
      <w:r w:rsidR="006037E6">
        <w:rPr>
          <w:sz w:val="22"/>
          <w:szCs w:val="22"/>
        </w:rPr>
        <w:t> </w:t>
      </w:r>
      <w:r w:rsidRPr="00132462" w:rsidDel="00BE1F98">
        <w:rPr>
          <w:sz w:val="22"/>
          <w:szCs w:val="22"/>
        </w:rPr>
        <w:t>submissions at the point applications closed on 28 September 201</w:t>
      </w:r>
      <w:r w:rsidRPr="00132462" w:rsidDel="00477F39">
        <w:rPr>
          <w:sz w:val="22"/>
          <w:szCs w:val="22"/>
        </w:rPr>
        <w:t>8.</w:t>
      </w:r>
      <w:r w:rsidRPr="00132462">
        <w:rPr>
          <w:sz w:val="22"/>
          <w:szCs w:val="22"/>
        </w:rPr>
        <w:t xml:space="preserve"> </w:t>
      </w:r>
      <w:r>
        <w:rPr>
          <w:sz w:val="22"/>
          <w:szCs w:val="22"/>
        </w:rPr>
        <w:t xml:space="preserve">Focusing on priority </w:t>
      </w:r>
      <w:r w:rsidRPr="00132462">
        <w:rPr>
          <w:sz w:val="22"/>
          <w:szCs w:val="22"/>
        </w:rPr>
        <w:t xml:space="preserve">groups </w:t>
      </w:r>
      <w:r>
        <w:rPr>
          <w:sz w:val="22"/>
          <w:szCs w:val="22"/>
        </w:rPr>
        <w:t xml:space="preserve">of </w:t>
      </w:r>
      <w:r w:rsidRPr="00132462">
        <w:rPr>
          <w:sz w:val="22"/>
          <w:szCs w:val="22"/>
        </w:rPr>
        <w:t>older unemployed people, working age carers, working age migrants and refugees, and at-risk young people</w:t>
      </w:r>
      <w:r>
        <w:rPr>
          <w:sz w:val="22"/>
          <w:szCs w:val="22"/>
        </w:rPr>
        <w:t xml:space="preserve"> – tranche 2 has a </w:t>
      </w:r>
      <w:r w:rsidRPr="00132462">
        <w:rPr>
          <w:sz w:val="22"/>
          <w:szCs w:val="22"/>
        </w:rPr>
        <w:t>total inv</w:t>
      </w:r>
      <w:r>
        <w:rPr>
          <w:sz w:val="22"/>
          <w:szCs w:val="22"/>
        </w:rPr>
        <w:t>estment of $50 million</w:t>
      </w:r>
      <w:r w:rsidRPr="00132462">
        <w:rPr>
          <w:sz w:val="22"/>
          <w:szCs w:val="22"/>
        </w:rPr>
        <w:t xml:space="preserve">. </w:t>
      </w:r>
      <w:r w:rsidRPr="00132462">
        <w:rPr>
          <w:sz w:val="22"/>
          <w:szCs w:val="22"/>
        </w:rPr>
        <w:br/>
      </w:r>
      <w:r w:rsidRPr="00132462">
        <w:rPr>
          <w:color w:val="000000" w:themeColor="text1"/>
          <w:sz w:val="22"/>
          <w:szCs w:val="22"/>
        </w:rPr>
        <w:br/>
      </w:r>
      <w:r w:rsidR="0097625A">
        <w:rPr>
          <w:color w:val="000000" w:themeColor="text1"/>
          <w:sz w:val="22"/>
          <w:szCs w:val="22"/>
        </w:rPr>
        <w:t xml:space="preserve">In October, </w:t>
      </w:r>
      <w:r w:rsidRPr="00132462">
        <w:rPr>
          <w:color w:val="000000" w:themeColor="text1"/>
          <w:sz w:val="22"/>
          <w:szCs w:val="22"/>
        </w:rPr>
        <w:t xml:space="preserve">Assistant Minister Henderson launched the </w:t>
      </w:r>
      <w:hyperlink r:id="rId9" w:history="1">
        <w:r w:rsidRPr="008366D4">
          <w:rPr>
            <w:rStyle w:val="Hyperlink"/>
            <w:sz w:val="22"/>
            <w:szCs w:val="22"/>
          </w:rPr>
          <w:t>My Maintenance Crew projec</w:t>
        </w:r>
        <w:r w:rsidRPr="00132462">
          <w:rPr>
            <w:rStyle w:val="Hyperlink"/>
            <w:sz w:val="22"/>
            <w:szCs w:val="22"/>
            <w:u w:val="none"/>
          </w:rPr>
          <w:t>t</w:t>
        </w:r>
      </w:hyperlink>
      <w:r w:rsidRPr="00132462">
        <w:rPr>
          <w:color w:val="000000" w:themeColor="text1"/>
          <w:sz w:val="22"/>
          <w:szCs w:val="22"/>
        </w:rPr>
        <w:t xml:space="preserve">. </w:t>
      </w:r>
      <w:r w:rsidRPr="00132462">
        <w:rPr>
          <w:sz w:val="22"/>
          <w:szCs w:val="22"/>
        </w:rPr>
        <w:t xml:space="preserve">This $2.3 million tranche 1 project offers real job opportunities in building maintenance and public event clean-up to 125 young people from Geelong over 28 months. </w:t>
      </w:r>
      <w:r w:rsidRPr="00132462">
        <w:rPr>
          <w:sz w:val="22"/>
          <w:szCs w:val="22"/>
        </w:rPr>
        <w:br/>
      </w:r>
      <w:r w:rsidRPr="00132462">
        <w:rPr>
          <w:sz w:val="22"/>
          <w:szCs w:val="22"/>
        </w:rPr>
        <w:br/>
        <w:t xml:space="preserve">We have achieved a lot this year within the TTL Fund, but there is still much work to do. </w:t>
      </w:r>
      <w:r w:rsidRPr="00132462">
        <w:rPr>
          <w:sz w:val="22"/>
          <w:szCs w:val="22"/>
        </w:rPr>
        <w:br/>
      </w:r>
      <w:r w:rsidRPr="00132462">
        <w:rPr>
          <w:sz w:val="22"/>
          <w:szCs w:val="22"/>
        </w:rPr>
        <w:br/>
        <w:t xml:space="preserve">I look forward to updating you across 2019 about TTL Fund progress and announcing </w:t>
      </w:r>
      <w:r>
        <w:rPr>
          <w:sz w:val="22"/>
          <w:szCs w:val="22"/>
        </w:rPr>
        <w:t>other</w:t>
      </w:r>
      <w:r w:rsidRPr="00132462">
        <w:rPr>
          <w:sz w:val="22"/>
          <w:szCs w:val="22"/>
        </w:rPr>
        <w:t xml:space="preserve"> tranche 2 projects.</w:t>
      </w:r>
      <w:r w:rsidRPr="00132462">
        <w:rPr>
          <w:sz w:val="22"/>
          <w:szCs w:val="22"/>
        </w:rPr>
        <w:br/>
      </w:r>
      <w:r w:rsidRPr="00132462">
        <w:rPr>
          <w:sz w:val="22"/>
          <w:szCs w:val="22"/>
        </w:rPr>
        <w:br/>
      </w:r>
      <w:r w:rsidRPr="00132462">
        <w:rPr>
          <w:spacing w:val="0"/>
          <w:sz w:val="22"/>
          <w:szCs w:val="22"/>
          <w:lang w:eastAsia="en-US"/>
        </w:rPr>
        <w:t>I wish you and your families all the best for the holiday season.</w:t>
      </w:r>
      <w:r w:rsidRPr="00132462">
        <w:rPr>
          <w:spacing w:val="0"/>
          <w:sz w:val="22"/>
          <w:szCs w:val="22"/>
          <w:lang w:eastAsia="en-US"/>
        </w:rPr>
        <w:br/>
      </w:r>
      <w:r w:rsidRPr="00F728D4">
        <w:rPr>
          <w:rFonts w:eastAsiaTheme="majorEastAsia" w:cstheme="majorBidi"/>
          <w:b/>
          <w:bCs/>
          <w:color w:val="006600"/>
          <w:spacing w:val="0"/>
          <w:sz w:val="22"/>
          <w:szCs w:val="22"/>
          <w:lang w:eastAsia="en-US"/>
        </w:rPr>
        <w:br/>
      </w:r>
      <w:r w:rsidRPr="00F728D4">
        <w:rPr>
          <w:rFonts w:eastAsiaTheme="majorEastAsia" w:cstheme="majorBidi"/>
          <w:b/>
          <w:bCs/>
          <w:spacing w:val="0"/>
          <w:sz w:val="22"/>
          <w:szCs w:val="22"/>
          <w:lang w:eastAsia="en-US"/>
        </w:rPr>
        <w:t>The Hon Paul Fletcher MP, Minister for Families and Social Services</w:t>
      </w:r>
      <w:r w:rsidRPr="00F728D4">
        <w:rPr>
          <w:rFonts w:eastAsiaTheme="majorEastAsia" w:cstheme="majorBidi"/>
          <w:b/>
          <w:bCs/>
          <w:color w:val="006600"/>
          <w:spacing w:val="0"/>
          <w:sz w:val="22"/>
          <w:szCs w:val="22"/>
          <w:lang w:eastAsia="en-US"/>
        </w:rPr>
        <w:br/>
      </w:r>
    </w:p>
    <w:p w14:paraId="0CE5AA87" w14:textId="77777777" w:rsidR="0051204E" w:rsidRPr="00B3033F" w:rsidRDefault="0051204E" w:rsidP="0051204E">
      <w:pPr>
        <w:pStyle w:val="Heading3"/>
        <w:spacing w:before="120"/>
        <w:rPr>
          <w:sz w:val="32"/>
          <w:szCs w:val="36"/>
        </w:rPr>
      </w:pPr>
      <w:r w:rsidRPr="00B3033F">
        <w:rPr>
          <w:sz w:val="32"/>
          <w:szCs w:val="36"/>
        </w:rPr>
        <w:t>Tranche 2 update</w:t>
      </w:r>
    </w:p>
    <w:p w14:paraId="61CBB23E" w14:textId="28B00376" w:rsidR="0051204E" w:rsidRDefault="009E3EDF" w:rsidP="0051204E">
      <w:pPr>
        <w:spacing w:before="120"/>
        <w:rPr>
          <w:color w:val="000000"/>
        </w:rPr>
      </w:pPr>
      <w:r>
        <w:rPr>
          <w:rFonts w:eastAsia="Times New Roman" w:cs="Arial"/>
          <w:lang w:val="en-US" w:eastAsia="en-AU"/>
        </w:rPr>
        <w:t>To date, e</w:t>
      </w:r>
      <w:r w:rsidR="0051204E">
        <w:rPr>
          <w:rFonts w:eastAsia="Times New Roman" w:cs="Arial"/>
          <w:lang w:val="en-US" w:eastAsia="en-AU"/>
        </w:rPr>
        <w:t xml:space="preserve">ighteen </w:t>
      </w:r>
      <w:r w:rsidR="0051204E" w:rsidRPr="00721F83">
        <w:rPr>
          <w:rFonts w:eastAsia="Times New Roman" w:cs="Arial"/>
          <w:lang w:val="en-US" w:eastAsia="en-AU"/>
        </w:rPr>
        <w:t>projects from tranche 2 have completed co-development</w:t>
      </w:r>
      <w:r w:rsidR="0051204E">
        <w:rPr>
          <w:rFonts w:eastAsia="Times New Roman" w:cs="Arial"/>
          <w:lang w:val="en-US" w:eastAsia="en-AU"/>
        </w:rPr>
        <w:t xml:space="preserve"> </w:t>
      </w:r>
      <w:r w:rsidR="0051204E">
        <w:rPr>
          <w:color w:val="000000"/>
        </w:rPr>
        <w:t>and</w:t>
      </w:r>
      <w:r w:rsidR="0051204E" w:rsidRPr="006A775C">
        <w:rPr>
          <w:color w:val="000000"/>
        </w:rPr>
        <w:t xml:space="preserve"> </w:t>
      </w:r>
      <w:r w:rsidR="0051204E">
        <w:rPr>
          <w:color w:val="000000"/>
        </w:rPr>
        <w:t xml:space="preserve">we are </w:t>
      </w:r>
      <w:r w:rsidR="0061405D">
        <w:rPr>
          <w:color w:val="000000"/>
        </w:rPr>
        <w:t>working t</w:t>
      </w:r>
      <w:r w:rsidR="00CC1ECD">
        <w:rPr>
          <w:color w:val="000000"/>
        </w:rPr>
        <w:t>owards getting</w:t>
      </w:r>
      <w:r w:rsidR="0061405D">
        <w:rPr>
          <w:color w:val="000000"/>
        </w:rPr>
        <w:t xml:space="preserve"> </w:t>
      </w:r>
      <w:r w:rsidR="0051204E">
        <w:rPr>
          <w:color w:val="000000"/>
        </w:rPr>
        <w:t xml:space="preserve">grant agreements </w:t>
      </w:r>
      <w:r w:rsidR="00CC1ECD">
        <w:rPr>
          <w:color w:val="000000"/>
        </w:rPr>
        <w:t>in place</w:t>
      </w:r>
      <w:r w:rsidR="00E01057">
        <w:rPr>
          <w:color w:val="000000"/>
        </w:rPr>
        <w:t xml:space="preserve"> for these projects</w:t>
      </w:r>
      <w:r w:rsidR="0051204E">
        <w:rPr>
          <w:color w:val="000000"/>
        </w:rPr>
        <w:t>.</w:t>
      </w:r>
    </w:p>
    <w:p w14:paraId="29F46FAD" w14:textId="2E03CEEC" w:rsidR="008A6A9E" w:rsidRDefault="005E7BD0" w:rsidP="0051204E">
      <w:pPr>
        <w:spacing w:before="120"/>
      </w:pPr>
      <w:r>
        <w:lastRenderedPageBreak/>
        <w:t xml:space="preserve">We are working hard towards finalising outcomes for batches 3, 4 and 5. </w:t>
      </w:r>
    </w:p>
    <w:p w14:paraId="3D260EFB" w14:textId="1087127B" w:rsidR="0051204E" w:rsidRDefault="0051204E" w:rsidP="0051204E">
      <w:pPr>
        <w:spacing w:before="120"/>
        <w:rPr>
          <w:rFonts w:eastAsiaTheme="majorEastAsia" w:cstheme="majorBidi"/>
          <w:b/>
          <w:bCs/>
          <w:color w:val="006600"/>
        </w:rPr>
      </w:pPr>
      <w:r w:rsidRPr="001711BF">
        <w:t xml:space="preserve">As soon as </w:t>
      </w:r>
      <w:r>
        <w:t xml:space="preserve">we are </w:t>
      </w:r>
      <w:r w:rsidRPr="001711BF">
        <w:t xml:space="preserve">able, </w:t>
      </w:r>
      <w:r>
        <w:t>we</w:t>
      </w:r>
      <w:r w:rsidRPr="001711BF">
        <w:t xml:space="preserve"> will notify you in writing of the outcome of </w:t>
      </w:r>
      <w:r>
        <w:t xml:space="preserve">your </w:t>
      </w:r>
      <w:r w:rsidR="00BC6F6C">
        <w:t>application</w:t>
      </w:r>
      <w:r w:rsidRPr="001711BF">
        <w:t>.</w:t>
      </w:r>
      <w:r w:rsidR="006037E6">
        <w:t xml:space="preserve"> </w:t>
      </w:r>
    </w:p>
    <w:p w14:paraId="09073C8D" w14:textId="7CE0A43A" w:rsidR="0051204E" w:rsidRPr="00B3033F" w:rsidRDefault="0051204E" w:rsidP="0051204E">
      <w:pPr>
        <w:spacing w:before="120"/>
        <w:rPr>
          <w:rFonts w:cs="Arial"/>
          <w:sz w:val="32"/>
          <w:szCs w:val="36"/>
        </w:rPr>
      </w:pPr>
      <w:r w:rsidRPr="00B3033F">
        <w:rPr>
          <w:rFonts w:eastAsiaTheme="majorEastAsia" w:cstheme="majorBidi"/>
          <w:b/>
          <w:bCs/>
          <w:color w:val="006600"/>
          <w:sz w:val="32"/>
          <w:szCs w:val="36"/>
        </w:rPr>
        <w:t>Tranche 1 update</w:t>
      </w:r>
    </w:p>
    <w:p w14:paraId="75AAA57E" w14:textId="5F5016DA" w:rsidR="0051204E" w:rsidRPr="00F4010A" w:rsidRDefault="0051204E" w:rsidP="0051204E">
      <w:pPr>
        <w:spacing w:before="120"/>
        <w:rPr>
          <w:rFonts w:cs="Arial"/>
        </w:rPr>
      </w:pPr>
      <w:r>
        <w:rPr>
          <w:rFonts w:cs="Arial"/>
        </w:rPr>
        <w:t xml:space="preserve">We congratulate Bernadette Black, founder of the BRAVE Foundation, who </w:t>
      </w:r>
      <w:proofErr w:type="gramStart"/>
      <w:r w:rsidR="00251B29">
        <w:rPr>
          <w:rFonts w:cs="Arial"/>
        </w:rPr>
        <w:t>was</w:t>
      </w:r>
      <w:r>
        <w:rPr>
          <w:rFonts w:cs="Arial"/>
        </w:rPr>
        <w:t xml:space="preserve"> </w:t>
      </w:r>
      <w:r w:rsidR="00251B29">
        <w:rPr>
          <w:rFonts w:cs="Arial"/>
        </w:rPr>
        <w:t>presented</w:t>
      </w:r>
      <w:proofErr w:type="gramEnd"/>
      <w:r w:rsidR="00251B29">
        <w:rPr>
          <w:rFonts w:cs="Arial"/>
        </w:rPr>
        <w:t xml:space="preserve"> with </w:t>
      </w:r>
      <w:r>
        <w:rPr>
          <w:rFonts w:cs="Arial"/>
        </w:rPr>
        <w:t xml:space="preserve">the </w:t>
      </w:r>
      <w:hyperlink r:id="rId10" w:history="1">
        <w:r w:rsidRPr="00F3546B">
          <w:rPr>
            <w:rStyle w:val="Hyperlink"/>
            <w:rFonts w:cs="Arial"/>
          </w:rPr>
          <w:t>2019 Tasmanian Australian of the Year Award</w:t>
        </w:r>
      </w:hyperlink>
      <w:r>
        <w:rPr>
          <w:rFonts w:cs="Arial"/>
        </w:rPr>
        <w:t xml:space="preserve"> for her work with expectant and parenting teens. The BRAVE Foundation </w:t>
      </w:r>
      <w:proofErr w:type="gramStart"/>
      <w:r>
        <w:rPr>
          <w:rFonts w:cs="Arial"/>
        </w:rPr>
        <w:t xml:space="preserve">was </w:t>
      </w:r>
      <w:r w:rsidR="00251B29">
        <w:rPr>
          <w:rFonts w:cs="Arial"/>
        </w:rPr>
        <w:t>supported</w:t>
      </w:r>
      <w:proofErr w:type="gramEnd"/>
      <w:r w:rsidR="00251B29">
        <w:rPr>
          <w:rFonts w:cs="Arial"/>
        </w:rPr>
        <w:t xml:space="preserve"> </w:t>
      </w:r>
      <w:r>
        <w:rPr>
          <w:rFonts w:cs="Arial"/>
        </w:rPr>
        <w:t xml:space="preserve">under tranche 1 to </w:t>
      </w:r>
      <w:r w:rsidR="0078078B">
        <w:rPr>
          <w:rFonts w:cs="Arial"/>
        </w:rPr>
        <w:t>coordinate</w:t>
      </w:r>
      <w:r w:rsidR="00251B29">
        <w:rPr>
          <w:rFonts w:cs="Arial"/>
        </w:rPr>
        <w:t xml:space="preserve"> </w:t>
      </w:r>
      <w:r>
        <w:rPr>
          <w:rFonts w:cs="Arial"/>
        </w:rPr>
        <w:t>deliver</w:t>
      </w:r>
      <w:r w:rsidR="00251B29">
        <w:rPr>
          <w:rFonts w:cs="Arial"/>
        </w:rPr>
        <w:t>y of</w:t>
      </w:r>
      <w:r>
        <w:rPr>
          <w:rFonts w:cs="Arial"/>
        </w:rPr>
        <w:t xml:space="preserve"> the </w:t>
      </w:r>
      <w:hyperlink r:id="rId11" w:history="1">
        <w:r w:rsidRPr="00F4010A">
          <w:rPr>
            <w:rStyle w:val="Hyperlink"/>
            <w:rFonts w:cs="Arial"/>
          </w:rPr>
          <w:t>Supporting Expecting and Parenting Teens</w:t>
        </w:r>
      </w:hyperlink>
      <w:r>
        <w:rPr>
          <w:rFonts w:cs="Arial"/>
        </w:rPr>
        <w:t xml:space="preserve"> </w:t>
      </w:r>
      <w:r w:rsidR="00B44B5A">
        <w:rPr>
          <w:rFonts w:cs="Arial"/>
        </w:rPr>
        <w:t xml:space="preserve">(SEPT) </w:t>
      </w:r>
      <w:r>
        <w:rPr>
          <w:rFonts w:cs="Arial"/>
        </w:rPr>
        <w:t xml:space="preserve">project. </w:t>
      </w:r>
      <w:r w:rsidR="00B44B5A">
        <w:rPr>
          <w:rFonts w:cs="Arial"/>
        </w:rPr>
        <w:t>SEPT</w:t>
      </w:r>
      <w:r w:rsidR="0078078B">
        <w:rPr>
          <w:rFonts w:cs="Arial"/>
        </w:rPr>
        <w:t xml:space="preserve"> </w:t>
      </w:r>
      <w:r w:rsidR="0078078B" w:rsidRPr="0078078B">
        <w:rPr>
          <w:rFonts w:cs="Arial"/>
        </w:rPr>
        <w:t xml:space="preserve">aims to help young parents adjust to the responsibility of parenting in a healthy, safe environment. It aims to have young parents in a better position to engage with education and the workforce in a positive, ongoing way, thereby also reducing intergenerational welfare dependency.  </w:t>
      </w:r>
    </w:p>
    <w:p w14:paraId="2E9BBC6C" w14:textId="1E899B3D" w:rsidR="0051204E" w:rsidRPr="00B3033F" w:rsidRDefault="0051204E" w:rsidP="0051204E">
      <w:pPr>
        <w:spacing w:before="120"/>
        <w:rPr>
          <w:rFonts w:eastAsiaTheme="majorEastAsia" w:cstheme="majorBidi"/>
          <w:b/>
          <w:bCs/>
          <w:color w:val="006600"/>
          <w:sz w:val="32"/>
          <w:szCs w:val="32"/>
        </w:rPr>
      </w:pPr>
      <w:r w:rsidRPr="00B3033F">
        <w:rPr>
          <w:rFonts w:eastAsiaTheme="majorEastAsia" w:cstheme="majorBidi"/>
          <w:b/>
          <w:bCs/>
          <w:color w:val="006600"/>
          <w:sz w:val="32"/>
          <w:szCs w:val="32"/>
        </w:rPr>
        <w:t>Australian Priority Investment Approach</w:t>
      </w:r>
    </w:p>
    <w:p w14:paraId="27985992" w14:textId="77777777" w:rsidR="0051204E" w:rsidRDefault="0051204E" w:rsidP="0051204E">
      <w:pPr>
        <w:spacing w:before="120"/>
        <w:rPr>
          <w:rFonts w:cs="Arial"/>
        </w:rPr>
      </w:pPr>
      <w:r w:rsidRPr="00780E6A">
        <w:rPr>
          <w:rFonts w:cs="Arial"/>
        </w:rPr>
        <w:t xml:space="preserve">The </w:t>
      </w:r>
      <w:hyperlink r:id="rId12" w:history="1">
        <w:r w:rsidRPr="009E3541">
          <w:rPr>
            <w:rStyle w:val="Hyperlink"/>
            <w:rFonts w:cs="Arial"/>
          </w:rPr>
          <w:t>Australian Priority Investment Approach 2017 Valuation Report</w:t>
        </w:r>
      </w:hyperlink>
      <w:r w:rsidRPr="00780E6A">
        <w:rPr>
          <w:rFonts w:cs="Arial"/>
        </w:rPr>
        <w:t xml:space="preserve"> </w:t>
      </w:r>
      <w:proofErr w:type="gramStart"/>
      <w:r w:rsidRPr="00780E6A">
        <w:rPr>
          <w:rFonts w:cs="Arial"/>
        </w:rPr>
        <w:t>was released</w:t>
      </w:r>
      <w:proofErr w:type="gramEnd"/>
      <w:r w:rsidRPr="00780E6A">
        <w:rPr>
          <w:rFonts w:cs="Arial"/>
        </w:rPr>
        <w:t xml:space="preserve"> on </w:t>
      </w:r>
      <w:r>
        <w:rPr>
          <w:rFonts w:cs="Arial"/>
        </w:rPr>
        <w:br/>
      </w:r>
      <w:r w:rsidRPr="00780E6A">
        <w:rPr>
          <w:rFonts w:cs="Arial"/>
        </w:rPr>
        <w:t>1 July 2018</w:t>
      </w:r>
      <w:r>
        <w:rPr>
          <w:rFonts w:cs="Arial"/>
        </w:rPr>
        <w:t>.</w:t>
      </w:r>
      <w:r w:rsidRPr="00780E6A">
        <w:rPr>
          <w:rFonts w:cs="Arial"/>
        </w:rPr>
        <w:t xml:space="preserve"> </w:t>
      </w:r>
    </w:p>
    <w:p w14:paraId="1AB103D1" w14:textId="77777777" w:rsidR="0051204E" w:rsidRDefault="0051204E" w:rsidP="0051204E">
      <w:pPr>
        <w:spacing w:before="120"/>
        <w:rPr>
          <w:rFonts w:cs="Arial"/>
        </w:rPr>
      </w:pPr>
      <w:r w:rsidRPr="00780E6A">
        <w:rPr>
          <w:rFonts w:cs="Arial"/>
        </w:rPr>
        <w:t xml:space="preserve">Each year valuation results will continue to help gain a better understanding of the success of the social security system in increasing self-reliance and improving the overall life chances of vulnerable Australians. </w:t>
      </w:r>
    </w:p>
    <w:p w14:paraId="13EC313C" w14:textId="77777777" w:rsidR="0051204E" w:rsidRPr="00780E6A" w:rsidRDefault="0051204E" w:rsidP="0051204E">
      <w:pPr>
        <w:spacing w:before="120"/>
        <w:rPr>
          <w:rFonts w:cs="Arial"/>
        </w:rPr>
      </w:pPr>
      <w:r w:rsidRPr="00780E6A">
        <w:rPr>
          <w:rFonts w:cs="Arial"/>
        </w:rPr>
        <w:t>Key findings of the 2017 Valuation Report and other departmental modelling reveal that:</w:t>
      </w:r>
    </w:p>
    <w:p w14:paraId="67298923" w14:textId="77777777" w:rsidR="0051204E" w:rsidRPr="00780E6A" w:rsidRDefault="0051204E" w:rsidP="0051204E">
      <w:pPr>
        <w:pStyle w:val="ListParagraph"/>
        <w:numPr>
          <w:ilvl w:val="0"/>
          <w:numId w:val="8"/>
        </w:numPr>
        <w:spacing w:before="120"/>
        <w:contextualSpacing w:val="0"/>
        <w:rPr>
          <w:rFonts w:cs="Arial"/>
        </w:rPr>
      </w:pPr>
      <w:r w:rsidRPr="00780E6A">
        <w:rPr>
          <w:rFonts w:cs="Arial"/>
        </w:rPr>
        <w:t xml:space="preserve">Young people aged 22-24 who spent more than 80 per cent of their childhood with parents or guardians on income support are nearly three times more likely to be on welfare themselves, as opposed to children whose parents did not receive income support. </w:t>
      </w:r>
    </w:p>
    <w:p w14:paraId="3F7EE25A" w14:textId="2015382C" w:rsidR="0051204E" w:rsidRPr="00780E6A" w:rsidRDefault="0051204E" w:rsidP="0051204E">
      <w:pPr>
        <w:pStyle w:val="ListParagraph"/>
        <w:numPr>
          <w:ilvl w:val="0"/>
          <w:numId w:val="8"/>
        </w:numPr>
        <w:spacing w:before="120"/>
        <w:contextualSpacing w:val="0"/>
        <w:rPr>
          <w:rFonts w:cs="Arial"/>
        </w:rPr>
      </w:pPr>
      <w:r w:rsidRPr="00780E6A">
        <w:rPr>
          <w:rFonts w:cs="Arial"/>
        </w:rPr>
        <w:t xml:space="preserve">Vocational Education &amp; Training students, aged 16 to 17, are expected to spend 2.5 fewer years on income support over their future lifetime compared to secondary school students. </w:t>
      </w:r>
    </w:p>
    <w:p w14:paraId="01BE59FC" w14:textId="77777777" w:rsidR="0051204E" w:rsidRPr="00780E6A" w:rsidRDefault="0051204E" w:rsidP="0051204E">
      <w:pPr>
        <w:pStyle w:val="ListParagraph"/>
        <w:numPr>
          <w:ilvl w:val="0"/>
          <w:numId w:val="8"/>
        </w:numPr>
        <w:spacing w:before="120"/>
        <w:contextualSpacing w:val="0"/>
        <w:rPr>
          <w:rFonts w:cs="Arial"/>
        </w:rPr>
      </w:pPr>
      <w:r w:rsidRPr="00780E6A">
        <w:rPr>
          <w:rFonts w:cs="Arial"/>
        </w:rPr>
        <w:t>The total future lifetime cost of the Australian population, as at 30 June 2017, is $4.681 trillion. This is an increase of 3.7 per cent from the 2016 valuation but a decrease of 1.7 per cent from the Baseline valuation (2015).</w:t>
      </w:r>
    </w:p>
    <w:p w14:paraId="7E8ED05D" w14:textId="77777777" w:rsidR="0051204E" w:rsidRPr="00780E6A" w:rsidRDefault="0051204E" w:rsidP="0051204E">
      <w:pPr>
        <w:pStyle w:val="ListParagraph"/>
        <w:numPr>
          <w:ilvl w:val="0"/>
          <w:numId w:val="8"/>
        </w:numPr>
        <w:spacing w:before="120"/>
        <w:contextualSpacing w:val="0"/>
        <w:rPr>
          <w:rFonts w:cs="Arial"/>
        </w:rPr>
      </w:pPr>
      <w:r w:rsidRPr="00780E6A">
        <w:rPr>
          <w:rFonts w:cs="Arial"/>
        </w:rPr>
        <w:t xml:space="preserve">The Government’s policies have led to an overall reduction of the total future lifetime cost of the welfare system. </w:t>
      </w:r>
      <w:r>
        <w:rPr>
          <w:rFonts w:cs="Arial"/>
        </w:rPr>
        <w:br/>
      </w:r>
    </w:p>
    <w:p w14:paraId="47DC8C5A" w14:textId="77777777" w:rsidR="0051204E" w:rsidRDefault="0051204E" w:rsidP="0051204E">
      <w:pPr>
        <w:spacing w:before="120"/>
        <w:jc w:val="center"/>
        <w:rPr>
          <w:color w:val="000000"/>
        </w:rPr>
      </w:pPr>
      <w:r>
        <w:rPr>
          <w:noProof/>
          <w:color w:val="000000"/>
          <w:lang w:eastAsia="en-AU"/>
        </w:rPr>
        <w:drawing>
          <wp:inline distT="0" distB="0" distL="0" distR="0" wp14:anchorId="694B1FE5" wp14:editId="02138244">
            <wp:extent cx="1849339" cy="15824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60084" cy="1591614"/>
                    </a:xfrm>
                    <a:prstGeom prst="rect">
                      <a:avLst/>
                    </a:prstGeom>
                    <a:noFill/>
                  </pic:spPr>
                </pic:pic>
              </a:graphicData>
            </a:graphic>
          </wp:inline>
        </w:drawing>
      </w:r>
    </w:p>
    <w:p w14:paraId="73014051" w14:textId="77777777" w:rsidR="0051204E" w:rsidRDefault="0051204E" w:rsidP="0051204E">
      <w:pPr>
        <w:spacing w:before="120"/>
        <w:rPr>
          <w:rFonts w:eastAsiaTheme="majorEastAsia" w:cstheme="majorBidi"/>
          <w:b/>
          <w:bCs/>
          <w:color w:val="006600"/>
        </w:rPr>
      </w:pPr>
    </w:p>
    <w:p w14:paraId="27E77B79" w14:textId="6C9955D4" w:rsidR="0051204E" w:rsidRDefault="0051204E" w:rsidP="0051204E">
      <w:pPr>
        <w:spacing w:before="120"/>
        <w:rPr>
          <w:rFonts w:cs="Arial"/>
        </w:rPr>
      </w:pPr>
      <w:r>
        <w:rPr>
          <w:rFonts w:cs="Arial"/>
        </w:rPr>
        <w:t>Re</w:t>
      </w:r>
      <w:r w:rsidRPr="00780E6A">
        <w:rPr>
          <w:rFonts w:cs="Arial"/>
        </w:rPr>
        <w:t xml:space="preserve">sults </w:t>
      </w:r>
      <w:r>
        <w:rPr>
          <w:rFonts w:cs="Arial"/>
        </w:rPr>
        <w:t>from previous valuations</w:t>
      </w:r>
      <w:r w:rsidRPr="00780E6A">
        <w:rPr>
          <w:rFonts w:cs="Arial"/>
        </w:rPr>
        <w:t xml:space="preserve"> inform</w:t>
      </w:r>
      <w:r>
        <w:rPr>
          <w:rFonts w:cs="Arial"/>
        </w:rPr>
        <w:t>ed</w:t>
      </w:r>
      <w:r w:rsidRPr="00780E6A">
        <w:rPr>
          <w:rFonts w:cs="Arial"/>
        </w:rPr>
        <w:t xml:space="preserve"> targeting of projects for tranche</w:t>
      </w:r>
      <w:r>
        <w:rPr>
          <w:rFonts w:cs="Arial"/>
        </w:rPr>
        <w:t>s 1 and 2</w:t>
      </w:r>
      <w:r w:rsidRPr="00780E6A">
        <w:rPr>
          <w:rFonts w:cs="Arial"/>
        </w:rPr>
        <w:t xml:space="preserve"> of the</w:t>
      </w:r>
      <w:r w:rsidRPr="00780E6A">
        <w:rPr>
          <w:rFonts w:cs="Arial"/>
          <w:color w:val="2C2A29"/>
          <w:lang w:val="en"/>
        </w:rPr>
        <w:t xml:space="preserve"> </w:t>
      </w:r>
      <w:r>
        <w:rPr>
          <w:rFonts w:cs="Arial"/>
          <w:color w:val="2C2A29"/>
          <w:lang w:val="en"/>
        </w:rPr>
        <w:t>TTL</w:t>
      </w:r>
      <w:r w:rsidRPr="00780E6A">
        <w:rPr>
          <w:rFonts w:cs="Arial"/>
          <w:color w:val="2C2A29"/>
          <w:lang w:val="en"/>
        </w:rPr>
        <w:t xml:space="preserve"> Fund, </w:t>
      </w:r>
      <w:r w:rsidRPr="00780E6A">
        <w:rPr>
          <w:rFonts w:cs="Arial"/>
        </w:rPr>
        <w:t>to ensur</w:t>
      </w:r>
      <w:r w:rsidRPr="00780E6A">
        <w:rPr>
          <w:rFonts w:cs="Arial"/>
          <w:color w:val="1F497D"/>
        </w:rPr>
        <w:t>e</w:t>
      </w:r>
      <w:r w:rsidRPr="00780E6A">
        <w:rPr>
          <w:rFonts w:cs="Arial"/>
        </w:rPr>
        <w:t xml:space="preserve"> specific groups of people who are at risk of long-term welfare dependence and disadvantage receive the assistance they need.</w:t>
      </w:r>
    </w:p>
    <w:p w14:paraId="41C8C1C3" w14:textId="77777777" w:rsidR="00B3033F" w:rsidRDefault="00B3033F" w:rsidP="0051204E">
      <w:pPr>
        <w:pStyle w:val="Heading3"/>
        <w:spacing w:before="120"/>
        <w:rPr>
          <w:sz w:val="32"/>
          <w:szCs w:val="32"/>
        </w:rPr>
      </w:pPr>
    </w:p>
    <w:p w14:paraId="7678A553" w14:textId="0E0A721F" w:rsidR="0051204E" w:rsidRPr="00B3033F" w:rsidRDefault="0051204E" w:rsidP="0051204E">
      <w:pPr>
        <w:pStyle w:val="Heading3"/>
        <w:spacing w:before="120"/>
        <w:rPr>
          <w:sz w:val="32"/>
          <w:szCs w:val="32"/>
        </w:rPr>
      </w:pPr>
      <w:r w:rsidRPr="00B3033F">
        <w:rPr>
          <w:sz w:val="32"/>
          <w:szCs w:val="32"/>
        </w:rPr>
        <w:lastRenderedPageBreak/>
        <w:t xml:space="preserve">Keep updated and in touch </w:t>
      </w:r>
    </w:p>
    <w:p w14:paraId="0D6B4F3A" w14:textId="77777777" w:rsidR="0051204E" w:rsidRPr="00F95D99" w:rsidRDefault="0051204E" w:rsidP="0051204E">
      <w:pPr>
        <w:spacing w:before="120"/>
      </w:pPr>
      <w:r w:rsidRPr="00721F83">
        <w:rPr>
          <w:rFonts w:cs="Arial"/>
        </w:rPr>
        <w:t xml:space="preserve">More information about the </w:t>
      </w:r>
      <w:r>
        <w:rPr>
          <w:rFonts w:cs="Arial"/>
        </w:rPr>
        <w:t>TTL</w:t>
      </w:r>
      <w:r w:rsidRPr="00721F83">
        <w:rPr>
          <w:rFonts w:cs="Arial"/>
        </w:rPr>
        <w:t xml:space="preserve"> Fund </w:t>
      </w:r>
      <w:proofErr w:type="gramStart"/>
      <w:r w:rsidRPr="00721F83">
        <w:rPr>
          <w:rFonts w:cs="Arial"/>
        </w:rPr>
        <w:t>can be found</w:t>
      </w:r>
      <w:proofErr w:type="gramEnd"/>
      <w:r w:rsidRPr="00721F83">
        <w:rPr>
          <w:rFonts w:cs="Arial"/>
        </w:rPr>
        <w:t xml:space="preserve"> on the </w:t>
      </w:r>
      <w:hyperlink r:id="rId14" w:history="1">
        <w:r w:rsidRPr="004A1FD3">
          <w:rPr>
            <w:rStyle w:val="Hyperlink"/>
            <w:rFonts w:cs="Arial"/>
          </w:rPr>
          <w:t>Department of Social Services website</w:t>
        </w:r>
      </w:hyperlink>
      <w:r w:rsidRPr="00721F83">
        <w:rPr>
          <w:rFonts w:cs="Arial"/>
          <w:spacing w:val="4"/>
          <w:lang w:val="en-US" w:eastAsia="en-AU"/>
        </w:rPr>
        <w:t>.</w:t>
      </w:r>
      <w:r w:rsidRPr="00F95D99">
        <w:rPr>
          <w:color w:val="202020"/>
        </w:rPr>
        <w:t xml:space="preserve"> </w:t>
      </w:r>
      <w:r w:rsidRPr="00D8013B">
        <w:rPr>
          <w:color w:val="202020"/>
        </w:rPr>
        <w:t xml:space="preserve">You can also contact us at </w:t>
      </w:r>
      <w:hyperlink r:id="rId15" w:history="1">
        <w:r w:rsidRPr="00D8013B">
          <w:rPr>
            <w:rStyle w:val="Hyperlink"/>
            <w:rFonts w:cs="Arial"/>
          </w:rPr>
          <w:t>TTLFund@dss.gov.au</w:t>
        </w:r>
      </w:hyperlink>
      <w:r w:rsidRPr="00D8013B">
        <w:rPr>
          <w:color w:val="202020"/>
        </w:rPr>
        <w:t>.</w:t>
      </w:r>
    </w:p>
    <w:p w14:paraId="68CB111A" w14:textId="77777777" w:rsidR="0051204E" w:rsidRDefault="0051204E" w:rsidP="0051204E">
      <w:pPr>
        <w:spacing w:before="120"/>
        <w:rPr>
          <w:color w:val="202020"/>
        </w:rPr>
      </w:pPr>
      <w:r>
        <w:rPr>
          <w:color w:val="202020"/>
        </w:rPr>
        <w:t>P</w:t>
      </w:r>
      <w:r w:rsidRPr="00D8013B">
        <w:rPr>
          <w:color w:val="202020"/>
        </w:rPr>
        <w:t xml:space="preserve">lease feel free to distribute this newsletter to your networks, and encourage them to sign up for updates </w:t>
      </w:r>
      <w:hyperlink r:id="rId16" w:history="1">
        <w:r w:rsidRPr="004F55C8">
          <w:rPr>
            <w:rStyle w:val="Hyperlink"/>
            <w:rFonts w:cs="Arial"/>
          </w:rPr>
          <w:t>here</w:t>
        </w:r>
      </w:hyperlink>
      <w:r w:rsidRPr="00D8013B">
        <w:rPr>
          <w:color w:val="202020"/>
        </w:rPr>
        <w:t xml:space="preserve">. </w:t>
      </w:r>
    </w:p>
    <w:p w14:paraId="515BF2A7" w14:textId="77777777" w:rsidR="0051204E" w:rsidRPr="00B91E3E" w:rsidRDefault="0051204E" w:rsidP="0051204E">
      <w:pPr>
        <w:spacing w:before="120"/>
      </w:pPr>
    </w:p>
    <w:p w14:paraId="4F78D333" w14:textId="77777777" w:rsidR="0051204E" w:rsidRPr="00B91E3E" w:rsidRDefault="0051204E" w:rsidP="0051204E"/>
    <w:p w14:paraId="330DA03F" w14:textId="77777777" w:rsidR="007B0256" w:rsidRPr="0051204E" w:rsidRDefault="007B0256" w:rsidP="0051204E"/>
    <w:sectPr w:rsidR="007B0256" w:rsidRPr="0051204E">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925ED" w14:textId="77777777" w:rsidR="00AF2606" w:rsidRDefault="00AF2606" w:rsidP="00A5109E">
      <w:r>
        <w:separator/>
      </w:r>
    </w:p>
  </w:endnote>
  <w:endnote w:type="continuationSeparator" w:id="0">
    <w:p w14:paraId="7730A22B" w14:textId="77777777" w:rsidR="00AF2606" w:rsidRDefault="00AF2606" w:rsidP="00A5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81DD5" w14:textId="77777777" w:rsidR="00B04ED8" w:rsidRDefault="00B04ED8" w:rsidP="00A51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F9FBB" w14:textId="77777777" w:rsidR="00B04ED8" w:rsidRDefault="00B04ED8" w:rsidP="00A510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DA329" w14:textId="77777777" w:rsidR="00B04ED8" w:rsidRDefault="00B04ED8" w:rsidP="00A510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EF07" w14:textId="77777777" w:rsidR="00AF2606" w:rsidRDefault="00AF2606" w:rsidP="00A5109E">
      <w:r>
        <w:separator/>
      </w:r>
    </w:p>
  </w:footnote>
  <w:footnote w:type="continuationSeparator" w:id="0">
    <w:p w14:paraId="799151DB" w14:textId="77777777" w:rsidR="00AF2606" w:rsidRDefault="00AF2606" w:rsidP="00A51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E46F9" w14:textId="77777777" w:rsidR="00B04ED8" w:rsidRDefault="00B04ED8" w:rsidP="00A51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B8544" w14:textId="77777777" w:rsidR="00B04ED8" w:rsidRDefault="00B04ED8" w:rsidP="00A51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825D5" w14:textId="77777777" w:rsidR="00B04ED8" w:rsidRDefault="00B04ED8" w:rsidP="00A51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1B1"/>
    <w:multiLevelType w:val="hybridMultilevel"/>
    <w:tmpl w:val="4F04B31C"/>
    <w:lvl w:ilvl="0" w:tplc="4FB0A40C">
      <w:start w:val="1"/>
      <w:numFmt w:val="bullet"/>
      <w:lvlText w:val=""/>
      <w:lvlJc w:val="left"/>
      <w:pPr>
        <w:ind w:left="360" w:hanging="360"/>
      </w:pPr>
      <w:rPr>
        <w:rFonts w:ascii="Symbol" w:hAnsi="Symbol" w:hint="default"/>
        <w:sz w:val="36"/>
      </w:rPr>
    </w:lvl>
    <w:lvl w:ilvl="1" w:tplc="E60ACFFA">
      <w:start w:val="1"/>
      <w:numFmt w:val="bullet"/>
      <w:lvlText w:val="o"/>
      <w:lvlJc w:val="left"/>
      <w:pPr>
        <w:ind w:left="1080" w:hanging="360"/>
      </w:pPr>
      <w:rPr>
        <w:rFonts w:ascii="Courier New" w:hAnsi="Courier New" w:cs="Courier New" w:hint="default"/>
      </w:rPr>
    </w:lvl>
    <w:lvl w:ilvl="2" w:tplc="63D8E5F4" w:tentative="1">
      <w:start w:val="1"/>
      <w:numFmt w:val="bullet"/>
      <w:lvlText w:val=""/>
      <w:lvlJc w:val="left"/>
      <w:pPr>
        <w:ind w:left="1800" w:hanging="360"/>
      </w:pPr>
      <w:rPr>
        <w:rFonts w:ascii="Wingdings" w:hAnsi="Wingdings" w:hint="default"/>
      </w:rPr>
    </w:lvl>
    <w:lvl w:ilvl="3" w:tplc="64E2A130" w:tentative="1">
      <w:start w:val="1"/>
      <w:numFmt w:val="bullet"/>
      <w:lvlText w:val=""/>
      <w:lvlJc w:val="left"/>
      <w:pPr>
        <w:ind w:left="2520" w:hanging="360"/>
      </w:pPr>
      <w:rPr>
        <w:rFonts w:ascii="Symbol" w:hAnsi="Symbol" w:hint="default"/>
      </w:rPr>
    </w:lvl>
    <w:lvl w:ilvl="4" w:tplc="2BA010BC" w:tentative="1">
      <w:start w:val="1"/>
      <w:numFmt w:val="bullet"/>
      <w:lvlText w:val="o"/>
      <w:lvlJc w:val="left"/>
      <w:pPr>
        <w:ind w:left="3240" w:hanging="360"/>
      </w:pPr>
      <w:rPr>
        <w:rFonts w:ascii="Courier New" w:hAnsi="Courier New" w:cs="Courier New" w:hint="default"/>
      </w:rPr>
    </w:lvl>
    <w:lvl w:ilvl="5" w:tplc="406CE4BE" w:tentative="1">
      <w:start w:val="1"/>
      <w:numFmt w:val="bullet"/>
      <w:lvlText w:val=""/>
      <w:lvlJc w:val="left"/>
      <w:pPr>
        <w:ind w:left="3960" w:hanging="360"/>
      </w:pPr>
      <w:rPr>
        <w:rFonts w:ascii="Wingdings" w:hAnsi="Wingdings" w:hint="default"/>
      </w:rPr>
    </w:lvl>
    <w:lvl w:ilvl="6" w:tplc="01B259AA" w:tentative="1">
      <w:start w:val="1"/>
      <w:numFmt w:val="bullet"/>
      <w:lvlText w:val=""/>
      <w:lvlJc w:val="left"/>
      <w:pPr>
        <w:ind w:left="4680" w:hanging="360"/>
      </w:pPr>
      <w:rPr>
        <w:rFonts w:ascii="Symbol" w:hAnsi="Symbol" w:hint="default"/>
      </w:rPr>
    </w:lvl>
    <w:lvl w:ilvl="7" w:tplc="2F72835E" w:tentative="1">
      <w:start w:val="1"/>
      <w:numFmt w:val="bullet"/>
      <w:lvlText w:val="o"/>
      <w:lvlJc w:val="left"/>
      <w:pPr>
        <w:ind w:left="5400" w:hanging="360"/>
      </w:pPr>
      <w:rPr>
        <w:rFonts w:ascii="Courier New" w:hAnsi="Courier New" w:cs="Courier New" w:hint="default"/>
      </w:rPr>
    </w:lvl>
    <w:lvl w:ilvl="8" w:tplc="0DB2D182" w:tentative="1">
      <w:start w:val="1"/>
      <w:numFmt w:val="bullet"/>
      <w:lvlText w:val=""/>
      <w:lvlJc w:val="left"/>
      <w:pPr>
        <w:ind w:left="6120" w:hanging="360"/>
      </w:pPr>
      <w:rPr>
        <w:rFonts w:ascii="Wingdings" w:hAnsi="Wingdings" w:hint="default"/>
      </w:rPr>
    </w:lvl>
  </w:abstractNum>
  <w:abstractNum w:abstractNumId="1" w15:restartNumberingAfterBreak="0">
    <w:nsid w:val="0CDC178C"/>
    <w:multiLevelType w:val="hybridMultilevel"/>
    <w:tmpl w:val="F1AE63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56537F"/>
    <w:multiLevelType w:val="hybridMultilevel"/>
    <w:tmpl w:val="227EB752"/>
    <w:lvl w:ilvl="0" w:tplc="7B141BDE">
      <w:start w:val="1"/>
      <w:numFmt w:val="bullet"/>
      <w:pStyle w:val="ListBullet"/>
      <w:lvlText w:val="•"/>
      <w:lvlJc w:val="left"/>
      <w:pPr>
        <w:tabs>
          <w:tab w:val="num" w:pos="360"/>
        </w:tabs>
        <w:ind w:left="360" w:hanging="360"/>
      </w:pPr>
      <w:rPr>
        <w:rFonts w:ascii="Arial" w:hAnsi="Aria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8A6579F"/>
    <w:multiLevelType w:val="hybridMultilevel"/>
    <w:tmpl w:val="01D80608"/>
    <w:lvl w:ilvl="0" w:tplc="33549DBA">
      <w:start w:val="1"/>
      <w:numFmt w:val="bullet"/>
      <w:lvlText w:val=""/>
      <w:lvlJc w:val="left"/>
      <w:pPr>
        <w:tabs>
          <w:tab w:val="num" w:pos="360"/>
        </w:tabs>
        <w:ind w:left="360" w:hanging="360"/>
      </w:pPr>
      <w:rPr>
        <w:rFonts w:ascii="Symbol" w:hAnsi="Symbol" w:hint="default"/>
      </w:rPr>
    </w:lvl>
    <w:lvl w:ilvl="1" w:tplc="94DAE1B8">
      <w:start w:val="1"/>
      <w:numFmt w:val="bullet"/>
      <w:lvlText w:val=""/>
      <w:lvlJc w:val="left"/>
      <w:pPr>
        <w:tabs>
          <w:tab w:val="num" w:pos="606"/>
        </w:tabs>
        <w:ind w:left="1003" w:hanging="283"/>
      </w:pPr>
      <w:rPr>
        <w:rFonts w:ascii="Symbol" w:hAnsi="Symbol" w:hint="default"/>
        <w:color w:val="auto"/>
        <w:sz w:val="24"/>
        <w:szCs w:val="20"/>
      </w:rPr>
    </w:lvl>
    <w:lvl w:ilvl="2" w:tplc="1596974E">
      <w:start w:val="1"/>
      <w:numFmt w:val="bullet"/>
      <w:lvlText w:val="o"/>
      <w:lvlJc w:val="left"/>
      <w:pPr>
        <w:tabs>
          <w:tab w:val="num" w:pos="1800"/>
        </w:tabs>
        <w:ind w:left="1800" w:hanging="360"/>
      </w:pPr>
      <w:rPr>
        <w:rFonts w:ascii="Courier New" w:hAnsi="Courier New" w:cs="Courier New" w:hint="default"/>
      </w:rPr>
    </w:lvl>
    <w:lvl w:ilvl="3" w:tplc="2C74EC66">
      <w:start w:val="1"/>
      <w:numFmt w:val="decimal"/>
      <w:lvlText w:val="%4."/>
      <w:lvlJc w:val="left"/>
      <w:pPr>
        <w:tabs>
          <w:tab w:val="num" w:pos="2880"/>
        </w:tabs>
        <w:ind w:left="2880" w:hanging="360"/>
      </w:pPr>
    </w:lvl>
    <w:lvl w:ilvl="4" w:tplc="B3A8DECE">
      <w:start w:val="1"/>
      <w:numFmt w:val="decimal"/>
      <w:lvlText w:val="%5."/>
      <w:lvlJc w:val="left"/>
      <w:pPr>
        <w:tabs>
          <w:tab w:val="num" w:pos="3600"/>
        </w:tabs>
        <w:ind w:left="3600" w:hanging="360"/>
      </w:pPr>
    </w:lvl>
    <w:lvl w:ilvl="5" w:tplc="369080CA">
      <w:start w:val="1"/>
      <w:numFmt w:val="decimal"/>
      <w:lvlText w:val="%6."/>
      <w:lvlJc w:val="left"/>
      <w:pPr>
        <w:tabs>
          <w:tab w:val="num" w:pos="4320"/>
        </w:tabs>
        <w:ind w:left="4320" w:hanging="360"/>
      </w:pPr>
    </w:lvl>
    <w:lvl w:ilvl="6" w:tplc="4B4875E8">
      <w:start w:val="1"/>
      <w:numFmt w:val="decimal"/>
      <w:lvlText w:val="%7."/>
      <w:lvlJc w:val="left"/>
      <w:pPr>
        <w:tabs>
          <w:tab w:val="num" w:pos="5040"/>
        </w:tabs>
        <w:ind w:left="5040" w:hanging="360"/>
      </w:pPr>
    </w:lvl>
    <w:lvl w:ilvl="7" w:tplc="B07E479C">
      <w:start w:val="1"/>
      <w:numFmt w:val="decimal"/>
      <w:lvlText w:val="%8."/>
      <w:lvlJc w:val="left"/>
      <w:pPr>
        <w:tabs>
          <w:tab w:val="num" w:pos="5760"/>
        </w:tabs>
        <w:ind w:left="5760" w:hanging="360"/>
      </w:pPr>
    </w:lvl>
    <w:lvl w:ilvl="8" w:tplc="C0BC86A6">
      <w:start w:val="1"/>
      <w:numFmt w:val="decimal"/>
      <w:lvlText w:val="%9."/>
      <w:lvlJc w:val="left"/>
      <w:pPr>
        <w:tabs>
          <w:tab w:val="num" w:pos="6480"/>
        </w:tabs>
        <w:ind w:left="6480" w:hanging="360"/>
      </w:pPr>
    </w:lvl>
  </w:abstractNum>
  <w:abstractNum w:abstractNumId="4" w15:restartNumberingAfterBreak="0">
    <w:nsid w:val="29BE0669"/>
    <w:multiLevelType w:val="hybridMultilevel"/>
    <w:tmpl w:val="9F42470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C6D0545"/>
    <w:multiLevelType w:val="hybridMultilevel"/>
    <w:tmpl w:val="CE2E7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5C4209"/>
    <w:multiLevelType w:val="hybridMultilevel"/>
    <w:tmpl w:val="2800F3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5A1E6EE4"/>
    <w:multiLevelType w:val="hybridMultilevel"/>
    <w:tmpl w:val="FF9A58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113F10"/>
    <w:multiLevelType w:val="hybridMultilevel"/>
    <w:tmpl w:val="262E1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058"/>
    <w:rsid w:val="00005633"/>
    <w:rsid w:val="0001734E"/>
    <w:rsid w:val="00041A21"/>
    <w:rsid w:val="000A4AA5"/>
    <w:rsid w:val="000B5290"/>
    <w:rsid w:val="000E264D"/>
    <w:rsid w:val="00100874"/>
    <w:rsid w:val="00113CAA"/>
    <w:rsid w:val="001711BF"/>
    <w:rsid w:val="001B4059"/>
    <w:rsid w:val="001E630D"/>
    <w:rsid w:val="001F06FD"/>
    <w:rsid w:val="001F7AF4"/>
    <w:rsid w:val="00251B29"/>
    <w:rsid w:val="00284DC9"/>
    <w:rsid w:val="002B0CA7"/>
    <w:rsid w:val="002C45F9"/>
    <w:rsid w:val="002C6560"/>
    <w:rsid w:val="00301B80"/>
    <w:rsid w:val="00304577"/>
    <w:rsid w:val="0035410F"/>
    <w:rsid w:val="00381E0E"/>
    <w:rsid w:val="003B2811"/>
    <w:rsid w:val="003B2BB8"/>
    <w:rsid w:val="003D34FF"/>
    <w:rsid w:val="00413CC3"/>
    <w:rsid w:val="00435609"/>
    <w:rsid w:val="00451D70"/>
    <w:rsid w:val="00463E64"/>
    <w:rsid w:val="00477F39"/>
    <w:rsid w:val="004A1FD3"/>
    <w:rsid w:val="004B54CA"/>
    <w:rsid w:val="004E0FED"/>
    <w:rsid w:val="004E5CBF"/>
    <w:rsid w:val="004F55C8"/>
    <w:rsid w:val="004F71E3"/>
    <w:rsid w:val="0051204E"/>
    <w:rsid w:val="00527362"/>
    <w:rsid w:val="00550E02"/>
    <w:rsid w:val="00590855"/>
    <w:rsid w:val="005B22F1"/>
    <w:rsid w:val="005C3AA9"/>
    <w:rsid w:val="005C625C"/>
    <w:rsid w:val="005E5F66"/>
    <w:rsid w:val="005E7BD0"/>
    <w:rsid w:val="006037E6"/>
    <w:rsid w:val="0061405D"/>
    <w:rsid w:val="00621FC5"/>
    <w:rsid w:val="00637B02"/>
    <w:rsid w:val="0065423F"/>
    <w:rsid w:val="00655C94"/>
    <w:rsid w:val="006762BE"/>
    <w:rsid w:val="0067635C"/>
    <w:rsid w:val="00676A96"/>
    <w:rsid w:val="00683A84"/>
    <w:rsid w:val="006A4CE7"/>
    <w:rsid w:val="006A775C"/>
    <w:rsid w:val="00710668"/>
    <w:rsid w:val="007541BD"/>
    <w:rsid w:val="007572F4"/>
    <w:rsid w:val="0078078B"/>
    <w:rsid w:val="00780E6A"/>
    <w:rsid w:val="00785261"/>
    <w:rsid w:val="007B0256"/>
    <w:rsid w:val="007B2D7C"/>
    <w:rsid w:val="007F74B8"/>
    <w:rsid w:val="00805332"/>
    <w:rsid w:val="0083177B"/>
    <w:rsid w:val="008366D4"/>
    <w:rsid w:val="00853BB3"/>
    <w:rsid w:val="00857E73"/>
    <w:rsid w:val="008720AC"/>
    <w:rsid w:val="00882E2D"/>
    <w:rsid w:val="00886782"/>
    <w:rsid w:val="008A5D59"/>
    <w:rsid w:val="008A6A9E"/>
    <w:rsid w:val="008B0CFB"/>
    <w:rsid w:val="008B6058"/>
    <w:rsid w:val="008B7F2C"/>
    <w:rsid w:val="008C23BB"/>
    <w:rsid w:val="008C6304"/>
    <w:rsid w:val="008D5535"/>
    <w:rsid w:val="009055B3"/>
    <w:rsid w:val="009225F0"/>
    <w:rsid w:val="0092497E"/>
    <w:rsid w:val="0093462C"/>
    <w:rsid w:val="00934D73"/>
    <w:rsid w:val="00953795"/>
    <w:rsid w:val="00974189"/>
    <w:rsid w:val="0097625A"/>
    <w:rsid w:val="00990FC1"/>
    <w:rsid w:val="00994050"/>
    <w:rsid w:val="009D43BD"/>
    <w:rsid w:val="009E3541"/>
    <w:rsid w:val="009E3EDF"/>
    <w:rsid w:val="00A11F71"/>
    <w:rsid w:val="00A23CFB"/>
    <w:rsid w:val="00A32434"/>
    <w:rsid w:val="00A5109E"/>
    <w:rsid w:val="00A748F1"/>
    <w:rsid w:val="00A87AB9"/>
    <w:rsid w:val="00AF2606"/>
    <w:rsid w:val="00B02307"/>
    <w:rsid w:val="00B04ED8"/>
    <w:rsid w:val="00B17950"/>
    <w:rsid w:val="00B17CFB"/>
    <w:rsid w:val="00B3033F"/>
    <w:rsid w:val="00B3332C"/>
    <w:rsid w:val="00B44B5A"/>
    <w:rsid w:val="00B54D40"/>
    <w:rsid w:val="00B657A7"/>
    <w:rsid w:val="00B91E3E"/>
    <w:rsid w:val="00BA1436"/>
    <w:rsid w:val="00BA2DB9"/>
    <w:rsid w:val="00BC6F6C"/>
    <w:rsid w:val="00BE1F98"/>
    <w:rsid w:val="00BE31B0"/>
    <w:rsid w:val="00BE7148"/>
    <w:rsid w:val="00C33760"/>
    <w:rsid w:val="00C77BD6"/>
    <w:rsid w:val="00C82C40"/>
    <w:rsid w:val="00C84DD7"/>
    <w:rsid w:val="00CB5863"/>
    <w:rsid w:val="00CC1ECD"/>
    <w:rsid w:val="00CC3D75"/>
    <w:rsid w:val="00CC6ADF"/>
    <w:rsid w:val="00CF3810"/>
    <w:rsid w:val="00D827D9"/>
    <w:rsid w:val="00DA243A"/>
    <w:rsid w:val="00DA3E69"/>
    <w:rsid w:val="00DA5588"/>
    <w:rsid w:val="00DC227E"/>
    <w:rsid w:val="00E01057"/>
    <w:rsid w:val="00E24DE8"/>
    <w:rsid w:val="00E273E4"/>
    <w:rsid w:val="00E44FB0"/>
    <w:rsid w:val="00E525B6"/>
    <w:rsid w:val="00E77525"/>
    <w:rsid w:val="00E95424"/>
    <w:rsid w:val="00EC0E81"/>
    <w:rsid w:val="00EC1FFF"/>
    <w:rsid w:val="00EE1C69"/>
    <w:rsid w:val="00EE3573"/>
    <w:rsid w:val="00F30AFE"/>
    <w:rsid w:val="00F30E8B"/>
    <w:rsid w:val="00F3546B"/>
    <w:rsid w:val="00F4010A"/>
    <w:rsid w:val="00F46DEB"/>
    <w:rsid w:val="00F47FCF"/>
    <w:rsid w:val="00F47FEF"/>
    <w:rsid w:val="00F64BCF"/>
    <w:rsid w:val="00F728D4"/>
    <w:rsid w:val="00F7777A"/>
    <w:rsid w:val="00F9182D"/>
    <w:rsid w:val="00F95D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129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09E"/>
    <w:pPr>
      <w:spacing w:after="120" w:line="240" w:lineRule="auto"/>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A5109E"/>
    <w:pPr>
      <w:spacing w:before="200" w:line="271" w:lineRule="auto"/>
      <w:outlineLvl w:val="2"/>
    </w:pPr>
    <w:rPr>
      <w:rFonts w:eastAsiaTheme="majorEastAsia" w:cstheme="majorBidi"/>
      <w:b/>
      <w:bCs/>
      <w:color w:val="006600"/>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pPr>
  </w:style>
  <w:style w:type="character" w:customStyle="1" w:styleId="Heading3Char">
    <w:name w:val="Heading 3 Char"/>
    <w:basedOn w:val="DefaultParagraphFont"/>
    <w:link w:val="Heading3"/>
    <w:uiPriority w:val="9"/>
    <w:rsid w:val="00A5109E"/>
    <w:rPr>
      <w:rFonts w:ascii="Arial" w:eastAsiaTheme="majorEastAsia" w:hAnsi="Arial" w:cstheme="majorBidi"/>
      <w:b/>
      <w:bCs/>
      <w:color w:val="006600"/>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Recommendation,L,List Paragraph11,List Paragraph1,List Paragraph111,F5 List Paragraph,Dot pt,CV text,Table text,Medium Grid 1 - Accent 21,Numbered Paragraph,List Paragraph2,Bulit List -  Paragraph,Main numbered paragraph,FooterText,number"/>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iPriority w:val="99"/>
    <w:unhideWhenUsed/>
    <w:rsid w:val="008B6058"/>
    <w:rPr>
      <w:color w:val="005A70"/>
      <w:u w:val="single"/>
    </w:rPr>
  </w:style>
  <w:style w:type="character" w:customStyle="1" w:styleId="ListParagraphChar">
    <w:name w:val="List Paragraph Char"/>
    <w:aliases w:val="Recommendation Char,L Char,List Paragraph11 Char,List Paragraph1 Char,List Paragraph111 Char,F5 List Paragraph Char,Dot pt Char,CV text Char,Table text Char,Medium Grid 1 - Accent 21 Char,Numbered Paragraph Char,List Paragraph2 Char"/>
    <w:basedOn w:val="DefaultParagraphFont"/>
    <w:link w:val="ListParagraph"/>
    <w:uiPriority w:val="34"/>
    <w:qFormat/>
    <w:rsid w:val="008B6058"/>
    <w:rPr>
      <w:rFonts w:ascii="Arial" w:hAnsi="Arial"/>
    </w:rPr>
  </w:style>
  <w:style w:type="character" w:styleId="CommentReference">
    <w:name w:val="annotation reference"/>
    <w:basedOn w:val="DefaultParagraphFont"/>
    <w:uiPriority w:val="99"/>
    <w:semiHidden/>
    <w:unhideWhenUsed/>
    <w:rsid w:val="00451D70"/>
    <w:rPr>
      <w:sz w:val="16"/>
      <w:szCs w:val="16"/>
    </w:rPr>
  </w:style>
  <w:style w:type="paragraph" w:styleId="CommentText">
    <w:name w:val="annotation text"/>
    <w:basedOn w:val="Normal"/>
    <w:link w:val="CommentTextChar"/>
    <w:uiPriority w:val="99"/>
    <w:semiHidden/>
    <w:unhideWhenUsed/>
    <w:rsid w:val="00451D70"/>
    <w:rPr>
      <w:sz w:val="20"/>
      <w:szCs w:val="20"/>
    </w:rPr>
  </w:style>
  <w:style w:type="character" w:customStyle="1" w:styleId="CommentTextChar">
    <w:name w:val="Comment Text Char"/>
    <w:basedOn w:val="DefaultParagraphFont"/>
    <w:link w:val="CommentText"/>
    <w:uiPriority w:val="99"/>
    <w:semiHidden/>
    <w:rsid w:val="00451D7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51D70"/>
    <w:rPr>
      <w:b/>
      <w:bCs/>
    </w:rPr>
  </w:style>
  <w:style w:type="character" w:customStyle="1" w:styleId="CommentSubjectChar">
    <w:name w:val="Comment Subject Char"/>
    <w:basedOn w:val="CommentTextChar"/>
    <w:link w:val="CommentSubject"/>
    <w:uiPriority w:val="99"/>
    <w:semiHidden/>
    <w:rsid w:val="00451D70"/>
    <w:rPr>
      <w:rFonts w:ascii="Arial" w:hAnsi="Arial"/>
      <w:b/>
      <w:bCs/>
      <w:sz w:val="20"/>
      <w:szCs w:val="20"/>
    </w:rPr>
  </w:style>
  <w:style w:type="paragraph" w:styleId="BalloonText">
    <w:name w:val="Balloon Text"/>
    <w:basedOn w:val="Normal"/>
    <w:link w:val="BalloonTextChar"/>
    <w:uiPriority w:val="99"/>
    <w:semiHidden/>
    <w:unhideWhenUsed/>
    <w:rsid w:val="00451D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D70"/>
    <w:rPr>
      <w:rFonts w:ascii="Segoe UI" w:hAnsi="Segoe UI" w:cs="Segoe UI"/>
      <w:sz w:val="18"/>
      <w:szCs w:val="18"/>
    </w:rPr>
  </w:style>
  <w:style w:type="character" w:styleId="FollowedHyperlink">
    <w:name w:val="FollowedHyperlink"/>
    <w:basedOn w:val="DefaultParagraphFont"/>
    <w:uiPriority w:val="99"/>
    <w:semiHidden/>
    <w:unhideWhenUsed/>
    <w:rsid w:val="007541BD"/>
    <w:rPr>
      <w:color w:val="800080" w:themeColor="followedHyperlink"/>
      <w:u w:val="single"/>
    </w:rPr>
  </w:style>
  <w:style w:type="paragraph" w:styleId="ListBullet">
    <w:name w:val="List Bullet"/>
    <w:basedOn w:val="Normal"/>
    <w:uiPriority w:val="1"/>
    <w:unhideWhenUsed/>
    <w:rsid w:val="006A775C"/>
    <w:pPr>
      <w:numPr>
        <w:numId w:val="9"/>
      </w:numPr>
      <w:spacing w:before="60" w:line="280" w:lineRule="atLeast"/>
    </w:pPr>
    <w:rPr>
      <w:rFonts w:cs="Arial"/>
      <w:spacing w:val="4"/>
      <w:sz w:val="24"/>
      <w:szCs w:val="24"/>
      <w:lang w:eastAsia="en-AU"/>
    </w:rPr>
  </w:style>
  <w:style w:type="paragraph" w:styleId="Revision">
    <w:name w:val="Revision"/>
    <w:hidden/>
    <w:uiPriority w:val="99"/>
    <w:semiHidden/>
    <w:rsid w:val="00BE1F98"/>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3519">
      <w:bodyDiv w:val="1"/>
      <w:marLeft w:val="0"/>
      <w:marRight w:val="0"/>
      <w:marTop w:val="0"/>
      <w:marBottom w:val="0"/>
      <w:divBdr>
        <w:top w:val="none" w:sz="0" w:space="0" w:color="auto"/>
        <w:left w:val="none" w:sz="0" w:space="0" w:color="auto"/>
        <w:bottom w:val="none" w:sz="0" w:space="0" w:color="auto"/>
        <w:right w:val="none" w:sz="0" w:space="0" w:color="auto"/>
      </w:divBdr>
    </w:div>
    <w:div w:id="507408744">
      <w:bodyDiv w:val="1"/>
      <w:marLeft w:val="0"/>
      <w:marRight w:val="0"/>
      <w:marTop w:val="0"/>
      <w:marBottom w:val="0"/>
      <w:divBdr>
        <w:top w:val="none" w:sz="0" w:space="0" w:color="auto"/>
        <w:left w:val="none" w:sz="0" w:space="0" w:color="auto"/>
        <w:bottom w:val="none" w:sz="0" w:space="0" w:color="auto"/>
        <w:right w:val="none" w:sz="0" w:space="0" w:color="auto"/>
      </w:divBdr>
    </w:div>
    <w:div w:id="670106603">
      <w:bodyDiv w:val="1"/>
      <w:marLeft w:val="0"/>
      <w:marRight w:val="0"/>
      <w:marTop w:val="0"/>
      <w:marBottom w:val="0"/>
      <w:divBdr>
        <w:top w:val="none" w:sz="0" w:space="0" w:color="auto"/>
        <w:left w:val="none" w:sz="0" w:space="0" w:color="auto"/>
        <w:bottom w:val="none" w:sz="0" w:space="0" w:color="auto"/>
        <w:right w:val="none" w:sz="0" w:space="0" w:color="auto"/>
      </w:divBdr>
    </w:div>
    <w:div w:id="1098982493">
      <w:bodyDiv w:val="1"/>
      <w:marLeft w:val="0"/>
      <w:marRight w:val="0"/>
      <w:marTop w:val="0"/>
      <w:marBottom w:val="0"/>
      <w:divBdr>
        <w:top w:val="none" w:sz="0" w:space="0" w:color="auto"/>
        <w:left w:val="none" w:sz="0" w:space="0" w:color="auto"/>
        <w:bottom w:val="none" w:sz="0" w:space="0" w:color="auto"/>
        <w:right w:val="none" w:sz="0" w:space="0" w:color="auto"/>
      </w:divBdr>
    </w:div>
    <w:div w:id="17213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sters.dss.gov.au/media-releases/4116"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png"/><Relationship Id="rId12" Type="http://schemas.openxmlformats.org/officeDocument/2006/relationships/hyperlink" Target="https://www.dss.gov.au/review-of-australias-welfare-system/2017-valuation-repor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dss.gov.au/review-of-australias-welfare-system/australian-priority-investment-approach-to-welfare/stakeholder-engage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ss.gov.au/review-of-australias-welfare-system-australian-priority-investment-approach-to-welfare-try-test-and-learn-fund/supporting-expecting-and-parenting-tee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TTLFund@dss.gov.au" TargetMode="External"/><Relationship Id="rId23" Type="http://schemas.openxmlformats.org/officeDocument/2006/relationships/fontTable" Target="fontTable.xml"/><Relationship Id="rId10" Type="http://schemas.openxmlformats.org/officeDocument/2006/relationships/hyperlink" Target="http://www.premier.tas.gov.au/releases/tasmanias_2019_australian_of_the_yea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inisters.dss.gov.au/media-releases/3701" TargetMode="External"/><Relationship Id="rId14" Type="http://schemas.openxmlformats.org/officeDocument/2006/relationships/hyperlink" Target="https://www.dss.gov.au/try-test-and-learn-fun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4564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2019-01-07T03:55:00Z</dcterms:created>
  <dcterms:modified xsi:type="dcterms:W3CDTF">2019-01-07T03:55:00Z</dcterms:modified>
</cp:coreProperties>
</file>