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16" w:rsidRPr="00410416" w:rsidRDefault="00410416" w:rsidP="00410416">
      <w:pPr>
        <w:spacing w:before="1440" w:line="240" w:lineRule="auto"/>
        <w:ind w:left="-709"/>
        <w:contextualSpacing/>
        <w:rPr>
          <w:rFonts w:ascii="Georgia" w:hAnsi="Georgia"/>
          <w:color w:val="275D38"/>
          <w:spacing w:val="5"/>
          <w:sz w:val="56"/>
          <w:szCs w:val="56"/>
        </w:rPr>
      </w:pPr>
      <w:bookmarkStart w:id="0" w:name="_GoBack"/>
      <w:bookmarkEnd w:id="0"/>
      <w:r w:rsidRPr="00410416">
        <w:rPr>
          <w:rFonts w:ascii="Georgia" w:hAnsi="Georgia"/>
          <w:color w:val="275D38"/>
          <w:spacing w:val="5"/>
          <w:sz w:val="56"/>
          <w:szCs w:val="56"/>
        </w:rPr>
        <w:t>National Rental Affordability Scheme Risk Management Framework</w:t>
      </w:r>
    </w:p>
    <w:p w:rsidR="0054713E" w:rsidRDefault="001F77F8" w:rsidP="0054713E">
      <w:pPr>
        <w:pStyle w:val="Subtitle"/>
        <w:ind w:hanging="709"/>
      </w:pPr>
      <w:r>
        <w:t>2017-18</w:t>
      </w:r>
    </w:p>
    <w:p w:rsidR="005675C0" w:rsidRPr="00DD056F" w:rsidRDefault="005675C0" w:rsidP="00DD056F">
      <w:pPr>
        <w:ind w:left="-709"/>
      </w:pPr>
      <w:r>
        <w:t>Reviewed December 2017</w:t>
      </w:r>
    </w:p>
    <w:p w:rsidR="005675C0" w:rsidRDefault="005675C0" w:rsidP="00DD056F">
      <w:pPr>
        <w:spacing w:before="800"/>
        <w:rPr>
          <w:i/>
          <w:iCs/>
          <w:smallCaps/>
        </w:rPr>
        <w:sectPr w:rsidR="005675C0" w:rsidSect="00A747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rsidR="00E708BB" w:rsidRDefault="00E708BB">
      <w:pPr>
        <w:spacing w:before="0" w:after="200" w:line="276" w:lineRule="auto"/>
        <w:rPr>
          <w:i/>
          <w:iCs/>
          <w:smallCaps/>
        </w:rPr>
      </w:pPr>
    </w:p>
    <w:p w:rsidR="00E708BB" w:rsidRDefault="00E708BB" w:rsidP="00E708BB">
      <w:pPr>
        <w:rPr>
          <w:i/>
          <w:iCs/>
          <w:smallCaps/>
        </w:rPr>
      </w:pPr>
    </w:p>
    <w:p w:rsidR="00567634" w:rsidRPr="00567634" w:rsidRDefault="00567634" w:rsidP="0050273B">
      <w:pPr>
        <w:spacing w:before="5040"/>
      </w:pPr>
    </w:p>
    <w:p w:rsidR="0050273B" w:rsidRPr="00717729" w:rsidRDefault="0050273B" w:rsidP="0050273B">
      <w:pPr>
        <w:spacing w:before="600" w:after="0"/>
        <w:jc w:val="both"/>
        <w:rPr>
          <w:rFonts w:cs="Arial"/>
          <w:b/>
        </w:rPr>
      </w:pPr>
      <w:r>
        <w:rPr>
          <w:rFonts w:cs="Arial"/>
          <w:b/>
        </w:rPr>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rPr>
        <w:drawing>
          <wp:inline distT="0" distB="0" distL="0" distR="0" wp14:anchorId="2AC7CD93" wp14:editId="4E26518D">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001F77F8">
        <w:t xml:space="preserve">Risk Management Framework: National Rental Affordability Scheme 2017-18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4" w:history="1">
        <w:r w:rsidRPr="00717729">
          <w:rPr>
            <w:rStyle w:val="Hyperlink"/>
            <w:rFonts w:eastAsiaTheme="majorEastAsia" w:cs="Arial"/>
          </w:rPr>
          <w:t>Department of Social Services</w:t>
        </w:r>
      </w:hyperlink>
      <w:r w:rsidRPr="00717729">
        <w:t>) 2015</w:t>
      </w:r>
    </w:p>
    <w:p w:rsidR="0050273B" w:rsidRPr="0050273B" w:rsidRDefault="0050273B" w:rsidP="0050273B">
      <w:pPr>
        <w:rPr>
          <w:b/>
        </w:rPr>
      </w:pPr>
      <w:r w:rsidRPr="0050273B">
        <w:rPr>
          <w:b/>
        </w:rPr>
        <w:t xml:space="preserve">Notice: </w:t>
      </w:r>
    </w:p>
    <w:p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5"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850E59">
      <w:pPr>
        <w:pStyle w:val="ListBullet"/>
        <w:numPr>
          <w:ilvl w:val="0"/>
          <w:numId w:val="6"/>
        </w:numPr>
      </w:pPr>
      <w:r w:rsidRPr="00717729">
        <w:t xml:space="preserve">Australian Commonwealth Coat of Arms </w:t>
      </w:r>
      <w:r>
        <w:t>—</w:t>
      </w:r>
      <w:r w:rsidRPr="00717729">
        <w:t xml:space="preserve"> not Licensed under Creative Commons, see </w:t>
      </w:r>
      <w:r w:rsidR="00850E59" w:rsidRPr="00850E59">
        <w:t>https://www.pmc.gov.au/government/commonwealth-coat-arms</w:t>
      </w:r>
    </w:p>
    <w:p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rsidR="004F77F4" w:rsidRDefault="004F77F4" w:rsidP="00311FC7">
      <w:pPr>
        <w:spacing w:before="0" w:after="200" w:line="276" w:lineRule="auto"/>
        <w:rPr>
          <w:rFonts w:ascii="Georgia" w:eastAsiaTheme="majorEastAsia" w:hAnsi="Georgia" w:cstheme="majorBidi"/>
          <w:bCs/>
          <w:i/>
          <w:iCs/>
          <w:smallCaps/>
          <w:color w:val="24596E"/>
          <w:sz w:val="32"/>
          <w:szCs w:val="28"/>
        </w:rPr>
      </w:pPr>
    </w:p>
    <w:bookmarkStart w:id="1" w:name="_Toc486924949" w:displacedByCustomXml="next"/>
    <w:bookmarkStart w:id="2" w:name="_Toc486924856" w:displacedByCustomXml="next"/>
    <w:sdt>
      <w:sdtPr>
        <w:rPr>
          <w:bCs/>
        </w:rPr>
        <w:id w:val="-1822888627"/>
        <w:docPartObj>
          <w:docPartGallery w:val="Table of Contents"/>
          <w:docPartUnique/>
        </w:docPartObj>
      </w:sdtPr>
      <w:sdtEndPr>
        <w:rPr>
          <w:b/>
          <w:bCs w:val="0"/>
        </w:rPr>
      </w:sdtEndPr>
      <w:sdtContent>
        <w:p w:rsidR="00482B1D" w:rsidRDefault="001F77F8">
          <w:pPr>
            <w:pStyle w:val="TOC1"/>
            <w:tabs>
              <w:tab w:val="left" w:pos="660"/>
              <w:tab w:val="right" w:leader="dot" w:pos="9344"/>
            </w:tabs>
            <w:rPr>
              <w:bCs/>
              <w:color w:val="275D38"/>
              <w:spacing w:val="5"/>
              <w:szCs w:val="36"/>
            </w:rPr>
          </w:pPr>
          <w:r w:rsidRPr="00F05E66">
            <w:rPr>
              <w:bCs/>
              <w:color w:val="275D38"/>
              <w:spacing w:val="5"/>
              <w:szCs w:val="36"/>
            </w:rPr>
            <w:t>Table of Contents</w:t>
          </w:r>
          <w:bookmarkEnd w:id="2"/>
          <w:bookmarkEnd w:id="1"/>
        </w:p>
        <w:p w:rsidR="00E14750" w:rsidRDefault="001F77F8">
          <w:pPr>
            <w:pStyle w:val="TOC1"/>
            <w:tabs>
              <w:tab w:val="left" w:pos="660"/>
              <w:tab w:val="right" w:leader="dot" w:pos="9344"/>
            </w:tabs>
            <w:rPr>
              <w:rFonts w:asciiTheme="minorHAnsi" w:eastAsiaTheme="minorEastAsia" w:hAnsiTheme="minorHAnsi" w:cstheme="minorBidi"/>
              <w:noProof/>
              <w:spacing w:val="0"/>
              <w:sz w:val="22"/>
              <w:szCs w:val="22"/>
            </w:rPr>
          </w:pPr>
          <w:r>
            <w:rPr>
              <w:bCs/>
            </w:rPr>
            <w:fldChar w:fldCharType="begin"/>
          </w:r>
          <w:r>
            <w:instrText xml:space="preserve"> TOC \o "1-3" \h \z \u </w:instrText>
          </w:r>
          <w:r>
            <w:rPr>
              <w:bCs/>
            </w:rPr>
            <w:fldChar w:fldCharType="separate"/>
          </w:r>
          <w:hyperlink w:anchor="_Toc503519810" w:history="1">
            <w:r w:rsidR="00E14750" w:rsidRPr="00F9525A">
              <w:rPr>
                <w:rStyle w:val="Hyperlink"/>
                <w:noProof/>
                <w:spacing w:val="5"/>
              </w:rPr>
              <w:t>1.</w:t>
            </w:r>
            <w:r w:rsidR="00E14750">
              <w:rPr>
                <w:rFonts w:asciiTheme="minorHAnsi" w:eastAsiaTheme="minorEastAsia" w:hAnsiTheme="minorHAnsi" w:cstheme="minorBidi"/>
                <w:noProof/>
                <w:spacing w:val="0"/>
                <w:sz w:val="22"/>
                <w:szCs w:val="22"/>
              </w:rPr>
              <w:tab/>
            </w:r>
            <w:r w:rsidR="00E14750" w:rsidRPr="00F9525A">
              <w:rPr>
                <w:rStyle w:val="Hyperlink"/>
                <w:noProof/>
                <w:spacing w:val="5"/>
              </w:rPr>
              <w:t>Introduction</w:t>
            </w:r>
            <w:r w:rsidR="00E14750">
              <w:rPr>
                <w:noProof/>
                <w:webHidden/>
              </w:rPr>
              <w:tab/>
            </w:r>
            <w:r w:rsidR="00E14750">
              <w:rPr>
                <w:noProof/>
                <w:webHidden/>
              </w:rPr>
              <w:fldChar w:fldCharType="begin"/>
            </w:r>
            <w:r w:rsidR="00E14750">
              <w:rPr>
                <w:noProof/>
                <w:webHidden/>
              </w:rPr>
              <w:instrText xml:space="preserve"> PAGEREF _Toc503519810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1" w:history="1">
            <w:r w:rsidR="00E14750" w:rsidRPr="00F9525A">
              <w:rPr>
                <w:rStyle w:val="Hyperlink"/>
                <w:rFonts w:eastAsiaTheme="majorEastAsia"/>
                <w:noProof/>
              </w:rPr>
              <w:t>1.1.</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Purpose of this Document</w:t>
            </w:r>
            <w:r w:rsidR="00E14750">
              <w:rPr>
                <w:noProof/>
                <w:webHidden/>
              </w:rPr>
              <w:tab/>
            </w:r>
            <w:r w:rsidR="00E14750">
              <w:rPr>
                <w:noProof/>
                <w:webHidden/>
              </w:rPr>
              <w:fldChar w:fldCharType="begin"/>
            </w:r>
            <w:r w:rsidR="00E14750">
              <w:rPr>
                <w:noProof/>
                <w:webHidden/>
              </w:rPr>
              <w:instrText xml:space="preserve"> PAGEREF _Toc503519811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2" w:history="1">
            <w:r w:rsidR="00E14750" w:rsidRPr="00F9525A">
              <w:rPr>
                <w:rStyle w:val="Hyperlink"/>
                <w:rFonts w:eastAsiaTheme="majorEastAsia"/>
                <w:noProof/>
              </w:rPr>
              <w:t>1.2.</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About the Program</w:t>
            </w:r>
            <w:r w:rsidR="00E14750">
              <w:rPr>
                <w:noProof/>
                <w:webHidden/>
              </w:rPr>
              <w:tab/>
            </w:r>
            <w:r w:rsidR="00E14750">
              <w:rPr>
                <w:noProof/>
                <w:webHidden/>
              </w:rPr>
              <w:fldChar w:fldCharType="begin"/>
            </w:r>
            <w:r w:rsidR="00E14750">
              <w:rPr>
                <w:noProof/>
                <w:webHidden/>
              </w:rPr>
              <w:instrText xml:space="preserve"> PAGEREF _Toc503519812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3" w:history="1">
            <w:r w:rsidR="00E14750" w:rsidRPr="00F9525A">
              <w:rPr>
                <w:rStyle w:val="Hyperlink"/>
                <w:rFonts w:eastAsiaTheme="majorEastAsia"/>
                <w:noProof/>
              </w:rPr>
              <w:t>1.3.</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Why a Risk Framework for NRAS?</w:t>
            </w:r>
            <w:r w:rsidR="00E14750">
              <w:rPr>
                <w:noProof/>
                <w:webHidden/>
              </w:rPr>
              <w:tab/>
            </w:r>
            <w:r w:rsidR="00E14750">
              <w:rPr>
                <w:noProof/>
                <w:webHidden/>
              </w:rPr>
              <w:fldChar w:fldCharType="begin"/>
            </w:r>
            <w:r w:rsidR="00E14750">
              <w:rPr>
                <w:noProof/>
                <w:webHidden/>
              </w:rPr>
              <w:instrText xml:space="preserve"> PAGEREF _Toc503519813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4" w:history="1">
            <w:r w:rsidR="00E14750" w:rsidRPr="00F9525A">
              <w:rPr>
                <w:rStyle w:val="Hyperlink"/>
                <w:rFonts w:eastAsiaTheme="majorEastAsia"/>
                <w:noProof/>
              </w:rPr>
              <w:t>1.4.</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Implementation, monitoring and review</w:t>
            </w:r>
            <w:r w:rsidR="00E14750">
              <w:rPr>
                <w:noProof/>
                <w:webHidden/>
              </w:rPr>
              <w:tab/>
            </w:r>
            <w:r w:rsidR="00E14750">
              <w:rPr>
                <w:noProof/>
                <w:webHidden/>
              </w:rPr>
              <w:fldChar w:fldCharType="begin"/>
            </w:r>
            <w:r w:rsidR="00E14750">
              <w:rPr>
                <w:noProof/>
                <w:webHidden/>
              </w:rPr>
              <w:instrText xml:space="preserve"> PAGEREF _Toc503519814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1"/>
            <w:tabs>
              <w:tab w:val="left" w:pos="660"/>
              <w:tab w:val="right" w:leader="dot" w:pos="9344"/>
            </w:tabs>
            <w:rPr>
              <w:rFonts w:asciiTheme="minorHAnsi" w:eastAsiaTheme="minorEastAsia" w:hAnsiTheme="minorHAnsi" w:cstheme="minorBidi"/>
              <w:noProof/>
              <w:spacing w:val="0"/>
              <w:sz w:val="22"/>
              <w:szCs w:val="22"/>
            </w:rPr>
          </w:pPr>
          <w:hyperlink w:anchor="_Toc503519815" w:history="1">
            <w:r w:rsidR="00E14750" w:rsidRPr="00F9525A">
              <w:rPr>
                <w:rStyle w:val="Hyperlink"/>
                <w:noProof/>
                <w:spacing w:val="5"/>
              </w:rPr>
              <w:t>2.</w:t>
            </w:r>
            <w:r w:rsidR="00E14750">
              <w:rPr>
                <w:rFonts w:asciiTheme="minorHAnsi" w:eastAsiaTheme="minorEastAsia" w:hAnsiTheme="minorHAnsi" w:cstheme="minorBidi"/>
                <w:noProof/>
                <w:spacing w:val="0"/>
                <w:sz w:val="22"/>
                <w:szCs w:val="22"/>
              </w:rPr>
              <w:tab/>
            </w:r>
            <w:r w:rsidR="00E14750" w:rsidRPr="00F9525A">
              <w:rPr>
                <w:rStyle w:val="Hyperlink"/>
                <w:noProof/>
                <w:spacing w:val="5"/>
              </w:rPr>
              <w:t>NRAS Risk Management</w:t>
            </w:r>
            <w:r w:rsidR="00E14750">
              <w:rPr>
                <w:noProof/>
                <w:webHidden/>
              </w:rPr>
              <w:tab/>
            </w:r>
            <w:r w:rsidR="00E14750">
              <w:rPr>
                <w:noProof/>
                <w:webHidden/>
              </w:rPr>
              <w:fldChar w:fldCharType="begin"/>
            </w:r>
            <w:r w:rsidR="00E14750">
              <w:rPr>
                <w:noProof/>
                <w:webHidden/>
              </w:rPr>
              <w:instrText xml:space="preserve"> PAGEREF _Toc503519815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6" w:history="1">
            <w:r w:rsidR="00E14750" w:rsidRPr="00F9525A">
              <w:rPr>
                <w:rStyle w:val="Hyperlink"/>
                <w:rFonts w:eastAsiaTheme="majorEastAsia"/>
                <w:noProof/>
              </w:rPr>
              <w:t>2.1.</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Approach to Risk Management</w:t>
            </w:r>
            <w:r w:rsidR="00E14750">
              <w:rPr>
                <w:noProof/>
                <w:webHidden/>
              </w:rPr>
              <w:tab/>
            </w:r>
            <w:r w:rsidR="00E14750">
              <w:rPr>
                <w:noProof/>
                <w:webHidden/>
              </w:rPr>
              <w:fldChar w:fldCharType="begin"/>
            </w:r>
            <w:r w:rsidR="00E14750">
              <w:rPr>
                <w:noProof/>
                <w:webHidden/>
              </w:rPr>
              <w:instrText xml:space="preserve"> PAGEREF _Toc503519816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7" w:history="1">
            <w:r w:rsidR="00E14750" w:rsidRPr="00F9525A">
              <w:rPr>
                <w:rStyle w:val="Hyperlink"/>
                <w:rFonts w:eastAsiaTheme="majorEastAsia"/>
                <w:noProof/>
              </w:rPr>
              <w:t>2.2.</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Roles &amp; Responsibilities</w:t>
            </w:r>
            <w:r w:rsidR="00E14750">
              <w:rPr>
                <w:noProof/>
                <w:webHidden/>
              </w:rPr>
              <w:tab/>
            </w:r>
            <w:r w:rsidR="00E14750">
              <w:rPr>
                <w:noProof/>
                <w:webHidden/>
              </w:rPr>
              <w:fldChar w:fldCharType="begin"/>
            </w:r>
            <w:r w:rsidR="00E14750">
              <w:rPr>
                <w:noProof/>
                <w:webHidden/>
              </w:rPr>
              <w:instrText xml:space="preserve"> PAGEREF _Toc503519817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8" w:history="1">
            <w:r w:rsidR="00E14750" w:rsidRPr="00F9525A">
              <w:rPr>
                <w:rStyle w:val="Hyperlink"/>
                <w:rFonts w:eastAsiaTheme="majorEastAsia"/>
                <w:noProof/>
              </w:rPr>
              <w:t>2.3.</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Risk Assessments</w:t>
            </w:r>
            <w:r w:rsidR="00E14750">
              <w:rPr>
                <w:noProof/>
                <w:webHidden/>
              </w:rPr>
              <w:tab/>
            </w:r>
            <w:r w:rsidR="00E14750">
              <w:rPr>
                <w:noProof/>
                <w:webHidden/>
              </w:rPr>
              <w:fldChar w:fldCharType="begin"/>
            </w:r>
            <w:r w:rsidR="00E14750">
              <w:rPr>
                <w:noProof/>
                <w:webHidden/>
              </w:rPr>
              <w:instrText xml:space="preserve"> PAGEREF _Toc503519818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19" w:history="1">
            <w:r w:rsidR="00E14750" w:rsidRPr="00F9525A">
              <w:rPr>
                <w:rStyle w:val="Hyperlink"/>
                <w:rFonts w:eastAsiaTheme="majorEastAsia"/>
                <w:noProof/>
              </w:rPr>
              <w:t>2.4.</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Risk Escalation</w:t>
            </w:r>
            <w:r w:rsidR="00E14750">
              <w:rPr>
                <w:noProof/>
                <w:webHidden/>
              </w:rPr>
              <w:tab/>
            </w:r>
            <w:r w:rsidR="00E14750">
              <w:rPr>
                <w:noProof/>
                <w:webHidden/>
              </w:rPr>
              <w:fldChar w:fldCharType="begin"/>
            </w:r>
            <w:r w:rsidR="00E14750">
              <w:rPr>
                <w:noProof/>
                <w:webHidden/>
              </w:rPr>
              <w:instrText xml:space="preserve"> PAGEREF _Toc503519819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0" w:history="1">
            <w:r w:rsidR="00E14750" w:rsidRPr="00F9525A">
              <w:rPr>
                <w:rStyle w:val="Hyperlink"/>
                <w:rFonts w:eastAsiaTheme="majorEastAsia"/>
                <w:noProof/>
              </w:rPr>
              <w:t>2.5.</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Business Continuity</w:t>
            </w:r>
            <w:r w:rsidR="00E14750">
              <w:rPr>
                <w:noProof/>
                <w:webHidden/>
              </w:rPr>
              <w:tab/>
            </w:r>
            <w:r w:rsidR="00E14750">
              <w:rPr>
                <w:noProof/>
                <w:webHidden/>
              </w:rPr>
              <w:fldChar w:fldCharType="begin"/>
            </w:r>
            <w:r w:rsidR="00E14750">
              <w:rPr>
                <w:noProof/>
                <w:webHidden/>
              </w:rPr>
              <w:instrText xml:space="preserve"> PAGEREF _Toc503519820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1" w:history="1">
            <w:r w:rsidR="00E14750" w:rsidRPr="00F9525A">
              <w:rPr>
                <w:rStyle w:val="Hyperlink"/>
                <w:rFonts w:eastAsiaTheme="majorEastAsia"/>
                <w:noProof/>
              </w:rPr>
              <w:t>2.6.</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Hierarchy of Current NRAS Risk-Related Documents</w:t>
            </w:r>
            <w:r w:rsidR="00E14750">
              <w:rPr>
                <w:noProof/>
                <w:webHidden/>
              </w:rPr>
              <w:tab/>
            </w:r>
            <w:r w:rsidR="00E14750">
              <w:rPr>
                <w:noProof/>
                <w:webHidden/>
              </w:rPr>
              <w:fldChar w:fldCharType="begin"/>
            </w:r>
            <w:r w:rsidR="00E14750">
              <w:rPr>
                <w:noProof/>
                <w:webHidden/>
              </w:rPr>
              <w:instrText xml:space="preserve"> PAGEREF _Toc503519821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1"/>
            <w:tabs>
              <w:tab w:val="left" w:pos="660"/>
              <w:tab w:val="right" w:leader="dot" w:pos="9344"/>
            </w:tabs>
            <w:rPr>
              <w:rFonts w:asciiTheme="minorHAnsi" w:eastAsiaTheme="minorEastAsia" w:hAnsiTheme="minorHAnsi" w:cstheme="minorBidi"/>
              <w:noProof/>
              <w:spacing w:val="0"/>
              <w:sz w:val="22"/>
              <w:szCs w:val="22"/>
            </w:rPr>
          </w:pPr>
          <w:hyperlink w:anchor="_Toc503519822" w:history="1">
            <w:r w:rsidR="00E14750" w:rsidRPr="00F9525A">
              <w:rPr>
                <w:rStyle w:val="Hyperlink"/>
                <w:noProof/>
                <w:spacing w:val="5"/>
              </w:rPr>
              <w:t>3.</w:t>
            </w:r>
            <w:r w:rsidR="00E14750">
              <w:rPr>
                <w:rFonts w:asciiTheme="minorHAnsi" w:eastAsiaTheme="minorEastAsia" w:hAnsiTheme="minorHAnsi" w:cstheme="minorBidi"/>
                <w:noProof/>
                <w:spacing w:val="0"/>
                <w:sz w:val="22"/>
                <w:szCs w:val="22"/>
              </w:rPr>
              <w:tab/>
            </w:r>
            <w:r w:rsidR="00E14750" w:rsidRPr="00F9525A">
              <w:rPr>
                <w:rStyle w:val="Hyperlink"/>
                <w:noProof/>
                <w:spacing w:val="5"/>
              </w:rPr>
              <w:t>NRAS Program Integrity and Compliance</w:t>
            </w:r>
            <w:r w:rsidR="00E14750">
              <w:rPr>
                <w:noProof/>
                <w:webHidden/>
              </w:rPr>
              <w:tab/>
            </w:r>
            <w:r w:rsidR="00E14750">
              <w:rPr>
                <w:noProof/>
                <w:webHidden/>
              </w:rPr>
              <w:fldChar w:fldCharType="begin"/>
            </w:r>
            <w:r w:rsidR="00E14750">
              <w:rPr>
                <w:noProof/>
                <w:webHidden/>
              </w:rPr>
              <w:instrText xml:space="preserve"> PAGEREF _Toc503519822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3" w:history="1">
            <w:r w:rsidR="00E14750" w:rsidRPr="00F9525A">
              <w:rPr>
                <w:rStyle w:val="Hyperlink"/>
                <w:rFonts w:eastAsiaTheme="majorEastAsia"/>
                <w:noProof/>
              </w:rPr>
              <w:t>3.1.</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Risk-based Compliance Strategy</w:t>
            </w:r>
            <w:r w:rsidR="00E14750">
              <w:rPr>
                <w:noProof/>
                <w:webHidden/>
              </w:rPr>
              <w:tab/>
            </w:r>
            <w:r w:rsidR="00E14750">
              <w:rPr>
                <w:noProof/>
                <w:webHidden/>
              </w:rPr>
              <w:fldChar w:fldCharType="begin"/>
            </w:r>
            <w:r w:rsidR="00E14750">
              <w:rPr>
                <w:noProof/>
                <w:webHidden/>
              </w:rPr>
              <w:instrText xml:space="preserve"> PAGEREF _Toc503519823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4" w:history="1">
            <w:r w:rsidR="00E14750" w:rsidRPr="00F9525A">
              <w:rPr>
                <w:rStyle w:val="Hyperlink"/>
                <w:rFonts w:eastAsiaTheme="majorEastAsia"/>
                <w:noProof/>
              </w:rPr>
              <w:t>3.2.</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Management of Complaints or Allegations of Serious Non-Compliance</w:t>
            </w:r>
            <w:r w:rsidR="00E14750">
              <w:rPr>
                <w:noProof/>
                <w:webHidden/>
              </w:rPr>
              <w:tab/>
            </w:r>
            <w:r w:rsidR="00E14750">
              <w:rPr>
                <w:noProof/>
                <w:webHidden/>
              </w:rPr>
              <w:fldChar w:fldCharType="begin"/>
            </w:r>
            <w:r w:rsidR="00E14750">
              <w:rPr>
                <w:noProof/>
                <w:webHidden/>
              </w:rPr>
              <w:instrText xml:space="preserve"> PAGEREF _Toc503519824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5" w:history="1">
            <w:r w:rsidR="00E14750" w:rsidRPr="00F9525A">
              <w:rPr>
                <w:rStyle w:val="Hyperlink"/>
                <w:rFonts w:eastAsiaTheme="majorEastAsia"/>
                <w:noProof/>
              </w:rPr>
              <w:t>3.3.</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Fraud Risk Assessments</w:t>
            </w:r>
            <w:r w:rsidR="00E14750">
              <w:rPr>
                <w:noProof/>
                <w:webHidden/>
              </w:rPr>
              <w:tab/>
            </w:r>
            <w:r w:rsidR="00E14750">
              <w:rPr>
                <w:noProof/>
                <w:webHidden/>
              </w:rPr>
              <w:fldChar w:fldCharType="begin"/>
            </w:r>
            <w:r w:rsidR="00E14750">
              <w:rPr>
                <w:noProof/>
                <w:webHidden/>
              </w:rPr>
              <w:instrText xml:space="preserve"> PAGEREF _Toc503519825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1"/>
            <w:tabs>
              <w:tab w:val="left" w:pos="660"/>
              <w:tab w:val="right" w:leader="dot" w:pos="9344"/>
            </w:tabs>
            <w:rPr>
              <w:rFonts w:asciiTheme="minorHAnsi" w:eastAsiaTheme="minorEastAsia" w:hAnsiTheme="minorHAnsi" w:cstheme="minorBidi"/>
              <w:noProof/>
              <w:spacing w:val="0"/>
              <w:sz w:val="22"/>
              <w:szCs w:val="22"/>
            </w:rPr>
          </w:pPr>
          <w:hyperlink w:anchor="_Toc503519826" w:history="1">
            <w:r w:rsidR="00E14750" w:rsidRPr="00F9525A">
              <w:rPr>
                <w:rStyle w:val="Hyperlink"/>
                <w:rFonts w:eastAsiaTheme="majorEastAsia"/>
                <w:noProof/>
              </w:rPr>
              <w:t>4.</w:t>
            </w:r>
            <w:r w:rsidR="00E14750">
              <w:rPr>
                <w:rFonts w:asciiTheme="minorHAnsi" w:eastAsiaTheme="minorEastAsia" w:hAnsiTheme="minorHAnsi" w:cstheme="minorBidi"/>
                <w:noProof/>
                <w:spacing w:val="0"/>
                <w:sz w:val="22"/>
                <w:szCs w:val="22"/>
              </w:rPr>
              <w:tab/>
            </w:r>
            <w:r w:rsidR="00E14750" w:rsidRPr="00F9525A">
              <w:rPr>
                <w:rStyle w:val="Hyperlink"/>
                <w:noProof/>
                <w:spacing w:val="5"/>
              </w:rPr>
              <w:t>Program Governance and Reporting</w:t>
            </w:r>
            <w:r w:rsidR="00E14750">
              <w:rPr>
                <w:noProof/>
                <w:webHidden/>
              </w:rPr>
              <w:tab/>
            </w:r>
            <w:r w:rsidR="00E14750">
              <w:rPr>
                <w:noProof/>
                <w:webHidden/>
              </w:rPr>
              <w:fldChar w:fldCharType="begin"/>
            </w:r>
            <w:r w:rsidR="00E14750">
              <w:rPr>
                <w:noProof/>
                <w:webHidden/>
              </w:rPr>
              <w:instrText xml:space="preserve"> PAGEREF _Toc503519826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7" w:history="1">
            <w:r w:rsidR="00E14750" w:rsidRPr="00F9525A">
              <w:rPr>
                <w:rStyle w:val="Hyperlink"/>
                <w:rFonts w:eastAsiaTheme="majorEastAsia"/>
                <w:noProof/>
              </w:rPr>
              <w:t>4.1.</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Governance Mechanisms</w:t>
            </w:r>
            <w:r w:rsidR="00E14750">
              <w:rPr>
                <w:noProof/>
                <w:webHidden/>
              </w:rPr>
              <w:tab/>
            </w:r>
            <w:r w:rsidR="00E14750">
              <w:rPr>
                <w:noProof/>
                <w:webHidden/>
              </w:rPr>
              <w:fldChar w:fldCharType="begin"/>
            </w:r>
            <w:r w:rsidR="00E14750">
              <w:rPr>
                <w:noProof/>
                <w:webHidden/>
              </w:rPr>
              <w:instrText xml:space="preserve"> PAGEREF _Toc503519827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8" w:history="1">
            <w:r w:rsidR="00E14750" w:rsidRPr="00F9525A">
              <w:rPr>
                <w:rStyle w:val="Hyperlink"/>
                <w:rFonts w:eastAsiaTheme="majorEastAsia"/>
                <w:noProof/>
              </w:rPr>
              <w:t>4.2.</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Reporting under the Regulator Performance Framework</w:t>
            </w:r>
            <w:r w:rsidR="00E14750">
              <w:rPr>
                <w:noProof/>
                <w:webHidden/>
              </w:rPr>
              <w:tab/>
            </w:r>
            <w:r w:rsidR="00E14750">
              <w:rPr>
                <w:noProof/>
                <w:webHidden/>
              </w:rPr>
              <w:fldChar w:fldCharType="begin"/>
            </w:r>
            <w:r w:rsidR="00E14750">
              <w:rPr>
                <w:noProof/>
                <w:webHidden/>
              </w:rPr>
              <w:instrText xml:space="preserve"> PAGEREF _Toc503519828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29" w:history="1">
            <w:r w:rsidR="00E14750" w:rsidRPr="00F9525A">
              <w:rPr>
                <w:rStyle w:val="Hyperlink"/>
                <w:rFonts w:eastAsiaTheme="majorEastAsia"/>
                <w:noProof/>
              </w:rPr>
              <w:t>4.3.</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Quarterly Performance Report</w:t>
            </w:r>
            <w:r w:rsidR="00E14750">
              <w:rPr>
                <w:noProof/>
                <w:webHidden/>
              </w:rPr>
              <w:tab/>
            </w:r>
            <w:r w:rsidR="00E14750">
              <w:rPr>
                <w:noProof/>
                <w:webHidden/>
              </w:rPr>
              <w:fldChar w:fldCharType="begin"/>
            </w:r>
            <w:r w:rsidR="00E14750">
              <w:rPr>
                <w:noProof/>
                <w:webHidden/>
              </w:rPr>
              <w:instrText xml:space="preserve"> PAGEREF _Toc503519829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0" w:history="1">
            <w:r w:rsidR="00E14750" w:rsidRPr="00F9525A">
              <w:rPr>
                <w:rStyle w:val="Hyperlink"/>
                <w:rFonts w:eastAsiaTheme="majorEastAsia"/>
                <w:noProof/>
              </w:rPr>
              <w:t>4.4.</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Annual Performance Reporting</w:t>
            </w:r>
            <w:r w:rsidR="00E14750">
              <w:rPr>
                <w:noProof/>
                <w:webHidden/>
              </w:rPr>
              <w:tab/>
            </w:r>
            <w:r w:rsidR="00E14750">
              <w:rPr>
                <w:noProof/>
                <w:webHidden/>
              </w:rPr>
              <w:fldChar w:fldCharType="begin"/>
            </w:r>
            <w:r w:rsidR="00E14750">
              <w:rPr>
                <w:noProof/>
                <w:webHidden/>
              </w:rPr>
              <w:instrText xml:space="preserve"> PAGEREF _Toc503519830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1" w:history="1">
            <w:r w:rsidR="00E14750" w:rsidRPr="00F9525A">
              <w:rPr>
                <w:rStyle w:val="Hyperlink"/>
                <w:rFonts w:eastAsiaTheme="majorEastAsia"/>
                <w:noProof/>
              </w:rPr>
              <w:t>4.5.</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Reporting to Audit and Assurance Committee</w:t>
            </w:r>
            <w:r w:rsidR="00E14750">
              <w:rPr>
                <w:noProof/>
                <w:webHidden/>
              </w:rPr>
              <w:tab/>
            </w:r>
            <w:r w:rsidR="00E14750">
              <w:rPr>
                <w:noProof/>
                <w:webHidden/>
              </w:rPr>
              <w:fldChar w:fldCharType="begin"/>
            </w:r>
            <w:r w:rsidR="00E14750">
              <w:rPr>
                <w:noProof/>
                <w:webHidden/>
              </w:rPr>
              <w:instrText xml:space="preserve"> PAGEREF _Toc503519831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1"/>
            <w:tabs>
              <w:tab w:val="left" w:pos="660"/>
              <w:tab w:val="right" w:leader="dot" w:pos="9344"/>
            </w:tabs>
            <w:rPr>
              <w:rFonts w:asciiTheme="minorHAnsi" w:eastAsiaTheme="minorEastAsia" w:hAnsiTheme="minorHAnsi" w:cstheme="minorBidi"/>
              <w:noProof/>
              <w:spacing w:val="0"/>
              <w:sz w:val="22"/>
              <w:szCs w:val="22"/>
            </w:rPr>
          </w:pPr>
          <w:hyperlink w:anchor="_Toc503519832" w:history="1">
            <w:r w:rsidR="00E14750" w:rsidRPr="00F9525A">
              <w:rPr>
                <w:rStyle w:val="Hyperlink"/>
                <w:noProof/>
                <w:spacing w:val="5"/>
              </w:rPr>
              <w:t>5.</w:t>
            </w:r>
            <w:r w:rsidR="00E14750">
              <w:rPr>
                <w:rFonts w:asciiTheme="minorHAnsi" w:eastAsiaTheme="minorEastAsia" w:hAnsiTheme="minorHAnsi" w:cstheme="minorBidi"/>
                <w:noProof/>
                <w:spacing w:val="0"/>
                <w:sz w:val="22"/>
                <w:szCs w:val="22"/>
              </w:rPr>
              <w:tab/>
            </w:r>
            <w:r w:rsidR="00E14750" w:rsidRPr="00F9525A">
              <w:rPr>
                <w:rStyle w:val="Hyperlink"/>
                <w:noProof/>
                <w:spacing w:val="5"/>
              </w:rPr>
              <w:t>Relationships &amp; Resources</w:t>
            </w:r>
            <w:r w:rsidR="00E14750">
              <w:rPr>
                <w:noProof/>
                <w:webHidden/>
              </w:rPr>
              <w:tab/>
            </w:r>
            <w:r w:rsidR="00E14750">
              <w:rPr>
                <w:noProof/>
                <w:webHidden/>
              </w:rPr>
              <w:fldChar w:fldCharType="begin"/>
            </w:r>
            <w:r w:rsidR="00E14750">
              <w:rPr>
                <w:noProof/>
                <w:webHidden/>
              </w:rPr>
              <w:instrText xml:space="preserve"> PAGEREF _Toc503519832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3" w:history="1">
            <w:r w:rsidR="00E14750" w:rsidRPr="00F9525A">
              <w:rPr>
                <w:rStyle w:val="Hyperlink"/>
                <w:rFonts w:eastAsiaTheme="majorEastAsia"/>
                <w:noProof/>
              </w:rPr>
              <w:t>5.1.</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External Stakeholders</w:t>
            </w:r>
            <w:r w:rsidR="00E14750">
              <w:rPr>
                <w:noProof/>
                <w:webHidden/>
              </w:rPr>
              <w:tab/>
            </w:r>
            <w:r w:rsidR="00E14750">
              <w:rPr>
                <w:noProof/>
                <w:webHidden/>
              </w:rPr>
              <w:fldChar w:fldCharType="begin"/>
            </w:r>
            <w:r w:rsidR="00E14750">
              <w:rPr>
                <w:noProof/>
                <w:webHidden/>
              </w:rPr>
              <w:instrText xml:space="preserve"> PAGEREF _Toc503519833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4" w:history="1">
            <w:r w:rsidR="00E14750" w:rsidRPr="00F9525A">
              <w:rPr>
                <w:rStyle w:val="Hyperlink"/>
                <w:rFonts w:eastAsiaTheme="majorEastAsia"/>
                <w:noProof/>
              </w:rPr>
              <w:t>5.2.</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Key Internal Stakeholders</w:t>
            </w:r>
            <w:r w:rsidR="00E14750">
              <w:rPr>
                <w:noProof/>
                <w:webHidden/>
              </w:rPr>
              <w:tab/>
            </w:r>
            <w:r w:rsidR="00E14750">
              <w:rPr>
                <w:noProof/>
                <w:webHidden/>
              </w:rPr>
              <w:fldChar w:fldCharType="begin"/>
            </w:r>
            <w:r w:rsidR="00E14750">
              <w:rPr>
                <w:noProof/>
                <w:webHidden/>
              </w:rPr>
              <w:instrText xml:space="preserve"> PAGEREF _Toc503519834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5" w:history="1">
            <w:r w:rsidR="00E14750" w:rsidRPr="00F9525A">
              <w:rPr>
                <w:rStyle w:val="Hyperlink"/>
                <w:rFonts w:eastAsiaTheme="majorEastAsia"/>
                <w:noProof/>
              </w:rPr>
              <w:t>5.3.</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Regulatory Framework and Applicable Departmental Policy</w:t>
            </w:r>
            <w:r w:rsidR="00E14750">
              <w:rPr>
                <w:noProof/>
                <w:webHidden/>
              </w:rPr>
              <w:tab/>
            </w:r>
            <w:r w:rsidR="00E14750">
              <w:rPr>
                <w:noProof/>
                <w:webHidden/>
              </w:rPr>
              <w:fldChar w:fldCharType="begin"/>
            </w:r>
            <w:r w:rsidR="00E14750">
              <w:rPr>
                <w:noProof/>
                <w:webHidden/>
              </w:rPr>
              <w:instrText xml:space="preserve"> PAGEREF _Toc503519835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6" w:history="1">
            <w:r w:rsidR="00E14750" w:rsidRPr="00F9525A">
              <w:rPr>
                <w:rStyle w:val="Hyperlink"/>
                <w:rFonts w:eastAsiaTheme="majorEastAsia"/>
                <w:noProof/>
              </w:rPr>
              <w:t>5.4.</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Training Opportunities for Staff</w:t>
            </w:r>
            <w:r w:rsidR="00E14750">
              <w:rPr>
                <w:noProof/>
                <w:webHidden/>
              </w:rPr>
              <w:tab/>
            </w:r>
            <w:r w:rsidR="00E14750">
              <w:rPr>
                <w:noProof/>
                <w:webHidden/>
              </w:rPr>
              <w:fldChar w:fldCharType="begin"/>
            </w:r>
            <w:r w:rsidR="00E14750">
              <w:rPr>
                <w:noProof/>
                <w:webHidden/>
              </w:rPr>
              <w:instrText xml:space="preserve"> PAGEREF _Toc503519836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E14750" w:rsidRDefault="0018697F">
          <w:pPr>
            <w:pStyle w:val="TOC3"/>
            <w:rPr>
              <w:rFonts w:asciiTheme="minorHAnsi" w:eastAsiaTheme="minorEastAsia" w:hAnsiTheme="minorHAnsi" w:cstheme="minorBidi"/>
              <w:noProof/>
              <w:spacing w:val="0"/>
              <w:sz w:val="22"/>
              <w:szCs w:val="22"/>
            </w:rPr>
          </w:pPr>
          <w:hyperlink w:anchor="_Toc503519837" w:history="1">
            <w:r w:rsidR="00E14750" w:rsidRPr="00F9525A">
              <w:rPr>
                <w:rStyle w:val="Hyperlink"/>
                <w:rFonts w:eastAsiaTheme="majorEastAsia"/>
                <w:noProof/>
              </w:rPr>
              <w:t>5.5.</w:t>
            </w:r>
            <w:r w:rsidR="00E14750">
              <w:rPr>
                <w:rFonts w:asciiTheme="minorHAnsi" w:eastAsiaTheme="minorEastAsia" w:hAnsiTheme="minorHAnsi" w:cstheme="minorBidi"/>
                <w:noProof/>
                <w:spacing w:val="0"/>
                <w:sz w:val="22"/>
                <w:szCs w:val="22"/>
              </w:rPr>
              <w:tab/>
            </w:r>
            <w:r w:rsidR="00E14750" w:rsidRPr="00F9525A">
              <w:rPr>
                <w:rStyle w:val="Hyperlink"/>
                <w:rFonts w:eastAsiaTheme="majorEastAsia"/>
                <w:noProof/>
              </w:rPr>
              <w:t>NRAS Reports, Reviews and Performance Audits</w:t>
            </w:r>
            <w:r w:rsidR="00E14750">
              <w:rPr>
                <w:noProof/>
                <w:webHidden/>
              </w:rPr>
              <w:tab/>
            </w:r>
            <w:r w:rsidR="00E14750">
              <w:rPr>
                <w:noProof/>
                <w:webHidden/>
              </w:rPr>
              <w:fldChar w:fldCharType="begin"/>
            </w:r>
            <w:r w:rsidR="00E14750">
              <w:rPr>
                <w:noProof/>
                <w:webHidden/>
              </w:rPr>
              <w:instrText xml:space="preserve"> PAGEREF _Toc503519837 \h </w:instrText>
            </w:r>
            <w:r w:rsidR="00E14750">
              <w:rPr>
                <w:noProof/>
                <w:webHidden/>
              </w:rPr>
            </w:r>
            <w:r w:rsidR="00E14750">
              <w:rPr>
                <w:noProof/>
                <w:webHidden/>
              </w:rPr>
              <w:fldChar w:fldCharType="separate"/>
            </w:r>
            <w:r w:rsidR="00D15BD6">
              <w:rPr>
                <w:noProof/>
                <w:webHidden/>
              </w:rPr>
              <w:t>1</w:t>
            </w:r>
            <w:r w:rsidR="00E14750">
              <w:rPr>
                <w:noProof/>
                <w:webHidden/>
              </w:rPr>
              <w:fldChar w:fldCharType="end"/>
            </w:r>
          </w:hyperlink>
        </w:p>
        <w:p w:rsidR="001F77F8" w:rsidRDefault="001F77F8">
          <w:r>
            <w:rPr>
              <w:b/>
              <w:bCs/>
              <w:noProof/>
            </w:rPr>
            <w:fldChar w:fldCharType="end"/>
          </w:r>
        </w:p>
      </w:sdtContent>
    </w:sdt>
    <w:p w:rsidR="00877018" w:rsidRPr="00D90D3C" w:rsidRDefault="00877018" w:rsidP="00D90D3C"/>
    <w:p w:rsidR="00F85669" w:rsidRDefault="00F85669">
      <w:pPr>
        <w:spacing w:before="0" w:after="200" w:line="276" w:lineRule="auto"/>
        <w:rPr>
          <w:i/>
          <w:iCs/>
          <w:smallCaps/>
        </w:rPr>
        <w:sectPr w:rsidR="00F85669" w:rsidSect="0087600D">
          <w:headerReference w:type="first" r:id="rId16"/>
          <w:footerReference w:type="first" r:id="rId17"/>
          <w:pgSz w:w="11906" w:h="16838"/>
          <w:pgMar w:top="1134" w:right="1418" w:bottom="1418" w:left="1134" w:header="284" w:footer="459" w:gutter="0"/>
          <w:pgNumType w:fmt="lowerRoman" w:start="1"/>
          <w:cols w:space="708"/>
          <w:titlePg/>
          <w:docGrid w:linePitch="360"/>
        </w:sectPr>
      </w:pPr>
    </w:p>
    <w:p w:rsidR="00092FC5" w:rsidRPr="00F05E66" w:rsidRDefault="00092FC5" w:rsidP="00BF5A88">
      <w:pPr>
        <w:pStyle w:val="Heading1"/>
        <w:rPr>
          <w:rFonts w:eastAsia="Times New Roman" w:cs="Times New Roman"/>
          <w:bCs w:val="0"/>
          <w:noProof w:val="0"/>
          <w:color w:val="275D38"/>
          <w:spacing w:val="5"/>
          <w:szCs w:val="36"/>
        </w:rPr>
      </w:pPr>
      <w:bookmarkStart w:id="3" w:name="_Toc482359691"/>
      <w:bookmarkStart w:id="4" w:name="_Toc503519810"/>
      <w:r w:rsidRPr="00F05E66">
        <w:rPr>
          <w:rFonts w:eastAsia="Times New Roman" w:cs="Times New Roman"/>
          <w:bCs w:val="0"/>
          <w:noProof w:val="0"/>
          <w:color w:val="275D38"/>
          <w:spacing w:val="5"/>
          <w:szCs w:val="36"/>
        </w:rPr>
        <w:lastRenderedPageBreak/>
        <w:t>Introduction</w:t>
      </w:r>
      <w:bookmarkEnd w:id="3"/>
      <w:bookmarkEnd w:id="4"/>
    </w:p>
    <w:p w:rsidR="00092FC5" w:rsidRPr="00BF5A88" w:rsidRDefault="00092FC5" w:rsidP="00BF5A88">
      <w:pPr>
        <w:pStyle w:val="Heading3"/>
      </w:pPr>
      <w:bookmarkStart w:id="5" w:name="_Toc474164065"/>
      <w:bookmarkStart w:id="6" w:name="_Toc482359692"/>
      <w:bookmarkStart w:id="7" w:name="_Toc503519811"/>
      <w:r w:rsidRPr="00BF5A88">
        <w:t>Purpose of this Document</w:t>
      </w:r>
      <w:bookmarkEnd w:id="5"/>
      <w:bookmarkEnd w:id="6"/>
      <w:bookmarkEnd w:id="7"/>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National Rental Affordability Scheme (NRAS or the Scheme) Risk Management Framework aims to clearly outline and communicate the approach the Department of Social Services (the Department or DSS) is taking to managing risk in its administration of NRAS in order to improve overall program integrity and accountability.</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An underlying objective of the Framework is to promote a robust but proportionate approach to risk and a positive risk culture within the Housing Programs and Homelessness Branch (HPHB), which has responsibility for the management and administration of the Scheme, and to be an accessible and practical tool for all staff involved in the administration of the NRAS.</w:t>
      </w:r>
    </w:p>
    <w:p w:rsidR="00092FC5" w:rsidRPr="00092FC5" w:rsidRDefault="00092FC5" w:rsidP="00092FC5">
      <w:pPr>
        <w:pBdr>
          <w:top w:val="single" w:sz="4" w:space="1" w:color="auto"/>
          <w:left w:val="single" w:sz="4" w:space="4" w:color="auto"/>
          <w:bottom w:val="single" w:sz="4" w:space="1" w:color="auto"/>
          <w:right w:val="single" w:sz="4" w:space="4" w:color="auto"/>
        </w:pBdr>
        <w:shd w:val="clear" w:color="auto" w:fill="D9D9D9"/>
        <w:spacing w:after="120" w:line="240" w:lineRule="atLeast"/>
        <w:rPr>
          <w:rFonts w:ascii="Calibri" w:hAnsi="Calibri"/>
          <w:spacing w:val="0"/>
          <w:sz w:val="20"/>
          <w:szCs w:val="20"/>
        </w:rPr>
      </w:pPr>
      <w:r w:rsidRPr="00092FC5">
        <w:rPr>
          <w:rFonts w:ascii="Calibri" w:hAnsi="Calibri"/>
          <w:spacing w:val="0"/>
          <w:sz w:val="20"/>
          <w:szCs w:val="20"/>
        </w:rPr>
        <w:t>Under the Commonwealth Risk Management Policy, a risk management framework is defined as: ‘</w:t>
      </w:r>
      <w:r w:rsidRPr="00092FC5">
        <w:rPr>
          <w:rFonts w:ascii="Calibri" w:hAnsi="Calibri"/>
          <w:i/>
          <w:spacing w:val="0"/>
          <w:sz w:val="20"/>
          <w:szCs w:val="20"/>
        </w:rPr>
        <w:t>the set of components that provide the foundations and organisational arrangements for designing, implementing, monitoring, reviewing and continuously improving risk management’.</w:t>
      </w:r>
    </w:p>
    <w:p w:rsidR="00092FC5" w:rsidRPr="00092FC5" w:rsidRDefault="00092FC5" w:rsidP="00BF5A88">
      <w:pPr>
        <w:pStyle w:val="Heading3"/>
      </w:pPr>
      <w:bookmarkStart w:id="8" w:name="_Toc474164066"/>
      <w:bookmarkStart w:id="9" w:name="_Toc482359693"/>
      <w:bookmarkStart w:id="10" w:name="_Toc503519812"/>
      <w:r w:rsidRPr="00092FC5">
        <w:t>About the</w:t>
      </w:r>
      <w:r w:rsidRPr="00BF5A88">
        <w:t xml:space="preserve"> Program</w:t>
      </w:r>
      <w:bookmarkEnd w:id="8"/>
      <w:bookmarkEnd w:id="9"/>
      <w:bookmarkEnd w:id="10"/>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NRAS is a partnership between the Australian Government and state and territory governments to invest in affordable rental housing. It is a regulatory program which commenced in 2008 and is governed by the </w:t>
      </w:r>
      <w:r w:rsidRPr="00092FC5">
        <w:rPr>
          <w:rFonts w:ascii="Calibri" w:hAnsi="Calibri"/>
          <w:i/>
          <w:spacing w:val="0"/>
          <w:sz w:val="22"/>
          <w:szCs w:val="22"/>
        </w:rPr>
        <w:t>National Rental Affordability Scheme Act 2008</w:t>
      </w:r>
      <w:r w:rsidRPr="00092FC5">
        <w:rPr>
          <w:rFonts w:ascii="Calibri" w:hAnsi="Calibri"/>
          <w:spacing w:val="0"/>
          <w:sz w:val="22"/>
          <w:szCs w:val="22"/>
        </w:rPr>
        <w:t xml:space="preserve"> (the Act) and the </w:t>
      </w:r>
      <w:r w:rsidRPr="0060483B">
        <w:rPr>
          <w:rFonts w:ascii="Calibri" w:hAnsi="Calibri"/>
          <w:i/>
          <w:spacing w:val="0"/>
          <w:sz w:val="22"/>
          <w:szCs w:val="22"/>
        </w:rPr>
        <w:t xml:space="preserve">National Rental Affordability </w:t>
      </w:r>
      <w:r w:rsidR="00D21923" w:rsidRPr="0060483B">
        <w:rPr>
          <w:rFonts w:ascii="Calibri" w:hAnsi="Calibri"/>
          <w:i/>
          <w:spacing w:val="0"/>
          <w:sz w:val="22"/>
          <w:szCs w:val="22"/>
        </w:rPr>
        <w:t xml:space="preserve">Scheme </w:t>
      </w:r>
      <w:r w:rsidRPr="0060483B">
        <w:rPr>
          <w:rFonts w:ascii="Calibri" w:hAnsi="Calibri"/>
          <w:i/>
          <w:spacing w:val="0"/>
          <w:sz w:val="22"/>
          <w:szCs w:val="22"/>
        </w:rPr>
        <w:t>Regulations 2008</w:t>
      </w:r>
      <w:r w:rsidRPr="00092FC5">
        <w:rPr>
          <w:rFonts w:ascii="Calibri" w:hAnsi="Calibri"/>
          <w:spacing w:val="0"/>
          <w:sz w:val="22"/>
          <w:szCs w:val="22"/>
        </w:rPr>
        <w:t xml:space="preserve"> (the Regulations).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object of the Act and the Regulations is to encourage large-scale investment in housing by offering an incentive to participants in the Scheme so as to:</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increase the supply of affordable rental dwellings; and</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reduce rental costs for low and moderate income households</w:t>
      </w:r>
    </w:p>
    <w:p w:rsidR="00092FC5" w:rsidRPr="00092FC5" w:rsidRDefault="00092FC5" w:rsidP="00092FC5">
      <w:pPr>
        <w:spacing w:after="120" w:line="240" w:lineRule="auto"/>
        <w:rPr>
          <w:rFonts w:ascii="Calibri" w:eastAsia="Calibri" w:hAnsi="Calibri"/>
          <w:color w:val="000000"/>
          <w:spacing w:val="0"/>
          <w:kern w:val="24"/>
          <w:sz w:val="22"/>
          <w:szCs w:val="22"/>
        </w:rPr>
      </w:pPr>
      <w:r w:rsidRPr="00092FC5">
        <w:rPr>
          <w:rFonts w:ascii="Calibri" w:eastAsia="Calibri" w:hAnsi="Calibri"/>
          <w:color w:val="000000"/>
          <w:spacing w:val="0"/>
          <w:kern w:val="24"/>
          <w:sz w:val="22"/>
          <w:szCs w:val="22"/>
        </w:rPr>
        <w:t xml:space="preserve">The incentive is issued to housing providers to provide affordable rental dwellings at least 20 per cent below market rates.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As at </w:t>
      </w:r>
      <w:r w:rsidR="00133B6E">
        <w:rPr>
          <w:rFonts w:ascii="Calibri" w:hAnsi="Calibri"/>
          <w:spacing w:val="0"/>
          <w:sz w:val="22"/>
          <w:szCs w:val="22"/>
        </w:rPr>
        <w:t>December</w:t>
      </w:r>
      <w:r w:rsidR="00133B6E" w:rsidRPr="00092FC5">
        <w:rPr>
          <w:rFonts w:ascii="Calibri" w:hAnsi="Calibri"/>
          <w:spacing w:val="0"/>
          <w:sz w:val="22"/>
          <w:szCs w:val="22"/>
        </w:rPr>
        <w:t xml:space="preserve"> </w:t>
      </w:r>
      <w:r w:rsidRPr="00092FC5">
        <w:rPr>
          <w:rFonts w:ascii="Calibri" w:hAnsi="Calibri"/>
          <w:spacing w:val="0"/>
          <w:sz w:val="22"/>
          <w:szCs w:val="22"/>
        </w:rPr>
        <w:t>2017, there are 13</w:t>
      </w:r>
      <w:r w:rsidR="00133B6E">
        <w:rPr>
          <w:rFonts w:ascii="Calibri" w:hAnsi="Calibri"/>
          <w:spacing w:val="0"/>
          <w:sz w:val="22"/>
          <w:szCs w:val="22"/>
        </w:rPr>
        <w:t>1</w:t>
      </w:r>
      <w:r w:rsidRPr="00092FC5">
        <w:rPr>
          <w:rFonts w:ascii="Calibri" w:hAnsi="Calibri"/>
          <w:spacing w:val="0"/>
          <w:sz w:val="22"/>
          <w:szCs w:val="22"/>
        </w:rPr>
        <w:t xml:space="preserve"> </w:t>
      </w:r>
      <w:r w:rsidR="00C3441D">
        <w:rPr>
          <w:rFonts w:ascii="Calibri" w:hAnsi="Calibri"/>
          <w:spacing w:val="0"/>
          <w:sz w:val="22"/>
          <w:szCs w:val="22"/>
        </w:rPr>
        <w:t>approved participants</w:t>
      </w:r>
      <w:r w:rsidRPr="00092FC5">
        <w:rPr>
          <w:rFonts w:ascii="Calibri" w:hAnsi="Calibri"/>
          <w:spacing w:val="0"/>
          <w:sz w:val="22"/>
          <w:szCs w:val="22"/>
        </w:rPr>
        <w:t xml:space="preserve">, </w:t>
      </w:r>
      <w:r w:rsidR="00482B1D">
        <w:rPr>
          <w:rFonts w:ascii="Calibri" w:hAnsi="Calibri"/>
          <w:spacing w:val="0"/>
          <w:sz w:val="22"/>
          <w:szCs w:val="22"/>
        </w:rPr>
        <w:t>who may be</w:t>
      </w:r>
      <w:r w:rsidR="00482B1D" w:rsidRPr="00092FC5">
        <w:rPr>
          <w:rFonts w:ascii="Calibri" w:hAnsi="Calibri"/>
          <w:spacing w:val="0"/>
          <w:sz w:val="22"/>
          <w:szCs w:val="22"/>
        </w:rPr>
        <w:t xml:space="preserve"> </w:t>
      </w:r>
      <w:r w:rsidRPr="00092FC5">
        <w:rPr>
          <w:rFonts w:ascii="Calibri" w:hAnsi="Calibri"/>
          <w:spacing w:val="0"/>
          <w:sz w:val="22"/>
          <w:szCs w:val="22"/>
        </w:rPr>
        <w:t xml:space="preserve">property developers, not-for-profit organisations and community housing providers, in the Scheme throughout Australia. Individual private investors </w:t>
      </w:r>
      <w:r w:rsidR="00482B1D">
        <w:rPr>
          <w:rFonts w:ascii="Calibri" w:hAnsi="Calibri"/>
          <w:spacing w:val="0"/>
          <w:sz w:val="22"/>
          <w:szCs w:val="22"/>
        </w:rPr>
        <w:t xml:space="preserve">can </w:t>
      </w:r>
      <w:r w:rsidRPr="00092FC5">
        <w:rPr>
          <w:rFonts w:ascii="Calibri" w:hAnsi="Calibri"/>
          <w:spacing w:val="0"/>
          <w:sz w:val="22"/>
          <w:szCs w:val="22"/>
        </w:rPr>
        <w:t xml:space="preserve">also participate, either as part of a joint venture arrangement with an NRAS approved participant, or by purchasing NRAS dwellings from an approved participant.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The target group for NRAS is tenants with a low to moderate income. Potential and existing NRAS tenants must meet income eligibility criteria defined in the NRAS regulations, which are assessed by the approved participant or the tenancy manager of a particular property.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In the 2014-15 Budget, the Government announced it would not proceed with the final planned application round for NRAS and the Scheme would be capped at 38,000 dwellings (originally set at 50,000). The Department is committed to improving the administration of the Scheme for allocations already made. The Scheme will conclude in June 2026</w:t>
      </w:r>
      <w:r w:rsidR="008D0B97">
        <w:rPr>
          <w:rFonts w:ascii="Calibri" w:hAnsi="Calibri"/>
          <w:spacing w:val="0"/>
          <w:sz w:val="22"/>
          <w:szCs w:val="22"/>
        </w:rPr>
        <w:t>.</w:t>
      </w:r>
    </w:p>
    <w:p w:rsidR="00092FC5" w:rsidRPr="00092FC5" w:rsidRDefault="00092FC5" w:rsidP="00BF5A88">
      <w:pPr>
        <w:pStyle w:val="Heading3"/>
      </w:pPr>
      <w:bookmarkStart w:id="11" w:name="_Toc474164067"/>
      <w:bookmarkStart w:id="12" w:name="_Toc482359694"/>
      <w:bookmarkStart w:id="13" w:name="_Toc503519813"/>
      <w:r w:rsidRPr="00092FC5">
        <w:t>Why a Risk Framework for NRAS?</w:t>
      </w:r>
      <w:bookmarkEnd w:id="11"/>
      <w:bookmarkEnd w:id="12"/>
      <w:bookmarkEnd w:id="13"/>
    </w:p>
    <w:p w:rsidR="00092FC5" w:rsidRPr="00092FC5" w:rsidRDefault="000B6EED" w:rsidP="00092FC5">
      <w:pPr>
        <w:spacing w:after="120" w:line="240" w:lineRule="atLeast"/>
        <w:rPr>
          <w:rFonts w:ascii="Calibri" w:hAnsi="Calibri"/>
          <w:spacing w:val="0"/>
          <w:sz w:val="22"/>
          <w:szCs w:val="22"/>
        </w:rPr>
      </w:pPr>
      <w:r>
        <w:rPr>
          <w:rFonts w:ascii="Calibri" w:hAnsi="Calibri"/>
          <w:spacing w:val="0"/>
          <w:sz w:val="22"/>
          <w:szCs w:val="22"/>
        </w:rPr>
        <w:t>NRAS adhere</w:t>
      </w:r>
      <w:r w:rsidR="00482B1D">
        <w:rPr>
          <w:rFonts w:ascii="Calibri" w:hAnsi="Calibri"/>
          <w:spacing w:val="0"/>
          <w:sz w:val="22"/>
          <w:szCs w:val="22"/>
        </w:rPr>
        <w:t>s</w:t>
      </w:r>
      <w:r>
        <w:rPr>
          <w:rFonts w:ascii="Calibri" w:hAnsi="Calibri"/>
          <w:spacing w:val="0"/>
          <w:sz w:val="22"/>
          <w:szCs w:val="22"/>
        </w:rPr>
        <w:t xml:space="preserve"> to t</w:t>
      </w:r>
      <w:r w:rsidR="00092FC5" w:rsidRPr="00092FC5">
        <w:rPr>
          <w:rFonts w:ascii="Calibri" w:hAnsi="Calibri"/>
          <w:spacing w:val="0"/>
          <w:sz w:val="22"/>
          <w:szCs w:val="22"/>
        </w:rPr>
        <w:t>he Department-wide Risk Management Framework</w:t>
      </w:r>
      <w:r w:rsidR="00482B1D">
        <w:rPr>
          <w:rFonts w:ascii="Calibri" w:hAnsi="Calibri"/>
          <w:spacing w:val="0"/>
          <w:sz w:val="22"/>
          <w:szCs w:val="22"/>
        </w:rPr>
        <w:t>, which is a</w:t>
      </w:r>
      <w:r>
        <w:rPr>
          <w:rFonts w:ascii="Calibri" w:hAnsi="Calibri"/>
          <w:spacing w:val="0"/>
          <w:sz w:val="22"/>
          <w:szCs w:val="22"/>
        </w:rPr>
        <w:t>ligned to t</w:t>
      </w:r>
      <w:r w:rsidR="00092FC5" w:rsidRPr="00092FC5">
        <w:rPr>
          <w:rFonts w:ascii="Calibri" w:hAnsi="Calibri"/>
          <w:spacing w:val="0"/>
          <w:sz w:val="22"/>
          <w:szCs w:val="22"/>
        </w:rPr>
        <w:t xml:space="preserve">he Commonwealth Risk Management Policy. </w:t>
      </w:r>
    </w:p>
    <w:p w:rsidR="00092FC5" w:rsidRPr="00092FC5" w:rsidRDefault="00092FC5" w:rsidP="00092FC5">
      <w:pPr>
        <w:spacing w:after="120" w:line="240" w:lineRule="atLeast"/>
        <w:rPr>
          <w:rFonts w:ascii="Calibri" w:hAnsi="Calibri"/>
          <w:spacing w:val="0"/>
          <w:sz w:val="22"/>
          <w:szCs w:val="22"/>
          <w:highlight w:val="yellow"/>
        </w:rPr>
      </w:pPr>
      <w:r w:rsidRPr="00092FC5">
        <w:rPr>
          <w:rFonts w:ascii="Calibri" w:hAnsi="Calibri"/>
          <w:spacing w:val="0"/>
          <w:sz w:val="22"/>
          <w:szCs w:val="22"/>
        </w:rPr>
        <w:t xml:space="preserve">Ordinarily, it might be sufficient for a program area to be aware of the Departmental Framework and simply have its own risk management plan, or a current risk assessment to guide how it manages its program risk. However, NRAS has not been supported by a comprehensive risk framework since its </w:t>
      </w:r>
      <w:r w:rsidRPr="00092FC5">
        <w:rPr>
          <w:rFonts w:ascii="Calibri" w:hAnsi="Calibri"/>
          <w:spacing w:val="0"/>
          <w:sz w:val="22"/>
          <w:szCs w:val="22"/>
        </w:rPr>
        <w:lastRenderedPageBreak/>
        <w:t xml:space="preserve">inception in 2008 and needs to strengthen its capability in risk management and effective program management. </w:t>
      </w:r>
    </w:p>
    <w:p w:rsidR="00092FC5" w:rsidRPr="00092FC5" w:rsidRDefault="00092FC5" w:rsidP="00092FC5">
      <w:pPr>
        <w:spacing w:before="0" w:after="160" w:line="259" w:lineRule="auto"/>
        <w:rPr>
          <w:rFonts w:ascii="Calibri" w:hAnsi="Calibri"/>
          <w:b/>
          <w:spacing w:val="0"/>
          <w:sz w:val="22"/>
          <w:szCs w:val="22"/>
        </w:rPr>
      </w:pPr>
      <w:r w:rsidRPr="00092FC5">
        <w:rPr>
          <w:rFonts w:ascii="Calibri" w:hAnsi="Calibri"/>
          <w:spacing w:val="0"/>
          <w:sz w:val="22"/>
          <w:szCs w:val="22"/>
        </w:rPr>
        <w:t>In 2015 the Australian National Audit Office (ANAO) published its first report of a two-phased performance audit into NRAS. While no recommendations were made in the report, conclusions drawn by the ANAO report were that the administration of the Scheme had not been effective, and the need was highlighted for improved planning and administration of the Scheme in order to meet the objectives and expected outcomes.</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In November 2016, the ANAO published its second report into NRAS</w:t>
      </w:r>
      <w:r w:rsidR="00133B6E">
        <w:rPr>
          <w:rStyle w:val="FootnoteReference"/>
          <w:rFonts w:ascii="Calibri" w:hAnsi="Calibri"/>
          <w:spacing w:val="0"/>
          <w:sz w:val="22"/>
          <w:szCs w:val="22"/>
        </w:rPr>
        <w:footnoteReference w:id="1"/>
      </w:r>
      <w:r w:rsidRPr="00092FC5">
        <w:rPr>
          <w:rFonts w:ascii="Calibri" w:hAnsi="Calibri"/>
          <w:spacing w:val="0"/>
          <w:sz w:val="22"/>
          <w:szCs w:val="22"/>
        </w:rPr>
        <w:t>.</w:t>
      </w:r>
      <w:r w:rsidRPr="00092FC5">
        <w:rPr>
          <w:rFonts w:ascii="Calibri" w:hAnsi="Calibri"/>
          <w:b/>
          <w:spacing w:val="0"/>
          <w:sz w:val="22"/>
          <w:szCs w:val="22"/>
        </w:rPr>
        <w:t xml:space="preserve"> </w:t>
      </w:r>
      <w:r w:rsidRPr="00092FC5">
        <w:rPr>
          <w:rFonts w:ascii="Calibri" w:hAnsi="Calibri"/>
          <w:spacing w:val="0"/>
          <w:sz w:val="22"/>
          <w:szCs w:val="22"/>
        </w:rPr>
        <w:t xml:space="preserve">The report found that the department was processing allocation requests, market rent valuations and incentive claims in accordance with the Regulations, but the effectiveness of its administration continued to be mixed. In terms of areas for improvement, the report found there was a lack of clarity with aspects of the Regulations, NRAS IT systems should be streamlined and developed to better support business practices, and the Department should develop a risk management framework to more effectively manage Scheme risks. </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Listed below are the three recommendations made by the ANAO in November 2016.</w:t>
      </w:r>
    </w:p>
    <w:tbl>
      <w:tblPr>
        <w:tblStyle w:val="TableGrid2"/>
        <w:tblW w:w="4988" w:type="pct"/>
        <w:shd w:val="clear" w:color="auto" w:fill="D9D9D9" w:themeFill="background1" w:themeFillShade="D9"/>
        <w:tblLook w:val="04A0" w:firstRow="1" w:lastRow="0" w:firstColumn="1" w:lastColumn="0" w:noHBand="0" w:noVBand="1"/>
        <w:tblCaption w:val="ANAO recommendations from the November 2016 audit report"/>
        <w:tblDescription w:val="The ANAO made three recommendations in the November 2016 audit into NRAS. The Department accepted all three recommendations."/>
      </w:tblPr>
      <w:tblGrid>
        <w:gridCol w:w="8994"/>
      </w:tblGrid>
      <w:tr w:rsidR="00092FC5" w:rsidRPr="00092FC5" w:rsidTr="006F358E">
        <w:trPr>
          <w:trHeight w:val="3960"/>
          <w:tblHeader/>
        </w:trPr>
        <w:tc>
          <w:tcPr>
            <w:tcW w:w="5000" w:type="pct"/>
            <w:shd w:val="clear" w:color="auto" w:fill="D9D9D9" w:themeFill="background1" w:themeFillShade="D9"/>
          </w:tcPr>
          <w:p w:rsidR="00092FC5" w:rsidRPr="00092FC5" w:rsidRDefault="00092FC5" w:rsidP="00092FC5">
            <w:pPr>
              <w:spacing w:before="0" w:after="160" w:line="259" w:lineRule="auto"/>
              <w:rPr>
                <w:rFonts w:ascii="Calibri" w:hAnsi="Calibri"/>
                <w:b/>
                <w:spacing w:val="0"/>
                <w:sz w:val="22"/>
                <w:szCs w:val="22"/>
              </w:rPr>
            </w:pPr>
            <w:r w:rsidRPr="00092FC5">
              <w:rPr>
                <w:rFonts w:ascii="Calibri" w:hAnsi="Calibri"/>
                <w:b/>
                <w:spacing w:val="0"/>
                <w:sz w:val="22"/>
                <w:szCs w:val="22"/>
              </w:rPr>
              <w:t>Recommendation 1</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Department develops a risk management framework and implements a targeted risk-based compliance program, informed by a robust assessment of Scheme risks.</w:t>
            </w:r>
          </w:p>
          <w:p w:rsidR="00092FC5" w:rsidRPr="00092FC5" w:rsidRDefault="00092FC5" w:rsidP="00092FC5">
            <w:pPr>
              <w:spacing w:after="120" w:line="240" w:lineRule="atLeast"/>
              <w:rPr>
                <w:rFonts w:ascii="Calibri" w:hAnsi="Calibri"/>
                <w:b/>
                <w:spacing w:val="0"/>
                <w:sz w:val="22"/>
                <w:szCs w:val="22"/>
              </w:rPr>
            </w:pPr>
            <w:r w:rsidRPr="00092FC5">
              <w:rPr>
                <w:rFonts w:ascii="Calibri" w:hAnsi="Calibri"/>
                <w:b/>
                <w:spacing w:val="0"/>
                <w:sz w:val="22"/>
                <w:szCs w:val="22"/>
              </w:rPr>
              <w:t>Recommendation 2</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NRAS component of FOFMS and NRAS Portal is further developed to:</w:t>
            </w:r>
          </w:p>
          <w:p w:rsidR="00092FC5" w:rsidRPr="00092FC5" w:rsidRDefault="00092FC5" w:rsidP="00092FC5">
            <w:pPr>
              <w:numPr>
                <w:ilvl w:val="1"/>
                <w:numId w:val="12"/>
              </w:numPr>
              <w:spacing w:after="120" w:line="240" w:lineRule="atLeast"/>
              <w:ind w:hanging="357"/>
              <w:rPr>
                <w:rFonts w:ascii="Calibri" w:hAnsi="Calibri"/>
                <w:spacing w:val="0"/>
                <w:sz w:val="22"/>
                <w:szCs w:val="22"/>
              </w:rPr>
            </w:pPr>
            <w:r w:rsidRPr="00092FC5">
              <w:rPr>
                <w:rFonts w:ascii="Calibri" w:hAnsi="Calibri"/>
                <w:spacing w:val="0"/>
                <w:sz w:val="22"/>
                <w:szCs w:val="22"/>
              </w:rPr>
              <w:t>streamline the input of required information by approved participants, including that information, where correct, is only required to be provided once; and</w:t>
            </w:r>
          </w:p>
          <w:p w:rsidR="00092FC5" w:rsidRPr="00092FC5" w:rsidRDefault="00092FC5" w:rsidP="00092FC5">
            <w:pPr>
              <w:numPr>
                <w:ilvl w:val="1"/>
                <w:numId w:val="12"/>
              </w:numPr>
              <w:spacing w:after="120" w:line="240" w:lineRule="atLeast"/>
              <w:ind w:hanging="357"/>
              <w:rPr>
                <w:rFonts w:ascii="Calibri" w:hAnsi="Calibri"/>
                <w:spacing w:val="0"/>
                <w:sz w:val="22"/>
                <w:szCs w:val="22"/>
              </w:rPr>
            </w:pPr>
            <w:r w:rsidRPr="00092FC5">
              <w:rPr>
                <w:rFonts w:ascii="Calibri" w:hAnsi="Calibri"/>
                <w:spacing w:val="0"/>
                <w:sz w:val="22"/>
                <w:szCs w:val="22"/>
              </w:rPr>
              <w:t>enhance the business rules and system controls to better identify potentially non-compliant or higher-risk incentive claims that require review prior to payment.</w:t>
            </w:r>
          </w:p>
          <w:p w:rsidR="00092FC5" w:rsidRPr="00092FC5" w:rsidRDefault="00092FC5" w:rsidP="00092FC5">
            <w:pPr>
              <w:spacing w:after="120" w:line="240" w:lineRule="atLeast"/>
              <w:rPr>
                <w:rFonts w:ascii="Calibri" w:hAnsi="Calibri"/>
                <w:b/>
                <w:spacing w:val="0"/>
                <w:sz w:val="22"/>
                <w:szCs w:val="22"/>
              </w:rPr>
            </w:pPr>
            <w:r w:rsidRPr="00092FC5">
              <w:rPr>
                <w:rFonts w:ascii="Calibri" w:hAnsi="Calibri"/>
                <w:b/>
                <w:spacing w:val="0"/>
                <w:sz w:val="22"/>
                <w:szCs w:val="22"/>
              </w:rPr>
              <w:t>Recommendation 3</w:t>
            </w:r>
          </w:p>
          <w:p w:rsidR="00092FC5" w:rsidRPr="00092FC5" w:rsidRDefault="00092FC5" w:rsidP="00092FC5">
            <w:pPr>
              <w:spacing w:after="120" w:line="240" w:lineRule="atLeast"/>
              <w:rPr>
                <w:rFonts w:ascii="Calibri" w:hAnsi="Calibri"/>
                <w:b/>
                <w:spacing w:val="0"/>
                <w:sz w:val="22"/>
                <w:szCs w:val="22"/>
              </w:rPr>
            </w:pPr>
            <w:r w:rsidRPr="00092FC5">
              <w:rPr>
                <w:rFonts w:ascii="Calibri" w:hAnsi="Calibri"/>
                <w:spacing w:val="0"/>
                <w:sz w:val="22"/>
                <w:szCs w:val="22"/>
              </w:rPr>
              <w:t>The Department implements a process to verify the reliability of information submitted by approved participants, as part of a risk-based approach to managing compliance.</w:t>
            </w:r>
          </w:p>
        </w:tc>
      </w:tr>
    </w:tbl>
    <w:p w:rsidR="00092FC5" w:rsidRPr="00092FC5" w:rsidRDefault="00092FC5" w:rsidP="00092FC5">
      <w:pPr>
        <w:spacing w:before="0" w:line="240" w:lineRule="auto"/>
        <w:rPr>
          <w:rFonts w:ascii="Calibri" w:hAnsi="Calibri"/>
          <w:b/>
          <w:spacing w:val="0"/>
          <w:sz w:val="22"/>
          <w:szCs w:val="22"/>
        </w:rPr>
      </w:pPr>
    </w:p>
    <w:p w:rsidR="00092FC5" w:rsidRPr="00092FC5" w:rsidRDefault="00092FC5" w:rsidP="00092FC5">
      <w:pPr>
        <w:spacing w:before="0" w:line="240" w:lineRule="auto"/>
        <w:rPr>
          <w:rFonts w:ascii="Calibri" w:hAnsi="Calibri" w:cs="Arial"/>
          <w:bCs/>
          <w:i/>
          <w:color w:val="1F497D"/>
          <w:sz w:val="22"/>
          <w:szCs w:val="22"/>
        </w:rPr>
      </w:pPr>
      <w:r w:rsidRPr="00092FC5">
        <w:rPr>
          <w:rFonts w:ascii="Calibri" w:hAnsi="Calibri"/>
          <w:spacing w:val="0"/>
          <w:sz w:val="22"/>
          <w:szCs w:val="22"/>
        </w:rPr>
        <w:t xml:space="preserve">NRAS will be in operation until 2026, when the last of the allocations reach the end of their 10-year incentive period. </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 xml:space="preserve">A significant amount of Australian Government money is provided for the operation of NRAS ($309m in 2016-17 – being $85m from DSS and $224m from the Australian Taxation Office) and it works cooperatively with the State and Territory Government Housing Departments to complement social and community housing objectives across the jurisdictions. </w:t>
      </w:r>
    </w:p>
    <w:p w:rsid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For all the above reasons it is important that a Risk Management Framework is developed and implemented for NRAS, and ongoing effort is made to better communicate and embed the various components of its administration that will provide the foundation for this improvement.</w:t>
      </w:r>
    </w:p>
    <w:p w:rsidR="0045642A" w:rsidRPr="00092FC5" w:rsidRDefault="0045642A" w:rsidP="00092FC5">
      <w:pPr>
        <w:spacing w:before="0" w:after="160" w:line="259" w:lineRule="auto"/>
        <w:rPr>
          <w:rFonts w:ascii="Calibri" w:hAnsi="Calibri"/>
          <w:spacing w:val="0"/>
          <w:sz w:val="22"/>
          <w:szCs w:val="22"/>
        </w:rPr>
      </w:pPr>
    </w:p>
    <w:p w:rsidR="00092FC5" w:rsidRPr="00092FC5" w:rsidRDefault="00092FC5" w:rsidP="00BF5A88">
      <w:pPr>
        <w:pStyle w:val="Heading3"/>
      </w:pPr>
      <w:bookmarkStart w:id="14" w:name="_Toc482359695"/>
      <w:bookmarkStart w:id="15" w:name="_Toc503519814"/>
      <w:r w:rsidRPr="00092FC5">
        <w:lastRenderedPageBreak/>
        <w:t>Implementation, monitoring and review</w:t>
      </w:r>
      <w:bookmarkEnd w:id="14"/>
      <w:bookmarkEnd w:id="15"/>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color w:val="000000"/>
          <w:spacing w:val="0"/>
          <w:sz w:val="22"/>
          <w:szCs w:val="22"/>
        </w:rPr>
        <w:t xml:space="preserve">Responsibility for implementation of the various elements and strategies contained within the RMF is shared among the NRAS Directors (Project Managers) and the Branch Manager, HPHB (Project Assurer) in line with their broad program responsibilities and defined project work.  Responsibility for reporting on implementation progress will </w:t>
      </w:r>
      <w:r w:rsidRPr="00092FC5">
        <w:rPr>
          <w:rFonts w:ascii="Calibri" w:hAnsi="Calibri"/>
          <w:spacing w:val="0"/>
          <w:sz w:val="22"/>
          <w:szCs w:val="22"/>
        </w:rPr>
        <w:t xml:space="preserve">sit with the Director, NRAS </w:t>
      </w:r>
      <w:r w:rsidR="008D0B97">
        <w:rPr>
          <w:rFonts w:ascii="Calibri" w:hAnsi="Calibri"/>
          <w:spacing w:val="0"/>
          <w:sz w:val="22"/>
          <w:szCs w:val="22"/>
        </w:rPr>
        <w:t>Regulation and Accountability</w:t>
      </w:r>
      <w:r w:rsidRPr="00092FC5">
        <w:rPr>
          <w:rFonts w:ascii="Calibri" w:hAnsi="Calibri"/>
          <w:spacing w:val="0"/>
          <w:sz w:val="22"/>
          <w:szCs w:val="22"/>
        </w:rPr>
        <w:t xml:space="preserve"> who will report regularly to the Branch Manager, HPHB.</w:t>
      </w:r>
    </w:p>
    <w:p w:rsidR="00B0206D" w:rsidRPr="00B0206D" w:rsidRDefault="00092FC5" w:rsidP="00B0206D">
      <w:pPr>
        <w:spacing w:after="120" w:line="240" w:lineRule="atLeast"/>
        <w:rPr>
          <w:rFonts w:ascii="Georgia" w:hAnsi="Georgia"/>
          <w:szCs w:val="28"/>
        </w:rPr>
      </w:pPr>
      <w:r w:rsidRPr="00092FC5">
        <w:rPr>
          <w:rFonts w:ascii="Calibri" w:hAnsi="Calibri"/>
          <w:spacing w:val="0"/>
          <w:sz w:val="22"/>
          <w:szCs w:val="22"/>
        </w:rPr>
        <w:t>The NRAS Framework will be reviewed every six months. Updates will be made as necessary with a view to ensuring the continuous improvement and currency of the Framework.</w:t>
      </w:r>
    </w:p>
    <w:p w:rsidR="00B0206D" w:rsidRPr="00B0206D" w:rsidRDefault="00B0206D" w:rsidP="00DD056F">
      <w:bookmarkStart w:id="16" w:name="_Toc474164068"/>
      <w:bookmarkStart w:id="17" w:name="_Toc482359696"/>
      <w:r>
        <w:rPr>
          <w:noProof/>
        </w:rPr>
        <w:drawing>
          <wp:inline distT="0" distB="0" distL="0" distR="0" wp14:anchorId="44E3683B" wp14:editId="63227034">
            <wp:extent cx="5486400" cy="4950822"/>
            <wp:effectExtent l="0" t="0" r="0" b="2540"/>
            <wp:docPr id="15" name="Picture 15" descr="A triangle image with four levels that includes the elements of the NRAS risk management framework with a linkage to the overarching Department of Social Services risk management framework. All elements are underpinned by a legislative framework.&#10;&#10;Program Integrity &amp; Compliance, and Relationships &amp; Resources are the elements that comprise the base of the triangle. &#10;&#10;NRAS Risk Management, and Governance &amp; Reporting are the elements that comprise third layer of the triangle.&#10;&#10;National Rental Affordability Scheme (NRAS) Risk Management Framework is the element that comprises the second layer of the triangle.&#10;&#10;DSS Risk Management Framework is a the top of the triangle. &#10;&#10;" title="Risk Manageme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5494493" cy="4958125"/>
                    </a:xfrm>
                    <a:prstGeom prst="rect">
                      <a:avLst/>
                    </a:prstGeom>
                  </pic:spPr>
                </pic:pic>
              </a:graphicData>
            </a:graphic>
          </wp:inline>
        </w:drawing>
      </w:r>
    </w:p>
    <w:p w:rsidR="00092FC5" w:rsidRPr="00F05E66" w:rsidRDefault="00092FC5" w:rsidP="00B0206D">
      <w:pPr>
        <w:pStyle w:val="Heading1"/>
        <w:rPr>
          <w:rFonts w:eastAsia="Times New Roman" w:cs="Times New Roman"/>
          <w:bCs w:val="0"/>
          <w:noProof w:val="0"/>
          <w:color w:val="275D38"/>
          <w:spacing w:val="5"/>
          <w:szCs w:val="36"/>
        </w:rPr>
      </w:pPr>
      <w:bookmarkStart w:id="18" w:name="_Toc503519815"/>
      <w:r w:rsidRPr="00F05E66">
        <w:rPr>
          <w:rFonts w:eastAsia="Times New Roman" w:cs="Times New Roman"/>
          <w:bCs w:val="0"/>
          <w:noProof w:val="0"/>
          <w:color w:val="275D38"/>
          <w:spacing w:val="5"/>
          <w:szCs w:val="36"/>
        </w:rPr>
        <w:t>NRAS Risk Management</w:t>
      </w:r>
      <w:bookmarkEnd w:id="16"/>
      <w:bookmarkEnd w:id="17"/>
      <w:bookmarkEnd w:id="18"/>
    </w:p>
    <w:p w:rsidR="00092FC5" w:rsidRPr="00092FC5" w:rsidRDefault="00092FC5" w:rsidP="00BF5A88">
      <w:pPr>
        <w:pStyle w:val="Heading3"/>
      </w:pPr>
      <w:bookmarkStart w:id="19" w:name="_Toc474164069"/>
      <w:bookmarkStart w:id="20" w:name="_Toc482359697"/>
      <w:bookmarkStart w:id="21" w:name="_Toc503519816"/>
      <w:r w:rsidRPr="00092FC5">
        <w:t>Approach to Risk Management</w:t>
      </w:r>
      <w:bookmarkEnd w:id="19"/>
      <w:bookmarkEnd w:id="20"/>
      <w:bookmarkEnd w:id="21"/>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DSS Risk Management Framework (DSS RMF) is underpinned by a philosophy that risk management is a key business process and essential component of sound management and good corporate governance. The Department’s philosophy is that risk frameworks, plans and assessments are effective planning and decision-making tools, which assist in making informed choices for effective prioritisation of resources. The DSS RMF also notes the need to integrate risk management practices in all business activities and systems, and actively build an administrative culture where risk management is not an ‘afterthought’.</w:t>
      </w:r>
    </w:p>
    <w:p w:rsidR="00092FC5" w:rsidRPr="00092FC5" w:rsidRDefault="00092FC5" w:rsidP="00092FC5">
      <w:pPr>
        <w:pBdr>
          <w:top w:val="single" w:sz="4" w:space="1" w:color="auto"/>
          <w:left w:val="single" w:sz="4" w:space="4" w:color="auto"/>
          <w:bottom w:val="single" w:sz="4" w:space="1" w:color="auto"/>
          <w:right w:val="single" w:sz="4" w:space="4" w:color="auto"/>
        </w:pBdr>
        <w:shd w:val="clear" w:color="auto" w:fill="D9D9D9"/>
        <w:spacing w:after="120" w:line="240" w:lineRule="atLeast"/>
        <w:rPr>
          <w:rFonts w:ascii="Calibri" w:hAnsi="Calibri"/>
          <w:spacing w:val="0"/>
          <w:sz w:val="22"/>
          <w:szCs w:val="22"/>
        </w:rPr>
      </w:pPr>
      <w:r w:rsidRPr="00092FC5">
        <w:rPr>
          <w:rFonts w:ascii="Calibri" w:hAnsi="Calibri"/>
          <w:spacing w:val="0"/>
          <w:sz w:val="22"/>
          <w:szCs w:val="22"/>
        </w:rPr>
        <w:lastRenderedPageBreak/>
        <w:t>The Commonwealth Risk Management Policy defines risk as ‘the effect of uncertainty on objectives’ and risk management as the ‘coordinated activities to direct and control … risk’.</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DSS RMF sets the context for the Risk Management Framework for the NRAS program. The DSS RMF promotes a proportionate approach to risk management that balances performance commensurate with its risk appetite. DSS accepts low to medium risks but prefers not to accept high or extreme risk level.</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A key goal of the Framework as a whole is to promote the operating environment whereby NRAS is administered by the Department in a way that reflects the DSS policy on risk management and the Department’s approach to risk and its risk appetite. The 2017-18 NRAS RMF not only aims to step out the risk mitigation strategies for 2017-18, it also aims to actively promote a positive risk culture within the HPHB, where staff are appraised of administrative goals and reform objectives, are consulted on risks and risk strategies, and are trained and supported to effectively do their work. </w:t>
      </w:r>
    </w:p>
    <w:p w:rsidR="00092FC5" w:rsidRPr="00092FC5" w:rsidRDefault="00092FC5" w:rsidP="00092FC5">
      <w:pPr>
        <w:pBdr>
          <w:top w:val="single" w:sz="4" w:space="1" w:color="auto"/>
          <w:left w:val="single" w:sz="4" w:space="4" w:color="auto"/>
          <w:bottom w:val="single" w:sz="4" w:space="1" w:color="auto"/>
          <w:right w:val="single" w:sz="4" w:space="4" w:color="auto"/>
        </w:pBdr>
        <w:shd w:val="clear" w:color="auto" w:fill="D9D9D9"/>
        <w:spacing w:after="120" w:line="240" w:lineRule="atLeast"/>
        <w:rPr>
          <w:rFonts w:ascii="Calibri" w:hAnsi="Calibri"/>
          <w:spacing w:val="0"/>
          <w:sz w:val="22"/>
          <w:szCs w:val="22"/>
        </w:rPr>
      </w:pPr>
      <w:r w:rsidRPr="00092FC5">
        <w:rPr>
          <w:rFonts w:ascii="Calibri" w:hAnsi="Calibri"/>
          <w:spacing w:val="0"/>
          <w:sz w:val="22"/>
          <w:szCs w:val="22"/>
        </w:rPr>
        <w:t>Risk culture is defined in the Commonwealth Risk Policy as ‘the set of shared attitudes, values and behaviours that characterise how an entity considers risk in its day-to-day activities’ (p 15).</w:t>
      </w:r>
    </w:p>
    <w:p w:rsidR="00092FC5" w:rsidRPr="00092FC5" w:rsidRDefault="00092FC5" w:rsidP="00BF5A88">
      <w:pPr>
        <w:pStyle w:val="Heading3"/>
      </w:pPr>
      <w:bookmarkStart w:id="22" w:name="_Toc476142362"/>
      <w:bookmarkStart w:id="23" w:name="_Toc482359698"/>
      <w:bookmarkStart w:id="24" w:name="_Toc503519817"/>
      <w:r w:rsidRPr="00092FC5">
        <w:t>Roles &amp; Responsibilities</w:t>
      </w:r>
      <w:bookmarkEnd w:id="22"/>
      <w:bookmarkEnd w:id="23"/>
      <w:bookmarkEnd w:id="24"/>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It is the broad responsibility of all NRAS staff to understand, identify and help manage risks within the Scheme. </w:t>
      </w:r>
      <w:r w:rsidR="002B076A">
        <w:rPr>
          <w:rFonts w:ascii="Calibri" w:hAnsi="Calibri"/>
          <w:spacing w:val="0"/>
          <w:sz w:val="22"/>
          <w:szCs w:val="22"/>
        </w:rPr>
        <w:t>Listed below are t</w:t>
      </w:r>
      <w:r w:rsidRPr="00092FC5">
        <w:rPr>
          <w:rFonts w:ascii="Calibri" w:hAnsi="Calibri"/>
          <w:spacing w:val="0"/>
          <w:sz w:val="22"/>
          <w:szCs w:val="22"/>
        </w:rPr>
        <w:t>he positions with clearly defined responsibilities in relation to risk management within the NRAS program.</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b/>
          <w:spacing w:val="0"/>
          <w:sz w:val="22"/>
          <w:szCs w:val="22"/>
        </w:rPr>
        <w:t>Group Manager, with responsibility for NRAS</w:t>
      </w:r>
      <w:r w:rsidRPr="00092FC5">
        <w:rPr>
          <w:rFonts w:ascii="Calibri" w:hAnsi="Calibri"/>
          <w:b/>
          <w:i/>
          <w:spacing w:val="0"/>
          <w:sz w:val="22"/>
          <w:szCs w:val="22"/>
        </w:rPr>
        <w:t xml:space="preserve"> </w:t>
      </w:r>
      <w:r w:rsidRPr="00092FC5">
        <w:rPr>
          <w:rFonts w:ascii="Calibri" w:hAnsi="Calibri"/>
          <w:spacing w:val="0"/>
          <w:sz w:val="22"/>
          <w:szCs w:val="22"/>
        </w:rPr>
        <w:t xml:space="preserve">(Project Sponsor) - is responsible for endorsing the NRAS RMF, as well as monitoring any NRAS-risks that </w:t>
      </w:r>
      <w:r w:rsidR="008D0B97">
        <w:rPr>
          <w:rFonts w:ascii="Calibri" w:hAnsi="Calibri"/>
          <w:spacing w:val="0"/>
          <w:sz w:val="22"/>
          <w:szCs w:val="22"/>
        </w:rPr>
        <w:t>are</w:t>
      </w:r>
      <w:r w:rsidRPr="00092FC5">
        <w:rPr>
          <w:rFonts w:ascii="Calibri" w:hAnsi="Calibri"/>
          <w:spacing w:val="0"/>
          <w:sz w:val="22"/>
          <w:szCs w:val="22"/>
        </w:rPr>
        <w:t xml:space="preserve"> classified as ‘High’ and in some instances these may be escalated to the Deputy Secretary level. Any ‘Extreme’ risks must be escalated via the Group Manager and/or Chief Risk Officer, to the Executive Management Group for decisions on how to proceed.</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b/>
          <w:spacing w:val="0"/>
          <w:sz w:val="22"/>
          <w:szCs w:val="22"/>
        </w:rPr>
        <w:t>Branch Manager, with responsibility for NRAS</w:t>
      </w:r>
      <w:r w:rsidRPr="00092FC5">
        <w:rPr>
          <w:rFonts w:ascii="Calibri" w:hAnsi="Calibri"/>
          <w:b/>
          <w:i/>
          <w:spacing w:val="0"/>
          <w:sz w:val="22"/>
          <w:szCs w:val="22"/>
        </w:rPr>
        <w:t xml:space="preserve"> </w:t>
      </w:r>
      <w:r w:rsidRPr="00092FC5">
        <w:rPr>
          <w:rFonts w:ascii="Calibri" w:hAnsi="Calibri"/>
          <w:spacing w:val="0"/>
          <w:sz w:val="22"/>
          <w:szCs w:val="22"/>
        </w:rPr>
        <w:t>(Project Assurer and Delegate of the Secretary for NRAS decisions)</w:t>
      </w:r>
      <w:r w:rsidRPr="00092FC5">
        <w:rPr>
          <w:rFonts w:ascii="Calibri" w:hAnsi="Calibri"/>
          <w:b/>
          <w:i/>
          <w:spacing w:val="0"/>
          <w:sz w:val="22"/>
          <w:szCs w:val="22"/>
        </w:rPr>
        <w:t xml:space="preserve"> </w:t>
      </w:r>
      <w:r w:rsidRPr="00092FC5">
        <w:rPr>
          <w:rFonts w:ascii="Calibri" w:hAnsi="Calibri"/>
          <w:spacing w:val="0"/>
          <w:sz w:val="22"/>
          <w:szCs w:val="22"/>
        </w:rPr>
        <w:t xml:space="preserve">- is responsible for approving the RMF and evaluating the controls and treatments on any risks classified as Medium. This position also leads the NRAS sections/teams.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b/>
          <w:spacing w:val="0"/>
          <w:sz w:val="22"/>
          <w:szCs w:val="22"/>
        </w:rPr>
        <w:t xml:space="preserve">NRAS Directors </w:t>
      </w:r>
      <w:r w:rsidRPr="00092FC5">
        <w:rPr>
          <w:rFonts w:ascii="Calibri" w:hAnsi="Calibri"/>
          <w:spacing w:val="0"/>
          <w:sz w:val="22"/>
          <w:szCs w:val="22"/>
        </w:rPr>
        <w:t>(Project Managers)</w:t>
      </w:r>
      <w:r w:rsidRPr="00092FC5">
        <w:rPr>
          <w:rFonts w:ascii="Calibri" w:hAnsi="Calibri"/>
          <w:b/>
          <w:spacing w:val="0"/>
          <w:sz w:val="22"/>
          <w:szCs w:val="22"/>
        </w:rPr>
        <w:t xml:space="preserve"> </w:t>
      </w:r>
      <w:r w:rsidRPr="00092FC5">
        <w:rPr>
          <w:rFonts w:ascii="Calibri" w:hAnsi="Calibri"/>
          <w:spacing w:val="0"/>
          <w:sz w:val="22"/>
          <w:szCs w:val="22"/>
        </w:rPr>
        <w:t>- are responsible for managing any risks with a rating of Low that fall within their area of responsibility. They must also model best practice risk management, and ensure staff are aware of their risk management obligations. More specifically:</w:t>
      </w:r>
    </w:p>
    <w:p w:rsidR="007F4F18" w:rsidRDefault="007F4F18" w:rsidP="007F4F18">
      <w:pPr>
        <w:numPr>
          <w:ilvl w:val="0"/>
          <w:numId w:val="10"/>
        </w:numPr>
        <w:spacing w:after="120" w:line="240" w:lineRule="atLeast"/>
        <w:contextualSpacing/>
        <w:rPr>
          <w:rFonts w:ascii="Calibri" w:hAnsi="Calibri"/>
          <w:spacing w:val="0"/>
          <w:sz w:val="22"/>
          <w:szCs w:val="22"/>
        </w:rPr>
      </w:pPr>
      <w:bookmarkStart w:id="25" w:name="_Toc482359699"/>
      <w:r>
        <w:rPr>
          <w:rFonts w:ascii="Calibri" w:hAnsi="Calibri"/>
          <w:spacing w:val="0"/>
          <w:sz w:val="22"/>
          <w:szCs w:val="22"/>
        </w:rPr>
        <w:t xml:space="preserve">the Payments, Processing and Communications Director - ensures that compliance activities are aligned and supported by the Regulations, conducted in an effective and efficient manner, and aligned to the assessment of Scheme risks. The Director also oversees the Portal Enhancements Project and the NRAS </w:t>
      </w:r>
      <w:r w:rsidR="00220BD9">
        <w:rPr>
          <w:rFonts w:ascii="Calibri" w:hAnsi="Calibri"/>
          <w:spacing w:val="0"/>
          <w:sz w:val="22"/>
          <w:szCs w:val="22"/>
        </w:rPr>
        <w:t>mailbox</w:t>
      </w:r>
      <w:r>
        <w:rPr>
          <w:rFonts w:ascii="Calibri" w:hAnsi="Calibri"/>
          <w:spacing w:val="0"/>
          <w:sz w:val="22"/>
          <w:szCs w:val="22"/>
        </w:rPr>
        <w:t>.</w:t>
      </w:r>
    </w:p>
    <w:p w:rsidR="007F4F18" w:rsidRDefault="007F4F18" w:rsidP="007F4F18">
      <w:pPr>
        <w:spacing w:after="120" w:line="240" w:lineRule="atLeast"/>
        <w:ind w:left="760"/>
        <w:contextualSpacing/>
        <w:rPr>
          <w:rFonts w:ascii="Calibri" w:hAnsi="Calibri"/>
          <w:spacing w:val="0"/>
          <w:sz w:val="22"/>
          <w:szCs w:val="22"/>
        </w:rPr>
      </w:pPr>
    </w:p>
    <w:p w:rsidR="007F4F18" w:rsidRPr="00994053" w:rsidRDefault="007F4F18" w:rsidP="00DD056F">
      <w:pPr>
        <w:numPr>
          <w:ilvl w:val="0"/>
          <w:numId w:val="10"/>
        </w:numPr>
        <w:spacing w:after="120" w:line="240" w:lineRule="atLeast"/>
        <w:contextualSpacing/>
        <w:rPr>
          <w:rFonts w:ascii="Calibri" w:hAnsi="Calibri"/>
          <w:spacing w:val="0"/>
          <w:sz w:val="22"/>
          <w:szCs w:val="22"/>
        </w:rPr>
      </w:pPr>
      <w:r>
        <w:rPr>
          <w:rFonts w:ascii="Calibri" w:hAnsi="Calibri"/>
          <w:spacing w:val="0"/>
          <w:sz w:val="22"/>
          <w:szCs w:val="22"/>
        </w:rPr>
        <w:t xml:space="preserve">the Regulation and Accountability Director – </w:t>
      </w:r>
      <w:r w:rsidR="00F8613F" w:rsidRPr="00B857B0">
        <w:rPr>
          <w:rFonts w:ascii="Calibri" w:hAnsi="Calibri"/>
          <w:spacing w:val="0"/>
          <w:sz w:val="22"/>
          <w:szCs w:val="22"/>
        </w:rPr>
        <w:t>oversees the development, publication and ongoing revision of the RMF, monitors its implementation</w:t>
      </w:r>
      <w:r w:rsidR="00F8613F">
        <w:rPr>
          <w:rFonts w:ascii="Calibri" w:hAnsi="Calibri"/>
          <w:spacing w:val="0"/>
          <w:sz w:val="22"/>
          <w:szCs w:val="22"/>
        </w:rPr>
        <w:t>,</w:t>
      </w:r>
      <w:r w:rsidR="00F8613F">
        <w:rPr>
          <w:rFonts w:ascii="Calibri" w:hAnsi="Calibri"/>
          <w:color w:val="000000"/>
          <w:spacing w:val="0"/>
          <w:sz w:val="22"/>
          <w:szCs w:val="22"/>
        </w:rPr>
        <w:t xml:space="preserve"> </w:t>
      </w:r>
      <w:r>
        <w:rPr>
          <w:rFonts w:ascii="Calibri" w:hAnsi="Calibri"/>
          <w:color w:val="000000"/>
          <w:spacing w:val="0"/>
          <w:sz w:val="22"/>
          <w:szCs w:val="22"/>
        </w:rPr>
        <w:t xml:space="preserve">manages issues relating to the NRAS </w:t>
      </w:r>
      <w:r>
        <w:rPr>
          <w:rFonts w:ascii="Calibri" w:hAnsi="Calibri"/>
          <w:spacing w:val="0"/>
          <w:sz w:val="22"/>
          <w:szCs w:val="22"/>
        </w:rPr>
        <w:t xml:space="preserve">regulatory framework </w:t>
      </w:r>
      <w:r w:rsidR="00704DFD">
        <w:rPr>
          <w:rFonts w:ascii="Calibri" w:hAnsi="Calibri"/>
          <w:spacing w:val="0"/>
          <w:sz w:val="22"/>
          <w:szCs w:val="22"/>
        </w:rPr>
        <w:t xml:space="preserve">including liaison </w:t>
      </w:r>
      <w:r>
        <w:rPr>
          <w:rFonts w:ascii="Calibri" w:hAnsi="Calibri"/>
          <w:spacing w:val="0"/>
          <w:sz w:val="22"/>
          <w:szCs w:val="22"/>
        </w:rPr>
        <w:t>with external regulatory bodies, and oversees NRAS performance reporting.</w:t>
      </w:r>
    </w:p>
    <w:p w:rsidR="00092FC5" w:rsidRPr="00092FC5" w:rsidRDefault="00092FC5" w:rsidP="00BF5A88">
      <w:pPr>
        <w:pStyle w:val="Heading3"/>
      </w:pPr>
      <w:bookmarkStart w:id="26" w:name="_Toc503519818"/>
      <w:r w:rsidRPr="00092FC5">
        <w:t>NRAS Risk Assessments</w:t>
      </w:r>
      <w:bookmarkEnd w:id="25"/>
      <w:bookmarkEnd w:id="26"/>
      <w:r w:rsidRPr="00092FC5">
        <w:t xml:space="preserve"> </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 xml:space="preserve">Under DSS policy, program areas must assess risks and build risk planning into their business processes. Risk assessments are prepared following the six-step process presented in the graphic below, and using the departmental Risk E template. </w:t>
      </w:r>
    </w:p>
    <w:p w:rsidR="00092FC5" w:rsidRPr="00092FC5" w:rsidRDefault="00092FC5" w:rsidP="00092FC5">
      <w:pPr>
        <w:spacing w:before="0" w:after="160" w:line="259" w:lineRule="auto"/>
        <w:rPr>
          <w:rFonts w:ascii="Cambria" w:hAnsi="Cambria"/>
          <w:spacing w:val="0"/>
          <w:sz w:val="20"/>
          <w:szCs w:val="20"/>
        </w:rPr>
      </w:pPr>
      <w:r w:rsidRPr="00092FC5">
        <w:rPr>
          <w:rFonts w:ascii="Calibri" w:hAnsi="Calibri"/>
          <w:noProof/>
          <w:spacing w:val="0"/>
          <w:sz w:val="20"/>
        </w:rPr>
        <w:lastRenderedPageBreak/>
        <w:drawing>
          <wp:inline distT="0" distB="0" distL="0" distR="0" wp14:anchorId="3B3773C0" wp14:editId="59606610">
            <wp:extent cx="5831457" cy="3122761"/>
            <wp:effectExtent l="0" t="0" r="0" b="1905"/>
            <wp:docPr id="10" name="Picture 1" descr="This graphic represents the six-step process in the preparation of the Department's risk assessments.&#10;&#10;The six step process involves establishing the context, identifying risks, analysing risks, evaluating risks and treating risks.&#10;&#10;During the six stage process, risks are monitored and reviewed and communicated and consulted with others. " title="The DSS risk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826317" cy="3120009"/>
                    </a:xfrm>
                    <a:prstGeom prst="rect">
                      <a:avLst/>
                    </a:prstGeom>
                  </pic:spPr>
                </pic:pic>
              </a:graphicData>
            </a:graphic>
          </wp:inline>
        </w:drawing>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The current NRAS risk assessment was finalised in March 2017 after a development process which included the following:</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review of past NRAS risk assessments and project risk logs, and consideration of the current operating environment</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two workshops in late 2016 with NRAS staff and internal stakeholders on compliance risks</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early engagement with internal support areas including Enterprise Risk and Enterprise Compliance</w:t>
      </w:r>
    </w:p>
    <w:p w:rsidR="00092FC5" w:rsidRPr="00092FC5" w:rsidRDefault="00092FC5" w:rsidP="00092FC5">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engagement with program areas facing similar governance challenges (such as Disability Employment Services) and</w:t>
      </w:r>
    </w:p>
    <w:p w:rsidR="000E2B56" w:rsidRPr="000E2B56" w:rsidRDefault="00092FC5" w:rsidP="000E2B56">
      <w:pPr>
        <w:numPr>
          <w:ilvl w:val="0"/>
          <w:numId w:val="10"/>
        </w:numPr>
        <w:spacing w:after="120" w:line="240" w:lineRule="atLeast"/>
        <w:contextualSpacing/>
        <w:rPr>
          <w:rFonts w:ascii="Calibri" w:hAnsi="Calibri"/>
          <w:spacing w:val="0"/>
          <w:sz w:val="22"/>
          <w:szCs w:val="22"/>
        </w:rPr>
      </w:pPr>
      <w:r w:rsidRPr="00092FC5">
        <w:rPr>
          <w:rFonts w:ascii="Calibri" w:hAnsi="Calibri"/>
          <w:spacing w:val="0"/>
          <w:sz w:val="22"/>
          <w:szCs w:val="22"/>
        </w:rPr>
        <w:t>a workshop facilitated by Enterprise Planning and Risk Management with NRAS staff in February 2017.</w:t>
      </w:r>
    </w:p>
    <w:p w:rsidR="000E2B56" w:rsidRDefault="000E2B56" w:rsidP="00092FC5">
      <w:pPr>
        <w:spacing w:before="0" w:after="160" w:line="259" w:lineRule="auto"/>
        <w:rPr>
          <w:rFonts w:ascii="Calibri" w:hAnsi="Calibri"/>
          <w:spacing w:val="0"/>
          <w:sz w:val="22"/>
          <w:szCs w:val="22"/>
        </w:rPr>
      </w:pPr>
      <w:r>
        <w:rPr>
          <w:rFonts w:ascii="Calibri" w:hAnsi="Calibri"/>
          <w:spacing w:val="0"/>
          <w:sz w:val="22"/>
          <w:szCs w:val="22"/>
        </w:rPr>
        <w:t>As part of the review in December 2017, Enterprise Planning and Risk Management facilitated a workshop for NRAS staff to evaluate the effectiveness of current controls and treatments for the NRAS risks.</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While the risk assessment is subject to a regular review cycle, it may be reviewed more frequently when a need is determined. Triggers for out-of-cycle reviews of the assessment include:</w:t>
      </w:r>
    </w:p>
    <w:p w:rsidR="00092FC5" w:rsidRPr="00092FC5" w:rsidRDefault="00092FC5" w:rsidP="00092FC5">
      <w:pPr>
        <w:numPr>
          <w:ilvl w:val="0"/>
          <w:numId w:val="18"/>
        </w:numPr>
        <w:spacing w:before="0" w:after="160" w:line="259" w:lineRule="auto"/>
        <w:contextualSpacing/>
        <w:rPr>
          <w:rFonts w:ascii="Calibri" w:hAnsi="Calibri"/>
          <w:color w:val="000000"/>
          <w:spacing w:val="0"/>
          <w:sz w:val="22"/>
          <w:szCs w:val="22"/>
        </w:rPr>
      </w:pPr>
      <w:r w:rsidRPr="00092FC5">
        <w:rPr>
          <w:rFonts w:ascii="Calibri" w:hAnsi="Calibri"/>
          <w:color w:val="000000"/>
          <w:spacing w:val="0"/>
          <w:sz w:val="22"/>
          <w:szCs w:val="22"/>
        </w:rPr>
        <w:t>when changes are made to the</w:t>
      </w:r>
      <w:r w:rsidR="00D21923">
        <w:rPr>
          <w:rFonts w:ascii="Calibri" w:hAnsi="Calibri"/>
          <w:color w:val="000000"/>
          <w:spacing w:val="0"/>
          <w:sz w:val="22"/>
          <w:szCs w:val="22"/>
        </w:rPr>
        <w:t xml:space="preserve"> Act or the</w:t>
      </w:r>
      <w:r w:rsidRPr="00092FC5">
        <w:rPr>
          <w:rFonts w:ascii="Calibri" w:hAnsi="Calibri"/>
          <w:color w:val="000000"/>
          <w:spacing w:val="0"/>
          <w:sz w:val="22"/>
          <w:szCs w:val="22"/>
        </w:rPr>
        <w:t xml:space="preserve"> Regulations, and</w:t>
      </w:r>
    </w:p>
    <w:p w:rsidR="00092FC5" w:rsidRDefault="00092FC5" w:rsidP="00092FC5">
      <w:pPr>
        <w:numPr>
          <w:ilvl w:val="0"/>
          <w:numId w:val="18"/>
        </w:numPr>
        <w:spacing w:before="0" w:after="160" w:line="259" w:lineRule="auto"/>
        <w:contextualSpacing/>
        <w:rPr>
          <w:rFonts w:ascii="Calibri" w:hAnsi="Calibri"/>
          <w:color w:val="000000"/>
          <w:spacing w:val="0"/>
          <w:sz w:val="22"/>
          <w:szCs w:val="22"/>
        </w:rPr>
      </w:pPr>
      <w:r w:rsidRPr="00092FC5">
        <w:rPr>
          <w:rFonts w:ascii="Calibri" w:hAnsi="Calibri"/>
          <w:color w:val="000000"/>
          <w:spacing w:val="0"/>
          <w:sz w:val="22"/>
          <w:szCs w:val="22"/>
        </w:rPr>
        <w:t>when emerging risks are identified.</w:t>
      </w:r>
    </w:p>
    <w:p w:rsidR="007F4F18" w:rsidRPr="00092FC5" w:rsidRDefault="007F4F18" w:rsidP="007F4F18">
      <w:pPr>
        <w:spacing w:before="0" w:after="160" w:line="259" w:lineRule="auto"/>
        <w:ind w:left="720"/>
        <w:contextualSpacing/>
        <w:rPr>
          <w:rFonts w:ascii="Calibri" w:hAnsi="Calibri"/>
          <w:color w:val="000000"/>
          <w:spacing w:val="0"/>
          <w:sz w:val="22"/>
          <w:szCs w:val="22"/>
        </w:rPr>
      </w:pP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Major project-type work undertaken within NRAS typically has a project plan to guide the work, with an associated risk log that considers the factors that could impede the successful delivery of the project.</w:t>
      </w:r>
      <w:r w:rsidRPr="00092FC5">
        <w:rPr>
          <w:rFonts w:ascii="Calibri" w:hAnsi="Calibri"/>
          <w:b/>
          <w:spacing w:val="0"/>
          <w:sz w:val="22"/>
          <w:szCs w:val="22"/>
        </w:rPr>
        <w:t xml:space="preserve"> </w:t>
      </w:r>
      <w:r w:rsidRPr="00092FC5">
        <w:rPr>
          <w:rFonts w:ascii="Calibri" w:hAnsi="Calibri"/>
          <w:spacing w:val="0"/>
          <w:sz w:val="22"/>
          <w:szCs w:val="22"/>
        </w:rPr>
        <w:t xml:space="preserve">For example, the NRAS Compliance Strategy (discussed further in Section 3) has a specific risk assessment attached to it, and each specific compliance activity will have its own consideration of risks, captured in a risk log. </w:t>
      </w:r>
    </w:p>
    <w:p w:rsidR="00092FC5" w:rsidRPr="00092FC5" w:rsidRDefault="00092FC5" w:rsidP="00BF5A88">
      <w:pPr>
        <w:pStyle w:val="Heading3"/>
      </w:pPr>
      <w:bookmarkStart w:id="27" w:name="_Toc482359700"/>
      <w:bookmarkStart w:id="28" w:name="_Toc503519819"/>
      <w:r w:rsidRPr="00092FC5">
        <w:t>NRAS Risk Escalation</w:t>
      </w:r>
      <w:bookmarkEnd w:id="27"/>
      <w:bookmarkEnd w:id="28"/>
      <w:r w:rsidRPr="00092FC5">
        <w:t xml:space="preserve"> </w:t>
      </w:r>
    </w:p>
    <w:p w:rsidR="00092FC5" w:rsidRPr="00092FC5" w:rsidRDefault="00092FC5" w:rsidP="00092FC5">
      <w:pPr>
        <w:spacing w:after="120" w:line="259" w:lineRule="auto"/>
        <w:rPr>
          <w:rFonts w:ascii="Calibri" w:hAnsi="Calibri"/>
          <w:spacing w:val="0"/>
          <w:sz w:val="22"/>
          <w:szCs w:val="22"/>
        </w:rPr>
      </w:pPr>
      <w:r w:rsidRPr="00092FC5">
        <w:rPr>
          <w:rFonts w:ascii="Calibri" w:hAnsi="Calibri"/>
          <w:spacing w:val="0"/>
          <w:sz w:val="22"/>
          <w:szCs w:val="22"/>
        </w:rPr>
        <w:t xml:space="preserve">NRAS risk escalation processes are consistent with DSS risk management requirements. </w:t>
      </w:r>
      <w:r w:rsidR="00A53EE5">
        <w:rPr>
          <w:rFonts w:ascii="Calibri" w:hAnsi="Calibri"/>
          <w:spacing w:val="0"/>
          <w:sz w:val="22"/>
          <w:szCs w:val="22"/>
        </w:rPr>
        <w:t>O</w:t>
      </w:r>
      <w:r w:rsidRPr="00092FC5">
        <w:rPr>
          <w:rFonts w:ascii="Calibri" w:hAnsi="Calibri"/>
          <w:spacing w:val="0"/>
          <w:sz w:val="22"/>
          <w:szCs w:val="22"/>
        </w:rPr>
        <w:t xml:space="preserve">perational risks </w:t>
      </w:r>
      <w:r w:rsidR="00A53EE5">
        <w:rPr>
          <w:rFonts w:ascii="Calibri" w:hAnsi="Calibri"/>
          <w:spacing w:val="0"/>
          <w:sz w:val="22"/>
          <w:szCs w:val="22"/>
        </w:rPr>
        <w:t>rated</w:t>
      </w:r>
      <w:r w:rsidR="00A53EE5" w:rsidRPr="00092FC5">
        <w:rPr>
          <w:rFonts w:ascii="Calibri" w:hAnsi="Calibri"/>
          <w:spacing w:val="0"/>
          <w:sz w:val="22"/>
          <w:szCs w:val="22"/>
        </w:rPr>
        <w:t xml:space="preserve"> </w:t>
      </w:r>
      <w:r w:rsidRPr="00092FC5">
        <w:rPr>
          <w:rFonts w:ascii="Calibri" w:hAnsi="Calibri"/>
          <w:spacing w:val="0"/>
          <w:sz w:val="22"/>
          <w:szCs w:val="22"/>
        </w:rPr>
        <w:t xml:space="preserve">Low and </w:t>
      </w:r>
      <w:r w:rsidR="00A53EE5">
        <w:rPr>
          <w:rFonts w:ascii="Calibri" w:hAnsi="Calibri"/>
          <w:spacing w:val="0"/>
          <w:sz w:val="22"/>
          <w:szCs w:val="22"/>
        </w:rPr>
        <w:t>are</w:t>
      </w:r>
      <w:r w:rsidRPr="00092FC5">
        <w:rPr>
          <w:rFonts w:ascii="Calibri" w:hAnsi="Calibri"/>
          <w:spacing w:val="0"/>
          <w:sz w:val="22"/>
          <w:szCs w:val="22"/>
        </w:rPr>
        <w:t xml:space="preserve"> managed by relevant Directors, while risks of Medium rating require escalation to the Branch Manager level. Both Low and Medium risks may remain unreported (or un-</w:t>
      </w:r>
      <w:r w:rsidRPr="00092FC5">
        <w:rPr>
          <w:rFonts w:ascii="Calibri" w:hAnsi="Calibri"/>
          <w:spacing w:val="0"/>
          <w:sz w:val="22"/>
          <w:szCs w:val="22"/>
        </w:rPr>
        <w:lastRenderedPageBreak/>
        <w:t xml:space="preserve">escalated), whereas risks classed at High or Extreme, or that cannot be appropriately treated at the operational level, are required to receive direct attention from the Group Manager, with Extreme risks requiring Executive planning and management. </w:t>
      </w:r>
    </w:p>
    <w:p w:rsidR="00092FC5" w:rsidRPr="00092FC5" w:rsidRDefault="00092FC5" w:rsidP="00092FC5">
      <w:pPr>
        <w:spacing w:after="120" w:line="259" w:lineRule="auto"/>
        <w:rPr>
          <w:rFonts w:ascii="Calibri" w:hAnsi="Calibri"/>
          <w:color w:val="000000"/>
          <w:spacing w:val="0"/>
          <w:sz w:val="22"/>
          <w:szCs w:val="22"/>
        </w:rPr>
      </w:pPr>
      <w:r w:rsidRPr="00092FC5">
        <w:rPr>
          <w:rFonts w:ascii="Calibri" w:hAnsi="Calibri"/>
          <w:color w:val="000000"/>
          <w:spacing w:val="0"/>
          <w:sz w:val="22"/>
          <w:szCs w:val="22"/>
        </w:rPr>
        <w:t>All NRAS risk decisions</w:t>
      </w:r>
      <w:r w:rsidR="00B41602">
        <w:rPr>
          <w:rFonts w:ascii="Calibri" w:hAnsi="Calibri"/>
          <w:color w:val="000000"/>
          <w:spacing w:val="0"/>
          <w:sz w:val="22"/>
          <w:szCs w:val="22"/>
        </w:rPr>
        <w:t>,</w:t>
      </w:r>
      <w:r w:rsidRPr="00092FC5">
        <w:rPr>
          <w:rFonts w:ascii="Calibri" w:hAnsi="Calibri"/>
          <w:color w:val="000000"/>
          <w:spacing w:val="0"/>
          <w:sz w:val="22"/>
          <w:szCs w:val="22"/>
        </w:rPr>
        <w:t xml:space="preserve"> supported by appropriate evidence and an audit trail</w:t>
      </w:r>
      <w:r w:rsidR="00B41602">
        <w:rPr>
          <w:rFonts w:ascii="Calibri" w:hAnsi="Calibri"/>
          <w:color w:val="000000"/>
          <w:spacing w:val="0"/>
          <w:sz w:val="22"/>
          <w:szCs w:val="22"/>
        </w:rPr>
        <w:t>,</w:t>
      </w:r>
      <w:r w:rsidRPr="00092FC5">
        <w:rPr>
          <w:rFonts w:ascii="Calibri" w:hAnsi="Calibri"/>
          <w:color w:val="000000"/>
          <w:spacing w:val="0"/>
          <w:sz w:val="22"/>
          <w:szCs w:val="22"/>
        </w:rPr>
        <w:t xml:space="preserve"> will be maintained.  </w:t>
      </w:r>
      <w:r w:rsidRPr="00092FC5">
        <w:rPr>
          <w:rFonts w:ascii="Calibri" w:hAnsi="Calibri"/>
          <w:spacing w:val="0"/>
          <w:sz w:val="22"/>
          <w:szCs w:val="22"/>
        </w:rPr>
        <w:t>T</w:t>
      </w:r>
      <w:r w:rsidRPr="00092FC5">
        <w:rPr>
          <w:rFonts w:ascii="Calibri" w:hAnsi="Calibri"/>
          <w:color w:val="000000"/>
          <w:spacing w:val="0"/>
          <w:sz w:val="22"/>
          <w:szCs w:val="22"/>
        </w:rPr>
        <w:t xml:space="preserve">he table below provides a summary of escalation requirements.  </w:t>
      </w:r>
    </w:p>
    <w:p w:rsidR="00092FC5" w:rsidRPr="00092FC5" w:rsidRDefault="00092FC5" w:rsidP="00092FC5">
      <w:pPr>
        <w:spacing w:after="0" w:line="360" w:lineRule="auto"/>
        <w:rPr>
          <w:rFonts w:ascii="Calibri" w:eastAsia="Calibri" w:hAnsi="Calibri"/>
          <w:b/>
          <w:color w:val="000000"/>
          <w:spacing w:val="0"/>
          <w:sz w:val="22"/>
          <w:szCs w:val="22"/>
        </w:rPr>
      </w:pPr>
      <w:r w:rsidRPr="00092FC5">
        <w:rPr>
          <w:rFonts w:ascii="Calibri" w:eastAsia="Calibri" w:hAnsi="Calibri"/>
          <w:b/>
          <w:color w:val="000000"/>
          <w:spacing w:val="0"/>
          <w:sz w:val="22"/>
          <w:szCs w:val="22"/>
        </w:rPr>
        <w:t>Table 1: Escalation process for NRAS risks</w:t>
      </w:r>
    </w:p>
    <w:tbl>
      <w:tblPr>
        <w:tblStyle w:val="TableGrid2"/>
        <w:tblW w:w="9606" w:type="dxa"/>
        <w:tblLook w:val="04A0" w:firstRow="1" w:lastRow="0" w:firstColumn="1" w:lastColumn="0" w:noHBand="0" w:noVBand="1"/>
        <w:tblCaption w:val="Escalation process for NRAS risks"/>
        <w:tblDescription w:val="The table provides a summary of risk escalation requirements."/>
      </w:tblPr>
      <w:tblGrid>
        <w:gridCol w:w="1384"/>
        <w:gridCol w:w="1985"/>
        <w:gridCol w:w="6237"/>
      </w:tblGrid>
      <w:tr w:rsidR="00092FC5" w:rsidRPr="00092FC5" w:rsidTr="006F358E">
        <w:trPr>
          <w:cantSplit/>
          <w:tblHeader/>
        </w:trPr>
        <w:tc>
          <w:tcPr>
            <w:tcW w:w="1384" w:type="dxa"/>
            <w:shd w:val="clear" w:color="auto" w:fill="262626" w:themeFill="text1" w:themeFillTint="D9"/>
          </w:tcPr>
          <w:p w:rsidR="00092FC5" w:rsidRPr="00092FC5" w:rsidRDefault="00092FC5" w:rsidP="00092FC5">
            <w:pPr>
              <w:spacing w:after="120" w:line="240" w:lineRule="atLeast"/>
              <w:rPr>
                <w:rFonts w:ascii="Calibri" w:hAnsi="Calibri"/>
                <w:b/>
                <w:spacing w:val="0"/>
                <w:sz w:val="20"/>
                <w:szCs w:val="20"/>
              </w:rPr>
            </w:pPr>
            <w:r w:rsidRPr="00092FC5">
              <w:rPr>
                <w:rFonts w:ascii="Calibri" w:hAnsi="Calibri"/>
                <w:b/>
                <w:spacing w:val="0"/>
                <w:sz w:val="20"/>
                <w:szCs w:val="20"/>
              </w:rPr>
              <w:t>Risk Level</w:t>
            </w:r>
          </w:p>
        </w:tc>
        <w:tc>
          <w:tcPr>
            <w:tcW w:w="1985" w:type="dxa"/>
            <w:shd w:val="clear" w:color="auto" w:fill="262626" w:themeFill="text1" w:themeFillTint="D9"/>
          </w:tcPr>
          <w:p w:rsidR="00092FC5" w:rsidRPr="00092FC5" w:rsidRDefault="00092FC5" w:rsidP="00092FC5">
            <w:pPr>
              <w:spacing w:after="120" w:line="240" w:lineRule="atLeast"/>
              <w:rPr>
                <w:rFonts w:ascii="Calibri" w:hAnsi="Calibri"/>
                <w:b/>
                <w:spacing w:val="0"/>
                <w:sz w:val="20"/>
                <w:szCs w:val="20"/>
              </w:rPr>
            </w:pPr>
            <w:r w:rsidRPr="00092FC5">
              <w:rPr>
                <w:rFonts w:ascii="Calibri" w:hAnsi="Calibri"/>
                <w:b/>
                <w:spacing w:val="0"/>
                <w:sz w:val="20"/>
                <w:szCs w:val="20"/>
              </w:rPr>
              <w:t xml:space="preserve">Delegate </w:t>
            </w:r>
          </w:p>
        </w:tc>
        <w:tc>
          <w:tcPr>
            <w:tcW w:w="6237" w:type="dxa"/>
            <w:shd w:val="clear" w:color="auto" w:fill="262626" w:themeFill="text1" w:themeFillTint="D9"/>
          </w:tcPr>
          <w:p w:rsidR="00092FC5" w:rsidRPr="00092FC5" w:rsidRDefault="00092FC5" w:rsidP="00092FC5">
            <w:pPr>
              <w:spacing w:after="120" w:line="240" w:lineRule="atLeast"/>
              <w:rPr>
                <w:rFonts w:ascii="Calibri" w:hAnsi="Calibri"/>
                <w:b/>
                <w:spacing w:val="0"/>
                <w:sz w:val="20"/>
                <w:szCs w:val="20"/>
              </w:rPr>
            </w:pPr>
            <w:r w:rsidRPr="00092FC5">
              <w:rPr>
                <w:rFonts w:ascii="Calibri" w:hAnsi="Calibri"/>
                <w:b/>
                <w:spacing w:val="0"/>
                <w:sz w:val="20"/>
                <w:szCs w:val="20"/>
              </w:rPr>
              <w:t>For</w:t>
            </w:r>
          </w:p>
        </w:tc>
      </w:tr>
      <w:tr w:rsidR="00092FC5" w:rsidRPr="00092FC5" w:rsidTr="0085067F">
        <w:trPr>
          <w:cantSplit/>
        </w:trPr>
        <w:tc>
          <w:tcPr>
            <w:tcW w:w="1384" w:type="dxa"/>
            <w:shd w:val="clear" w:color="auto" w:fill="FF0000"/>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spacing w:val="0"/>
                <w:sz w:val="20"/>
                <w:szCs w:val="20"/>
              </w:rPr>
              <w:t>Extreme Risks</w:t>
            </w:r>
          </w:p>
        </w:tc>
        <w:tc>
          <w:tcPr>
            <w:tcW w:w="1985" w:type="dxa"/>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spacing w:val="0"/>
                <w:sz w:val="20"/>
                <w:szCs w:val="20"/>
              </w:rPr>
              <w:t>Group Manager/</w:t>
            </w:r>
          </w:p>
          <w:p w:rsidR="00092FC5" w:rsidRPr="00092FC5" w:rsidRDefault="00092FC5" w:rsidP="00092FC5">
            <w:pPr>
              <w:spacing w:after="120" w:line="360" w:lineRule="auto"/>
              <w:rPr>
                <w:rFonts w:ascii="Calibri" w:hAnsi="Calibri"/>
                <w:b/>
                <w:spacing w:val="0"/>
                <w:sz w:val="20"/>
                <w:szCs w:val="20"/>
              </w:rPr>
            </w:pPr>
            <w:r w:rsidRPr="00092FC5">
              <w:rPr>
                <w:rFonts w:ascii="Calibri" w:hAnsi="Calibri"/>
                <w:b/>
                <w:spacing w:val="0"/>
                <w:sz w:val="20"/>
                <w:szCs w:val="20"/>
              </w:rPr>
              <w:t>Executive Management Group</w:t>
            </w:r>
          </w:p>
        </w:tc>
        <w:tc>
          <w:tcPr>
            <w:tcW w:w="6237" w:type="dxa"/>
            <w:vAlign w:val="center"/>
          </w:tcPr>
          <w:p w:rsidR="00092FC5" w:rsidRPr="00092FC5" w:rsidRDefault="00092FC5" w:rsidP="00092FC5">
            <w:pPr>
              <w:spacing w:after="120" w:line="360" w:lineRule="auto"/>
              <w:rPr>
                <w:rFonts w:ascii="Calibri" w:eastAsia="Calibri" w:hAnsi="Calibri"/>
                <w:color w:val="000000"/>
                <w:spacing w:val="0"/>
                <w:sz w:val="20"/>
                <w:szCs w:val="20"/>
              </w:rPr>
            </w:pPr>
            <w:r w:rsidRPr="00092FC5">
              <w:rPr>
                <w:rFonts w:ascii="Calibri" w:eastAsia="Calibri" w:hAnsi="Calibri"/>
                <w:color w:val="000000"/>
                <w:spacing w:val="0"/>
                <w:sz w:val="20"/>
                <w:szCs w:val="20"/>
              </w:rPr>
              <w:t>Decisions on the acceptance / non-acceptance of the risk</w:t>
            </w:r>
          </w:p>
          <w:p w:rsidR="00092FC5" w:rsidRPr="00092FC5" w:rsidRDefault="00092FC5" w:rsidP="00092FC5">
            <w:pPr>
              <w:spacing w:after="120" w:line="360" w:lineRule="auto"/>
              <w:rPr>
                <w:rFonts w:ascii="Calibri" w:eastAsia="Calibri" w:hAnsi="Calibri"/>
                <w:color w:val="000000"/>
                <w:spacing w:val="0"/>
                <w:sz w:val="20"/>
                <w:szCs w:val="20"/>
              </w:rPr>
            </w:pPr>
            <w:r w:rsidRPr="00092FC5">
              <w:rPr>
                <w:rFonts w:ascii="Calibri" w:eastAsia="Calibri" w:hAnsi="Calibri"/>
                <w:color w:val="000000"/>
                <w:spacing w:val="0"/>
                <w:sz w:val="20"/>
                <w:szCs w:val="20"/>
              </w:rPr>
              <w:t>Approval and oversight of treatment plans</w:t>
            </w:r>
            <w:r w:rsidRPr="00092FC5">
              <w:rPr>
                <w:rFonts w:ascii="Calibri" w:eastAsia="Calibri" w:hAnsi="Calibri"/>
                <w:spacing w:val="0"/>
                <w:sz w:val="20"/>
                <w:szCs w:val="20"/>
              </w:rPr>
              <w:t xml:space="preserve"> </w:t>
            </w:r>
          </w:p>
        </w:tc>
      </w:tr>
      <w:tr w:rsidR="00092FC5" w:rsidRPr="00092FC5" w:rsidTr="0085067F">
        <w:trPr>
          <w:cantSplit/>
        </w:trPr>
        <w:tc>
          <w:tcPr>
            <w:tcW w:w="1384" w:type="dxa"/>
            <w:shd w:val="clear" w:color="auto" w:fill="FFC000"/>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bCs/>
                <w:spacing w:val="0"/>
                <w:sz w:val="20"/>
                <w:szCs w:val="20"/>
              </w:rPr>
              <w:t>High Risks</w:t>
            </w:r>
          </w:p>
        </w:tc>
        <w:tc>
          <w:tcPr>
            <w:tcW w:w="1985" w:type="dxa"/>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spacing w:val="0"/>
                <w:sz w:val="20"/>
                <w:szCs w:val="20"/>
              </w:rPr>
              <w:t xml:space="preserve">Group Manager </w:t>
            </w:r>
          </w:p>
        </w:tc>
        <w:tc>
          <w:tcPr>
            <w:tcW w:w="6237" w:type="dxa"/>
            <w:vAlign w:val="center"/>
          </w:tcPr>
          <w:p w:rsidR="00092FC5" w:rsidRPr="00092FC5" w:rsidRDefault="00092FC5" w:rsidP="00092FC5">
            <w:pPr>
              <w:spacing w:after="120" w:line="360" w:lineRule="auto"/>
              <w:rPr>
                <w:rFonts w:ascii="Calibri" w:eastAsia="Calibri" w:hAnsi="Calibri"/>
                <w:color w:val="000000"/>
                <w:spacing w:val="0"/>
                <w:sz w:val="20"/>
                <w:szCs w:val="20"/>
              </w:rPr>
            </w:pPr>
            <w:r w:rsidRPr="00092FC5">
              <w:rPr>
                <w:rFonts w:ascii="Calibri" w:eastAsia="Calibri" w:hAnsi="Calibri"/>
                <w:color w:val="000000"/>
                <w:spacing w:val="0"/>
                <w:sz w:val="20"/>
                <w:szCs w:val="20"/>
              </w:rPr>
              <w:t>Decisions on the acceptance / non-acceptance of the risk</w:t>
            </w:r>
          </w:p>
          <w:p w:rsidR="00092FC5" w:rsidRPr="00092FC5" w:rsidRDefault="00092FC5" w:rsidP="00092FC5">
            <w:pPr>
              <w:spacing w:after="120" w:line="360" w:lineRule="auto"/>
              <w:rPr>
                <w:rFonts w:ascii="Calibri" w:hAnsi="Calibri"/>
                <w:color w:val="000000"/>
                <w:spacing w:val="0"/>
                <w:sz w:val="20"/>
                <w:szCs w:val="20"/>
              </w:rPr>
            </w:pPr>
            <w:r w:rsidRPr="00092FC5">
              <w:rPr>
                <w:rFonts w:ascii="Calibri" w:eastAsia="Calibri" w:hAnsi="Calibri"/>
                <w:color w:val="000000"/>
                <w:spacing w:val="0"/>
                <w:sz w:val="20"/>
                <w:szCs w:val="20"/>
              </w:rPr>
              <w:t>Approval and oversight of treatment plans</w:t>
            </w:r>
          </w:p>
        </w:tc>
      </w:tr>
      <w:tr w:rsidR="00092FC5" w:rsidRPr="00092FC5" w:rsidTr="0085067F">
        <w:trPr>
          <w:cantSplit/>
        </w:trPr>
        <w:tc>
          <w:tcPr>
            <w:tcW w:w="1384" w:type="dxa"/>
            <w:shd w:val="clear" w:color="auto" w:fill="FFFF00"/>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bCs/>
                <w:spacing w:val="0"/>
                <w:sz w:val="20"/>
                <w:szCs w:val="20"/>
              </w:rPr>
              <w:t>Medium Risks</w:t>
            </w:r>
          </w:p>
        </w:tc>
        <w:tc>
          <w:tcPr>
            <w:tcW w:w="1985" w:type="dxa"/>
            <w:vAlign w:val="center"/>
          </w:tcPr>
          <w:p w:rsidR="00092FC5" w:rsidRPr="00092FC5" w:rsidRDefault="00092FC5" w:rsidP="00092FC5">
            <w:pPr>
              <w:spacing w:after="120" w:line="360" w:lineRule="auto"/>
              <w:rPr>
                <w:rFonts w:ascii="Calibri" w:hAnsi="Calibri"/>
                <w:b/>
                <w:spacing w:val="0"/>
                <w:sz w:val="20"/>
                <w:szCs w:val="20"/>
              </w:rPr>
            </w:pPr>
            <w:r w:rsidRPr="00092FC5">
              <w:rPr>
                <w:rFonts w:ascii="Calibri" w:hAnsi="Calibri"/>
                <w:b/>
                <w:spacing w:val="0"/>
                <w:sz w:val="20"/>
                <w:szCs w:val="20"/>
              </w:rPr>
              <w:t>Branch Manager or nominated staff (e.g. NRAS Directors)</w:t>
            </w:r>
          </w:p>
        </w:tc>
        <w:tc>
          <w:tcPr>
            <w:tcW w:w="6237" w:type="dxa"/>
            <w:vAlign w:val="center"/>
          </w:tcPr>
          <w:p w:rsidR="00092FC5" w:rsidRPr="00092FC5" w:rsidRDefault="00092FC5" w:rsidP="00092FC5">
            <w:pPr>
              <w:spacing w:after="120" w:line="360" w:lineRule="auto"/>
              <w:rPr>
                <w:rFonts w:ascii="Calibri" w:eastAsia="Calibri" w:hAnsi="Calibri"/>
                <w:color w:val="000000"/>
                <w:spacing w:val="0"/>
                <w:sz w:val="20"/>
                <w:szCs w:val="20"/>
              </w:rPr>
            </w:pPr>
            <w:r w:rsidRPr="00092FC5">
              <w:rPr>
                <w:rFonts w:ascii="Calibri" w:eastAsia="Calibri" w:hAnsi="Calibri"/>
                <w:color w:val="000000"/>
                <w:spacing w:val="0"/>
                <w:sz w:val="20"/>
                <w:szCs w:val="20"/>
              </w:rPr>
              <w:t>Decisions on the acceptance / non-acceptance of the risk</w:t>
            </w:r>
          </w:p>
          <w:p w:rsidR="00092FC5" w:rsidRPr="00092FC5" w:rsidRDefault="00092FC5" w:rsidP="00092FC5">
            <w:pPr>
              <w:spacing w:after="120" w:line="360" w:lineRule="auto"/>
              <w:rPr>
                <w:rFonts w:ascii="Calibri" w:hAnsi="Calibri"/>
                <w:color w:val="000000"/>
                <w:spacing w:val="0"/>
                <w:sz w:val="20"/>
                <w:szCs w:val="20"/>
              </w:rPr>
            </w:pPr>
            <w:r w:rsidRPr="00092FC5">
              <w:rPr>
                <w:rFonts w:ascii="Calibri" w:eastAsia="Calibri" w:hAnsi="Calibri"/>
                <w:color w:val="000000"/>
                <w:spacing w:val="0"/>
                <w:sz w:val="20"/>
                <w:szCs w:val="20"/>
              </w:rPr>
              <w:t>Approval and oversight of treatment plans</w:t>
            </w:r>
          </w:p>
        </w:tc>
      </w:tr>
      <w:tr w:rsidR="00092FC5" w:rsidRPr="00092FC5" w:rsidTr="0085067F">
        <w:trPr>
          <w:cantSplit/>
          <w:trHeight w:val="777"/>
        </w:trPr>
        <w:tc>
          <w:tcPr>
            <w:tcW w:w="1384" w:type="dxa"/>
            <w:shd w:val="clear" w:color="auto" w:fill="92D050"/>
            <w:vAlign w:val="center"/>
          </w:tcPr>
          <w:p w:rsidR="00092FC5" w:rsidRPr="00092FC5" w:rsidRDefault="00092FC5" w:rsidP="00092FC5">
            <w:pPr>
              <w:spacing w:after="120" w:line="360" w:lineRule="auto"/>
              <w:rPr>
                <w:rFonts w:ascii="Calibri" w:hAnsi="Calibri"/>
                <w:b/>
                <w:bCs/>
                <w:spacing w:val="0"/>
                <w:sz w:val="20"/>
                <w:szCs w:val="20"/>
              </w:rPr>
            </w:pPr>
            <w:r w:rsidRPr="00092FC5">
              <w:rPr>
                <w:rFonts w:ascii="Calibri" w:hAnsi="Calibri"/>
                <w:b/>
                <w:bCs/>
                <w:spacing w:val="0"/>
                <w:sz w:val="20"/>
                <w:szCs w:val="20"/>
              </w:rPr>
              <w:t>Low Risks</w:t>
            </w:r>
          </w:p>
        </w:tc>
        <w:tc>
          <w:tcPr>
            <w:tcW w:w="1985" w:type="dxa"/>
            <w:vAlign w:val="center"/>
          </w:tcPr>
          <w:p w:rsidR="00092FC5" w:rsidRPr="00092FC5" w:rsidRDefault="00092FC5" w:rsidP="00092FC5">
            <w:pPr>
              <w:spacing w:after="0" w:line="240" w:lineRule="atLeast"/>
              <w:rPr>
                <w:rFonts w:ascii="Calibri" w:hAnsi="Calibri"/>
                <w:b/>
                <w:spacing w:val="0"/>
                <w:sz w:val="20"/>
                <w:szCs w:val="20"/>
              </w:rPr>
            </w:pPr>
            <w:r w:rsidRPr="00092FC5">
              <w:rPr>
                <w:rFonts w:ascii="Calibri" w:hAnsi="Calibri"/>
                <w:b/>
                <w:spacing w:val="0"/>
                <w:sz w:val="20"/>
                <w:szCs w:val="20"/>
              </w:rPr>
              <w:t>NRAS Directors</w:t>
            </w:r>
          </w:p>
        </w:tc>
        <w:tc>
          <w:tcPr>
            <w:tcW w:w="6237" w:type="dxa"/>
            <w:vAlign w:val="center"/>
          </w:tcPr>
          <w:p w:rsidR="00092FC5" w:rsidRPr="00092FC5" w:rsidRDefault="00092FC5" w:rsidP="00092FC5">
            <w:pPr>
              <w:spacing w:after="120" w:line="360" w:lineRule="auto"/>
              <w:rPr>
                <w:rFonts w:ascii="Calibri" w:eastAsia="Calibri" w:hAnsi="Calibri"/>
                <w:color w:val="000000"/>
                <w:spacing w:val="0"/>
                <w:sz w:val="20"/>
                <w:szCs w:val="20"/>
              </w:rPr>
            </w:pPr>
            <w:r w:rsidRPr="00092FC5">
              <w:rPr>
                <w:rFonts w:ascii="Calibri" w:eastAsia="Calibri" w:hAnsi="Calibri"/>
                <w:color w:val="000000"/>
                <w:spacing w:val="0"/>
                <w:sz w:val="20"/>
                <w:szCs w:val="20"/>
              </w:rPr>
              <w:t>Managed as part of general business/operations (BAU)</w:t>
            </w:r>
          </w:p>
        </w:tc>
      </w:tr>
    </w:tbl>
    <w:p w:rsidR="00092FC5" w:rsidRPr="00092FC5" w:rsidRDefault="00092FC5" w:rsidP="00092FC5">
      <w:pPr>
        <w:spacing w:before="0" w:after="200" w:line="276" w:lineRule="auto"/>
        <w:rPr>
          <w:rFonts w:ascii="Calibri" w:hAnsi="Calibri"/>
          <w:spacing w:val="0"/>
          <w:sz w:val="20"/>
        </w:rPr>
      </w:pPr>
      <w:bookmarkStart w:id="29" w:name="_Toc474164070"/>
    </w:p>
    <w:p w:rsidR="00092FC5" w:rsidRPr="00092FC5" w:rsidRDefault="00092FC5" w:rsidP="00BF5A88">
      <w:pPr>
        <w:pStyle w:val="Heading3"/>
      </w:pPr>
      <w:bookmarkStart w:id="30" w:name="_Toc482359701"/>
      <w:bookmarkStart w:id="31" w:name="_Toc503519820"/>
      <w:r w:rsidRPr="00092FC5">
        <w:t>Business Continuity</w:t>
      </w:r>
      <w:bookmarkEnd w:id="29"/>
      <w:bookmarkEnd w:id="30"/>
      <w:bookmarkEnd w:id="31"/>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Each year, business areas in the Department complete a Business Impact Analysis (BIA) identifying the business processes that </w:t>
      </w:r>
      <w:r w:rsidR="00B41602">
        <w:rPr>
          <w:rFonts w:ascii="Calibri" w:hAnsi="Calibri"/>
          <w:spacing w:val="0"/>
          <w:sz w:val="22"/>
          <w:szCs w:val="22"/>
        </w:rPr>
        <w:t>are critical</w:t>
      </w:r>
      <w:r w:rsidRPr="00092FC5">
        <w:rPr>
          <w:rFonts w:ascii="Calibri" w:hAnsi="Calibri"/>
          <w:spacing w:val="0"/>
          <w:sz w:val="22"/>
          <w:szCs w:val="22"/>
        </w:rPr>
        <w:t xml:space="preserve"> to meet their most important business objectives. Business areas then rate, on a set scale, the impact or consequence that a disruption to this process will have on meeting these objectives.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The most recent BIA for the HPHB was completed in </w:t>
      </w:r>
      <w:r w:rsidR="000E2B56">
        <w:rPr>
          <w:rFonts w:ascii="Calibri" w:hAnsi="Calibri"/>
          <w:spacing w:val="0"/>
          <w:sz w:val="22"/>
          <w:szCs w:val="22"/>
        </w:rPr>
        <w:t>January</w:t>
      </w:r>
      <w:r w:rsidR="000E2B56" w:rsidRPr="00092FC5">
        <w:rPr>
          <w:rFonts w:ascii="Calibri" w:hAnsi="Calibri"/>
          <w:spacing w:val="0"/>
          <w:sz w:val="22"/>
          <w:szCs w:val="22"/>
        </w:rPr>
        <w:t xml:space="preserve"> </w:t>
      </w:r>
      <w:r w:rsidRPr="00092FC5">
        <w:rPr>
          <w:rFonts w:ascii="Calibri" w:hAnsi="Calibri"/>
          <w:spacing w:val="0"/>
          <w:sz w:val="22"/>
          <w:szCs w:val="22"/>
        </w:rPr>
        <w:t>201</w:t>
      </w:r>
      <w:r w:rsidR="000E2B56">
        <w:rPr>
          <w:rFonts w:ascii="Calibri" w:hAnsi="Calibri"/>
          <w:spacing w:val="0"/>
          <w:sz w:val="22"/>
          <w:szCs w:val="22"/>
        </w:rPr>
        <w:t>8</w:t>
      </w:r>
      <w:r w:rsidRPr="00092FC5">
        <w:rPr>
          <w:rFonts w:ascii="Calibri" w:hAnsi="Calibri"/>
          <w:spacing w:val="0"/>
          <w:sz w:val="22"/>
          <w:szCs w:val="22"/>
        </w:rPr>
        <w:t xml:space="preserve">, and minor impacts were noted for the two core NRAS business processes of incentive processing, and program policy, administration and reporting. The maximum acceptable outage for these processes were set between 14 and 30 days, and therefore not considered to be a ‘critical business process’ that needed further treatment through business continuity planning. </w:t>
      </w:r>
    </w:p>
    <w:p w:rsidR="00092FC5" w:rsidRPr="00092FC5" w:rsidRDefault="00092FC5" w:rsidP="00BF5A88">
      <w:pPr>
        <w:pStyle w:val="Heading3"/>
      </w:pPr>
      <w:bookmarkStart w:id="32" w:name="_Toc482359702"/>
      <w:bookmarkStart w:id="33" w:name="_Toc503519821"/>
      <w:bookmarkStart w:id="34" w:name="_Toc449091178"/>
      <w:r w:rsidRPr="00092FC5">
        <w:t>Hierarchy of Current NRAS Risk-Related Documents</w:t>
      </w:r>
      <w:bookmarkEnd w:id="32"/>
      <w:bookmarkEnd w:id="33"/>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Good governance requires good planning and the consideration of risk needs to be embedded into planning processes. The diagram below shows the relationship between the multiple risk-related and planning documents for NRAS. The first tier includes those that are core and required by Departmental policy. The second tier is more discretionary, and currently comprises planning documents for specific projects being undertaken in NRAS, each of which has an associated project risk log. The NRAS </w:t>
      </w:r>
      <w:r w:rsidR="000E2B56">
        <w:rPr>
          <w:rFonts w:ascii="Calibri" w:hAnsi="Calibri"/>
          <w:spacing w:val="0"/>
          <w:sz w:val="22"/>
          <w:szCs w:val="22"/>
        </w:rPr>
        <w:t>Regulation and Accountability</w:t>
      </w:r>
      <w:r w:rsidRPr="00092FC5">
        <w:rPr>
          <w:rFonts w:ascii="Calibri" w:hAnsi="Calibri"/>
          <w:spacing w:val="0"/>
          <w:sz w:val="22"/>
          <w:szCs w:val="22"/>
        </w:rPr>
        <w:t xml:space="preserve"> section is responsible for ensuring all NRAS risk-related documents are kept in a single location in the Department’s electronic filing system and accessible to all NRAS staff.</w:t>
      </w:r>
    </w:p>
    <w:p w:rsidR="00092FC5" w:rsidRPr="00092FC5" w:rsidRDefault="00092FC5" w:rsidP="00092FC5">
      <w:pPr>
        <w:spacing w:after="120" w:line="240" w:lineRule="atLeast"/>
        <w:rPr>
          <w:rFonts w:ascii="Calibri" w:hAnsi="Calibri"/>
          <w:spacing w:val="0"/>
          <w:sz w:val="22"/>
          <w:szCs w:val="22"/>
        </w:rPr>
      </w:pPr>
    </w:p>
    <w:p w:rsidR="00366E1C" w:rsidRDefault="00366E1C" w:rsidP="006A4090">
      <w:pPr>
        <w:spacing w:after="120" w:line="240" w:lineRule="atLeast"/>
      </w:pPr>
      <w:r>
        <w:rPr>
          <w:noProof/>
        </w:rPr>
        <w:br/>
      </w:r>
      <w:r>
        <w:rPr>
          <w:noProof/>
        </w:rPr>
        <w:drawing>
          <wp:inline distT="0" distB="0" distL="0" distR="0" wp14:anchorId="7E6A170A" wp14:editId="4702D631">
            <wp:extent cx="5257800" cy="2205989"/>
            <wp:effectExtent l="0" t="0" r="0" b="4445"/>
            <wp:docPr id="2" name="Picture 2" descr="This image is a representation of the first tier of documents in the hierarchy of current NRAS risk related documents (as explained in the preceding text) and includes those that are core and required by Departmental policy including a program risk assessment; a program fraud risk assessment; and an annual business impact analysis. " title="An image of the first tier of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 1.JPG"/>
                    <pic:cNvPicPr/>
                  </pic:nvPicPr>
                  <pic:blipFill>
                    <a:blip r:embed="rId20">
                      <a:extLst>
                        <a:ext uri="{28A0092B-C50C-407E-A947-70E740481C1C}">
                          <a14:useLocalDpi xmlns:a14="http://schemas.microsoft.com/office/drawing/2010/main" val="0"/>
                        </a:ext>
                      </a:extLst>
                    </a:blip>
                    <a:stretch>
                      <a:fillRect/>
                    </a:stretch>
                  </pic:blipFill>
                  <pic:spPr>
                    <a:xfrm>
                      <a:off x="0" y="0"/>
                      <a:ext cx="5262376" cy="2207909"/>
                    </a:xfrm>
                    <a:prstGeom prst="rect">
                      <a:avLst/>
                    </a:prstGeom>
                  </pic:spPr>
                </pic:pic>
              </a:graphicData>
            </a:graphic>
          </wp:inline>
        </w:drawing>
      </w:r>
    </w:p>
    <w:p w:rsidR="00994053" w:rsidRDefault="00366E1C" w:rsidP="00DD056F">
      <w:r w:rsidRPr="00DD056F">
        <w:rPr>
          <w:noProof/>
        </w:rPr>
        <w:drawing>
          <wp:inline distT="0" distB="0" distL="0" distR="0" wp14:anchorId="52DFDD82" wp14:editId="7141978B">
            <wp:extent cx="5489578" cy="1748790"/>
            <wp:effectExtent l="0" t="0" r="0" b="3810"/>
            <wp:docPr id="4" name="Picture 4" descr="This image is a representation of the second tier of documents in the hierarchy of current NRAS risk related documents (as explained in the preceding text) which is more discretionary, and currently comprises planning documents for specific projects being undertaken in NRAS, each of which has an associated project risk log. The specific projects are the NRAS Portal Enhancements 2017 and the NRAS end of year processing plan 2017." title="An image of the second 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 2.JPG"/>
                    <pic:cNvPicPr/>
                  </pic:nvPicPr>
                  <pic:blipFill>
                    <a:blip r:embed="rId21">
                      <a:extLst>
                        <a:ext uri="{28A0092B-C50C-407E-A947-70E740481C1C}">
                          <a14:useLocalDpi xmlns:a14="http://schemas.microsoft.com/office/drawing/2010/main" val="0"/>
                        </a:ext>
                      </a:extLst>
                    </a:blip>
                    <a:stretch>
                      <a:fillRect/>
                    </a:stretch>
                  </pic:blipFill>
                  <pic:spPr>
                    <a:xfrm>
                      <a:off x="0" y="0"/>
                      <a:ext cx="5493229" cy="1749953"/>
                    </a:xfrm>
                    <a:prstGeom prst="rect">
                      <a:avLst/>
                    </a:prstGeom>
                  </pic:spPr>
                </pic:pic>
              </a:graphicData>
            </a:graphic>
          </wp:inline>
        </w:drawing>
      </w:r>
    </w:p>
    <w:p w:rsidR="00092FC5" w:rsidRPr="00DD056F" w:rsidRDefault="00092FC5" w:rsidP="00DD056F">
      <w:pPr>
        <w:pStyle w:val="Heading1"/>
        <w:rPr>
          <w:color w:val="275D38"/>
          <w:spacing w:val="5"/>
          <w:szCs w:val="36"/>
        </w:rPr>
      </w:pPr>
      <w:r w:rsidRPr="00DD056F">
        <w:br w:type="column"/>
      </w:r>
      <w:bookmarkStart w:id="35" w:name="_Toc503519822"/>
      <w:bookmarkStart w:id="36" w:name="_Toc474164072"/>
      <w:bookmarkStart w:id="37" w:name="_Toc482359703"/>
      <w:bookmarkEnd w:id="34"/>
      <w:r w:rsidRPr="00DD056F">
        <w:rPr>
          <w:rFonts w:eastAsia="Times New Roman" w:cs="Times New Roman"/>
          <w:bCs w:val="0"/>
          <w:noProof w:val="0"/>
          <w:color w:val="275D38"/>
          <w:spacing w:val="5"/>
          <w:szCs w:val="36"/>
        </w:rPr>
        <w:lastRenderedPageBreak/>
        <w:t>NRAS Program Integrity and Compliance</w:t>
      </w:r>
      <w:bookmarkEnd w:id="35"/>
      <w:r w:rsidRPr="00DD056F" w:rsidDel="009D5B04">
        <w:rPr>
          <w:rFonts w:eastAsia="Times New Roman" w:cs="Times New Roman"/>
          <w:bCs w:val="0"/>
          <w:noProof w:val="0"/>
          <w:color w:val="275D38"/>
          <w:spacing w:val="5"/>
          <w:szCs w:val="36"/>
        </w:rPr>
        <w:t xml:space="preserve"> </w:t>
      </w:r>
      <w:bookmarkEnd w:id="36"/>
      <w:bookmarkEnd w:id="37"/>
    </w:p>
    <w:p w:rsidR="00092FC5" w:rsidRPr="00092FC5" w:rsidRDefault="00092FC5" w:rsidP="00BF5A88">
      <w:pPr>
        <w:pStyle w:val="Heading3"/>
      </w:pPr>
      <w:bookmarkStart w:id="38" w:name="_Toc474164073"/>
      <w:bookmarkStart w:id="39" w:name="_Toc482359704"/>
      <w:bookmarkStart w:id="40" w:name="_Toc503519823"/>
      <w:r w:rsidRPr="00092FC5">
        <w:t>Risk-based Compliance Strategy</w:t>
      </w:r>
      <w:bookmarkEnd w:id="38"/>
      <w:bookmarkEnd w:id="39"/>
      <w:bookmarkEnd w:id="40"/>
    </w:p>
    <w:p w:rsidR="00092FC5" w:rsidRPr="00092FC5" w:rsidRDefault="00092FC5" w:rsidP="00092FC5">
      <w:pPr>
        <w:spacing w:after="120" w:line="240" w:lineRule="atLeast"/>
        <w:rPr>
          <w:rFonts w:ascii="Calibri" w:hAnsi="Calibri"/>
          <w:spacing w:val="0"/>
          <w:sz w:val="22"/>
          <w:szCs w:val="22"/>
        </w:rPr>
      </w:pPr>
      <w:r w:rsidRPr="00092FC5">
        <w:rPr>
          <w:rFonts w:ascii="Calibri" w:hAnsi="Calibri"/>
          <w:bCs/>
          <w:spacing w:val="0"/>
          <w:sz w:val="22"/>
          <w:szCs w:val="22"/>
        </w:rPr>
        <w:t xml:space="preserve">The ANAO, in its November 2016 report, noted that while the Department had implemented a clearly defined operational strategy for the processing of claims, it had not implemented a </w:t>
      </w:r>
      <w:r w:rsidRPr="00092FC5">
        <w:rPr>
          <w:rFonts w:ascii="Calibri" w:hAnsi="Calibri"/>
          <w:bCs/>
          <w:i/>
          <w:spacing w:val="0"/>
          <w:sz w:val="22"/>
          <w:szCs w:val="22"/>
        </w:rPr>
        <w:t>risk-based approach to compliance</w:t>
      </w:r>
      <w:r w:rsidRPr="00092FC5">
        <w:rPr>
          <w:rFonts w:ascii="Calibri" w:hAnsi="Calibri"/>
          <w:bCs/>
          <w:spacing w:val="0"/>
          <w:sz w:val="22"/>
          <w:szCs w:val="22"/>
        </w:rPr>
        <w:t>. Taking into account the ANAO findings and ongoing thinking about NRAS administrative reform, in order t</w:t>
      </w:r>
      <w:r w:rsidRPr="00092FC5">
        <w:rPr>
          <w:rFonts w:ascii="Calibri" w:hAnsi="Calibri"/>
          <w:spacing w:val="0"/>
          <w:sz w:val="22"/>
          <w:szCs w:val="22"/>
        </w:rPr>
        <w:t xml:space="preserve">o complement the annual claims processing, the Department developed and introduced a targeted risk-based compliance program early in 2017 which will continue throughout the 2017 calendar year. </w:t>
      </w:r>
      <w:r w:rsidR="00A53EE5">
        <w:rPr>
          <w:rFonts w:ascii="Calibri" w:hAnsi="Calibri"/>
          <w:spacing w:val="0"/>
          <w:sz w:val="22"/>
          <w:szCs w:val="22"/>
        </w:rPr>
        <w:t>Outlined below are t</w:t>
      </w:r>
      <w:r w:rsidRPr="00092FC5">
        <w:rPr>
          <w:rFonts w:ascii="Calibri" w:hAnsi="Calibri"/>
          <w:spacing w:val="0"/>
          <w:sz w:val="22"/>
          <w:szCs w:val="22"/>
        </w:rPr>
        <w:t>he two key elements of the NRAS risk-based compliance strategy.</w:t>
      </w:r>
    </w:p>
    <w:p w:rsidR="00092FC5" w:rsidRPr="00092FC5" w:rsidRDefault="00092FC5" w:rsidP="00092FC5">
      <w:pPr>
        <w:spacing w:after="120" w:line="240" w:lineRule="atLeast"/>
        <w:rPr>
          <w:rFonts w:ascii="Calibri" w:hAnsi="Calibri"/>
          <w:b/>
          <w:bCs/>
          <w:spacing w:val="0"/>
          <w:sz w:val="22"/>
          <w:szCs w:val="22"/>
        </w:rPr>
      </w:pPr>
      <w:r w:rsidRPr="00092FC5">
        <w:rPr>
          <w:rFonts w:ascii="Calibri" w:hAnsi="Calibri"/>
          <w:b/>
          <w:bCs/>
          <w:spacing w:val="0"/>
          <w:sz w:val="22"/>
          <w:szCs w:val="22"/>
        </w:rPr>
        <w:t>Annual Claims Processing</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In the 2014-15 year, in a bid to improve processing timeframes the Department adopted a broad risk-based approach to assessing claims using a targeted and random sampling method.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The same methodology was applied to all claims submitted for the 2015-16 NRAS year and, together with the introduction of improved assessment tools and further automation of IT processes, further efficiencies were achieved in processing timeframes.  </w:t>
      </w:r>
    </w:p>
    <w:p w:rsidR="00B055B7"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w:t>
      </w:r>
      <w:r w:rsidR="00B055B7">
        <w:rPr>
          <w:rFonts w:ascii="Calibri" w:hAnsi="Calibri"/>
          <w:spacing w:val="0"/>
          <w:sz w:val="22"/>
          <w:szCs w:val="22"/>
        </w:rPr>
        <w:t xml:space="preserve"> Department employed the same</w:t>
      </w:r>
      <w:r w:rsidRPr="00092FC5">
        <w:rPr>
          <w:rFonts w:ascii="Calibri" w:hAnsi="Calibri"/>
          <w:spacing w:val="0"/>
          <w:sz w:val="22"/>
          <w:szCs w:val="22"/>
        </w:rPr>
        <w:t xml:space="preserve"> methodology for the 2016-17 claims processing and is confident that further efficiencies gained </w:t>
      </w:r>
      <w:r w:rsidR="00B055B7">
        <w:rPr>
          <w:rFonts w:ascii="Calibri" w:hAnsi="Calibri"/>
          <w:spacing w:val="0"/>
          <w:sz w:val="22"/>
          <w:szCs w:val="22"/>
        </w:rPr>
        <w:t xml:space="preserve">will improve </w:t>
      </w:r>
      <w:r w:rsidRPr="00092FC5">
        <w:rPr>
          <w:rFonts w:ascii="Calibri" w:hAnsi="Calibri"/>
          <w:spacing w:val="0"/>
          <w:sz w:val="22"/>
          <w:szCs w:val="22"/>
        </w:rPr>
        <w:t xml:space="preserve">processing timeframes and resource requirements. </w:t>
      </w:r>
    </w:p>
    <w:p w:rsidR="00092FC5" w:rsidRPr="00092FC5" w:rsidRDefault="00B055B7" w:rsidP="00092FC5">
      <w:pPr>
        <w:spacing w:after="120" w:line="240" w:lineRule="atLeast"/>
        <w:rPr>
          <w:rFonts w:ascii="Calibri" w:hAnsi="Calibri"/>
          <w:spacing w:val="0"/>
          <w:sz w:val="22"/>
          <w:szCs w:val="22"/>
        </w:rPr>
      </w:pPr>
      <w:r>
        <w:rPr>
          <w:rFonts w:ascii="Calibri" w:hAnsi="Calibri"/>
          <w:spacing w:val="0"/>
          <w:sz w:val="22"/>
          <w:szCs w:val="22"/>
        </w:rPr>
        <w:t>For the 2017-18 NRAS year, the Department implemented a real-time processing regime to continue to</w:t>
      </w:r>
      <w:r w:rsidR="00092FC5" w:rsidRPr="00092FC5">
        <w:rPr>
          <w:rFonts w:ascii="Calibri" w:hAnsi="Calibri"/>
          <w:spacing w:val="0"/>
          <w:sz w:val="22"/>
          <w:szCs w:val="22"/>
        </w:rPr>
        <w:t xml:space="preserve"> improve </w:t>
      </w:r>
      <w:r>
        <w:rPr>
          <w:rFonts w:ascii="Calibri" w:hAnsi="Calibri"/>
          <w:spacing w:val="0"/>
          <w:sz w:val="22"/>
          <w:szCs w:val="22"/>
        </w:rPr>
        <w:t xml:space="preserve">the </w:t>
      </w:r>
      <w:r w:rsidR="00092FC5" w:rsidRPr="00092FC5">
        <w:rPr>
          <w:rFonts w:ascii="Calibri" w:hAnsi="Calibri"/>
          <w:spacing w:val="0"/>
          <w:sz w:val="22"/>
          <w:szCs w:val="22"/>
        </w:rPr>
        <w:t xml:space="preserve">overall performance in the annual claims processing.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While the Department’s performance in claims processing has continuously improved over recent years, and its processes do provide assurance that the information provided by approved participants is consistent with the NRAS Regulations, as found by the ANAO, the Department is aware that its processing methodology does not provide adequate assurance that the information provided by approved participants is </w:t>
      </w:r>
      <w:r w:rsidRPr="00092FC5">
        <w:rPr>
          <w:rFonts w:ascii="Calibri" w:hAnsi="Calibri"/>
          <w:i/>
          <w:spacing w:val="0"/>
          <w:sz w:val="22"/>
          <w:szCs w:val="22"/>
        </w:rPr>
        <w:t>reliable.</w:t>
      </w:r>
    </w:p>
    <w:p w:rsidR="00092FC5" w:rsidRPr="00092FC5" w:rsidRDefault="00092FC5" w:rsidP="00092FC5">
      <w:pPr>
        <w:spacing w:after="120" w:line="240" w:lineRule="atLeast"/>
        <w:rPr>
          <w:rFonts w:ascii="Calibri" w:hAnsi="Calibri"/>
          <w:b/>
          <w:bCs/>
          <w:spacing w:val="0"/>
          <w:sz w:val="22"/>
          <w:szCs w:val="22"/>
        </w:rPr>
      </w:pPr>
      <w:r w:rsidRPr="00092FC5">
        <w:rPr>
          <w:rFonts w:ascii="Calibri" w:hAnsi="Calibri"/>
          <w:b/>
          <w:bCs/>
          <w:spacing w:val="0"/>
          <w:sz w:val="22"/>
          <w:szCs w:val="22"/>
        </w:rPr>
        <w:t>Targeted Risk-Based Compliance Program</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The</w:t>
      </w:r>
      <w:r w:rsidR="00B055B7">
        <w:rPr>
          <w:rFonts w:ascii="Calibri" w:hAnsi="Calibri"/>
          <w:spacing w:val="0"/>
          <w:sz w:val="22"/>
          <w:szCs w:val="22"/>
        </w:rPr>
        <w:t xml:space="preserve"> detail of the 2017</w:t>
      </w:r>
      <w:r w:rsidRPr="00092FC5">
        <w:rPr>
          <w:rFonts w:ascii="Calibri" w:hAnsi="Calibri"/>
          <w:spacing w:val="0"/>
          <w:sz w:val="22"/>
          <w:szCs w:val="22"/>
        </w:rPr>
        <w:t xml:space="preserve"> program of compliance activities is in the NRAS Compliance Strategy. The NRAS Compliance Strategy details eight separate compliance activities that have a particular focus on </w:t>
      </w:r>
      <w:r w:rsidRPr="00092FC5">
        <w:rPr>
          <w:rFonts w:ascii="Calibri" w:hAnsi="Calibri"/>
          <w:i/>
          <w:spacing w:val="0"/>
          <w:sz w:val="22"/>
          <w:szCs w:val="22"/>
        </w:rPr>
        <w:t>verifying the reliability</w:t>
      </w:r>
      <w:r w:rsidRPr="00092FC5">
        <w:rPr>
          <w:rFonts w:ascii="Calibri" w:hAnsi="Calibri"/>
          <w:spacing w:val="0"/>
          <w:sz w:val="22"/>
          <w:szCs w:val="22"/>
        </w:rPr>
        <w:t xml:space="preserve"> of the information provided to the Department by approved participants. </w:t>
      </w:r>
      <w:r w:rsidR="009373C2">
        <w:rPr>
          <w:rFonts w:ascii="Calibri" w:hAnsi="Calibri"/>
          <w:spacing w:val="0"/>
          <w:sz w:val="22"/>
          <w:szCs w:val="22"/>
        </w:rPr>
        <w:t xml:space="preserve">This focus supports mitigation strategies against a number of identified risks in the Scheme. </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 xml:space="preserve">In designing this program of activities, the Department focused on areas of identified risk, drawn from </w:t>
      </w:r>
      <w:r w:rsidR="009373C2">
        <w:rPr>
          <w:rFonts w:ascii="Calibri" w:hAnsi="Calibri"/>
          <w:spacing w:val="0"/>
          <w:sz w:val="22"/>
          <w:szCs w:val="22"/>
        </w:rPr>
        <w:t xml:space="preserve">the most recent risk assessments conducted, </w:t>
      </w:r>
      <w:r w:rsidRPr="00092FC5">
        <w:rPr>
          <w:rFonts w:ascii="Calibri" w:hAnsi="Calibri"/>
          <w:spacing w:val="0"/>
          <w:sz w:val="22"/>
          <w:szCs w:val="22"/>
        </w:rPr>
        <w:t xml:space="preserve">past experience of program operations and from audit findings. The Department also remained cognisant of its broader commitments under the Regulator Performance Framework (discussed further at 4.2) not to increase the regulatory burden on approved participants. The </w:t>
      </w:r>
      <w:r w:rsidR="00B055B7">
        <w:rPr>
          <w:rFonts w:ascii="Calibri" w:hAnsi="Calibri"/>
          <w:spacing w:val="0"/>
          <w:sz w:val="22"/>
          <w:szCs w:val="22"/>
        </w:rPr>
        <w:t xml:space="preserve">expected regulatory </w:t>
      </w:r>
      <w:r w:rsidRPr="00092FC5">
        <w:rPr>
          <w:rFonts w:ascii="Calibri" w:hAnsi="Calibri"/>
          <w:spacing w:val="0"/>
          <w:sz w:val="22"/>
          <w:szCs w:val="22"/>
        </w:rPr>
        <w:t>burden on</w:t>
      </w:r>
      <w:r w:rsidR="00B055B7">
        <w:rPr>
          <w:rFonts w:ascii="Calibri" w:hAnsi="Calibri"/>
          <w:spacing w:val="0"/>
          <w:sz w:val="22"/>
          <w:szCs w:val="22"/>
        </w:rPr>
        <w:t xml:space="preserve"> the</w:t>
      </w:r>
      <w:r w:rsidRPr="00092FC5">
        <w:rPr>
          <w:rFonts w:ascii="Calibri" w:hAnsi="Calibri"/>
          <w:spacing w:val="0"/>
          <w:sz w:val="22"/>
          <w:szCs w:val="22"/>
        </w:rPr>
        <w:t xml:space="preserve"> approved participants selected to participate in the compliance activities is minimal to negligible.</w:t>
      </w:r>
    </w:p>
    <w:p w:rsidR="00092FC5" w:rsidRPr="00092FC5" w:rsidRDefault="00395EC3" w:rsidP="00092FC5">
      <w:pPr>
        <w:spacing w:after="120" w:line="240" w:lineRule="atLeast"/>
        <w:rPr>
          <w:rFonts w:ascii="Calibri" w:hAnsi="Calibri"/>
          <w:spacing w:val="0"/>
          <w:sz w:val="22"/>
          <w:szCs w:val="22"/>
        </w:rPr>
      </w:pPr>
      <w:r>
        <w:rPr>
          <w:rFonts w:ascii="Calibri" w:hAnsi="Calibri"/>
          <w:spacing w:val="0"/>
          <w:sz w:val="22"/>
          <w:szCs w:val="22"/>
        </w:rPr>
        <w:t>A project plan will guide e</w:t>
      </w:r>
      <w:r w:rsidR="00092FC5" w:rsidRPr="00092FC5">
        <w:rPr>
          <w:rFonts w:ascii="Calibri" w:hAnsi="Calibri"/>
          <w:spacing w:val="0"/>
          <w:sz w:val="22"/>
          <w:szCs w:val="22"/>
        </w:rPr>
        <w:t xml:space="preserve">ach compliance activity, endorsed by the Branch Manager. The results or findings of the compliance activities as a whole will be summarised into a lessons learnt </w:t>
      </w:r>
      <w:r w:rsidRPr="00092FC5">
        <w:rPr>
          <w:rFonts w:ascii="Calibri" w:hAnsi="Calibri"/>
          <w:spacing w:val="0"/>
          <w:sz w:val="22"/>
          <w:szCs w:val="22"/>
        </w:rPr>
        <w:t>document that</w:t>
      </w:r>
      <w:r w:rsidR="00092FC5" w:rsidRPr="00092FC5">
        <w:rPr>
          <w:rFonts w:ascii="Calibri" w:hAnsi="Calibri"/>
          <w:spacing w:val="0"/>
          <w:sz w:val="22"/>
          <w:szCs w:val="22"/>
        </w:rPr>
        <w:t xml:space="preserve"> will help drive improvements in program administration in 2017. Data analysis of past claims processing outcomes will assist in effectively targeting the compliance activities. While the NRAS Compliance Strategy has identified a set program of </w:t>
      </w:r>
      <w:r>
        <w:rPr>
          <w:rFonts w:ascii="Calibri" w:hAnsi="Calibri"/>
          <w:spacing w:val="0"/>
          <w:sz w:val="22"/>
          <w:szCs w:val="22"/>
        </w:rPr>
        <w:t xml:space="preserve">compliance </w:t>
      </w:r>
      <w:r w:rsidR="00092FC5" w:rsidRPr="00092FC5">
        <w:rPr>
          <w:rFonts w:ascii="Calibri" w:hAnsi="Calibri"/>
          <w:spacing w:val="0"/>
          <w:sz w:val="22"/>
          <w:szCs w:val="22"/>
        </w:rPr>
        <w:t xml:space="preserve">activities, it retains flexibility to amend this set program and add or subtract specific activities as new risks are identified, or there are other significant changes to </w:t>
      </w:r>
      <w:r w:rsidRPr="00092FC5">
        <w:rPr>
          <w:rFonts w:ascii="Calibri" w:hAnsi="Calibri"/>
          <w:spacing w:val="0"/>
          <w:sz w:val="22"/>
          <w:szCs w:val="22"/>
        </w:rPr>
        <w:t>operations, which</w:t>
      </w:r>
      <w:r w:rsidR="00092FC5" w:rsidRPr="00092FC5">
        <w:rPr>
          <w:rFonts w:ascii="Calibri" w:hAnsi="Calibri"/>
          <w:spacing w:val="0"/>
          <w:sz w:val="22"/>
          <w:szCs w:val="22"/>
        </w:rPr>
        <w:t xml:space="preserve"> give rise to new areas for compliance attention. </w:t>
      </w:r>
      <w:r w:rsidR="00092FC5" w:rsidRPr="00092FC5">
        <w:rPr>
          <w:rFonts w:ascii="Calibri" w:hAnsi="Calibri"/>
          <w:spacing w:val="0"/>
          <w:sz w:val="22"/>
          <w:szCs w:val="22"/>
        </w:rPr>
        <w:lastRenderedPageBreak/>
        <w:t>The activities undertaken throughout 2017 will inform an ongoing program of strategic compliance activities in 2018.</w:t>
      </w:r>
    </w:p>
    <w:p w:rsidR="00092FC5" w:rsidRPr="00092FC5" w:rsidRDefault="00092FC5" w:rsidP="00092FC5">
      <w:pPr>
        <w:spacing w:after="120" w:line="240" w:lineRule="atLeast"/>
        <w:jc w:val="both"/>
        <w:rPr>
          <w:rFonts w:ascii="Calibri" w:hAnsi="Calibri"/>
          <w:spacing w:val="0"/>
          <w:sz w:val="22"/>
          <w:szCs w:val="22"/>
        </w:rPr>
      </w:pPr>
      <w:r w:rsidRPr="00092FC5">
        <w:rPr>
          <w:rFonts w:ascii="Calibri" w:hAnsi="Calibri"/>
          <w:spacing w:val="0"/>
          <w:sz w:val="22"/>
          <w:szCs w:val="22"/>
        </w:rPr>
        <w:t>The Department engaged with its peak stakeholder bod</w:t>
      </w:r>
      <w:r w:rsidR="00395EC3">
        <w:rPr>
          <w:rFonts w:ascii="Calibri" w:hAnsi="Calibri"/>
          <w:spacing w:val="0"/>
          <w:sz w:val="22"/>
          <w:szCs w:val="22"/>
        </w:rPr>
        <w:t>ies</w:t>
      </w:r>
      <w:r w:rsidRPr="00092FC5">
        <w:rPr>
          <w:rFonts w:ascii="Calibri" w:hAnsi="Calibri"/>
          <w:spacing w:val="0"/>
          <w:sz w:val="22"/>
          <w:szCs w:val="22"/>
        </w:rPr>
        <w:t xml:space="preserve"> for NRAS (the National Affordable Housing Providers Ltd</w:t>
      </w:r>
      <w:r w:rsidR="00395EC3">
        <w:rPr>
          <w:rFonts w:ascii="Calibri" w:hAnsi="Calibri"/>
          <w:spacing w:val="0"/>
          <w:sz w:val="22"/>
          <w:szCs w:val="22"/>
        </w:rPr>
        <w:t xml:space="preserve"> and Community Housing Industry Association</w:t>
      </w:r>
      <w:r w:rsidRPr="00092FC5">
        <w:rPr>
          <w:rFonts w:ascii="Calibri" w:hAnsi="Calibri"/>
          <w:spacing w:val="0"/>
          <w:sz w:val="22"/>
          <w:szCs w:val="22"/>
        </w:rPr>
        <w:t xml:space="preserve">) on the planned implementation of the compliance program, in addition to writing to all approved participants. The Department is committed to maintaining regular communication with approved participants as the activities </w:t>
      </w:r>
      <w:r w:rsidR="00395EC3">
        <w:rPr>
          <w:rFonts w:ascii="Calibri" w:hAnsi="Calibri"/>
          <w:spacing w:val="0"/>
          <w:sz w:val="22"/>
          <w:szCs w:val="22"/>
        </w:rPr>
        <w:t>progress</w:t>
      </w:r>
      <w:r w:rsidRPr="00092FC5">
        <w:rPr>
          <w:rFonts w:ascii="Calibri" w:hAnsi="Calibri"/>
          <w:spacing w:val="0"/>
          <w:sz w:val="22"/>
          <w:szCs w:val="22"/>
        </w:rPr>
        <w:t xml:space="preserve"> throughout 2017, and to working cooperatively to improve guidance that could avoid approved participants relying on insufficient evidence or documentation, and inadvertently not achieving the required evidence threshold. </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 xml:space="preserve">The Department is obliged to implement processes that will help ensure public confidence in the Scheme. </w:t>
      </w:r>
      <w:r w:rsidR="00395EC3">
        <w:rPr>
          <w:rFonts w:ascii="Calibri" w:hAnsi="Calibri"/>
          <w:spacing w:val="0"/>
          <w:sz w:val="22"/>
          <w:szCs w:val="22"/>
        </w:rPr>
        <w:t>The 2017 compliance program</w:t>
      </w:r>
      <w:r w:rsidRPr="00092FC5">
        <w:rPr>
          <w:rFonts w:ascii="Calibri" w:hAnsi="Calibri"/>
          <w:spacing w:val="0"/>
          <w:sz w:val="22"/>
          <w:szCs w:val="22"/>
        </w:rPr>
        <w:t xml:space="preserve"> </w:t>
      </w:r>
      <w:r w:rsidR="00395EC3">
        <w:rPr>
          <w:rFonts w:ascii="Calibri" w:hAnsi="Calibri"/>
          <w:spacing w:val="0"/>
          <w:sz w:val="22"/>
          <w:szCs w:val="22"/>
        </w:rPr>
        <w:t>aims</w:t>
      </w:r>
      <w:r w:rsidR="00395EC3" w:rsidRPr="00092FC5">
        <w:rPr>
          <w:rFonts w:ascii="Calibri" w:hAnsi="Calibri"/>
          <w:spacing w:val="0"/>
          <w:sz w:val="22"/>
          <w:szCs w:val="22"/>
        </w:rPr>
        <w:t xml:space="preserve"> </w:t>
      </w:r>
      <w:r w:rsidR="00395EC3">
        <w:rPr>
          <w:rFonts w:ascii="Calibri" w:hAnsi="Calibri"/>
          <w:spacing w:val="0"/>
          <w:sz w:val="22"/>
          <w:szCs w:val="22"/>
        </w:rPr>
        <w:t xml:space="preserve">to </w:t>
      </w:r>
      <w:r w:rsidRPr="00092FC5">
        <w:rPr>
          <w:rFonts w:ascii="Calibri" w:hAnsi="Calibri"/>
          <w:spacing w:val="0"/>
          <w:sz w:val="22"/>
          <w:szCs w:val="22"/>
        </w:rPr>
        <w:t>strike the right balance between protecting the public interest while not imposing unnecessary costs on regulated entities.</w:t>
      </w:r>
      <w:r w:rsidRPr="00092FC5">
        <w:rPr>
          <w:rFonts w:ascii="Cambria" w:hAnsi="Cambria"/>
          <w:spacing w:val="0"/>
          <w:sz w:val="22"/>
          <w:szCs w:val="22"/>
          <w:vertAlign w:val="superscript"/>
        </w:rPr>
        <w:footnoteReference w:id="2"/>
      </w:r>
    </w:p>
    <w:p w:rsidR="00092FC5" w:rsidRPr="00092FC5" w:rsidRDefault="00092FC5" w:rsidP="00BF5A88">
      <w:pPr>
        <w:pStyle w:val="Heading3"/>
      </w:pPr>
      <w:bookmarkStart w:id="41" w:name="_Toc482359705"/>
      <w:bookmarkStart w:id="42" w:name="_Toc503519824"/>
      <w:r w:rsidRPr="00092FC5">
        <w:t>Management of Complaints or Allegations of Serious Non-Compliance</w:t>
      </w:r>
      <w:bookmarkEnd w:id="41"/>
      <w:bookmarkEnd w:id="42"/>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Through compliance processes, complaints or ‘tip-offs’ from the public and media coverage, the Department has identified practices ranging from potentially unethical to allegedly fraudulent within NRAS and damaging to the reputation of the Scheme and the Australian Government.</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Between November 2010 and mid-March 2016, 32 NRAS related matters were referred to the Department’s Investigations area, either from the NRAS area of the Department, another government agency, or directly from the public.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Commencing from late 2016, processes were strengthened within the HPHB to provide better assurance that any referrals or complaints about approved participants’ compliance that are received directly to the NRAS administration are managed effectively.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A Standard Operating Procedure for the Management of Compliance Referrals was developed to outline how these referrals will be assessed and addressed by the NRAS </w:t>
      </w:r>
      <w:r w:rsidR="008324BC">
        <w:rPr>
          <w:rFonts w:ascii="Calibri" w:hAnsi="Calibri"/>
          <w:spacing w:val="0"/>
          <w:sz w:val="22"/>
          <w:szCs w:val="22"/>
        </w:rPr>
        <w:t>Regulations and Accountability</w:t>
      </w:r>
      <w:r w:rsidRPr="00092FC5">
        <w:rPr>
          <w:rFonts w:ascii="Calibri" w:hAnsi="Calibri"/>
          <w:spacing w:val="0"/>
          <w:sz w:val="22"/>
          <w:szCs w:val="22"/>
        </w:rPr>
        <w:t xml:space="preserve"> section, including protocols for when matters may need referral to the Department’s Investigations area.  The guide was approved in March 2017 and its procedures have been implemented and will operate throughout 2017-18. </w:t>
      </w:r>
    </w:p>
    <w:p w:rsidR="00BF5A88" w:rsidRDefault="00092FC5" w:rsidP="00DD056F">
      <w:pPr>
        <w:spacing w:after="120" w:line="240" w:lineRule="atLeast"/>
        <w:rPr>
          <w:rFonts w:ascii="Georgia" w:eastAsiaTheme="majorEastAsia" w:hAnsi="Georgia" w:cstheme="majorBidi"/>
          <w:bCs/>
          <w:sz w:val="28"/>
        </w:rPr>
      </w:pPr>
      <w:r w:rsidRPr="00092FC5">
        <w:rPr>
          <w:rFonts w:ascii="Calibri" w:hAnsi="Calibri"/>
          <w:spacing w:val="0"/>
          <w:sz w:val="22"/>
          <w:szCs w:val="22"/>
        </w:rPr>
        <w:t xml:space="preserve">Ongoing analysis of referrals, tip-offs and public feedback in this area will be conducted throughout 2017-18 with a view to identifying any trends as early as possible. Early identification of any trends provides the Department with the opportunity to intervene in a timely way and introduce remedial actions. </w:t>
      </w:r>
      <w:bookmarkStart w:id="43" w:name="_Toc475365557"/>
      <w:bookmarkStart w:id="44" w:name="_Toc475365558"/>
      <w:bookmarkStart w:id="45" w:name="_Toc482359706"/>
      <w:bookmarkStart w:id="46" w:name="_Toc474164074"/>
      <w:bookmarkEnd w:id="43"/>
      <w:bookmarkEnd w:id="44"/>
    </w:p>
    <w:p w:rsidR="00092FC5" w:rsidRPr="00092FC5" w:rsidRDefault="00092FC5" w:rsidP="00BF5A88">
      <w:pPr>
        <w:pStyle w:val="Heading3"/>
      </w:pPr>
      <w:bookmarkStart w:id="47" w:name="_Toc503519825"/>
      <w:r w:rsidRPr="00092FC5">
        <w:t>NRAS Fraud Risk Assessments</w:t>
      </w:r>
      <w:bookmarkEnd w:id="45"/>
      <w:bookmarkEnd w:id="47"/>
      <w:r w:rsidRPr="00092FC5">
        <w:t xml:space="preserve"> </w:t>
      </w:r>
      <w:bookmarkEnd w:id="46"/>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Department takes all allegations of fraud against its programs and services very seriously and undertakes its own investigations where appropriate. Serious matters are referred to the appropriate regulatory bodies such as law enforcement agencies, the Australian Competition and Consumer Commission and the Australian Securities and Investments Commission for further investigation.</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Consistent with the Department’s Fraud and Corruption Control Policy and Fraud and Corruption Control Plan, DSS program areas are to develop and maintain a current Fraud Risk Assessment. Fraud Risk Assessments provide the opportunity to identify, assess and understand a program area’s </w:t>
      </w:r>
      <w:r w:rsidRPr="00092FC5">
        <w:rPr>
          <w:rFonts w:ascii="Calibri" w:hAnsi="Calibri"/>
          <w:spacing w:val="0"/>
          <w:sz w:val="22"/>
          <w:szCs w:val="22"/>
        </w:rPr>
        <w:lastRenderedPageBreak/>
        <w:t xml:space="preserve">exposure to fraud, both internal and external, and review existing controls and measures to maximise resistance to fraud in a manner proportionate to that exposure.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With support from the Department’s Fraud Analytics area, the NRAS Fraud Risk Assessment was updated, via a process including staff workshops, to reflect the current operating environment of the Scheme. It was finalised and endorsed in June 2017</w:t>
      </w:r>
      <w:r w:rsidR="00704DFD">
        <w:rPr>
          <w:rFonts w:ascii="Calibri" w:hAnsi="Calibri"/>
          <w:spacing w:val="0"/>
          <w:sz w:val="22"/>
          <w:szCs w:val="22"/>
        </w:rPr>
        <w:t xml:space="preserve"> and is expected to </w:t>
      </w:r>
      <w:r w:rsidRPr="00092FC5">
        <w:rPr>
          <w:rFonts w:ascii="Calibri" w:hAnsi="Calibri"/>
          <w:spacing w:val="0"/>
          <w:sz w:val="22"/>
          <w:szCs w:val="22"/>
        </w:rPr>
        <w:t xml:space="preserve">remain current for at least the 2017-18 year.  </w:t>
      </w:r>
    </w:p>
    <w:p w:rsidR="00092FC5" w:rsidRPr="00092FC5" w:rsidRDefault="00092FC5">
      <w:pPr>
        <w:pStyle w:val="Heading1"/>
      </w:pPr>
      <w:bookmarkStart w:id="48" w:name="_Toc482340563"/>
      <w:bookmarkStart w:id="49" w:name="_Toc482359707"/>
      <w:bookmarkStart w:id="50" w:name="_Toc474164075"/>
      <w:bookmarkEnd w:id="48"/>
      <w:bookmarkEnd w:id="49"/>
      <w:r w:rsidRPr="00092FC5">
        <w:rPr>
          <w:highlight w:val="lightGray"/>
        </w:rPr>
        <w:br w:type="column"/>
      </w:r>
      <w:bookmarkStart w:id="51" w:name="_Toc482359708"/>
      <w:bookmarkStart w:id="52" w:name="_Toc503519826"/>
      <w:r w:rsidRPr="00F05E66">
        <w:rPr>
          <w:rFonts w:eastAsia="Times New Roman" w:cs="Times New Roman"/>
          <w:bCs w:val="0"/>
          <w:noProof w:val="0"/>
          <w:color w:val="275D38"/>
          <w:spacing w:val="5"/>
          <w:szCs w:val="36"/>
        </w:rPr>
        <w:lastRenderedPageBreak/>
        <w:t>Program Governance and Reporting</w:t>
      </w:r>
      <w:bookmarkEnd w:id="50"/>
      <w:bookmarkEnd w:id="51"/>
      <w:bookmarkEnd w:id="52"/>
    </w:p>
    <w:p w:rsidR="00092FC5" w:rsidRPr="00092FC5" w:rsidRDefault="00092FC5" w:rsidP="00092FC5">
      <w:pPr>
        <w:spacing w:after="120" w:line="240" w:lineRule="atLeast"/>
        <w:rPr>
          <w:rFonts w:ascii="Calibri" w:hAnsi="Calibri"/>
          <w:b/>
          <w:spacing w:val="0"/>
          <w:sz w:val="22"/>
          <w:szCs w:val="22"/>
        </w:rPr>
      </w:pPr>
      <w:bookmarkStart w:id="53" w:name="_Toc474164076"/>
      <w:r w:rsidRPr="00092FC5">
        <w:rPr>
          <w:rFonts w:ascii="Calibri" w:hAnsi="Calibri"/>
          <w:spacing w:val="0"/>
          <w:sz w:val="22"/>
          <w:szCs w:val="22"/>
        </w:rPr>
        <w:t>This section outlines the key governance mechanisms that support, monitor and seek to continuously improve the administration of NRAS and manage current and emerging risks. It also outlines the principal mechanisms where the Department reports on its performance and risk-related commitments and improvement agenda.</w:t>
      </w:r>
    </w:p>
    <w:p w:rsidR="00092FC5" w:rsidRPr="00092FC5" w:rsidRDefault="00092FC5" w:rsidP="00BF5A88">
      <w:pPr>
        <w:pStyle w:val="Heading3"/>
      </w:pPr>
      <w:bookmarkStart w:id="54" w:name="_Toc482359709"/>
      <w:bookmarkStart w:id="55" w:name="_Toc503519827"/>
      <w:r w:rsidRPr="00092FC5">
        <w:t>Governance Mechanisms</w:t>
      </w:r>
      <w:bookmarkEnd w:id="54"/>
      <w:bookmarkEnd w:id="55"/>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table below describes the current governance mechanisms to support the administration of NRAS and manage program risks.</w:t>
      </w:r>
    </w:p>
    <w:tbl>
      <w:tblPr>
        <w:tblStyle w:val="TableGridLight11"/>
        <w:tblW w:w="11058" w:type="dxa"/>
        <w:tblInd w:w="-885" w:type="dxa"/>
        <w:tblLayout w:type="fixed"/>
        <w:tblLook w:val="04A0" w:firstRow="1" w:lastRow="0" w:firstColumn="1" w:lastColumn="0" w:noHBand="0" w:noVBand="1"/>
        <w:tblCaption w:val="Governance mechanisms table"/>
        <w:tblDescription w:val="The table describes the current governance mechanisms that are used to support the administration of NRAS and manage program risks"/>
      </w:tblPr>
      <w:tblGrid>
        <w:gridCol w:w="2269"/>
        <w:gridCol w:w="3402"/>
        <w:gridCol w:w="1843"/>
        <w:gridCol w:w="3544"/>
      </w:tblGrid>
      <w:tr w:rsidR="00092FC5" w:rsidRPr="00092FC5" w:rsidTr="0060483B">
        <w:trPr>
          <w:tblHeader/>
        </w:trPr>
        <w:tc>
          <w:tcPr>
            <w:tcW w:w="2269" w:type="dxa"/>
            <w:shd w:val="clear" w:color="auto" w:fill="262626" w:themeFill="text1" w:themeFillTint="D9"/>
          </w:tcPr>
          <w:p w:rsidR="00092FC5" w:rsidRPr="00092FC5" w:rsidRDefault="00092FC5" w:rsidP="00092FC5">
            <w:pPr>
              <w:spacing w:after="120" w:line="240" w:lineRule="atLeast"/>
              <w:rPr>
                <w:rFonts w:ascii="Calibri" w:hAnsi="Calibri"/>
                <w:b/>
                <w:color w:val="FFFFFF"/>
                <w:spacing w:val="0"/>
                <w:sz w:val="20"/>
              </w:rPr>
            </w:pPr>
            <w:r w:rsidRPr="00092FC5">
              <w:rPr>
                <w:rFonts w:ascii="Calibri" w:hAnsi="Calibri"/>
                <w:b/>
                <w:color w:val="FFFFFF"/>
                <w:spacing w:val="0"/>
                <w:sz w:val="20"/>
              </w:rPr>
              <w:t>Mechanism</w:t>
            </w:r>
          </w:p>
        </w:tc>
        <w:tc>
          <w:tcPr>
            <w:tcW w:w="3402" w:type="dxa"/>
            <w:shd w:val="clear" w:color="auto" w:fill="262626" w:themeFill="text1" w:themeFillTint="D9"/>
          </w:tcPr>
          <w:p w:rsidR="00092FC5" w:rsidRPr="00092FC5" w:rsidRDefault="00092FC5" w:rsidP="00092FC5">
            <w:pPr>
              <w:spacing w:after="120" w:line="240" w:lineRule="atLeast"/>
              <w:rPr>
                <w:rFonts w:ascii="Calibri" w:hAnsi="Calibri"/>
                <w:b/>
                <w:color w:val="FFFFFF"/>
                <w:spacing w:val="0"/>
                <w:sz w:val="20"/>
              </w:rPr>
            </w:pPr>
            <w:r w:rsidRPr="00092FC5">
              <w:rPr>
                <w:rFonts w:ascii="Calibri" w:hAnsi="Calibri"/>
                <w:b/>
                <w:color w:val="FFFFFF"/>
                <w:spacing w:val="0"/>
                <w:sz w:val="20"/>
              </w:rPr>
              <w:t>Stakeholders</w:t>
            </w:r>
          </w:p>
        </w:tc>
        <w:tc>
          <w:tcPr>
            <w:tcW w:w="1843" w:type="dxa"/>
            <w:shd w:val="clear" w:color="auto" w:fill="262626" w:themeFill="text1" w:themeFillTint="D9"/>
          </w:tcPr>
          <w:p w:rsidR="00092FC5" w:rsidRPr="00092FC5" w:rsidRDefault="00092FC5" w:rsidP="00092FC5">
            <w:pPr>
              <w:spacing w:after="120" w:line="240" w:lineRule="atLeast"/>
              <w:rPr>
                <w:rFonts w:ascii="Calibri" w:hAnsi="Calibri"/>
                <w:b/>
                <w:color w:val="FFFFFF"/>
                <w:spacing w:val="0"/>
                <w:sz w:val="20"/>
              </w:rPr>
            </w:pPr>
            <w:r w:rsidRPr="00092FC5">
              <w:rPr>
                <w:rFonts w:ascii="Calibri" w:hAnsi="Calibri"/>
                <w:b/>
                <w:color w:val="FFFFFF"/>
                <w:spacing w:val="0"/>
                <w:sz w:val="20"/>
              </w:rPr>
              <w:t>Frequency</w:t>
            </w:r>
          </w:p>
        </w:tc>
        <w:tc>
          <w:tcPr>
            <w:tcW w:w="3544" w:type="dxa"/>
            <w:shd w:val="clear" w:color="auto" w:fill="262626" w:themeFill="text1" w:themeFillTint="D9"/>
          </w:tcPr>
          <w:p w:rsidR="00092FC5" w:rsidRPr="00092FC5" w:rsidRDefault="00092FC5" w:rsidP="00092FC5">
            <w:pPr>
              <w:spacing w:after="120" w:line="240" w:lineRule="atLeast"/>
              <w:rPr>
                <w:rFonts w:ascii="Calibri" w:hAnsi="Calibri"/>
                <w:b/>
                <w:color w:val="FFFFFF"/>
                <w:spacing w:val="0"/>
                <w:sz w:val="20"/>
              </w:rPr>
            </w:pPr>
            <w:r w:rsidRPr="00092FC5">
              <w:rPr>
                <w:rFonts w:ascii="Calibri" w:hAnsi="Calibri"/>
                <w:b/>
                <w:color w:val="FFFFFF"/>
                <w:spacing w:val="0"/>
                <w:sz w:val="20"/>
              </w:rPr>
              <w:t>Purpose</w:t>
            </w:r>
          </w:p>
        </w:tc>
      </w:tr>
      <w:tr w:rsidR="00092FC5" w:rsidRPr="00092FC5" w:rsidTr="0060483B">
        <w:trPr>
          <w:trHeight w:val="1275"/>
        </w:trPr>
        <w:tc>
          <w:tcPr>
            <w:tcW w:w="2269"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NRAS Branch Manager and Directors meetings</w:t>
            </w:r>
          </w:p>
        </w:tc>
        <w:tc>
          <w:tcPr>
            <w:tcW w:w="3402"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Branch Manager</w:t>
            </w:r>
          </w:p>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NRAS Directors</w:t>
            </w:r>
          </w:p>
          <w:p w:rsidR="00092FC5" w:rsidRPr="00092FC5" w:rsidRDefault="00092FC5" w:rsidP="00092FC5">
            <w:pPr>
              <w:spacing w:after="120" w:line="240" w:lineRule="atLeast"/>
              <w:rPr>
                <w:rFonts w:ascii="Calibri" w:hAnsi="Calibri"/>
                <w:spacing w:val="0"/>
                <w:sz w:val="20"/>
              </w:rPr>
            </w:pPr>
          </w:p>
        </w:tc>
        <w:tc>
          <w:tcPr>
            <w:tcW w:w="1843"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Fortnightly face-to-face meetings</w:t>
            </w:r>
          </w:p>
          <w:p w:rsidR="00092FC5" w:rsidRPr="00092FC5" w:rsidRDefault="00092FC5" w:rsidP="00092FC5">
            <w:pPr>
              <w:spacing w:after="120" w:line="240" w:lineRule="atLeast"/>
              <w:rPr>
                <w:rFonts w:ascii="Calibri" w:hAnsi="Calibri"/>
                <w:spacing w:val="0"/>
                <w:sz w:val="20"/>
              </w:rPr>
            </w:pPr>
          </w:p>
          <w:p w:rsidR="00092FC5" w:rsidRPr="00092FC5" w:rsidRDefault="00092FC5" w:rsidP="00092FC5">
            <w:pPr>
              <w:spacing w:after="120" w:line="240" w:lineRule="atLeast"/>
              <w:rPr>
                <w:rFonts w:ascii="Calibri" w:hAnsi="Calibri"/>
                <w:spacing w:val="0"/>
                <w:sz w:val="20"/>
              </w:rPr>
            </w:pPr>
          </w:p>
        </w:tc>
        <w:tc>
          <w:tcPr>
            <w:tcW w:w="3544" w:type="dxa"/>
          </w:tcPr>
          <w:p w:rsidR="00092FC5" w:rsidRPr="00092FC5" w:rsidRDefault="007124B7" w:rsidP="007124B7">
            <w:pPr>
              <w:spacing w:after="120" w:line="240" w:lineRule="atLeast"/>
              <w:rPr>
                <w:rFonts w:ascii="Calibri" w:hAnsi="Calibri"/>
                <w:spacing w:val="0"/>
                <w:sz w:val="20"/>
              </w:rPr>
            </w:pPr>
            <w:r>
              <w:rPr>
                <w:rFonts w:ascii="Calibri" w:hAnsi="Calibri"/>
                <w:spacing w:val="0"/>
                <w:sz w:val="20"/>
              </w:rPr>
              <w:t>T</w:t>
            </w:r>
            <w:r w:rsidR="00092FC5" w:rsidRPr="00092FC5">
              <w:rPr>
                <w:rFonts w:ascii="Calibri" w:hAnsi="Calibri"/>
                <w:spacing w:val="0"/>
                <w:sz w:val="20"/>
              </w:rPr>
              <w:t>o consider sensitive policy or operational matters, emerging risks</w:t>
            </w:r>
            <w:r>
              <w:rPr>
                <w:rFonts w:ascii="Calibri" w:hAnsi="Calibri"/>
                <w:spacing w:val="0"/>
                <w:sz w:val="20"/>
              </w:rPr>
              <w:t xml:space="preserve"> and</w:t>
            </w:r>
            <w:r w:rsidR="00092FC5" w:rsidRPr="00092FC5">
              <w:rPr>
                <w:rFonts w:ascii="Calibri" w:hAnsi="Calibri"/>
                <w:spacing w:val="0"/>
                <w:sz w:val="20"/>
              </w:rPr>
              <w:t xml:space="preserve"> a monthly dashboard of program metrics that measure workflow and performance.</w:t>
            </w:r>
          </w:p>
        </w:tc>
      </w:tr>
      <w:tr w:rsidR="00092FC5" w:rsidRPr="00092FC5" w:rsidTr="0060483B">
        <w:trPr>
          <w:trHeight w:val="1084"/>
        </w:trPr>
        <w:tc>
          <w:tcPr>
            <w:tcW w:w="2269"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NRAS and Assurance and Performance Branch</w:t>
            </w:r>
            <w:r w:rsidR="000E2B56">
              <w:rPr>
                <w:rFonts w:ascii="Calibri" w:hAnsi="Calibri"/>
                <w:spacing w:val="0"/>
                <w:sz w:val="20"/>
              </w:rPr>
              <w:t xml:space="preserve"> (APB)</w:t>
            </w:r>
            <w:r w:rsidRPr="00092FC5">
              <w:rPr>
                <w:rFonts w:ascii="Calibri" w:hAnsi="Calibri"/>
                <w:spacing w:val="0"/>
                <w:sz w:val="20"/>
              </w:rPr>
              <w:t xml:space="preserve"> meetings</w:t>
            </w:r>
          </w:p>
        </w:tc>
        <w:tc>
          <w:tcPr>
            <w:tcW w:w="3402"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Branch Managers</w:t>
            </w:r>
            <w:r w:rsidR="000E2B56">
              <w:rPr>
                <w:rFonts w:ascii="Calibri" w:hAnsi="Calibri"/>
                <w:spacing w:val="0"/>
                <w:sz w:val="20"/>
              </w:rPr>
              <w:t xml:space="preserve"> (NRAS and APB)</w:t>
            </w:r>
          </w:p>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 xml:space="preserve">Directors </w:t>
            </w:r>
          </w:p>
          <w:p w:rsidR="00092FC5" w:rsidRPr="00092FC5" w:rsidRDefault="00092FC5" w:rsidP="000E2B56">
            <w:pPr>
              <w:spacing w:after="120" w:line="240" w:lineRule="atLeast"/>
              <w:rPr>
                <w:rFonts w:ascii="Calibri" w:hAnsi="Calibri"/>
                <w:spacing w:val="0"/>
                <w:sz w:val="20"/>
              </w:rPr>
            </w:pPr>
            <w:r w:rsidRPr="00092FC5">
              <w:rPr>
                <w:rFonts w:ascii="Calibri" w:hAnsi="Calibri"/>
                <w:spacing w:val="0"/>
                <w:sz w:val="20"/>
              </w:rPr>
              <w:t xml:space="preserve">Assistant Directors </w:t>
            </w:r>
          </w:p>
        </w:tc>
        <w:tc>
          <w:tcPr>
            <w:tcW w:w="1843"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 xml:space="preserve">Quarterly face-to-face meetings </w:t>
            </w:r>
          </w:p>
        </w:tc>
        <w:tc>
          <w:tcPr>
            <w:tcW w:w="3544"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To discuss matters of joint interest including risk management, compliance, stakeholder feedback, and related performance issues.</w:t>
            </w:r>
          </w:p>
        </w:tc>
      </w:tr>
      <w:tr w:rsidR="00092FC5" w:rsidRPr="00092FC5" w:rsidTr="0060483B">
        <w:trPr>
          <w:trHeight w:val="1129"/>
        </w:trPr>
        <w:tc>
          <w:tcPr>
            <w:tcW w:w="2269"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 xml:space="preserve">NRAS and Legal Services Branch </w:t>
            </w:r>
            <w:r w:rsidR="009442A5">
              <w:rPr>
                <w:rFonts w:ascii="Calibri" w:hAnsi="Calibri"/>
                <w:spacing w:val="0"/>
                <w:sz w:val="20"/>
              </w:rPr>
              <w:t xml:space="preserve">(LSB) </w:t>
            </w:r>
            <w:r w:rsidRPr="00092FC5">
              <w:rPr>
                <w:rFonts w:ascii="Calibri" w:hAnsi="Calibri"/>
                <w:spacing w:val="0"/>
                <w:sz w:val="20"/>
              </w:rPr>
              <w:t>meetings</w:t>
            </w:r>
          </w:p>
        </w:tc>
        <w:tc>
          <w:tcPr>
            <w:tcW w:w="3402"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 xml:space="preserve">Branch Managers </w:t>
            </w:r>
            <w:r w:rsidR="009442A5">
              <w:rPr>
                <w:rFonts w:ascii="Calibri" w:hAnsi="Calibri"/>
                <w:spacing w:val="0"/>
                <w:sz w:val="20"/>
              </w:rPr>
              <w:t>(NRAS and LSB)</w:t>
            </w:r>
          </w:p>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Directors</w:t>
            </w:r>
          </w:p>
          <w:p w:rsidR="00092FC5" w:rsidRPr="00092FC5" w:rsidRDefault="00092FC5" w:rsidP="000E2B56">
            <w:pPr>
              <w:spacing w:after="120" w:line="240" w:lineRule="atLeast"/>
              <w:rPr>
                <w:rFonts w:ascii="Calibri" w:hAnsi="Calibri"/>
                <w:spacing w:val="0"/>
                <w:sz w:val="20"/>
              </w:rPr>
            </w:pPr>
            <w:r w:rsidRPr="00092FC5">
              <w:rPr>
                <w:rFonts w:ascii="Calibri" w:hAnsi="Calibri"/>
                <w:spacing w:val="0"/>
                <w:sz w:val="20"/>
              </w:rPr>
              <w:t xml:space="preserve">Assistant Directors </w:t>
            </w:r>
          </w:p>
        </w:tc>
        <w:tc>
          <w:tcPr>
            <w:tcW w:w="1843" w:type="dxa"/>
          </w:tcPr>
          <w:p w:rsidR="00092FC5" w:rsidRPr="00092FC5" w:rsidRDefault="000E2B56" w:rsidP="00092FC5">
            <w:pPr>
              <w:spacing w:after="120" w:line="240" w:lineRule="atLeast"/>
              <w:rPr>
                <w:rFonts w:ascii="Calibri" w:hAnsi="Calibri"/>
                <w:spacing w:val="0"/>
                <w:sz w:val="20"/>
              </w:rPr>
            </w:pPr>
            <w:r>
              <w:rPr>
                <w:rFonts w:ascii="Calibri" w:hAnsi="Calibri"/>
                <w:spacing w:val="0"/>
                <w:sz w:val="20"/>
              </w:rPr>
              <w:t>Ad hoc</w:t>
            </w:r>
          </w:p>
        </w:tc>
        <w:tc>
          <w:tcPr>
            <w:tcW w:w="3544"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To discuss active specific legal queries or specific legal or regulatory matters affecting NRAS.</w:t>
            </w:r>
          </w:p>
        </w:tc>
      </w:tr>
      <w:tr w:rsidR="00092FC5" w:rsidRPr="00092FC5" w:rsidTr="0060483B">
        <w:tc>
          <w:tcPr>
            <w:tcW w:w="2269"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IT Project Steering Committee</w:t>
            </w:r>
          </w:p>
        </w:tc>
        <w:tc>
          <w:tcPr>
            <w:tcW w:w="3402"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Branch Managers (every second month)</w:t>
            </w:r>
          </w:p>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IT Directors</w:t>
            </w:r>
          </w:p>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 xml:space="preserve">NRAS Director, </w:t>
            </w:r>
            <w:r w:rsidR="00E97BE4" w:rsidRPr="00E97BE4">
              <w:rPr>
                <w:rFonts w:ascii="Calibri" w:hAnsi="Calibri"/>
                <w:spacing w:val="0"/>
                <w:sz w:val="20"/>
              </w:rPr>
              <w:t xml:space="preserve">Payments, Processing and Communications </w:t>
            </w:r>
          </w:p>
          <w:p w:rsidR="00092FC5" w:rsidRPr="00092FC5" w:rsidRDefault="00092FC5" w:rsidP="000E2B56">
            <w:pPr>
              <w:spacing w:after="120" w:line="240" w:lineRule="atLeast"/>
              <w:rPr>
                <w:rFonts w:ascii="Calibri" w:hAnsi="Calibri"/>
                <w:spacing w:val="0"/>
                <w:sz w:val="20"/>
              </w:rPr>
            </w:pPr>
            <w:r w:rsidRPr="00092FC5">
              <w:rPr>
                <w:rFonts w:ascii="Calibri" w:hAnsi="Calibri"/>
                <w:spacing w:val="0"/>
                <w:sz w:val="20"/>
              </w:rPr>
              <w:t xml:space="preserve">Assistant Directors </w:t>
            </w:r>
          </w:p>
        </w:tc>
        <w:tc>
          <w:tcPr>
            <w:tcW w:w="1843" w:type="dxa"/>
          </w:tcPr>
          <w:p w:rsidR="00092FC5" w:rsidRPr="00092FC5" w:rsidRDefault="00945BD9" w:rsidP="00092FC5">
            <w:pPr>
              <w:spacing w:after="120" w:line="240" w:lineRule="atLeast"/>
              <w:rPr>
                <w:rFonts w:ascii="Calibri" w:hAnsi="Calibri"/>
                <w:spacing w:val="0"/>
                <w:sz w:val="20"/>
              </w:rPr>
            </w:pPr>
            <w:r>
              <w:rPr>
                <w:rFonts w:ascii="Calibri" w:hAnsi="Calibri"/>
                <w:spacing w:val="0"/>
                <w:sz w:val="20"/>
              </w:rPr>
              <w:t>Ad hoc</w:t>
            </w:r>
          </w:p>
        </w:tc>
        <w:tc>
          <w:tcPr>
            <w:tcW w:w="3544" w:type="dxa"/>
          </w:tcPr>
          <w:p w:rsidR="00945BD9" w:rsidRPr="00092FC5" w:rsidRDefault="00092FC5" w:rsidP="00945BD9">
            <w:pPr>
              <w:spacing w:after="120" w:line="240" w:lineRule="atLeast"/>
              <w:rPr>
                <w:rFonts w:ascii="Calibri" w:hAnsi="Calibri"/>
                <w:spacing w:val="0"/>
                <w:sz w:val="20"/>
              </w:rPr>
            </w:pPr>
            <w:r w:rsidRPr="00092FC5">
              <w:rPr>
                <w:rFonts w:ascii="Calibri" w:hAnsi="Calibri"/>
                <w:spacing w:val="0"/>
                <w:sz w:val="20"/>
              </w:rPr>
              <w:t>To monitor the status and progress of the NRAS IT project and discuss any concerns.</w:t>
            </w:r>
          </w:p>
        </w:tc>
      </w:tr>
      <w:tr w:rsidR="001552D5" w:rsidRPr="00092FC5" w:rsidTr="0060483B">
        <w:trPr>
          <w:trHeight w:val="1800"/>
        </w:trPr>
        <w:tc>
          <w:tcPr>
            <w:tcW w:w="2269" w:type="dxa"/>
          </w:tcPr>
          <w:p w:rsidR="001552D5" w:rsidRPr="00092FC5" w:rsidRDefault="001552D5" w:rsidP="00092FC5">
            <w:pPr>
              <w:spacing w:after="120" w:line="240" w:lineRule="atLeast"/>
              <w:rPr>
                <w:rFonts w:ascii="Calibri" w:hAnsi="Calibri"/>
                <w:spacing w:val="0"/>
                <w:sz w:val="20"/>
              </w:rPr>
            </w:pPr>
            <w:r>
              <w:rPr>
                <w:rFonts w:ascii="Calibri" w:hAnsi="Calibri"/>
                <w:spacing w:val="0"/>
                <w:sz w:val="20"/>
              </w:rPr>
              <w:t>Program Compliance Sub-committee</w:t>
            </w:r>
          </w:p>
        </w:tc>
        <w:tc>
          <w:tcPr>
            <w:tcW w:w="3402" w:type="dxa"/>
          </w:tcPr>
          <w:p w:rsidR="00DB01F0" w:rsidRPr="00092FC5" w:rsidRDefault="00DB01F0" w:rsidP="009D6D2E">
            <w:pPr>
              <w:spacing w:after="120" w:line="240" w:lineRule="atLeast"/>
              <w:rPr>
                <w:rFonts w:ascii="Calibri" w:hAnsi="Calibri"/>
                <w:spacing w:val="0"/>
                <w:sz w:val="20"/>
              </w:rPr>
            </w:pPr>
            <w:r>
              <w:rPr>
                <w:rFonts w:ascii="Calibri" w:hAnsi="Calibri"/>
                <w:spacing w:val="0"/>
                <w:sz w:val="20"/>
              </w:rPr>
              <w:t>Group Manager, Corporate Services</w:t>
            </w:r>
            <w:r>
              <w:rPr>
                <w:rFonts w:ascii="Calibri" w:hAnsi="Calibri"/>
                <w:spacing w:val="0"/>
                <w:sz w:val="20"/>
              </w:rPr>
              <w:br/>
            </w:r>
            <w:r>
              <w:rPr>
                <w:rFonts w:ascii="Calibri" w:hAnsi="Calibri"/>
                <w:spacing w:val="0"/>
                <w:sz w:val="20"/>
              </w:rPr>
              <w:br/>
              <w:t>Group Manager, Program Office</w:t>
            </w:r>
            <w:r>
              <w:rPr>
                <w:rFonts w:ascii="Calibri" w:hAnsi="Calibri"/>
                <w:spacing w:val="0"/>
                <w:sz w:val="20"/>
              </w:rPr>
              <w:br/>
            </w:r>
            <w:r>
              <w:rPr>
                <w:rFonts w:ascii="Calibri" w:hAnsi="Calibri"/>
                <w:spacing w:val="0"/>
                <w:sz w:val="20"/>
              </w:rPr>
              <w:br/>
            </w:r>
            <w:r w:rsidR="001552D5">
              <w:rPr>
                <w:rFonts w:ascii="Calibri" w:hAnsi="Calibri"/>
                <w:spacing w:val="0"/>
                <w:sz w:val="20"/>
              </w:rPr>
              <w:t>Branch Manager</w:t>
            </w:r>
            <w:r>
              <w:rPr>
                <w:rFonts w:ascii="Calibri" w:hAnsi="Calibri"/>
                <w:spacing w:val="0"/>
                <w:sz w:val="20"/>
              </w:rPr>
              <w:t>s</w:t>
            </w:r>
          </w:p>
        </w:tc>
        <w:tc>
          <w:tcPr>
            <w:tcW w:w="1843" w:type="dxa"/>
          </w:tcPr>
          <w:p w:rsidR="001552D5" w:rsidRPr="00092FC5" w:rsidRDefault="001E4D2D" w:rsidP="00092FC5">
            <w:pPr>
              <w:spacing w:after="120" w:line="240" w:lineRule="atLeast"/>
              <w:rPr>
                <w:rFonts w:ascii="Calibri" w:hAnsi="Calibri"/>
                <w:spacing w:val="0"/>
                <w:sz w:val="20"/>
              </w:rPr>
            </w:pPr>
            <w:r>
              <w:rPr>
                <w:rFonts w:ascii="Calibri" w:hAnsi="Calibri"/>
                <w:spacing w:val="0"/>
                <w:sz w:val="20"/>
              </w:rPr>
              <w:t>Every six weeks</w:t>
            </w:r>
          </w:p>
        </w:tc>
        <w:tc>
          <w:tcPr>
            <w:tcW w:w="3544" w:type="dxa"/>
          </w:tcPr>
          <w:p w:rsidR="001552D5" w:rsidRPr="00092FC5" w:rsidRDefault="00B6572A" w:rsidP="00092FC5">
            <w:pPr>
              <w:spacing w:after="120" w:line="240" w:lineRule="atLeast"/>
              <w:rPr>
                <w:rFonts w:ascii="Calibri" w:hAnsi="Calibri"/>
                <w:spacing w:val="0"/>
                <w:sz w:val="20"/>
              </w:rPr>
            </w:pPr>
            <w:r>
              <w:rPr>
                <w:rFonts w:ascii="Calibri" w:hAnsi="Calibri"/>
                <w:spacing w:val="0"/>
                <w:sz w:val="20"/>
              </w:rPr>
              <w:t>To oversee the implementation and operation of the DSS Enterprise Compliance Framework and to support the strengthening of compliance activities and culture across DSS.</w:t>
            </w:r>
          </w:p>
        </w:tc>
      </w:tr>
      <w:tr w:rsidR="00092FC5" w:rsidRPr="00092FC5" w:rsidTr="0060483B">
        <w:trPr>
          <w:trHeight w:val="82"/>
        </w:trPr>
        <w:tc>
          <w:tcPr>
            <w:tcW w:w="2269" w:type="dxa"/>
          </w:tcPr>
          <w:p w:rsidR="00092FC5" w:rsidRPr="00092FC5" w:rsidRDefault="00092FC5" w:rsidP="007124B7">
            <w:pPr>
              <w:spacing w:after="120" w:line="240" w:lineRule="atLeast"/>
              <w:rPr>
                <w:rFonts w:ascii="Calibri" w:hAnsi="Calibri"/>
                <w:spacing w:val="0"/>
                <w:sz w:val="20"/>
              </w:rPr>
            </w:pPr>
            <w:r w:rsidRPr="00092FC5">
              <w:rPr>
                <w:rFonts w:ascii="Calibri" w:hAnsi="Calibri"/>
                <w:spacing w:val="0"/>
                <w:sz w:val="20"/>
              </w:rPr>
              <w:t>NRAS and peak body meetin</w:t>
            </w:r>
            <w:r w:rsidR="007124B7">
              <w:rPr>
                <w:rFonts w:ascii="Calibri" w:hAnsi="Calibri"/>
                <w:spacing w:val="0"/>
                <w:sz w:val="20"/>
              </w:rPr>
              <w:t>g</w:t>
            </w:r>
            <w:r w:rsidRPr="00092FC5">
              <w:rPr>
                <w:rFonts w:ascii="Calibri" w:hAnsi="Calibri"/>
                <w:spacing w:val="0"/>
                <w:sz w:val="20"/>
              </w:rPr>
              <w:t>s</w:t>
            </w:r>
          </w:p>
        </w:tc>
        <w:tc>
          <w:tcPr>
            <w:tcW w:w="3402" w:type="dxa"/>
          </w:tcPr>
          <w:p w:rsidR="00092FC5" w:rsidRPr="00092FC5" w:rsidRDefault="00092FC5" w:rsidP="00807BFC">
            <w:pPr>
              <w:spacing w:after="120" w:line="240" w:lineRule="atLeast"/>
              <w:rPr>
                <w:rFonts w:ascii="Calibri" w:hAnsi="Calibri"/>
                <w:spacing w:val="0"/>
                <w:sz w:val="20"/>
              </w:rPr>
            </w:pPr>
            <w:r w:rsidRPr="00092FC5">
              <w:rPr>
                <w:rFonts w:ascii="Calibri" w:hAnsi="Calibri"/>
                <w:spacing w:val="0"/>
                <w:sz w:val="20"/>
              </w:rPr>
              <w:t>National Affordable Housing Pty Ltd and Community Housing Industry Association (CHIA)</w:t>
            </w:r>
          </w:p>
        </w:tc>
        <w:tc>
          <w:tcPr>
            <w:tcW w:w="1843"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Every second month</w:t>
            </w:r>
          </w:p>
        </w:tc>
        <w:tc>
          <w:tcPr>
            <w:tcW w:w="3544" w:type="dxa"/>
          </w:tcPr>
          <w:p w:rsidR="00092FC5" w:rsidRPr="00092FC5" w:rsidRDefault="00092FC5" w:rsidP="00092FC5">
            <w:pPr>
              <w:spacing w:after="120" w:line="240" w:lineRule="atLeast"/>
              <w:rPr>
                <w:rFonts w:ascii="Calibri" w:hAnsi="Calibri"/>
                <w:spacing w:val="0"/>
                <w:sz w:val="20"/>
              </w:rPr>
            </w:pPr>
            <w:r w:rsidRPr="00092FC5">
              <w:rPr>
                <w:rFonts w:ascii="Calibri" w:hAnsi="Calibri"/>
                <w:spacing w:val="0"/>
                <w:sz w:val="20"/>
              </w:rPr>
              <w:t>To discuss NRAS operational and policy matters of mutual importance.</w:t>
            </w:r>
          </w:p>
          <w:p w:rsidR="00092FC5" w:rsidRPr="00092FC5" w:rsidRDefault="00092FC5" w:rsidP="00092FC5">
            <w:pPr>
              <w:spacing w:after="120" w:line="240" w:lineRule="atLeast"/>
              <w:rPr>
                <w:rFonts w:ascii="Calibri" w:hAnsi="Calibri"/>
                <w:spacing w:val="0"/>
                <w:sz w:val="20"/>
              </w:rPr>
            </w:pPr>
          </w:p>
        </w:tc>
      </w:tr>
      <w:tr w:rsidR="007124B7" w:rsidRPr="00092FC5" w:rsidTr="0060483B">
        <w:trPr>
          <w:trHeight w:val="177"/>
        </w:trPr>
        <w:tc>
          <w:tcPr>
            <w:tcW w:w="2269" w:type="dxa"/>
          </w:tcPr>
          <w:p w:rsidR="007124B7" w:rsidRPr="00092FC5" w:rsidRDefault="007124B7" w:rsidP="00092FC5">
            <w:pPr>
              <w:spacing w:after="120" w:line="240" w:lineRule="atLeast"/>
              <w:rPr>
                <w:rFonts w:ascii="Calibri" w:hAnsi="Calibri"/>
                <w:spacing w:val="0"/>
                <w:sz w:val="20"/>
              </w:rPr>
            </w:pPr>
            <w:r w:rsidRPr="00092FC5">
              <w:rPr>
                <w:rFonts w:ascii="Calibri" w:hAnsi="Calibri"/>
                <w:spacing w:val="0"/>
                <w:sz w:val="20"/>
              </w:rPr>
              <w:t xml:space="preserve">NRAS and state and territory governments </w:t>
            </w:r>
          </w:p>
        </w:tc>
        <w:tc>
          <w:tcPr>
            <w:tcW w:w="3402" w:type="dxa"/>
          </w:tcPr>
          <w:p w:rsidR="007124B7" w:rsidRPr="00092FC5" w:rsidRDefault="007124B7" w:rsidP="00092FC5">
            <w:pPr>
              <w:spacing w:after="120" w:line="240" w:lineRule="atLeast"/>
              <w:rPr>
                <w:rFonts w:ascii="Calibri" w:hAnsi="Calibri"/>
                <w:spacing w:val="0"/>
                <w:sz w:val="20"/>
              </w:rPr>
            </w:pPr>
            <w:r w:rsidRPr="00092FC5">
              <w:rPr>
                <w:rFonts w:ascii="Calibri" w:hAnsi="Calibri"/>
                <w:spacing w:val="0"/>
                <w:sz w:val="20"/>
              </w:rPr>
              <w:t>NRAS Directors and counterparts in state and territory government (housing departments)</w:t>
            </w:r>
          </w:p>
        </w:tc>
        <w:tc>
          <w:tcPr>
            <w:tcW w:w="1843" w:type="dxa"/>
          </w:tcPr>
          <w:p w:rsidR="007124B7" w:rsidRPr="00092FC5" w:rsidRDefault="007124B7" w:rsidP="00CA389A">
            <w:pPr>
              <w:spacing w:after="120" w:line="240" w:lineRule="atLeast"/>
              <w:rPr>
                <w:rFonts w:ascii="Calibri" w:hAnsi="Calibri"/>
                <w:spacing w:val="0"/>
                <w:sz w:val="20"/>
              </w:rPr>
            </w:pPr>
            <w:r w:rsidRPr="00092FC5">
              <w:rPr>
                <w:rFonts w:ascii="Calibri" w:hAnsi="Calibri"/>
                <w:spacing w:val="0"/>
                <w:sz w:val="20"/>
              </w:rPr>
              <w:t>Teleconference</w:t>
            </w:r>
          </w:p>
          <w:p w:rsidR="007124B7" w:rsidRPr="00092FC5" w:rsidRDefault="007124B7" w:rsidP="00092FC5">
            <w:pPr>
              <w:spacing w:after="120" w:line="240" w:lineRule="atLeast"/>
              <w:rPr>
                <w:rFonts w:ascii="Calibri" w:hAnsi="Calibri"/>
                <w:spacing w:val="0"/>
                <w:sz w:val="20"/>
              </w:rPr>
            </w:pPr>
            <w:r w:rsidRPr="00092FC5">
              <w:rPr>
                <w:rFonts w:ascii="Calibri" w:hAnsi="Calibri"/>
                <w:spacing w:val="0"/>
                <w:sz w:val="20"/>
              </w:rPr>
              <w:t>every two months</w:t>
            </w:r>
          </w:p>
        </w:tc>
        <w:tc>
          <w:tcPr>
            <w:tcW w:w="3544" w:type="dxa"/>
          </w:tcPr>
          <w:p w:rsidR="007124B7" w:rsidRPr="00092FC5" w:rsidRDefault="007124B7" w:rsidP="00092FC5">
            <w:pPr>
              <w:spacing w:after="120" w:line="240" w:lineRule="atLeast"/>
              <w:rPr>
                <w:rFonts w:ascii="Calibri" w:hAnsi="Calibri"/>
                <w:spacing w:val="0"/>
                <w:sz w:val="20"/>
              </w:rPr>
            </w:pPr>
            <w:r w:rsidRPr="00092FC5">
              <w:rPr>
                <w:rFonts w:ascii="Calibri" w:hAnsi="Calibri"/>
                <w:spacing w:val="0"/>
                <w:sz w:val="20"/>
              </w:rPr>
              <w:t xml:space="preserve">For DSS to update on performance matters across jurisdictions including incentive processing, </w:t>
            </w:r>
            <w:r>
              <w:rPr>
                <w:rFonts w:ascii="Calibri" w:hAnsi="Calibri"/>
                <w:spacing w:val="0"/>
                <w:sz w:val="20"/>
              </w:rPr>
              <w:t>provisional allocations, and</w:t>
            </w:r>
            <w:r w:rsidRPr="00092FC5">
              <w:rPr>
                <w:rFonts w:ascii="Calibri" w:hAnsi="Calibri"/>
                <w:spacing w:val="0"/>
                <w:sz w:val="20"/>
              </w:rPr>
              <w:t xml:space="preserve"> future reform agenda. </w:t>
            </w:r>
          </w:p>
        </w:tc>
      </w:tr>
    </w:tbl>
    <w:p w:rsidR="00092FC5" w:rsidRPr="00092FC5" w:rsidRDefault="00092FC5" w:rsidP="00BF5A88">
      <w:pPr>
        <w:pStyle w:val="Heading3"/>
      </w:pPr>
      <w:bookmarkStart w:id="56" w:name="_Toc482359710"/>
      <w:bookmarkStart w:id="57" w:name="_Toc503519828"/>
      <w:r w:rsidRPr="00092FC5">
        <w:lastRenderedPageBreak/>
        <w:t>Reporting under the Regulator Performance Framework</w:t>
      </w:r>
      <w:bookmarkEnd w:id="56"/>
      <w:bookmarkEnd w:id="57"/>
      <w:r w:rsidRPr="00092FC5">
        <w:t xml:space="preserve">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 xml:space="preserve">In 2015 the Department developed a Regulator Performance Framework in line with Commonwealth policy to reduce red tape. The NRAS Regulator Performance Framework is designed to encourage regulators (in this case, the Department) to undertake their functions with the minimum impact necessary on regulated entities (in this case, approved participants). </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NRAS is currently the only program in DSS that reports under the Regulator Performance Framework. Under broad Key Performance Indicators (KPIs), it has committed to a number of measures to improve its interaction with approved participants and the community, and increase its public accountability and transparency in the administration of NRAS.  A number of the measures the Department has committed to under this framework relate to risk including a commitment to applying a risk-based, proportionate approach to compliance, a commitment to being open and responsive with approved participants about its risk framework, and regular reassessment of its approach to regulatory risk. The ANAO audit into NRAS noted that the Department’s progress in implementing the risk components of the Regulator Performance Framework had been slow, with little progress made in 2015-16. The Department has delivered more strongly in this area in 2016-17 and ongoing effort will be paid to meeting the risk-based KPIs and measures under this framework throughout 2017-18.</w:t>
      </w:r>
    </w:p>
    <w:p w:rsidR="00092FC5" w:rsidRPr="00092FC5" w:rsidRDefault="00092FC5" w:rsidP="00BF5A88">
      <w:pPr>
        <w:pStyle w:val="Heading3"/>
      </w:pPr>
      <w:bookmarkStart w:id="58" w:name="_Toc482359711"/>
      <w:bookmarkStart w:id="59" w:name="_Toc503519829"/>
      <w:r w:rsidRPr="00092FC5">
        <w:t>NRAS Quarterly Performance Report</w:t>
      </w:r>
      <w:bookmarkEnd w:id="58"/>
      <w:bookmarkEnd w:id="59"/>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Department prepares an NRAS Quarterly Performance Report containing performance data on the allocation of incentives, and the number, type and location of dwellings available for rent in the Scheme. The report is published on the NRAS website within three months of the end of each quarter, and is available for download free of charge for the benefit of the public</w:t>
      </w:r>
      <w:r w:rsidR="00CA389A">
        <w:rPr>
          <w:rFonts w:ascii="Calibri" w:hAnsi="Calibri"/>
          <w:spacing w:val="0"/>
          <w:sz w:val="22"/>
          <w:szCs w:val="22"/>
        </w:rPr>
        <w:t xml:space="preserve"> at </w:t>
      </w:r>
      <w:hyperlink r:id="rId22" w:history="1">
        <w:r w:rsidR="00850E59" w:rsidRPr="00850E59">
          <w:rPr>
            <w:rStyle w:val="Hyperlink"/>
            <w:rFonts w:ascii="Calibri" w:hAnsi="Calibri"/>
            <w:spacing w:val="0"/>
            <w:szCs w:val="22"/>
          </w:rPr>
          <w:t>NRAS Performance Reporting</w:t>
        </w:r>
      </w:hyperlink>
    </w:p>
    <w:p w:rsidR="00092FC5" w:rsidRPr="00092FC5" w:rsidRDefault="00092FC5" w:rsidP="00BF5A88">
      <w:pPr>
        <w:pStyle w:val="Heading3"/>
      </w:pPr>
      <w:bookmarkStart w:id="60" w:name="_Toc482359712"/>
      <w:bookmarkStart w:id="61" w:name="_Toc503519830"/>
      <w:r w:rsidRPr="00092FC5">
        <w:t>Annual Performance Reporting</w:t>
      </w:r>
      <w:bookmarkEnd w:id="60"/>
      <w:bookmarkEnd w:id="61"/>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DSS publishes its Annual Report in October of each year. In the annual report, NRAS reports against its PBS Outcome measures and KPIs</w:t>
      </w:r>
      <w:r w:rsidR="00C73144">
        <w:rPr>
          <w:rFonts w:ascii="Calibri" w:hAnsi="Calibri"/>
          <w:spacing w:val="0"/>
          <w:sz w:val="22"/>
          <w:szCs w:val="22"/>
        </w:rPr>
        <w:t>.</w:t>
      </w:r>
      <w:r w:rsidR="00C73144" w:rsidRPr="00C73144">
        <w:rPr>
          <w:rFonts w:ascii="Calibri" w:hAnsi="Calibri"/>
          <w:spacing w:val="0"/>
          <w:sz w:val="22"/>
          <w:szCs w:val="22"/>
        </w:rPr>
        <w:t xml:space="preserve"> </w:t>
      </w:r>
      <w:r w:rsidR="00C73144" w:rsidRPr="00897B05">
        <w:rPr>
          <w:rFonts w:ascii="Calibri" w:hAnsi="Calibri"/>
          <w:spacing w:val="0"/>
          <w:sz w:val="22"/>
          <w:szCs w:val="22"/>
        </w:rPr>
        <w:t>This reporting provides public accountability for the delivery of Scheme outcomes.</w:t>
      </w:r>
      <w:r w:rsidRPr="00092FC5">
        <w:rPr>
          <w:rFonts w:ascii="Calibri" w:hAnsi="Calibri"/>
          <w:spacing w:val="0"/>
          <w:sz w:val="22"/>
          <w:szCs w:val="22"/>
        </w:rPr>
        <w:t xml:space="preserve"> NRAS report</w:t>
      </w:r>
      <w:r w:rsidR="00C73144">
        <w:rPr>
          <w:rFonts w:ascii="Calibri" w:hAnsi="Calibri"/>
          <w:spacing w:val="0"/>
          <w:sz w:val="22"/>
          <w:szCs w:val="22"/>
        </w:rPr>
        <w:t>s</w:t>
      </w:r>
      <w:r w:rsidRPr="00092FC5">
        <w:rPr>
          <w:rFonts w:ascii="Calibri" w:hAnsi="Calibri"/>
          <w:spacing w:val="0"/>
          <w:sz w:val="22"/>
          <w:szCs w:val="22"/>
        </w:rPr>
        <w:t>:</w:t>
      </w:r>
    </w:p>
    <w:p w:rsidR="00092FC5" w:rsidRPr="00092FC5" w:rsidRDefault="00092FC5" w:rsidP="00DD056F">
      <w:pPr>
        <w:numPr>
          <w:ilvl w:val="0"/>
          <w:numId w:val="10"/>
        </w:numPr>
        <w:spacing w:before="0" w:after="120" w:line="240" w:lineRule="atLeast"/>
        <w:contextualSpacing/>
        <w:rPr>
          <w:rFonts w:ascii="Calibri" w:hAnsi="Calibri"/>
          <w:spacing w:val="0"/>
          <w:sz w:val="22"/>
          <w:szCs w:val="22"/>
        </w:rPr>
      </w:pPr>
      <w:r w:rsidRPr="00092FC5">
        <w:rPr>
          <w:rFonts w:ascii="Calibri" w:hAnsi="Calibri"/>
          <w:spacing w:val="0"/>
          <w:sz w:val="22"/>
          <w:szCs w:val="22"/>
        </w:rPr>
        <w:t>the number of incentives paid in the financial year,</w:t>
      </w:r>
    </w:p>
    <w:p w:rsidR="00092FC5" w:rsidRPr="00092FC5" w:rsidRDefault="00092FC5" w:rsidP="00DD056F">
      <w:pPr>
        <w:numPr>
          <w:ilvl w:val="0"/>
          <w:numId w:val="10"/>
        </w:numPr>
        <w:spacing w:before="0" w:after="120" w:line="240" w:lineRule="atLeast"/>
        <w:contextualSpacing/>
        <w:rPr>
          <w:rFonts w:ascii="Calibri" w:hAnsi="Calibri"/>
          <w:spacing w:val="0"/>
          <w:sz w:val="22"/>
          <w:szCs w:val="22"/>
        </w:rPr>
      </w:pPr>
      <w:r w:rsidRPr="00092FC5">
        <w:rPr>
          <w:rFonts w:ascii="Calibri" w:hAnsi="Calibri"/>
          <w:spacing w:val="0"/>
          <w:sz w:val="22"/>
          <w:szCs w:val="22"/>
        </w:rPr>
        <w:t>the number of dwellings currently active in the Scheme at 30 June of that year</w:t>
      </w:r>
      <w:r w:rsidR="009D6D2E">
        <w:rPr>
          <w:rFonts w:ascii="Calibri" w:hAnsi="Calibri"/>
          <w:spacing w:val="0"/>
          <w:sz w:val="22"/>
          <w:szCs w:val="22"/>
        </w:rPr>
        <w:t>, and</w:t>
      </w:r>
    </w:p>
    <w:p w:rsidR="00092FC5" w:rsidRPr="00DD056F" w:rsidRDefault="00092FC5" w:rsidP="00DD056F">
      <w:pPr>
        <w:numPr>
          <w:ilvl w:val="0"/>
          <w:numId w:val="10"/>
        </w:numPr>
        <w:spacing w:before="0" w:after="120" w:line="240" w:lineRule="atLeast"/>
        <w:contextualSpacing/>
        <w:rPr>
          <w:rFonts w:ascii="Calibri" w:hAnsi="Calibri"/>
          <w:spacing w:val="0"/>
          <w:sz w:val="22"/>
          <w:szCs w:val="22"/>
        </w:rPr>
      </w:pPr>
      <w:r w:rsidRPr="00DD056F">
        <w:rPr>
          <w:rFonts w:ascii="Calibri" w:hAnsi="Calibri"/>
          <w:spacing w:val="0"/>
          <w:sz w:val="22"/>
          <w:szCs w:val="22"/>
        </w:rPr>
        <w:t>the percentage of people who have had their rental stress reduced as a result of being in the Scheme.</w:t>
      </w:r>
    </w:p>
    <w:p w:rsidR="00092FC5" w:rsidRPr="00092FC5" w:rsidRDefault="00092FC5" w:rsidP="00BF5A88">
      <w:pPr>
        <w:pStyle w:val="Heading3"/>
      </w:pPr>
      <w:bookmarkStart w:id="62" w:name="_Toc482359713"/>
      <w:bookmarkStart w:id="63" w:name="_Toc503519831"/>
      <w:r w:rsidRPr="00092FC5">
        <w:t>Reporting to Audit and Assurance Committee</w:t>
      </w:r>
      <w:bookmarkEnd w:id="53"/>
      <w:bookmarkEnd w:id="62"/>
      <w:bookmarkEnd w:id="63"/>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role of the Department’s Audit and Assurance Committee (A</w:t>
      </w:r>
      <w:r w:rsidR="00D21923">
        <w:rPr>
          <w:rFonts w:ascii="Calibri" w:hAnsi="Calibri"/>
          <w:spacing w:val="0"/>
          <w:sz w:val="22"/>
          <w:szCs w:val="22"/>
        </w:rPr>
        <w:t>A</w:t>
      </w:r>
      <w:r w:rsidRPr="00092FC5">
        <w:rPr>
          <w:rFonts w:ascii="Calibri" w:hAnsi="Calibri"/>
          <w:spacing w:val="0"/>
          <w:sz w:val="22"/>
          <w:szCs w:val="22"/>
        </w:rPr>
        <w:t>C) is to provide independent assurance and advice to the Secretary and Executive Management Group on DSS’ financial and performance reporting responsibilities, risk oversight and management, and system of internal controls. It also has a role to play to promote an ethical culture within DSS.</w:t>
      </w:r>
    </w:p>
    <w:p w:rsidR="00092FC5" w:rsidRPr="00092FC5" w:rsidRDefault="00092FC5" w:rsidP="0060483B">
      <w:pPr>
        <w:spacing w:after="60" w:line="240" w:lineRule="atLeast"/>
        <w:rPr>
          <w:rFonts w:ascii="Calibri" w:hAnsi="Calibri"/>
          <w:spacing w:val="0"/>
          <w:sz w:val="22"/>
          <w:szCs w:val="22"/>
        </w:rPr>
      </w:pPr>
      <w:r w:rsidRPr="00092FC5">
        <w:rPr>
          <w:rFonts w:ascii="Calibri" w:hAnsi="Calibri"/>
          <w:spacing w:val="0"/>
          <w:sz w:val="22"/>
          <w:szCs w:val="22"/>
        </w:rPr>
        <w:t xml:space="preserve">As part of its role, the AAC monitors the implementation of internal audit and ANAO audit recommendations. HPHB first reported to the AAC on its progress toward implementation of the November 2016 ANAO recommendations into NRAS at the AAC meeting in March 2017. HPHB </w:t>
      </w:r>
      <w:r w:rsidR="00C73144">
        <w:rPr>
          <w:rFonts w:ascii="Calibri" w:hAnsi="Calibri"/>
          <w:spacing w:val="0"/>
          <w:sz w:val="22"/>
          <w:szCs w:val="22"/>
        </w:rPr>
        <w:t>is</w:t>
      </w:r>
      <w:r w:rsidRPr="00092FC5">
        <w:rPr>
          <w:rFonts w:ascii="Calibri" w:hAnsi="Calibri"/>
          <w:spacing w:val="0"/>
          <w:sz w:val="22"/>
          <w:szCs w:val="22"/>
        </w:rPr>
        <w:t xml:space="preserve"> responsible for reporting to each meeting of the AAC until </w:t>
      </w:r>
      <w:r w:rsidR="00C73144">
        <w:rPr>
          <w:rFonts w:ascii="Calibri" w:hAnsi="Calibri"/>
          <w:spacing w:val="0"/>
          <w:sz w:val="22"/>
          <w:szCs w:val="22"/>
        </w:rPr>
        <w:t>all</w:t>
      </w:r>
      <w:r w:rsidRPr="00092FC5">
        <w:rPr>
          <w:rFonts w:ascii="Calibri" w:hAnsi="Calibri"/>
          <w:spacing w:val="0"/>
          <w:sz w:val="22"/>
          <w:szCs w:val="22"/>
        </w:rPr>
        <w:t xml:space="preserve"> three recommendations </w:t>
      </w:r>
      <w:bookmarkStart w:id="64" w:name="_Toc474164077"/>
      <w:r w:rsidR="00C73144">
        <w:rPr>
          <w:rFonts w:ascii="Calibri" w:hAnsi="Calibri"/>
          <w:spacing w:val="0"/>
          <w:sz w:val="22"/>
          <w:szCs w:val="22"/>
        </w:rPr>
        <w:t>are</w:t>
      </w:r>
      <w:r w:rsidR="00C73144" w:rsidRPr="00092FC5">
        <w:rPr>
          <w:rFonts w:ascii="Calibri" w:hAnsi="Calibri"/>
          <w:spacing w:val="0"/>
          <w:sz w:val="22"/>
          <w:szCs w:val="22"/>
        </w:rPr>
        <w:t xml:space="preserve"> </w:t>
      </w:r>
      <w:r w:rsidRPr="00092FC5">
        <w:rPr>
          <w:rFonts w:ascii="Calibri" w:hAnsi="Calibri"/>
          <w:spacing w:val="0"/>
          <w:sz w:val="22"/>
          <w:szCs w:val="22"/>
        </w:rPr>
        <w:t>complete, and information on actions taken to implement recommendations – and supporting evidence – is tabled at the committee before a recommendation will be endorsed for closure.</w:t>
      </w:r>
      <w:r w:rsidRPr="00092FC5">
        <w:rPr>
          <w:rFonts w:ascii="Calibri" w:hAnsi="Calibri"/>
          <w:spacing w:val="0"/>
          <w:sz w:val="22"/>
          <w:szCs w:val="22"/>
        </w:rPr>
        <w:br w:type="page"/>
      </w:r>
    </w:p>
    <w:p w:rsidR="00092FC5" w:rsidRPr="00F05E66" w:rsidRDefault="00092FC5" w:rsidP="00BF5A88">
      <w:pPr>
        <w:pStyle w:val="Heading1"/>
        <w:rPr>
          <w:rFonts w:eastAsia="Times New Roman" w:cs="Times New Roman"/>
          <w:bCs w:val="0"/>
          <w:noProof w:val="0"/>
          <w:color w:val="275D38"/>
          <w:spacing w:val="5"/>
          <w:szCs w:val="36"/>
        </w:rPr>
      </w:pPr>
      <w:bookmarkStart w:id="65" w:name="_Toc482359714"/>
      <w:bookmarkStart w:id="66" w:name="_Toc503519832"/>
      <w:bookmarkEnd w:id="64"/>
      <w:r w:rsidRPr="00F05E66">
        <w:rPr>
          <w:rFonts w:eastAsia="Times New Roman" w:cs="Times New Roman"/>
          <w:bCs w:val="0"/>
          <w:noProof w:val="0"/>
          <w:color w:val="275D38"/>
          <w:spacing w:val="5"/>
          <w:szCs w:val="36"/>
        </w:rPr>
        <w:lastRenderedPageBreak/>
        <w:t>Relationships &amp; Resources</w:t>
      </w:r>
      <w:bookmarkEnd w:id="65"/>
      <w:bookmarkEnd w:id="66"/>
    </w:p>
    <w:p w:rsidR="00092FC5" w:rsidRPr="00092FC5" w:rsidRDefault="00092FC5" w:rsidP="00BF5A88">
      <w:pPr>
        <w:pStyle w:val="Heading3"/>
      </w:pPr>
      <w:bookmarkStart w:id="67" w:name="_Toc482359715"/>
      <w:bookmarkStart w:id="68" w:name="_Toc503519833"/>
      <w:r w:rsidRPr="00092FC5">
        <w:t>External Stakeholders</w:t>
      </w:r>
      <w:bookmarkEnd w:id="67"/>
      <w:bookmarkEnd w:id="68"/>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t>The below diagram represents the key relationships the Department has in relation to NRAS, which are used strategically to help manage risks, and improve operational performance. A particular focus for 2017-18 will be to strengthen strategic relationships with external regulatory agencies such as Australian Taxation Office (ATO) and the Australian Competition and Consumer Commission (ACCC) and the Australian Charities and Not-for-profits Commission (ACNC) as part of overall risk management strategies.</w:t>
      </w:r>
    </w:p>
    <w:p w:rsidR="00092FC5" w:rsidRPr="00092FC5" w:rsidRDefault="0031279A" w:rsidP="00092FC5">
      <w:pPr>
        <w:spacing w:after="120" w:line="240" w:lineRule="atLeast"/>
        <w:rPr>
          <w:rFonts w:ascii="Calibri" w:hAnsi="Calibri"/>
          <w:noProof/>
          <w:spacing w:val="0"/>
          <w:sz w:val="20"/>
        </w:rPr>
      </w:pPr>
      <w:r>
        <w:rPr>
          <w:rFonts w:ascii="Calibri" w:hAnsi="Calibri"/>
          <w:noProof/>
          <w:spacing w:val="0"/>
          <w:sz w:val="20"/>
        </w:rPr>
        <w:drawing>
          <wp:inline distT="0" distB="0" distL="0" distR="0">
            <wp:extent cx="5828306" cy="5820355"/>
            <wp:effectExtent l="0" t="0" r="0" b="9525"/>
            <wp:docPr id="1" name="Diagram 1" title="Picture of relationships with external stakehold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92FC5" w:rsidRPr="00092FC5" w:rsidRDefault="00092FC5" w:rsidP="00092FC5">
      <w:pPr>
        <w:spacing w:before="0" w:after="200" w:line="276" w:lineRule="auto"/>
        <w:rPr>
          <w:rFonts w:ascii="Calibri" w:hAnsi="Calibri"/>
          <w:bCs/>
          <w:spacing w:val="0"/>
          <w:sz w:val="22"/>
          <w:szCs w:val="22"/>
        </w:rPr>
      </w:pPr>
      <w:r w:rsidRPr="00092FC5">
        <w:rPr>
          <w:rFonts w:ascii="Calibri" w:hAnsi="Calibri"/>
          <w:bCs/>
          <w:spacing w:val="0"/>
          <w:sz w:val="22"/>
          <w:szCs w:val="22"/>
        </w:rPr>
        <w:br w:type="page"/>
      </w:r>
    </w:p>
    <w:p w:rsidR="00092FC5" w:rsidRPr="00092FC5" w:rsidRDefault="00092FC5" w:rsidP="00BF5A88">
      <w:pPr>
        <w:pStyle w:val="Heading3"/>
      </w:pPr>
      <w:bookmarkStart w:id="69" w:name="_Toc482359716"/>
      <w:bookmarkStart w:id="70" w:name="_Toc503519834"/>
      <w:r w:rsidRPr="00092FC5">
        <w:lastRenderedPageBreak/>
        <w:t>Key Internal Stakeholders</w:t>
      </w:r>
      <w:bookmarkEnd w:id="69"/>
      <w:bookmarkEnd w:id="70"/>
    </w:p>
    <w:tbl>
      <w:tblPr>
        <w:tblStyle w:val="TableGrid11"/>
        <w:tblW w:w="0" w:type="auto"/>
        <w:tblLook w:val="04A0" w:firstRow="1" w:lastRow="0" w:firstColumn="1" w:lastColumn="0" w:noHBand="0" w:noVBand="1"/>
        <w:tblCaption w:val="Internal stakeholders table"/>
        <w:tblDescription w:val="The table shows a list of the key NRAS internal stakeholders and gives a brief description in relation to the purpose of engagement."/>
      </w:tblPr>
      <w:tblGrid>
        <w:gridCol w:w="4113"/>
        <w:gridCol w:w="4903"/>
      </w:tblGrid>
      <w:tr w:rsidR="00092FC5" w:rsidRPr="00092FC5" w:rsidTr="006F358E">
        <w:trPr>
          <w:tblHeader/>
        </w:trPr>
        <w:tc>
          <w:tcPr>
            <w:tcW w:w="4219" w:type="dxa"/>
            <w:shd w:val="clear" w:color="auto" w:fill="262626" w:themeFill="text1" w:themeFillTint="D9"/>
          </w:tcPr>
          <w:p w:rsidR="00092FC5" w:rsidRPr="00092FC5" w:rsidRDefault="00092FC5" w:rsidP="00092FC5">
            <w:pPr>
              <w:spacing w:after="120" w:line="240" w:lineRule="atLeast"/>
              <w:jc w:val="center"/>
              <w:rPr>
                <w:rFonts w:ascii="Calibri" w:hAnsi="Calibri"/>
                <w:b/>
                <w:bCs/>
                <w:spacing w:val="0"/>
                <w:sz w:val="22"/>
                <w:szCs w:val="22"/>
              </w:rPr>
            </w:pPr>
            <w:r w:rsidRPr="00092FC5">
              <w:rPr>
                <w:rFonts w:ascii="Calibri" w:hAnsi="Calibri"/>
                <w:b/>
                <w:bCs/>
                <w:spacing w:val="0"/>
                <w:sz w:val="22"/>
                <w:szCs w:val="22"/>
              </w:rPr>
              <w:t>Internal Stakeholder</w:t>
            </w:r>
          </w:p>
        </w:tc>
        <w:tc>
          <w:tcPr>
            <w:tcW w:w="5023" w:type="dxa"/>
            <w:shd w:val="clear" w:color="auto" w:fill="262626" w:themeFill="text1" w:themeFillTint="D9"/>
          </w:tcPr>
          <w:p w:rsidR="00092FC5" w:rsidRPr="00092FC5" w:rsidRDefault="00092FC5" w:rsidP="00092FC5">
            <w:pPr>
              <w:spacing w:after="120" w:line="240" w:lineRule="atLeast"/>
              <w:jc w:val="center"/>
              <w:rPr>
                <w:rFonts w:ascii="Calibri" w:hAnsi="Calibri"/>
                <w:b/>
                <w:bCs/>
                <w:spacing w:val="0"/>
                <w:sz w:val="22"/>
                <w:szCs w:val="22"/>
              </w:rPr>
            </w:pPr>
            <w:r w:rsidRPr="00092FC5">
              <w:rPr>
                <w:rFonts w:ascii="Calibri" w:hAnsi="Calibri"/>
                <w:b/>
                <w:bCs/>
                <w:spacing w:val="0"/>
                <w:sz w:val="22"/>
                <w:szCs w:val="22"/>
              </w:rPr>
              <w:t>Key Purpose of Engagement</w:t>
            </w:r>
          </w:p>
        </w:tc>
      </w:tr>
      <w:tr w:rsidR="00092FC5" w:rsidRPr="00092FC5" w:rsidTr="0085067F">
        <w:tc>
          <w:tcPr>
            <w:tcW w:w="4219"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Enterprise Planning and Risk Management Section</w:t>
            </w:r>
          </w:p>
        </w:tc>
        <w:tc>
          <w:tcPr>
            <w:tcW w:w="5023"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Advice and guidance on risk planning</w:t>
            </w:r>
          </w:p>
        </w:tc>
      </w:tr>
      <w:tr w:rsidR="00092FC5" w:rsidRPr="00092FC5" w:rsidTr="0085067F">
        <w:tc>
          <w:tcPr>
            <w:tcW w:w="4219"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Legal Services Branch</w:t>
            </w:r>
          </w:p>
        </w:tc>
        <w:tc>
          <w:tcPr>
            <w:tcW w:w="5023"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Advice on specific queries, assistance with regulatory matters and the development of amendments to the Act and the Regulations</w:t>
            </w:r>
          </w:p>
        </w:tc>
      </w:tr>
      <w:tr w:rsidR="00092FC5" w:rsidRPr="00092FC5" w:rsidTr="0085067F">
        <w:tc>
          <w:tcPr>
            <w:tcW w:w="4219"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Assurance and Performance Branch</w:t>
            </w:r>
          </w:p>
        </w:tc>
        <w:tc>
          <w:tcPr>
            <w:tcW w:w="5023"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Ongoing engagement with the following Branch sections for operational needs: Investigations; Fraud Analytics; Compliance and Feedback</w:t>
            </w:r>
          </w:p>
        </w:tc>
      </w:tr>
      <w:tr w:rsidR="00092FC5" w:rsidRPr="00092FC5" w:rsidTr="0085067F">
        <w:tc>
          <w:tcPr>
            <w:tcW w:w="4219"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Internal Audit Section</w:t>
            </w:r>
          </w:p>
        </w:tc>
        <w:tc>
          <w:tcPr>
            <w:tcW w:w="5023" w:type="dxa"/>
          </w:tcPr>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Reporting on ANAO and internal audit recommendations</w:t>
            </w:r>
          </w:p>
        </w:tc>
      </w:tr>
    </w:tbl>
    <w:p w:rsidR="00092FC5" w:rsidRPr="00092FC5" w:rsidRDefault="00092FC5" w:rsidP="00BF5A88">
      <w:pPr>
        <w:pStyle w:val="Heading3"/>
      </w:pPr>
      <w:bookmarkStart w:id="71" w:name="_Toc482359717"/>
      <w:bookmarkStart w:id="72" w:name="_Toc503519835"/>
      <w:r w:rsidRPr="00092FC5">
        <w:t>NRAS Regulatory Framework and Applicable Departmental Policy</w:t>
      </w:r>
      <w:bookmarkEnd w:id="71"/>
      <w:bookmarkEnd w:id="72"/>
      <w:r w:rsidRPr="00092FC5">
        <w:t xml:space="preserve"> </w:t>
      </w:r>
    </w:p>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The HPHB will be responsible for driving a range of improvements throughout 2017-18 that seek to improve overall NRAS program management and management of NRAS risks.</w:t>
      </w:r>
    </w:p>
    <w:p w:rsidR="00092FC5" w:rsidRPr="00092FC5" w:rsidRDefault="00092FC5" w:rsidP="00092FC5">
      <w:pPr>
        <w:spacing w:before="0" w:after="160" w:line="259" w:lineRule="auto"/>
        <w:rPr>
          <w:rFonts w:ascii="Calibri" w:hAnsi="Calibri"/>
          <w:bCs/>
          <w:spacing w:val="0"/>
          <w:sz w:val="22"/>
          <w:szCs w:val="22"/>
        </w:rPr>
      </w:pPr>
      <w:r w:rsidRPr="00092FC5">
        <w:rPr>
          <w:rFonts w:ascii="Calibri" w:hAnsi="Calibri"/>
          <w:bCs/>
          <w:spacing w:val="0"/>
          <w:sz w:val="22"/>
          <w:szCs w:val="22"/>
        </w:rPr>
        <w:t>A key element of this improvement path is to make concerted effort to ensure staff working in NRAS have a good knowledge of the objectives and operations of the Scheme and its legislative framework, have the capability to carry out their roles, and are supported by endorsed policies and procedures.</w:t>
      </w:r>
    </w:p>
    <w:p w:rsidR="00092FC5" w:rsidRPr="00092FC5" w:rsidRDefault="00092FC5" w:rsidP="00092FC5">
      <w:pPr>
        <w:spacing w:before="0" w:after="160" w:line="259" w:lineRule="auto"/>
        <w:rPr>
          <w:rFonts w:ascii="Calibri" w:hAnsi="Calibri"/>
          <w:bCs/>
          <w:spacing w:val="0"/>
          <w:sz w:val="22"/>
          <w:szCs w:val="22"/>
        </w:rPr>
      </w:pPr>
      <w:r w:rsidRPr="00092FC5">
        <w:rPr>
          <w:rFonts w:ascii="Calibri" w:hAnsi="Calibri"/>
          <w:bCs/>
          <w:spacing w:val="0"/>
          <w:sz w:val="22"/>
          <w:szCs w:val="22"/>
        </w:rPr>
        <w:t>The various resources listed below are intended to provide an accessible reference point to staff who work in the administration of NRAS to help ensure they are aware of the regulatory framework and applicable Departmental policies, are committed to good practice and continuous improvement, and have a broad awareness of how NRAS has developed over time.</w:t>
      </w:r>
    </w:p>
    <w:tbl>
      <w:tblPr>
        <w:tblStyle w:val="TableGrid2"/>
        <w:tblW w:w="9322" w:type="dxa"/>
        <w:tblLook w:val="04A0" w:firstRow="1" w:lastRow="0" w:firstColumn="1" w:lastColumn="0" w:noHBand="0" w:noVBand="1"/>
        <w:tblCaption w:val="NRAS Regulatory Framework and applicable departmental policies"/>
        <w:tblDescription w:val="These resources outline the regulatory and policy framework for the administration of the Scheme."/>
      </w:tblPr>
      <w:tblGrid>
        <w:gridCol w:w="4644"/>
        <w:gridCol w:w="4678"/>
      </w:tblGrid>
      <w:tr w:rsidR="00092FC5" w:rsidRPr="00092FC5" w:rsidTr="006F358E">
        <w:trPr>
          <w:tblHeader/>
        </w:trPr>
        <w:tc>
          <w:tcPr>
            <w:tcW w:w="4644" w:type="dxa"/>
            <w:shd w:val="clear" w:color="auto" w:fill="262626" w:themeFill="text1" w:themeFillTint="D9"/>
          </w:tcPr>
          <w:p w:rsidR="00092FC5" w:rsidRPr="00092FC5" w:rsidRDefault="00092FC5" w:rsidP="00092FC5">
            <w:pPr>
              <w:spacing w:after="120" w:line="240" w:lineRule="atLeast"/>
              <w:jc w:val="center"/>
              <w:rPr>
                <w:rFonts w:ascii="Calibri" w:hAnsi="Calibri"/>
                <w:b/>
                <w:bCs/>
                <w:spacing w:val="0"/>
                <w:sz w:val="22"/>
                <w:szCs w:val="22"/>
              </w:rPr>
            </w:pPr>
            <w:r w:rsidRPr="00092FC5">
              <w:rPr>
                <w:rFonts w:ascii="Calibri" w:hAnsi="Calibri"/>
                <w:b/>
                <w:bCs/>
                <w:spacing w:val="0"/>
                <w:sz w:val="22"/>
                <w:szCs w:val="22"/>
              </w:rPr>
              <w:t>Regulatory Framework</w:t>
            </w:r>
          </w:p>
        </w:tc>
        <w:tc>
          <w:tcPr>
            <w:tcW w:w="4678" w:type="dxa"/>
            <w:shd w:val="clear" w:color="auto" w:fill="262626" w:themeFill="text1" w:themeFillTint="D9"/>
          </w:tcPr>
          <w:p w:rsidR="00092FC5" w:rsidRPr="00092FC5" w:rsidRDefault="00092FC5" w:rsidP="00092FC5">
            <w:pPr>
              <w:spacing w:after="120" w:line="240" w:lineRule="atLeast"/>
              <w:jc w:val="center"/>
              <w:rPr>
                <w:rFonts w:ascii="Calibri" w:hAnsi="Calibri"/>
                <w:b/>
                <w:bCs/>
                <w:spacing w:val="0"/>
                <w:sz w:val="22"/>
                <w:szCs w:val="22"/>
              </w:rPr>
            </w:pPr>
            <w:r w:rsidRPr="00092FC5">
              <w:rPr>
                <w:rFonts w:ascii="Calibri" w:hAnsi="Calibri"/>
                <w:b/>
                <w:bCs/>
                <w:spacing w:val="0"/>
                <w:sz w:val="22"/>
                <w:szCs w:val="22"/>
              </w:rPr>
              <w:t>Applicable DSS Policy Documents</w:t>
            </w:r>
          </w:p>
        </w:tc>
      </w:tr>
      <w:tr w:rsidR="00092FC5" w:rsidRPr="00092FC5" w:rsidTr="0085067F">
        <w:trPr>
          <w:trHeight w:val="3847"/>
        </w:trPr>
        <w:tc>
          <w:tcPr>
            <w:tcW w:w="4644" w:type="dxa"/>
          </w:tcPr>
          <w:p w:rsidR="00092FC5" w:rsidRPr="00092FC5" w:rsidRDefault="0018697F" w:rsidP="00092FC5">
            <w:pPr>
              <w:spacing w:after="120" w:line="240" w:lineRule="atLeast"/>
              <w:rPr>
                <w:rFonts w:ascii="Calibri" w:hAnsi="Calibri"/>
                <w:spacing w:val="0"/>
                <w:sz w:val="22"/>
                <w:szCs w:val="22"/>
              </w:rPr>
            </w:pPr>
            <w:hyperlink r:id="rId28" w:history="1">
              <w:r w:rsidR="00092FC5" w:rsidRPr="00092FC5">
                <w:rPr>
                  <w:rFonts w:ascii="Calibri" w:hAnsi="Calibri"/>
                  <w:i/>
                  <w:spacing w:val="0"/>
                  <w:sz w:val="22"/>
                  <w:szCs w:val="22"/>
                  <w:u w:val="single"/>
                </w:rPr>
                <w:t>Public Governance, Performance and Accountability Act 2013</w:t>
              </w:r>
            </w:hyperlink>
            <w:r w:rsidR="00092FC5" w:rsidRPr="00092FC5">
              <w:rPr>
                <w:rFonts w:ascii="Calibri" w:hAnsi="Calibri"/>
                <w:spacing w:val="0"/>
                <w:sz w:val="22"/>
                <w:szCs w:val="22"/>
              </w:rPr>
              <w:t xml:space="preserve"> (particularly sections 15 and 16)</w:t>
            </w:r>
          </w:p>
          <w:p w:rsidR="00092FC5" w:rsidRPr="00092FC5" w:rsidRDefault="0018697F" w:rsidP="00092FC5">
            <w:pPr>
              <w:spacing w:after="120" w:line="240" w:lineRule="atLeast"/>
              <w:rPr>
                <w:rFonts w:ascii="Calibri" w:hAnsi="Calibri"/>
                <w:i/>
                <w:spacing w:val="0"/>
                <w:sz w:val="22"/>
                <w:szCs w:val="22"/>
              </w:rPr>
            </w:pPr>
            <w:hyperlink r:id="rId29" w:history="1">
              <w:r w:rsidR="00092FC5" w:rsidRPr="00092FC5">
                <w:rPr>
                  <w:rFonts w:ascii="Calibri" w:hAnsi="Calibri"/>
                  <w:i/>
                  <w:spacing w:val="0"/>
                  <w:sz w:val="22"/>
                  <w:szCs w:val="22"/>
                  <w:u w:val="single"/>
                </w:rPr>
                <w:t>National Rental Affordability Act 2008</w:t>
              </w:r>
            </w:hyperlink>
            <w:r w:rsidR="00092FC5" w:rsidRPr="00092FC5">
              <w:rPr>
                <w:rFonts w:ascii="Calibri" w:hAnsi="Calibri"/>
                <w:i/>
                <w:spacing w:val="0"/>
                <w:sz w:val="22"/>
                <w:szCs w:val="22"/>
                <w:u w:val="single"/>
              </w:rPr>
              <w:t xml:space="preserve"> </w:t>
            </w:r>
            <w:r w:rsidR="00092FC5" w:rsidRPr="00092FC5">
              <w:rPr>
                <w:rFonts w:ascii="Calibri" w:hAnsi="Calibri"/>
                <w:spacing w:val="0"/>
                <w:sz w:val="22"/>
                <w:szCs w:val="22"/>
              </w:rPr>
              <w:t>(the Act)</w:t>
            </w:r>
          </w:p>
          <w:p w:rsidR="00092FC5" w:rsidRPr="00092FC5" w:rsidRDefault="0018697F" w:rsidP="00092FC5">
            <w:pPr>
              <w:spacing w:after="120" w:line="240" w:lineRule="atLeast"/>
              <w:rPr>
                <w:rFonts w:ascii="Calibri" w:hAnsi="Calibri"/>
                <w:i/>
                <w:spacing w:val="0"/>
                <w:sz w:val="22"/>
                <w:szCs w:val="22"/>
              </w:rPr>
            </w:pPr>
            <w:hyperlink r:id="rId30" w:history="1">
              <w:r w:rsidR="00092FC5" w:rsidRPr="00092FC5">
                <w:rPr>
                  <w:rFonts w:ascii="Calibri" w:hAnsi="Calibri"/>
                  <w:i/>
                  <w:spacing w:val="0"/>
                  <w:sz w:val="22"/>
                  <w:szCs w:val="22"/>
                  <w:u w:val="single"/>
                </w:rPr>
                <w:t>National Rental Affordability Scheme Regulations 2008</w:t>
              </w:r>
            </w:hyperlink>
          </w:p>
          <w:p w:rsidR="00092FC5" w:rsidRPr="00092FC5" w:rsidRDefault="0018697F" w:rsidP="00092FC5">
            <w:pPr>
              <w:spacing w:after="120" w:line="240" w:lineRule="atLeast"/>
              <w:rPr>
                <w:rFonts w:ascii="Calibri" w:hAnsi="Calibri"/>
                <w:spacing w:val="0"/>
                <w:sz w:val="22"/>
                <w:szCs w:val="22"/>
              </w:rPr>
            </w:pPr>
            <w:hyperlink r:id="rId31" w:history="1">
              <w:r w:rsidR="00092FC5" w:rsidRPr="00092FC5">
                <w:rPr>
                  <w:rFonts w:ascii="Calibri" w:hAnsi="Calibri"/>
                  <w:i/>
                  <w:spacing w:val="0"/>
                  <w:sz w:val="22"/>
                  <w:szCs w:val="22"/>
                  <w:u w:val="single"/>
                </w:rPr>
                <w:t>Income Tax Assessment Act 1997</w:t>
              </w:r>
              <w:r w:rsidR="00092FC5" w:rsidRPr="00092FC5">
                <w:rPr>
                  <w:rFonts w:ascii="Calibri" w:hAnsi="Calibri"/>
                  <w:spacing w:val="0"/>
                  <w:sz w:val="22"/>
                  <w:szCs w:val="22"/>
                </w:rPr>
                <w:t xml:space="preserve"> (Division 380)</w:t>
              </w:r>
            </w:hyperlink>
          </w:p>
          <w:p w:rsidR="00092FC5" w:rsidRPr="00092FC5" w:rsidRDefault="0018697F" w:rsidP="00092FC5">
            <w:pPr>
              <w:spacing w:after="120" w:line="240" w:lineRule="atLeast"/>
              <w:rPr>
                <w:rFonts w:ascii="Calibri" w:hAnsi="Calibri"/>
                <w:spacing w:val="0"/>
                <w:sz w:val="22"/>
                <w:szCs w:val="22"/>
              </w:rPr>
            </w:pPr>
            <w:hyperlink r:id="rId32" w:history="1">
              <w:r w:rsidR="00092FC5" w:rsidRPr="00092FC5">
                <w:rPr>
                  <w:rFonts w:ascii="Calibri" w:hAnsi="Calibri"/>
                  <w:spacing w:val="0"/>
                  <w:sz w:val="22"/>
                  <w:szCs w:val="22"/>
                </w:rPr>
                <w:t>DSS,</w:t>
              </w:r>
              <w:r w:rsidR="00092FC5" w:rsidRPr="00092FC5">
                <w:rPr>
                  <w:rFonts w:ascii="Calibri" w:hAnsi="Calibri"/>
                  <w:spacing w:val="0"/>
                  <w:sz w:val="22"/>
                  <w:szCs w:val="22"/>
                  <w:u w:val="single"/>
                </w:rPr>
                <w:t xml:space="preserve"> </w:t>
              </w:r>
              <w:r w:rsidR="00092FC5" w:rsidRPr="00092FC5">
                <w:rPr>
                  <w:rFonts w:ascii="Calibri" w:hAnsi="Calibri"/>
                  <w:i/>
                  <w:spacing w:val="0"/>
                  <w:sz w:val="22"/>
                  <w:szCs w:val="22"/>
                  <w:u w:val="single"/>
                </w:rPr>
                <w:t>Explanatory Guide: National Rental Affordability Scheme</w:t>
              </w:r>
              <w:r w:rsidR="00092FC5" w:rsidRPr="00092FC5">
                <w:rPr>
                  <w:rFonts w:ascii="Calibri" w:hAnsi="Calibri"/>
                  <w:spacing w:val="0"/>
                  <w:sz w:val="22"/>
                  <w:szCs w:val="22"/>
                  <w:u w:val="single"/>
                </w:rPr>
                <w:t>, August 2016</w:t>
              </w:r>
            </w:hyperlink>
          </w:p>
          <w:p w:rsidR="00092FC5" w:rsidRPr="00092FC5" w:rsidRDefault="0018697F" w:rsidP="00092FC5">
            <w:pPr>
              <w:spacing w:after="120" w:line="240" w:lineRule="atLeast"/>
              <w:rPr>
                <w:rFonts w:ascii="Calibri" w:hAnsi="Calibri"/>
                <w:spacing w:val="0"/>
                <w:sz w:val="22"/>
                <w:szCs w:val="22"/>
              </w:rPr>
            </w:pPr>
            <w:hyperlink r:id="rId33" w:history="1">
              <w:r w:rsidR="00092FC5" w:rsidRPr="00092FC5">
                <w:rPr>
                  <w:rFonts w:ascii="Calibri" w:hAnsi="Calibri"/>
                  <w:spacing w:val="0"/>
                  <w:sz w:val="22"/>
                  <w:szCs w:val="22"/>
                  <w:u w:val="single"/>
                </w:rPr>
                <w:t>NRAS Internal Review Guidelines</w:t>
              </w:r>
            </w:hyperlink>
            <w:r w:rsidR="00092FC5" w:rsidRPr="00092FC5">
              <w:rPr>
                <w:rFonts w:ascii="Calibri" w:hAnsi="Calibri"/>
                <w:spacing w:val="0"/>
                <w:sz w:val="22"/>
                <w:szCs w:val="22"/>
              </w:rPr>
              <w:t xml:space="preserve"> (December 2015)</w:t>
            </w:r>
          </w:p>
          <w:p w:rsidR="00092FC5" w:rsidRPr="00092FC5" w:rsidRDefault="00092FC5" w:rsidP="00092FC5">
            <w:pPr>
              <w:spacing w:after="120" w:line="240" w:lineRule="atLeast"/>
              <w:rPr>
                <w:rFonts w:ascii="Calibri" w:hAnsi="Calibri"/>
                <w:spacing w:val="0"/>
                <w:sz w:val="22"/>
                <w:szCs w:val="22"/>
              </w:rPr>
            </w:pPr>
          </w:p>
        </w:tc>
        <w:tc>
          <w:tcPr>
            <w:tcW w:w="4678" w:type="dxa"/>
          </w:tcPr>
          <w:p w:rsidR="00092FC5" w:rsidRPr="00092FC5" w:rsidRDefault="0018697F" w:rsidP="00092FC5">
            <w:pPr>
              <w:spacing w:after="120" w:line="240" w:lineRule="atLeast"/>
              <w:rPr>
                <w:rFonts w:ascii="Calibri" w:hAnsi="Calibri"/>
                <w:spacing w:val="0"/>
                <w:sz w:val="22"/>
                <w:szCs w:val="22"/>
              </w:rPr>
            </w:pPr>
            <w:hyperlink r:id="rId34" w:history="1">
              <w:r w:rsidR="00092FC5" w:rsidRPr="00092FC5">
                <w:rPr>
                  <w:rFonts w:ascii="Calibri" w:hAnsi="Calibri"/>
                  <w:spacing w:val="0"/>
                  <w:sz w:val="22"/>
                  <w:szCs w:val="22"/>
                </w:rPr>
                <w:t>DSS Risk Management Framework</w:t>
              </w:r>
            </w:hyperlink>
            <w:r w:rsidR="00092FC5" w:rsidRPr="00092FC5">
              <w:rPr>
                <w:rFonts w:ascii="Calibri" w:hAnsi="Calibri"/>
                <w:spacing w:val="0"/>
                <w:sz w:val="22"/>
                <w:szCs w:val="22"/>
              </w:rPr>
              <w:t xml:space="preserve"> and Risk Management Guidelines</w:t>
            </w:r>
          </w:p>
          <w:p w:rsidR="00092FC5" w:rsidRPr="00092FC5" w:rsidRDefault="00092FC5" w:rsidP="00092FC5">
            <w:pPr>
              <w:spacing w:after="120" w:line="240" w:lineRule="atLeast"/>
              <w:rPr>
                <w:rFonts w:ascii="Calibri" w:hAnsi="Calibri"/>
                <w:color w:val="000000"/>
                <w:spacing w:val="0"/>
                <w:sz w:val="22"/>
                <w:szCs w:val="22"/>
              </w:rPr>
            </w:pPr>
            <w:r w:rsidRPr="00092FC5">
              <w:rPr>
                <w:rFonts w:ascii="Calibri" w:hAnsi="Calibri"/>
                <w:color w:val="000000"/>
                <w:spacing w:val="0"/>
                <w:sz w:val="22"/>
                <w:szCs w:val="22"/>
              </w:rPr>
              <w:t>DSS Enterprise Compliance Framework</w:t>
            </w:r>
          </w:p>
          <w:p w:rsidR="00092FC5" w:rsidRPr="00092FC5" w:rsidRDefault="0018697F" w:rsidP="00092FC5">
            <w:pPr>
              <w:spacing w:after="120" w:line="240" w:lineRule="atLeast"/>
              <w:rPr>
                <w:rFonts w:ascii="Calibri" w:hAnsi="Calibri"/>
                <w:spacing w:val="0"/>
                <w:sz w:val="22"/>
                <w:szCs w:val="22"/>
              </w:rPr>
            </w:pPr>
            <w:hyperlink r:id="rId35" w:history="1">
              <w:r w:rsidR="00092FC5" w:rsidRPr="00092FC5">
                <w:rPr>
                  <w:rFonts w:ascii="Calibri" w:hAnsi="Calibri"/>
                  <w:spacing w:val="0"/>
                  <w:sz w:val="22"/>
                  <w:szCs w:val="22"/>
                </w:rPr>
                <w:t>DSS Issues Escalation Policy</w:t>
              </w:r>
            </w:hyperlink>
          </w:p>
          <w:p w:rsidR="00092FC5" w:rsidRPr="00092FC5" w:rsidRDefault="0018697F" w:rsidP="00092FC5">
            <w:pPr>
              <w:spacing w:after="120" w:line="240" w:lineRule="atLeast"/>
              <w:rPr>
                <w:rFonts w:ascii="Calibri" w:hAnsi="Calibri"/>
                <w:spacing w:val="0"/>
                <w:sz w:val="22"/>
                <w:szCs w:val="22"/>
              </w:rPr>
            </w:pPr>
            <w:hyperlink r:id="rId36" w:history="1">
              <w:r w:rsidR="00092FC5" w:rsidRPr="00092FC5">
                <w:rPr>
                  <w:rFonts w:ascii="Calibri" w:hAnsi="Calibri"/>
                  <w:spacing w:val="0"/>
                  <w:sz w:val="22"/>
                  <w:szCs w:val="22"/>
                </w:rPr>
                <w:t>DSS Fraud and Corruption Control Policy</w:t>
              </w:r>
            </w:hyperlink>
          </w:p>
          <w:p w:rsidR="00092FC5" w:rsidRPr="00092FC5" w:rsidRDefault="0018697F" w:rsidP="00092FC5">
            <w:pPr>
              <w:spacing w:after="120" w:line="240" w:lineRule="atLeast"/>
              <w:rPr>
                <w:rFonts w:ascii="Calibri" w:hAnsi="Calibri"/>
                <w:spacing w:val="0"/>
                <w:sz w:val="22"/>
                <w:szCs w:val="22"/>
              </w:rPr>
            </w:pPr>
            <w:hyperlink r:id="rId37" w:history="1">
              <w:r w:rsidR="00092FC5" w:rsidRPr="00092FC5">
                <w:rPr>
                  <w:rFonts w:ascii="Calibri" w:hAnsi="Calibri"/>
                  <w:spacing w:val="0"/>
                  <w:sz w:val="22"/>
                  <w:szCs w:val="22"/>
                </w:rPr>
                <w:t>DSS Fraud and Corruption Policy Statement</w:t>
              </w:r>
            </w:hyperlink>
          </w:p>
          <w:p w:rsidR="00092FC5" w:rsidRPr="00092FC5" w:rsidRDefault="00092FC5" w:rsidP="00092FC5">
            <w:pPr>
              <w:spacing w:after="120" w:line="240" w:lineRule="atLeast"/>
              <w:rPr>
                <w:rFonts w:ascii="Calibri" w:hAnsi="Calibri"/>
                <w:b/>
                <w:bCs/>
                <w:spacing w:val="0"/>
                <w:sz w:val="22"/>
                <w:szCs w:val="22"/>
                <w:u w:val="single"/>
              </w:rPr>
            </w:pPr>
          </w:p>
        </w:tc>
      </w:tr>
      <w:tr w:rsidR="00092FC5" w:rsidRPr="00092FC5" w:rsidTr="006F358E">
        <w:trPr>
          <w:tblHeader/>
        </w:trPr>
        <w:tc>
          <w:tcPr>
            <w:tcW w:w="9322" w:type="dxa"/>
            <w:gridSpan w:val="2"/>
            <w:shd w:val="clear" w:color="auto" w:fill="262626" w:themeFill="text1" w:themeFillTint="D9"/>
          </w:tcPr>
          <w:p w:rsidR="00092FC5" w:rsidRPr="00092FC5" w:rsidRDefault="00092FC5" w:rsidP="00092FC5">
            <w:pPr>
              <w:tabs>
                <w:tab w:val="left" w:pos="256"/>
                <w:tab w:val="center" w:pos="1267"/>
              </w:tabs>
              <w:spacing w:after="120" w:line="240" w:lineRule="atLeast"/>
              <w:rPr>
                <w:rFonts w:ascii="Calibri" w:hAnsi="Calibri"/>
                <w:b/>
                <w:bCs/>
                <w:spacing w:val="0"/>
                <w:sz w:val="22"/>
                <w:szCs w:val="22"/>
              </w:rPr>
            </w:pPr>
            <w:r w:rsidRPr="00092FC5">
              <w:rPr>
                <w:rFonts w:ascii="Calibri" w:hAnsi="Calibri"/>
                <w:b/>
                <w:bCs/>
                <w:spacing w:val="0"/>
                <w:sz w:val="22"/>
                <w:szCs w:val="22"/>
              </w:rPr>
              <w:lastRenderedPageBreak/>
              <w:tab/>
            </w:r>
            <w:r w:rsidRPr="00092FC5">
              <w:rPr>
                <w:rFonts w:ascii="Calibri" w:hAnsi="Calibri"/>
                <w:b/>
                <w:bCs/>
                <w:spacing w:val="0"/>
                <w:sz w:val="22"/>
                <w:szCs w:val="22"/>
              </w:rPr>
              <w:tab/>
              <w:t>Good Practice Reports</w:t>
            </w:r>
          </w:p>
        </w:tc>
      </w:tr>
      <w:tr w:rsidR="00092FC5" w:rsidRPr="00092FC5" w:rsidTr="0085067F">
        <w:trPr>
          <w:trHeight w:val="1031"/>
        </w:trPr>
        <w:tc>
          <w:tcPr>
            <w:tcW w:w="9322" w:type="dxa"/>
            <w:gridSpan w:val="2"/>
          </w:tcPr>
          <w:p w:rsidR="00092FC5" w:rsidRPr="00092FC5" w:rsidRDefault="0018697F" w:rsidP="00092FC5">
            <w:pPr>
              <w:spacing w:after="120" w:line="240" w:lineRule="atLeast"/>
              <w:rPr>
                <w:rFonts w:ascii="Calibri" w:hAnsi="Calibri"/>
                <w:spacing w:val="0"/>
                <w:sz w:val="22"/>
                <w:szCs w:val="22"/>
              </w:rPr>
            </w:pPr>
            <w:hyperlink r:id="rId38" w:history="1">
              <w:r w:rsidR="00092FC5" w:rsidRPr="00092FC5">
                <w:rPr>
                  <w:rFonts w:ascii="Calibri" w:hAnsi="Calibri"/>
                  <w:spacing w:val="0"/>
                  <w:sz w:val="22"/>
                  <w:szCs w:val="22"/>
                </w:rPr>
                <w:t xml:space="preserve">ANAO, </w:t>
              </w:r>
              <w:r w:rsidR="00092FC5" w:rsidRPr="00092FC5">
                <w:rPr>
                  <w:rFonts w:ascii="Calibri" w:hAnsi="Calibri"/>
                  <w:spacing w:val="0"/>
                  <w:sz w:val="22"/>
                  <w:szCs w:val="22"/>
                  <w:u w:val="single"/>
                </w:rPr>
                <w:t>Administering Regulation: Achieving the Right Balance</w:t>
              </w:r>
            </w:hyperlink>
            <w:r w:rsidR="00092FC5" w:rsidRPr="00092FC5">
              <w:rPr>
                <w:rFonts w:ascii="Calibri" w:hAnsi="Calibri"/>
                <w:spacing w:val="0"/>
                <w:sz w:val="22"/>
                <w:szCs w:val="22"/>
              </w:rPr>
              <w:t>, June 2014</w:t>
            </w:r>
          </w:p>
          <w:p w:rsidR="00092FC5" w:rsidRPr="00092FC5" w:rsidRDefault="0018697F" w:rsidP="00092FC5">
            <w:pPr>
              <w:spacing w:after="120" w:line="240" w:lineRule="atLeast"/>
              <w:rPr>
                <w:rFonts w:ascii="Calibri" w:hAnsi="Calibri"/>
                <w:spacing w:val="0"/>
                <w:sz w:val="22"/>
                <w:szCs w:val="22"/>
                <w:u w:val="single"/>
              </w:rPr>
            </w:pPr>
            <w:hyperlink r:id="rId39" w:history="1">
              <w:r w:rsidR="00092FC5" w:rsidRPr="00092FC5">
                <w:rPr>
                  <w:rFonts w:ascii="Calibri" w:hAnsi="Calibri"/>
                  <w:spacing w:val="0"/>
                  <w:sz w:val="22"/>
                  <w:szCs w:val="22"/>
                </w:rPr>
                <w:t xml:space="preserve">Comcover, </w:t>
              </w:r>
              <w:r w:rsidR="00092FC5" w:rsidRPr="00092FC5">
                <w:rPr>
                  <w:rFonts w:ascii="Calibri" w:hAnsi="Calibri"/>
                  <w:i/>
                  <w:spacing w:val="0"/>
                  <w:sz w:val="22"/>
                  <w:szCs w:val="22"/>
                  <w:u w:val="single"/>
                </w:rPr>
                <w:t>Better Practice Guide: Risk Management</w:t>
              </w:r>
              <w:r w:rsidR="00092FC5" w:rsidRPr="00092FC5">
                <w:rPr>
                  <w:rFonts w:ascii="Calibri" w:hAnsi="Calibri"/>
                  <w:spacing w:val="0"/>
                  <w:sz w:val="22"/>
                  <w:szCs w:val="22"/>
                </w:rPr>
                <w:t>, 2008</w:t>
              </w:r>
            </w:hyperlink>
          </w:p>
        </w:tc>
      </w:tr>
    </w:tbl>
    <w:p w:rsidR="00092FC5" w:rsidRPr="00092FC5" w:rsidRDefault="00092FC5" w:rsidP="00BF5A88">
      <w:pPr>
        <w:pStyle w:val="Heading3"/>
      </w:pPr>
      <w:bookmarkStart w:id="73" w:name="_Toc482359718"/>
      <w:bookmarkStart w:id="74" w:name="_Toc503519836"/>
      <w:r w:rsidRPr="00092FC5">
        <w:t>Training Opportunities for Staff</w:t>
      </w:r>
      <w:bookmarkEnd w:id="73"/>
      <w:bookmarkEnd w:id="74"/>
      <w:r w:rsidRPr="00092FC5">
        <w:t xml:space="preserve"> </w:t>
      </w:r>
    </w:p>
    <w:p w:rsidR="00092FC5" w:rsidRPr="00092FC5" w:rsidRDefault="00092FC5" w:rsidP="00092FC5">
      <w:pPr>
        <w:spacing w:after="120" w:line="240" w:lineRule="atLeast"/>
        <w:rPr>
          <w:rFonts w:ascii="Calibri" w:hAnsi="Calibri"/>
          <w:bCs/>
          <w:spacing w:val="0"/>
          <w:sz w:val="22"/>
          <w:szCs w:val="22"/>
        </w:rPr>
      </w:pPr>
      <w:r w:rsidRPr="00092FC5">
        <w:rPr>
          <w:rFonts w:ascii="Calibri" w:hAnsi="Calibri"/>
          <w:bCs/>
          <w:spacing w:val="0"/>
          <w:sz w:val="22"/>
          <w:szCs w:val="22"/>
        </w:rPr>
        <w:t>Throughout 2017-18 there will be a concerted effort to increase the rate of staff training in areas including regulatory programs, risk management and compliance, with the broader objective of improving staff capability in administering a regulatory program.</w:t>
      </w:r>
    </w:p>
    <w:p w:rsidR="00092FC5" w:rsidRPr="00092FC5" w:rsidRDefault="00092FC5" w:rsidP="00092FC5">
      <w:pPr>
        <w:spacing w:before="0" w:after="160" w:line="259" w:lineRule="auto"/>
        <w:rPr>
          <w:rFonts w:ascii="Calibri" w:hAnsi="Calibri"/>
          <w:spacing w:val="0"/>
          <w:sz w:val="22"/>
          <w:szCs w:val="22"/>
        </w:rPr>
      </w:pPr>
      <w:r w:rsidRPr="00092FC5">
        <w:rPr>
          <w:rFonts w:ascii="Calibri" w:hAnsi="Calibri"/>
          <w:spacing w:val="0"/>
          <w:sz w:val="22"/>
          <w:szCs w:val="22"/>
        </w:rPr>
        <w:t>The following courses have been identified as relevant for all NRAS staff to undertake, and will be actively promoted:</w:t>
      </w:r>
    </w:p>
    <w:p w:rsidR="00092FC5" w:rsidRPr="00092FC5" w:rsidRDefault="00092FC5" w:rsidP="00092FC5">
      <w:pPr>
        <w:numPr>
          <w:ilvl w:val="0"/>
          <w:numId w:val="11"/>
        </w:numPr>
        <w:spacing w:before="0" w:after="120" w:line="259" w:lineRule="auto"/>
        <w:ind w:left="714" w:hanging="357"/>
        <w:rPr>
          <w:rFonts w:ascii="Calibri" w:eastAsia="Calibri" w:hAnsi="Calibri"/>
          <w:color w:val="000000"/>
          <w:spacing w:val="0"/>
          <w:kern w:val="24"/>
          <w:sz w:val="22"/>
          <w:szCs w:val="22"/>
        </w:rPr>
      </w:pPr>
      <w:r w:rsidRPr="00092FC5">
        <w:rPr>
          <w:rFonts w:ascii="Calibri" w:eastAsia="Calibri" w:hAnsi="Calibri"/>
          <w:color w:val="000000"/>
          <w:spacing w:val="0"/>
          <w:kern w:val="24"/>
          <w:sz w:val="22"/>
          <w:szCs w:val="22"/>
        </w:rPr>
        <w:t>APSC online training – Introduction to Risk in the Commonwealth</w:t>
      </w:r>
    </w:p>
    <w:p w:rsidR="00092FC5" w:rsidRPr="00092FC5" w:rsidRDefault="00092FC5" w:rsidP="00092FC5">
      <w:pPr>
        <w:numPr>
          <w:ilvl w:val="0"/>
          <w:numId w:val="11"/>
        </w:numPr>
        <w:spacing w:before="0" w:after="120" w:line="259" w:lineRule="auto"/>
        <w:ind w:left="714" w:hanging="357"/>
        <w:rPr>
          <w:rFonts w:ascii="Calibri" w:eastAsia="Calibri" w:hAnsi="Calibri"/>
          <w:color w:val="000000"/>
          <w:spacing w:val="0"/>
          <w:kern w:val="24"/>
          <w:sz w:val="22"/>
          <w:szCs w:val="22"/>
        </w:rPr>
      </w:pPr>
      <w:r w:rsidRPr="00092FC5">
        <w:rPr>
          <w:rFonts w:ascii="Calibri" w:eastAsia="Calibri" w:hAnsi="Calibri"/>
          <w:color w:val="000000"/>
          <w:spacing w:val="0"/>
          <w:kern w:val="24"/>
          <w:sz w:val="22"/>
          <w:szCs w:val="22"/>
        </w:rPr>
        <w:t xml:space="preserve">APSC online training – Fraud Awareness </w:t>
      </w:r>
    </w:p>
    <w:p w:rsidR="00092FC5" w:rsidRPr="00092FC5" w:rsidRDefault="00092FC5" w:rsidP="00092FC5">
      <w:pPr>
        <w:numPr>
          <w:ilvl w:val="0"/>
          <w:numId w:val="11"/>
        </w:numPr>
        <w:spacing w:before="0" w:after="120" w:line="259" w:lineRule="auto"/>
        <w:ind w:left="714" w:hanging="357"/>
        <w:rPr>
          <w:rFonts w:ascii="Calibri" w:eastAsia="Calibri" w:hAnsi="Calibri"/>
          <w:color w:val="000000"/>
          <w:spacing w:val="0"/>
          <w:kern w:val="24"/>
          <w:sz w:val="22"/>
          <w:szCs w:val="22"/>
        </w:rPr>
      </w:pPr>
      <w:r w:rsidRPr="00092FC5">
        <w:rPr>
          <w:rFonts w:ascii="Calibri" w:eastAsia="Calibri" w:hAnsi="Calibri"/>
          <w:color w:val="000000"/>
          <w:spacing w:val="0"/>
          <w:kern w:val="24"/>
          <w:sz w:val="22"/>
          <w:szCs w:val="22"/>
        </w:rPr>
        <w:t>DSS – Fraud and Corruption Awareness</w:t>
      </w:r>
    </w:p>
    <w:p w:rsidR="00092FC5" w:rsidRPr="00092FC5" w:rsidRDefault="00092FC5" w:rsidP="00092FC5">
      <w:pPr>
        <w:numPr>
          <w:ilvl w:val="0"/>
          <w:numId w:val="11"/>
        </w:numPr>
        <w:spacing w:before="0" w:after="120" w:line="259" w:lineRule="auto"/>
        <w:ind w:left="714" w:hanging="357"/>
        <w:rPr>
          <w:rFonts w:ascii="Calibri" w:eastAsia="Calibri" w:hAnsi="Calibri"/>
          <w:color w:val="000000"/>
          <w:spacing w:val="0"/>
          <w:kern w:val="24"/>
          <w:sz w:val="22"/>
          <w:szCs w:val="22"/>
        </w:rPr>
      </w:pPr>
      <w:r w:rsidRPr="00092FC5">
        <w:rPr>
          <w:rFonts w:ascii="Calibri" w:eastAsia="Calibri" w:hAnsi="Calibri"/>
          <w:color w:val="000000"/>
          <w:spacing w:val="0"/>
          <w:kern w:val="24"/>
          <w:sz w:val="22"/>
          <w:szCs w:val="22"/>
        </w:rPr>
        <w:t xml:space="preserve">Certificate IV in Risk Management Essentials </w:t>
      </w:r>
    </w:p>
    <w:p w:rsidR="00092FC5" w:rsidRPr="00092FC5" w:rsidRDefault="00092FC5" w:rsidP="00092FC5">
      <w:pPr>
        <w:spacing w:after="120" w:line="240" w:lineRule="atLeast"/>
        <w:rPr>
          <w:rFonts w:ascii="Calibri" w:hAnsi="Calibri"/>
          <w:spacing w:val="0"/>
          <w:sz w:val="20"/>
          <w:szCs w:val="20"/>
        </w:rPr>
      </w:pPr>
      <w:r w:rsidRPr="00092FC5">
        <w:rPr>
          <w:rFonts w:ascii="Calibri" w:hAnsi="Calibri"/>
          <w:spacing w:val="0"/>
          <w:sz w:val="22"/>
          <w:szCs w:val="22"/>
        </w:rPr>
        <w:t>Further training opportunities both within and external to DSS will be pursued in the areas of regulatory administration, risk management and compliance.</w:t>
      </w:r>
    </w:p>
    <w:p w:rsidR="00092FC5" w:rsidRPr="00092FC5" w:rsidRDefault="00092FC5" w:rsidP="00BF5A88">
      <w:pPr>
        <w:pStyle w:val="Heading3"/>
      </w:pPr>
      <w:bookmarkStart w:id="75" w:name="_Toc482359719"/>
      <w:bookmarkStart w:id="76" w:name="_Toc503519837"/>
      <w:r w:rsidRPr="00092FC5">
        <w:t>NRAS Reports, Reviews and Performance Audits</w:t>
      </w:r>
      <w:bookmarkEnd w:id="75"/>
      <w:bookmarkEnd w:id="76"/>
      <w:r w:rsidRPr="00092FC5">
        <w:t xml:space="preserve"> </w:t>
      </w:r>
    </w:p>
    <w:tbl>
      <w:tblPr>
        <w:tblStyle w:val="TableGrid2"/>
        <w:tblpPr w:leftFromText="180" w:rightFromText="180" w:vertAnchor="text" w:horzAnchor="margin" w:tblpY="1065"/>
        <w:tblW w:w="9302" w:type="dxa"/>
        <w:tblLook w:val="04A0" w:firstRow="1" w:lastRow="0" w:firstColumn="1" w:lastColumn="0" w:noHBand="0" w:noVBand="1"/>
        <w:tblCaption w:val="NRAS Reports, Reviews and Performance Audits table"/>
        <w:tblDescription w:val="These are external reports and audits that relate to NRAS and have been conducted since its introduction in 2008."/>
      </w:tblPr>
      <w:tblGrid>
        <w:gridCol w:w="9302"/>
      </w:tblGrid>
      <w:tr w:rsidR="00092FC5" w:rsidRPr="00092FC5" w:rsidTr="00842CD9">
        <w:trPr>
          <w:cantSplit/>
          <w:trHeight w:val="2119"/>
          <w:tblHeader/>
        </w:trPr>
        <w:tc>
          <w:tcPr>
            <w:tcW w:w="9302" w:type="dxa"/>
          </w:tcPr>
          <w:p w:rsidR="00092FC5" w:rsidRPr="00092FC5" w:rsidRDefault="0018697F" w:rsidP="00092FC5">
            <w:pPr>
              <w:spacing w:after="120" w:line="240" w:lineRule="atLeast"/>
              <w:rPr>
                <w:rFonts w:ascii="Calibri" w:hAnsi="Calibri"/>
                <w:spacing w:val="0"/>
                <w:sz w:val="22"/>
                <w:szCs w:val="22"/>
              </w:rPr>
            </w:pPr>
            <w:hyperlink r:id="rId40" w:history="1">
              <w:r w:rsidR="00092FC5" w:rsidRPr="00092FC5">
                <w:rPr>
                  <w:rFonts w:ascii="Calibri" w:hAnsi="Calibri"/>
                  <w:spacing w:val="0"/>
                  <w:sz w:val="22"/>
                  <w:szCs w:val="22"/>
                </w:rPr>
                <w:t xml:space="preserve">Australian Housing and Urban Research Institute, </w:t>
              </w:r>
              <w:r w:rsidR="00092FC5" w:rsidRPr="00092FC5">
                <w:rPr>
                  <w:rFonts w:ascii="Calibri" w:hAnsi="Calibri"/>
                  <w:i/>
                  <w:spacing w:val="0"/>
                  <w:sz w:val="22"/>
                  <w:szCs w:val="22"/>
                </w:rPr>
                <w:t>Subsidised affordable rental housing: lessons from Australia and overseas</w:t>
              </w:r>
              <w:r w:rsidR="00092FC5" w:rsidRPr="00092FC5">
                <w:rPr>
                  <w:rFonts w:ascii="Calibri" w:hAnsi="Calibri"/>
                  <w:spacing w:val="0"/>
                  <w:sz w:val="22"/>
                  <w:szCs w:val="22"/>
                </w:rPr>
                <w:t>, AHURI Final Report No. 267, August 2016</w:t>
              </w:r>
            </w:hyperlink>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fldChar w:fldCharType="begin"/>
            </w:r>
            <w:r w:rsidRPr="00092FC5">
              <w:rPr>
                <w:rFonts w:ascii="Calibri" w:hAnsi="Calibri"/>
                <w:spacing w:val="0"/>
                <w:sz w:val="22"/>
                <w:szCs w:val="22"/>
              </w:rPr>
              <w:instrText xml:space="preserve"> HYPERLINK "https://www.anao.gov.au/sites/g/files/net2446/f/ANAO_Report_2015-2016_08.pdf" </w:instrText>
            </w:r>
            <w:r w:rsidRPr="00092FC5">
              <w:rPr>
                <w:rFonts w:ascii="Calibri" w:hAnsi="Calibri"/>
                <w:spacing w:val="0"/>
                <w:sz w:val="22"/>
                <w:szCs w:val="22"/>
              </w:rPr>
              <w:fldChar w:fldCharType="separate"/>
            </w:r>
            <w:r w:rsidRPr="00092FC5">
              <w:rPr>
                <w:rFonts w:ascii="Calibri" w:hAnsi="Calibri"/>
                <w:i/>
                <w:spacing w:val="0"/>
                <w:sz w:val="22"/>
                <w:szCs w:val="22"/>
              </w:rPr>
              <w:t>Australian National Audit Office, Report No. 8 2015-16, P</w:t>
            </w:r>
            <w:r w:rsidRPr="00092FC5">
              <w:rPr>
                <w:rFonts w:ascii="Calibri" w:hAnsi="Calibri"/>
                <w:spacing w:val="0"/>
                <w:sz w:val="22"/>
                <w:szCs w:val="22"/>
              </w:rPr>
              <w:t>erformance Audit,</w:t>
            </w:r>
            <w:r w:rsidRPr="00092FC5">
              <w:rPr>
                <w:rFonts w:ascii="Calibri" w:hAnsi="Calibri"/>
                <w:i/>
                <w:spacing w:val="0"/>
                <w:sz w:val="22"/>
                <w:szCs w:val="22"/>
              </w:rPr>
              <w:t xml:space="preserve"> Administration of the National Rental Affordability Scheme</w:t>
            </w:r>
            <w:r w:rsidRPr="00092FC5">
              <w:rPr>
                <w:rFonts w:ascii="Calibri" w:hAnsi="Calibri"/>
                <w:spacing w:val="0"/>
                <w:sz w:val="22"/>
                <w:szCs w:val="22"/>
              </w:rPr>
              <w:t>, November 2015</w:t>
            </w:r>
          </w:p>
          <w:p w:rsidR="00092FC5" w:rsidRPr="00092FC5" w:rsidRDefault="00092FC5" w:rsidP="00092FC5">
            <w:pPr>
              <w:spacing w:after="120" w:line="240" w:lineRule="atLeast"/>
              <w:rPr>
                <w:rFonts w:ascii="Calibri" w:hAnsi="Calibri"/>
                <w:spacing w:val="0"/>
                <w:sz w:val="22"/>
                <w:szCs w:val="22"/>
              </w:rPr>
            </w:pPr>
            <w:r w:rsidRPr="00092FC5">
              <w:rPr>
                <w:rFonts w:ascii="Calibri" w:hAnsi="Calibri"/>
                <w:spacing w:val="0"/>
                <w:sz w:val="22"/>
                <w:szCs w:val="22"/>
              </w:rPr>
              <w:fldChar w:fldCharType="end"/>
            </w:r>
            <w:hyperlink r:id="rId41" w:history="1">
              <w:r w:rsidRPr="00092FC5">
                <w:rPr>
                  <w:rFonts w:ascii="Calibri" w:hAnsi="Calibri"/>
                  <w:spacing w:val="0"/>
                  <w:sz w:val="22"/>
                  <w:szCs w:val="22"/>
                </w:rPr>
                <w:t xml:space="preserve">Australian National Audit Office, Report No. 23 2016-17, Performance Audit, </w:t>
              </w:r>
              <w:r w:rsidRPr="00092FC5">
                <w:rPr>
                  <w:rFonts w:ascii="Calibri" w:hAnsi="Calibri"/>
                  <w:i/>
                  <w:spacing w:val="0"/>
                  <w:sz w:val="22"/>
                  <w:szCs w:val="22"/>
                </w:rPr>
                <w:t>National Rental Affordability Scheme – Administration of Allocations and Incentives</w:t>
              </w:r>
              <w:r w:rsidRPr="00092FC5">
                <w:rPr>
                  <w:rFonts w:ascii="Calibri" w:hAnsi="Calibri"/>
                  <w:spacing w:val="0"/>
                  <w:sz w:val="22"/>
                  <w:szCs w:val="22"/>
                </w:rPr>
                <w:t>, November 2016</w:t>
              </w:r>
            </w:hyperlink>
          </w:p>
        </w:tc>
      </w:tr>
    </w:tbl>
    <w:p w:rsidR="00092FC5" w:rsidRPr="00092FC5" w:rsidRDefault="00D212E7" w:rsidP="00092FC5">
      <w:pPr>
        <w:spacing w:after="120" w:line="240" w:lineRule="atLeast"/>
        <w:rPr>
          <w:rFonts w:ascii="Calibri" w:hAnsi="Calibri"/>
          <w:bCs/>
          <w:spacing w:val="0"/>
          <w:sz w:val="22"/>
          <w:szCs w:val="22"/>
        </w:rPr>
      </w:pPr>
      <w:r>
        <w:rPr>
          <w:rFonts w:ascii="Calibri" w:hAnsi="Calibri"/>
          <w:bCs/>
          <w:spacing w:val="0"/>
          <w:sz w:val="22"/>
          <w:szCs w:val="22"/>
        </w:rPr>
        <w:t>The list below details s</w:t>
      </w:r>
      <w:r w:rsidR="00092FC5" w:rsidRPr="00092FC5">
        <w:rPr>
          <w:rFonts w:ascii="Calibri" w:hAnsi="Calibri"/>
          <w:bCs/>
          <w:spacing w:val="0"/>
          <w:sz w:val="22"/>
          <w:szCs w:val="22"/>
        </w:rPr>
        <w:t>everal external reports and audits</w:t>
      </w:r>
      <w:r>
        <w:rPr>
          <w:rFonts w:ascii="Calibri" w:hAnsi="Calibri"/>
          <w:bCs/>
          <w:spacing w:val="0"/>
          <w:sz w:val="22"/>
          <w:szCs w:val="22"/>
        </w:rPr>
        <w:t xml:space="preserve"> relating to NRAS since 2008.</w:t>
      </w:r>
      <w:r w:rsidR="00092FC5" w:rsidRPr="00092FC5">
        <w:rPr>
          <w:rFonts w:ascii="Calibri" w:hAnsi="Calibri"/>
          <w:bCs/>
          <w:spacing w:val="0"/>
          <w:sz w:val="22"/>
          <w:szCs w:val="22"/>
        </w:rPr>
        <w:t xml:space="preserve"> </w:t>
      </w:r>
      <w:r>
        <w:rPr>
          <w:rFonts w:ascii="Calibri" w:hAnsi="Calibri"/>
          <w:bCs/>
          <w:spacing w:val="0"/>
          <w:sz w:val="22"/>
          <w:szCs w:val="22"/>
        </w:rPr>
        <w:t xml:space="preserve">The development of the RMF considered </w:t>
      </w:r>
      <w:r w:rsidR="00092FC5" w:rsidRPr="00092FC5">
        <w:rPr>
          <w:rFonts w:ascii="Calibri" w:hAnsi="Calibri"/>
          <w:bCs/>
          <w:spacing w:val="0"/>
          <w:sz w:val="22"/>
          <w:szCs w:val="22"/>
        </w:rPr>
        <w:t>their accumulated findings.</w:t>
      </w:r>
    </w:p>
    <w:p w:rsidR="00281DFB" w:rsidRPr="000140B8" w:rsidRDefault="00281DFB" w:rsidP="000140B8"/>
    <w:sectPr w:rsidR="00281DFB" w:rsidRPr="000140B8" w:rsidSect="0085067F">
      <w:footerReference w:type="default" r:id="rId42"/>
      <w:footerReference w:type="first" r:id="rId43"/>
      <w:pgSz w:w="11906" w:h="16838" w:code="9"/>
      <w:pgMar w:top="1440" w:right="1440" w:bottom="1440" w:left="1440" w:header="284" w:footer="2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8B" w:rsidRDefault="00F0578B" w:rsidP="008F3023">
      <w:pPr>
        <w:spacing w:before="0" w:after="0" w:line="240" w:lineRule="auto"/>
      </w:pPr>
      <w:r>
        <w:separator/>
      </w:r>
    </w:p>
  </w:endnote>
  <w:endnote w:type="continuationSeparator" w:id="0">
    <w:p w:rsidR="00F0578B" w:rsidRDefault="00F0578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7F" w:rsidRDefault="0018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133B6E" w:rsidRDefault="00133B6E" w:rsidP="003258D7">
        <w:pPr>
          <w:pStyle w:val="Footer"/>
          <w:jc w:val="center"/>
        </w:pPr>
        <w:r>
          <w:fldChar w:fldCharType="begin"/>
        </w:r>
        <w:r>
          <w:instrText xml:space="preserve"> PAGE   \* MERGEFORMAT </w:instrText>
        </w:r>
        <w:r>
          <w:fldChar w:fldCharType="separate"/>
        </w:r>
        <w:r w:rsidR="0018697F">
          <w:rPr>
            <w:noProof/>
          </w:rPr>
          <w:t>ii</w:t>
        </w:r>
        <w:r>
          <w:rPr>
            <w:noProof/>
          </w:rPr>
          <w:fldChar w:fldCharType="end"/>
        </w:r>
      </w:p>
    </w:sdtContent>
  </w:sdt>
  <w:p w:rsidR="00133B6E" w:rsidRDefault="00133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E" w:rsidRDefault="00133B6E" w:rsidP="00B10EB1">
    <w:pPr>
      <w:pStyle w:val="Footer"/>
      <w:ind w:left="-1417"/>
    </w:pPr>
    <w:r>
      <w:rPr>
        <w:noProof/>
      </w:rPr>
      <w:drawing>
        <wp:inline distT="0" distB="0" distL="0" distR="0" wp14:anchorId="1A3AC791">
          <wp:extent cx="7517130" cy="6267450"/>
          <wp:effectExtent l="0" t="0" r="7620" b="0"/>
          <wp:docPr id="12" name="Picture 12"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626745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E" w:rsidRDefault="00133B6E" w:rsidP="00281D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314914374"/>
      <w:docPartObj>
        <w:docPartGallery w:val="Page Numbers (Bottom of Page)"/>
        <w:docPartUnique/>
      </w:docPartObj>
    </w:sdtPr>
    <w:sdtEndPr/>
    <w:sdtContent>
      <w:sdt>
        <w:sdtPr>
          <w:rPr>
            <w:szCs w:val="20"/>
          </w:rPr>
          <w:id w:val="-913615923"/>
          <w:docPartObj>
            <w:docPartGallery w:val="Page Numbers (Top of Page)"/>
            <w:docPartUnique/>
          </w:docPartObj>
        </w:sdtPr>
        <w:sdtEndPr/>
        <w:sdtContent>
          <w:p w:rsidR="00133B6E" w:rsidRPr="00B014B5" w:rsidRDefault="00133B6E" w:rsidP="0085067F">
            <w:pPr>
              <w:pStyle w:val="Footer"/>
              <w:jc w:val="right"/>
              <w:rPr>
                <w:szCs w:val="20"/>
              </w:rPr>
            </w:pPr>
            <w:r w:rsidRPr="00BF5A88">
              <w:rPr>
                <w:rFonts w:ascii="Calibri" w:hAnsi="Calibri"/>
                <w:sz w:val="22"/>
                <w:szCs w:val="22"/>
              </w:rPr>
              <w:t xml:space="preserve">Page </w:t>
            </w:r>
            <w:r w:rsidRPr="00BF5A88">
              <w:rPr>
                <w:rFonts w:ascii="Calibri" w:hAnsi="Calibri"/>
                <w:bCs/>
                <w:sz w:val="22"/>
                <w:szCs w:val="22"/>
              </w:rPr>
              <w:fldChar w:fldCharType="begin"/>
            </w:r>
            <w:r w:rsidRPr="00BF5A88">
              <w:rPr>
                <w:rFonts w:ascii="Calibri" w:hAnsi="Calibri"/>
                <w:bCs/>
                <w:sz w:val="22"/>
                <w:szCs w:val="22"/>
              </w:rPr>
              <w:instrText xml:space="preserve"> PAGE </w:instrText>
            </w:r>
            <w:r w:rsidRPr="00BF5A88">
              <w:rPr>
                <w:rFonts w:ascii="Calibri" w:hAnsi="Calibri"/>
                <w:bCs/>
                <w:sz w:val="22"/>
                <w:szCs w:val="22"/>
              </w:rPr>
              <w:fldChar w:fldCharType="separate"/>
            </w:r>
            <w:r w:rsidR="0018697F">
              <w:rPr>
                <w:rFonts w:ascii="Calibri" w:hAnsi="Calibri"/>
                <w:bCs/>
                <w:noProof/>
                <w:sz w:val="22"/>
                <w:szCs w:val="22"/>
              </w:rPr>
              <w:t>15</w:t>
            </w:r>
            <w:r w:rsidRPr="00BF5A88">
              <w:rPr>
                <w:rFonts w:ascii="Calibri" w:hAnsi="Calibri"/>
                <w:bCs/>
                <w:sz w:val="22"/>
                <w:szCs w:val="22"/>
              </w:rPr>
              <w:fldChar w:fldCharType="end"/>
            </w:r>
            <w:r w:rsidRPr="00BF5A88">
              <w:rPr>
                <w:rFonts w:ascii="Calibri" w:hAnsi="Calibri"/>
                <w:sz w:val="22"/>
                <w:szCs w:val="22"/>
              </w:rPr>
              <w:t xml:space="preserve"> of </w:t>
            </w:r>
            <w:r w:rsidRPr="00BF5A88">
              <w:rPr>
                <w:rFonts w:ascii="Calibri" w:hAnsi="Calibri"/>
                <w:bCs/>
                <w:sz w:val="22"/>
                <w:szCs w:val="22"/>
              </w:rPr>
              <w:t>1</w:t>
            </w:r>
            <w:r>
              <w:rPr>
                <w:rFonts w:ascii="Calibri" w:hAnsi="Calibri"/>
                <w:bCs/>
                <w:sz w:val="22"/>
                <w:szCs w:val="22"/>
              </w:rPr>
              <w:t>5</w:t>
            </w:r>
          </w:p>
        </w:sdtContent>
      </w:sdt>
    </w:sdtContent>
  </w:sdt>
  <w:p w:rsidR="00133B6E" w:rsidRDefault="0018697F" w:rsidP="00E35421">
    <w:pPr>
      <w:pStyle w:val="Footer"/>
      <w:tabs>
        <w:tab w:val="left" w:pos="5781"/>
      </w:tabs>
    </w:pPr>
    <w:sdt>
      <w:sdtPr>
        <w:rPr>
          <w:color w:val="005A70"/>
          <w:sz w:val="18"/>
          <w:szCs w:val="18"/>
        </w:rPr>
        <w:id w:val="795422061"/>
        <w:docPartObj>
          <w:docPartGallery w:val="Page Numbers (Top of Page)"/>
          <w:docPartUnique/>
        </w:docPartObj>
      </w:sdtPr>
      <w:sdtEndPr/>
      <w:sdtContent>
        <w:r w:rsidR="00133B6E">
          <w:rPr>
            <w:color w:val="005A70"/>
            <w:sz w:val="18"/>
            <w:szCs w:val="18"/>
          </w:rPr>
          <w:tab/>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207"/>
      <w:docPartObj>
        <w:docPartGallery w:val="Page Numbers (Bottom of Page)"/>
        <w:docPartUnique/>
      </w:docPartObj>
    </w:sdtPr>
    <w:sdtEndPr/>
    <w:sdtContent>
      <w:sdt>
        <w:sdtPr>
          <w:id w:val="2042087824"/>
          <w:docPartObj>
            <w:docPartGallery w:val="Page Numbers (Top of Page)"/>
            <w:docPartUnique/>
          </w:docPartObj>
        </w:sdtPr>
        <w:sdtEndPr/>
        <w:sdtContent>
          <w:p w:rsidR="00133B6E" w:rsidRDefault="00133B6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15BD6">
              <w:rPr>
                <w:b/>
                <w:bCs/>
                <w:noProof/>
              </w:rPr>
              <w:t>2</w:t>
            </w:r>
            <w:r>
              <w:rPr>
                <w:b/>
                <w:bCs/>
              </w:rPr>
              <w:fldChar w:fldCharType="end"/>
            </w:r>
          </w:p>
        </w:sdtContent>
      </w:sdt>
    </w:sdtContent>
  </w:sdt>
  <w:p w:rsidR="00133B6E" w:rsidRDefault="0013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8B" w:rsidRDefault="00F0578B" w:rsidP="008F3023">
      <w:pPr>
        <w:spacing w:before="0" w:after="0" w:line="240" w:lineRule="auto"/>
      </w:pPr>
      <w:r>
        <w:separator/>
      </w:r>
    </w:p>
  </w:footnote>
  <w:footnote w:type="continuationSeparator" w:id="0">
    <w:p w:rsidR="00F0578B" w:rsidRDefault="00F0578B" w:rsidP="008F3023">
      <w:pPr>
        <w:spacing w:before="0" w:after="0" w:line="240" w:lineRule="auto"/>
      </w:pPr>
      <w:r>
        <w:continuationSeparator/>
      </w:r>
    </w:p>
  </w:footnote>
  <w:footnote w:id="1">
    <w:p w:rsidR="00133B6E" w:rsidRDefault="00133B6E">
      <w:pPr>
        <w:pStyle w:val="FootnoteText"/>
      </w:pPr>
      <w:r>
        <w:rPr>
          <w:rStyle w:val="FootnoteReference"/>
        </w:rPr>
        <w:footnoteRef/>
      </w:r>
      <w:r>
        <w:t xml:space="preserve"> Australian National Audit Office, </w:t>
      </w:r>
      <w:r w:rsidRPr="00026AD4">
        <w:t xml:space="preserve">Report No.23 (2016–17), </w:t>
      </w:r>
      <w:r w:rsidRPr="00026AD4">
        <w:rPr>
          <w:i/>
          <w:iCs/>
        </w:rPr>
        <w:t>National Rental Affordability Scheme (NRAS) - Administration of Allocations and Incentives</w:t>
      </w:r>
      <w:r>
        <w:t>, published on 7 November 2016.</w:t>
      </w:r>
    </w:p>
  </w:footnote>
  <w:footnote w:id="2">
    <w:p w:rsidR="00133B6E" w:rsidRDefault="00133B6E" w:rsidP="00092FC5">
      <w:pPr>
        <w:pStyle w:val="FootnoteText"/>
      </w:pPr>
      <w:r>
        <w:rPr>
          <w:rStyle w:val="FootnoteReference"/>
        </w:rPr>
        <w:footnoteRef/>
      </w:r>
      <w:r>
        <w:t xml:space="preserve"> ANAO (2104), </w:t>
      </w:r>
      <w:r w:rsidRPr="0036703C">
        <w:rPr>
          <w:i/>
        </w:rPr>
        <w:t>Administering Regulation: Achieving the Right Balance, Better Practice Guide</w:t>
      </w:r>
      <w:r>
        <w:t>, June, foreword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7F" w:rsidRDefault="00186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7F" w:rsidRDefault="00186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E" w:rsidRDefault="00133B6E" w:rsidP="00F30908">
    <w:pPr>
      <w:ind w:left="-964"/>
    </w:pPr>
    <w:r>
      <w:rPr>
        <w:noProof/>
      </w:rPr>
      <w:drawing>
        <wp:inline distT="0" distB="0" distL="0" distR="0" wp14:anchorId="183A41B4" wp14:editId="0DF7423A">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E" w:rsidRDefault="00133B6E"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40EF2"/>
    <w:multiLevelType w:val="hybridMultilevel"/>
    <w:tmpl w:val="7AF8118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1F052899"/>
    <w:multiLevelType w:val="hybridMultilevel"/>
    <w:tmpl w:val="613A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65A1E"/>
    <w:multiLevelType w:val="multilevel"/>
    <w:tmpl w:val="4926936C"/>
    <w:lvl w:ilvl="0">
      <w:start w:val="1"/>
      <w:numFmt w:val="decimal"/>
      <w:pStyle w:val="Heading1"/>
      <w:lvlText w:val="%1."/>
      <w:lvlJc w:val="left"/>
      <w:pPr>
        <w:ind w:left="360" w:hanging="360"/>
      </w:pPr>
      <w:rPr>
        <w:color w:val="0E724C"/>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761BDA"/>
    <w:multiLevelType w:val="hybridMultilevel"/>
    <w:tmpl w:val="8668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33A64"/>
    <w:multiLevelType w:val="hybridMultilevel"/>
    <w:tmpl w:val="8C205386"/>
    <w:lvl w:ilvl="0" w:tplc="8E106ED8">
      <w:start w:val="1"/>
      <w:numFmt w:val="bullet"/>
      <w:lvlText w:val=""/>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966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C27ACD"/>
    <w:multiLevelType w:val="hybridMultilevel"/>
    <w:tmpl w:val="781C4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2A6F8F"/>
    <w:multiLevelType w:val="hybridMultilevel"/>
    <w:tmpl w:val="19D0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7617CA"/>
    <w:multiLevelType w:val="multilevel"/>
    <w:tmpl w:val="4880EC1E"/>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vanish w:val="0"/>
        <w:color w:val="6A063E"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5F65D3D"/>
    <w:multiLevelType w:val="hybridMultilevel"/>
    <w:tmpl w:val="705871A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688E4C4C"/>
    <w:multiLevelType w:val="hybridMultilevel"/>
    <w:tmpl w:val="068A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5C2F3F"/>
    <w:multiLevelType w:val="hybridMultilevel"/>
    <w:tmpl w:val="A62A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1"/>
  </w:num>
  <w:num w:numId="5">
    <w:abstractNumId w:val="4"/>
  </w:num>
  <w:num w:numId="6">
    <w:abstractNumId w:val="0"/>
  </w:num>
  <w:num w:numId="7">
    <w:abstractNumId w:val="8"/>
  </w:num>
  <w:num w:numId="8">
    <w:abstractNumId w:val="15"/>
  </w:num>
  <w:num w:numId="9">
    <w:abstractNumId w:val="7"/>
  </w:num>
  <w:num w:numId="10">
    <w:abstractNumId w:val="2"/>
  </w:num>
  <w:num w:numId="11">
    <w:abstractNumId w:val="16"/>
  </w:num>
  <w:num w:numId="12">
    <w:abstractNumId w:val="9"/>
  </w:num>
  <w:num w:numId="13">
    <w:abstractNumId w:val="12"/>
  </w:num>
  <w:num w:numId="14">
    <w:abstractNumId w:val="17"/>
  </w:num>
  <w:num w:numId="15">
    <w:abstractNumId w:val="3"/>
  </w:num>
  <w:num w:numId="16">
    <w:abstractNumId w:val="14"/>
  </w:num>
  <w:num w:numId="17">
    <w:abstractNumId w:val="14"/>
    <w:lvlOverride w:ilvl="0">
      <w:startOverride w:val="5"/>
    </w:lvlOverride>
    <w:lvlOverride w:ilvl="1">
      <w:startOverride w:val="2"/>
    </w:lvlOverride>
  </w:num>
  <w:num w:numId="18">
    <w:abstractNumId w:val="13"/>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8"/>
    <w:rsid w:val="00006376"/>
    <w:rsid w:val="000140B8"/>
    <w:rsid w:val="0002045C"/>
    <w:rsid w:val="00073521"/>
    <w:rsid w:val="00081610"/>
    <w:rsid w:val="00092FC5"/>
    <w:rsid w:val="00094B46"/>
    <w:rsid w:val="000B2F8A"/>
    <w:rsid w:val="000B6EED"/>
    <w:rsid w:val="000D28CF"/>
    <w:rsid w:val="000E2B56"/>
    <w:rsid w:val="00133B6E"/>
    <w:rsid w:val="001510D7"/>
    <w:rsid w:val="001552D5"/>
    <w:rsid w:val="0018697F"/>
    <w:rsid w:val="001A7461"/>
    <w:rsid w:val="001B52A6"/>
    <w:rsid w:val="001E4D2D"/>
    <w:rsid w:val="001E630D"/>
    <w:rsid w:val="001F512D"/>
    <w:rsid w:val="001F77F8"/>
    <w:rsid w:val="00220BD9"/>
    <w:rsid w:val="00255A33"/>
    <w:rsid w:val="00280CC0"/>
    <w:rsid w:val="00281DFB"/>
    <w:rsid w:val="002A6C7E"/>
    <w:rsid w:val="002B076A"/>
    <w:rsid w:val="002B3CC6"/>
    <w:rsid w:val="00311FC7"/>
    <w:rsid w:val="0031279A"/>
    <w:rsid w:val="003258D7"/>
    <w:rsid w:val="00366E1C"/>
    <w:rsid w:val="0038044C"/>
    <w:rsid w:val="003832D5"/>
    <w:rsid w:val="00395D81"/>
    <w:rsid w:val="00395EC3"/>
    <w:rsid w:val="003A10D0"/>
    <w:rsid w:val="003B2BB8"/>
    <w:rsid w:val="003C33AC"/>
    <w:rsid w:val="003C720E"/>
    <w:rsid w:val="003D34FF"/>
    <w:rsid w:val="003E2B62"/>
    <w:rsid w:val="00410416"/>
    <w:rsid w:val="00440CB8"/>
    <w:rsid w:val="00447073"/>
    <w:rsid w:val="00455095"/>
    <w:rsid w:val="0045642A"/>
    <w:rsid w:val="00482B1D"/>
    <w:rsid w:val="004B54CA"/>
    <w:rsid w:val="004E2D9C"/>
    <w:rsid w:val="004E5CBF"/>
    <w:rsid w:val="004F77F4"/>
    <w:rsid w:val="0050273B"/>
    <w:rsid w:val="00517AE4"/>
    <w:rsid w:val="00545CA1"/>
    <w:rsid w:val="0054713E"/>
    <w:rsid w:val="00567053"/>
    <w:rsid w:val="005675C0"/>
    <w:rsid w:val="00567634"/>
    <w:rsid w:val="00584FC1"/>
    <w:rsid w:val="00586246"/>
    <w:rsid w:val="005877DC"/>
    <w:rsid w:val="0059087E"/>
    <w:rsid w:val="005A1F4A"/>
    <w:rsid w:val="005A21ED"/>
    <w:rsid w:val="005C3AA9"/>
    <w:rsid w:val="005C61F9"/>
    <w:rsid w:val="005D0618"/>
    <w:rsid w:val="005D19A8"/>
    <w:rsid w:val="005D2515"/>
    <w:rsid w:val="0060483B"/>
    <w:rsid w:val="00621516"/>
    <w:rsid w:val="00632E1D"/>
    <w:rsid w:val="00652743"/>
    <w:rsid w:val="00682706"/>
    <w:rsid w:val="006864E2"/>
    <w:rsid w:val="006A4090"/>
    <w:rsid w:val="006A4CE7"/>
    <w:rsid w:val="006F358E"/>
    <w:rsid w:val="00704DFD"/>
    <w:rsid w:val="007065F3"/>
    <w:rsid w:val="007124B7"/>
    <w:rsid w:val="0071624C"/>
    <w:rsid w:val="0073320E"/>
    <w:rsid w:val="00736238"/>
    <w:rsid w:val="00781EEF"/>
    <w:rsid w:val="00785261"/>
    <w:rsid w:val="007A463B"/>
    <w:rsid w:val="007B0256"/>
    <w:rsid w:val="007E5011"/>
    <w:rsid w:val="007F4F18"/>
    <w:rsid w:val="00807BFC"/>
    <w:rsid w:val="008324BC"/>
    <w:rsid w:val="0084227C"/>
    <w:rsid w:val="00842CD9"/>
    <w:rsid w:val="0085067F"/>
    <w:rsid w:val="00850E59"/>
    <w:rsid w:val="00852C10"/>
    <w:rsid w:val="008565DF"/>
    <w:rsid w:val="0085710F"/>
    <w:rsid w:val="008716D9"/>
    <w:rsid w:val="0087600D"/>
    <w:rsid w:val="00876CA6"/>
    <w:rsid w:val="00877018"/>
    <w:rsid w:val="008D0B97"/>
    <w:rsid w:val="008E13D4"/>
    <w:rsid w:val="008E32D4"/>
    <w:rsid w:val="008E753D"/>
    <w:rsid w:val="008F3023"/>
    <w:rsid w:val="00906A4D"/>
    <w:rsid w:val="009225F0"/>
    <w:rsid w:val="009226A4"/>
    <w:rsid w:val="009373C2"/>
    <w:rsid w:val="009442A5"/>
    <w:rsid w:val="0094563F"/>
    <w:rsid w:val="00945BD9"/>
    <w:rsid w:val="00953747"/>
    <w:rsid w:val="00994053"/>
    <w:rsid w:val="009C291C"/>
    <w:rsid w:val="009D3CCB"/>
    <w:rsid w:val="009D6D2E"/>
    <w:rsid w:val="00A13549"/>
    <w:rsid w:val="00A43E66"/>
    <w:rsid w:val="00A4462B"/>
    <w:rsid w:val="00A53EE5"/>
    <w:rsid w:val="00A61DAA"/>
    <w:rsid w:val="00A74769"/>
    <w:rsid w:val="00AD1C79"/>
    <w:rsid w:val="00AF2210"/>
    <w:rsid w:val="00B0206D"/>
    <w:rsid w:val="00B055B7"/>
    <w:rsid w:val="00B10EB1"/>
    <w:rsid w:val="00B25125"/>
    <w:rsid w:val="00B41602"/>
    <w:rsid w:val="00B47E0C"/>
    <w:rsid w:val="00B521F7"/>
    <w:rsid w:val="00B6572A"/>
    <w:rsid w:val="00B70AA6"/>
    <w:rsid w:val="00BA2DB9"/>
    <w:rsid w:val="00BB3E99"/>
    <w:rsid w:val="00BE7148"/>
    <w:rsid w:val="00BF5A88"/>
    <w:rsid w:val="00C027B8"/>
    <w:rsid w:val="00C05C64"/>
    <w:rsid w:val="00C263D6"/>
    <w:rsid w:val="00C3441D"/>
    <w:rsid w:val="00C50B91"/>
    <w:rsid w:val="00C57001"/>
    <w:rsid w:val="00C64544"/>
    <w:rsid w:val="00C73144"/>
    <w:rsid w:val="00CA389A"/>
    <w:rsid w:val="00CE1CB4"/>
    <w:rsid w:val="00D01548"/>
    <w:rsid w:val="00D15BD6"/>
    <w:rsid w:val="00D212E7"/>
    <w:rsid w:val="00D21923"/>
    <w:rsid w:val="00D22A8A"/>
    <w:rsid w:val="00D346C6"/>
    <w:rsid w:val="00D3690D"/>
    <w:rsid w:val="00D47996"/>
    <w:rsid w:val="00D90D3C"/>
    <w:rsid w:val="00DA1FC1"/>
    <w:rsid w:val="00DB01F0"/>
    <w:rsid w:val="00DD056F"/>
    <w:rsid w:val="00E14750"/>
    <w:rsid w:val="00E35421"/>
    <w:rsid w:val="00E6745C"/>
    <w:rsid w:val="00E708BB"/>
    <w:rsid w:val="00E71B30"/>
    <w:rsid w:val="00E96B35"/>
    <w:rsid w:val="00E97BE4"/>
    <w:rsid w:val="00EA4CD4"/>
    <w:rsid w:val="00EB1174"/>
    <w:rsid w:val="00EC14C5"/>
    <w:rsid w:val="00EE3834"/>
    <w:rsid w:val="00F0578B"/>
    <w:rsid w:val="00F05E66"/>
    <w:rsid w:val="00F30908"/>
    <w:rsid w:val="00F34972"/>
    <w:rsid w:val="00F47DB7"/>
    <w:rsid w:val="00F548A6"/>
    <w:rsid w:val="00F55066"/>
    <w:rsid w:val="00F85669"/>
    <w:rsid w:val="00F8613F"/>
    <w:rsid w:val="00F93639"/>
    <w:rsid w:val="00F9598D"/>
    <w:rsid w:val="00FC143A"/>
    <w:rsid w:val="00FD2ED3"/>
    <w:rsid w:val="00FD3D8F"/>
    <w:rsid w:val="00FD499F"/>
    <w:rsid w:val="00FD5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BF5A88"/>
    <w:pPr>
      <w:numPr>
        <w:numId w:val="19"/>
      </w:numPr>
      <w:spacing w:before="360" w:after="120" w:line="240" w:lineRule="auto"/>
      <w:contextualSpacing/>
      <w:outlineLvl w:val="0"/>
    </w:pPr>
    <w:rPr>
      <w:rFonts w:ascii="Georgia" w:eastAsiaTheme="majorEastAsia" w:hAnsi="Georgia" w:cstheme="majorBidi"/>
      <w:bCs/>
      <w:noProof/>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2"/>
    <w:unhideWhenUsed/>
    <w:qFormat/>
    <w:rsid w:val="00BF5A88"/>
    <w:pPr>
      <w:numPr>
        <w:ilvl w:val="1"/>
        <w:numId w:val="19"/>
      </w:num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F5A88"/>
    <w:rPr>
      <w:rFonts w:ascii="Georgia" w:eastAsiaTheme="majorEastAsia" w:hAnsi="Georgia" w:cstheme="majorBidi"/>
      <w:bCs/>
      <w:noProof/>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2"/>
    <w:rsid w:val="00BF5A88"/>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B70AA6"/>
    <w:pPr>
      <w:tabs>
        <w:tab w:val="left" w:pos="1100"/>
        <w:tab w:val="right" w:leader="dot" w:pos="9344"/>
      </w:tabs>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numbering" w:customStyle="1" w:styleId="NoList1">
    <w:name w:val="No List1"/>
    <w:next w:val="NoList"/>
    <w:uiPriority w:val="99"/>
    <w:semiHidden/>
    <w:unhideWhenUsed/>
    <w:rsid w:val="001F77F8"/>
  </w:style>
  <w:style w:type="paragraph" w:styleId="Quote">
    <w:name w:val="Quote"/>
    <w:basedOn w:val="Normal"/>
    <w:next w:val="Normal"/>
    <w:link w:val="QuoteChar"/>
    <w:uiPriority w:val="29"/>
    <w:qFormat/>
    <w:rsid w:val="001F77F8"/>
    <w:pPr>
      <w:spacing w:before="200" w:after="0" w:line="240" w:lineRule="atLeast"/>
      <w:ind w:left="360" w:right="360"/>
    </w:pPr>
    <w:rPr>
      <w:rFonts w:ascii="Calibri" w:hAnsi="Calibri"/>
      <w:i/>
      <w:iCs/>
      <w:spacing w:val="0"/>
      <w:sz w:val="20"/>
    </w:rPr>
  </w:style>
  <w:style w:type="character" w:customStyle="1" w:styleId="QuoteChar">
    <w:name w:val="Quote Char"/>
    <w:basedOn w:val="DefaultParagraphFont"/>
    <w:link w:val="Quote"/>
    <w:uiPriority w:val="29"/>
    <w:rsid w:val="001F77F8"/>
    <w:rPr>
      <w:rFonts w:ascii="Calibri" w:eastAsia="Times New Roman" w:hAnsi="Calibri" w:cs="Times New Roman"/>
      <w:i/>
      <w:iCs/>
      <w:sz w:val="20"/>
      <w:szCs w:val="24"/>
      <w:lang w:eastAsia="en-AU"/>
    </w:rPr>
  </w:style>
  <w:style w:type="paragraph" w:styleId="IntenseQuote">
    <w:name w:val="Intense Quote"/>
    <w:basedOn w:val="Normal"/>
    <w:next w:val="Normal"/>
    <w:link w:val="IntenseQuoteChar"/>
    <w:uiPriority w:val="30"/>
    <w:qFormat/>
    <w:rsid w:val="001F77F8"/>
    <w:pPr>
      <w:pBdr>
        <w:bottom w:val="single" w:sz="4" w:space="1" w:color="auto"/>
      </w:pBdr>
      <w:spacing w:before="200" w:after="280" w:line="240" w:lineRule="atLeast"/>
      <w:ind w:left="1008" w:right="1152"/>
      <w:jc w:val="both"/>
    </w:pPr>
    <w:rPr>
      <w:rFonts w:ascii="Calibri" w:hAnsi="Calibri"/>
      <w:b/>
      <w:bCs/>
      <w:i/>
      <w:iCs/>
      <w:spacing w:val="0"/>
      <w:sz w:val="20"/>
    </w:rPr>
  </w:style>
  <w:style w:type="character" w:customStyle="1" w:styleId="IntenseQuoteChar">
    <w:name w:val="Intense Quote Char"/>
    <w:basedOn w:val="DefaultParagraphFont"/>
    <w:link w:val="IntenseQuote"/>
    <w:uiPriority w:val="30"/>
    <w:rsid w:val="001F77F8"/>
    <w:rPr>
      <w:rFonts w:ascii="Calibri" w:eastAsia="Times New Roman" w:hAnsi="Calibri" w:cs="Times New Roman"/>
      <w:b/>
      <w:bCs/>
      <w:i/>
      <w:iCs/>
      <w:sz w:val="20"/>
      <w:szCs w:val="24"/>
      <w:lang w:eastAsia="en-AU"/>
    </w:rPr>
  </w:style>
  <w:style w:type="character" w:styleId="SubtleReference">
    <w:name w:val="Subtle Reference"/>
    <w:uiPriority w:val="31"/>
    <w:qFormat/>
    <w:rsid w:val="001F77F8"/>
    <w:rPr>
      <w:smallCaps/>
    </w:rPr>
  </w:style>
  <w:style w:type="character" w:styleId="IntenseReference">
    <w:name w:val="Intense Reference"/>
    <w:uiPriority w:val="32"/>
    <w:qFormat/>
    <w:rsid w:val="001F77F8"/>
    <w:rPr>
      <w:smallCaps/>
      <w:spacing w:val="5"/>
      <w:u w:val="single"/>
    </w:rPr>
  </w:style>
  <w:style w:type="character" w:styleId="BookTitle">
    <w:name w:val="Book Title"/>
    <w:uiPriority w:val="33"/>
    <w:qFormat/>
    <w:rsid w:val="001F77F8"/>
    <w:rPr>
      <w:i/>
      <w:iCs/>
      <w:smallCaps/>
      <w:spacing w:val="5"/>
    </w:rPr>
  </w:style>
  <w:style w:type="table" w:customStyle="1" w:styleId="MACtable">
    <w:name w:val="MAC table"/>
    <w:basedOn w:val="TableNormal"/>
    <w:uiPriority w:val="99"/>
    <w:rsid w:val="001F77F8"/>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table" w:customStyle="1" w:styleId="TableGrid1">
    <w:name w:val="Table Grid1"/>
    <w:basedOn w:val="TableNormal"/>
    <w:next w:val="TableGrid"/>
    <w:rsid w:val="001F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F77F8"/>
    <w:rPr>
      <w:sz w:val="16"/>
      <w:szCs w:val="16"/>
    </w:rPr>
  </w:style>
  <w:style w:type="paragraph" w:styleId="CommentText">
    <w:name w:val="annotation text"/>
    <w:basedOn w:val="Normal"/>
    <w:link w:val="CommentTextChar"/>
    <w:uiPriority w:val="99"/>
    <w:unhideWhenUsed/>
    <w:rsid w:val="001F77F8"/>
    <w:pPr>
      <w:spacing w:after="120" w:line="240" w:lineRule="auto"/>
    </w:pPr>
    <w:rPr>
      <w:rFonts w:ascii="Calibri" w:hAnsi="Calibri"/>
      <w:spacing w:val="0"/>
      <w:sz w:val="20"/>
      <w:szCs w:val="20"/>
    </w:rPr>
  </w:style>
  <w:style w:type="character" w:customStyle="1" w:styleId="CommentTextChar">
    <w:name w:val="Comment Text Char"/>
    <w:basedOn w:val="DefaultParagraphFont"/>
    <w:link w:val="CommentText"/>
    <w:uiPriority w:val="99"/>
    <w:rsid w:val="001F77F8"/>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77F8"/>
    <w:rPr>
      <w:b/>
      <w:bCs/>
    </w:rPr>
  </w:style>
  <w:style w:type="character" w:customStyle="1" w:styleId="CommentSubjectChar">
    <w:name w:val="Comment Subject Char"/>
    <w:basedOn w:val="CommentTextChar"/>
    <w:link w:val="CommentSubject"/>
    <w:uiPriority w:val="99"/>
    <w:semiHidden/>
    <w:rsid w:val="001F77F8"/>
    <w:rPr>
      <w:rFonts w:ascii="Calibri" w:eastAsia="Times New Roman" w:hAnsi="Calibri" w:cs="Times New Roman"/>
      <w:b/>
      <w:bCs/>
      <w:sz w:val="20"/>
      <w:szCs w:val="20"/>
      <w:lang w:eastAsia="en-AU"/>
    </w:rPr>
  </w:style>
  <w:style w:type="paragraph" w:styleId="Revision">
    <w:name w:val="Revision"/>
    <w:hidden/>
    <w:uiPriority w:val="99"/>
    <w:semiHidden/>
    <w:rsid w:val="001F77F8"/>
    <w:pPr>
      <w:spacing w:after="0" w:line="240" w:lineRule="auto"/>
    </w:pPr>
    <w:rPr>
      <w:rFonts w:ascii="Calibri" w:eastAsia="Times New Roman" w:hAnsi="Calibri" w:cs="Times New Roman"/>
      <w:sz w:val="20"/>
      <w:szCs w:val="24"/>
      <w:lang w:eastAsia="en-AU"/>
    </w:rPr>
  </w:style>
  <w:style w:type="paragraph" w:customStyle="1" w:styleId="FootnoteText1">
    <w:name w:val="Footnote Text1"/>
    <w:basedOn w:val="Normal"/>
    <w:next w:val="FootnoteText"/>
    <w:link w:val="FootnoteTextChar"/>
    <w:uiPriority w:val="99"/>
    <w:unhideWhenUsed/>
    <w:rsid w:val="001F77F8"/>
    <w:pPr>
      <w:spacing w:before="0" w:after="160" w:line="259" w:lineRule="auto"/>
    </w:pPr>
    <w:rPr>
      <w:rFonts w:asciiTheme="minorHAnsi" w:hAnsiTheme="minorHAnsi"/>
      <w:spacing w:val="0"/>
      <w:sz w:val="20"/>
      <w:szCs w:val="20"/>
    </w:rPr>
  </w:style>
  <w:style w:type="character" w:customStyle="1" w:styleId="FootnoteTextChar">
    <w:name w:val="Footnote Text Char"/>
    <w:basedOn w:val="DefaultParagraphFont"/>
    <w:link w:val="FootnoteText1"/>
    <w:uiPriority w:val="99"/>
    <w:rsid w:val="001F77F8"/>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1F77F8"/>
    <w:rPr>
      <w:rFonts w:cs="Times New Roman"/>
      <w:vertAlign w:val="superscript"/>
    </w:rPr>
  </w:style>
  <w:style w:type="paragraph" w:styleId="EndnoteText">
    <w:name w:val="endnote text"/>
    <w:basedOn w:val="Normal"/>
    <w:link w:val="EndnoteTextChar"/>
    <w:uiPriority w:val="99"/>
    <w:semiHidden/>
    <w:unhideWhenUsed/>
    <w:rsid w:val="001F77F8"/>
    <w:pPr>
      <w:spacing w:before="0" w:after="0" w:line="240" w:lineRule="auto"/>
    </w:pPr>
    <w:rPr>
      <w:rFonts w:ascii="Calibri" w:hAnsi="Calibri"/>
      <w:spacing w:val="0"/>
      <w:sz w:val="20"/>
      <w:szCs w:val="20"/>
    </w:rPr>
  </w:style>
  <w:style w:type="character" w:customStyle="1" w:styleId="EndnoteTextChar">
    <w:name w:val="Endnote Text Char"/>
    <w:basedOn w:val="DefaultParagraphFont"/>
    <w:link w:val="EndnoteText"/>
    <w:uiPriority w:val="99"/>
    <w:semiHidden/>
    <w:rsid w:val="001F77F8"/>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1F77F8"/>
    <w:rPr>
      <w:vertAlign w:val="superscript"/>
    </w:rPr>
  </w:style>
  <w:style w:type="table" w:customStyle="1" w:styleId="TableGridLight1">
    <w:name w:val="Table Grid Light1"/>
    <w:basedOn w:val="TableNormal"/>
    <w:uiPriority w:val="40"/>
    <w:rsid w:val="001F77F8"/>
    <w:pPr>
      <w:spacing w:after="0" w:line="240" w:lineRule="auto"/>
    </w:pPr>
    <w:rPr>
      <w:rFonts w:eastAsia="Times New Roman" w:cs="Times New Roman"/>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1"/>
    <w:uiPriority w:val="99"/>
    <w:unhideWhenUsed/>
    <w:rsid w:val="001F77F8"/>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1F77F8"/>
    <w:rPr>
      <w:rFonts w:ascii="Arial" w:eastAsia="Times New Roman" w:hAnsi="Arial" w:cs="Times New Roman"/>
      <w:spacing w:val="4"/>
      <w:sz w:val="20"/>
      <w:szCs w:val="20"/>
      <w:lang w:eastAsia="en-AU"/>
    </w:rPr>
  </w:style>
  <w:style w:type="numbering" w:customStyle="1" w:styleId="NoList2">
    <w:name w:val="No List2"/>
    <w:next w:val="NoList"/>
    <w:uiPriority w:val="99"/>
    <w:semiHidden/>
    <w:unhideWhenUsed/>
    <w:rsid w:val="00092FC5"/>
  </w:style>
  <w:style w:type="table" w:customStyle="1" w:styleId="MACtable1">
    <w:name w:val="MAC table1"/>
    <w:basedOn w:val="TableNormal"/>
    <w:uiPriority w:val="99"/>
    <w:rsid w:val="00092FC5"/>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table" w:customStyle="1" w:styleId="TableGrid2">
    <w:name w:val="Table Grid2"/>
    <w:basedOn w:val="TableNormal"/>
    <w:next w:val="TableGrid"/>
    <w:rsid w:val="0009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092FC5"/>
    <w:pPr>
      <w:spacing w:after="0" w:line="240" w:lineRule="auto"/>
    </w:pPr>
    <w:rPr>
      <w:rFonts w:eastAsia="Times New Roman" w:cs="Times New Roman"/>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rsid w:val="0009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diagramColors" Target="diagrams/colors1.xml"/><Relationship Id="rId39" Type="http://schemas.openxmlformats.org/officeDocument/2006/relationships/hyperlink" Target="http://www.finance.gov.au/sites/default/files/Better_Practice_Guide.pdf" TargetMode="External"/><Relationship Id="rId3" Type="http://schemas.openxmlformats.org/officeDocument/2006/relationships/settings" Target="settings.xml"/><Relationship Id="rId21" Type="http://schemas.openxmlformats.org/officeDocument/2006/relationships/image" Target="media/image7.JPG"/><Relationship Id="rId34" Type="http://schemas.openxmlformats.org/officeDocument/2006/relationships/hyperlink" Target="http://staffnet/waf/stratplan/riskmang/_layouts/fahcsia/fahcsia.sp.staffnet.foundation/DocLandingRedirect.aspx?srclink=/waf/stratplan/riskmang/Documents/DSS_Risk_Management_Framework.docx" TargetMode="External"/><Relationship Id="rId42"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diagramQuickStyle" Target="diagrams/quickStyle1.xml"/><Relationship Id="rId33" Type="http://schemas.openxmlformats.org/officeDocument/2006/relationships/hyperlink" Target="https://www.dss.gov.au/housing-support/programmes-services/national-rental-affordability-scheme/national-rental-affordability-scheme-legislation-regulations-and-policy-guidelines/nras-internal-review-guidelines" TargetMode="External"/><Relationship Id="rId38" Type="http://schemas.openxmlformats.org/officeDocument/2006/relationships/hyperlink" Target="https://www.anao.gov.au/work/better-practice-guide/administering-regulation-achieving-right-balance"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JPG"/><Relationship Id="rId29" Type="http://schemas.openxmlformats.org/officeDocument/2006/relationships/hyperlink" Target="https://www.legislation.gov.au/Details/C2008A00121" TargetMode="External"/><Relationship Id="rId41" Type="http://schemas.openxmlformats.org/officeDocument/2006/relationships/hyperlink" Target="https://www.anao.gov.au/sites/g/files/net2251/f/ANAO_Report_2016-17_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diagramLayout" Target="diagrams/layout1.xml"/><Relationship Id="rId32" Type="http://schemas.openxmlformats.org/officeDocument/2006/relationships/hyperlink" Target="https://www.dss.gov.au/housing-support/programmes-services/housing/national-rental-affordability-scheme/explanatory-guide-national-rental-affordability-scheme" TargetMode="External"/><Relationship Id="rId37" Type="http://schemas.openxmlformats.org/officeDocument/2006/relationships/hyperlink" Target="https://www.dss.gov.au/sites/default/files/documents/10_2013/dss_fraud_policy_statement_oct13.pdf" TargetMode="External"/><Relationship Id="rId40" Type="http://schemas.openxmlformats.org/officeDocument/2006/relationships/hyperlink" Target="http://www.ahuri.edu.au/__data/assets/pdf_file/0028/8668/AHURI_Final_Report_No267_Subsidised-affordable-rental-housing-lessons-from-Australia-and-oversea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mmunications@dss.gov.au" TargetMode="External"/><Relationship Id="rId23" Type="http://schemas.openxmlformats.org/officeDocument/2006/relationships/diagramData" Target="diagrams/data1.xml"/><Relationship Id="rId28" Type="http://schemas.openxmlformats.org/officeDocument/2006/relationships/hyperlink" Target="https://www.legislation.gov.au/Details/C2013A00123" TargetMode="External"/><Relationship Id="rId36" Type="http://schemas.openxmlformats.org/officeDocument/2006/relationships/hyperlink" Target="http://staffnet/waf/legandcomp/fraud-control/Documents/FCCP%20draft%20in%20new%20format%208%20Oct%202015.docx" TargetMode="External"/><Relationship Id="rId10" Type="http://schemas.openxmlformats.org/officeDocument/2006/relationships/footer" Target="footer2.xml"/><Relationship Id="rId19" Type="http://schemas.openxmlformats.org/officeDocument/2006/relationships/image" Target="media/image5.JPG"/><Relationship Id="rId31" Type="http://schemas.openxmlformats.org/officeDocument/2006/relationships/hyperlink" Target="https://www.legislation.gov.au/Details/C2017C000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ss.gov.au" TargetMode="External"/><Relationship Id="rId22" Type="http://schemas.openxmlformats.org/officeDocument/2006/relationships/hyperlink" Target="https://www.dss.gov.au/our-responsibilities/housing-support/programmes-services/national-rental-affordability-scheme/national-rental-affordability-scheme-performance-reporting" TargetMode="External"/><Relationship Id="rId27" Type="http://schemas.microsoft.com/office/2007/relationships/diagramDrawing" Target="diagrams/drawing1.xml"/><Relationship Id="rId30" Type="http://schemas.openxmlformats.org/officeDocument/2006/relationships/hyperlink" Target="https://www.legislation.gov.au/Details/F2014C01091" TargetMode="External"/><Relationship Id="rId35" Type="http://schemas.openxmlformats.org/officeDocument/2006/relationships/hyperlink" Target="http://staffnet/waf/stratplan/riskmang/Documents/DSS-Issues-Escalation-Policy.DOCX" TargetMode="External"/><Relationship Id="rId43"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4F8C-5F4C-48CE-87AE-782A555DE17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29110CF6-F294-4800-873C-5353F8D644D4}">
      <dgm:prSet phldrT="[Text]"/>
      <dgm:spPr/>
      <dgm:t>
        <a:bodyPr/>
        <a:lstStyle/>
        <a:p>
          <a:r>
            <a:rPr lang="en-US"/>
            <a:t>DSS</a:t>
          </a:r>
        </a:p>
        <a:p>
          <a:r>
            <a:rPr lang="en-US"/>
            <a:t>-Administration of the Scheme</a:t>
          </a:r>
        </a:p>
        <a:p>
          <a:r>
            <a:rPr lang="en-US"/>
            <a:t>- Legislation &amp; Policy</a:t>
          </a:r>
        </a:p>
        <a:p>
          <a:r>
            <a:rPr lang="en-US"/>
            <a:t>- Stakeholder management</a:t>
          </a:r>
        </a:p>
      </dgm:t>
    </dgm:pt>
    <dgm:pt modelId="{D8C83785-4AC7-4F4C-B27D-E943BC5FAA2A}" type="parTrans" cxnId="{537F04FD-DA1E-40DD-A5F1-B2C533C383D6}">
      <dgm:prSet/>
      <dgm:spPr/>
      <dgm:t>
        <a:bodyPr/>
        <a:lstStyle/>
        <a:p>
          <a:endParaRPr lang="en-US"/>
        </a:p>
      </dgm:t>
    </dgm:pt>
    <dgm:pt modelId="{CF2DECF1-2343-4359-8660-64AEB6F6AD87}" type="sibTrans" cxnId="{537F04FD-DA1E-40DD-A5F1-B2C533C383D6}">
      <dgm:prSet/>
      <dgm:spPr/>
      <dgm:t>
        <a:bodyPr/>
        <a:lstStyle/>
        <a:p>
          <a:endParaRPr lang="en-US"/>
        </a:p>
      </dgm:t>
    </dgm:pt>
    <dgm:pt modelId="{3B60DA73-4106-4916-A1D1-4A6058664ABD}">
      <dgm:prSet phldrT="[Text]"/>
      <dgm:spPr>
        <a:solidFill>
          <a:schemeClr val="accent6">
            <a:lumMod val="50000"/>
          </a:schemeClr>
        </a:solidFill>
      </dgm:spPr>
      <dgm:t>
        <a:bodyPr/>
        <a:lstStyle/>
        <a:p>
          <a:r>
            <a:rPr lang="en-US"/>
            <a:t>Approved Participants</a:t>
          </a:r>
        </a:p>
        <a:p>
          <a:r>
            <a:rPr lang="en-US"/>
            <a:t>- Complying with regulations</a:t>
          </a:r>
        </a:p>
        <a:p>
          <a:r>
            <a:rPr lang="en-US"/>
            <a:t>-Complying with Australian, State/Territory legislation</a:t>
          </a:r>
        </a:p>
      </dgm:t>
    </dgm:pt>
    <dgm:pt modelId="{C17D71C7-804D-4B55-B639-8FFE40F134DF}" type="parTrans" cxnId="{55964A4E-644B-45C5-9E16-552AD51E73D7}">
      <dgm:prSet/>
      <dgm:spPr/>
      <dgm:t>
        <a:bodyPr/>
        <a:lstStyle/>
        <a:p>
          <a:endParaRPr lang="en-US"/>
        </a:p>
      </dgm:t>
    </dgm:pt>
    <dgm:pt modelId="{3E5581EC-5CCE-4AB3-8245-12C9CF6C1865}" type="sibTrans" cxnId="{55964A4E-644B-45C5-9E16-552AD51E73D7}">
      <dgm:prSet/>
      <dgm:spPr/>
      <dgm:t>
        <a:bodyPr/>
        <a:lstStyle/>
        <a:p>
          <a:endParaRPr lang="en-US"/>
        </a:p>
      </dgm:t>
    </dgm:pt>
    <dgm:pt modelId="{9121366F-BEA6-44D3-8BE8-9539835D33D8}">
      <dgm:prSet phldrT="[Text]"/>
      <dgm:spPr>
        <a:solidFill>
          <a:srgbClr val="7030A0"/>
        </a:solidFill>
      </dgm:spPr>
      <dgm:t>
        <a:bodyPr/>
        <a:lstStyle/>
        <a:p>
          <a:r>
            <a:rPr lang="en-US"/>
            <a:t>ATO</a:t>
          </a:r>
        </a:p>
        <a:p>
          <a:r>
            <a:rPr lang="en-US"/>
            <a:t>- Income Tax Assessments</a:t>
          </a:r>
        </a:p>
        <a:p>
          <a:r>
            <a:rPr lang="en-US"/>
            <a:t>- Refundable tax offset incentive contributions</a:t>
          </a:r>
        </a:p>
      </dgm:t>
    </dgm:pt>
    <dgm:pt modelId="{16719F21-5850-49FB-AEFB-F71035AE8325}" type="parTrans" cxnId="{AC8E1831-3494-4871-8D14-F281E7C71D44}">
      <dgm:prSet/>
      <dgm:spPr/>
      <dgm:t>
        <a:bodyPr/>
        <a:lstStyle/>
        <a:p>
          <a:endParaRPr lang="en-US"/>
        </a:p>
      </dgm:t>
    </dgm:pt>
    <dgm:pt modelId="{F2E56AB1-72A1-4AA7-9EB8-055595ED5E1D}" type="sibTrans" cxnId="{AC8E1831-3494-4871-8D14-F281E7C71D44}">
      <dgm:prSet/>
      <dgm:spPr/>
      <dgm:t>
        <a:bodyPr/>
        <a:lstStyle/>
        <a:p>
          <a:endParaRPr lang="en-US"/>
        </a:p>
      </dgm:t>
    </dgm:pt>
    <dgm:pt modelId="{482CC3F0-258C-4F1E-A17F-49DC61489411}">
      <dgm:prSet phldrT="[Text]"/>
      <dgm:spPr>
        <a:solidFill>
          <a:srgbClr val="0070C0"/>
        </a:solidFill>
      </dgm:spPr>
      <dgm:t>
        <a:bodyPr/>
        <a:lstStyle/>
        <a:p>
          <a:r>
            <a:rPr lang="en-US"/>
            <a:t>Peak Housing bodies</a:t>
          </a:r>
        </a:p>
        <a:p>
          <a:r>
            <a:rPr lang="en-US"/>
            <a:t> - NAHP and CHIA</a:t>
          </a:r>
        </a:p>
        <a:p>
          <a:r>
            <a:rPr lang="en-US"/>
            <a:t>- Representing for-profit and community housing providers</a:t>
          </a:r>
        </a:p>
        <a:p>
          <a:r>
            <a:rPr lang="en-US"/>
            <a:t>- Providing feedback from approved participants</a:t>
          </a:r>
        </a:p>
      </dgm:t>
    </dgm:pt>
    <dgm:pt modelId="{A645C8B9-EA9D-4D48-A27B-7AAF707EA321}" type="parTrans" cxnId="{077B2DB5-BB33-48C4-995F-E081B487D6EA}">
      <dgm:prSet/>
      <dgm:spPr/>
      <dgm:t>
        <a:bodyPr/>
        <a:lstStyle/>
        <a:p>
          <a:endParaRPr lang="en-US"/>
        </a:p>
      </dgm:t>
    </dgm:pt>
    <dgm:pt modelId="{DB45C21C-2DE4-422C-BF91-A4806D94AE92}" type="sibTrans" cxnId="{077B2DB5-BB33-48C4-995F-E081B487D6EA}">
      <dgm:prSet/>
      <dgm:spPr/>
      <dgm:t>
        <a:bodyPr/>
        <a:lstStyle/>
        <a:p>
          <a:endParaRPr lang="en-US"/>
        </a:p>
      </dgm:t>
    </dgm:pt>
    <dgm:pt modelId="{6EBB64C0-1FF6-47F9-A116-1FD04906A92D}">
      <dgm:prSet phldrT="[Text]"/>
      <dgm:spPr>
        <a:solidFill>
          <a:srgbClr val="92D050"/>
        </a:solidFill>
      </dgm:spPr>
      <dgm:t>
        <a:bodyPr/>
        <a:lstStyle/>
        <a:p>
          <a:r>
            <a:rPr lang="en-US"/>
            <a:t>Other Regulatory Entities</a:t>
          </a:r>
        </a:p>
        <a:p>
          <a:r>
            <a:rPr lang="en-US"/>
            <a:t>-including ACCC, ATO and API</a:t>
          </a:r>
        </a:p>
      </dgm:t>
    </dgm:pt>
    <dgm:pt modelId="{E6CFCDDA-F1F2-4C0C-9B9E-7F0B8A16DE1C}" type="parTrans" cxnId="{D9CD998E-5127-414F-9C3B-D9180F5363FB}">
      <dgm:prSet/>
      <dgm:spPr/>
      <dgm:t>
        <a:bodyPr/>
        <a:lstStyle/>
        <a:p>
          <a:endParaRPr lang="en-US"/>
        </a:p>
      </dgm:t>
    </dgm:pt>
    <dgm:pt modelId="{7F209B49-316B-4745-9139-1F55F23FAD9B}" type="sibTrans" cxnId="{D9CD998E-5127-414F-9C3B-D9180F5363FB}">
      <dgm:prSet/>
      <dgm:spPr/>
      <dgm:t>
        <a:bodyPr/>
        <a:lstStyle/>
        <a:p>
          <a:endParaRPr lang="en-US"/>
        </a:p>
      </dgm:t>
    </dgm:pt>
    <dgm:pt modelId="{4B386579-42A2-4D4E-91BF-0766A3392D17}">
      <dgm:prSet phldrT="[Text]"/>
      <dgm:spPr>
        <a:solidFill>
          <a:srgbClr val="D19B4B"/>
        </a:solidFill>
      </dgm:spPr>
      <dgm:t>
        <a:bodyPr/>
        <a:lstStyle/>
        <a:p>
          <a:r>
            <a:rPr lang="en-US"/>
            <a:t>State/Territory Governments</a:t>
          </a:r>
        </a:p>
        <a:p>
          <a:r>
            <a:rPr lang="en-US"/>
            <a:t>- Payment of State/Territory incentives</a:t>
          </a:r>
        </a:p>
        <a:p>
          <a:r>
            <a:rPr lang="en-US"/>
            <a:t>- Liaison with approved participants</a:t>
          </a:r>
        </a:p>
      </dgm:t>
    </dgm:pt>
    <dgm:pt modelId="{CB680003-2BD0-4DBD-AA38-63FE3D225502}" type="parTrans" cxnId="{979FB495-B9A3-4BC7-B848-B73FD1DCC3C2}">
      <dgm:prSet/>
      <dgm:spPr/>
      <dgm:t>
        <a:bodyPr/>
        <a:lstStyle/>
        <a:p>
          <a:endParaRPr lang="en-US"/>
        </a:p>
      </dgm:t>
    </dgm:pt>
    <dgm:pt modelId="{EFC862CA-AFB5-4DB6-AA20-2C0C9599A415}" type="sibTrans" cxnId="{979FB495-B9A3-4BC7-B848-B73FD1DCC3C2}">
      <dgm:prSet/>
      <dgm:spPr/>
      <dgm:t>
        <a:bodyPr/>
        <a:lstStyle/>
        <a:p>
          <a:endParaRPr lang="en-US"/>
        </a:p>
      </dgm:t>
    </dgm:pt>
    <dgm:pt modelId="{03E5DFB4-C569-427B-8C0D-27A18799BFD0}">
      <dgm:prSet phldrT="[Text]"/>
      <dgm:spPr>
        <a:solidFill>
          <a:schemeClr val="bg2">
            <a:lumMod val="50000"/>
          </a:schemeClr>
        </a:solidFill>
      </dgm:spPr>
      <dgm:t>
        <a:bodyPr/>
        <a:lstStyle/>
        <a:p>
          <a:r>
            <a:rPr lang="en-US"/>
            <a:t>PM&amp;C</a:t>
          </a:r>
        </a:p>
        <a:p>
          <a:r>
            <a:rPr lang="en-US"/>
            <a:t>- Regulator Performance Framework</a:t>
          </a:r>
        </a:p>
      </dgm:t>
    </dgm:pt>
    <dgm:pt modelId="{BF8C07FC-5AF2-4721-92EB-810F6149186E}" type="parTrans" cxnId="{CBE7FBE2-2934-4170-8EDA-C82D2585F0CE}">
      <dgm:prSet/>
      <dgm:spPr/>
      <dgm:t>
        <a:bodyPr/>
        <a:lstStyle/>
        <a:p>
          <a:endParaRPr lang="en-US"/>
        </a:p>
      </dgm:t>
    </dgm:pt>
    <dgm:pt modelId="{E27DE8DE-BC0A-459D-81E9-568DE06FEB63}" type="sibTrans" cxnId="{CBE7FBE2-2934-4170-8EDA-C82D2585F0CE}">
      <dgm:prSet/>
      <dgm:spPr/>
      <dgm:t>
        <a:bodyPr/>
        <a:lstStyle/>
        <a:p>
          <a:endParaRPr lang="en-US"/>
        </a:p>
      </dgm:t>
    </dgm:pt>
    <dgm:pt modelId="{7310DBAA-3483-4C27-B4E0-59491974B2DD}" type="pres">
      <dgm:prSet presAssocID="{E4284F8C-5F4C-48CE-87AE-782A555DE174}" presName="Name0" presStyleCnt="0">
        <dgm:presLayoutVars>
          <dgm:chMax val="1"/>
          <dgm:dir/>
          <dgm:animLvl val="ctr"/>
          <dgm:resizeHandles val="exact"/>
        </dgm:presLayoutVars>
      </dgm:prSet>
      <dgm:spPr/>
      <dgm:t>
        <a:bodyPr/>
        <a:lstStyle/>
        <a:p>
          <a:endParaRPr lang="en-US"/>
        </a:p>
      </dgm:t>
    </dgm:pt>
    <dgm:pt modelId="{7DDA523A-6C1D-4BAA-A7A5-866B1B82DD49}" type="pres">
      <dgm:prSet presAssocID="{29110CF6-F294-4800-873C-5353F8D644D4}" presName="centerShape" presStyleLbl="node0" presStyleIdx="0" presStyleCnt="1"/>
      <dgm:spPr/>
      <dgm:t>
        <a:bodyPr/>
        <a:lstStyle/>
        <a:p>
          <a:endParaRPr lang="en-US"/>
        </a:p>
      </dgm:t>
    </dgm:pt>
    <dgm:pt modelId="{C6EAE7D1-F973-4757-993E-480390141D4A}" type="pres">
      <dgm:prSet presAssocID="{C17D71C7-804D-4B55-B639-8FFE40F134DF}" presName="parTrans" presStyleLbl="sibTrans2D1" presStyleIdx="0" presStyleCnt="6"/>
      <dgm:spPr/>
      <dgm:t>
        <a:bodyPr/>
        <a:lstStyle/>
        <a:p>
          <a:endParaRPr lang="en-US"/>
        </a:p>
      </dgm:t>
    </dgm:pt>
    <dgm:pt modelId="{4E8D3888-6F53-4F6F-9D1F-0D2EE14C3CEF}" type="pres">
      <dgm:prSet presAssocID="{C17D71C7-804D-4B55-B639-8FFE40F134DF}" presName="connectorText" presStyleLbl="sibTrans2D1" presStyleIdx="0" presStyleCnt="6"/>
      <dgm:spPr/>
      <dgm:t>
        <a:bodyPr/>
        <a:lstStyle/>
        <a:p>
          <a:endParaRPr lang="en-US"/>
        </a:p>
      </dgm:t>
    </dgm:pt>
    <dgm:pt modelId="{46E0C586-1A34-4E28-B574-C4DD4FA9911D}" type="pres">
      <dgm:prSet presAssocID="{3B60DA73-4106-4916-A1D1-4A6058664ABD}" presName="node" presStyleLbl="node1" presStyleIdx="0" presStyleCnt="6">
        <dgm:presLayoutVars>
          <dgm:bulletEnabled val="1"/>
        </dgm:presLayoutVars>
      </dgm:prSet>
      <dgm:spPr/>
      <dgm:t>
        <a:bodyPr/>
        <a:lstStyle/>
        <a:p>
          <a:endParaRPr lang="en-US"/>
        </a:p>
      </dgm:t>
    </dgm:pt>
    <dgm:pt modelId="{A77BCFE7-672C-4870-B799-8A3D89B9F815}" type="pres">
      <dgm:prSet presAssocID="{E6CFCDDA-F1F2-4C0C-9B9E-7F0B8A16DE1C}" presName="parTrans" presStyleLbl="sibTrans2D1" presStyleIdx="1" presStyleCnt="6"/>
      <dgm:spPr/>
      <dgm:t>
        <a:bodyPr/>
        <a:lstStyle/>
        <a:p>
          <a:endParaRPr lang="en-US"/>
        </a:p>
      </dgm:t>
    </dgm:pt>
    <dgm:pt modelId="{88A04928-528C-497C-A7B1-7F33CBF0CBAB}" type="pres">
      <dgm:prSet presAssocID="{E6CFCDDA-F1F2-4C0C-9B9E-7F0B8A16DE1C}" presName="connectorText" presStyleLbl="sibTrans2D1" presStyleIdx="1" presStyleCnt="6"/>
      <dgm:spPr/>
      <dgm:t>
        <a:bodyPr/>
        <a:lstStyle/>
        <a:p>
          <a:endParaRPr lang="en-US"/>
        </a:p>
      </dgm:t>
    </dgm:pt>
    <dgm:pt modelId="{FF5C0F03-8138-4A30-AC42-8AFE1F7FE405}" type="pres">
      <dgm:prSet presAssocID="{6EBB64C0-1FF6-47F9-A116-1FD04906A92D}" presName="node" presStyleLbl="node1" presStyleIdx="1" presStyleCnt="6">
        <dgm:presLayoutVars>
          <dgm:bulletEnabled val="1"/>
        </dgm:presLayoutVars>
      </dgm:prSet>
      <dgm:spPr/>
      <dgm:t>
        <a:bodyPr/>
        <a:lstStyle/>
        <a:p>
          <a:endParaRPr lang="en-US"/>
        </a:p>
      </dgm:t>
    </dgm:pt>
    <dgm:pt modelId="{23EDF7F1-8CC4-413D-A5F2-3B733BD92030}" type="pres">
      <dgm:prSet presAssocID="{16719F21-5850-49FB-AEFB-F71035AE8325}" presName="parTrans" presStyleLbl="sibTrans2D1" presStyleIdx="2" presStyleCnt="6"/>
      <dgm:spPr/>
      <dgm:t>
        <a:bodyPr/>
        <a:lstStyle/>
        <a:p>
          <a:endParaRPr lang="en-US"/>
        </a:p>
      </dgm:t>
    </dgm:pt>
    <dgm:pt modelId="{D10B6C2B-8CA9-4CA7-9A66-2A4F9E7958B1}" type="pres">
      <dgm:prSet presAssocID="{16719F21-5850-49FB-AEFB-F71035AE8325}" presName="connectorText" presStyleLbl="sibTrans2D1" presStyleIdx="2" presStyleCnt="6"/>
      <dgm:spPr/>
      <dgm:t>
        <a:bodyPr/>
        <a:lstStyle/>
        <a:p>
          <a:endParaRPr lang="en-US"/>
        </a:p>
      </dgm:t>
    </dgm:pt>
    <dgm:pt modelId="{9B75101D-C87E-477F-AEB0-60BC29748BF4}" type="pres">
      <dgm:prSet presAssocID="{9121366F-BEA6-44D3-8BE8-9539835D33D8}" presName="node" presStyleLbl="node1" presStyleIdx="2" presStyleCnt="6">
        <dgm:presLayoutVars>
          <dgm:bulletEnabled val="1"/>
        </dgm:presLayoutVars>
      </dgm:prSet>
      <dgm:spPr/>
      <dgm:t>
        <a:bodyPr/>
        <a:lstStyle/>
        <a:p>
          <a:endParaRPr lang="en-US"/>
        </a:p>
      </dgm:t>
    </dgm:pt>
    <dgm:pt modelId="{75EFC159-DCFF-4299-9C9E-B6A894215B11}" type="pres">
      <dgm:prSet presAssocID="{A645C8B9-EA9D-4D48-A27B-7AAF707EA321}" presName="parTrans" presStyleLbl="sibTrans2D1" presStyleIdx="3" presStyleCnt="6"/>
      <dgm:spPr/>
      <dgm:t>
        <a:bodyPr/>
        <a:lstStyle/>
        <a:p>
          <a:endParaRPr lang="en-US"/>
        </a:p>
      </dgm:t>
    </dgm:pt>
    <dgm:pt modelId="{EED732E3-78C2-412D-8A5E-18F2BE541AE0}" type="pres">
      <dgm:prSet presAssocID="{A645C8B9-EA9D-4D48-A27B-7AAF707EA321}" presName="connectorText" presStyleLbl="sibTrans2D1" presStyleIdx="3" presStyleCnt="6"/>
      <dgm:spPr/>
      <dgm:t>
        <a:bodyPr/>
        <a:lstStyle/>
        <a:p>
          <a:endParaRPr lang="en-US"/>
        </a:p>
      </dgm:t>
    </dgm:pt>
    <dgm:pt modelId="{661C3CD1-8D4A-4198-A1B3-52490B7DD5F8}" type="pres">
      <dgm:prSet presAssocID="{482CC3F0-258C-4F1E-A17F-49DC61489411}" presName="node" presStyleLbl="node1" presStyleIdx="3" presStyleCnt="6">
        <dgm:presLayoutVars>
          <dgm:bulletEnabled val="1"/>
        </dgm:presLayoutVars>
      </dgm:prSet>
      <dgm:spPr/>
      <dgm:t>
        <a:bodyPr/>
        <a:lstStyle/>
        <a:p>
          <a:endParaRPr lang="en-US"/>
        </a:p>
      </dgm:t>
    </dgm:pt>
    <dgm:pt modelId="{E4259772-2B77-4C3C-8521-4F38DA7CD231}" type="pres">
      <dgm:prSet presAssocID="{BF8C07FC-5AF2-4721-92EB-810F6149186E}" presName="parTrans" presStyleLbl="sibTrans2D1" presStyleIdx="4" presStyleCnt="6"/>
      <dgm:spPr/>
      <dgm:t>
        <a:bodyPr/>
        <a:lstStyle/>
        <a:p>
          <a:endParaRPr lang="en-US"/>
        </a:p>
      </dgm:t>
    </dgm:pt>
    <dgm:pt modelId="{15469749-35B5-4CFC-8D90-0B530A599CBE}" type="pres">
      <dgm:prSet presAssocID="{BF8C07FC-5AF2-4721-92EB-810F6149186E}" presName="connectorText" presStyleLbl="sibTrans2D1" presStyleIdx="4" presStyleCnt="6"/>
      <dgm:spPr/>
      <dgm:t>
        <a:bodyPr/>
        <a:lstStyle/>
        <a:p>
          <a:endParaRPr lang="en-US"/>
        </a:p>
      </dgm:t>
    </dgm:pt>
    <dgm:pt modelId="{ADA77617-D001-4865-9B1C-BA483F011B8B}" type="pres">
      <dgm:prSet presAssocID="{03E5DFB4-C569-427B-8C0D-27A18799BFD0}" presName="node" presStyleLbl="node1" presStyleIdx="4" presStyleCnt="6">
        <dgm:presLayoutVars>
          <dgm:bulletEnabled val="1"/>
        </dgm:presLayoutVars>
      </dgm:prSet>
      <dgm:spPr/>
      <dgm:t>
        <a:bodyPr/>
        <a:lstStyle/>
        <a:p>
          <a:endParaRPr lang="en-US"/>
        </a:p>
      </dgm:t>
    </dgm:pt>
    <dgm:pt modelId="{CB4F489D-DEF4-4567-B2EE-666AF305E2B1}" type="pres">
      <dgm:prSet presAssocID="{CB680003-2BD0-4DBD-AA38-63FE3D225502}" presName="parTrans" presStyleLbl="sibTrans2D1" presStyleIdx="5" presStyleCnt="6"/>
      <dgm:spPr/>
      <dgm:t>
        <a:bodyPr/>
        <a:lstStyle/>
        <a:p>
          <a:endParaRPr lang="en-US"/>
        </a:p>
      </dgm:t>
    </dgm:pt>
    <dgm:pt modelId="{D6BDDA7B-30C4-495F-8312-437FD911FFBE}" type="pres">
      <dgm:prSet presAssocID="{CB680003-2BD0-4DBD-AA38-63FE3D225502}" presName="connectorText" presStyleLbl="sibTrans2D1" presStyleIdx="5" presStyleCnt="6"/>
      <dgm:spPr/>
      <dgm:t>
        <a:bodyPr/>
        <a:lstStyle/>
        <a:p>
          <a:endParaRPr lang="en-US"/>
        </a:p>
      </dgm:t>
    </dgm:pt>
    <dgm:pt modelId="{81391034-3D92-4C96-89A2-E46F3CF20D4A}" type="pres">
      <dgm:prSet presAssocID="{4B386579-42A2-4D4E-91BF-0766A3392D17}" presName="node" presStyleLbl="node1" presStyleIdx="5" presStyleCnt="6">
        <dgm:presLayoutVars>
          <dgm:bulletEnabled val="1"/>
        </dgm:presLayoutVars>
      </dgm:prSet>
      <dgm:spPr/>
      <dgm:t>
        <a:bodyPr/>
        <a:lstStyle/>
        <a:p>
          <a:endParaRPr lang="en-US"/>
        </a:p>
      </dgm:t>
    </dgm:pt>
  </dgm:ptLst>
  <dgm:cxnLst>
    <dgm:cxn modelId="{3AE7D7F0-C11B-4C6F-A3F9-8F9E8FF3120F}" type="presOf" srcId="{BF8C07FC-5AF2-4721-92EB-810F6149186E}" destId="{15469749-35B5-4CFC-8D90-0B530A599CBE}" srcOrd="1" destOrd="0" presId="urn:microsoft.com/office/officeart/2005/8/layout/radial5"/>
    <dgm:cxn modelId="{ACB682D4-E7B1-4660-8275-BE862CC58167}" type="presOf" srcId="{03E5DFB4-C569-427B-8C0D-27A18799BFD0}" destId="{ADA77617-D001-4865-9B1C-BA483F011B8B}" srcOrd="0" destOrd="0" presId="urn:microsoft.com/office/officeart/2005/8/layout/radial5"/>
    <dgm:cxn modelId="{414CD06A-257A-416D-A957-FD8D184E2CB9}" type="presOf" srcId="{29110CF6-F294-4800-873C-5353F8D644D4}" destId="{7DDA523A-6C1D-4BAA-A7A5-866B1B82DD49}" srcOrd="0" destOrd="0" presId="urn:microsoft.com/office/officeart/2005/8/layout/radial5"/>
    <dgm:cxn modelId="{55964A4E-644B-45C5-9E16-552AD51E73D7}" srcId="{29110CF6-F294-4800-873C-5353F8D644D4}" destId="{3B60DA73-4106-4916-A1D1-4A6058664ABD}" srcOrd="0" destOrd="0" parTransId="{C17D71C7-804D-4B55-B639-8FFE40F134DF}" sibTransId="{3E5581EC-5CCE-4AB3-8245-12C9CF6C1865}"/>
    <dgm:cxn modelId="{41F26F5B-780F-4108-B41A-70FC901AA267}" type="presOf" srcId="{4B386579-42A2-4D4E-91BF-0766A3392D17}" destId="{81391034-3D92-4C96-89A2-E46F3CF20D4A}" srcOrd="0" destOrd="0" presId="urn:microsoft.com/office/officeart/2005/8/layout/radial5"/>
    <dgm:cxn modelId="{387A58C2-E5AF-41E7-A968-6EFDFEAD975E}" type="presOf" srcId="{E6CFCDDA-F1F2-4C0C-9B9E-7F0B8A16DE1C}" destId="{88A04928-528C-497C-A7B1-7F33CBF0CBAB}" srcOrd="1" destOrd="0" presId="urn:microsoft.com/office/officeart/2005/8/layout/radial5"/>
    <dgm:cxn modelId="{B32821B0-FE0D-46B1-AA93-6CCADB7DEAA6}" type="presOf" srcId="{A645C8B9-EA9D-4D48-A27B-7AAF707EA321}" destId="{75EFC159-DCFF-4299-9C9E-B6A894215B11}" srcOrd="0" destOrd="0" presId="urn:microsoft.com/office/officeart/2005/8/layout/radial5"/>
    <dgm:cxn modelId="{B061141E-EC8A-4115-BEC7-4AF77963B774}" type="presOf" srcId="{E4284F8C-5F4C-48CE-87AE-782A555DE174}" destId="{7310DBAA-3483-4C27-B4E0-59491974B2DD}" srcOrd="0" destOrd="0" presId="urn:microsoft.com/office/officeart/2005/8/layout/radial5"/>
    <dgm:cxn modelId="{FCEDC57B-9350-4EAB-8C68-07837038DF25}" type="presOf" srcId="{C17D71C7-804D-4B55-B639-8FFE40F134DF}" destId="{4E8D3888-6F53-4F6F-9D1F-0D2EE14C3CEF}" srcOrd="1" destOrd="0" presId="urn:microsoft.com/office/officeart/2005/8/layout/radial5"/>
    <dgm:cxn modelId="{DDCABBC1-4A01-4489-8FA2-4542862C84D6}" type="presOf" srcId="{C17D71C7-804D-4B55-B639-8FFE40F134DF}" destId="{C6EAE7D1-F973-4757-993E-480390141D4A}" srcOrd="0" destOrd="0" presId="urn:microsoft.com/office/officeart/2005/8/layout/radial5"/>
    <dgm:cxn modelId="{161EE382-3083-4F2D-8686-AB38CFCA5D77}" type="presOf" srcId="{CB680003-2BD0-4DBD-AA38-63FE3D225502}" destId="{D6BDDA7B-30C4-495F-8312-437FD911FFBE}" srcOrd="1" destOrd="0" presId="urn:microsoft.com/office/officeart/2005/8/layout/radial5"/>
    <dgm:cxn modelId="{AC0AF203-3BE6-465F-AF69-DD7DC88684B2}" type="presOf" srcId="{A645C8B9-EA9D-4D48-A27B-7AAF707EA321}" destId="{EED732E3-78C2-412D-8A5E-18F2BE541AE0}" srcOrd="1" destOrd="0" presId="urn:microsoft.com/office/officeart/2005/8/layout/radial5"/>
    <dgm:cxn modelId="{9A3E44F6-FEF6-4C74-ACCB-61C7E07366E5}" type="presOf" srcId="{482CC3F0-258C-4F1E-A17F-49DC61489411}" destId="{661C3CD1-8D4A-4198-A1B3-52490B7DD5F8}" srcOrd="0" destOrd="0" presId="urn:microsoft.com/office/officeart/2005/8/layout/radial5"/>
    <dgm:cxn modelId="{F9FCAD76-1769-4240-B87D-568345E69498}" type="presOf" srcId="{16719F21-5850-49FB-AEFB-F71035AE8325}" destId="{23EDF7F1-8CC4-413D-A5F2-3B733BD92030}" srcOrd="0" destOrd="0" presId="urn:microsoft.com/office/officeart/2005/8/layout/radial5"/>
    <dgm:cxn modelId="{074881EA-1C02-442A-A317-B6E88B879034}" type="presOf" srcId="{BF8C07FC-5AF2-4721-92EB-810F6149186E}" destId="{E4259772-2B77-4C3C-8521-4F38DA7CD231}" srcOrd="0" destOrd="0" presId="urn:microsoft.com/office/officeart/2005/8/layout/radial5"/>
    <dgm:cxn modelId="{AC8E1831-3494-4871-8D14-F281E7C71D44}" srcId="{29110CF6-F294-4800-873C-5353F8D644D4}" destId="{9121366F-BEA6-44D3-8BE8-9539835D33D8}" srcOrd="2" destOrd="0" parTransId="{16719F21-5850-49FB-AEFB-F71035AE8325}" sibTransId="{F2E56AB1-72A1-4AA7-9EB8-055595ED5E1D}"/>
    <dgm:cxn modelId="{537F04FD-DA1E-40DD-A5F1-B2C533C383D6}" srcId="{E4284F8C-5F4C-48CE-87AE-782A555DE174}" destId="{29110CF6-F294-4800-873C-5353F8D644D4}" srcOrd="0" destOrd="0" parTransId="{D8C83785-4AC7-4F4C-B27D-E943BC5FAA2A}" sibTransId="{CF2DECF1-2343-4359-8660-64AEB6F6AD87}"/>
    <dgm:cxn modelId="{06C9715F-E53F-4898-AA70-35907E0EDD8E}" type="presOf" srcId="{3B60DA73-4106-4916-A1D1-4A6058664ABD}" destId="{46E0C586-1A34-4E28-B574-C4DD4FA9911D}" srcOrd="0" destOrd="0" presId="urn:microsoft.com/office/officeart/2005/8/layout/radial5"/>
    <dgm:cxn modelId="{E278BD05-7090-433C-92C0-4C78B05E82F6}" type="presOf" srcId="{CB680003-2BD0-4DBD-AA38-63FE3D225502}" destId="{CB4F489D-DEF4-4567-B2EE-666AF305E2B1}" srcOrd="0" destOrd="0" presId="urn:microsoft.com/office/officeart/2005/8/layout/radial5"/>
    <dgm:cxn modelId="{CBE7FBE2-2934-4170-8EDA-C82D2585F0CE}" srcId="{29110CF6-F294-4800-873C-5353F8D644D4}" destId="{03E5DFB4-C569-427B-8C0D-27A18799BFD0}" srcOrd="4" destOrd="0" parTransId="{BF8C07FC-5AF2-4721-92EB-810F6149186E}" sibTransId="{E27DE8DE-BC0A-459D-81E9-568DE06FEB63}"/>
    <dgm:cxn modelId="{1609D65C-224C-44DF-874E-B03F2FCE9A6E}" type="presOf" srcId="{6EBB64C0-1FF6-47F9-A116-1FD04906A92D}" destId="{FF5C0F03-8138-4A30-AC42-8AFE1F7FE405}" srcOrd="0" destOrd="0" presId="urn:microsoft.com/office/officeart/2005/8/layout/radial5"/>
    <dgm:cxn modelId="{C9384010-ED89-4F20-8682-B608478ED0A4}" type="presOf" srcId="{16719F21-5850-49FB-AEFB-F71035AE8325}" destId="{D10B6C2B-8CA9-4CA7-9A66-2A4F9E7958B1}" srcOrd="1" destOrd="0" presId="urn:microsoft.com/office/officeart/2005/8/layout/radial5"/>
    <dgm:cxn modelId="{D9CD998E-5127-414F-9C3B-D9180F5363FB}" srcId="{29110CF6-F294-4800-873C-5353F8D644D4}" destId="{6EBB64C0-1FF6-47F9-A116-1FD04906A92D}" srcOrd="1" destOrd="0" parTransId="{E6CFCDDA-F1F2-4C0C-9B9E-7F0B8A16DE1C}" sibTransId="{7F209B49-316B-4745-9139-1F55F23FAD9B}"/>
    <dgm:cxn modelId="{8CE37F47-4BBE-47B2-9EAA-68AA8B44E065}" type="presOf" srcId="{9121366F-BEA6-44D3-8BE8-9539835D33D8}" destId="{9B75101D-C87E-477F-AEB0-60BC29748BF4}" srcOrd="0" destOrd="0" presId="urn:microsoft.com/office/officeart/2005/8/layout/radial5"/>
    <dgm:cxn modelId="{3023E79A-CA36-44BC-9D0A-D6B57A05D67A}" type="presOf" srcId="{E6CFCDDA-F1F2-4C0C-9B9E-7F0B8A16DE1C}" destId="{A77BCFE7-672C-4870-B799-8A3D89B9F815}" srcOrd="0" destOrd="0" presId="urn:microsoft.com/office/officeart/2005/8/layout/radial5"/>
    <dgm:cxn modelId="{077B2DB5-BB33-48C4-995F-E081B487D6EA}" srcId="{29110CF6-F294-4800-873C-5353F8D644D4}" destId="{482CC3F0-258C-4F1E-A17F-49DC61489411}" srcOrd="3" destOrd="0" parTransId="{A645C8B9-EA9D-4D48-A27B-7AAF707EA321}" sibTransId="{DB45C21C-2DE4-422C-BF91-A4806D94AE92}"/>
    <dgm:cxn modelId="{979FB495-B9A3-4BC7-B848-B73FD1DCC3C2}" srcId="{29110CF6-F294-4800-873C-5353F8D644D4}" destId="{4B386579-42A2-4D4E-91BF-0766A3392D17}" srcOrd="5" destOrd="0" parTransId="{CB680003-2BD0-4DBD-AA38-63FE3D225502}" sibTransId="{EFC862CA-AFB5-4DB6-AA20-2C0C9599A415}"/>
    <dgm:cxn modelId="{9CAF9223-FC81-49BD-B987-8B70F6B8717F}" type="presParOf" srcId="{7310DBAA-3483-4C27-B4E0-59491974B2DD}" destId="{7DDA523A-6C1D-4BAA-A7A5-866B1B82DD49}" srcOrd="0" destOrd="0" presId="urn:microsoft.com/office/officeart/2005/8/layout/radial5"/>
    <dgm:cxn modelId="{CB140FD8-9D44-465E-84ED-37ED282780F4}" type="presParOf" srcId="{7310DBAA-3483-4C27-B4E0-59491974B2DD}" destId="{C6EAE7D1-F973-4757-993E-480390141D4A}" srcOrd="1" destOrd="0" presId="urn:microsoft.com/office/officeart/2005/8/layout/radial5"/>
    <dgm:cxn modelId="{B7B30445-CC51-4EC1-B07D-E480041EF85B}" type="presParOf" srcId="{C6EAE7D1-F973-4757-993E-480390141D4A}" destId="{4E8D3888-6F53-4F6F-9D1F-0D2EE14C3CEF}" srcOrd="0" destOrd="0" presId="urn:microsoft.com/office/officeart/2005/8/layout/radial5"/>
    <dgm:cxn modelId="{2790B149-CA5B-4A23-8E42-119C8CD776EA}" type="presParOf" srcId="{7310DBAA-3483-4C27-B4E0-59491974B2DD}" destId="{46E0C586-1A34-4E28-B574-C4DD4FA9911D}" srcOrd="2" destOrd="0" presId="urn:microsoft.com/office/officeart/2005/8/layout/radial5"/>
    <dgm:cxn modelId="{24F0686B-BA27-40A0-A1CC-C3017BAF66A7}" type="presParOf" srcId="{7310DBAA-3483-4C27-B4E0-59491974B2DD}" destId="{A77BCFE7-672C-4870-B799-8A3D89B9F815}" srcOrd="3" destOrd="0" presId="urn:microsoft.com/office/officeart/2005/8/layout/radial5"/>
    <dgm:cxn modelId="{540BC1FA-26CF-4608-9DA7-AE9357CB777C}" type="presParOf" srcId="{A77BCFE7-672C-4870-B799-8A3D89B9F815}" destId="{88A04928-528C-497C-A7B1-7F33CBF0CBAB}" srcOrd="0" destOrd="0" presId="urn:microsoft.com/office/officeart/2005/8/layout/radial5"/>
    <dgm:cxn modelId="{B703C2AE-D6E1-40AD-9336-A44B360B5698}" type="presParOf" srcId="{7310DBAA-3483-4C27-B4E0-59491974B2DD}" destId="{FF5C0F03-8138-4A30-AC42-8AFE1F7FE405}" srcOrd="4" destOrd="0" presId="urn:microsoft.com/office/officeart/2005/8/layout/radial5"/>
    <dgm:cxn modelId="{5E7478B6-7BA4-45C0-8F4E-26406FF199E8}" type="presParOf" srcId="{7310DBAA-3483-4C27-B4E0-59491974B2DD}" destId="{23EDF7F1-8CC4-413D-A5F2-3B733BD92030}" srcOrd="5" destOrd="0" presId="urn:microsoft.com/office/officeart/2005/8/layout/radial5"/>
    <dgm:cxn modelId="{4ABFCD17-7F7D-4F1D-B1CC-0C17292A4F64}" type="presParOf" srcId="{23EDF7F1-8CC4-413D-A5F2-3B733BD92030}" destId="{D10B6C2B-8CA9-4CA7-9A66-2A4F9E7958B1}" srcOrd="0" destOrd="0" presId="urn:microsoft.com/office/officeart/2005/8/layout/radial5"/>
    <dgm:cxn modelId="{D630067B-AE46-4BB8-AD5E-426E9CFAD291}" type="presParOf" srcId="{7310DBAA-3483-4C27-B4E0-59491974B2DD}" destId="{9B75101D-C87E-477F-AEB0-60BC29748BF4}" srcOrd="6" destOrd="0" presId="urn:microsoft.com/office/officeart/2005/8/layout/radial5"/>
    <dgm:cxn modelId="{9608E067-5C3B-4992-B4B0-78C49E12DA66}" type="presParOf" srcId="{7310DBAA-3483-4C27-B4E0-59491974B2DD}" destId="{75EFC159-DCFF-4299-9C9E-B6A894215B11}" srcOrd="7" destOrd="0" presId="urn:microsoft.com/office/officeart/2005/8/layout/radial5"/>
    <dgm:cxn modelId="{80C5AC7D-181C-4ADE-A2BA-B75E60CF9F33}" type="presParOf" srcId="{75EFC159-DCFF-4299-9C9E-B6A894215B11}" destId="{EED732E3-78C2-412D-8A5E-18F2BE541AE0}" srcOrd="0" destOrd="0" presId="urn:microsoft.com/office/officeart/2005/8/layout/radial5"/>
    <dgm:cxn modelId="{35FC5012-15C8-4B1C-A7D1-4BD6CA009298}" type="presParOf" srcId="{7310DBAA-3483-4C27-B4E0-59491974B2DD}" destId="{661C3CD1-8D4A-4198-A1B3-52490B7DD5F8}" srcOrd="8" destOrd="0" presId="urn:microsoft.com/office/officeart/2005/8/layout/radial5"/>
    <dgm:cxn modelId="{731E1CB8-C93E-4764-920C-02FA9D34D1BA}" type="presParOf" srcId="{7310DBAA-3483-4C27-B4E0-59491974B2DD}" destId="{E4259772-2B77-4C3C-8521-4F38DA7CD231}" srcOrd="9" destOrd="0" presId="urn:microsoft.com/office/officeart/2005/8/layout/radial5"/>
    <dgm:cxn modelId="{08EB2020-3D43-4C2C-9D2B-02B49835D263}" type="presParOf" srcId="{E4259772-2B77-4C3C-8521-4F38DA7CD231}" destId="{15469749-35B5-4CFC-8D90-0B530A599CBE}" srcOrd="0" destOrd="0" presId="urn:microsoft.com/office/officeart/2005/8/layout/radial5"/>
    <dgm:cxn modelId="{E304225A-985D-4ACE-AFA3-23CA9C5C46AE}" type="presParOf" srcId="{7310DBAA-3483-4C27-B4E0-59491974B2DD}" destId="{ADA77617-D001-4865-9B1C-BA483F011B8B}" srcOrd="10" destOrd="0" presId="urn:microsoft.com/office/officeart/2005/8/layout/radial5"/>
    <dgm:cxn modelId="{9BF9A11D-4724-4057-9891-BBB8F9044848}" type="presParOf" srcId="{7310DBAA-3483-4C27-B4E0-59491974B2DD}" destId="{CB4F489D-DEF4-4567-B2EE-666AF305E2B1}" srcOrd="11" destOrd="0" presId="urn:microsoft.com/office/officeart/2005/8/layout/radial5"/>
    <dgm:cxn modelId="{E52C5250-E71B-418F-AD42-E2E98524E19E}" type="presParOf" srcId="{CB4F489D-DEF4-4567-B2EE-666AF305E2B1}" destId="{D6BDDA7B-30C4-495F-8312-437FD911FFBE}" srcOrd="0" destOrd="0" presId="urn:microsoft.com/office/officeart/2005/8/layout/radial5"/>
    <dgm:cxn modelId="{CDE5F49F-ED96-46B3-830A-8BC10586E560}" type="presParOf" srcId="{7310DBAA-3483-4C27-B4E0-59491974B2DD}" destId="{81391034-3D92-4C96-89A2-E46F3CF20D4A}" srcOrd="12"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A523A-6C1D-4BAA-A7A5-866B1B82DD49}">
      <dsp:nvSpPr>
        <dsp:cNvPr id="0" name=""/>
        <dsp:cNvSpPr/>
      </dsp:nvSpPr>
      <dsp:spPr>
        <a:xfrm>
          <a:off x="2256191" y="2252216"/>
          <a:ext cx="1315922" cy="1315922"/>
        </a:xfrm>
        <a:prstGeom prst="ellipse">
          <a:avLst/>
        </a:prstGeom>
        <a:solidFill>
          <a:schemeClr val="accent1">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DSS</a:t>
          </a:r>
        </a:p>
        <a:p>
          <a:pPr lvl="0" algn="ctr" defTabSz="355600">
            <a:lnSpc>
              <a:spcPct val="90000"/>
            </a:lnSpc>
            <a:spcBef>
              <a:spcPct val="0"/>
            </a:spcBef>
            <a:spcAft>
              <a:spcPct val="35000"/>
            </a:spcAft>
          </a:pPr>
          <a:r>
            <a:rPr lang="en-US" sz="800" kern="1200"/>
            <a:t>-Administration of the Scheme</a:t>
          </a:r>
        </a:p>
        <a:p>
          <a:pPr lvl="0" algn="ctr" defTabSz="355600">
            <a:lnSpc>
              <a:spcPct val="90000"/>
            </a:lnSpc>
            <a:spcBef>
              <a:spcPct val="0"/>
            </a:spcBef>
            <a:spcAft>
              <a:spcPct val="35000"/>
            </a:spcAft>
          </a:pPr>
          <a:r>
            <a:rPr lang="en-US" sz="800" kern="1200"/>
            <a:t>- Legislation &amp; Policy</a:t>
          </a:r>
        </a:p>
        <a:p>
          <a:pPr lvl="0" algn="ctr" defTabSz="355600">
            <a:lnSpc>
              <a:spcPct val="90000"/>
            </a:lnSpc>
            <a:spcBef>
              <a:spcPct val="0"/>
            </a:spcBef>
            <a:spcAft>
              <a:spcPct val="35000"/>
            </a:spcAft>
          </a:pPr>
          <a:r>
            <a:rPr lang="en-US" sz="800" kern="1200"/>
            <a:t>- Stakeholder management</a:t>
          </a:r>
        </a:p>
      </dsp:txBody>
      <dsp:txXfrm>
        <a:off x="2448903" y="2444928"/>
        <a:ext cx="930498" cy="930498"/>
      </dsp:txXfrm>
    </dsp:sp>
    <dsp:sp modelId="{C6EAE7D1-F973-4757-993E-480390141D4A}">
      <dsp:nvSpPr>
        <dsp:cNvPr id="0" name=""/>
        <dsp:cNvSpPr/>
      </dsp:nvSpPr>
      <dsp:spPr>
        <a:xfrm rot="16200000">
          <a:off x="2754210" y="1735784"/>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02193" y="1873250"/>
        <a:ext cx="223919" cy="268447"/>
      </dsp:txXfrm>
    </dsp:sp>
    <dsp:sp modelId="{46E0C586-1A34-4E28-B574-C4DD4FA9911D}">
      <dsp:nvSpPr>
        <dsp:cNvPr id="0" name=""/>
        <dsp:cNvSpPr/>
      </dsp:nvSpPr>
      <dsp:spPr>
        <a:xfrm>
          <a:off x="2091701" y="3757"/>
          <a:ext cx="1644902" cy="1644902"/>
        </a:xfrm>
        <a:prstGeom prst="ellipse">
          <a:avLst/>
        </a:prstGeom>
        <a:solidFill>
          <a:schemeClr val="accent6">
            <a:lumMod val="5000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Approved Participants</a:t>
          </a:r>
        </a:p>
        <a:p>
          <a:pPr lvl="0" algn="ctr" defTabSz="355600">
            <a:lnSpc>
              <a:spcPct val="90000"/>
            </a:lnSpc>
            <a:spcBef>
              <a:spcPct val="0"/>
            </a:spcBef>
            <a:spcAft>
              <a:spcPct val="35000"/>
            </a:spcAft>
          </a:pPr>
          <a:r>
            <a:rPr lang="en-US" sz="800" kern="1200"/>
            <a:t>- Complying with regulations</a:t>
          </a:r>
        </a:p>
        <a:p>
          <a:pPr lvl="0" algn="ctr" defTabSz="355600">
            <a:lnSpc>
              <a:spcPct val="90000"/>
            </a:lnSpc>
            <a:spcBef>
              <a:spcPct val="0"/>
            </a:spcBef>
            <a:spcAft>
              <a:spcPct val="35000"/>
            </a:spcAft>
          </a:pPr>
          <a:r>
            <a:rPr lang="en-US" sz="800" kern="1200"/>
            <a:t>-Complying with Australian, State/Territory legislation</a:t>
          </a:r>
        </a:p>
      </dsp:txBody>
      <dsp:txXfrm>
        <a:off x="2332591" y="244647"/>
        <a:ext cx="1163122" cy="1163122"/>
      </dsp:txXfrm>
    </dsp:sp>
    <dsp:sp modelId="{A77BCFE7-672C-4870-B799-8A3D89B9F815}">
      <dsp:nvSpPr>
        <dsp:cNvPr id="0" name=""/>
        <dsp:cNvSpPr/>
      </dsp:nvSpPr>
      <dsp:spPr>
        <a:xfrm rot="19800000">
          <a:off x="3577528" y="2211127"/>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83956" y="2324601"/>
        <a:ext cx="223919" cy="268447"/>
      </dsp:txXfrm>
    </dsp:sp>
    <dsp:sp modelId="{FF5C0F03-8138-4A30-AC42-8AFE1F7FE405}">
      <dsp:nvSpPr>
        <dsp:cNvPr id="0" name=""/>
        <dsp:cNvSpPr/>
      </dsp:nvSpPr>
      <dsp:spPr>
        <a:xfrm>
          <a:off x="3896471" y="1045741"/>
          <a:ext cx="1644902" cy="1644902"/>
        </a:xfrm>
        <a:prstGeom prst="ellipse">
          <a:avLst/>
        </a:prstGeom>
        <a:solidFill>
          <a:srgbClr val="92D050"/>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Other Regulatory Entities</a:t>
          </a:r>
        </a:p>
        <a:p>
          <a:pPr lvl="0" algn="ctr" defTabSz="355600">
            <a:lnSpc>
              <a:spcPct val="90000"/>
            </a:lnSpc>
            <a:spcBef>
              <a:spcPct val="0"/>
            </a:spcBef>
            <a:spcAft>
              <a:spcPct val="35000"/>
            </a:spcAft>
          </a:pPr>
          <a:r>
            <a:rPr lang="en-US" sz="800" kern="1200"/>
            <a:t>-including ACCC, ATO and API</a:t>
          </a:r>
        </a:p>
      </dsp:txBody>
      <dsp:txXfrm>
        <a:off x="4137361" y="1286631"/>
        <a:ext cx="1163122" cy="1163122"/>
      </dsp:txXfrm>
    </dsp:sp>
    <dsp:sp modelId="{23EDF7F1-8CC4-413D-A5F2-3B733BD92030}">
      <dsp:nvSpPr>
        <dsp:cNvPr id="0" name=""/>
        <dsp:cNvSpPr/>
      </dsp:nvSpPr>
      <dsp:spPr>
        <a:xfrm rot="1800000">
          <a:off x="3577528" y="3161813"/>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83956" y="3227305"/>
        <a:ext cx="223919" cy="268447"/>
      </dsp:txXfrm>
    </dsp:sp>
    <dsp:sp modelId="{9B75101D-C87E-477F-AEB0-60BC29748BF4}">
      <dsp:nvSpPr>
        <dsp:cNvPr id="0" name=""/>
        <dsp:cNvSpPr/>
      </dsp:nvSpPr>
      <dsp:spPr>
        <a:xfrm>
          <a:off x="3896471" y="3129710"/>
          <a:ext cx="1644902" cy="1644902"/>
        </a:xfrm>
        <a:prstGeom prst="ellipse">
          <a:avLst/>
        </a:prstGeom>
        <a:solidFill>
          <a:srgbClr val="7030A0"/>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ATO</a:t>
          </a:r>
        </a:p>
        <a:p>
          <a:pPr lvl="0" algn="ctr" defTabSz="355600">
            <a:lnSpc>
              <a:spcPct val="90000"/>
            </a:lnSpc>
            <a:spcBef>
              <a:spcPct val="0"/>
            </a:spcBef>
            <a:spcAft>
              <a:spcPct val="35000"/>
            </a:spcAft>
          </a:pPr>
          <a:r>
            <a:rPr lang="en-US" sz="800" kern="1200"/>
            <a:t>- Income Tax Assessments</a:t>
          </a:r>
        </a:p>
        <a:p>
          <a:pPr lvl="0" algn="ctr" defTabSz="355600">
            <a:lnSpc>
              <a:spcPct val="90000"/>
            </a:lnSpc>
            <a:spcBef>
              <a:spcPct val="0"/>
            </a:spcBef>
            <a:spcAft>
              <a:spcPct val="35000"/>
            </a:spcAft>
          </a:pPr>
          <a:r>
            <a:rPr lang="en-US" sz="800" kern="1200"/>
            <a:t>- Refundable tax offset incentive contributions</a:t>
          </a:r>
        </a:p>
      </dsp:txBody>
      <dsp:txXfrm>
        <a:off x="4137361" y="3370600"/>
        <a:ext cx="1163122" cy="1163122"/>
      </dsp:txXfrm>
    </dsp:sp>
    <dsp:sp modelId="{75EFC159-DCFF-4299-9C9E-B6A894215B11}">
      <dsp:nvSpPr>
        <dsp:cNvPr id="0" name=""/>
        <dsp:cNvSpPr/>
      </dsp:nvSpPr>
      <dsp:spPr>
        <a:xfrm rot="5400000">
          <a:off x="2754210" y="3637156"/>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02193" y="3678657"/>
        <a:ext cx="223919" cy="268447"/>
      </dsp:txXfrm>
    </dsp:sp>
    <dsp:sp modelId="{661C3CD1-8D4A-4198-A1B3-52490B7DD5F8}">
      <dsp:nvSpPr>
        <dsp:cNvPr id="0" name=""/>
        <dsp:cNvSpPr/>
      </dsp:nvSpPr>
      <dsp:spPr>
        <a:xfrm>
          <a:off x="2091701" y="4171695"/>
          <a:ext cx="1644902" cy="1644902"/>
        </a:xfrm>
        <a:prstGeom prst="ellipse">
          <a:avLst/>
        </a:prstGeom>
        <a:solidFill>
          <a:srgbClr val="0070C0"/>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Peak Housing bodies</a:t>
          </a:r>
        </a:p>
        <a:p>
          <a:pPr lvl="0" algn="ctr" defTabSz="355600">
            <a:lnSpc>
              <a:spcPct val="90000"/>
            </a:lnSpc>
            <a:spcBef>
              <a:spcPct val="0"/>
            </a:spcBef>
            <a:spcAft>
              <a:spcPct val="35000"/>
            </a:spcAft>
          </a:pPr>
          <a:r>
            <a:rPr lang="en-US" sz="800" kern="1200"/>
            <a:t> - NAHP and CHIA</a:t>
          </a:r>
        </a:p>
        <a:p>
          <a:pPr lvl="0" algn="ctr" defTabSz="355600">
            <a:lnSpc>
              <a:spcPct val="90000"/>
            </a:lnSpc>
            <a:spcBef>
              <a:spcPct val="0"/>
            </a:spcBef>
            <a:spcAft>
              <a:spcPct val="35000"/>
            </a:spcAft>
          </a:pPr>
          <a:r>
            <a:rPr lang="en-US" sz="800" kern="1200"/>
            <a:t>- Representing for-profit and community housing providers</a:t>
          </a:r>
        </a:p>
        <a:p>
          <a:pPr lvl="0" algn="ctr" defTabSz="355600">
            <a:lnSpc>
              <a:spcPct val="90000"/>
            </a:lnSpc>
            <a:spcBef>
              <a:spcPct val="0"/>
            </a:spcBef>
            <a:spcAft>
              <a:spcPct val="35000"/>
            </a:spcAft>
          </a:pPr>
          <a:r>
            <a:rPr lang="en-US" sz="800" kern="1200"/>
            <a:t>- Providing feedback from approved participants</a:t>
          </a:r>
        </a:p>
      </dsp:txBody>
      <dsp:txXfrm>
        <a:off x="2332591" y="4412585"/>
        <a:ext cx="1163122" cy="1163122"/>
      </dsp:txXfrm>
    </dsp:sp>
    <dsp:sp modelId="{E4259772-2B77-4C3C-8521-4F38DA7CD231}">
      <dsp:nvSpPr>
        <dsp:cNvPr id="0" name=""/>
        <dsp:cNvSpPr/>
      </dsp:nvSpPr>
      <dsp:spPr>
        <a:xfrm rot="9000000">
          <a:off x="1930892" y="3161813"/>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020429" y="3227305"/>
        <a:ext cx="223919" cy="268447"/>
      </dsp:txXfrm>
    </dsp:sp>
    <dsp:sp modelId="{ADA77617-D001-4865-9B1C-BA483F011B8B}">
      <dsp:nvSpPr>
        <dsp:cNvPr id="0" name=""/>
        <dsp:cNvSpPr/>
      </dsp:nvSpPr>
      <dsp:spPr>
        <a:xfrm>
          <a:off x="286931" y="3129710"/>
          <a:ext cx="1644902" cy="1644902"/>
        </a:xfrm>
        <a:prstGeom prst="ellipse">
          <a:avLst/>
        </a:prstGeom>
        <a:solidFill>
          <a:schemeClr val="bg2">
            <a:lumMod val="5000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PM&amp;C</a:t>
          </a:r>
        </a:p>
        <a:p>
          <a:pPr lvl="0" algn="ctr" defTabSz="355600">
            <a:lnSpc>
              <a:spcPct val="90000"/>
            </a:lnSpc>
            <a:spcBef>
              <a:spcPct val="0"/>
            </a:spcBef>
            <a:spcAft>
              <a:spcPct val="35000"/>
            </a:spcAft>
          </a:pPr>
          <a:r>
            <a:rPr lang="en-US" sz="800" kern="1200"/>
            <a:t>- Regulator Performance Framework</a:t>
          </a:r>
        </a:p>
      </dsp:txBody>
      <dsp:txXfrm>
        <a:off x="527821" y="3370600"/>
        <a:ext cx="1163122" cy="1163122"/>
      </dsp:txXfrm>
    </dsp:sp>
    <dsp:sp modelId="{CB4F489D-DEF4-4567-B2EE-666AF305E2B1}">
      <dsp:nvSpPr>
        <dsp:cNvPr id="0" name=""/>
        <dsp:cNvSpPr/>
      </dsp:nvSpPr>
      <dsp:spPr>
        <a:xfrm rot="12600000">
          <a:off x="1930892" y="2211127"/>
          <a:ext cx="319884" cy="447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020429" y="2324601"/>
        <a:ext cx="223919" cy="268447"/>
      </dsp:txXfrm>
    </dsp:sp>
    <dsp:sp modelId="{81391034-3D92-4C96-89A2-E46F3CF20D4A}">
      <dsp:nvSpPr>
        <dsp:cNvPr id="0" name=""/>
        <dsp:cNvSpPr/>
      </dsp:nvSpPr>
      <dsp:spPr>
        <a:xfrm>
          <a:off x="286931" y="1045741"/>
          <a:ext cx="1644902" cy="1644902"/>
        </a:xfrm>
        <a:prstGeom prst="ellipse">
          <a:avLst/>
        </a:prstGeom>
        <a:solidFill>
          <a:srgbClr val="D19B4B"/>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State/Territory Governments</a:t>
          </a:r>
        </a:p>
        <a:p>
          <a:pPr lvl="0" algn="ctr" defTabSz="355600">
            <a:lnSpc>
              <a:spcPct val="90000"/>
            </a:lnSpc>
            <a:spcBef>
              <a:spcPct val="0"/>
            </a:spcBef>
            <a:spcAft>
              <a:spcPct val="35000"/>
            </a:spcAft>
          </a:pPr>
          <a:r>
            <a:rPr lang="en-US" sz="800" kern="1200"/>
            <a:t>- Payment of State/Territory incentives</a:t>
          </a:r>
        </a:p>
        <a:p>
          <a:pPr lvl="0" algn="ctr" defTabSz="355600">
            <a:lnSpc>
              <a:spcPct val="90000"/>
            </a:lnSpc>
            <a:spcBef>
              <a:spcPct val="0"/>
            </a:spcBef>
            <a:spcAft>
              <a:spcPct val="35000"/>
            </a:spcAft>
          </a:pPr>
          <a:r>
            <a:rPr lang="en-US" sz="800" kern="1200"/>
            <a:t>- Liaison with approved participants</a:t>
          </a:r>
        </a:p>
      </dsp:txBody>
      <dsp:txXfrm>
        <a:off x="527821" y="1286631"/>
        <a:ext cx="1163122" cy="11631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5740</Words>
  <Characters>32724</Characters>
  <Application>Microsoft Office Word</Application>
  <DocSecurity>0</DocSecurity>
  <Lines>272</Lines>
  <Paragraphs>76</Paragraphs>
  <ScaleCrop>false</ScaleCrop>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2018-01-31T02:09:00Z</dcterms:created>
  <dcterms:modified xsi:type="dcterms:W3CDTF">2018-01-31T02:09:00Z</dcterms:modified>
</cp:coreProperties>
</file>