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6EF2" w14:textId="77777777" w:rsidR="004A253B" w:rsidRDefault="001429A3" w:rsidP="004A253B">
      <w:pPr>
        <w:pStyle w:val="Signature"/>
        <w:spacing w:after="3360" w:line="260" w:lineRule="atLeast"/>
        <w:ind w:hanging="567"/>
      </w:pPr>
      <w:bookmarkStart w:id="0" w:name="_GoBack"/>
      <w:bookmarkEnd w:id="0"/>
      <w:r>
        <w:rPr>
          <w:noProof/>
          <w:lang w:eastAsia="en-AU"/>
        </w:rPr>
        <w:drawing>
          <wp:inline distT="0" distB="0" distL="0" distR="0" wp14:anchorId="763170E4" wp14:editId="61C4C3BA">
            <wp:extent cx="1332230" cy="454025"/>
            <wp:effectExtent l="0" t="0" r="1270" b="3175"/>
            <wp:docPr id="1" name="Picture 1" descr="KPMG_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MG_footer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230" cy="454025"/>
                    </a:xfrm>
                    <a:prstGeom prst="rect">
                      <a:avLst/>
                    </a:prstGeom>
                    <a:noFill/>
                    <a:ln w="9525">
                      <a:noFill/>
                      <a:miter lim="800000"/>
                      <a:headEnd/>
                      <a:tailEnd/>
                    </a:ln>
                  </pic:spPr>
                </pic:pic>
              </a:graphicData>
            </a:graphic>
          </wp:inline>
        </w:drawing>
      </w:r>
    </w:p>
    <w:p w14:paraId="43F6055E" w14:textId="77777777" w:rsidR="004A253B" w:rsidRPr="00CD5D6A" w:rsidRDefault="004A253B" w:rsidP="004A253B">
      <w:r w:rsidRPr="00CD5D6A">
        <w:t>HEALTH AGEING AND HUMAN SERVICES</w:t>
      </w:r>
    </w:p>
    <w:p w14:paraId="5038BD9D" w14:textId="77777777" w:rsidR="004A253B" w:rsidRPr="004A253B" w:rsidRDefault="004A253B" w:rsidP="004A253B"/>
    <w:p w14:paraId="2BCF2167" w14:textId="77777777" w:rsidR="004A253B" w:rsidRDefault="004A253B" w:rsidP="004A253B">
      <w:pPr>
        <w:pStyle w:val="Frontpagesubhead"/>
        <w:rPr>
          <w:color w:val="auto"/>
          <w:sz w:val="44"/>
          <w:szCs w:val="20"/>
        </w:rPr>
      </w:pPr>
      <w:r w:rsidRPr="00CD5D6A">
        <w:rPr>
          <w:color w:val="auto"/>
          <w:sz w:val="44"/>
          <w:szCs w:val="20"/>
        </w:rPr>
        <w:t xml:space="preserve">Ministerial Dementia Forum– </w:t>
      </w:r>
    </w:p>
    <w:p w14:paraId="44413F70" w14:textId="77777777" w:rsidR="004A253B" w:rsidRPr="00CD5D6A" w:rsidRDefault="004A253B" w:rsidP="004A253B">
      <w:pPr>
        <w:pStyle w:val="Frontpagesubhead"/>
        <w:spacing w:before="0"/>
        <w:rPr>
          <w:color w:val="auto"/>
          <w:sz w:val="44"/>
          <w:szCs w:val="20"/>
        </w:rPr>
      </w:pPr>
      <w:r w:rsidRPr="00CD5D6A">
        <w:rPr>
          <w:color w:val="auto"/>
          <w:sz w:val="44"/>
          <w:szCs w:val="20"/>
        </w:rPr>
        <w:t>Options Paper</w:t>
      </w:r>
    </w:p>
    <w:p w14:paraId="162B8F6C" w14:textId="77777777" w:rsidR="004A253B" w:rsidRPr="00CD5D6A" w:rsidRDefault="004A253B" w:rsidP="004A253B">
      <w:pPr>
        <w:pStyle w:val="Frontpagesubhead"/>
        <w:rPr>
          <w:color w:val="auto"/>
          <w:sz w:val="44"/>
          <w:szCs w:val="20"/>
        </w:rPr>
      </w:pPr>
    </w:p>
    <w:p w14:paraId="2029CCA5" w14:textId="77777777" w:rsidR="004A253B" w:rsidRPr="00CD5D6A" w:rsidRDefault="004A253B" w:rsidP="004A253B">
      <w:pPr>
        <w:pStyle w:val="Frontpagesubhead"/>
        <w:rPr>
          <w:color w:val="auto"/>
          <w:sz w:val="44"/>
          <w:szCs w:val="20"/>
        </w:rPr>
      </w:pPr>
      <w:r w:rsidRPr="00CD5D6A">
        <w:rPr>
          <w:color w:val="auto"/>
          <w:sz w:val="44"/>
          <w:szCs w:val="20"/>
        </w:rPr>
        <w:t>Final</w:t>
      </w:r>
    </w:p>
    <w:p w14:paraId="7E9CA86F" w14:textId="77777777" w:rsidR="004A253B" w:rsidRPr="00CD5D6A" w:rsidRDefault="004A253B" w:rsidP="004A253B">
      <w:pPr>
        <w:pStyle w:val="Frontpagesubhead"/>
        <w:spacing w:after="1200"/>
        <w:rPr>
          <w:color w:val="auto"/>
        </w:rPr>
      </w:pPr>
      <w:r w:rsidRPr="00CD5D6A">
        <w:rPr>
          <w:color w:val="auto"/>
        </w:rPr>
        <w:t>October 2014</w:t>
      </w:r>
    </w:p>
    <w:p w14:paraId="5AF6AA00" w14:textId="77777777" w:rsidR="00A04EA9" w:rsidRPr="004A253B" w:rsidRDefault="004A253B" w:rsidP="004A253B">
      <w:pPr>
        <w:sectPr w:rsidR="00A04EA9" w:rsidRPr="004A253B" w:rsidSect="001429A3">
          <w:headerReference w:type="even" r:id="rId10"/>
          <w:footerReference w:type="even" r:id="rId11"/>
          <w:footerReference w:type="first" r:id="rId12"/>
          <w:pgSz w:w="11907" w:h="16840" w:code="9"/>
          <w:pgMar w:top="567" w:right="1043" w:bottom="805" w:left="1043" w:header="709" w:footer="709" w:gutter="0"/>
          <w:pgNumType w:start="0"/>
          <w:cols w:space="720"/>
          <w:docGrid w:linePitch="272"/>
        </w:sectPr>
      </w:pPr>
      <w:r w:rsidRPr="00CD5D6A">
        <w:t>MANAGEMENT CONSULTING</w:t>
      </w:r>
    </w:p>
    <w:p w14:paraId="43E4AF9F" w14:textId="77777777" w:rsidR="00D43578" w:rsidRDefault="00D43578" w:rsidP="000C61C3">
      <w:pPr>
        <w:pStyle w:val="HeadingLevel3NoNumber"/>
      </w:pPr>
      <w:bookmarkStart w:id="2" w:name="PropCoverLetterSection"/>
      <w:bookmarkEnd w:id="2"/>
      <w:r>
        <w:lastRenderedPageBreak/>
        <w:t>Discla</w:t>
      </w:r>
      <w:r w:rsidR="0054534C">
        <w:t>i</w:t>
      </w:r>
      <w:r>
        <w:t>mer</w:t>
      </w:r>
    </w:p>
    <w:p w14:paraId="5401CBC1"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iCs/>
          <w:sz w:val="20"/>
        </w:rPr>
      </w:pPr>
      <w:r>
        <w:rPr>
          <w:b/>
          <w:bCs/>
          <w:iCs/>
        </w:rPr>
        <w:t>Inherent Limitations</w:t>
      </w:r>
    </w:p>
    <w:p w14:paraId="63F299EE"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lang w:eastAsia="en-AU"/>
        </w:rPr>
      </w:pPr>
      <w:r>
        <w:rPr>
          <w:lang w:eastAsia="en-AU"/>
        </w:rPr>
        <w:t xml:space="preserve">This report has been prepared as outlined in KPMG’s Order for Services executed 29 August 2014.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 </w:t>
      </w:r>
    </w:p>
    <w:p w14:paraId="6D083219"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lang w:eastAsia="en-AU"/>
        </w:rPr>
      </w:pPr>
      <w:r>
        <w:rPr>
          <w:lang w:eastAsia="en-AU"/>
        </w:rPr>
        <w:t>The findings in this report are based on a qualitative study and the reported results reflect a perception of participants who attended the Ministerial Dementia Forum on 11 September 2014 but only to the extent of the sample surveyed, being the Department of Social Services’ approved representative sample of service providers, clinicians, carers, people with dementia and the Australian Government.  Any projection to wider personnel and/or stakeholders is subject to the level of bias in the method of sample selection.</w:t>
      </w:r>
    </w:p>
    <w:p w14:paraId="6E76E5D6"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lang w:eastAsia="en-AU"/>
        </w:rPr>
      </w:pPr>
      <w:r>
        <w:rPr>
          <w:lang w:eastAsia="en-AU"/>
        </w:rPr>
        <w:t>No warranty of completeness, accuracy or reliability is given in relation to the statements and representations made by, and the information and documentation provided by, service providers, clinicians, carers, people with dementia and Australian Government stakeholders consulted as part of the process.</w:t>
      </w:r>
    </w:p>
    <w:p w14:paraId="625C2D37"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lang w:eastAsia="en-AU"/>
        </w:rPr>
      </w:pPr>
      <w:r>
        <w:rPr>
          <w:lang w:eastAsia="en-AU"/>
        </w:rPr>
        <w:t xml:space="preserve">KPMG have indicated within this report the sources of the information provided.  We have not sought to independently verify those sources unless otherwise noted within the report. </w:t>
      </w:r>
    </w:p>
    <w:p w14:paraId="053F752B"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lang w:eastAsia="en-AU"/>
        </w:rPr>
      </w:pPr>
      <w:r>
        <w:rPr>
          <w:lang w:eastAsia="en-AU"/>
        </w:rPr>
        <w:t>The report is dated 31 October 2014 and KPMG accepts no liability for, and has not undertaken work in respect of, an even subsequent to that date which may affect the report. KPMG is under no obligation in any circumstance to update this report, in either oral or written form, for events occurring after the report has been issued in final form.</w:t>
      </w:r>
    </w:p>
    <w:p w14:paraId="6E7EB275"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iCs/>
        </w:rPr>
      </w:pPr>
      <w:r>
        <w:rPr>
          <w:lang w:eastAsia="en-AU"/>
        </w:rPr>
        <w:t>The findings in this report have been formed on the above basis.</w:t>
      </w:r>
    </w:p>
    <w:p w14:paraId="0D91296B"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iCs/>
        </w:rPr>
      </w:pPr>
      <w:r>
        <w:rPr>
          <w:b/>
          <w:bCs/>
          <w:iCs/>
        </w:rPr>
        <w:t>Third Party Reliance</w:t>
      </w:r>
    </w:p>
    <w:p w14:paraId="14EEAB8A"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iCs/>
        </w:rPr>
      </w:pPr>
      <w:r>
        <w:rPr>
          <w:iCs/>
        </w:rPr>
        <w:t>This report is solely for the purpose set out in the Order for Services executed 29 August 2014 and for the Department of Social Services’ information, and is not to be used for any other purpose or distributed to any other party without KPMG’s prior written consent.</w:t>
      </w:r>
    </w:p>
    <w:p w14:paraId="2337936B"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iCs/>
        </w:rPr>
      </w:pPr>
      <w:r>
        <w:rPr>
          <w:iCs/>
        </w:rPr>
        <w:t>This report has been prepared at the request of the Department of Social Services in accordance with the terms of KPMG’s Order for Services executed 29 August 2014. Other than our responsibility to the Department of Social Services, neither KPMG nor any member or employee of KPMG undertakes responsibility arising in any way from reliance placed by a third party on this report in whole or in part, in any format.  Any reliance placed is that party’s sole responsibility.</w:t>
      </w:r>
    </w:p>
    <w:p w14:paraId="261F31E3"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b/>
          <w:bCs/>
          <w:iCs/>
        </w:rPr>
      </w:pPr>
      <w:r>
        <w:rPr>
          <w:b/>
          <w:bCs/>
          <w:iCs/>
        </w:rPr>
        <w:t>Electronic Distribution</w:t>
      </w:r>
    </w:p>
    <w:p w14:paraId="15C985EB" w14:textId="77777777" w:rsidR="007F0811" w:rsidRDefault="007F0811" w:rsidP="007F0811">
      <w:pPr>
        <w:pStyle w:val="BodyText"/>
        <w:pBdr>
          <w:top w:val="single" w:sz="4" w:space="1" w:color="auto"/>
          <w:left w:val="single" w:sz="4" w:space="4" w:color="auto"/>
          <w:bottom w:val="single" w:sz="4" w:space="1" w:color="auto"/>
          <w:right w:val="single" w:sz="4" w:space="4" w:color="auto"/>
        </w:pBdr>
        <w:spacing w:before="80" w:after="80"/>
        <w:rPr>
          <w:bCs/>
          <w:iCs/>
        </w:rPr>
      </w:pPr>
      <w:r>
        <w:rPr>
          <w:bCs/>
          <w:iCs/>
        </w:rPr>
        <w:t>Responsibility for the security of any electronic distribution of this report remains the responsibility of the Department of Social Services and KPMG accepts no liability if the report is, or has been, altered in any way by any person.</w:t>
      </w:r>
    </w:p>
    <w:p w14:paraId="6F23418A" w14:textId="77777777" w:rsidR="007F0811" w:rsidRDefault="007F0811" w:rsidP="007F0811">
      <w:pPr>
        <w:spacing w:after="120"/>
        <w:rPr>
          <w:iCs/>
          <w:szCs w:val="22"/>
        </w:rPr>
      </w:pPr>
    </w:p>
    <w:p w14:paraId="6831C361" w14:textId="77777777" w:rsidR="00D43578" w:rsidRDefault="00D43578" w:rsidP="00D43578">
      <w:pPr>
        <w:pStyle w:val="BodyText"/>
      </w:pPr>
    </w:p>
    <w:p w14:paraId="58213FFF" w14:textId="77777777" w:rsidR="000807A2" w:rsidRDefault="000807A2">
      <w:pPr>
        <w:spacing w:line="240" w:lineRule="auto"/>
      </w:pPr>
      <w:r>
        <w:br w:type="page"/>
      </w:r>
    </w:p>
    <w:p w14:paraId="0EA0F8B9" w14:textId="77777777" w:rsidR="000807A2" w:rsidRPr="00F20677" w:rsidRDefault="000807A2" w:rsidP="002B4AE1">
      <w:pPr>
        <w:pStyle w:val="HeadingLevel1NoNumber"/>
      </w:pPr>
      <w:bookmarkStart w:id="3" w:name="_Toc402530506"/>
      <w:r w:rsidRPr="00F20677">
        <w:lastRenderedPageBreak/>
        <w:t xml:space="preserve">Executive </w:t>
      </w:r>
      <w:r w:rsidR="00EF6F1A" w:rsidRPr="00F20677">
        <w:t>s</w:t>
      </w:r>
      <w:r w:rsidRPr="00F20677">
        <w:t>ummary</w:t>
      </w:r>
      <w:bookmarkEnd w:id="3"/>
    </w:p>
    <w:p w14:paraId="507297F0" w14:textId="77777777" w:rsidR="009623C1" w:rsidRDefault="009623C1" w:rsidP="009623C1">
      <w:r w:rsidRPr="00671338">
        <w:t>Dementia is the gradual, progressive and irreversible decline in brain function.</w:t>
      </w:r>
      <w:r>
        <w:t xml:space="preserve"> </w:t>
      </w:r>
      <w:r w:rsidRPr="00671338">
        <w:t xml:space="preserve">It is a syndrome, meaning it is characterised by multiple symptoms which may include difficulties with language, memory, perception, changes in personality and reduced cognitive skills. </w:t>
      </w:r>
      <w:r>
        <w:t>It</w:t>
      </w:r>
      <w:r w:rsidRPr="00671338">
        <w:t xml:space="preserve"> can result from one, or a combination of over 100 identified causes, the most common of which are Alzheimer’s </w:t>
      </w:r>
      <w:r>
        <w:t xml:space="preserve">disease and vascular disease. </w:t>
      </w:r>
      <w:r w:rsidRPr="00671338">
        <w:t>With age as the major non-modifiable risk factor, the prevalence of dementia approximately doubles every five years beyond the age of 65</w:t>
      </w:r>
      <w:r>
        <w:t xml:space="preserve"> and for </w:t>
      </w:r>
      <w:r w:rsidRPr="00671338">
        <w:t xml:space="preserve">those aged 85 and over, the prevalence is approximately </w:t>
      </w:r>
      <w:r>
        <w:t>one</w:t>
      </w:r>
      <w:r w:rsidRPr="00671338">
        <w:t xml:space="preserve"> in every</w:t>
      </w:r>
      <w:r>
        <w:t xml:space="preserve"> four</w:t>
      </w:r>
      <w:r w:rsidRPr="00671338">
        <w:t xml:space="preserve"> persons</w:t>
      </w:r>
      <w:r>
        <w:t>.</w:t>
      </w:r>
    </w:p>
    <w:p w14:paraId="573BBE02" w14:textId="77777777" w:rsidR="009623C1" w:rsidRDefault="009623C1" w:rsidP="009623C1">
      <w:pPr>
        <w:pStyle w:val="BodyText"/>
      </w:pPr>
      <w:r>
        <w:t xml:space="preserve">With Australia’s ageing population, it is important that the Australian Government provides appropriate levels of support for people with dementia; their </w:t>
      </w:r>
      <w:proofErr w:type="spellStart"/>
      <w:r>
        <w:t>carers</w:t>
      </w:r>
      <w:proofErr w:type="spellEnd"/>
      <w:r>
        <w:t xml:space="preserve"> and family; and aged care service providers to ensure that people with dementia receive high quality care. </w:t>
      </w:r>
    </w:p>
    <w:p w14:paraId="29F53B2E" w14:textId="77777777" w:rsidR="009623C1" w:rsidRDefault="009623C1" w:rsidP="009623C1">
      <w:pPr>
        <w:pStyle w:val="BodyText"/>
      </w:pPr>
      <w:r>
        <w:t>Following the Australian Government’s decision to cease the D</w:t>
      </w:r>
      <w:r w:rsidRPr="00671338">
        <w:t>ementia and Severe Behaviours Supplement</w:t>
      </w:r>
      <w:r>
        <w:t xml:space="preserve"> in </w:t>
      </w:r>
      <w:r w:rsidRPr="004F31A1">
        <w:t>June</w:t>
      </w:r>
      <w:r>
        <w:t xml:space="preserve"> 2014, the Assistant Minister for Social Services Senator the Hon Mitch Fifield</w:t>
      </w:r>
      <w:r w:rsidRPr="004A08D6">
        <w:t xml:space="preserve"> and the Minister for Health the Hon Peter Dutton MP</w:t>
      </w:r>
      <w:r>
        <w:t xml:space="preserve"> held the </w:t>
      </w:r>
      <w:r w:rsidRPr="00671338">
        <w:t>Ministerial Dementia Forum, ‘Dementia Care – Core Business for Aged Care’, on 11</w:t>
      </w:r>
      <w:r>
        <w:t> </w:t>
      </w:r>
      <w:r w:rsidRPr="00671338">
        <w:t xml:space="preserve">September 2014 </w:t>
      </w:r>
      <w:r>
        <w:t>in Melbourne. Seventy</w:t>
      </w:r>
      <w:r w:rsidRPr="00671338">
        <w:t xml:space="preserve"> </w:t>
      </w:r>
      <w:r>
        <w:t>participants</w:t>
      </w:r>
      <w:r w:rsidRPr="00671338">
        <w:t xml:space="preserve"> from across Australia representing service providers, clinicians, carers</w:t>
      </w:r>
      <w:r>
        <w:t>,</w:t>
      </w:r>
      <w:r w:rsidRPr="00671338">
        <w:t xml:space="preserve"> </w:t>
      </w:r>
      <w:r>
        <w:t>people with dementia</w:t>
      </w:r>
      <w:r w:rsidRPr="00671338">
        <w:t xml:space="preserve"> and the government</w:t>
      </w:r>
      <w:r>
        <w:t xml:space="preserve"> attended the forum</w:t>
      </w:r>
      <w:r w:rsidRPr="00671338">
        <w:t>.</w:t>
      </w:r>
      <w:r>
        <w:t xml:space="preserve"> The purpose of the forum was to identify what is currently working well, areas for improvement, potential policy options to</w:t>
      </w:r>
      <w:r w:rsidRPr="00296825">
        <w:t xml:space="preserve"> address </w:t>
      </w:r>
      <w:r>
        <w:t xml:space="preserve">the </w:t>
      </w:r>
      <w:r w:rsidRPr="00296825">
        <w:t>care needs of people with demen</w:t>
      </w:r>
      <w:r>
        <w:t xml:space="preserve">tia and experiencing severe Behavioural and Psychological Symptoms of Dementia (BPSD). </w:t>
      </w:r>
    </w:p>
    <w:p w14:paraId="3FEC0F21" w14:textId="77777777" w:rsidR="004E0A8D" w:rsidRDefault="009623C1" w:rsidP="002B4AE1">
      <w:pPr>
        <w:pStyle w:val="BodyText"/>
      </w:pPr>
      <w:r>
        <w:t>This paper captures the feedback provided on the day by the forum’s participants, as well as submissions provided by participants subsequently. The future reform options cover a wide range of topics including consumer engagement; education and training; unmet needs; specialised support; quality of life indicators; and funding. Each option that was presented has been developed further, with an assessment of the benefits, risks and feasibility</w:t>
      </w:r>
      <w:r w:rsidR="00B45449">
        <w:rPr>
          <w:szCs w:val="20"/>
        </w:rPr>
        <w:t>.</w:t>
      </w:r>
    </w:p>
    <w:sdt>
      <w:sdtPr>
        <w:rPr>
          <w:rFonts w:ascii="Calibri" w:eastAsia="Times New Roman" w:hAnsi="Calibri" w:cs="Times New Roman"/>
          <w:color w:val="auto"/>
          <w:sz w:val="21"/>
          <w:szCs w:val="20"/>
          <w:lang w:val="en-AU"/>
        </w:rPr>
        <w:id w:val="-91785200"/>
        <w:docPartObj>
          <w:docPartGallery w:val="Table of Contents"/>
          <w:docPartUnique/>
        </w:docPartObj>
      </w:sdtPr>
      <w:sdtEndPr>
        <w:rPr>
          <w:b/>
          <w:bCs/>
          <w:noProof/>
        </w:rPr>
      </w:sdtEndPr>
      <w:sdtContent>
        <w:p w14:paraId="5E0D4066" w14:textId="77777777" w:rsidR="002B4AE1" w:rsidRDefault="002B4AE1" w:rsidP="002B4AE1">
          <w:pPr>
            <w:pStyle w:val="TOCHeading"/>
            <w:rPr>
              <w:rFonts w:eastAsia="Times New Roman"/>
            </w:rPr>
            <w:sectPr w:rsidR="002B4AE1" w:rsidSect="007704F0">
              <w:headerReference w:type="even" r:id="rId13"/>
              <w:headerReference w:type="default" r:id="rId14"/>
              <w:footerReference w:type="even" r:id="rId15"/>
              <w:footerReference w:type="default" r:id="rId16"/>
              <w:footerReference w:type="first" r:id="rId17"/>
              <w:pgSz w:w="11907" w:h="16840" w:code="9"/>
              <w:pgMar w:top="1701" w:right="1474" w:bottom="1588" w:left="1474" w:header="958" w:footer="115" w:gutter="454"/>
              <w:pgNumType w:fmt="lowerRoman" w:start="1"/>
              <w:cols w:space="720"/>
              <w:docGrid w:linePitch="272"/>
            </w:sectPr>
          </w:pPr>
        </w:p>
        <w:p w14:paraId="3D6C79F9" w14:textId="77777777" w:rsidR="004E0A8D" w:rsidRPr="00703C13" w:rsidRDefault="004E0A8D" w:rsidP="0097264A">
          <w:pPr>
            <w:pStyle w:val="Heading2"/>
            <w:numPr>
              <w:ilvl w:val="0"/>
              <w:numId w:val="0"/>
            </w:numPr>
            <w:ind w:left="720" w:hanging="720"/>
          </w:pPr>
          <w:r w:rsidRPr="00F20677">
            <w:lastRenderedPageBreak/>
            <w:t>Contents</w:t>
          </w:r>
        </w:p>
        <w:p w14:paraId="05901509" w14:textId="77777777" w:rsidR="0013713A" w:rsidRDefault="00604E3D">
          <w:pPr>
            <w:pStyle w:val="TOC1"/>
            <w:rPr>
              <w:rFonts w:asciiTheme="minorHAnsi" w:eastAsiaTheme="minorEastAsia" w:hAnsiTheme="minorHAnsi" w:cstheme="minorBidi"/>
              <w:color w:val="auto"/>
              <w:szCs w:val="22"/>
              <w:lang w:eastAsia="en-AU"/>
            </w:rPr>
          </w:pPr>
          <w:r>
            <w:fldChar w:fldCharType="begin"/>
          </w:r>
          <w:r>
            <w:instrText xml:space="preserve"> TOC \o "1-1" \h \z \t "Heading 2,2,Appendix heading 1,1" </w:instrText>
          </w:r>
          <w:r>
            <w:fldChar w:fldCharType="separate"/>
          </w:r>
          <w:hyperlink w:anchor="_Toc402530506" w:history="1">
            <w:r w:rsidR="0013713A" w:rsidRPr="00D8299E">
              <w:rPr>
                <w:rStyle w:val="Hyperlink"/>
              </w:rPr>
              <w:t>Executive summary</w:t>
            </w:r>
            <w:r w:rsidR="0013713A">
              <w:rPr>
                <w:webHidden/>
              </w:rPr>
              <w:tab/>
            </w:r>
            <w:r w:rsidR="0013713A">
              <w:rPr>
                <w:webHidden/>
              </w:rPr>
              <w:fldChar w:fldCharType="begin"/>
            </w:r>
            <w:r w:rsidR="0013713A">
              <w:rPr>
                <w:webHidden/>
              </w:rPr>
              <w:instrText xml:space="preserve"> PAGEREF _Toc402530506 \h </w:instrText>
            </w:r>
            <w:r w:rsidR="0013713A">
              <w:rPr>
                <w:webHidden/>
              </w:rPr>
            </w:r>
            <w:r w:rsidR="0013713A">
              <w:rPr>
                <w:webHidden/>
              </w:rPr>
              <w:fldChar w:fldCharType="separate"/>
            </w:r>
            <w:r w:rsidR="0086787B">
              <w:rPr>
                <w:webHidden/>
              </w:rPr>
              <w:t>ii</w:t>
            </w:r>
            <w:r w:rsidR="0013713A">
              <w:rPr>
                <w:webHidden/>
              </w:rPr>
              <w:fldChar w:fldCharType="end"/>
            </w:r>
          </w:hyperlink>
        </w:p>
        <w:p w14:paraId="0383AA01" w14:textId="77777777" w:rsidR="0013713A" w:rsidRDefault="007B6D13">
          <w:pPr>
            <w:pStyle w:val="TOC1"/>
            <w:rPr>
              <w:rFonts w:asciiTheme="minorHAnsi" w:eastAsiaTheme="minorEastAsia" w:hAnsiTheme="minorHAnsi" w:cstheme="minorBidi"/>
              <w:color w:val="auto"/>
              <w:szCs w:val="22"/>
              <w:lang w:eastAsia="en-AU"/>
            </w:rPr>
          </w:pPr>
          <w:hyperlink w:anchor="_Toc402530507" w:history="1">
            <w:r w:rsidR="0013713A" w:rsidRPr="00D8299E">
              <w:rPr>
                <w:rStyle w:val="Hyperlink"/>
              </w:rPr>
              <w:t>1.</w:t>
            </w:r>
            <w:r w:rsidR="0013713A">
              <w:rPr>
                <w:rFonts w:asciiTheme="minorHAnsi" w:eastAsiaTheme="minorEastAsia" w:hAnsiTheme="minorHAnsi" w:cstheme="minorBidi"/>
                <w:color w:val="auto"/>
                <w:szCs w:val="22"/>
                <w:lang w:eastAsia="en-AU"/>
              </w:rPr>
              <w:tab/>
            </w:r>
            <w:r w:rsidR="0013713A" w:rsidRPr="00D8299E">
              <w:rPr>
                <w:rStyle w:val="Hyperlink"/>
              </w:rPr>
              <w:t>Background</w:t>
            </w:r>
            <w:r w:rsidR="0013713A">
              <w:rPr>
                <w:webHidden/>
              </w:rPr>
              <w:tab/>
            </w:r>
            <w:r w:rsidR="0013713A">
              <w:rPr>
                <w:webHidden/>
              </w:rPr>
              <w:fldChar w:fldCharType="begin"/>
            </w:r>
            <w:r w:rsidR="0013713A">
              <w:rPr>
                <w:webHidden/>
              </w:rPr>
              <w:instrText xml:space="preserve"> PAGEREF _Toc402530507 \h </w:instrText>
            </w:r>
            <w:r w:rsidR="0013713A">
              <w:rPr>
                <w:webHidden/>
              </w:rPr>
            </w:r>
            <w:r w:rsidR="0013713A">
              <w:rPr>
                <w:webHidden/>
              </w:rPr>
              <w:fldChar w:fldCharType="separate"/>
            </w:r>
            <w:r w:rsidR="0086787B">
              <w:rPr>
                <w:webHidden/>
              </w:rPr>
              <w:t>1</w:t>
            </w:r>
            <w:r w:rsidR="0013713A">
              <w:rPr>
                <w:webHidden/>
              </w:rPr>
              <w:fldChar w:fldCharType="end"/>
            </w:r>
          </w:hyperlink>
        </w:p>
        <w:p w14:paraId="6D1D9086" w14:textId="77777777" w:rsidR="0013713A" w:rsidRDefault="007B6D13">
          <w:pPr>
            <w:pStyle w:val="TOC2"/>
            <w:rPr>
              <w:rFonts w:asciiTheme="minorHAnsi" w:eastAsiaTheme="minorEastAsia" w:hAnsiTheme="minorHAnsi" w:cstheme="minorBidi"/>
              <w:color w:val="auto"/>
              <w:szCs w:val="22"/>
              <w:lang w:eastAsia="en-AU"/>
            </w:rPr>
          </w:pPr>
          <w:hyperlink w:anchor="_Toc402530508" w:history="1">
            <w:r w:rsidR="0013713A" w:rsidRPr="00D8299E">
              <w:rPr>
                <w:rStyle w:val="Hyperlink"/>
              </w:rPr>
              <w:t>1.1</w:t>
            </w:r>
            <w:r w:rsidR="0013713A">
              <w:rPr>
                <w:rFonts w:asciiTheme="minorHAnsi" w:eastAsiaTheme="minorEastAsia" w:hAnsiTheme="minorHAnsi" w:cstheme="minorBidi"/>
                <w:color w:val="auto"/>
                <w:szCs w:val="22"/>
                <w:lang w:eastAsia="en-AU"/>
              </w:rPr>
              <w:tab/>
            </w:r>
            <w:r w:rsidR="0013713A" w:rsidRPr="00D8299E">
              <w:rPr>
                <w:rStyle w:val="Hyperlink"/>
              </w:rPr>
              <w:t>Dementia supports in place</w:t>
            </w:r>
            <w:r w:rsidR="0013713A">
              <w:rPr>
                <w:webHidden/>
              </w:rPr>
              <w:tab/>
            </w:r>
            <w:r w:rsidR="0013713A">
              <w:rPr>
                <w:webHidden/>
              </w:rPr>
              <w:fldChar w:fldCharType="begin"/>
            </w:r>
            <w:r w:rsidR="0013713A">
              <w:rPr>
                <w:webHidden/>
              </w:rPr>
              <w:instrText xml:space="preserve"> PAGEREF _Toc402530508 \h </w:instrText>
            </w:r>
            <w:r w:rsidR="0013713A">
              <w:rPr>
                <w:webHidden/>
              </w:rPr>
            </w:r>
            <w:r w:rsidR="0013713A">
              <w:rPr>
                <w:webHidden/>
              </w:rPr>
              <w:fldChar w:fldCharType="separate"/>
            </w:r>
            <w:r w:rsidR="0086787B">
              <w:rPr>
                <w:webHidden/>
              </w:rPr>
              <w:t>2</w:t>
            </w:r>
            <w:r w:rsidR="0013713A">
              <w:rPr>
                <w:webHidden/>
              </w:rPr>
              <w:fldChar w:fldCharType="end"/>
            </w:r>
          </w:hyperlink>
        </w:p>
        <w:p w14:paraId="223E4C4F" w14:textId="77777777" w:rsidR="0013713A" w:rsidRDefault="007B6D13">
          <w:pPr>
            <w:pStyle w:val="TOC2"/>
            <w:rPr>
              <w:rFonts w:asciiTheme="minorHAnsi" w:eastAsiaTheme="minorEastAsia" w:hAnsiTheme="minorHAnsi" w:cstheme="minorBidi"/>
              <w:color w:val="auto"/>
              <w:szCs w:val="22"/>
              <w:lang w:eastAsia="en-AU"/>
            </w:rPr>
          </w:pPr>
          <w:hyperlink w:anchor="_Toc402530509" w:history="1">
            <w:r w:rsidR="0013713A" w:rsidRPr="00D8299E">
              <w:rPr>
                <w:rStyle w:val="Hyperlink"/>
              </w:rPr>
              <w:t>1.2</w:t>
            </w:r>
            <w:r w:rsidR="0013713A">
              <w:rPr>
                <w:rFonts w:asciiTheme="minorHAnsi" w:eastAsiaTheme="minorEastAsia" w:hAnsiTheme="minorHAnsi" w:cstheme="minorBidi"/>
                <w:color w:val="auto"/>
                <w:szCs w:val="22"/>
                <w:lang w:eastAsia="en-AU"/>
              </w:rPr>
              <w:tab/>
            </w:r>
            <w:r w:rsidR="0013713A" w:rsidRPr="00D8299E">
              <w:rPr>
                <w:rStyle w:val="Hyperlink"/>
              </w:rPr>
              <w:t>Additional supports</w:t>
            </w:r>
            <w:r w:rsidR="0013713A">
              <w:rPr>
                <w:webHidden/>
              </w:rPr>
              <w:tab/>
            </w:r>
            <w:r w:rsidR="0013713A">
              <w:rPr>
                <w:webHidden/>
              </w:rPr>
              <w:fldChar w:fldCharType="begin"/>
            </w:r>
            <w:r w:rsidR="0013713A">
              <w:rPr>
                <w:webHidden/>
              </w:rPr>
              <w:instrText xml:space="preserve"> PAGEREF _Toc402530509 \h </w:instrText>
            </w:r>
            <w:r w:rsidR="0013713A">
              <w:rPr>
                <w:webHidden/>
              </w:rPr>
            </w:r>
            <w:r w:rsidR="0013713A">
              <w:rPr>
                <w:webHidden/>
              </w:rPr>
              <w:fldChar w:fldCharType="separate"/>
            </w:r>
            <w:r w:rsidR="0086787B">
              <w:rPr>
                <w:webHidden/>
              </w:rPr>
              <w:t>3</w:t>
            </w:r>
            <w:r w:rsidR="0013713A">
              <w:rPr>
                <w:webHidden/>
              </w:rPr>
              <w:fldChar w:fldCharType="end"/>
            </w:r>
          </w:hyperlink>
        </w:p>
        <w:p w14:paraId="4B022E44" w14:textId="77777777" w:rsidR="0013713A" w:rsidRDefault="007B6D13">
          <w:pPr>
            <w:pStyle w:val="TOC2"/>
            <w:rPr>
              <w:rFonts w:asciiTheme="minorHAnsi" w:eastAsiaTheme="minorEastAsia" w:hAnsiTheme="minorHAnsi" w:cstheme="minorBidi"/>
              <w:color w:val="auto"/>
              <w:szCs w:val="22"/>
              <w:lang w:eastAsia="en-AU"/>
            </w:rPr>
          </w:pPr>
          <w:hyperlink w:anchor="_Toc402530510" w:history="1">
            <w:r w:rsidR="0013713A" w:rsidRPr="00D8299E">
              <w:rPr>
                <w:rStyle w:val="Hyperlink"/>
              </w:rPr>
              <w:t>1.3</w:t>
            </w:r>
            <w:r w:rsidR="0013713A">
              <w:rPr>
                <w:rFonts w:asciiTheme="minorHAnsi" w:eastAsiaTheme="minorEastAsia" w:hAnsiTheme="minorHAnsi" w:cstheme="minorBidi"/>
                <w:color w:val="auto"/>
                <w:szCs w:val="22"/>
                <w:lang w:eastAsia="en-AU"/>
              </w:rPr>
              <w:tab/>
            </w:r>
            <w:r w:rsidR="0013713A" w:rsidRPr="00D8299E">
              <w:rPr>
                <w:rStyle w:val="Hyperlink"/>
              </w:rPr>
              <w:t>Accreditation and funding of aged care organisations</w:t>
            </w:r>
            <w:r w:rsidR="0013713A">
              <w:rPr>
                <w:webHidden/>
              </w:rPr>
              <w:tab/>
            </w:r>
            <w:r w:rsidR="0013713A">
              <w:rPr>
                <w:webHidden/>
              </w:rPr>
              <w:fldChar w:fldCharType="begin"/>
            </w:r>
            <w:r w:rsidR="0013713A">
              <w:rPr>
                <w:webHidden/>
              </w:rPr>
              <w:instrText xml:space="preserve"> PAGEREF _Toc402530510 \h </w:instrText>
            </w:r>
            <w:r w:rsidR="0013713A">
              <w:rPr>
                <w:webHidden/>
              </w:rPr>
            </w:r>
            <w:r w:rsidR="0013713A">
              <w:rPr>
                <w:webHidden/>
              </w:rPr>
              <w:fldChar w:fldCharType="separate"/>
            </w:r>
            <w:r w:rsidR="0086787B">
              <w:rPr>
                <w:webHidden/>
              </w:rPr>
              <w:t>4</w:t>
            </w:r>
            <w:r w:rsidR="0013713A">
              <w:rPr>
                <w:webHidden/>
              </w:rPr>
              <w:fldChar w:fldCharType="end"/>
            </w:r>
          </w:hyperlink>
        </w:p>
        <w:p w14:paraId="2DB5D00E" w14:textId="77777777" w:rsidR="0013713A" w:rsidRDefault="007B6D13">
          <w:pPr>
            <w:pStyle w:val="TOC2"/>
            <w:rPr>
              <w:rFonts w:asciiTheme="minorHAnsi" w:eastAsiaTheme="minorEastAsia" w:hAnsiTheme="minorHAnsi" w:cstheme="minorBidi"/>
              <w:color w:val="auto"/>
              <w:szCs w:val="22"/>
              <w:lang w:eastAsia="en-AU"/>
            </w:rPr>
          </w:pPr>
          <w:hyperlink w:anchor="_Toc402530511" w:history="1">
            <w:r w:rsidR="0013713A" w:rsidRPr="00D8299E">
              <w:rPr>
                <w:rStyle w:val="Hyperlink"/>
              </w:rPr>
              <w:t>1.4</w:t>
            </w:r>
            <w:r w:rsidR="0013713A">
              <w:rPr>
                <w:rFonts w:asciiTheme="minorHAnsi" w:eastAsiaTheme="minorEastAsia" w:hAnsiTheme="minorHAnsi" w:cstheme="minorBidi"/>
                <w:color w:val="auto"/>
                <w:szCs w:val="22"/>
                <w:lang w:eastAsia="en-AU"/>
              </w:rPr>
              <w:tab/>
            </w:r>
            <w:r w:rsidR="0013713A" w:rsidRPr="00D8299E">
              <w:rPr>
                <w:rStyle w:val="Hyperlink"/>
              </w:rPr>
              <w:t>Addressing behavioural and psychological symptoms of dementia</w:t>
            </w:r>
            <w:r w:rsidR="0013713A">
              <w:rPr>
                <w:webHidden/>
              </w:rPr>
              <w:tab/>
            </w:r>
            <w:r w:rsidR="0013713A">
              <w:rPr>
                <w:webHidden/>
              </w:rPr>
              <w:fldChar w:fldCharType="begin"/>
            </w:r>
            <w:r w:rsidR="0013713A">
              <w:rPr>
                <w:webHidden/>
              </w:rPr>
              <w:instrText xml:space="preserve"> PAGEREF _Toc402530511 \h </w:instrText>
            </w:r>
            <w:r w:rsidR="0013713A">
              <w:rPr>
                <w:webHidden/>
              </w:rPr>
            </w:r>
            <w:r w:rsidR="0013713A">
              <w:rPr>
                <w:webHidden/>
              </w:rPr>
              <w:fldChar w:fldCharType="separate"/>
            </w:r>
            <w:r w:rsidR="0086787B">
              <w:rPr>
                <w:webHidden/>
              </w:rPr>
              <w:t>5</w:t>
            </w:r>
            <w:r w:rsidR="0013713A">
              <w:rPr>
                <w:webHidden/>
              </w:rPr>
              <w:fldChar w:fldCharType="end"/>
            </w:r>
          </w:hyperlink>
        </w:p>
        <w:p w14:paraId="32FB6B66" w14:textId="77777777" w:rsidR="0013713A" w:rsidRDefault="007B6D13">
          <w:pPr>
            <w:pStyle w:val="TOC1"/>
            <w:rPr>
              <w:rFonts w:asciiTheme="minorHAnsi" w:eastAsiaTheme="minorEastAsia" w:hAnsiTheme="minorHAnsi" w:cstheme="minorBidi"/>
              <w:color w:val="auto"/>
              <w:szCs w:val="22"/>
              <w:lang w:eastAsia="en-AU"/>
            </w:rPr>
          </w:pPr>
          <w:hyperlink w:anchor="_Toc402530512" w:history="1">
            <w:r w:rsidR="0013713A" w:rsidRPr="00D8299E">
              <w:rPr>
                <w:rStyle w:val="Hyperlink"/>
              </w:rPr>
              <w:t>2.</w:t>
            </w:r>
            <w:r w:rsidR="0013713A">
              <w:rPr>
                <w:rFonts w:asciiTheme="minorHAnsi" w:eastAsiaTheme="minorEastAsia" w:hAnsiTheme="minorHAnsi" w:cstheme="minorBidi"/>
                <w:color w:val="auto"/>
                <w:szCs w:val="22"/>
                <w:lang w:eastAsia="en-AU"/>
              </w:rPr>
              <w:tab/>
            </w:r>
            <w:r w:rsidR="0013713A" w:rsidRPr="00D8299E">
              <w:rPr>
                <w:rStyle w:val="Hyperlink"/>
              </w:rPr>
              <w:t>Our approach</w:t>
            </w:r>
            <w:r w:rsidR="0013713A">
              <w:rPr>
                <w:webHidden/>
              </w:rPr>
              <w:tab/>
            </w:r>
            <w:r w:rsidR="0013713A">
              <w:rPr>
                <w:webHidden/>
              </w:rPr>
              <w:fldChar w:fldCharType="begin"/>
            </w:r>
            <w:r w:rsidR="0013713A">
              <w:rPr>
                <w:webHidden/>
              </w:rPr>
              <w:instrText xml:space="preserve"> PAGEREF _Toc402530512 \h </w:instrText>
            </w:r>
            <w:r w:rsidR="0013713A">
              <w:rPr>
                <w:webHidden/>
              </w:rPr>
            </w:r>
            <w:r w:rsidR="0013713A">
              <w:rPr>
                <w:webHidden/>
              </w:rPr>
              <w:fldChar w:fldCharType="separate"/>
            </w:r>
            <w:r w:rsidR="0086787B">
              <w:rPr>
                <w:webHidden/>
              </w:rPr>
              <w:t>6</w:t>
            </w:r>
            <w:r w:rsidR="0013713A">
              <w:rPr>
                <w:webHidden/>
              </w:rPr>
              <w:fldChar w:fldCharType="end"/>
            </w:r>
          </w:hyperlink>
        </w:p>
        <w:p w14:paraId="7253F860" w14:textId="77777777" w:rsidR="0013713A" w:rsidRDefault="007B6D13">
          <w:pPr>
            <w:pStyle w:val="TOC1"/>
            <w:rPr>
              <w:rFonts w:asciiTheme="minorHAnsi" w:eastAsiaTheme="minorEastAsia" w:hAnsiTheme="minorHAnsi" w:cstheme="minorBidi"/>
              <w:color w:val="auto"/>
              <w:szCs w:val="22"/>
              <w:lang w:eastAsia="en-AU"/>
            </w:rPr>
          </w:pPr>
          <w:hyperlink w:anchor="_Toc402530513" w:history="1">
            <w:r w:rsidR="0013713A" w:rsidRPr="00D8299E">
              <w:rPr>
                <w:rStyle w:val="Hyperlink"/>
              </w:rPr>
              <w:t>3.</w:t>
            </w:r>
            <w:r w:rsidR="0013713A">
              <w:rPr>
                <w:rFonts w:asciiTheme="minorHAnsi" w:eastAsiaTheme="minorEastAsia" w:hAnsiTheme="minorHAnsi" w:cstheme="minorBidi"/>
                <w:color w:val="auto"/>
                <w:szCs w:val="22"/>
                <w:lang w:eastAsia="en-AU"/>
              </w:rPr>
              <w:tab/>
            </w:r>
            <w:r w:rsidR="0013713A" w:rsidRPr="00D8299E">
              <w:rPr>
                <w:rStyle w:val="Hyperlink"/>
              </w:rPr>
              <w:t>Current state of dementia care</w:t>
            </w:r>
            <w:r w:rsidR="0013713A">
              <w:rPr>
                <w:webHidden/>
              </w:rPr>
              <w:tab/>
            </w:r>
            <w:r w:rsidR="0013713A">
              <w:rPr>
                <w:webHidden/>
              </w:rPr>
              <w:fldChar w:fldCharType="begin"/>
            </w:r>
            <w:r w:rsidR="0013713A">
              <w:rPr>
                <w:webHidden/>
              </w:rPr>
              <w:instrText xml:space="preserve"> PAGEREF _Toc402530513 \h </w:instrText>
            </w:r>
            <w:r w:rsidR="0013713A">
              <w:rPr>
                <w:webHidden/>
              </w:rPr>
            </w:r>
            <w:r w:rsidR="0013713A">
              <w:rPr>
                <w:webHidden/>
              </w:rPr>
              <w:fldChar w:fldCharType="separate"/>
            </w:r>
            <w:r w:rsidR="0086787B">
              <w:rPr>
                <w:webHidden/>
              </w:rPr>
              <w:t>8</w:t>
            </w:r>
            <w:r w:rsidR="0013713A">
              <w:rPr>
                <w:webHidden/>
              </w:rPr>
              <w:fldChar w:fldCharType="end"/>
            </w:r>
          </w:hyperlink>
        </w:p>
        <w:p w14:paraId="1A6C704A" w14:textId="77777777" w:rsidR="0013713A" w:rsidRDefault="007B6D13">
          <w:pPr>
            <w:pStyle w:val="TOC2"/>
            <w:rPr>
              <w:rFonts w:asciiTheme="minorHAnsi" w:eastAsiaTheme="minorEastAsia" w:hAnsiTheme="minorHAnsi" w:cstheme="minorBidi"/>
              <w:color w:val="auto"/>
              <w:szCs w:val="22"/>
              <w:lang w:eastAsia="en-AU"/>
            </w:rPr>
          </w:pPr>
          <w:hyperlink w:anchor="_Toc402530514" w:history="1">
            <w:r w:rsidR="0013713A" w:rsidRPr="00D8299E">
              <w:rPr>
                <w:rStyle w:val="Hyperlink"/>
              </w:rPr>
              <w:t>3.1</w:t>
            </w:r>
            <w:r w:rsidR="0013713A">
              <w:rPr>
                <w:rFonts w:asciiTheme="minorHAnsi" w:eastAsiaTheme="minorEastAsia" w:hAnsiTheme="minorHAnsi" w:cstheme="minorBidi"/>
                <w:color w:val="auto"/>
                <w:szCs w:val="22"/>
                <w:lang w:eastAsia="en-AU"/>
              </w:rPr>
              <w:tab/>
            </w:r>
            <w:r w:rsidR="0013713A" w:rsidRPr="00D8299E">
              <w:rPr>
                <w:rStyle w:val="Hyperlink"/>
              </w:rPr>
              <w:t>What is working well</w:t>
            </w:r>
            <w:r w:rsidR="0013713A">
              <w:rPr>
                <w:webHidden/>
              </w:rPr>
              <w:tab/>
            </w:r>
            <w:r w:rsidR="0013713A">
              <w:rPr>
                <w:webHidden/>
              </w:rPr>
              <w:fldChar w:fldCharType="begin"/>
            </w:r>
            <w:r w:rsidR="0013713A">
              <w:rPr>
                <w:webHidden/>
              </w:rPr>
              <w:instrText xml:space="preserve"> PAGEREF _Toc402530514 \h </w:instrText>
            </w:r>
            <w:r w:rsidR="0013713A">
              <w:rPr>
                <w:webHidden/>
              </w:rPr>
            </w:r>
            <w:r w:rsidR="0013713A">
              <w:rPr>
                <w:webHidden/>
              </w:rPr>
              <w:fldChar w:fldCharType="separate"/>
            </w:r>
            <w:r w:rsidR="0086787B">
              <w:rPr>
                <w:webHidden/>
              </w:rPr>
              <w:t>8</w:t>
            </w:r>
            <w:r w:rsidR="0013713A">
              <w:rPr>
                <w:webHidden/>
              </w:rPr>
              <w:fldChar w:fldCharType="end"/>
            </w:r>
          </w:hyperlink>
        </w:p>
        <w:p w14:paraId="4D1C92A3" w14:textId="77777777" w:rsidR="0013713A" w:rsidRDefault="007B6D13">
          <w:pPr>
            <w:pStyle w:val="TOC2"/>
            <w:rPr>
              <w:rFonts w:asciiTheme="minorHAnsi" w:eastAsiaTheme="minorEastAsia" w:hAnsiTheme="minorHAnsi" w:cstheme="minorBidi"/>
              <w:color w:val="auto"/>
              <w:szCs w:val="22"/>
              <w:lang w:eastAsia="en-AU"/>
            </w:rPr>
          </w:pPr>
          <w:hyperlink w:anchor="_Toc402530515" w:history="1">
            <w:r w:rsidR="0013713A" w:rsidRPr="00D8299E">
              <w:rPr>
                <w:rStyle w:val="Hyperlink"/>
              </w:rPr>
              <w:t>3.2</w:t>
            </w:r>
            <w:r w:rsidR="0013713A">
              <w:rPr>
                <w:rFonts w:asciiTheme="minorHAnsi" w:eastAsiaTheme="minorEastAsia" w:hAnsiTheme="minorHAnsi" w:cstheme="minorBidi"/>
                <w:color w:val="auto"/>
                <w:szCs w:val="22"/>
                <w:lang w:eastAsia="en-AU"/>
              </w:rPr>
              <w:tab/>
            </w:r>
            <w:r w:rsidR="0013713A" w:rsidRPr="00D8299E">
              <w:rPr>
                <w:rStyle w:val="Hyperlink"/>
              </w:rPr>
              <w:t>Key challenges</w:t>
            </w:r>
            <w:r w:rsidR="0013713A">
              <w:rPr>
                <w:webHidden/>
              </w:rPr>
              <w:tab/>
            </w:r>
            <w:r w:rsidR="0013713A">
              <w:rPr>
                <w:webHidden/>
              </w:rPr>
              <w:fldChar w:fldCharType="begin"/>
            </w:r>
            <w:r w:rsidR="0013713A">
              <w:rPr>
                <w:webHidden/>
              </w:rPr>
              <w:instrText xml:space="preserve"> PAGEREF _Toc402530515 \h </w:instrText>
            </w:r>
            <w:r w:rsidR="0013713A">
              <w:rPr>
                <w:webHidden/>
              </w:rPr>
            </w:r>
            <w:r w:rsidR="0013713A">
              <w:rPr>
                <w:webHidden/>
              </w:rPr>
              <w:fldChar w:fldCharType="separate"/>
            </w:r>
            <w:r w:rsidR="0086787B">
              <w:rPr>
                <w:webHidden/>
              </w:rPr>
              <w:t>9</w:t>
            </w:r>
            <w:r w:rsidR="0013713A">
              <w:rPr>
                <w:webHidden/>
              </w:rPr>
              <w:fldChar w:fldCharType="end"/>
            </w:r>
          </w:hyperlink>
        </w:p>
        <w:p w14:paraId="5C324331" w14:textId="77777777" w:rsidR="0013713A" w:rsidRDefault="007B6D13">
          <w:pPr>
            <w:pStyle w:val="TOC1"/>
            <w:rPr>
              <w:rFonts w:asciiTheme="minorHAnsi" w:eastAsiaTheme="minorEastAsia" w:hAnsiTheme="minorHAnsi" w:cstheme="minorBidi"/>
              <w:color w:val="auto"/>
              <w:szCs w:val="22"/>
              <w:lang w:eastAsia="en-AU"/>
            </w:rPr>
          </w:pPr>
          <w:hyperlink w:anchor="_Toc402530516" w:history="1">
            <w:r w:rsidR="0013713A" w:rsidRPr="00D8299E">
              <w:rPr>
                <w:rStyle w:val="Hyperlink"/>
              </w:rPr>
              <w:t>4.</w:t>
            </w:r>
            <w:r w:rsidR="0013713A">
              <w:rPr>
                <w:rFonts w:asciiTheme="minorHAnsi" w:eastAsiaTheme="minorEastAsia" w:hAnsiTheme="minorHAnsi" w:cstheme="minorBidi"/>
                <w:color w:val="auto"/>
                <w:szCs w:val="22"/>
                <w:lang w:eastAsia="en-AU"/>
              </w:rPr>
              <w:tab/>
            </w:r>
            <w:r w:rsidR="0013713A" w:rsidRPr="00D8299E">
              <w:rPr>
                <w:rStyle w:val="Hyperlink"/>
              </w:rPr>
              <w:t>Options</w:t>
            </w:r>
            <w:r w:rsidR="0013713A">
              <w:rPr>
                <w:webHidden/>
              </w:rPr>
              <w:tab/>
            </w:r>
            <w:r w:rsidR="0013713A">
              <w:rPr>
                <w:webHidden/>
              </w:rPr>
              <w:fldChar w:fldCharType="begin"/>
            </w:r>
            <w:r w:rsidR="0013713A">
              <w:rPr>
                <w:webHidden/>
              </w:rPr>
              <w:instrText xml:space="preserve"> PAGEREF _Toc402530516 \h </w:instrText>
            </w:r>
            <w:r w:rsidR="0013713A">
              <w:rPr>
                <w:webHidden/>
              </w:rPr>
            </w:r>
            <w:r w:rsidR="0013713A">
              <w:rPr>
                <w:webHidden/>
              </w:rPr>
              <w:fldChar w:fldCharType="separate"/>
            </w:r>
            <w:r w:rsidR="0086787B">
              <w:rPr>
                <w:webHidden/>
              </w:rPr>
              <w:t>13</w:t>
            </w:r>
            <w:r w:rsidR="0013713A">
              <w:rPr>
                <w:webHidden/>
              </w:rPr>
              <w:fldChar w:fldCharType="end"/>
            </w:r>
          </w:hyperlink>
        </w:p>
        <w:p w14:paraId="0F488FB0" w14:textId="77777777" w:rsidR="0013713A" w:rsidRDefault="007B6D13">
          <w:pPr>
            <w:pStyle w:val="TOC1"/>
            <w:rPr>
              <w:rFonts w:asciiTheme="minorHAnsi" w:eastAsiaTheme="minorEastAsia" w:hAnsiTheme="minorHAnsi" w:cstheme="minorBidi"/>
              <w:color w:val="auto"/>
              <w:szCs w:val="22"/>
              <w:lang w:eastAsia="en-AU"/>
            </w:rPr>
          </w:pPr>
          <w:hyperlink w:anchor="_Toc402530517" w:history="1">
            <w:r w:rsidR="0013713A" w:rsidRPr="00D8299E">
              <w:rPr>
                <w:rStyle w:val="Hyperlink"/>
              </w:rPr>
              <w:t>5.</w:t>
            </w:r>
            <w:r w:rsidR="0013713A">
              <w:rPr>
                <w:rFonts w:asciiTheme="minorHAnsi" w:eastAsiaTheme="minorEastAsia" w:hAnsiTheme="minorHAnsi" w:cstheme="minorBidi"/>
                <w:color w:val="auto"/>
                <w:szCs w:val="22"/>
                <w:lang w:eastAsia="en-AU"/>
              </w:rPr>
              <w:tab/>
            </w:r>
            <w:r w:rsidR="0013713A" w:rsidRPr="00D8299E">
              <w:rPr>
                <w:rStyle w:val="Hyperlink"/>
              </w:rPr>
              <w:t>Next steps</w:t>
            </w:r>
            <w:r w:rsidR="0013713A">
              <w:rPr>
                <w:webHidden/>
              </w:rPr>
              <w:tab/>
            </w:r>
            <w:r w:rsidR="0013713A">
              <w:rPr>
                <w:webHidden/>
              </w:rPr>
              <w:fldChar w:fldCharType="begin"/>
            </w:r>
            <w:r w:rsidR="0013713A">
              <w:rPr>
                <w:webHidden/>
              </w:rPr>
              <w:instrText xml:space="preserve"> PAGEREF _Toc402530517 \h </w:instrText>
            </w:r>
            <w:r w:rsidR="0013713A">
              <w:rPr>
                <w:webHidden/>
              </w:rPr>
            </w:r>
            <w:r w:rsidR="0013713A">
              <w:rPr>
                <w:webHidden/>
              </w:rPr>
              <w:fldChar w:fldCharType="separate"/>
            </w:r>
            <w:r w:rsidR="0086787B">
              <w:rPr>
                <w:webHidden/>
              </w:rPr>
              <w:t>22</w:t>
            </w:r>
            <w:r w:rsidR="0013713A">
              <w:rPr>
                <w:webHidden/>
              </w:rPr>
              <w:fldChar w:fldCharType="end"/>
            </w:r>
          </w:hyperlink>
        </w:p>
        <w:p w14:paraId="6DBD0117" w14:textId="5250C84B" w:rsidR="0013713A" w:rsidRDefault="007B6D13">
          <w:pPr>
            <w:pStyle w:val="TOC1"/>
            <w:rPr>
              <w:rFonts w:asciiTheme="minorHAnsi" w:eastAsiaTheme="minorEastAsia" w:hAnsiTheme="minorHAnsi" w:cstheme="minorBidi"/>
              <w:color w:val="auto"/>
              <w:szCs w:val="22"/>
              <w:lang w:eastAsia="en-AU"/>
            </w:rPr>
          </w:pPr>
          <w:hyperlink w:anchor="_Toc402530518" w:history="1">
            <w:r w:rsidR="0013713A" w:rsidRPr="00D8299E">
              <w:rPr>
                <w:rStyle w:val="Hyperlink"/>
              </w:rPr>
              <w:t xml:space="preserve">Appendix 1 : List of Ministerial Dementia Forum </w:t>
            </w:r>
            <w:r w:rsidR="006A72C4" w:rsidRPr="006A72C4">
              <w:rPr>
                <w:rStyle w:val="Hyperlink"/>
              </w:rPr>
              <w:t xml:space="preserve">participant organisations </w:t>
            </w:r>
            <w:r w:rsidR="0013713A">
              <w:rPr>
                <w:webHidden/>
              </w:rPr>
              <w:tab/>
            </w:r>
            <w:r w:rsidR="0013713A">
              <w:rPr>
                <w:webHidden/>
              </w:rPr>
              <w:fldChar w:fldCharType="begin"/>
            </w:r>
            <w:r w:rsidR="0013713A">
              <w:rPr>
                <w:webHidden/>
              </w:rPr>
              <w:instrText xml:space="preserve"> PAGEREF _Toc402530518 \h </w:instrText>
            </w:r>
            <w:r w:rsidR="0013713A">
              <w:rPr>
                <w:webHidden/>
              </w:rPr>
            </w:r>
            <w:r w:rsidR="0013713A">
              <w:rPr>
                <w:webHidden/>
              </w:rPr>
              <w:fldChar w:fldCharType="separate"/>
            </w:r>
            <w:r w:rsidR="0086787B">
              <w:rPr>
                <w:webHidden/>
              </w:rPr>
              <w:t>23</w:t>
            </w:r>
            <w:r w:rsidR="0013713A">
              <w:rPr>
                <w:webHidden/>
              </w:rPr>
              <w:fldChar w:fldCharType="end"/>
            </w:r>
          </w:hyperlink>
        </w:p>
        <w:p w14:paraId="06DFCB5E" w14:textId="77777777" w:rsidR="0013713A" w:rsidRDefault="007B6D13">
          <w:pPr>
            <w:pStyle w:val="TOC1"/>
            <w:rPr>
              <w:rFonts w:asciiTheme="minorHAnsi" w:eastAsiaTheme="minorEastAsia" w:hAnsiTheme="minorHAnsi" w:cstheme="minorBidi"/>
              <w:color w:val="auto"/>
              <w:szCs w:val="22"/>
              <w:lang w:eastAsia="en-AU"/>
            </w:rPr>
          </w:pPr>
          <w:hyperlink w:anchor="_Toc402530519" w:history="1">
            <w:r w:rsidR="0013713A" w:rsidRPr="00D8299E">
              <w:rPr>
                <w:rStyle w:val="Hyperlink"/>
              </w:rPr>
              <w:t>Appendix 2</w:t>
            </w:r>
            <w:r w:rsidR="0013713A" w:rsidRPr="00D8299E">
              <w:rPr>
                <w:rStyle w:val="Hyperlink"/>
                <w:rFonts w:ascii="Garamond" w:hAnsi="Garamond"/>
              </w:rPr>
              <w:t xml:space="preserve"> : </w:t>
            </w:r>
            <w:r w:rsidR="0013713A" w:rsidRPr="00D8299E">
              <w:rPr>
                <w:rStyle w:val="Hyperlink"/>
              </w:rPr>
              <w:t>Ministerial Dementia Forum – 11 September 2014 Agenda</w:t>
            </w:r>
            <w:r w:rsidR="0013713A">
              <w:rPr>
                <w:webHidden/>
              </w:rPr>
              <w:tab/>
            </w:r>
            <w:r w:rsidR="0013713A">
              <w:rPr>
                <w:webHidden/>
              </w:rPr>
              <w:fldChar w:fldCharType="begin"/>
            </w:r>
            <w:r w:rsidR="0013713A">
              <w:rPr>
                <w:webHidden/>
              </w:rPr>
              <w:instrText xml:space="preserve"> PAGEREF _Toc402530519 \h </w:instrText>
            </w:r>
            <w:r w:rsidR="0013713A">
              <w:rPr>
                <w:webHidden/>
              </w:rPr>
            </w:r>
            <w:r w:rsidR="0013713A">
              <w:rPr>
                <w:webHidden/>
              </w:rPr>
              <w:fldChar w:fldCharType="separate"/>
            </w:r>
            <w:r w:rsidR="0086787B">
              <w:rPr>
                <w:webHidden/>
              </w:rPr>
              <w:t>25</w:t>
            </w:r>
            <w:r w:rsidR="0013713A">
              <w:rPr>
                <w:webHidden/>
              </w:rPr>
              <w:fldChar w:fldCharType="end"/>
            </w:r>
          </w:hyperlink>
        </w:p>
        <w:p w14:paraId="528979F0" w14:textId="77777777" w:rsidR="004E0A8D" w:rsidRDefault="00604E3D">
          <w:r>
            <w:rPr>
              <w:noProof/>
              <w:color w:val="415299"/>
              <w:sz w:val="22"/>
              <w:szCs w:val="40"/>
            </w:rPr>
            <w:fldChar w:fldCharType="end"/>
          </w:r>
        </w:p>
      </w:sdtContent>
    </w:sdt>
    <w:p w14:paraId="7F17CD24" w14:textId="77777777" w:rsidR="00C008A2" w:rsidRPr="00D43578" w:rsidRDefault="00C008A2" w:rsidP="00D43578">
      <w:pPr>
        <w:pStyle w:val="BodyText"/>
      </w:pPr>
    </w:p>
    <w:p w14:paraId="4F25DFEE" w14:textId="77777777" w:rsidR="002B4AE1" w:rsidRDefault="002B4AE1" w:rsidP="002B4AE1">
      <w:pPr>
        <w:pStyle w:val="Heading1"/>
        <w:sectPr w:rsidR="002B4AE1" w:rsidSect="00E21E92">
          <w:pgSz w:w="11907" w:h="16840" w:code="9"/>
          <w:pgMar w:top="1701" w:right="1474" w:bottom="1588" w:left="1474" w:header="958" w:footer="737" w:gutter="454"/>
          <w:pgNumType w:fmt="lowerRoman"/>
          <w:cols w:space="720"/>
          <w:docGrid w:linePitch="272"/>
        </w:sectPr>
      </w:pPr>
      <w:bookmarkStart w:id="4" w:name="_Toc216155074"/>
      <w:bookmarkStart w:id="5" w:name="_Toc216155121"/>
      <w:bookmarkStart w:id="6" w:name="_Toc57610947"/>
      <w:bookmarkStart w:id="7" w:name="_Toc57610980"/>
    </w:p>
    <w:p w14:paraId="7B0C7F0E" w14:textId="77777777" w:rsidR="00D362DC" w:rsidRPr="002B4AE1" w:rsidRDefault="00C8092F" w:rsidP="002B4AE1">
      <w:pPr>
        <w:pStyle w:val="Heading1"/>
      </w:pPr>
      <w:bookmarkStart w:id="8" w:name="_Toc402530507"/>
      <w:r w:rsidRPr="002B4AE1">
        <w:lastRenderedPageBreak/>
        <w:t>Background</w:t>
      </w:r>
      <w:bookmarkEnd w:id="8"/>
    </w:p>
    <w:p w14:paraId="297334DF" w14:textId="77777777" w:rsidR="009623C1" w:rsidRDefault="009623C1" w:rsidP="009623C1">
      <w:pPr>
        <w:pStyle w:val="BodyText"/>
      </w:pPr>
      <w:r>
        <w:t xml:space="preserve">Dementia is the gradual, progressive and irreversible </w:t>
      </w:r>
      <w:r w:rsidRPr="002B4AE1">
        <w:t>decline</w:t>
      </w:r>
      <w:r>
        <w:t xml:space="preserve"> in brain function. It is a syndrome, meaning it is characterised by multiple symptoms which may include difficulties with language, memory, perception, changes in personality and reduced cognitive skills.</w:t>
      </w:r>
      <w:r>
        <w:rPr>
          <w:rStyle w:val="FootnoteReference"/>
        </w:rPr>
        <w:footnoteReference w:id="1"/>
      </w:r>
      <w:r>
        <w:t xml:space="preserve"> Dementia can result from one, or a combination of, over 100 identified causes, the most common of which are Alzheimer’s disease and vascular causes.</w:t>
      </w:r>
      <w:r>
        <w:rPr>
          <w:rStyle w:val="FootnoteReference"/>
        </w:rPr>
        <w:footnoteReference w:id="2"/>
      </w:r>
      <w:r>
        <w:t xml:space="preserve"> Its progression can be categorised into four phases:</w:t>
      </w:r>
    </w:p>
    <w:p w14:paraId="43C0215C" w14:textId="77777777" w:rsidR="009623C1" w:rsidRDefault="009623C1" w:rsidP="009623C1">
      <w:pPr>
        <w:pStyle w:val="ListBullet"/>
      </w:pPr>
      <w:r>
        <w:t>early difficulties (the pre-diagnostic phase)</w:t>
      </w:r>
    </w:p>
    <w:p w14:paraId="3CCC91CD" w14:textId="77777777" w:rsidR="009623C1" w:rsidRDefault="009623C1" w:rsidP="009623C1">
      <w:pPr>
        <w:pStyle w:val="ListBullet"/>
        <w:spacing w:before="130" w:after="130" w:line="240" w:lineRule="auto"/>
        <w:ind w:left="340" w:hanging="340"/>
        <w:jc w:val="both"/>
      </w:pPr>
      <w:r>
        <w:t>the emergence of significant difficulties in daily living</w:t>
      </w:r>
    </w:p>
    <w:p w14:paraId="0F0234FA" w14:textId="77777777" w:rsidR="009623C1" w:rsidRDefault="009623C1" w:rsidP="009623C1">
      <w:pPr>
        <w:pStyle w:val="ListBullet"/>
        <w:spacing w:before="130" w:after="130" w:line="240" w:lineRule="auto"/>
        <w:ind w:left="340" w:hanging="340"/>
        <w:jc w:val="both"/>
      </w:pPr>
      <w:r>
        <w:t>a reduced capacity for independence</w:t>
      </w:r>
    </w:p>
    <w:p w14:paraId="62B70394" w14:textId="77777777" w:rsidR="009623C1" w:rsidRDefault="009623C1" w:rsidP="009623C1">
      <w:pPr>
        <w:pStyle w:val="ListBullet"/>
        <w:spacing w:before="130" w:after="130" w:line="240" w:lineRule="auto"/>
        <w:ind w:left="340" w:hanging="340"/>
        <w:jc w:val="both"/>
      </w:pPr>
      <w:proofErr w:type="gramStart"/>
      <w:r>
        <w:t>incapacity</w:t>
      </w:r>
      <w:proofErr w:type="gramEnd"/>
      <w:r>
        <w:t xml:space="preserve"> and a high dependence on care.</w:t>
      </w:r>
      <w:r>
        <w:rPr>
          <w:rStyle w:val="FootnoteReference"/>
        </w:rPr>
        <w:footnoteReference w:id="3"/>
      </w:r>
    </w:p>
    <w:p w14:paraId="22113DC7" w14:textId="77777777" w:rsidR="009623C1" w:rsidRDefault="009623C1" w:rsidP="009623C1">
      <w:pPr>
        <w:pStyle w:val="BodyText"/>
      </w:pPr>
      <w:r>
        <w:t>With age as the major non-modifiable risk factor, the prevalence of dementia approximately doubles every five years beyond the age of 65.</w:t>
      </w:r>
      <w:r>
        <w:rPr>
          <w:rStyle w:val="FootnoteReference"/>
        </w:rPr>
        <w:footnoteReference w:id="4"/>
      </w:r>
      <w:r>
        <w:t xml:space="preserve"> Amongst those aged 85 and over, the prevalence of dementia is approximately one in every four persons.</w:t>
      </w:r>
      <w:r>
        <w:rPr>
          <w:rStyle w:val="FootnoteReference"/>
        </w:rPr>
        <w:footnoteReference w:id="5"/>
      </w:r>
      <w:r>
        <w:t xml:space="preserve"> As a result of the ageing population, the prevalence of dementia is expected to grow from 332,000 in Australia in 2014 to 550,200 people by 2030, and 891,400 people by 2050.</w:t>
      </w:r>
      <w:r>
        <w:rPr>
          <w:rStyle w:val="FootnoteReference"/>
        </w:rPr>
        <w:footnoteReference w:id="6"/>
      </w:r>
    </w:p>
    <w:p w14:paraId="0A7BBC2F" w14:textId="77777777" w:rsidR="009623C1" w:rsidRDefault="009623C1" w:rsidP="009623C1">
      <w:pPr>
        <w:pStyle w:val="BodyText"/>
      </w:pPr>
      <w:r>
        <w:t>According to the Australian Institute of Health and Welfare, over 50 per cent of permanent residents within Australian Government-funded aged care facilities have a diagnosis of dementia.</w:t>
      </w:r>
      <w:r>
        <w:rPr>
          <w:rStyle w:val="FootnoteReference"/>
        </w:rPr>
        <w:footnoteReference w:id="7"/>
      </w:r>
      <w:r>
        <w:t xml:space="preserve"> In 2009-10, two billion dollars of expenditure was attributable to dementia, of which over half was represented by residents within residential aged care facilities.</w:t>
      </w:r>
      <w:r>
        <w:rPr>
          <w:rStyle w:val="FootnoteReference"/>
        </w:rPr>
        <w:footnoteReference w:id="8"/>
      </w:r>
      <w:r>
        <w:t xml:space="preserve"> People with dementia are more likely to have longer lengths of stay due to having to enter residential care earlier in their lifespan, as well as being more likely to have higher level complex care needs, including BPSD.  </w:t>
      </w:r>
    </w:p>
    <w:p w14:paraId="47EF1617" w14:textId="77777777" w:rsidR="009623C1" w:rsidRDefault="009623C1" w:rsidP="009623C1">
      <w:pPr>
        <w:pStyle w:val="BodyText"/>
      </w:pPr>
      <w:r>
        <w:t xml:space="preserve">BPSD </w:t>
      </w:r>
      <w:r w:rsidRPr="002C66B9">
        <w:t xml:space="preserve">can be mild or severe, with symptoms including </w:t>
      </w:r>
      <w:r>
        <w:t>‘disturbed perception, thought content, mood or behaviour including aggression, apathy, anxiety, agitation, psychotic symptoms, depression, disinhibited behaviours, wandering, nocturnal disruption and vocally disruptive behaviours’.</w:t>
      </w:r>
      <w:r>
        <w:rPr>
          <w:rStyle w:val="FootnoteReference"/>
        </w:rPr>
        <w:footnoteReference w:id="9"/>
      </w:r>
      <w:r>
        <w:t xml:space="preserve"> </w:t>
      </w:r>
      <w:r w:rsidRPr="002C66B9">
        <w:t xml:space="preserve">People with </w:t>
      </w:r>
      <w:r>
        <w:t xml:space="preserve">severe </w:t>
      </w:r>
      <w:r w:rsidRPr="002C66B9">
        <w:t xml:space="preserve">BPSD present significant challenges for residential care providers </w:t>
      </w:r>
      <w:r w:rsidRPr="002C66B9">
        <w:lastRenderedPageBreak/>
        <w:t>but symptoms can be episodic relating to specific</w:t>
      </w:r>
      <w:r>
        <w:t xml:space="preserve"> physical, social or environmental unmet needs. If these needs are met then symptoms may subside. </w:t>
      </w:r>
    </w:p>
    <w:p w14:paraId="3A2F40FB" w14:textId="77777777" w:rsidR="008372DE" w:rsidRDefault="009623C1" w:rsidP="009623C1">
      <w:pPr>
        <w:pStyle w:val="BodyText"/>
      </w:pPr>
      <w:r w:rsidRPr="00306BFF">
        <w:t>T</w:t>
      </w:r>
      <w:r>
        <w:t xml:space="preserve">reatment and severity of BPSD is usually assessed in Australia via the </w:t>
      </w:r>
      <w:proofErr w:type="spellStart"/>
      <w:r>
        <w:t>Brodaty</w:t>
      </w:r>
      <w:proofErr w:type="spellEnd"/>
      <w:r>
        <w:t xml:space="preserve"> Triangle, a</w:t>
      </w:r>
      <w:r w:rsidRPr="00306BFF">
        <w:t xml:space="preserve"> seven tiered model of service delivery</w:t>
      </w:r>
      <w:r>
        <w:t xml:space="preserve"> for BPSD which provides an evidence-</w:t>
      </w:r>
      <w:r w:rsidRPr="00306BFF">
        <w:t>based practice model of management.</w:t>
      </w:r>
      <w:r>
        <w:t xml:space="preserve"> P</w:t>
      </w:r>
      <w:r w:rsidRPr="00306BFF">
        <w:t>eople at the bottom end of the spectrum, with less developed signs and symptoms, receive the least intervention</w:t>
      </w:r>
      <w:r>
        <w:t xml:space="preserve">, while </w:t>
      </w:r>
      <w:r w:rsidRPr="00306BFF">
        <w:t>people at the top end of the spectrum, with furth</w:t>
      </w:r>
      <w:r>
        <w:t>er developed symptoms, receive</w:t>
      </w:r>
      <w:r w:rsidRPr="00306BFF">
        <w:t xml:space="preserve"> the most.</w:t>
      </w:r>
      <w:r w:rsidRPr="00094009">
        <w:rPr>
          <w:rStyle w:val="FootnoteReference"/>
        </w:rPr>
        <w:t xml:space="preserve"> </w:t>
      </w:r>
      <w:r>
        <w:rPr>
          <w:rStyle w:val="FootnoteReference"/>
        </w:rPr>
        <w:footnoteReference w:id="10"/>
      </w:r>
    </w:p>
    <w:p w14:paraId="41DCA1BE" w14:textId="77777777" w:rsidR="009D39ED" w:rsidRPr="00121A4D" w:rsidRDefault="009D39ED" w:rsidP="002B4AE1">
      <w:pPr>
        <w:pStyle w:val="Heading2"/>
      </w:pPr>
      <w:bookmarkStart w:id="9" w:name="_Toc402530508"/>
      <w:r w:rsidRPr="00121A4D">
        <w:t>Dementia supports in place</w:t>
      </w:r>
      <w:bookmarkEnd w:id="9"/>
      <w:r w:rsidRPr="00C1523D">
        <w:t xml:space="preserve"> </w:t>
      </w:r>
    </w:p>
    <w:p w14:paraId="4835D794" w14:textId="77777777" w:rsidR="009623C1" w:rsidRPr="00EF77E1" w:rsidRDefault="009623C1" w:rsidP="009623C1">
      <w:pPr>
        <w:pStyle w:val="BodyText"/>
      </w:pPr>
      <w:r w:rsidRPr="009D39ED">
        <w:t xml:space="preserve">Currently the Australian Government has </w:t>
      </w:r>
      <w:r>
        <w:t xml:space="preserve">the following programs and services in place to meet the objective of better practice in dementia care:  </w:t>
      </w:r>
    </w:p>
    <w:p w14:paraId="549C35A3" w14:textId="77777777" w:rsidR="009623C1" w:rsidRPr="009B71D2" w:rsidRDefault="009623C1" w:rsidP="0097264A">
      <w:pPr>
        <w:pStyle w:val="Heading3"/>
        <w:numPr>
          <w:ilvl w:val="0"/>
          <w:numId w:val="0"/>
        </w:numPr>
        <w:ind w:left="720" w:hanging="720"/>
      </w:pPr>
      <w:r w:rsidRPr="009B71D2">
        <w:t xml:space="preserve">Dementia Behaviour Management Advisory Services </w:t>
      </w:r>
    </w:p>
    <w:p w14:paraId="07C28523" w14:textId="77777777" w:rsidR="009623C1" w:rsidRDefault="009623C1" w:rsidP="009623C1">
      <w:pPr>
        <w:pStyle w:val="BodyText"/>
      </w:pPr>
      <w:r>
        <w:t xml:space="preserve">The Dementia Behaviour Management Advisory Services (DBMAS) provide advice and support to those caring for people with dementia. Services may include clinical advice over the phone, assessment, care plan development, mentoring and education and training. DBMAS </w:t>
      </w:r>
      <w:proofErr w:type="gramStart"/>
      <w:r>
        <w:t>staff are</w:t>
      </w:r>
      <w:proofErr w:type="gramEnd"/>
      <w:r>
        <w:t xml:space="preserve"> accessible over the phone via a 24 hour helpline and cater for aged care workers as well as family carers.</w:t>
      </w:r>
      <w:r>
        <w:rPr>
          <w:rStyle w:val="FootnoteReference"/>
        </w:rPr>
        <w:footnoteReference w:id="11"/>
      </w:r>
      <w:r>
        <w:t xml:space="preserve"> </w:t>
      </w:r>
    </w:p>
    <w:p w14:paraId="4C7A37CD" w14:textId="77777777" w:rsidR="009623C1" w:rsidRPr="009B71D2" w:rsidRDefault="009623C1" w:rsidP="0097264A">
      <w:pPr>
        <w:pStyle w:val="Heading3"/>
        <w:numPr>
          <w:ilvl w:val="0"/>
          <w:numId w:val="0"/>
        </w:numPr>
        <w:ind w:left="720" w:hanging="720"/>
      </w:pPr>
      <w:r w:rsidRPr="009B71D2">
        <w:t xml:space="preserve">National Dementia Support Program </w:t>
      </w:r>
    </w:p>
    <w:p w14:paraId="07BB9422" w14:textId="77777777" w:rsidR="009623C1" w:rsidRPr="005A34DB" w:rsidRDefault="009623C1" w:rsidP="009623C1">
      <w:pPr>
        <w:pStyle w:val="BodyText"/>
      </w:pPr>
      <w:r>
        <w:t>The National Dementia Support Program (NDSP)</w:t>
      </w:r>
      <w:r w:rsidRPr="00CD1276">
        <w:t xml:space="preserve"> is a</w:t>
      </w:r>
      <w:r>
        <w:t>n</w:t>
      </w:r>
      <w:r w:rsidRPr="00CD1276">
        <w:t xml:space="preserve"> </w:t>
      </w:r>
      <w:r>
        <w:t>Australian G</w:t>
      </w:r>
      <w:r w:rsidRPr="00CD1276">
        <w:t>overnment funded initiative delivered by Alzheimer’s Australia</w:t>
      </w:r>
      <w:r>
        <w:t xml:space="preserve"> and was</w:t>
      </w:r>
      <w:r w:rsidRPr="00CD1276">
        <w:t xml:space="preserve"> formed as a consolidation of previously run programs aimed at</w:t>
      </w:r>
      <w:r>
        <w:t xml:space="preserve"> dementia support. NDSP delivers</w:t>
      </w:r>
      <w:r w:rsidRPr="00CD1276">
        <w:t xml:space="preserve"> a helpline and referral service, dementia and memory community centres, early intervention support, non-clinical advice, counselling and professional support, education and training, special needs support, as well as serving an awareness function</w:t>
      </w:r>
      <w:r>
        <w:t>.</w:t>
      </w:r>
      <w:r w:rsidRPr="00CD1276">
        <w:rPr>
          <w:rStyle w:val="FootnoteReference"/>
        </w:rPr>
        <w:footnoteReference w:id="12"/>
      </w:r>
    </w:p>
    <w:p w14:paraId="422E9BF7" w14:textId="77777777" w:rsidR="009623C1" w:rsidRPr="009B71D2" w:rsidRDefault="009623C1" w:rsidP="0097264A">
      <w:pPr>
        <w:pStyle w:val="Heading3"/>
        <w:numPr>
          <w:ilvl w:val="0"/>
          <w:numId w:val="0"/>
        </w:numPr>
        <w:ind w:left="720" w:hanging="720"/>
        <w:rPr>
          <w:color w:val="auto"/>
        </w:rPr>
      </w:pPr>
      <w:r w:rsidRPr="009B71D2">
        <w:t xml:space="preserve">Dementia Training Study Centres </w:t>
      </w:r>
    </w:p>
    <w:p w14:paraId="112234BD" w14:textId="77777777" w:rsidR="009623C1" w:rsidRPr="0078227A" w:rsidRDefault="009623C1" w:rsidP="009623C1">
      <w:pPr>
        <w:pStyle w:val="BodyText"/>
      </w:pPr>
      <w:r>
        <w:t>Dementia Training Study Centres (DTSCs) provide courses, workshops and seminars for continuing professional education for dementia health care professionals and students as well as assisting universities with curriculum development.</w:t>
      </w:r>
      <w:r>
        <w:rPr>
          <w:rStyle w:val="FootnoteReference"/>
        </w:rPr>
        <w:footnoteReference w:id="13"/>
      </w:r>
      <w:r>
        <w:t xml:space="preserve">  </w:t>
      </w:r>
    </w:p>
    <w:p w14:paraId="684E009D" w14:textId="77777777" w:rsidR="009623C1" w:rsidRPr="009B71D2" w:rsidRDefault="009623C1" w:rsidP="0097264A">
      <w:pPr>
        <w:pStyle w:val="Heading3"/>
        <w:numPr>
          <w:ilvl w:val="0"/>
          <w:numId w:val="0"/>
        </w:numPr>
        <w:ind w:left="720" w:hanging="720"/>
        <w:rPr>
          <w:color w:val="auto"/>
        </w:rPr>
      </w:pPr>
      <w:r w:rsidRPr="009B71D2">
        <w:t xml:space="preserve">Service Access Liaison Officer </w:t>
      </w:r>
    </w:p>
    <w:p w14:paraId="137A6B98" w14:textId="77777777" w:rsidR="009623C1" w:rsidRPr="00907EE8" w:rsidRDefault="009623C1" w:rsidP="009623C1">
      <w:pPr>
        <w:pStyle w:val="BodyText"/>
      </w:pPr>
      <w:r>
        <w:t xml:space="preserve">Additional funding was allocated to Alzheimer’s Australia via the NDSP to provide Service Access Liaison Officers (SALOs) in each state and territory throughout Australia to address barriers to access for </w:t>
      </w:r>
      <w:r w:rsidRPr="00EC0FC7">
        <w:t>specific needs groups</w:t>
      </w:r>
      <w:r>
        <w:t xml:space="preserve">. SALOs aim to provide access to dementia services to </w:t>
      </w:r>
      <w:r w:rsidRPr="00EC0FC7">
        <w:t xml:space="preserve">Aboriginal and Torres Strait Islander people; people from Culturally and Linguistically Diverse backgrounds; </w:t>
      </w:r>
      <w:r w:rsidRPr="00EC0FC7">
        <w:lastRenderedPageBreak/>
        <w:t>Gay, Lesbian, Bi-Sexual, Transgender and Intersex people; people with Younger Onset Dementia; and people in rural and remote locations.</w:t>
      </w:r>
      <w:r>
        <w:t xml:space="preserve"> SALOs’ projects have been focused on raising awareness and reducing stigma, as well as enhancing services’ ability to meet the needs of these groups. </w:t>
      </w:r>
    </w:p>
    <w:p w14:paraId="5A7E508D" w14:textId="77777777" w:rsidR="009623C1" w:rsidRPr="009B71D2" w:rsidRDefault="009623C1" w:rsidP="0097264A">
      <w:pPr>
        <w:pStyle w:val="Heading3"/>
        <w:numPr>
          <w:ilvl w:val="0"/>
          <w:numId w:val="0"/>
        </w:numPr>
        <w:ind w:left="720" w:hanging="720"/>
        <w:rPr>
          <w:color w:val="auto"/>
        </w:rPr>
      </w:pPr>
      <w:r w:rsidRPr="009B71D2">
        <w:t>Dementia</w:t>
      </w:r>
      <w:r w:rsidRPr="009B71D2">
        <w:rPr>
          <w:color w:val="auto"/>
        </w:rPr>
        <w:t xml:space="preserve"> </w:t>
      </w:r>
      <w:r w:rsidRPr="009B71D2">
        <w:t>Education</w:t>
      </w:r>
      <w:r w:rsidRPr="009B71D2">
        <w:rPr>
          <w:color w:val="auto"/>
        </w:rPr>
        <w:t xml:space="preserve"> </w:t>
      </w:r>
      <w:r w:rsidRPr="009B71D2">
        <w:t>and</w:t>
      </w:r>
      <w:r w:rsidRPr="009B71D2">
        <w:rPr>
          <w:color w:val="auto"/>
        </w:rPr>
        <w:t xml:space="preserve"> </w:t>
      </w:r>
      <w:r w:rsidRPr="009B71D2">
        <w:t>Training for</w:t>
      </w:r>
      <w:r w:rsidRPr="009B71D2">
        <w:rPr>
          <w:color w:val="auto"/>
        </w:rPr>
        <w:t xml:space="preserve"> </w:t>
      </w:r>
      <w:r w:rsidRPr="009B71D2">
        <w:t>Carers</w:t>
      </w:r>
      <w:r w:rsidRPr="009B71D2">
        <w:rPr>
          <w:color w:val="auto"/>
        </w:rPr>
        <w:t xml:space="preserve"> </w:t>
      </w:r>
    </w:p>
    <w:p w14:paraId="3AE5231D" w14:textId="77777777" w:rsidR="009623C1" w:rsidRDefault="009623C1" w:rsidP="009623C1">
      <w:pPr>
        <w:pStyle w:val="BodyText"/>
      </w:pPr>
      <w:r>
        <w:t xml:space="preserve">The Dementia Education and Training for Carers (DETC) programme is Australian Government funded and delivered via the Commonwealth Respite and </w:t>
      </w:r>
      <w:proofErr w:type="spellStart"/>
      <w:r>
        <w:t>Carelink</w:t>
      </w:r>
      <w:proofErr w:type="spellEnd"/>
      <w:r>
        <w:t xml:space="preserve"> Centres. DETCs provide carers with early intervention support, including in-home and group education as well as providing help in linking carers to other available resources depending on their individual needs. DETCs aim to improve care services for people with dementia by increasing the competence and confidence of carers and providing more support for timely diagnosis.</w:t>
      </w:r>
      <w:r w:rsidRPr="00C745D9">
        <w:rPr>
          <w:rStyle w:val="FootnoteReference"/>
        </w:rPr>
        <w:t xml:space="preserve"> </w:t>
      </w:r>
      <w:r>
        <w:rPr>
          <w:rStyle w:val="FootnoteReference"/>
        </w:rPr>
        <w:footnoteReference w:id="14"/>
      </w:r>
    </w:p>
    <w:p w14:paraId="0380ECFA" w14:textId="77777777" w:rsidR="009623C1" w:rsidRPr="009B71D2" w:rsidRDefault="009623C1" w:rsidP="0097264A">
      <w:pPr>
        <w:pStyle w:val="Heading3"/>
        <w:numPr>
          <w:ilvl w:val="0"/>
          <w:numId w:val="0"/>
        </w:numPr>
        <w:ind w:left="720" w:hanging="720"/>
      </w:pPr>
      <w:r w:rsidRPr="009B71D2">
        <w:t xml:space="preserve">Younger Onset Dementia Key Worker Programme </w:t>
      </w:r>
    </w:p>
    <w:p w14:paraId="040FD358" w14:textId="77777777" w:rsidR="009623C1" w:rsidRPr="004A08D6" w:rsidRDefault="009623C1" w:rsidP="009623C1">
      <w:r>
        <w:t>The</w:t>
      </w:r>
      <w:r w:rsidRPr="004A08D6">
        <w:t xml:space="preserve"> Younger Onset Dementia Key Worker Program</w:t>
      </w:r>
      <w:r>
        <w:t>me</w:t>
      </w:r>
      <w:r w:rsidRPr="004A08D6">
        <w:t xml:space="preserve"> provides individualised information and support to improve the quality of life for people with younger onset dementia. The key worker acts as a primary point of contact for people with younger onset dementia, their families and carers. The key worker provides information, support, counselling, advice and helps consumers effectively engage with services appropriate to their individual needs.</w:t>
      </w:r>
      <w:r>
        <w:rPr>
          <w:rStyle w:val="FootnoteReference"/>
        </w:rPr>
        <w:footnoteReference w:id="15"/>
      </w:r>
    </w:p>
    <w:p w14:paraId="6E2B8400" w14:textId="77777777" w:rsidR="009623C1" w:rsidRPr="009B71D2" w:rsidRDefault="009623C1" w:rsidP="0097264A">
      <w:pPr>
        <w:pStyle w:val="Heading3"/>
        <w:numPr>
          <w:ilvl w:val="0"/>
          <w:numId w:val="0"/>
        </w:numPr>
        <w:ind w:left="720" w:hanging="720"/>
      </w:pPr>
      <w:r w:rsidRPr="009B71D2">
        <w:t>The Dementia and Cognition Supplement in Home Care</w:t>
      </w:r>
    </w:p>
    <w:p w14:paraId="1673D436" w14:textId="77777777" w:rsidR="00FC311F" w:rsidRPr="004A08D6" w:rsidRDefault="009623C1" w:rsidP="009623C1">
      <w:pPr>
        <w:pStyle w:val="BodyText"/>
      </w:pPr>
      <w:r>
        <w:t>The Dementia and Cognition Supplement in Home Care is available to h</w:t>
      </w:r>
      <w:r w:rsidRPr="000D1F8A">
        <w:t xml:space="preserve">ome care recipients who are assessed as having </w:t>
      </w:r>
      <w:r>
        <w:t>moderate to severe</w:t>
      </w:r>
      <w:r w:rsidRPr="000D1F8A">
        <w:t xml:space="preserve"> cognitive impairment. The suppl</w:t>
      </w:r>
      <w:r>
        <w:t>ement is paid at the rate of 10 per cent</w:t>
      </w:r>
      <w:r w:rsidRPr="000D1F8A">
        <w:t xml:space="preserve"> of the basic subsidy payable for each of the four levels of Home Care Package and is indexed annually.</w:t>
      </w:r>
      <w:r>
        <w:rPr>
          <w:rStyle w:val="FootnoteReference"/>
        </w:rPr>
        <w:footnoteReference w:id="16"/>
      </w:r>
    </w:p>
    <w:p w14:paraId="74A0D7C8" w14:textId="77777777" w:rsidR="002971FB" w:rsidRDefault="002971FB" w:rsidP="0016701D">
      <w:pPr>
        <w:pStyle w:val="Heading2"/>
      </w:pPr>
      <w:bookmarkStart w:id="10" w:name="_Toc402530509"/>
      <w:r>
        <w:t xml:space="preserve">Additional </w:t>
      </w:r>
      <w:r w:rsidR="0016701D">
        <w:t>s</w:t>
      </w:r>
      <w:r>
        <w:t>upports</w:t>
      </w:r>
      <w:bookmarkEnd w:id="10"/>
      <w:r>
        <w:t xml:space="preserve"> </w:t>
      </w:r>
    </w:p>
    <w:p w14:paraId="59830E63" w14:textId="77777777" w:rsidR="009623C1" w:rsidRPr="00C745D9" w:rsidRDefault="009623C1" w:rsidP="009623C1">
      <w:pPr>
        <w:pStyle w:val="BodyText"/>
      </w:pPr>
      <w:r>
        <w:t>The Commonwealth funds a range of other support for older people accessing aged care. These are also available for people with dementia.</w:t>
      </w:r>
    </w:p>
    <w:p w14:paraId="13CBDA30" w14:textId="77777777" w:rsidR="009623C1" w:rsidRPr="009B71D2" w:rsidRDefault="009623C1" w:rsidP="0097264A">
      <w:pPr>
        <w:pStyle w:val="Heading3"/>
        <w:numPr>
          <w:ilvl w:val="0"/>
          <w:numId w:val="0"/>
        </w:numPr>
        <w:ind w:left="720" w:hanging="720"/>
      </w:pPr>
      <w:r w:rsidRPr="009B71D2">
        <w:t xml:space="preserve">Aged care assessment teams </w:t>
      </w:r>
    </w:p>
    <w:p w14:paraId="0E7E1E56" w14:textId="77777777" w:rsidR="009623C1" w:rsidRDefault="009623C1" w:rsidP="009623C1">
      <w:pPr>
        <w:pStyle w:val="BodyText"/>
      </w:pPr>
      <w:r w:rsidRPr="00D83954">
        <w:t>Age</w:t>
      </w:r>
      <w:r>
        <w:t>d</w:t>
      </w:r>
      <w:r w:rsidRPr="00D83954">
        <w:t xml:space="preserve"> care assessment teams</w:t>
      </w:r>
      <w:r>
        <w:t xml:space="preserve"> or services</w:t>
      </w:r>
      <w:r w:rsidRPr="00D83954">
        <w:t xml:space="preserve"> </w:t>
      </w:r>
      <w:r>
        <w:t xml:space="preserve">(ACATs/ACAS) assess a consumer’s eligibility for government subsidised residential and home care aged care services. </w:t>
      </w:r>
      <w:r w:rsidRPr="00C974BC">
        <w:t>Th</w:t>
      </w:r>
      <w:r>
        <w:t>is</w:t>
      </w:r>
      <w:r w:rsidRPr="00C974BC">
        <w:t xml:space="preserve"> assessment can help</w:t>
      </w:r>
      <w:r>
        <w:t xml:space="preserve"> people with dementia to </w:t>
      </w:r>
      <w:r w:rsidRPr="00C974BC">
        <w:t xml:space="preserve">identify the type of care services </w:t>
      </w:r>
      <w:r>
        <w:t>that will help them</w:t>
      </w:r>
      <w:r w:rsidRPr="00C974BC">
        <w:t xml:space="preserve"> stay at home</w:t>
      </w:r>
      <w:r>
        <w:t xml:space="preserve">, receive certain respite services or to enter into an aged care facility. </w:t>
      </w:r>
    </w:p>
    <w:p w14:paraId="175E73E1" w14:textId="77777777" w:rsidR="009623C1" w:rsidRPr="009B71D2" w:rsidRDefault="009623C1" w:rsidP="0097264A">
      <w:pPr>
        <w:pStyle w:val="Heading3"/>
        <w:numPr>
          <w:ilvl w:val="0"/>
          <w:numId w:val="0"/>
        </w:numPr>
        <w:ind w:left="720" w:hanging="720"/>
      </w:pPr>
      <w:r w:rsidRPr="009B71D2">
        <w:lastRenderedPageBreak/>
        <w:t xml:space="preserve">National Aged Care Advocacy Program </w:t>
      </w:r>
    </w:p>
    <w:p w14:paraId="1D903FC7" w14:textId="77777777" w:rsidR="009623C1" w:rsidRPr="00B15C96" w:rsidRDefault="009623C1" w:rsidP="009623C1">
      <w:pPr>
        <w:pStyle w:val="BodyText"/>
      </w:pPr>
      <w:r>
        <w:t>Operating in ea</w:t>
      </w:r>
      <w:r w:rsidRPr="00FE66DB">
        <w:t xml:space="preserve">ch of the </w:t>
      </w:r>
      <w:r>
        <w:t>states and territories, the National Aged Care Advocacy Program (NACAP) provides advice and help to people with dementia and carers to understand and exercise their rights. NACAP also acts on behalf of people with dementia and carers in discussions within the aged care industry in policy formation.</w:t>
      </w:r>
      <w:r>
        <w:rPr>
          <w:rStyle w:val="FootnoteReference"/>
        </w:rPr>
        <w:footnoteReference w:id="17"/>
      </w:r>
      <w:r>
        <w:t xml:space="preserve"> </w:t>
      </w:r>
    </w:p>
    <w:p w14:paraId="41EB823F" w14:textId="77777777" w:rsidR="009623C1" w:rsidRPr="009B71D2" w:rsidRDefault="009623C1" w:rsidP="0097264A">
      <w:pPr>
        <w:pStyle w:val="Heading3"/>
        <w:numPr>
          <w:ilvl w:val="0"/>
          <w:numId w:val="0"/>
        </w:numPr>
        <w:ind w:left="720" w:hanging="720"/>
      </w:pPr>
      <w:r w:rsidRPr="009B71D2">
        <w:t xml:space="preserve">Community Visitors Scheme </w:t>
      </w:r>
    </w:p>
    <w:p w14:paraId="02F07346" w14:textId="77777777" w:rsidR="00FC311F" w:rsidRDefault="009623C1" w:rsidP="009D39ED">
      <w:pPr>
        <w:pStyle w:val="BodyText"/>
      </w:pPr>
      <w:r>
        <w:t>Referred by family, friends or service provider managers,</w:t>
      </w:r>
      <w:r>
        <w:rPr>
          <w:rStyle w:val="FootnoteReference"/>
        </w:rPr>
        <w:footnoteReference w:id="18"/>
      </w:r>
      <w:r>
        <w:t xml:space="preserve"> the Community Visitors Scheme (CVS) matches volunteers to socially isolated people in residential aged care facilities for companionship and social engagement.</w:t>
      </w:r>
      <w:r>
        <w:rPr>
          <w:rStyle w:val="FootnoteReference"/>
        </w:rPr>
        <w:footnoteReference w:id="19"/>
      </w:r>
    </w:p>
    <w:p w14:paraId="5D82E360" w14:textId="77777777" w:rsidR="006D3D33" w:rsidRPr="00F20677" w:rsidRDefault="0016701D" w:rsidP="0016701D">
      <w:pPr>
        <w:pStyle w:val="Heading2"/>
      </w:pPr>
      <w:bookmarkStart w:id="11" w:name="_Toc402530510"/>
      <w:r>
        <w:t>A</w:t>
      </w:r>
      <w:r w:rsidR="006D3D33" w:rsidRPr="00F20677">
        <w:t>ccreditation</w:t>
      </w:r>
      <w:r>
        <w:t xml:space="preserve"> and funding</w:t>
      </w:r>
      <w:r w:rsidR="006D3D33" w:rsidRPr="00F20677">
        <w:t xml:space="preserve"> of aged care organisations</w:t>
      </w:r>
      <w:bookmarkEnd w:id="11"/>
      <w:r w:rsidR="006D3D33" w:rsidRPr="00F20677">
        <w:t xml:space="preserve"> </w:t>
      </w:r>
    </w:p>
    <w:p w14:paraId="0159B465" w14:textId="77777777" w:rsidR="009623C1" w:rsidRPr="009B71D2" w:rsidRDefault="009623C1" w:rsidP="0097264A">
      <w:pPr>
        <w:pStyle w:val="Heading3"/>
        <w:numPr>
          <w:ilvl w:val="0"/>
          <w:numId w:val="0"/>
        </w:numPr>
      </w:pPr>
      <w:r w:rsidRPr="009B71D2">
        <w:t>Aged care accreditation</w:t>
      </w:r>
    </w:p>
    <w:p w14:paraId="696A3AFD" w14:textId="77777777" w:rsidR="009623C1" w:rsidRDefault="009623C1" w:rsidP="009623C1">
      <w:pPr>
        <w:pStyle w:val="BodyText"/>
      </w:pPr>
      <w:r>
        <w:t xml:space="preserve">There are 44 expected outcomes across four standards in residential aged care, and 18 expected outcomes across three standards for home care providers. These are based on the </w:t>
      </w:r>
      <w:r w:rsidRPr="00F877C2">
        <w:rPr>
          <w:i/>
        </w:rPr>
        <w:t>Quality of Care Principles 2014</w:t>
      </w:r>
      <w:r>
        <w:t xml:space="preserve">, issued by the Assistant Minister as permitted by sections 96-1 the </w:t>
      </w:r>
      <w:r w:rsidRPr="00F877C2">
        <w:rPr>
          <w:i/>
        </w:rPr>
        <w:t>Aged Care Act 1997</w:t>
      </w:r>
      <w:r>
        <w:t>,</w:t>
      </w:r>
      <w:r>
        <w:rPr>
          <w:rStyle w:val="FootnoteReference"/>
        </w:rPr>
        <w:footnoteReference w:id="20"/>
      </w:r>
      <w:r>
        <w:t xml:space="preserve"> and the expected outcomes are required for accreditation and quality review of residential aged care facilities, and home care providers respectively.</w:t>
      </w:r>
    </w:p>
    <w:p w14:paraId="2B65F3E0" w14:textId="77777777" w:rsidR="009623C1" w:rsidRDefault="009623C1" w:rsidP="009623C1">
      <w:pPr>
        <w:pStyle w:val="BodyText"/>
      </w:pPr>
      <w:r>
        <w:t>Residential facilities are reviewed periodically using standard audit methodology which systematically reviews all 44 expected outcomes. Failure to meet the outcomes will result in the submission of a timeline of improvement, after which further noncompliance can result in accreditation being revoked or other sanctions.</w:t>
      </w:r>
      <w:r>
        <w:rPr>
          <w:rStyle w:val="FootnoteReference"/>
        </w:rPr>
        <w:footnoteReference w:id="21"/>
      </w:r>
      <w:r>
        <w:t xml:space="preserve">  </w:t>
      </w:r>
    </w:p>
    <w:p w14:paraId="01498FE7" w14:textId="77777777" w:rsidR="009623C1" w:rsidRPr="009B71D2" w:rsidRDefault="009623C1" w:rsidP="0097264A">
      <w:pPr>
        <w:pStyle w:val="Heading3"/>
        <w:numPr>
          <w:ilvl w:val="0"/>
          <w:numId w:val="0"/>
        </w:numPr>
        <w:ind w:left="720" w:hanging="720"/>
      </w:pPr>
      <w:r w:rsidRPr="009B71D2">
        <w:t>Aged Care Funding Instrument</w:t>
      </w:r>
    </w:p>
    <w:p w14:paraId="7E2234E1" w14:textId="77777777" w:rsidR="00FC311F" w:rsidRDefault="009623C1" w:rsidP="00FC311F">
      <w:pPr>
        <w:pStyle w:val="BodyText"/>
        <w:rPr>
          <w:b/>
          <w:bCs/>
          <w:color w:val="00338D"/>
          <w:sz w:val="28"/>
          <w:szCs w:val="24"/>
        </w:rPr>
      </w:pPr>
      <w:r>
        <w:t>The Aged Care Funding Instrument (ACFI) is a tool designed to align allocation of funding with needs. It assesses people’s care needs on the basis of their diagnoses, and assessed level of assistance required or level of impairment across the domains of activities of daily living; behaviour; and complex care needs. People are assessed using approved validated instruments to determine a low, medium or high level.</w:t>
      </w:r>
      <w:r>
        <w:rPr>
          <w:rStyle w:val="FootnoteReference"/>
        </w:rPr>
        <w:footnoteReference w:id="22"/>
      </w:r>
      <w:r>
        <w:t xml:space="preserve"> </w:t>
      </w:r>
    </w:p>
    <w:p w14:paraId="0153A324" w14:textId="77777777" w:rsidR="000807A2" w:rsidRDefault="00E917A7" w:rsidP="0016701D">
      <w:pPr>
        <w:pStyle w:val="Heading2"/>
      </w:pPr>
      <w:bookmarkStart w:id="12" w:name="_Toc402530511"/>
      <w:r>
        <w:lastRenderedPageBreak/>
        <w:t xml:space="preserve">Addressing </w:t>
      </w:r>
      <w:r w:rsidR="0016701D">
        <w:t>behavioural and psychological symptoms of dementia</w:t>
      </w:r>
      <w:bookmarkEnd w:id="12"/>
    </w:p>
    <w:p w14:paraId="00A63D6D" w14:textId="77777777" w:rsidR="009623C1" w:rsidRDefault="009623C1" w:rsidP="009623C1">
      <w:pPr>
        <w:pStyle w:val="BodyText"/>
      </w:pPr>
      <w:r w:rsidRPr="00774119">
        <w:t xml:space="preserve">In order to assist residential aged care providers in addressing the needs of residents with severe BPSD, the Australian Government introduced </w:t>
      </w:r>
      <w:r>
        <w:t>the DSBS</w:t>
      </w:r>
      <w:r w:rsidRPr="00774119">
        <w:t xml:space="preserve"> of $16</w:t>
      </w:r>
      <w:r>
        <w:t>.15</w:t>
      </w:r>
      <w:r w:rsidRPr="00774119">
        <w:t xml:space="preserve"> per day </w:t>
      </w:r>
      <w:r>
        <w:t xml:space="preserve">per eligible resident </w:t>
      </w:r>
      <w:r w:rsidRPr="00774119">
        <w:t>in August 201</w:t>
      </w:r>
      <w:r>
        <w:t>3</w:t>
      </w:r>
      <w:r w:rsidRPr="00774119">
        <w:t>.</w:t>
      </w:r>
      <w:r>
        <w:t xml:space="preserve"> </w:t>
      </w:r>
    </w:p>
    <w:p w14:paraId="048F2B8F" w14:textId="77777777" w:rsidR="000807A2" w:rsidRPr="00D83954" w:rsidRDefault="009623C1" w:rsidP="000807A2">
      <w:pPr>
        <w:pStyle w:val="BodyText"/>
      </w:pPr>
      <w:r>
        <w:t>It was estimated that 2,000 aged care residents would be eligible for the DSBS in 2013</w:t>
      </w:r>
      <w:r>
        <w:noBreakHyphen/>
        <w:t>14 with a budgeted expenditure of $11.7 million. As of April 2014, 29,927 people were receiving the DSBS with an estimated actual cost of approximately $110 million in 2013-14. As a result of far higher than expected claiming, the Australian Government ceased the DSBS</w:t>
      </w:r>
      <w:r w:rsidRPr="00305FE2">
        <w:t xml:space="preserve"> </w:t>
      </w:r>
      <w:r>
        <w:t>on 31 July 2014.</w:t>
      </w:r>
    </w:p>
    <w:p w14:paraId="0386CB54" w14:textId="77777777" w:rsidR="003D5BE3" w:rsidRPr="00F20677" w:rsidRDefault="00091CBD" w:rsidP="002B4AE1">
      <w:pPr>
        <w:pStyle w:val="Heading1"/>
      </w:pPr>
      <w:bookmarkStart w:id="13" w:name="_Toc402530512"/>
      <w:r w:rsidRPr="00F20677">
        <w:lastRenderedPageBreak/>
        <w:t>Our approach</w:t>
      </w:r>
      <w:bookmarkEnd w:id="13"/>
    </w:p>
    <w:p w14:paraId="65330D75" w14:textId="5E06B092" w:rsidR="009623C1" w:rsidRDefault="009623C1" w:rsidP="009623C1">
      <w:pPr>
        <w:pStyle w:val="BodyText"/>
      </w:pPr>
      <w:r>
        <w:t xml:space="preserve">The </w:t>
      </w:r>
      <w:r w:rsidRPr="006C5573">
        <w:t>Assistant Minister for Social Services Senator</w:t>
      </w:r>
      <w:r>
        <w:t xml:space="preserve"> the Hon Mitch Fifield and the Minister for Health the Hon Peter Dutton MP committed to a forum to look at dementia as ‘core business’ across aged care and, as part of that, to consider alternatives to the Supplement. </w:t>
      </w:r>
      <w:r w:rsidRPr="005F2DE4">
        <w:t>The Department of Social Services</w:t>
      </w:r>
      <w:r>
        <w:t xml:space="preserve"> (DSS)</w:t>
      </w:r>
      <w:r w:rsidRPr="005F2DE4">
        <w:t xml:space="preserve"> Ageing and Service Improvement Branch engaged </w:t>
      </w:r>
      <w:r>
        <w:t>consultants</w:t>
      </w:r>
      <w:r w:rsidRPr="005F2DE4">
        <w:t xml:space="preserve"> to conduct and report on </w:t>
      </w:r>
      <w:r>
        <w:t>the</w:t>
      </w:r>
      <w:r w:rsidRPr="005F2DE4">
        <w:t xml:space="preserve"> </w:t>
      </w:r>
      <w:r>
        <w:t>M</w:t>
      </w:r>
      <w:r w:rsidRPr="005F2DE4">
        <w:t xml:space="preserve">inisterial </w:t>
      </w:r>
      <w:r>
        <w:t>Dementia F</w:t>
      </w:r>
      <w:r w:rsidRPr="005F2DE4">
        <w:t xml:space="preserve">orum aimed at </w:t>
      </w:r>
      <w:r>
        <w:t>undertaking</w:t>
      </w:r>
      <w:r w:rsidRPr="005F2DE4">
        <w:t xml:space="preserve"> broad stakeholder consultation on possible future directions </w:t>
      </w:r>
      <w:r>
        <w:t>i</w:t>
      </w:r>
      <w:r w:rsidRPr="005F2DE4">
        <w:t xml:space="preserve">n improving dementia care. The Ministerial Dementia Forum, ‘Dementia Care – Core Business for Aged Care’, was </w:t>
      </w:r>
      <w:r>
        <w:t>held on 11 September 2014 with 69</w:t>
      </w:r>
      <w:r w:rsidRPr="005F2DE4">
        <w:t xml:space="preserve"> </w:t>
      </w:r>
      <w:r>
        <w:t>participants</w:t>
      </w:r>
      <w:r w:rsidRPr="005F2DE4">
        <w:t xml:space="preserve"> from across Australia representing service providers, clinicians, carers and </w:t>
      </w:r>
      <w:r>
        <w:t>people with dementia</w:t>
      </w:r>
      <w:r w:rsidRPr="005F2DE4">
        <w:t xml:space="preserve"> and the </w:t>
      </w:r>
      <w:r>
        <w:t>Australian G</w:t>
      </w:r>
      <w:r w:rsidRPr="005F2DE4">
        <w:t>overnment</w:t>
      </w:r>
      <w:r>
        <w:t xml:space="preserve"> (See </w:t>
      </w:r>
      <w:r w:rsidRPr="00C1523D">
        <w:t>Appendix 1</w:t>
      </w:r>
      <w:r>
        <w:t xml:space="preserve"> for a list of </w:t>
      </w:r>
      <w:r w:rsidR="0086787B">
        <w:t>the participant organisations</w:t>
      </w:r>
      <w:r>
        <w:t>)</w:t>
      </w:r>
      <w:r w:rsidRPr="005F2DE4">
        <w:t xml:space="preserve">. </w:t>
      </w:r>
      <w:r>
        <w:t>The forum was Co</w:t>
      </w:r>
      <w:r>
        <w:noBreakHyphen/>
        <w:t xml:space="preserve">Chaired by Associate Professor Susan Koch and Ms </w:t>
      </w:r>
      <w:r w:rsidRPr="007E3E5D">
        <w:t>Sue</w:t>
      </w:r>
      <w:r>
        <w:t> </w:t>
      </w:r>
      <w:proofErr w:type="spellStart"/>
      <w:r w:rsidRPr="007E3E5D">
        <w:t>Pieters</w:t>
      </w:r>
      <w:proofErr w:type="spellEnd"/>
      <w:r w:rsidRPr="007E3E5D">
        <w:t>-Hawke</w:t>
      </w:r>
      <w:r>
        <w:t>.</w:t>
      </w:r>
    </w:p>
    <w:p w14:paraId="72982E3B" w14:textId="77777777" w:rsidR="009623C1" w:rsidRDefault="009623C1" w:rsidP="009623C1">
      <w:pPr>
        <w:pStyle w:val="BodyText"/>
      </w:pPr>
      <w:r>
        <w:t xml:space="preserve">The overarching aim of the day was to establish what is needed to improve the provision of dementia care both in residential aged care and home care, whilst remaining within the current funding envelope. The discussions were built on the following four objectives: </w:t>
      </w:r>
    </w:p>
    <w:p w14:paraId="53328C10" w14:textId="77777777" w:rsidR="009623C1" w:rsidRPr="00C644E3" w:rsidRDefault="009623C1" w:rsidP="009623C1">
      <w:pPr>
        <w:pStyle w:val="ListBullet"/>
        <w:rPr>
          <w:b/>
        </w:rPr>
      </w:pPr>
      <w:r w:rsidRPr="008941AF">
        <w:rPr>
          <w:b/>
        </w:rPr>
        <w:t>Objective one</w:t>
      </w:r>
      <w:r>
        <w:rPr>
          <w:b/>
        </w:rPr>
        <w:t xml:space="preserve">: </w:t>
      </w:r>
      <w:r>
        <w:t>improve and promote the wider adoption of better practice care and support of people with dementia within the aged care system both in residential care and care and support in the home.</w:t>
      </w:r>
    </w:p>
    <w:p w14:paraId="55341AC0" w14:textId="77777777" w:rsidR="009623C1" w:rsidRDefault="009623C1" w:rsidP="009623C1">
      <w:pPr>
        <w:pStyle w:val="ListBullet"/>
      </w:pPr>
      <w:r w:rsidRPr="00C644E3">
        <w:rPr>
          <w:b/>
        </w:rPr>
        <w:t>Objective two:</w:t>
      </w:r>
      <w:r>
        <w:rPr>
          <w:b/>
        </w:rPr>
        <w:t xml:space="preserve"> </w:t>
      </w:r>
      <w:r>
        <w:t>consider effective models of care and support for people with severe BPSD and dementia within the aged care system, both in residential care and care and support in the home, and examine ways to promote them.</w:t>
      </w:r>
    </w:p>
    <w:p w14:paraId="4AF328E4" w14:textId="77777777" w:rsidR="009623C1" w:rsidRDefault="009623C1" w:rsidP="009623C1">
      <w:pPr>
        <w:pStyle w:val="ListBullet"/>
      </w:pPr>
      <w:r w:rsidRPr="00C644E3">
        <w:rPr>
          <w:b/>
        </w:rPr>
        <w:t>Objective three:</w:t>
      </w:r>
      <w:r>
        <w:rPr>
          <w:b/>
        </w:rPr>
        <w:t xml:space="preserve"> </w:t>
      </w:r>
      <w:r>
        <w:t xml:space="preserve">explore strategies that facilitate and consolidate dementia care as ‘core </w:t>
      </w:r>
      <w:proofErr w:type="gramStart"/>
      <w:r>
        <w:t>business’</w:t>
      </w:r>
      <w:proofErr w:type="gramEnd"/>
      <w:r>
        <w:t xml:space="preserve"> for all aged care services.</w:t>
      </w:r>
    </w:p>
    <w:p w14:paraId="6D74974E" w14:textId="77777777" w:rsidR="009623C1" w:rsidRPr="00C644E3" w:rsidRDefault="009623C1" w:rsidP="009623C1">
      <w:pPr>
        <w:pStyle w:val="ListBullet"/>
        <w:rPr>
          <w:b/>
        </w:rPr>
      </w:pPr>
      <w:r w:rsidRPr="00C644E3">
        <w:rPr>
          <w:b/>
        </w:rPr>
        <w:t>Objective four:</w:t>
      </w:r>
      <w:r>
        <w:rPr>
          <w:b/>
        </w:rPr>
        <w:t xml:space="preserve"> </w:t>
      </w:r>
      <w:r w:rsidRPr="00C644E3">
        <w:t xml:space="preserve">explore models of care that provide timely and cost effective specialised support for care of </w:t>
      </w:r>
      <w:r>
        <w:t xml:space="preserve">people with </w:t>
      </w:r>
      <w:r w:rsidRPr="00C644E3">
        <w:t>dementia with complex needs or severe BPSD, including for particular populations with special needs.</w:t>
      </w:r>
    </w:p>
    <w:p w14:paraId="2CDD7B6E" w14:textId="77777777" w:rsidR="009623C1" w:rsidRDefault="009623C1" w:rsidP="009623C1">
      <w:pPr>
        <w:pStyle w:val="BodyText"/>
      </w:pPr>
      <w:r>
        <w:t xml:space="preserve">Senator the Hon Mitch Fifield, Professor Henry </w:t>
      </w:r>
      <w:proofErr w:type="spellStart"/>
      <w:r>
        <w:t>Brodaty</w:t>
      </w:r>
      <w:proofErr w:type="spellEnd"/>
      <w:r>
        <w:t xml:space="preserve">, Ms Kate </w:t>
      </w:r>
      <w:proofErr w:type="spellStart"/>
      <w:r>
        <w:t>Swaffer</w:t>
      </w:r>
      <w:proofErr w:type="spellEnd"/>
      <w:r>
        <w:t xml:space="preserve">, and Dr Stephen Judd gave short addresses in order to identify the Government, clinician, </w:t>
      </w:r>
      <w:proofErr w:type="gramStart"/>
      <w:r>
        <w:t>consumer</w:t>
      </w:r>
      <w:proofErr w:type="gramEnd"/>
      <w:r>
        <w:t xml:space="preserve"> and service provider perspectives, on dementia, respectively. This was followed by three workshop sessions, involving round table discussions amongst the table groups, with the key findings presented to the broader group. The three workshop sessions answered the following questions:</w:t>
      </w:r>
    </w:p>
    <w:p w14:paraId="47D4FA9C" w14:textId="77777777" w:rsidR="009623C1" w:rsidRDefault="009623C1" w:rsidP="009623C1">
      <w:pPr>
        <w:pStyle w:val="BodyText"/>
        <w:numPr>
          <w:ilvl w:val="0"/>
          <w:numId w:val="30"/>
        </w:numPr>
      </w:pPr>
      <w:r w:rsidRPr="008941AF">
        <w:t>When it comes to supporting people with dementia, what is working in the current system? Where is there opportunity for improvement? What is needed in the short, medium and longer term?</w:t>
      </w:r>
    </w:p>
    <w:p w14:paraId="509F0FBB" w14:textId="77777777" w:rsidR="009623C1" w:rsidRDefault="009623C1" w:rsidP="009623C1">
      <w:pPr>
        <w:pStyle w:val="BodyText"/>
        <w:numPr>
          <w:ilvl w:val="0"/>
          <w:numId w:val="30"/>
        </w:numPr>
      </w:pPr>
      <w:r w:rsidRPr="008941AF">
        <w:t xml:space="preserve">Within the current funding envelope, how would you address the need to assist residential aged care consumers with dementia and </w:t>
      </w:r>
      <w:r>
        <w:t xml:space="preserve">severe </w:t>
      </w:r>
      <w:r w:rsidRPr="008941AF">
        <w:t>BPSD? Consider opportunities in the short, medium and longer term</w:t>
      </w:r>
      <w:r>
        <w:t>.</w:t>
      </w:r>
    </w:p>
    <w:p w14:paraId="012B69B4" w14:textId="77777777" w:rsidR="009623C1" w:rsidRDefault="009623C1" w:rsidP="009623C1">
      <w:pPr>
        <w:pStyle w:val="BodyText"/>
        <w:numPr>
          <w:ilvl w:val="0"/>
          <w:numId w:val="30"/>
        </w:numPr>
      </w:pPr>
      <w:r w:rsidRPr="008941AF">
        <w:t>What needs to be done specifically for people with severe BPSD within the available budget envelope? What is needed in the short, medium and longer term?</w:t>
      </w:r>
    </w:p>
    <w:p w14:paraId="7982E006" w14:textId="77777777" w:rsidR="00085628" w:rsidRDefault="009623C1" w:rsidP="009623C1">
      <w:pPr>
        <w:pStyle w:val="BodyText"/>
      </w:pPr>
      <w:r>
        <w:t xml:space="preserve">Each table had a scribe to capture the key ideas within the discussions. Following the day, scribes reports were sent to table captains for verification, after which theme analysis was undertaken to </w:t>
      </w:r>
      <w:r>
        <w:lastRenderedPageBreak/>
        <w:t xml:space="preserve">inform this report and the options within it. A summary of the workshop sessions is outlined in Sections 3 and 4, with potential next steps identified in Section 5. </w:t>
      </w:r>
      <w:r w:rsidR="00085628">
        <w:t xml:space="preserve"> </w:t>
      </w:r>
    </w:p>
    <w:p w14:paraId="2CD94AE1" w14:textId="77777777" w:rsidR="008941AF" w:rsidRDefault="009623C1" w:rsidP="00085628">
      <w:pPr>
        <w:pStyle w:val="BodyText"/>
      </w:pPr>
      <w:r>
        <w:t xml:space="preserve">A small working group Co-Chaired by Associate Professor Susan Koch and Sue </w:t>
      </w:r>
      <w:proofErr w:type="spellStart"/>
      <w:r>
        <w:t>Pieters</w:t>
      </w:r>
      <w:proofErr w:type="spellEnd"/>
      <w:r>
        <w:t>-Hawke helped design the forum and work with the facilitator to prepare this paper for the consideration of the Assistant </w:t>
      </w:r>
      <w:r w:rsidRPr="00CB75DE">
        <w:t>Minister for Social Services</w:t>
      </w:r>
      <w:r>
        <w:t>,</w:t>
      </w:r>
      <w:r w:rsidRPr="00CB75DE">
        <w:t xml:space="preserve"> Senator the Hon Mitch Fifield</w:t>
      </w:r>
      <w:r>
        <w:t>,</w:t>
      </w:r>
      <w:r w:rsidRPr="00CB75DE">
        <w:t xml:space="preserve"> and the Minister for Health</w:t>
      </w:r>
      <w:r>
        <w:t>,</w:t>
      </w:r>
      <w:r w:rsidRPr="00CB75DE">
        <w:t xml:space="preserve"> the Hon Peter Dutton MP</w:t>
      </w:r>
      <w:r>
        <w:t xml:space="preserve">. </w:t>
      </w:r>
      <w:r w:rsidR="00CB75DE">
        <w:t xml:space="preserve"> </w:t>
      </w:r>
    </w:p>
    <w:p w14:paraId="271A7321" w14:textId="77777777" w:rsidR="004E0A8D" w:rsidRPr="006C5573" w:rsidRDefault="004E0A8D" w:rsidP="002B4AE1">
      <w:pPr>
        <w:pStyle w:val="Heading1"/>
      </w:pPr>
      <w:bookmarkStart w:id="14" w:name="_Toc402530513"/>
      <w:r w:rsidRPr="006C5573">
        <w:lastRenderedPageBreak/>
        <w:t xml:space="preserve">Current </w:t>
      </w:r>
      <w:r w:rsidR="00202587" w:rsidRPr="006C5573">
        <w:t>s</w:t>
      </w:r>
      <w:r w:rsidRPr="006C5573">
        <w:t>tate</w:t>
      </w:r>
      <w:r w:rsidR="00202587" w:rsidRPr="006C5573">
        <w:t xml:space="preserve"> of dementia care</w:t>
      </w:r>
      <w:bookmarkEnd w:id="14"/>
      <w:r w:rsidRPr="006C5573">
        <w:t xml:space="preserve"> </w:t>
      </w:r>
    </w:p>
    <w:p w14:paraId="3CBF8737" w14:textId="77777777" w:rsidR="006A511D" w:rsidRPr="006A511D" w:rsidRDefault="009D39ED" w:rsidP="002B4AE1">
      <w:pPr>
        <w:pStyle w:val="Heading2"/>
      </w:pPr>
      <w:bookmarkStart w:id="15" w:name="_Toc402530514"/>
      <w:r>
        <w:t>What is working well</w:t>
      </w:r>
      <w:bookmarkEnd w:id="15"/>
    </w:p>
    <w:p w14:paraId="1AB314BC" w14:textId="77777777" w:rsidR="009623C1" w:rsidRDefault="009623C1" w:rsidP="009623C1">
      <w:pPr>
        <w:pStyle w:val="BodyText"/>
      </w:pPr>
      <w:r>
        <w:t xml:space="preserve">Participants identified what is currently working well in the care of people with dementia within residential and home care. </w:t>
      </w:r>
      <w:r w:rsidRPr="006872CE">
        <w:t xml:space="preserve">The key themes </w:t>
      </w:r>
      <w:r>
        <w:t xml:space="preserve">from these discussions are </w:t>
      </w:r>
      <w:r w:rsidRPr="006872CE">
        <w:t xml:space="preserve">identified </w:t>
      </w:r>
      <w:r>
        <w:t xml:space="preserve">below. It is important to note that when discussing what was working </w:t>
      </w:r>
      <w:proofErr w:type="gramStart"/>
      <w:r>
        <w:t>well,</w:t>
      </w:r>
      <w:proofErr w:type="gramEnd"/>
      <w:r>
        <w:t xml:space="preserve"> participants often identified associated challenges with that particular topic. Participants almost universally agreed that t</w:t>
      </w:r>
      <w:r w:rsidRPr="00C1523D">
        <w:t xml:space="preserve">he aged care </w:t>
      </w:r>
      <w:proofErr w:type="gramStart"/>
      <w:r w:rsidRPr="00C1523D">
        <w:t>sector</w:t>
      </w:r>
      <w:r>
        <w:t>’</w:t>
      </w:r>
      <w:r w:rsidRPr="00C1523D">
        <w:t>s understanding</w:t>
      </w:r>
      <w:proofErr w:type="gramEnd"/>
      <w:r w:rsidRPr="00C1523D">
        <w:t xml:space="preserve"> and </w:t>
      </w:r>
      <w:proofErr w:type="spellStart"/>
      <w:r w:rsidRPr="00C1523D">
        <w:t>destigmatisation</w:t>
      </w:r>
      <w:proofErr w:type="spellEnd"/>
      <w:r w:rsidRPr="00C1523D">
        <w:t xml:space="preserve"> of dementia </w:t>
      </w:r>
      <w:r>
        <w:t>is</w:t>
      </w:r>
      <w:r w:rsidRPr="00C1523D">
        <w:t xml:space="preserve"> improv</w:t>
      </w:r>
      <w:r>
        <w:t>ing but there is still room for further improvement</w:t>
      </w:r>
      <w:r w:rsidRPr="00C1523D">
        <w:t>.</w:t>
      </w:r>
    </w:p>
    <w:p w14:paraId="632F3C46" w14:textId="77777777" w:rsidR="009623C1" w:rsidRPr="009B71D2" w:rsidRDefault="009623C1" w:rsidP="0097264A">
      <w:pPr>
        <w:pStyle w:val="Heading3"/>
        <w:numPr>
          <w:ilvl w:val="0"/>
          <w:numId w:val="0"/>
        </w:numPr>
        <w:ind w:left="720" w:hanging="720"/>
      </w:pPr>
      <w:r w:rsidRPr="009B71D2">
        <w:t xml:space="preserve">A committed workforce </w:t>
      </w:r>
    </w:p>
    <w:p w14:paraId="26282A50" w14:textId="77777777" w:rsidR="009623C1" w:rsidRDefault="009623C1" w:rsidP="009623C1">
      <w:pPr>
        <w:pStyle w:val="BodyText"/>
      </w:pPr>
      <w:r>
        <w:t xml:space="preserve">The </w:t>
      </w:r>
      <w:r w:rsidRPr="001D0C18">
        <w:t xml:space="preserve">Australian </w:t>
      </w:r>
      <w:r>
        <w:t>aged</w:t>
      </w:r>
      <w:r w:rsidRPr="001D0C18">
        <w:t xml:space="preserve"> care workforce </w:t>
      </w:r>
      <w:r>
        <w:t xml:space="preserve">is </w:t>
      </w:r>
      <w:r w:rsidRPr="001D0C18">
        <w:t>comprise</w:t>
      </w:r>
      <w:r>
        <w:t>d</w:t>
      </w:r>
      <w:r w:rsidRPr="001D0C18">
        <w:t xml:space="preserve"> of workers with strong goodwill in delivering high quality care to their </w:t>
      </w:r>
      <w:r>
        <w:t>residents/clients</w:t>
      </w:r>
      <w:r w:rsidRPr="001D0C18">
        <w:t xml:space="preserve">. At the forefront of clinical </w:t>
      </w:r>
      <w:r>
        <w:t xml:space="preserve">and personal care, the aged care </w:t>
      </w:r>
      <w:proofErr w:type="gramStart"/>
      <w:r>
        <w:t>workforce</w:t>
      </w:r>
      <w:r w:rsidRPr="001D0C18">
        <w:t xml:space="preserve"> do</w:t>
      </w:r>
      <w:proofErr w:type="gramEnd"/>
      <w:r w:rsidRPr="001D0C18">
        <w:t xml:space="preserve"> their best to ensure that the best outcomes are achieved for their </w:t>
      </w:r>
      <w:r>
        <w:t>residents/clients</w:t>
      </w:r>
      <w:r w:rsidRPr="001D0C18">
        <w:t>.</w:t>
      </w:r>
      <w:r>
        <w:t xml:space="preserve"> This also extends to the leadership of many service providers who are committed to driving improved outcomes</w:t>
      </w:r>
      <w:r w:rsidR="000D151E">
        <w:t xml:space="preserve"> and trialling new approaches.</w:t>
      </w:r>
    </w:p>
    <w:p w14:paraId="6DEC1394" w14:textId="77777777" w:rsidR="009623C1" w:rsidRPr="009B71D2" w:rsidRDefault="009623C1" w:rsidP="0097264A">
      <w:pPr>
        <w:pStyle w:val="Heading3"/>
        <w:numPr>
          <w:ilvl w:val="0"/>
          <w:numId w:val="0"/>
        </w:numPr>
        <w:ind w:left="720" w:hanging="720"/>
      </w:pPr>
      <w:r w:rsidRPr="009B71D2">
        <w:t xml:space="preserve">Current support programs </w:t>
      </w:r>
    </w:p>
    <w:p w14:paraId="14B810C6" w14:textId="77777777" w:rsidR="009623C1" w:rsidRDefault="009623C1" w:rsidP="009623C1">
      <w:pPr>
        <w:pStyle w:val="BodyText"/>
      </w:pPr>
      <w:r>
        <w:t xml:space="preserve">Australia’s proactive and innovative approaches to improving dementia care were acknowledged, with participants recognising spending in dementia and development of programs had expanded significantly over the past two decades. However, it was identified that there is still a lot more improvement to be </w:t>
      </w:r>
      <w:proofErr w:type="gramStart"/>
      <w:r>
        <w:t>made,</w:t>
      </w:r>
      <w:proofErr w:type="gramEnd"/>
      <w:r>
        <w:t xml:space="preserve"> and that the focus and innovation has been fragmented and lacks any consistent direction. As a consequence, benefits of these innovations have not been widely shared across the aged care sector.</w:t>
      </w:r>
    </w:p>
    <w:p w14:paraId="74684714" w14:textId="77777777" w:rsidR="009623C1" w:rsidRDefault="009623C1" w:rsidP="009623C1">
      <w:pPr>
        <w:pStyle w:val="BodyText"/>
      </w:pPr>
      <w:r>
        <w:t xml:space="preserve">Amongst the strategies and initiatives that are currently funded by the Australian Government, a number were identified as working well within parts of the aged care sector. This included DBMAS and DTSCs, which are working well to support the delivery of appropriate care in residential aged care facilities. However, there are issues regarding effectiveness across the sector, and access, particularly in rural and remote areas. </w:t>
      </w:r>
    </w:p>
    <w:p w14:paraId="5F7BD196" w14:textId="77777777" w:rsidR="009623C1" w:rsidRDefault="009623C1" w:rsidP="009623C1">
      <w:pPr>
        <w:pStyle w:val="BodyText"/>
      </w:pPr>
      <w:r>
        <w:t>It was reported during the workshop that e</w:t>
      </w:r>
      <w:r w:rsidRPr="00970C45">
        <w:t>valuation feedback from DBMAS programs report improved staff capacity and confidence in managing clients with dementia</w:t>
      </w:r>
      <w:r>
        <w:t>. However, it was cautioned that programs such as DBMAS work best in an ongoing supporting role rather than as an emergency response</w:t>
      </w:r>
      <w:r w:rsidRPr="004A2487">
        <w:t xml:space="preserve"> </w:t>
      </w:r>
      <w:r>
        <w:t xml:space="preserve">mechanism to assist those with </w:t>
      </w:r>
      <w:r w:rsidRPr="00296825">
        <w:t xml:space="preserve">severe </w:t>
      </w:r>
      <w:r>
        <w:t>BPSD.</w:t>
      </w:r>
    </w:p>
    <w:p w14:paraId="2C244322" w14:textId="77777777" w:rsidR="009623C1" w:rsidRPr="0097264A" w:rsidRDefault="009623C1" w:rsidP="0097264A">
      <w:pPr>
        <w:pStyle w:val="Heading3"/>
        <w:numPr>
          <w:ilvl w:val="0"/>
          <w:numId w:val="0"/>
        </w:numPr>
        <w:ind w:left="720" w:hanging="720"/>
      </w:pPr>
      <w:r w:rsidRPr="009B71D2">
        <w:t>Training and education</w:t>
      </w:r>
    </w:p>
    <w:p w14:paraId="06302873" w14:textId="77777777" w:rsidR="009623C1" w:rsidRDefault="009623C1" w:rsidP="009623C1">
      <w:pPr>
        <w:pStyle w:val="BodyText"/>
      </w:pPr>
      <w:r>
        <w:t>Participants identified many high quality training and education opportunities currently available. Where these were implemented and applied well, it had a significant impact on wellbeing and care of people with dementia. However, several participants noted the education landscape was difficult to navigate, and there was a lack of formal recognition amongst participants around what was available.</w:t>
      </w:r>
    </w:p>
    <w:p w14:paraId="008C86FE" w14:textId="77777777" w:rsidR="009623C1" w:rsidRDefault="009623C1" w:rsidP="009623C1">
      <w:pPr>
        <w:pStyle w:val="BodyText"/>
      </w:pPr>
      <w:r>
        <w:t>As noted above, participants thought that training and education provided by DTSCs was of great assistance in improving the skills of staff working with people with dementia. Participants did, however, think that more work needed to be done, including by DTSCs, on disseminating and translating the lessons of research into practice.</w:t>
      </w:r>
    </w:p>
    <w:p w14:paraId="2A236F21" w14:textId="77777777" w:rsidR="009623C1" w:rsidRPr="009B71D2" w:rsidRDefault="009623C1" w:rsidP="0097264A">
      <w:pPr>
        <w:pStyle w:val="Heading3"/>
        <w:numPr>
          <w:ilvl w:val="0"/>
          <w:numId w:val="0"/>
        </w:numPr>
        <w:ind w:left="720" w:hanging="720"/>
      </w:pPr>
      <w:r w:rsidRPr="009B71D2">
        <w:lastRenderedPageBreak/>
        <w:t>Consumer-directed care</w:t>
      </w:r>
    </w:p>
    <w:p w14:paraId="2C6B08F3" w14:textId="77777777" w:rsidR="009623C1" w:rsidRDefault="009623C1" w:rsidP="009623C1">
      <w:pPr>
        <w:pStyle w:val="BodyText"/>
        <w:rPr>
          <w:szCs w:val="20"/>
        </w:rPr>
      </w:pPr>
      <w:r w:rsidRPr="000C4A73">
        <w:t xml:space="preserve">Consumer-directed care (CDC) is a way of delivering services that allow consumers to have greater control over their own lives by </w:t>
      </w:r>
      <w:r>
        <w:t>enabling</w:t>
      </w:r>
      <w:r w:rsidRPr="000C4A73">
        <w:t xml:space="preserve"> them to make choices about the types of care and services they access and the delivery of those services.</w:t>
      </w:r>
      <w:r w:rsidRPr="000C4A73">
        <w:rPr>
          <w:rStyle w:val="FootnoteReference"/>
        </w:rPr>
        <w:footnoteReference w:id="23"/>
      </w:r>
      <w:r w:rsidRPr="000C4A73">
        <w:t xml:space="preserve"> CDC packages</w:t>
      </w:r>
      <w:r>
        <w:t xml:space="preserve"> for home care</w:t>
      </w:r>
      <w:r w:rsidRPr="000C4A73">
        <w:t xml:space="preserve"> have been piloted by the </w:t>
      </w:r>
      <w:r>
        <w:t>Australian</w:t>
      </w:r>
      <w:r w:rsidRPr="000C4A73">
        <w:t xml:space="preserve"> </w:t>
      </w:r>
      <w:r>
        <w:t>G</w:t>
      </w:r>
      <w:r w:rsidRPr="000C4A73">
        <w:t>overnment and shown to have several positive impacts such as increased satisfaction amongst package recipients and their carers</w:t>
      </w:r>
      <w:r>
        <w:t>’</w:t>
      </w:r>
      <w:r w:rsidRPr="000C4A73">
        <w:t>.</w:t>
      </w:r>
      <w:r w:rsidRPr="000C4A73">
        <w:rPr>
          <w:rStyle w:val="FootnoteReference"/>
        </w:rPr>
        <w:footnoteReference w:id="24"/>
      </w:r>
      <w:r w:rsidRPr="000C4A73">
        <w:t xml:space="preserve"> </w:t>
      </w:r>
      <w:r w:rsidRPr="000C4A73">
        <w:rPr>
          <w:szCs w:val="20"/>
        </w:rPr>
        <w:t xml:space="preserve">CDC is currently being implemented for all </w:t>
      </w:r>
      <w:r>
        <w:rPr>
          <w:szCs w:val="20"/>
        </w:rPr>
        <w:t xml:space="preserve">new </w:t>
      </w:r>
      <w:r w:rsidRPr="000C4A73">
        <w:rPr>
          <w:szCs w:val="20"/>
        </w:rPr>
        <w:t xml:space="preserve">home care packages, commencing </w:t>
      </w:r>
      <w:r>
        <w:rPr>
          <w:szCs w:val="20"/>
        </w:rPr>
        <w:t>from</w:t>
      </w:r>
      <w:r w:rsidRPr="000C4A73">
        <w:rPr>
          <w:szCs w:val="20"/>
        </w:rPr>
        <w:t xml:space="preserve"> 1 July 2014 with existing packages being transferred to CDC on 1 July 2015. </w:t>
      </w:r>
      <w:r>
        <w:rPr>
          <w:szCs w:val="20"/>
        </w:rPr>
        <w:t xml:space="preserve">As part of its aged care reforms, the Australian Government has </w:t>
      </w:r>
      <w:r w:rsidRPr="000F6883">
        <w:rPr>
          <w:szCs w:val="20"/>
        </w:rPr>
        <w:t>announced that CDC</w:t>
      </w:r>
      <w:r>
        <w:rPr>
          <w:szCs w:val="20"/>
        </w:rPr>
        <w:t xml:space="preserve"> will be trialled </w:t>
      </w:r>
      <w:r w:rsidRPr="000F6883">
        <w:rPr>
          <w:szCs w:val="20"/>
        </w:rPr>
        <w:t>in residential care.</w:t>
      </w:r>
    </w:p>
    <w:p w14:paraId="21432DF4" w14:textId="77777777" w:rsidR="000C4A73" w:rsidRDefault="009623C1" w:rsidP="009623C1">
      <w:pPr>
        <w:pStyle w:val="BodyText"/>
      </w:pPr>
      <w:r>
        <w:rPr>
          <w:szCs w:val="20"/>
        </w:rPr>
        <w:t>Some participants</w:t>
      </w:r>
      <w:r w:rsidRPr="000C4A73">
        <w:rPr>
          <w:szCs w:val="20"/>
        </w:rPr>
        <w:t xml:space="preserve"> identified that home care packages delivered by CDC, where people with dementia (or their carers/legal guardians) can tailor their care to their personal needs, </w:t>
      </w:r>
      <w:r>
        <w:rPr>
          <w:szCs w:val="20"/>
        </w:rPr>
        <w:t>were</w:t>
      </w:r>
      <w:r w:rsidRPr="000C4A73">
        <w:rPr>
          <w:szCs w:val="20"/>
        </w:rPr>
        <w:t xml:space="preserve"> reported to be working well and delivering better outcomes for people with dementia.</w:t>
      </w:r>
    </w:p>
    <w:p w14:paraId="2946B967" w14:textId="77777777" w:rsidR="006A511D" w:rsidRDefault="006A511D" w:rsidP="002B4AE1">
      <w:pPr>
        <w:pStyle w:val="Heading2"/>
      </w:pPr>
      <w:bookmarkStart w:id="16" w:name="_Toc402530515"/>
      <w:r>
        <w:t>K</w:t>
      </w:r>
      <w:r w:rsidR="00CD0DBD">
        <w:t>ey c</w:t>
      </w:r>
      <w:r w:rsidR="00C644E3">
        <w:t>hallenges</w:t>
      </w:r>
      <w:bookmarkEnd w:id="16"/>
    </w:p>
    <w:p w14:paraId="194378C1" w14:textId="77777777" w:rsidR="009623C1" w:rsidRPr="00C644E3" w:rsidRDefault="009623C1" w:rsidP="009623C1">
      <w:pPr>
        <w:pStyle w:val="BodyText"/>
      </w:pPr>
      <w:r w:rsidRPr="00970C45">
        <w:t xml:space="preserve">Forum </w:t>
      </w:r>
      <w:r>
        <w:t>participants</w:t>
      </w:r>
      <w:r w:rsidRPr="00970C45">
        <w:t xml:space="preserve"> identified key challenges for the sector</w:t>
      </w:r>
      <w:r>
        <w:t xml:space="preserve"> in the provision of care for people with dementia within residential or home care. These are outlined below.</w:t>
      </w:r>
    </w:p>
    <w:p w14:paraId="4C7C3527" w14:textId="77777777" w:rsidR="009623C1" w:rsidRPr="009B71D2" w:rsidRDefault="009623C1" w:rsidP="0097264A">
      <w:pPr>
        <w:pStyle w:val="Heading3"/>
        <w:numPr>
          <w:ilvl w:val="0"/>
          <w:numId w:val="0"/>
        </w:numPr>
        <w:ind w:left="720" w:hanging="720"/>
      </w:pPr>
      <w:r w:rsidRPr="009B71D2">
        <w:t>Stigma and social attitudes</w:t>
      </w:r>
    </w:p>
    <w:p w14:paraId="541001BB" w14:textId="77777777" w:rsidR="009623C1" w:rsidRDefault="009623C1" w:rsidP="009623C1">
      <w:pPr>
        <w:pStyle w:val="BodyText"/>
      </w:pPr>
      <w:r w:rsidRPr="000C1AFE">
        <w:t xml:space="preserve">Dementia is a social as well as a medical condition. </w:t>
      </w:r>
      <w:r>
        <w:t>People living with dementia frequently observe that from the moment of diagnosis they have experienced social isolation and stigma. It was noted at the forum that while society generally supports people who suffer other debilitating diseases in their attempts to return to their normal lives, the attitude towards people with dementia is often not as supportive. This issue ties in with the need to build dementia friendly communities that are more accommodating to the greater difficulties faced by people with dementia living in the community.</w:t>
      </w:r>
    </w:p>
    <w:p w14:paraId="051F3BF4" w14:textId="77777777" w:rsidR="009623C1" w:rsidRPr="009B71D2" w:rsidRDefault="009623C1" w:rsidP="0097264A">
      <w:pPr>
        <w:pStyle w:val="Heading3"/>
        <w:numPr>
          <w:ilvl w:val="0"/>
          <w:numId w:val="0"/>
        </w:numPr>
        <w:ind w:left="720" w:hanging="720"/>
      </w:pPr>
      <w:r w:rsidRPr="009B71D2">
        <w:t>Consumer engagement</w:t>
      </w:r>
    </w:p>
    <w:p w14:paraId="1A4BAB07" w14:textId="77777777" w:rsidR="009623C1" w:rsidRDefault="009623C1" w:rsidP="009623C1">
      <w:pPr>
        <w:pStyle w:val="BodyText"/>
      </w:pPr>
      <w:r>
        <w:t>One of the key issues identified at the forum was the lack of consumer engagement on decision making within dementia care. P</w:t>
      </w:r>
      <w:r w:rsidRPr="00BE33E5">
        <w:t>eople with dementi</w:t>
      </w:r>
      <w:r>
        <w:t xml:space="preserve">a are often not consulted in the design and implementation of policy initiatives. </w:t>
      </w:r>
      <w:r w:rsidRPr="00CF6BA1">
        <w:t>Another challenge is that dementia is an umbrella term for a wide range of diseases with the consequence that the experience of dementia varies widely, both from person to person and as the disease progresses.</w:t>
      </w:r>
      <w:r>
        <w:t xml:space="preserve"> </w:t>
      </w:r>
    </w:p>
    <w:p w14:paraId="63ECE589" w14:textId="77777777" w:rsidR="009623C1" w:rsidRPr="009B71D2" w:rsidRDefault="009623C1" w:rsidP="0097264A">
      <w:pPr>
        <w:pStyle w:val="Heading3"/>
        <w:numPr>
          <w:ilvl w:val="0"/>
          <w:numId w:val="0"/>
        </w:numPr>
        <w:ind w:left="720" w:hanging="720"/>
      </w:pPr>
      <w:r w:rsidRPr="009B71D2">
        <w:t>Consumer choice</w:t>
      </w:r>
    </w:p>
    <w:p w14:paraId="122EA93D" w14:textId="77777777" w:rsidR="009623C1" w:rsidRDefault="009623C1" w:rsidP="009623C1">
      <w:pPr>
        <w:pStyle w:val="BodyText"/>
      </w:pPr>
      <w:r>
        <w:t xml:space="preserve">Participants thought that more information for people with dementia and their carers about the services offered by different aged care providers would be helpful. It was thought that the information being provided on the </w:t>
      </w:r>
      <w:proofErr w:type="spellStart"/>
      <w:r>
        <w:t>MyAgedCare</w:t>
      </w:r>
      <w:proofErr w:type="spellEnd"/>
      <w:r>
        <w:t xml:space="preserve"> website was a good step in the right direction, and </w:t>
      </w:r>
      <w:r>
        <w:lastRenderedPageBreak/>
        <w:t>something similar providing information on home care providers would be useful. It was also noted that geographic location (close to family and friends) remained the key determinant for many people when choosing residential care. Additionally, there was support from participants for trialling models of respite care funding following the care recipient rather than being allocated to providers.</w:t>
      </w:r>
    </w:p>
    <w:p w14:paraId="231F554A" w14:textId="77777777" w:rsidR="009623C1" w:rsidRPr="009B71D2" w:rsidRDefault="009623C1" w:rsidP="0097264A">
      <w:pPr>
        <w:pStyle w:val="Heading3"/>
        <w:numPr>
          <w:ilvl w:val="0"/>
          <w:numId w:val="0"/>
        </w:numPr>
        <w:ind w:left="720" w:hanging="720"/>
      </w:pPr>
      <w:r w:rsidRPr="009B71D2">
        <w:t xml:space="preserve">Increased competition </w:t>
      </w:r>
    </w:p>
    <w:p w14:paraId="0417C058" w14:textId="77777777" w:rsidR="009623C1" w:rsidRDefault="009623C1" w:rsidP="009623C1">
      <w:pPr>
        <w:pStyle w:val="BodyText"/>
      </w:pPr>
      <w:r>
        <w:t>Participants thought that increased</w:t>
      </w:r>
      <w:r w:rsidRPr="004C782D">
        <w:t xml:space="preserve"> competition</w:t>
      </w:r>
      <w:r>
        <w:t xml:space="preserve"> amongst service providers would </w:t>
      </w:r>
      <w:r w:rsidRPr="004C782D">
        <w:t xml:space="preserve">increase </w:t>
      </w:r>
      <w:r>
        <w:t>the sector’s effectiveness in providing quality dementia care.</w:t>
      </w:r>
      <w:r w:rsidRPr="004C782D">
        <w:t xml:space="preserve"> </w:t>
      </w:r>
    </w:p>
    <w:p w14:paraId="1E3A95E3" w14:textId="77777777" w:rsidR="009623C1" w:rsidRPr="009B71D2" w:rsidRDefault="009623C1" w:rsidP="0097264A">
      <w:pPr>
        <w:pStyle w:val="Heading3"/>
        <w:numPr>
          <w:ilvl w:val="0"/>
          <w:numId w:val="0"/>
        </w:numPr>
        <w:ind w:left="720" w:hanging="720"/>
      </w:pPr>
      <w:r w:rsidRPr="009B71D2">
        <w:t>Unmet needs</w:t>
      </w:r>
    </w:p>
    <w:p w14:paraId="4894D57E" w14:textId="77777777" w:rsidR="009623C1" w:rsidRDefault="009623C1" w:rsidP="009623C1">
      <w:pPr>
        <w:pStyle w:val="BodyText"/>
      </w:pPr>
      <w:r>
        <w:t xml:space="preserve">Participants called for increased recognition that unmet need is an underlying cause of some people’s BPSD, including severe BPSD. Recognition of the reversibility of many symptoms and behaviours, and a shift in thinking in identifying triggers and contributing factors towards a person’s behaviour were raised during the discussions. Some people’s behaviours can be triggered by specific issues such as pain, food allergies, </w:t>
      </w:r>
      <w:proofErr w:type="gramStart"/>
      <w:r w:rsidRPr="00E5417D">
        <w:t>catastrophic</w:t>
      </w:r>
      <w:proofErr w:type="gramEnd"/>
      <w:r w:rsidRPr="00E5417D">
        <w:t xml:space="preserve"> events</w:t>
      </w:r>
      <w:r>
        <w:t xml:space="preserve"> and so on. Addressing these issues can lead to reductions in</w:t>
      </w:r>
      <w:r w:rsidRPr="00E5417D">
        <w:t xml:space="preserve"> the incidence of </w:t>
      </w:r>
      <w:r>
        <w:t xml:space="preserve">severe behaviour </w:t>
      </w:r>
      <w:r w:rsidRPr="00E5417D">
        <w:t>and the need for physical or chemical restraint</w:t>
      </w:r>
      <w:r>
        <w:t>. Participants thought that identifying and addressing unmet needs would improve dementia care across the sector.</w:t>
      </w:r>
    </w:p>
    <w:p w14:paraId="10CF2D2D" w14:textId="77777777" w:rsidR="009623C1" w:rsidRPr="009B71D2" w:rsidRDefault="009623C1" w:rsidP="0097264A">
      <w:pPr>
        <w:pStyle w:val="Heading3"/>
        <w:numPr>
          <w:ilvl w:val="0"/>
          <w:numId w:val="0"/>
        </w:numPr>
        <w:ind w:left="720" w:hanging="720"/>
      </w:pPr>
      <w:r w:rsidRPr="009B71D2">
        <w:t>Specialised support</w:t>
      </w:r>
    </w:p>
    <w:p w14:paraId="7704C81F" w14:textId="77777777" w:rsidR="009623C1" w:rsidRDefault="009623C1" w:rsidP="009623C1">
      <w:pPr>
        <w:pStyle w:val="BodyText"/>
      </w:pPr>
      <w:r>
        <w:t xml:space="preserve">A lack of specialised support was identified as a significant problem by most forum participants. Providers often had challenges in accessing support for people with severe BPSD and/or had challenges in implementing strategies to support people with severe BPSD. The use of dementia </w:t>
      </w:r>
      <w:r w:rsidRPr="00554F36">
        <w:t xml:space="preserve">specific units </w:t>
      </w:r>
      <w:r>
        <w:t>and</w:t>
      </w:r>
      <w:r w:rsidRPr="00554F36">
        <w:t xml:space="preserve"> </w:t>
      </w:r>
      <w:r>
        <w:t>‘flying squads’ to complement DBMAS in supporting aged care homes to provide appropriate care was considered a good idea. Special support service</w:t>
      </w:r>
      <w:r w:rsidRPr="00554F36">
        <w:t xml:space="preserve"> models </w:t>
      </w:r>
      <w:r>
        <w:t xml:space="preserve">could be </w:t>
      </w:r>
      <w:r w:rsidRPr="00554F36">
        <w:t>geriatri</w:t>
      </w:r>
      <w:r>
        <w:t xml:space="preserve">cian, GP or nurse </w:t>
      </w:r>
      <w:proofErr w:type="gramStart"/>
      <w:r>
        <w:t>practitioner led,</w:t>
      </w:r>
      <w:r w:rsidRPr="00554F36">
        <w:t xml:space="preserve"> </w:t>
      </w:r>
      <w:r>
        <w:t xml:space="preserve">and </w:t>
      </w:r>
      <w:r w:rsidRPr="00554F36">
        <w:t>involve</w:t>
      </w:r>
      <w:proofErr w:type="gramEnd"/>
      <w:r w:rsidRPr="00554F36">
        <w:t xml:space="preserve"> specialised assessment and</w:t>
      </w:r>
      <w:r>
        <w:t xml:space="preserve"> multidisciplinary input. These models</w:t>
      </w:r>
      <w:r w:rsidRPr="00554F36">
        <w:t xml:space="preserve"> could be applied both to the re</w:t>
      </w:r>
      <w:r>
        <w:t xml:space="preserve">sidential and home care domains and were considered to be highly effective where available. </w:t>
      </w:r>
    </w:p>
    <w:p w14:paraId="0D7E56FC" w14:textId="77777777" w:rsidR="009623C1" w:rsidRPr="0097264A" w:rsidRDefault="009623C1" w:rsidP="0097264A">
      <w:pPr>
        <w:pStyle w:val="Heading3"/>
        <w:numPr>
          <w:ilvl w:val="0"/>
          <w:numId w:val="0"/>
        </w:numPr>
        <w:ind w:left="720" w:hanging="720"/>
      </w:pPr>
      <w:r w:rsidRPr="009B71D2">
        <w:t xml:space="preserve">Reach and </w:t>
      </w:r>
      <w:r w:rsidRPr="0097264A">
        <w:t xml:space="preserve">variability of support services </w:t>
      </w:r>
    </w:p>
    <w:p w14:paraId="42DBAFA1" w14:textId="77777777" w:rsidR="009623C1" w:rsidRDefault="009623C1" w:rsidP="009623C1">
      <w:pPr>
        <w:pStyle w:val="BodyText"/>
      </w:pPr>
      <w:r>
        <w:t xml:space="preserve">Despite positive attitudes towards DBMAS participants thought that its reach was limited, particularly after hours and in rural and remote areas where it was reported there were significant challenges in accessing its services. It was reported that people with dementia and severe BPSD were often relocating to different geographic areas due to an inability to access sufficient support in their own communities. This created considerable difficulties for the person with dementia and their </w:t>
      </w:r>
      <w:proofErr w:type="spellStart"/>
      <w:r>
        <w:t>carers</w:t>
      </w:r>
      <w:proofErr w:type="spellEnd"/>
      <w:r>
        <w:t xml:space="preserve">. </w:t>
      </w:r>
    </w:p>
    <w:p w14:paraId="00ED822B" w14:textId="77777777" w:rsidR="009623C1" w:rsidRDefault="009623C1" w:rsidP="009623C1">
      <w:pPr>
        <w:pStyle w:val="BodyText"/>
      </w:pPr>
      <w:r>
        <w:t xml:space="preserve">Participants also made similar observations concerning inconsistent reach and service provision for DTSCs across jurisdictions and expressed a desire for greater national consistency. It was also suggested that there could be greater collaboration between DBMAS and DTSCs to increase the level of specialist support available to individuals and service providers. </w:t>
      </w:r>
      <w:r w:rsidRPr="00C033A6">
        <w:t xml:space="preserve"> </w:t>
      </w:r>
    </w:p>
    <w:p w14:paraId="32A75475" w14:textId="77777777" w:rsidR="009623C1" w:rsidRPr="0097264A" w:rsidRDefault="00291383" w:rsidP="0097264A">
      <w:pPr>
        <w:pStyle w:val="Heading3"/>
        <w:numPr>
          <w:ilvl w:val="0"/>
          <w:numId w:val="0"/>
        </w:numPr>
        <w:ind w:left="720" w:hanging="720"/>
      </w:pPr>
      <w:r w:rsidRPr="009B71D2">
        <w:t>Access</w:t>
      </w:r>
      <w:r w:rsidR="009623C1" w:rsidRPr="0097264A">
        <w:t xml:space="preserve">  </w:t>
      </w:r>
    </w:p>
    <w:p w14:paraId="585FE61E" w14:textId="77777777" w:rsidR="00291383" w:rsidRDefault="00291383" w:rsidP="00291383">
      <w:pPr>
        <w:pStyle w:val="BodyText"/>
      </w:pPr>
      <w:r>
        <w:t>It was acknowledged at the forum that people with dementia exhibiting severe behaviours may also be affected by other compounding factors such as homelessness which may further adversely affect their ability to access appropriate care.</w:t>
      </w:r>
    </w:p>
    <w:p w14:paraId="720BFB87" w14:textId="77777777" w:rsidR="00291383" w:rsidRDefault="00291383" w:rsidP="00291383">
      <w:pPr>
        <w:pStyle w:val="BodyText"/>
      </w:pPr>
    </w:p>
    <w:p w14:paraId="50BD5E7B" w14:textId="77777777" w:rsidR="009623C1" w:rsidRDefault="00291383" w:rsidP="00291383">
      <w:pPr>
        <w:pStyle w:val="BodyText"/>
      </w:pPr>
      <w:r>
        <w:t>Some participants also reported that ACATs/ACAS are hard to access, particularly for younger people with dementia, unless there is a crisis</w:t>
      </w:r>
      <w:r w:rsidR="009623C1">
        <w:t>.</w:t>
      </w:r>
    </w:p>
    <w:p w14:paraId="0BDE7904" w14:textId="77777777" w:rsidR="009623C1" w:rsidRPr="009B71D2" w:rsidRDefault="009623C1" w:rsidP="0097264A">
      <w:pPr>
        <w:pStyle w:val="Heading3"/>
        <w:numPr>
          <w:ilvl w:val="0"/>
          <w:numId w:val="0"/>
        </w:numPr>
        <w:ind w:left="720" w:hanging="720"/>
      </w:pPr>
      <w:r w:rsidRPr="009B71D2">
        <w:t>Education and training</w:t>
      </w:r>
    </w:p>
    <w:p w14:paraId="70D54A3E" w14:textId="77777777" w:rsidR="009623C1" w:rsidRDefault="009623C1" w:rsidP="009623C1">
      <w:pPr>
        <w:pStyle w:val="BodyText"/>
      </w:pPr>
      <w:r>
        <w:t xml:space="preserve">An appropriately skilled and empowered workforce is required in order to proactively identify and respond to an individual’s symptoms as a consequence of their unmet needs. </w:t>
      </w:r>
      <w:r w:rsidRPr="0036399E">
        <w:t xml:space="preserve">It was noted that there is currently </w:t>
      </w:r>
      <w:r>
        <w:t xml:space="preserve">a perceived </w:t>
      </w:r>
      <w:r w:rsidRPr="0036399E">
        <w:t xml:space="preserve">lack of structure around training </w:t>
      </w:r>
      <w:r>
        <w:t>and knowledge dissemination</w:t>
      </w:r>
      <w:r w:rsidRPr="0036399E">
        <w:t xml:space="preserve"> in dementia care.</w:t>
      </w:r>
      <w:r>
        <w:t xml:space="preserve"> As identified previously there are significant benefits from training, and there are plenty of opportunities available for education and skills enhancement within dementia and severe BPSD, including training provided by DTSCs. However, there is currently no consistent national approach to this and it can be difficult to navigate.</w:t>
      </w:r>
    </w:p>
    <w:p w14:paraId="418E2AC7" w14:textId="77777777" w:rsidR="009623C1" w:rsidRDefault="009623C1" w:rsidP="009623C1">
      <w:pPr>
        <w:pStyle w:val="BodyText"/>
      </w:pPr>
      <w:r>
        <w:t xml:space="preserve">Participants expressed that </w:t>
      </w:r>
      <w:r w:rsidRPr="0036399E">
        <w:t xml:space="preserve">parts of the </w:t>
      </w:r>
      <w:r>
        <w:t xml:space="preserve">sector still had not completely embraced the aim of </w:t>
      </w:r>
      <w:r w:rsidRPr="0036399E">
        <w:t xml:space="preserve">integrating dementia care </w:t>
      </w:r>
      <w:r>
        <w:t xml:space="preserve">as part of the ‘core business’ of the sector. There is also a need to create </w:t>
      </w:r>
      <w:r w:rsidRPr="0036399E">
        <w:t xml:space="preserve">subspecialisation within the usual workforce </w:t>
      </w:r>
      <w:r>
        <w:t xml:space="preserve">within </w:t>
      </w:r>
      <w:r w:rsidRPr="0036399E">
        <w:t xml:space="preserve">aged care organisations. </w:t>
      </w:r>
      <w:r>
        <w:t>This</w:t>
      </w:r>
      <w:r w:rsidRPr="0036399E">
        <w:t xml:space="preserve"> will help ensure both early intervention and follow-up, as well as sustained application of recommendations and ability to evaluate outcomes and modify treatment plans accordingly.</w:t>
      </w:r>
    </w:p>
    <w:p w14:paraId="060BF0AF" w14:textId="77777777" w:rsidR="009623C1" w:rsidRPr="0097264A" w:rsidRDefault="009623C1" w:rsidP="0097264A">
      <w:pPr>
        <w:pStyle w:val="Heading3"/>
        <w:numPr>
          <w:ilvl w:val="0"/>
          <w:numId w:val="0"/>
        </w:numPr>
        <w:ind w:left="720" w:hanging="720"/>
      </w:pPr>
      <w:r w:rsidRPr="009B71D2">
        <w:t xml:space="preserve">Accreditation and quality of life indicators  </w:t>
      </w:r>
    </w:p>
    <w:p w14:paraId="131D1BA1" w14:textId="77777777" w:rsidR="009623C1" w:rsidRDefault="009623C1" w:rsidP="009623C1">
      <w:pPr>
        <w:pStyle w:val="BodyText"/>
      </w:pPr>
      <w:r>
        <w:t xml:space="preserve">Participants expressed concern over the extent to which the accreditation process ensures quality of life for residents with dementia and </w:t>
      </w:r>
      <w:r w:rsidRPr="00296825">
        <w:t xml:space="preserve">severe </w:t>
      </w:r>
      <w:r>
        <w:t xml:space="preserve">BPSD. While participants recognised the value of quality standards and the need for accreditation, there was a view that there should be an increased focus on quality of life issues including through quality indicators.  </w:t>
      </w:r>
    </w:p>
    <w:p w14:paraId="5EB9AFDA" w14:textId="77777777" w:rsidR="009623C1" w:rsidRDefault="009623C1" w:rsidP="009623C1">
      <w:pPr>
        <w:pStyle w:val="BodyText"/>
      </w:pPr>
      <w:r>
        <w:t xml:space="preserve">Also, some participants thought there was scope to make the complaints system more user friendly for people with dementia and their families. </w:t>
      </w:r>
    </w:p>
    <w:p w14:paraId="149C1929" w14:textId="77777777" w:rsidR="009623C1" w:rsidRPr="0097264A" w:rsidRDefault="009623C1" w:rsidP="0097264A">
      <w:pPr>
        <w:pStyle w:val="Heading3"/>
        <w:numPr>
          <w:ilvl w:val="0"/>
          <w:numId w:val="0"/>
        </w:numPr>
        <w:ind w:left="720" w:hanging="720"/>
      </w:pPr>
      <w:r w:rsidRPr="009B71D2">
        <w:t>Funding</w:t>
      </w:r>
    </w:p>
    <w:p w14:paraId="437E0100" w14:textId="77777777" w:rsidR="009623C1" w:rsidRDefault="009623C1" w:rsidP="009623C1">
      <w:pPr>
        <w:pStyle w:val="BodyText"/>
      </w:pPr>
      <w:r>
        <w:t xml:space="preserve">There were mixed views around ACFI. Some participants would prefer block funding models, while others felt the concept of distributing funding on the basis of needs was positive and that ACFI, although not a perfect system, went some of the way to achieving this end. There was support for ACFI to be included within a review of current dementia </w:t>
      </w:r>
      <w:proofErr w:type="gramStart"/>
      <w:r w:rsidRPr="0099235A">
        <w:t>initiatives</w:t>
      </w:r>
      <w:r>
        <w:t>,</w:t>
      </w:r>
      <w:proofErr w:type="gramEnd"/>
      <w:r>
        <w:t xml:space="preserve"> however, this issue was outside the scope of the forum.</w:t>
      </w:r>
    </w:p>
    <w:p w14:paraId="53F9454D" w14:textId="77777777" w:rsidR="009623C1" w:rsidRDefault="005F093C" w:rsidP="009623C1">
      <w:pPr>
        <w:pStyle w:val="BodyText"/>
      </w:pPr>
      <w:r>
        <w:t xml:space="preserve">Leading Age Services Australia (LASA) acknowledged that the options recommended in the Report are a reflection of the discussions at the Dementia Forum.  LASA representatives noted that in their view the options recommended in the report have the potential to divert the Dementia and Severe Behaviour Supplement (DSBS) into support programs that will not deliver an immediate outcome for residents currently requiring care, or for service providers who are stretched, when attempting to maintain a person in the current service without the DSBS that was previously provided to assist with additional resources for people with very severe behaviours of dementia.  In LASA's view the removal of the supplement from residential aged care placed considerable stress on the sector and they would like the supplement funding reactivated in some form for the individual consumer and/or service provider. This was not the consensus </w:t>
      </w:r>
      <w:proofErr w:type="gramStart"/>
      <w:r>
        <w:t>view expressed</w:t>
      </w:r>
      <w:proofErr w:type="gramEnd"/>
      <w:r>
        <w:t xml:space="preserve"> by the forum nor endorsed by the working group.</w:t>
      </w:r>
    </w:p>
    <w:p w14:paraId="1CE46ED2" w14:textId="77777777" w:rsidR="00F778D1" w:rsidRDefault="0052566B" w:rsidP="009623C1">
      <w:pPr>
        <w:pStyle w:val="BodyText"/>
      </w:pPr>
      <w:r w:rsidRPr="0052566B">
        <w:t xml:space="preserve">Many participants also expressed a strong preference for funding to follow the consumer through their care journey, as will occur with the National Disability Insurance Scheme, rather than going to </w:t>
      </w:r>
      <w:r w:rsidRPr="0052566B">
        <w:lastRenderedPageBreak/>
        <w:t xml:space="preserve">the service provider as currently occurs in aged care. Additionally, there was support for a greater focus on </w:t>
      </w:r>
      <w:proofErr w:type="spellStart"/>
      <w:r w:rsidRPr="0052566B">
        <w:t>reablement</w:t>
      </w:r>
      <w:proofErr w:type="spellEnd"/>
      <w:r w:rsidRPr="0052566B">
        <w:t xml:space="preserve"> and minimising functional decline within the funding system. These issues were, however, also outside the scope of the forum and beyond the funding envelope</w:t>
      </w:r>
      <w:r w:rsidR="009623C1">
        <w:t>.</w:t>
      </w:r>
    </w:p>
    <w:p w14:paraId="027C2B96" w14:textId="77777777" w:rsidR="0058569E" w:rsidRPr="006D291B" w:rsidRDefault="00085F80" w:rsidP="002B4AE1">
      <w:pPr>
        <w:pStyle w:val="Heading1"/>
      </w:pPr>
      <w:bookmarkStart w:id="17" w:name="_Toc400803963"/>
      <w:bookmarkStart w:id="18" w:name="_Toc402530516"/>
      <w:bookmarkEnd w:id="17"/>
      <w:r w:rsidRPr="006D291B">
        <w:lastRenderedPageBreak/>
        <w:t>Options</w:t>
      </w:r>
      <w:bookmarkEnd w:id="18"/>
    </w:p>
    <w:p w14:paraId="70A0BCEE" w14:textId="77777777" w:rsidR="0052566B" w:rsidRDefault="0052566B" w:rsidP="0052566B">
      <w:pPr>
        <w:pStyle w:val="BodyText"/>
      </w:pPr>
      <w:r>
        <w:t>Throughout the forum, participants were not only asked to identify what is currently working well and what needs to be improved in the provision of dementia care both in residential aged care and home care, but to also identify potential solutions to the issues raised within the current funding envelope. The solutions were to take the form of policy options to address the care needs of people with dementia and those experiencing severe BPSD within the funding envelope, particularly within residential care. Participants were also provided with the opportunity to submit potential reform options to the consultants following the forum.</w:t>
      </w:r>
    </w:p>
    <w:p w14:paraId="617CF371" w14:textId="77777777" w:rsidR="0052566B" w:rsidRDefault="0052566B" w:rsidP="0052566B">
      <w:pPr>
        <w:pStyle w:val="BodyText"/>
      </w:pPr>
      <w:r>
        <w:t xml:space="preserve">The potential options for reform covered a wide range of topics including consumer engagement; education and training; unmet needs; specialised support; accreditation; and funding. Further consideration will be required to determine the exact formulation of each option, the funding requirements, and implementation timing. The level of support for each of these options differed considerably with broad consensus around some potential options and less consensus around some others. This is not to say that the options that were not supported as widely are not worthy of further consideration.  </w:t>
      </w:r>
    </w:p>
    <w:p w14:paraId="11942612" w14:textId="77777777" w:rsidR="00085628" w:rsidRDefault="0052566B" w:rsidP="0052566B">
      <w:pPr>
        <w:pStyle w:val="BodyText"/>
      </w:pPr>
      <w:r>
        <w:t>The options presented below were considered by participants to improve the provision of dementia care both in residential aged care and home care, although some options are beyond the funding envelope and therefore would not be in scope. The table below indicates which of the four forum objectives below are satisfied by each policy option</w:t>
      </w:r>
      <w:r w:rsidR="00085628">
        <w:t>:</w:t>
      </w:r>
      <w:r w:rsidR="002277C5" w:rsidRPr="00F043C2">
        <w:t xml:space="preserve"> </w:t>
      </w:r>
    </w:p>
    <w:p w14:paraId="7B854937" w14:textId="77777777" w:rsidR="00085628" w:rsidRPr="009101CD" w:rsidRDefault="00085628" w:rsidP="0052566B">
      <w:pPr>
        <w:pStyle w:val="ListBullet"/>
      </w:pPr>
      <w:r w:rsidRPr="009101CD">
        <w:rPr>
          <w:b/>
        </w:rPr>
        <w:t xml:space="preserve">Objective one: </w:t>
      </w:r>
      <w:r w:rsidR="0052566B" w:rsidRPr="0052566B">
        <w:t>improve and promote the wider adoption of better practice care and support of people with dementia within the aged care system both in residential care and care and support in the home</w:t>
      </w:r>
      <w:r w:rsidRPr="009101CD">
        <w:t>.</w:t>
      </w:r>
    </w:p>
    <w:p w14:paraId="4356CA87" w14:textId="77777777" w:rsidR="00085628" w:rsidRPr="009101CD" w:rsidRDefault="00085628" w:rsidP="00085628">
      <w:pPr>
        <w:pStyle w:val="ListBullet"/>
      </w:pPr>
      <w:r w:rsidRPr="009101CD">
        <w:rPr>
          <w:b/>
        </w:rPr>
        <w:t xml:space="preserve">Objective two: </w:t>
      </w:r>
      <w:r w:rsidRPr="009101CD">
        <w:t>consider effective models of care and support for people with severe BPSD and dementia within the aged care system, both in residential care and care and support in the home, and examine ways to promote them.</w:t>
      </w:r>
    </w:p>
    <w:p w14:paraId="73A46725" w14:textId="77777777" w:rsidR="00085628" w:rsidRPr="009101CD" w:rsidRDefault="00085628" w:rsidP="00085628">
      <w:pPr>
        <w:pStyle w:val="ListBullet"/>
      </w:pPr>
      <w:r w:rsidRPr="009101CD">
        <w:rPr>
          <w:b/>
        </w:rPr>
        <w:t xml:space="preserve">Objective three: </w:t>
      </w:r>
      <w:r w:rsidRPr="009101CD">
        <w:t xml:space="preserve">explore strategies that facilitate and consolidate dementia care as ‘core </w:t>
      </w:r>
      <w:proofErr w:type="gramStart"/>
      <w:r w:rsidRPr="009101CD">
        <w:t>business’</w:t>
      </w:r>
      <w:proofErr w:type="gramEnd"/>
      <w:r w:rsidRPr="009101CD">
        <w:t xml:space="preserve"> for all aged care services.</w:t>
      </w:r>
    </w:p>
    <w:p w14:paraId="0515E8F0" w14:textId="77777777" w:rsidR="00085628" w:rsidRPr="00085628" w:rsidRDefault="00085628" w:rsidP="00085628">
      <w:pPr>
        <w:pStyle w:val="ListBullet"/>
        <w:rPr>
          <w:b/>
        </w:rPr>
      </w:pPr>
      <w:r w:rsidRPr="009101CD">
        <w:rPr>
          <w:b/>
        </w:rPr>
        <w:t xml:space="preserve">Objective four: </w:t>
      </w:r>
      <w:r w:rsidRPr="00085628">
        <w:t>explore models of care that provide timely and cost effective specialised support for care of people with dementia with complex needs or severe BPSD, including for particular populations with special needs.</w:t>
      </w:r>
    </w:p>
    <w:p w14:paraId="3495E148" w14:textId="77777777" w:rsidR="00085628" w:rsidRDefault="00085628">
      <w:pPr>
        <w:spacing w:line="240" w:lineRule="auto"/>
        <w:rPr>
          <w:bCs/>
          <w:i/>
        </w:rPr>
      </w:pPr>
      <w:r>
        <w:rPr>
          <w:bCs/>
          <w:i/>
        </w:rPr>
        <w:br w:type="page"/>
      </w:r>
    </w:p>
    <w:p w14:paraId="74F0536E" w14:textId="77777777" w:rsidR="00655575" w:rsidRPr="00BB7AFC" w:rsidRDefault="00387F06" w:rsidP="00BB7AFC">
      <w:pPr>
        <w:keepNext/>
        <w:spacing w:before="120"/>
        <w:rPr>
          <w:bCs/>
          <w:i/>
        </w:rPr>
      </w:pPr>
      <w:r w:rsidRPr="00F043C2">
        <w:rPr>
          <w:bCs/>
          <w:i/>
        </w:rPr>
        <w:lastRenderedPageBreak/>
        <w:t>Table 1: Outcomes of policy options compared to the Ministerial Dementia Forum objectives</w:t>
      </w:r>
    </w:p>
    <w:tbl>
      <w:tblPr>
        <w:tblStyle w:val="TableGrid"/>
        <w:tblW w:w="0" w:type="auto"/>
        <w:tblLook w:val="04A0" w:firstRow="1" w:lastRow="0" w:firstColumn="1" w:lastColumn="0" w:noHBand="0" w:noVBand="1"/>
        <w:tblDescription w:val="Outcomes of policy options compared to the Ministerial Dementia Forum objectives"/>
      </w:tblPr>
      <w:tblGrid>
        <w:gridCol w:w="1699"/>
        <w:gridCol w:w="1699"/>
        <w:gridCol w:w="1699"/>
        <w:gridCol w:w="1699"/>
        <w:gridCol w:w="1699"/>
      </w:tblGrid>
      <w:tr w:rsidR="00655575" w14:paraId="7F8E8C6D" w14:textId="77777777" w:rsidTr="0059201E">
        <w:trPr>
          <w:tblHeader/>
        </w:trPr>
        <w:tc>
          <w:tcPr>
            <w:tcW w:w="1699" w:type="dxa"/>
            <w:shd w:val="clear" w:color="auto" w:fill="0070C0"/>
          </w:tcPr>
          <w:p w14:paraId="42BD9FB7" w14:textId="77777777" w:rsidR="00655575" w:rsidRPr="00387F06" w:rsidRDefault="00655575" w:rsidP="006D2D80">
            <w:pPr>
              <w:pStyle w:val="Tableheading0"/>
            </w:pPr>
            <w:r w:rsidRPr="00387F06">
              <w:t>Strategy</w:t>
            </w:r>
          </w:p>
        </w:tc>
        <w:tc>
          <w:tcPr>
            <w:tcW w:w="1699" w:type="dxa"/>
            <w:shd w:val="clear" w:color="auto" w:fill="0070C0"/>
          </w:tcPr>
          <w:p w14:paraId="7FA519F3" w14:textId="77777777" w:rsidR="00655575" w:rsidRPr="00387F06" w:rsidRDefault="00733BC5" w:rsidP="00733BC5">
            <w:pPr>
              <w:pStyle w:val="Tableheading0"/>
            </w:pPr>
            <w:r w:rsidRPr="00387F06">
              <w:t>Objective One</w:t>
            </w:r>
          </w:p>
        </w:tc>
        <w:tc>
          <w:tcPr>
            <w:tcW w:w="1699" w:type="dxa"/>
            <w:shd w:val="clear" w:color="auto" w:fill="0070C0"/>
          </w:tcPr>
          <w:p w14:paraId="7BE183BF" w14:textId="77777777" w:rsidR="00655575" w:rsidRPr="00387F06" w:rsidRDefault="00733BC5" w:rsidP="00733BC5">
            <w:pPr>
              <w:pStyle w:val="Tableheading0"/>
            </w:pPr>
            <w:r w:rsidRPr="00387F06">
              <w:t>Objective Two</w:t>
            </w:r>
          </w:p>
        </w:tc>
        <w:tc>
          <w:tcPr>
            <w:tcW w:w="1699" w:type="dxa"/>
            <w:shd w:val="clear" w:color="auto" w:fill="0070C0"/>
          </w:tcPr>
          <w:p w14:paraId="15883BFD" w14:textId="77777777" w:rsidR="00655575" w:rsidRPr="00387F06" w:rsidRDefault="00733BC5" w:rsidP="00733BC5">
            <w:pPr>
              <w:pStyle w:val="Tableheading0"/>
            </w:pPr>
            <w:r w:rsidRPr="00387F06">
              <w:t>Objective Three</w:t>
            </w:r>
          </w:p>
        </w:tc>
        <w:tc>
          <w:tcPr>
            <w:tcW w:w="1699" w:type="dxa"/>
            <w:shd w:val="clear" w:color="auto" w:fill="0070C0"/>
          </w:tcPr>
          <w:p w14:paraId="2672074B" w14:textId="77777777" w:rsidR="00655575" w:rsidRPr="00387F06" w:rsidRDefault="00733BC5" w:rsidP="00733BC5">
            <w:pPr>
              <w:pStyle w:val="Tableheading0"/>
            </w:pPr>
            <w:r w:rsidRPr="00387F06">
              <w:t xml:space="preserve">Objective Four </w:t>
            </w:r>
          </w:p>
        </w:tc>
      </w:tr>
      <w:tr w:rsidR="00085628" w14:paraId="5614A746" w14:textId="77777777" w:rsidTr="00387F06">
        <w:tc>
          <w:tcPr>
            <w:tcW w:w="1699" w:type="dxa"/>
            <w:shd w:val="clear" w:color="auto" w:fill="0070C0"/>
          </w:tcPr>
          <w:p w14:paraId="1AAE3D0B" w14:textId="77777777" w:rsidR="00085628" w:rsidRPr="00387F06" w:rsidRDefault="00085628" w:rsidP="00085628">
            <w:pPr>
              <w:pStyle w:val="Tableheading0"/>
            </w:pPr>
            <w:r w:rsidRPr="00387F06">
              <w:t>A</w:t>
            </w:r>
          </w:p>
        </w:tc>
        <w:tc>
          <w:tcPr>
            <w:tcW w:w="1699" w:type="dxa"/>
          </w:tcPr>
          <w:p w14:paraId="296883D2"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2995EB4D" w14:textId="77777777" w:rsidR="00085628" w:rsidRPr="00BB7AFC" w:rsidRDefault="00085628" w:rsidP="00085628">
            <w:pPr>
              <w:pStyle w:val="Tabletext0"/>
              <w:jc w:val="center"/>
              <w:rPr>
                <w:color w:val="0070C0"/>
              </w:rPr>
            </w:pPr>
          </w:p>
        </w:tc>
        <w:tc>
          <w:tcPr>
            <w:tcW w:w="1699" w:type="dxa"/>
          </w:tcPr>
          <w:p w14:paraId="7770C4E8"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3C3EF39D" w14:textId="77777777" w:rsidR="00085628" w:rsidRPr="00BB7AFC" w:rsidRDefault="00085628" w:rsidP="00085628">
            <w:pPr>
              <w:pStyle w:val="Tabletext0"/>
              <w:jc w:val="center"/>
              <w:rPr>
                <w:color w:val="0070C0"/>
              </w:rPr>
            </w:pPr>
          </w:p>
        </w:tc>
      </w:tr>
      <w:tr w:rsidR="00085628" w14:paraId="3E43BC2A" w14:textId="77777777" w:rsidTr="00387F06">
        <w:tc>
          <w:tcPr>
            <w:tcW w:w="1699" w:type="dxa"/>
            <w:shd w:val="clear" w:color="auto" w:fill="0070C0"/>
          </w:tcPr>
          <w:p w14:paraId="71620F14" w14:textId="77777777" w:rsidR="00085628" w:rsidRPr="00387F06" w:rsidRDefault="00085628" w:rsidP="00085628">
            <w:pPr>
              <w:pStyle w:val="Tableheading0"/>
            </w:pPr>
            <w:r w:rsidRPr="00387F06">
              <w:t>B</w:t>
            </w:r>
          </w:p>
        </w:tc>
        <w:tc>
          <w:tcPr>
            <w:tcW w:w="1699" w:type="dxa"/>
          </w:tcPr>
          <w:p w14:paraId="59E96C9F"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6AF9016D"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6DB8A17D"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5F183204" w14:textId="77777777" w:rsidR="00085628" w:rsidRPr="00BB7AFC" w:rsidRDefault="00085628" w:rsidP="00085628">
            <w:pPr>
              <w:pStyle w:val="Tabletext0"/>
              <w:jc w:val="center"/>
              <w:rPr>
                <w:color w:val="0070C0"/>
              </w:rPr>
            </w:pPr>
            <w:r w:rsidRPr="00BB7AFC">
              <w:rPr>
                <w:color w:val="0070C0"/>
              </w:rPr>
              <w:sym w:font="Wingdings" w:char="F0FC"/>
            </w:r>
          </w:p>
        </w:tc>
      </w:tr>
      <w:tr w:rsidR="00085628" w14:paraId="41969435" w14:textId="77777777" w:rsidTr="00387F06">
        <w:tc>
          <w:tcPr>
            <w:tcW w:w="1699" w:type="dxa"/>
            <w:shd w:val="clear" w:color="auto" w:fill="0070C0"/>
          </w:tcPr>
          <w:p w14:paraId="479662A3" w14:textId="77777777" w:rsidR="00085628" w:rsidRPr="00387F06" w:rsidRDefault="00085628" w:rsidP="00085628">
            <w:pPr>
              <w:pStyle w:val="Tableheading0"/>
            </w:pPr>
            <w:r>
              <w:t>C</w:t>
            </w:r>
          </w:p>
        </w:tc>
        <w:tc>
          <w:tcPr>
            <w:tcW w:w="1699" w:type="dxa"/>
          </w:tcPr>
          <w:p w14:paraId="6F52D6B6"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5803F99B"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2B8B81F5"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220554E5" w14:textId="77777777" w:rsidR="00085628" w:rsidRPr="00BB7AFC" w:rsidRDefault="00085628" w:rsidP="00085628">
            <w:pPr>
              <w:pStyle w:val="Tabletext0"/>
              <w:jc w:val="center"/>
              <w:rPr>
                <w:color w:val="0070C0"/>
              </w:rPr>
            </w:pPr>
            <w:r w:rsidRPr="00BB7AFC">
              <w:rPr>
                <w:color w:val="0070C0"/>
              </w:rPr>
              <w:sym w:font="Wingdings" w:char="F0FC"/>
            </w:r>
          </w:p>
        </w:tc>
      </w:tr>
      <w:tr w:rsidR="00085628" w14:paraId="31E3E8BB" w14:textId="77777777" w:rsidTr="00387F06">
        <w:tc>
          <w:tcPr>
            <w:tcW w:w="1699" w:type="dxa"/>
            <w:shd w:val="clear" w:color="auto" w:fill="0070C0"/>
          </w:tcPr>
          <w:p w14:paraId="48C085E0" w14:textId="77777777" w:rsidR="00085628" w:rsidRPr="00387F06" w:rsidRDefault="00085628" w:rsidP="00085628">
            <w:pPr>
              <w:pStyle w:val="Tableheading0"/>
            </w:pPr>
            <w:r>
              <w:t>D</w:t>
            </w:r>
          </w:p>
        </w:tc>
        <w:tc>
          <w:tcPr>
            <w:tcW w:w="1699" w:type="dxa"/>
          </w:tcPr>
          <w:p w14:paraId="1CDCCD4D"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5DBCBE2A"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2CD83E21"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7ED44EE7" w14:textId="77777777" w:rsidR="00085628" w:rsidRPr="00BB7AFC" w:rsidRDefault="00085628" w:rsidP="00085628">
            <w:pPr>
              <w:pStyle w:val="Tabletext0"/>
              <w:jc w:val="center"/>
              <w:rPr>
                <w:color w:val="0070C0"/>
              </w:rPr>
            </w:pPr>
            <w:r w:rsidRPr="00BB7AFC">
              <w:rPr>
                <w:color w:val="0070C0"/>
              </w:rPr>
              <w:sym w:font="Wingdings" w:char="F0FC"/>
            </w:r>
          </w:p>
        </w:tc>
      </w:tr>
      <w:tr w:rsidR="00085628" w14:paraId="7D9E3AB3" w14:textId="77777777" w:rsidTr="00387F06">
        <w:tc>
          <w:tcPr>
            <w:tcW w:w="1699" w:type="dxa"/>
            <w:shd w:val="clear" w:color="auto" w:fill="0070C0"/>
          </w:tcPr>
          <w:p w14:paraId="0F642EAB" w14:textId="77777777" w:rsidR="00085628" w:rsidRPr="00387F06" w:rsidRDefault="00085628" w:rsidP="00085628">
            <w:pPr>
              <w:pStyle w:val="Tableheading0"/>
            </w:pPr>
            <w:r>
              <w:t>E</w:t>
            </w:r>
          </w:p>
        </w:tc>
        <w:tc>
          <w:tcPr>
            <w:tcW w:w="1699" w:type="dxa"/>
          </w:tcPr>
          <w:p w14:paraId="115F1CB5" w14:textId="77777777" w:rsidR="00085628" w:rsidRPr="00BB7AFC" w:rsidRDefault="00085628" w:rsidP="00085628">
            <w:pPr>
              <w:pStyle w:val="Tabletext0"/>
              <w:jc w:val="center"/>
              <w:rPr>
                <w:color w:val="0070C0"/>
              </w:rPr>
            </w:pPr>
          </w:p>
        </w:tc>
        <w:tc>
          <w:tcPr>
            <w:tcW w:w="1699" w:type="dxa"/>
          </w:tcPr>
          <w:p w14:paraId="08DD0348"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21D38520" w14:textId="77777777" w:rsidR="00085628" w:rsidRPr="00BB7AFC" w:rsidRDefault="00085628" w:rsidP="00085628">
            <w:pPr>
              <w:pStyle w:val="Tabletext0"/>
              <w:jc w:val="center"/>
              <w:rPr>
                <w:color w:val="0070C0"/>
              </w:rPr>
            </w:pPr>
          </w:p>
        </w:tc>
        <w:tc>
          <w:tcPr>
            <w:tcW w:w="1699" w:type="dxa"/>
          </w:tcPr>
          <w:p w14:paraId="4AA6D74B" w14:textId="77777777" w:rsidR="00085628" w:rsidRPr="00BB7AFC" w:rsidRDefault="00085628" w:rsidP="00085628">
            <w:pPr>
              <w:pStyle w:val="Tabletext0"/>
              <w:jc w:val="center"/>
              <w:rPr>
                <w:color w:val="0070C0"/>
              </w:rPr>
            </w:pPr>
            <w:r w:rsidRPr="00BB7AFC">
              <w:rPr>
                <w:color w:val="0070C0"/>
              </w:rPr>
              <w:sym w:font="Wingdings" w:char="F0FC"/>
            </w:r>
          </w:p>
        </w:tc>
      </w:tr>
      <w:tr w:rsidR="00085628" w14:paraId="5758F586" w14:textId="77777777" w:rsidTr="00387F06">
        <w:tc>
          <w:tcPr>
            <w:tcW w:w="1699" w:type="dxa"/>
            <w:shd w:val="clear" w:color="auto" w:fill="0070C0"/>
          </w:tcPr>
          <w:p w14:paraId="3A3ED8CB" w14:textId="77777777" w:rsidR="00085628" w:rsidRPr="00387F06" w:rsidRDefault="00085628" w:rsidP="00085628">
            <w:pPr>
              <w:pStyle w:val="Tableheading0"/>
            </w:pPr>
            <w:r>
              <w:t>F</w:t>
            </w:r>
          </w:p>
        </w:tc>
        <w:tc>
          <w:tcPr>
            <w:tcW w:w="1699" w:type="dxa"/>
          </w:tcPr>
          <w:p w14:paraId="180FAFA7"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2CD24D38" w14:textId="77777777" w:rsidR="00085628" w:rsidRPr="00BB7AFC" w:rsidRDefault="00085628" w:rsidP="00085628">
            <w:pPr>
              <w:pStyle w:val="Tabletext0"/>
              <w:jc w:val="center"/>
              <w:rPr>
                <w:color w:val="0070C0"/>
              </w:rPr>
            </w:pPr>
          </w:p>
        </w:tc>
        <w:tc>
          <w:tcPr>
            <w:tcW w:w="1699" w:type="dxa"/>
          </w:tcPr>
          <w:p w14:paraId="1AE935FD"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7FC8D9D0" w14:textId="77777777" w:rsidR="00085628" w:rsidRPr="00BB7AFC" w:rsidRDefault="00085628" w:rsidP="00085628">
            <w:pPr>
              <w:pStyle w:val="Tabletext0"/>
              <w:jc w:val="center"/>
              <w:rPr>
                <w:color w:val="0070C0"/>
              </w:rPr>
            </w:pPr>
          </w:p>
        </w:tc>
      </w:tr>
      <w:tr w:rsidR="00085628" w14:paraId="44350720" w14:textId="77777777" w:rsidTr="00387F06">
        <w:tc>
          <w:tcPr>
            <w:tcW w:w="1699" w:type="dxa"/>
            <w:shd w:val="clear" w:color="auto" w:fill="0070C0"/>
          </w:tcPr>
          <w:p w14:paraId="0AD0045A" w14:textId="77777777" w:rsidR="00085628" w:rsidRPr="00387F06" w:rsidRDefault="00085628" w:rsidP="00085628">
            <w:pPr>
              <w:pStyle w:val="Tableheading0"/>
            </w:pPr>
            <w:r>
              <w:t>G</w:t>
            </w:r>
          </w:p>
        </w:tc>
        <w:tc>
          <w:tcPr>
            <w:tcW w:w="1699" w:type="dxa"/>
          </w:tcPr>
          <w:p w14:paraId="6943AF09" w14:textId="77777777" w:rsidR="00085628" w:rsidRPr="00BB7AFC" w:rsidRDefault="00085628" w:rsidP="00085628">
            <w:pPr>
              <w:pStyle w:val="Tabletext0"/>
              <w:jc w:val="center"/>
              <w:rPr>
                <w:color w:val="0070C0"/>
              </w:rPr>
            </w:pPr>
          </w:p>
        </w:tc>
        <w:tc>
          <w:tcPr>
            <w:tcW w:w="1699" w:type="dxa"/>
          </w:tcPr>
          <w:p w14:paraId="649ECAE7"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3ADAE991" w14:textId="77777777" w:rsidR="00085628" w:rsidRPr="00BB7AFC" w:rsidRDefault="00085628" w:rsidP="00085628">
            <w:pPr>
              <w:pStyle w:val="Tabletext0"/>
              <w:jc w:val="center"/>
              <w:rPr>
                <w:color w:val="0070C0"/>
              </w:rPr>
            </w:pPr>
          </w:p>
        </w:tc>
        <w:tc>
          <w:tcPr>
            <w:tcW w:w="1699" w:type="dxa"/>
          </w:tcPr>
          <w:p w14:paraId="7B3F3DDB" w14:textId="77777777" w:rsidR="00085628" w:rsidRPr="00BB7AFC" w:rsidRDefault="00085628" w:rsidP="00085628">
            <w:pPr>
              <w:pStyle w:val="Tabletext0"/>
              <w:jc w:val="center"/>
              <w:rPr>
                <w:color w:val="0070C0"/>
              </w:rPr>
            </w:pPr>
            <w:r w:rsidRPr="00BB7AFC">
              <w:rPr>
                <w:color w:val="0070C0"/>
              </w:rPr>
              <w:sym w:font="Wingdings" w:char="F0FC"/>
            </w:r>
          </w:p>
        </w:tc>
      </w:tr>
      <w:tr w:rsidR="00085628" w14:paraId="4EB34FAB" w14:textId="77777777" w:rsidTr="00387F06">
        <w:tc>
          <w:tcPr>
            <w:tcW w:w="1699" w:type="dxa"/>
            <w:shd w:val="clear" w:color="auto" w:fill="0070C0"/>
          </w:tcPr>
          <w:p w14:paraId="415F272C" w14:textId="77777777" w:rsidR="00085628" w:rsidRPr="00387F06" w:rsidRDefault="00085628" w:rsidP="00085628">
            <w:pPr>
              <w:pStyle w:val="Tableheading0"/>
            </w:pPr>
            <w:r>
              <w:t>H</w:t>
            </w:r>
          </w:p>
        </w:tc>
        <w:tc>
          <w:tcPr>
            <w:tcW w:w="1699" w:type="dxa"/>
          </w:tcPr>
          <w:p w14:paraId="7A6EA6EF"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02072ADF"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68044CDB" w14:textId="77777777" w:rsidR="00085628" w:rsidRPr="00BB7AFC" w:rsidRDefault="00085628" w:rsidP="00085628">
            <w:pPr>
              <w:pStyle w:val="Tabletext0"/>
              <w:jc w:val="center"/>
              <w:rPr>
                <w:color w:val="0070C0"/>
              </w:rPr>
            </w:pPr>
            <w:r w:rsidRPr="00BB7AFC">
              <w:rPr>
                <w:color w:val="0070C0"/>
              </w:rPr>
              <w:sym w:font="Wingdings" w:char="F0FC"/>
            </w:r>
          </w:p>
        </w:tc>
        <w:tc>
          <w:tcPr>
            <w:tcW w:w="1699" w:type="dxa"/>
          </w:tcPr>
          <w:p w14:paraId="08054EF9" w14:textId="77777777" w:rsidR="00085628" w:rsidRPr="00BB7AFC" w:rsidRDefault="00085628" w:rsidP="00085628">
            <w:pPr>
              <w:pStyle w:val="Tabletext0"/>
              <w:jc w:val="center"/>
              <w:rPr>
                <w:color w:val="0070C0"/>
              </w:rPr>
            </w:pPr>
            <w:r w:rsidRPr="00BB7AFC">
              <w:rPr>
                <w:color w:val="0070C0"/>
              </w:rPr>
              <w:sym w:font="Wingdings" w:char="F0FC"/>
            </w:r>
          </w:p>
        </w:tc>
      </w:tr>
    </w:tbl>
    <w:p w14:paraId="50042937" w14:textId="77777777" w:rsidR="00387F06" w:rsidRPr="00387F06" w:rsidRDefault="00387F06" w:rsidP="00387F06">
      <w:pPr>
        <w:keepNext/>
        <w:rPr>
          <w:rFonts w:asciiTheme="minorHAnsi" w:hAnsiTheme="minorHAnsi" w:cstheme="minorHAnsi"/>
          <w:bCs/>
          <w:i/>
          <w:sz w:val="20"/>
        </w:rPr>
      </w:pPr>
      <w:r w:rsidRPr="00387F06">
        <w:rPr>
          <w:rFonts w:asciiTheme="minorHAnsi" w:hAnsiTheme="minorHAnsi" w:cstheme="minorHAnsi"/>
          <w:bCs/>
          <w:i/>
          <w:sz w:val="20"/>
        </w:rPr>
        <w:t xml:space="preserve">Source: </w:t>
      </w:r>
      <w:r>
        <w:rPr>
          <w:rFonts w:asciiTheme="minorHAnsi" w:hAnsiTheme="minorHAnsi" w:cstheme="minorHAnsi"/>
          <w:bCs/>
          <w:i/>
          <w:sz w:val="20"/>
        </w:rPr>
        <w:t>KPMG</w:t>
      </w:r>
    </w:p>
    <w:p w14:paraId="4AADF181" w14:textId="77777777" w:rsidR="00F671EC" w:rsidRPr="009B71D2" w:rsidRDefault="00F671EC" w:rsidP="009B71D2">
      <w:pPr>
        <w:pStyle w:val="Heading2"/>
      </w:pPr>
      <w:r w:rsidRPr="009B71D2">
        <w:t>Consumer engagement</w:t>
      </w:r>
    </w:p>
    <w:p w14:paraId="0E16C97E" w14:textId="77777777" w:rsidR="006E297C" w:rsidRDefault="0052566B" w:rsidP="00290304">
      <w:pPr>
        <w:pStyle w:val="BodyText"/>
      </w:pPr>
      <w:r w:rsidRPr="0052566B">
        <w:t xml:space="preserve">It is important to outline an option that was put forward at the forum, that the level of engagement with people with dementia and their carers needed to be increased. Greater representation of people with dementia and their </w:t>
      </w:r>
      <w:proofErr w:type="spellStart"/>
      <w:r w:rsidRPr="0052566B">
        <w:t>carers</w:t>
      </w:r>
      <w:proofErr w:type="spellEnd"/>
      <w:r w:rsidRPr="0052566B">
        <w:t xml:space="preserve"> at future annual Ministerial Dementia Forums and other policy discussions would ensure that the thoughts of the people who will be most affected by changes to dementia policy are</w:t>
      </w:r>
      <w:r>
        <w:t xml:space="preserve"> included in future discussions</w:t>
      </w:r>
      <w:r w:rsidR="004C3361">
        <w:t>.</w:t>
      </w:r>
    </w:p>
    <w:tbl>
      <w:tblPr>
        <w:tblStyle w:val="TableGrid"/>
        <w:tblW w:w="0" w:type="auto"/>
        <w:tblLook w:val="04A0" w:firstRow="1" w:lastRow="0" w:firstColumn="1" w:lastColumn="0" w:noHBand="0" w:noVBand="1"/>
        <w:tblDescription w:val="Strategy A: Increase Consumer Engagement"/>
      </w:tblPr>
      <w:tblGrid>
        <w:gridCol w:w="1555"/>
        <w:gridCol w:w="6940"/>
      </w:tblGrid>
      <w:tr w:rsidR="00CB3B01" w14:paraId="63792B6C" w14:textId="77777777" w:rsidTr="0059201E">
        <w:trPr>
          <w:tblHeader/>
        </w:trPr>
        <w:tc>
          <w:tcPr>
            <w:tcW w:w="1555" w:type="dxa"/>
            <w:shd w:val="clear" w:color="auto" w:fill="0070C0"/>
          </w:tcPr>
          <w:p w14:paraId="1B3CA245" w14:textId="77777777" w:rsidR="00CB3B01" w:rsidRPr="00EF77E1" w:rsidRDefault="00CB3B01" w:rsidP="00CB3B01">
            <w:pPr>
              <w:pStyle w:val="BodyText"/>
              <w:rPr>
                <w:color w:val="FFFFFF" w:themeColor="background1"/>
              </w:rPr>
            </w:pPr>
            <w:r w:rsidRPr="00EF77E1">
              <w:rPr>
                <w:color w:val="FFFFFF" w:themeColor="background1"/>
              </w:rPr>
              <w:t xml:space="preserve">Strategy </w:t>
            </w:r>
          </w:p>
        </w:tc>
        <w:tc>
          <w:tcPr>
            <w:tcW w:w="6940" w:type="dxa"/>
          </w:tcPr>
          <w:p w14:paraId="0029ED17" w14:textId="77777777" w:rsidR="00CB3B01" w:rsidRDefault="00CB3B01" w:rsidP="006E297C">
            <w:pPr>
              <w:pStyle w:val="BodyText"/>
              <w:numPr>
                <w:ilvl w:val="0"/>
                <w:numId w:val="51"/>
              </w:numPr>
              <w:ind w:left="340" w:hanging="340"/>
            </w:pPr>
            <w:r>
              <w:t xml:space="preserve">Increase consumer engagement  </w:t>
            </w:r>
          </w:p>
        </w:tc>
      </w:tr>
      <w:tr w:rsidR="00BB7AFC" w14:paraId="7223A069" w14:textId="77777777" w:rsidTr="00CB3B01">
        <w:tc>
          <w:tcPr>
            <w:tcW w:w="1555" w:type="dxa"/>
            <w:shd w:val="clear" w:color="auto" w:fill="0070C0"/>
          </w:tcPr>
          <w:p w14:paraId="3A83C48C" w14:textId="77777777" w:rsidR="00BB7AFC" w:rsidRPr="00EF77E1" w:rsidRDefault="00BB7AFC" w:rsidP="00BB7AFC">
            <w:pPr>
              <w:pStyle w:val="BodyText"/>
              <w:rPr>
                <w:color w:val="FFFFFF" w:themeColor="background1"/>
              </w:rPr>
            </w:pPr>
            <w:r>
              <w:rPr>
                <w:color w:val="FFFFFF" w:themeColor="background1"/>
              </w:rPr>
              <w:t>Forum objectives</w:t>
            </w:r>
          </w:p>
        </w:tc>
        <w:tc>
          <w:tcPr>
            <w:tcW w:w="6940" w:type="dxa"/>
          </w:tcPr>
          <w:p w14:paraId="6C180FD0" w14:textId="77777777" w:rsidR="00BB7AFC" w:rsidRDefault="00666DF2" w:rsidP="00BB7AFC">
            <w:pPr>
              <w:pStyle w:val="BodyText"/>
              <w:numPr>
                <w:ilvl w:val="0"/>
                <w:numId w:val="72"/>
              </w:numPr>
            </w:pPr>
            <w:r>
              <w:t>Satisfies f</w:t>
            </w:r>
            <w:r w:rsidR="00BB7AFC">
              <w:t xml:space="preserve">orum objectives 1 and 3.  </w:t>
            </w:r>
          </w:p>
        </w:tc>
      </w:tr>
      <w:tr w:rsidR="0052566B" w14:paraId="422F04ED" w14:textId="77777777" w:rsidTr="00CB3B01">
        <w:tc>
          <w:tcPr>
            <w:tcW w:w="1555" w:type="dxa"/>
            <w:shd w:val="clear" w:color="auto" w:fill="0070C0"/>
          </w:tcPr>
          <w:p w14:paraId="5BCDD41A" w14:textId="77777777" w:rsidR="0052566B" w:rsidRPr="00EF77E1" w:rsidRDefault="0052566B" w:rsidP="0052566B">
            <w:pPr>
              <w:pStyle w:val="BodyText"/>
              <w:rPr>
                <w:color w:val="FFFFFF" w:themeColor="background1"/>
              </w:rPr>
            </w:pPr>
            <w:r w:rsidRPr="00EF77E1">
              <w:rPr>
                <w:color w:val="FFFFFF" w:themeColor="background1"/>
              </w:rPr>
              <w:t xml:space="preserve">Description </w:t>
            </w:r>
          </w:p>
        </w:tc>
        <w:tc>
          <w:tcPr>
            <w:tcW w:w="6940" w:type="dxa"/>
          </w:tcPr>
          <w:p w14:paraId="024EE24F" w14:textId="77777777" w:rsidR="0052566B" w:rsidRDefault="0052566B" w:rsidP="0052566B">
            <w:pPr>
              <w:pStyle w:val="BodyText"/>
              <w:rPr>
                <w:szCs w:val="21"/>
              </w:rPr>
            </w:pPr>
            <w:r w:rsidRPr="0072601F">
              <w:rPr>
                <w:szCs w:val="21"/>
              </w:rPr>
              <w:t>Future Ministerial forums and</w:t>
            </w:r>
            <w:r>
              <w:rPr>
                <w:szCs w:val="21"/>
              </w:rPr>
              <w:t xml:space="preserve"> other</w:t>
            </w:r>
            <w:r w:rsidRPr="0072601F">
              <w:rPr>
                <w:szCs w:val="21"/>
              </w:rPr>
              <w:t xml:space="preserve"> stakeholder consultation around dementia care should be expanded to include a greater representation from people with dementia and their carers</w:t>
            </w:r>
            <w:r>
              <w:rPr>
                <w:szCs w:val="21"/>
              </w:rPr>
              <w:t>’</w:t>
            </w:r>
            <w:r w:rsidRPr="0072601F">
              <w:rPr>
                <w:szCs w:val="21"/>
              </w:rPr>
              <w:t xml:space="preserve"> </w:t>
            </w:r>
          </w:p>
          <w:p w14:paraId="274CA3A7" w14:textId="77777777" w:rsidR="0052566B" w:rsidRPr="0072601F" w:rsidRDefault="0052566B" w:rsidP="0052566B">
            <w:pPr>
              <w:pStyle w:val="BodyText"/>
              <w:rPr>
                <w:szCs w:val="21"/>
              </w:rPr>
            </w:pPr>
            <w:r>
              <w:rPr>
                <w:szCs w:val="21"/>
              </w:rPr>
              <w:t>There could also be increased focus on providing consumers with better information and access to the latest research on dementia and developments within the sector.</w:t>
            </w:r>
          </w:p>
        </w:tc>
      </w:tr>
      <w:tr w:rsidR="0052566B" w14:paraId="0465A5FF" w14:textId="77777777" w:rsidTr="00CB3B01">
        <w:tc>
          <w:tcPr>
            <w:tcW w:w="1555" w:type="dxa"/>
            <w:shd w:val="clear" w:color="auto" w:fill="0070C0"/>
          </w:tcPr>
          <w:p w14:paraId="20DCDEFA" w14:textId="77777777" w:rsidR="0052566B" w:rsidRPr="00EF77E1" w:rsidRDefault="0052566B" w:rsidP="0052566B">
            <w:pPr>
              <w:pStyle w:val="BodyText"/>
              <w:rPr>
                <w:color w:val="FFFFFF" w:themeColor="background1"/>
              </w:rPr>
            </w:pPr>
            <w:r w:rsidRPr="00EF77E1">
              <w:rPr>
                <w:color w:val="FFFFFF" w:themeColor="background1"/>
              </w:rPr>
              <w:t>Benefits</w:t>
            </w:r>
          </w:p>
        </w:tc>
        <w:tc>
          <w:tcPr>
            <w:tcW w:w="6940" w:type="dxa"/>
          </w:tcPr>
          <w:p w14:paraId="5462DF5B" w14:textId="77777777" w:rsidR="0052566B" w:rsidRPr="0072601F" w:rsidRDefault="0052566B" w:rsidP="0052566B">
            <w:pPr>
              <w:pStyle w:val="BodyText"/>
              <w:numPr>
                <w:ilvl w:val="0"/>
                <w:numId w:val="25"/>
              </w:numPr>
              <w:rPr>
                <w:szCs w:val="21"/>
              </w:rPr>
            </w:pPr>
            <w:r w:rsidRPr="0072601F">
              <w:rPr>
                <w:szCs w:val="21"/>
              </w:rPr>
              <w:t xml:space="preserve">Strategies to enhance person-centred and consumer-directed care need to be informed by people with dementia and their </w:t>
            </w:r>
            <w:proofErr w:type="spellStart"/>
            <w:r w:rsidRPr="0072601F">
              <w:rPr>
                <w:szCs w:val="21"/>
              </w:rPr>
              <w:t>carers</w:t>
            </w:r>
            <w:proofErr w:type="spellEnd"/>
            <w:r w:rsidRPr="0072601F">
              <w:rPr>
                <w:szCs w:val="21"/>
              </w:rPr>
              <w:t xml:space="preserve">. </w:t>
            </w:r>
          </w:p>
          <w:p w14:paraId="701F8B49" w14:textId="77777777" w:rsidR="0052566B" w:rsidRPr="0072601F" w:rsidRDefault="0052566B" w:rsidP="0052566B">
            <w:pPr>
              <w:pStyle w:val="BodyText"/>
              <w:numPr>
                <w:ilvl w:val="0"/>
                <w:numId w:val="25"/>
              </w:numPr>
              <w:rPr>
                <w:szCs w:val="21"/>
              </w:rPr>
            </w:pPr>
            <w:r w:rsidRPr="0072601F">
              <w:rPr>
                <w:szCs w:val="21"/>
              </w:rPr>
              <w:t>This will support alignment of strategies with consumer needs.</w:t>
            </w:r>
          </w:p>
          <w:p w14:paraId="052F5893" w14:textId="77777777" w:rsidR="0052566B" w:rsidRPr="0072601F" w:rsidRDefault="0052566B" w:rsidP="0052566B">
            <w:pPr>
              <w:pStyle w:val="BodyText"/>
              <w:numPr>
                <w:ilvl w:val="0"/>
                <w:numId w:val="25"/>
              </w:numPr>
              <w:rPr>
                <w:szCs w:val="21"/>
              </w:rPr>
            </w:pPr>
            <w:r>
              <w:rPr>
                <w:szCs w:val="21"/>
              </w:rPr>
              <w:t>P</w:t>
            </w:r>
            <w:r w:rsidRPr="0072601F">
              <w:rPr>
                <w:szCs w:val="21"/>
              </w:rPr>
              <w:t xml:space="preserve">eople with dementia and </w:t>
            </w:r>
            <w:r>
              <w:rPr>
                <w:szCs w:val="21"/>
              </w:rPr>
              <w:t xml:space="preserve">their </w:t>
            </w:r>
            <w:proofErr w:type="spellStart"/>
            <w:r w:rsidRPr="0072601F">
              <w:rPr>
                <w:szCs w:val="21"/>
              </w:rPr>
              <w:t>carers</w:t>
            </w:r>
            <w:proofErr w:type="spellEnd"/>
            <w:r>
              <w:rPr>
                <w:szCs w:val="21"/>
              </w:rPr>
              <w:t xml:space="preserve"> have greater involvement in policy development and considering their own care and support</w:t>
            </w:r>
            <w:r w:rsidRPr="0072601F">
              <w:rPr>
                <w:szCs w:val="21"/>
              </w:rPr>
              <w:t>.</w:t>
            </w:r>
          </w:p>
        </w:tc>
      </w:tr>
      <w:tr w:rsidR="0052566B" w14:paraId="24169F1F" w14:textId="77777777" w:rsidTr="00CB3B01">
        <w:tc>
          <w:tcPr>
            <w:tcW w:w="1555" w:type="dxa"/>
            <w:shd w:val="clear" w:color="auto" w:fill="0070C0"/>
          </w:tcPr>
          <w:p w14:paraId="4A9DC9A7" w14:textId="77777777" w:rsidR="0052566B" w:rsidRPr="00EF77E1" w:rsidRDefault="0052566B" w:rsidP="0052566B">
            <w:pPr>
              <w:pStyle w:val="BodyText"/>
              <w:rPr>
                <w:color w:val="FFFFFF" w:themeColor="background1"/>
              </w:rPr>
            </w:pPr>
            <w:r w:rsidRPr="00EF77E1">
              <w:rPr>
                <w:color w:val="FFFFFF" w:themeColor="background1"/>
              </w:rPr>
              <w:t xml:space="preserve">Risks </w:t>
            </w:r>
          </w:p>
        </w:tc>
        <w:tc>
          <w:tcPr>
            <w:tcW w:w="6940" w:type="dxa"/>
          </w:tcPr>
          <w:p w14:paraId="224DF758" w14:textId="77777777" w:rsidR="0052566B" w:rsidRPr="0072601F" w:rsidRDefault="0052566B" w:rsidP="0052566B">
            <w:pPr>
              <w:pStyle w:val="BodyText"/>
              <w:numPr>
                <w:ilvl w:val="0"/>
                <w:numId w:val="26"/>
              </w:numPr>
              <w:rPr>
                <w:szCs w:val="21"/>
              </w:rPr>
            </w:pPr>
            <w:r w:rsidRPr="0072601F">
              <w:rPr>
                <w:szCs w:val="21"/>
              </w:rPr>
              <w:t xml:space="preserve">Expectations need to be managed during consultations as resources are not unlimited and </w:t>
            </w:r>
            <w:r>
              <w:rPr>
                <w:szCs w:val="21"/>
              </w:rPr>
              <w:t>there may be disparate views</w:t>
            </w:r>
            <w:r w:rsidRPr="0072601F">
              <w:rPr>
                <w:szCs w:val="21"/>
              </w:rPr>
              <w:t>.</w:t>
            </w:r>
          </w:p>
        </w:tc>
      </w:tr>
      <w:tr w:rsidR="0052566B" w14:paraId="440C35A7" w14:textId="77777777" w:rsidTr="00CB3B01">
        <w:tc>
          <w:tcPr>
            <w:tcW w:w="1555" w:type="dxa"/>
            <w:shd w:val="clear" w:color="auto" w:fill="0070C0"/>
          </w:tcPr>
          <w:p w14:paraId="12E32BED" w14:textId="77777777" w:rsidR="0052566B" w:rsidRPr="00EF77E1" w:rsidRDefault="0052566B" w:rsidP="0052566B">
            <w:pPr>
              <w:pStyle w:val="BodyText"/>
              <w:rPr>
                <w:color w:val="FFFFFF" w:themeColor="background1"/>
              </w:rPr>
            </w:pPr>
            <w:r>
              <w:rPr>
                <w:color w:val="FFFFFF" w:themeColor="background1"/>
              </w:rPr>
              <w:t>Funding</w:t>
            </w:r>
          </w:p>
        </w:tc>
        <w:tc>
          <w:tcPr>
            <w:tcW w:w="6940" w:type="dxa"/>
          </w:tcPr>
          <w:p w14:paraId="3018D766" w14:textId="77777777" w:rsidR="0052566B" w:rsidRPr="0072601F" w:rsidRDefault="0052566B" w:rsidP="0052566B">
            <w:pPr>
              <w:pStyle w:val="BodyText"/>
              <w:numPr>
                <w:ilvl w:val="0"/>
                <w:numId w:val="26"/>
              </w:numPr>
              <w:rPr>
                <w:szCs w:val="21"/>
              </w:rPr>
            </w:pPr>
            <w:r w:rsidRPr="0072601F">
              <w:rPr>
                <w:szCs w:val="21"/>
              </w:rPr>
              <w:t>To be funded out of existing DSS budget allocations.</w:t>
            </w:r>
          </w:p>
        </w:tc>
      </w:tr>
      <w:tr w:rsidR="0052566B" w14:paraId="0FB9E2C6" w14:textId="77777777" w:rsidTr="00CB3B01">
        <w:tc>
          <w:tcPr>
            <w:tcW w:w="1555" w:type="dxa"/>
            <w:shd w:val="clear" w:color="auto" w:fill="0070C0"/>
          </w:tcPr>
          <w:p w14:paraId="23731A17" w14:textId="77777777" w:rsidR="0052566B" w:rsidRPr="00EF77E1" w:rsidRDefault="0052566B" w:rsidP="0052566B">
            <w:pPr>
              <w:pStyle w:val="BodyText"/>
              <w:rPr>
                <w:color w:val="FFFFFF" w:themeColor="background1"/>
              </w:rPr>
            </w:pPr>
            <w:r>
              <w:rPr>
                <w:color w:val="FFFFFF" w:themeColor="background1"/>
              </w:rPr>
              <w:t>Feasibility</w:t>
            </w:r>
          </w:p>
        </w:tc>
        <w:tc>
          <w:tcPr>
            <w:tcW w:w="6940" w:type="dxa"/>
          </w:tcPr>
          <w:p w14:paraId="11BCB6B4" w14:textId="77777777" w:rsidR="0052566B" w:rsidRPr="0072601F" w:rsidRDefault="0052566B" w:rsidP="0052566B">
            <w:pPr>
              <w:pStyle w:val="BodyText"/>
              <w:numPr>
                <w:ilvl w:val="0"/>
                <w:numId w:val="26"/>
              </w:numPr>
              <w:rPr>
                <w:szCs w:val="21"/>
              </w:rPr>
            </w:pPr>
            <w:r>
              <w:rPr>
                <w:szCs w:val="21"/>
              </w:rPr>
              <w:t>This</w:t>
            </w:r>
            <w:r w:rsidRPr="0072601F">
              <w:rPr>
                <w:szCs w:val="21"/>
              </w:rPr>
              <w:t xml:space="preserve"> could be implemented in the short term.</w:t>
            </w:r>
          </w:p>
        </w:tc>
      </w:tr>
    </w:tbl>
    <w:p w14:paraId="693D6F10" w14:textId="77777777" w:rsidR="00666DF2" w:rsidRPr="009B71D2" w:rsidRDefault="00666DF2" w:rsidP="0097264A">
      <w:pPr>
        <w:pStyle w:val="Heading3"/>
        <w:numPr>
          <w:ilvl w:val="0"/>
          <w:numId w:val="0"/>
        </w:numPr>
        <w:ind w:left="720" w:hanging="720"/>
      </w:pPr>
      <w:r w:rsidRPr="009B71D2">
        <w:lastRenderedPageBreak/>
        <w:t xml:space="preserve">Analyse, consolidate and align current dementia initiatives </w:t>
      </w:r>
    </w:p>
    <w:p w14:paraId="74DAAE4C" w14:textId="77777777" w:rsidR="0052566B" w:rsidRDefault="0052566B" w:rsidP="0052566B">
      <w:pPr>
        <w:pStyle w:val="BodyText"/>
      </w:pPr>
      <w:r w:rsidRPr="00F043C2">
        <w:t xml:space="preserve">A commonly held view of </w:t>
      </w:r>
      <w:r>
        <w:t>participants</w:t>
      </w:r>
      <w:r w:rsidRPr="00F043C2">
        <w:t xml:space="preserve"> was that some of the programs and initiatives that are available to support people with dementia in the home care or residential care settings, carers or service providers, such as DBMAS and DTSCs, were very effective. However, these programs and initiatives are not necessarily available to everyone, particularly in regional and rural communities</w:t>
      </w:r>
      <w:r>
        <w:t>,</w:t>
      </w:r>
      <w:r w:rsidRPr="00F043C2">
        <w:t xml:space="preserve"> and there were differing levels of awareness of these programs and initiatives. </w:t>
      </w:r>
      <w:r>
        <w:t>Participants</w:t>
      </w:r>
      <w:r w:rsidRPr="00F043C2">
        <w:t xml:space="preserve"> expressed similar views on the available training and education opportunities.</w:t>
      </w:r>
      <w:r>
        <w:t xml:space="preserve"> </w:t>
      </w:r>
    </w:p>
    <w:p w14:paraId="045D929F" w14:textId="77777777" w:rsidR="005252FD" w:rsidRDefault="0052566B" w:rsidP="0052566B">
      <w:pPr>
        <w:pStyle w:val="BodyText"/>
      </w:pPr>
      <w:r>
        <w:t>The consensus from participants was to analyse the range of existing Commonwealth funded programs and training with the view to consolidating and improving the alignment of those that are most effective and consider strategies to make them more widely available. This review could also identify gaps in support to inform future policy initiatives</w:t>
      </w:r>
      <w:r w:rsidR="00600951">
        <w:t xml:space="preserve">. </w:t>
      </w:r>
    </w:p>
    <w:tbl>
      <w:tblPr>
        <w:tblStyle w:val="TableGrid"/>
        <w:tblW w:w="0" w:type="auto"/>
        <w:tblLook w:val="04A0" w:firstRow="1" w:lastRow="0" w:firstColumn="1" w:lastColumn="0" w:noHBand="0" w:noVBand="1"/>
        <w:tblDescription w:val="Strategy B: Analyse, consolidate and algin the current dementia initiatives"/>
      </w:tblPr>
      <w:tblGrid>
        <w:gridCol w:w="1555"/>
        <w:gridCol w:w="6940"/>
      </w:tblGrid>
      <w:tr w:rsidR="005252FD" w:rsidRPr="00686BA1" w14:paraId="44441316" w14:textId="77777777" w:rsidTr="0059201E">
        <w:trPr>
          <w:tblHeader/>
        </w:trPr>
        <w:tc>
          <w:tcPr>
            <w:tcW w:w="1555" w:type="dxa"/>
            <w:shd w:val="clear" w:color="auto" w:fill="0070C0"/>
          </w:tcPr>
          <w:p w14:paraId="14CE9EBA" w14:textId="77777777" w:rsidR="005252FD" w:rsidRPr="00EF77E1" w:rsidRDefault="005252FD" w:rsidP="004A6ED2">
            <w:pPr>
              <w:pStyle w:val="BodyText"/>
              <w:rPr>
                <w:color w:val="FFFFFF" w:themeColor="background1"/>
              </w:rPr>
            </w:pPr>
            <w:r w:rsidRPr="00EF77E1">
              <w:rPr>
                <w:color w:val="FFFFFF" w:themeColor="background1"/>
              </w:rPr>
              <w:t xml:space="preserve">Strategy </w:t>
            </w:r>
          </w:p>
        </w:tc>
        <w:tc>
          <w:tcPr>
            <w:tcW w:w="6940" w:type="dxa"/>
          </w:tcPr>
          <w:p w14:paraId="55AC0B8D" w14:textId="77777777" w:rsidR="005252FD" w:rsidRPr="0052566B" w:rsidRDefault="00666DF2" w:rsidP="00666DF2">
            <w:pPr>
              <w:pStyle w:val="ListParagraph"/>
              <w:numPr>
                <w:ilvl w:val="0"/>
                <w:numId w:val="51"/>
              </w:numPr>
              <w:spacing w:before="120" w:after="120" w:line="280" w:lineRule="atLeast"/>
              <w:rPr>
                <w:sz w:val="21"/>
                <w:szCs w:val="21"/>
              </w:rPr>
            </w:pPr>
            <w:r w:rsidRPr="0052566B">
              <w:rPr>
                <w:sz w:val="21"/>
                <w:szCs w:val="21"/>
              </w:rPr>
              <w:t>Analyse, consolidate and align the current dementia initiatives</w:t>
            </w:r>
            <w:r w:rsidR="005252FD" w:rsidRPr="0052566B">
              <w:rPr>
                <w:sz w:val="21"/>
                <w:szCs w:val="21"/>
              </w:rPr>
              <w:t xml:space="preserve">  </w:t>
            </w:r>
          </w:p>
        </w:tc>
      </w:tr>
      <w:tr w:rsidR="003C669E" w:rsidRPr="00686BA1" w14:paraId="6F9E41A3" w14:textId="77777777" w:rsidTr="004A6ED2">
        <w:tc>
          <w:tcPr>
            <w:tcW w:w="1555" w:type="dxa"/>
            <w:shd w:val="clear" w:color="auto" w:fill="0070C0"/>
          </w:tcPr>
          <w:p w14:paraId="029D1E4B" w14:textId="77777777" w:rsidR="003C669E" w:rsidRPr="00EF77E1" w:rsidRDefault="003C669E" w:rsidP="003C669E">
            <w:pPr>
              <w:pStyle w:val="BodyText"/>
              <w:rPr>
                <w:color w:val="FFFFFF" w:themeColor="background1"/>
              </w:rPr>
            </w:pPr>
            <w:r>
              <w:rPr>
                <w:color w:val="FFFFFF" w:themeColor="background1"/>
              </w:rPr>
              <w:t>Forum objectives</w:t>
            </w:r>
          </w:p>
        </w:tc>
        <w:tc>
          <w:tcPr>
            <w:tcW w:w="6940" w:type="dxa"/>
          </w:tcPr>
          <w:p w14:paraId="609FDAEB" w14:textId="77777777" w:rsidR="003C669E" w:rsidRPr="0052566B" w:rsidRDefault="00666DF2" w:rsidP="00666DF2">
            <w:pPr>
              <w:pStyle w:val="ListParagraph"/>
              <w:numPr>
                <w:ilvl w:val="0"/>
                <w:numId w:val="27"/>
              </w:numPr>
              <w:spacing w:before="120" w:after="120" w:line="280" w:lineRule="atLeast"/>
              <w:rPr>
                <w:sz w:val="21"/>
                <w:szCs w:val="21"/>
              </w:rPr>
            </w:pPr>
            <w:r w:rsidRPr="0052566B">
              <w:rPr>
                <w:sz w:val="21"/>
                <w:szCs w:val="21"/>
              </w:rPr>
              <w:t>Satisfies forum objectives 1, 2, 3 and 4.</w:t>
            </w:r>
            <w:r w:rsidR="003C669E" w:rsidRPr="0052566B">
              <w:rPr>
                <w:sz w:val="21"/>
                <w:szCs w:val="21"/>
              </w:rPr>
              <w:t xml:space="preserve">  </w:t>
            </w:r>
          </w:p>
        </w:tc>
      </w:tr>
      <w:tr w:rsidR="0052566B" w:rsidRPr="00686BA1" w14:paraId="0F7723D5" w14:textId="77777777" w:rsidTr="004A6ED2">
        <w:tc>
          <w:tcPr>
            <w:tcW w:w="1555" w:type="dxa"/>
            <w:shd w:val="clear" w:color="auto" w:fill="0070C0"/>
          </w:tcPr>
          <w:p w14:paraId="2548FA03" w14:textId="77777777" w:rsidR="0052566B" w:rsidRPr="00EF77E1" w:rsidRDefault="0052566B" w:rsidP="0052566B">
            <w:pPr>
              <w:pStyle w:val="BodyText"/>
              <w:rPr>
                <w:color w:val="FFFFFF" w:themeColor="background1"/>
              </w:rPr>
            </w:pPr>
            <w:r>
              <w:rPr>
                <w:color w:val="FFFFFF" w:themeColor="background1"/>
              </w:rPr>
              <w:t>Description</w:t>
            </w:r>
          </w:p>
        </w:tc>
        <w:tc>
          <w:tcPr>
            <w:tcW w:w="6940" w:type="dxa"/>
          </w:tcPr>
          <w:p w14:paraId="7BABF8DD" w14:textId="77777777" w:rsidR="0052566B" w:rsidRPr="0072601F" w:rsidRDefault="0052566B" w:rsidP="0052566B">
            <w:pPr>
              <w:spacing w:before="120" w:after="120" w:line="280" w:lineRule="atLeast"/>
              <w:rPr>
                <w:szCs w:val="21"/>
              </w:rPr>
            </w:pPr>
            <w:r>
              <w:rPr>
                <w:szCs w:val="21"/>
              </w:rPr>
              <w:t>Assess the capacity, capability and value of current Commonwealth funded dementia programs by analysing</w:t>
            </w:r>
            <w:r w:rsidRPr="0072601F">
              <w:rPr>
                <w:szCs w:val="21"/>
              </w:rPr>
              <w:t xml:space="preserve"> all existing </w:t>
            </w:r>
            <w:r>
              <w:rPr>
                <w:szCs w:val="21"/>
              </w:rPr>
              <w:t xml:space="preserve">Commonwealth funded </w:t>
            </w:r>
            <w:r w:rsidRPr="0072601F">
              <w:rPr>
                <w:szCs w:val="21"/>
              </w:rPr>
              <w:t xml:space="preserve">dementia programs. Outcomes of the </w:t>
            </w:r>
            <w:r>
              <w:rPr>
                <w:szCs w:val="21"/>
              </w:rPr>
              <w:t>analysis</w:t>
            </w:r>
            <w:r w:rsidRPr="0072601F">
              <w:rPr>
                <w:szCs w:val="21"/>
              </w:rPr>
              <w:t xml:space="preserve"> would determine which initiatives should be consolidated, expanded and discontinued.  </w:t>
            </w:r>
          </w:p>
        </w:tc>
      </w:tr>
      <w:tr w:rsidR="0052566B" w:rsidRPr="00686BA1" w14:paraId="227DCDC3" w14:textId="77777777" w:rsidTr="004A6ED2">
        <w:tc>
          <w:tcPr>
            <w:tcW w:w="1555" w:type="dxa"/>
            <w:shd w:val="clear" w:color="auto" w:fill="0070C0"/>
          </w:tcPr>
          <w:p w14:paraId="68A66B6F" w14:textId="77777777" w:rsidR="0052566B" w:rsidRPr="00EF77E1" w:rsidRDefault="0052566B" w:rsidP="0052566B">
            <w:pPr>
              <w:pStyle w:val="BodyText"/>
              <w:rPr>
                <w:color w:val="FFFFFF" w:themeColor="background1"/>
              </w:rPr>
            </w:pPr>
            <w:r w:rsidRPr="00EF77E1">
              <w:rPr>
                <w:color w:val="FFFFFF" w:themeColor="background1"/>
              </w:rPr>
              <w:t>Benefits</w:t>
            </w:r>
          </w:p>
        </w:tc>
        <w:tc>
          <w:tcPr>
            <w:tcW w:w="6940" w:type="dxa"/>
          </w:tcPr>
          <w:p w14:paraId="53745EFC" w14:textId="77777777" w:rsidR="0052566B" w:rsidRPr="00DC33A9" w:rsidRDefault="0052566B" w:rsidP="0052566B">
            <w:pPr>
              <w:pStyle w:val="ListParagraph"/>
              <w:numPr>
                <w:ilvl w:val="0"/>
                <w:numId w:val="27"/>
              </w:numPr>
              <w:spacing w:after="0" w:line="260" w:lineRule="atLeast"/>
              <w:rPr>
                <w:sz w:val="21"/>
                <w:szCs w:val="21"/>
              </w:rPr>
            </w:pPr>
            <w:r w:rsidRPr="00DC33A9">
              <w:rPr>
                <w:sz w:val="21"/>
                <w:szCs w:val="21"/>
              </w:rPr>
              <w:t>More efficient</w:t>
            </w:r>
            <w:r>
              <w:rPr>
                <w:sz w:val="21"/>
                <w:szCs w:val="21"/>
              </w:rPr>
              <w:t>,</w:t>
            </w:r>
            <w:r w:rsidRPr="00DC33A9">
              <w:rPr>
                <w:sz w:val="21"/>
                <w:szCs w:val="21"/>
              </w:rPr>
              <w:t xml:space="preserve"> effective </w:t>
            </w:r>
            <w:r>
              <w:rPr>
                <w:sz w:val="21"/>
                <w:szCs w:val="21"/>
              </w:rPr>
              <w:t xml:space="preserve">and coordinated </w:t>
            </w:r>
            <w:r w:rsidRPr="00DC33A9">
              <w:rPr>
                <w:sz w:val="21"/>
                <w:szCs w:val="21"/>
              </w:rPr>
              <w:t>services with possibilities for consolidation</w:t>
            </w:r>
            <w:r>
              <w:rPr>
                <w:sz w:val="21"/>
                <w:szCs w:val="21"/>
              </w:rPr>
              <w:t>.</w:t>
            </w:r>
          </w:p>
          <w:p w14:paraId="326CC556" w14:textId="77777777" w:rsidR="0052566B" w:rsidRPr="0077376C" w:rsidRDefault="0052566B" w:rsidP="0052566B">
            <w:pPr>
              <w:pStyle w:val="ListParagraph"/>
              <w:numPr>
                <w:ilvl w:val="0"/>
                <w:numId w:val="27"/>
              </w:numPr>
              <w:spacing w:before="120" w:after="120" w:line="280" w:lineRule="atLeast"/>
              <w:rPr>
                <w:sz w:val="21"/>
                <w:szCs w:val="21"/>
              </w:rPr>
            </w:pPr>
            <w:r w:rsidRPr="00767E2B">
              <w:rPr>
                <w:sz w:val="21"/>
                <w:szCs w:val="21"/>
              </w:rPr>
              <w:t xml:space="preserve">A consolidation of current services may leverage their impact by making it easier for people to navigate and identify what is available.  </w:t>
            </w:r>
          </w:p>
          <w:p w14:paraId="11DB3B47" w14:textId="77777777" w:rsidR="0052566B" w:rsidRPr="00DC33A9" w:rsidRDefault="0052566B" w:rsidP="0052566B">
            <w:pPr>
              <w:pStyle w:val="ListParagraph"/>
              <w:numPr>
                <w:ilvl w:val="0"/>
                <w:numId w:val="27"/>
              </w:numPr>
              <w:spacing w:before="120" w:after="120" w:line="280" w:lineRule="atLeast"/>
              <w:rPr>
                <w:sz w:val="21"/>
                <w:szCs w:val="21"/>
              </w:rPr>
            </w:pPr>
            <w:r w:rsidRPr="0077376C">
              <w:rPr>
                <w:sz w:val="21"/>
                <w:szCs w:val="21"/>
              </w:rPr>
              <w:t xml:space="preserve">A consolidation of current services and discontinuing ineffective initiatives is also likely to </w:t>
            </w:r>
            <w:r w:rsidRPr="00B61CC9">
              <w:rPr>
                <w:sz w:val="21"/>
                <w:szCs w:val="21"/>
              </w:rPr>
              <w:t xml:space="preserve">create efficiencies that provide opportunities </w:t>
            </w:r>
            <w:r>
              <w:rPr>
                <w:sz w:val="21"/>
                <w:szCs w:val="21"/>
              </w:rPr>
              <w:t>for</w:t>
            </w:r>
            <w:r w:rsidRPr="00B61CC9">
              <w:rPr>
                <w:sz w:val="21"/>
                <w:szCs w:val="21"/>
              </w:rPr>
              <w:t xml:space="preserve"> expan</w:t>
            </w:r>
            <w:r>
              <w:rPr>
                <w:sz w:val="21"/>
                <w:szCs w:val="21"/>
              </w:rPr>
              <w:t>sion of</w:t>
            </w:r>
            <w:r w:rsidRPr="00B61CC9">
              <w:rPr>
                <w:sz w:val="21"/>
                <w:szCs w:val="21"/>
              </w:rPr>
              <w:t xml:space="preserve"> existing effective services, such as broadening</w:t>
            </w:r>
            <w:r w:rsidRPr="00DC33A9">
              <w:rPr>
                <w:sz w:val="21"/>
                <w:szCs w:val="21"/>
              </w:rPr>
              <w:t xml:space="preserve"> the reach to rural and remote areas, or pilot</w:t>
            </w:r>
            <w:r>
              <w:rPr>
                <w:sz w:val="21"/>
                <w:szCs w:val="21"/>
              </w:rPr>
              <w:t>ing</w:t>
            </w:r>
            <w:r w:rsidRPr="00DC33A9">
              <w:rPr>
                <w:sz w:val="21"/>
                <w:szCs w:val="21"/>
              </w:rPr>
              <w:t xml:space="preserve"> new initiatives and training and education programs.  </w:t>
            </w:r>
          </w:p>
        </w:tc>
      </w:tr>
      <w:tr w:rsidR="0052566B" w:rsidRPr="00686BA1" w14:paraId="5DBD10EE" w14:textId="77777777" w:rsidTr="004A6ED2">
        <w:tc>
          <w:tcPr>
            <w:tcW w:w="1555" w:type="dxa"/>
            <w:shd w:val="clear" w:color="auto" w:fill="0070C0"/>
          </w:tcPr>
          <w:p w14:paraId="4F4B89CE" w14:textId="77777777" w:rsidR="0052566B" w:rsidRPr="00EF77E1" w:rsidRDefault="0052566B" w:rsidP="0052566B">
            <w:pPr>
              <w:pStyle w:val="BodyText"/>
              <w:rPr>
                <w:color w:val="FFFFFF" w:themeColor="background1"/>
              </w:rPr>
            </w:pPr>
            <w:r w:rsidRPr="00EF77E1">
              <w:rPr>
                <w:color w:val="FFFFFF" w:themeColor="background1"/>
              </w:rPr>
              <w:t xml:space="preserve">Risks </w:t>
            </w:r>
          </w:p>
        </w:tc>
        <w:tc>
          <w:tcPr>
            <w:tcW w:w="6940" w:type="dxa"/>
          </w:tcPr>
          <w:p w14:paraId="1FF2871E" w14:textId="77777777" w:rsidR="0052566B" w:rsidRDefault="0052566B" w:rsidP="0052566B">
            <w:pPr>
              <w:pStyle w:val="ListParagraph"/>
              <w:numPr>
                <w:ilvl w:val="0"/>
                <w:numId w:val="35"/>
              </w:numPr>
              <w:spacing w:before="120" w:after="120" w:line="280" w:lineRule="atLeast"/>
              <w:rPr>
                <w:sz w:val="21"/>
                <w:szCs w:val="21"/>
              </w:rPr>
            </w:pPr>
            <w:r w:rsidRPr="00767E2B">
              <w:rPr>
                <w:sz w:val="21"/>
                <w:szCs w:val="21"/>
              </w:rPr>
              <w:t>Effective review of all existing programs is likely to take between 6 to 12 months.</w:t>
            </w:r>
          </w:p>
          <w:p w14:paraId="3636573A" w14:textId="77777777" w:rsidR="0052566B" w:rsidRPr="0077376C" w:rsidRDefault="0052566B" w:rsidP="0052566B">
            <w:pPr>
              <w:pStyle w:val="ListParagraph"/>
              <w:numPr>
                <w:ilvl w:val="0"/>
                <w:numId w:val="35"/>
              </w:numPr>
              <w:spacing w:before="120" w:after="120" w:line="280" w:lineRule="atLeast"/>
              <w:rPr>
                <w:sz w:val="21"/>
                <w:szCs w:val="21"/>
              </w:rPr>
            </w:pPr>
            <w:r>
              <w:rPr>
                <w:sz w:val="21"/>
                <w:szCs w:val="21"/>
              </w:rPr>
              <w:t>Implementation of any findings would be subject to Government agreement and funding availability.</w:t>
            </w:r>
          </w:p>
        </w:tc>
      </w:tr>
      <w:tr w:rsidR="0052566B" w:rsidRPr="00686BA1" w14:paraId="00104861" w14:textId="77777777" w:rsidTr="004A6ED2">
        <w:tc>
          <w:tcPr>
            <w:tcW w:w="1555" w:type="dxa"/>
            <w:shd w:val="clear" w:color="auto" w:fill="0070C0"/>
          </w:tcPr>
          <w:p w14:paraId="393F5187" w14:textId="77777777" w:rsidR="0052566B" w:rsidRPr="00EF77E1" w:rsidRDefault="0052566B" w:rsidP="0052566B">
            <w:pPr>
              <w:pStyle w:val="BodyText"/>
              <w:rPr>
                <w:color w:val="FFFFFF" w:themeColor="background1"/>
              </w:rPr>
            </w:pPr>
            <w:r>
              <w:rPr>
                <w:color w:val="FFFFFF" w:themeColor="background1"/>
              </w:rPr>
              <w:t>Funding</w:t>
            </w:r>
          </w:p>
        </w:tc>
        <w:tc>
          <w:tcPr>
            <w:tcW w:w="6940" w:type="dxa"/>
          </w:tcPr>
          <w:p w14:paraId="4D27846E" w14:textId="77777777" w:rsidR="0052566B" w:rsidRPr="00767E2B" w:rsidRDefault="0052566B" w:rsidP="0052566B">
            <w:pPr>
              <w:pStyle w:val="ListParagraph"/>
              <w:numPr>
                <w:ilvl w:val="0"/>
                <w:numId w:val="35"/>
              </w:numPr>
              <w:spacing w:before="120" w:after="120" w:line="280" w:lineRule="atLeast"/>
              <w:rPr>
                <w:sz w:val="21"/>
                <w:szCs w:val="21"/>
              </w:rPr>
            </w:pPr>
            <w:r>
              <w:rPr>
                <w:sz w:val="21"/>
                <w:szCs w:val="21"/>
              </w:rPr>
              <w:t>Analysis t</w:t>
            </w:r>
            <w:r w:rsidRPr="0072601F">
              <w:rPr>
                <w:sz w:val="21"/>
                <w:szCs w:val="21"/>
              </w:rPr>
              <w:t>o be funded out of existing DSS budget allocations.</w:t>
            </w:r>
          </w:p>
        </w:tc>
      </w:tr>
      <w:tr w:rsidR="0052566B" w:rsidRPr="00686BA1" w14:paraId="4173EE68" w14:textId="77777777" w:rsidTr="004A6ED2">
        <w:tc>
          <w:tcPr>
            <w:tcW w:w="1555" w:type="dxa"/>
            <w:shd w:val="clear" w:color="auto" w:fill="0070C0"/>
          </w:tcPr>
          <w:p w14:paraId="0BB5719B" w14:textId="77777777" w:rsidR="0052566B" w:rsidRPr="00EF77E1" w:rsidRDefault="0052566B" w:rsidP="0052566B">
            <w:pPr>
              <w:pStyle w:val="BodyText"/>
              <w:rPr>
                <w:color w:val="FFFFFF" w:themeColor="background1"/>
              </w:rPr>
            </w:pPr>
            <w:r>
              <w:rPr>
                <w:color w:val="FFFFFF" w:themeColor="background1"/>
              </w:rPr>
              <w:t>Feasibility</w:t>
            </w:r>
          </w:p>
        </w:tc>
        <w:tc>
          <w:tcPr>
            <w:tcW w:w="6940" w:type="dxa"/>
          </w:tcPr>
          <w:p w14:paraId="4AD3FBE9" w14:textId="77777777" w:rsidR="0052566B" w:rsidRPr="00FE7026" w:rsidRDefault="0052566B" w:rsidP="0052566B">
            <w:pPr>
              <w:pStyle w:val="ListParagraph"/>
              <w:numPr>
                <w:ilvl w:val="0"/>
                <w:numId w:val="35"/>
              </w:numPr>
              <w:spacing w:before="120" w:after="120" w:line="280" w:lineRule="atLeast"/>
              <w:rPr>
                <w:sz w:val="21"/>
                <w:szCs w:val="21"/>
              </w:rPr>
            </w:pPr>
            <w:r w:rsidRPr="00FE7026">
              <w:rPr>
                <w:sz w:val="21"/>
                <w:szCs w:val="21"/>
              </w:rPr>
              <w:t>This is an option for the short to medium term.</w:t>
            </w:r>
          </w:p>
        </w:tc>
      </w:tr>
    </w:tbl>
    <w:p w14:paraId="178DEE77" w14:textId="77777777" w:rsidR="00F31C25" w:rsidRPr="00703C13" w:rsidRDefault="00666DF2" w:rsidP="0097264A">
      <w:pPr>
        <w:pStyle w:val="Heading3"/>
        <w:numPr>
          <w:ilvl w:val="0"/>
          <w:numId w:val="0"/>
        </w:numPr>
        <w:ind w:left="720" w:hanging="720"/>
      </w:pPr>
      <w:r w:rsidRPr="009B71D2">
        <w:t>Specialised support</w:t>
      </w:r>
    </w:p>
    <w:p w14:paraId="3B02072C" w14:textId="77777777" w:rsidR="00F31C25" w:rsidRDefault="0052566B" w:rsidP="00F31C25">
      <w:pPr>
        <w:pStyle w:val="BodyText"/>
      </w:pPr>
      <w:r>
        <w:t>There was broad consensus from participants on the need to improve access to specialised support services. A variety of options received broad support, such as an i</w:t>
      </w:r>
      <w:r w:rsidRPr="00F31C25">
        <w:t>ncrease</w:t>
      </w:r>
      <w:r>
        <w:t xml:space="preserve"> in</w:t>
      </w:r>
      <w:r w:rsidRPr="00F31C25">
        <w:t xml:space="preserve"> the role</w:t>
      </w:r>
      <w:r>
        <w:t xml:space="preserve">s </w:t>
      </w:r>
      <w:r w:rsidRPr="00F31C25">
        <w:t>of DBMAS and DTSCs</w:t>
      </w:r>
      <w:r>
        <w:t>;</w:t>
      </w:r>
      <w:r w:rsidRPr="00F31C25">
        <w:t xml:space="preserve"> </w:t>
      </w:r>
      <w:r>
        <w:t>piloting the use of ‘Flying Squads’; the use of specialist units for people with severe BPSD; and making existing transition support services more accessible for people with dementia</w:t>
      </w:r>
      <w:r w:rsidR="00F31C25">
        <w:t>.</w:t>
      </w:r>
      <w:r w:rsidR="00F31C25" w:rsidRPr="00655575">
        <w:t xml:space="preserve"> </w:t>
      </w:r>
    </w:p>
    <w:tbl>
      <w:tblPr>
        <w:tblStyle w:val="TableGrid"/>
        <w:tblW w:w="0" w:type="auto"/>
        <w:tblLook w:val="04A0" w:firstRow="1" w:lastRow="0" w:firstColumn="1" w:lastColumn="0" w:noHBand="0" w:noVBand="1"/>
        <w:tblDescription w:val="Strategy C: Increase the role, cohesiveness and coordination of DBMAS and/or DTSCs"/>
      </w:tblPr>
      <w:tblGrid>
        <w:gridCol w:w="1555"/>
        <w:gridCol w:w="6940"/>
      </w:tblGrid>
      <w:tr w:rsidR="00F31C25" w:rsidRPr="00655575" w14:paraId="6C13040C" w14:textId="77777777" w:rsidTr="0059201E">
        <w:trPr>
          <w:tblHeader/>
        </w:trPr>
        <w:tc>
          <w:tcPr>
            <w:tcW w:w="1555" w:type="dxa"/>
            <w:shd w:val="clear" w:color="auto" w:fill="0070C0"/>
          </w:tcPr>
          <w:p w14:paraId="57DA08D0" w14:textId="77777777" w:rsidR="00F31C25" w:rsidRPr="00EF77E1" w:rsidRDefault="00F31C25" w:rsidP="00BE1741">
            <w:pPr>
              <w:pStyle w:val="BodyText"/>
              <w:rPr>
                <w:color w:val="FFFFFF" w:themeColor="background1"/>
              </w:rPr>
            </w:pPr>
            <w:r w:rsidRPr="00EF77E1">
              <w:rPr>
                <w:color w:val="FFFFFF" w:themeColor="background1"/>
              </w:rPr>
              <w:lastRenderedPageBreak/>
              <w:t xml:space="preserve">Strategy </w:t>
            </w:r>
          </w:p>
        </w:tc>
        <w:tc>
          <w:tcPr>
            <w:tcW w:w="6940" w:type="dxa"/>
          </w:tcPr>
          <w:p w14:paraId="6290E7A1" w14:textId="77777777" w:rsidR="00F31C25" w:rsidRPr="0052566B" w:rsidRDefault="00F31C25" w:rsidP="00BE1741">
            <w:pPr>
              <w:pStyle w:val="ListParagraph"/>
              <w:numPr>
                <w:ilvl w:val="0"/>
                <w:numId w:val="51"/>
              </w:numPr>
              <w:spacing w:before="120" w:after="120" w:line="280" w:lineRule="atLeast"/>
              <w:ind w:left="340" w:hanging="340"/>
              <w:rPr>
                <w:sz w:val="21"/>
                <w:szCs w:val="21"/>
              </w:rPr>
            </w:pPr>
            <w:r w:rsidRPr="0052566B">
              <w:rPr>
                <w:sz w:val="21"/>
                <w:szCs w:val="21"/>
              </w:rPr>
              <w:t xml:space="preserve">Increase the role, cohesiveness and coordination of DBMAS and/or DTSCs  </w:t>
            </w:r>
          </w:p>
        </w:tc>
      </w:tr>
      <w:tr w:rsidR="00F31C25" w:rsidRPr="005E3927" w14:paraId="7229C95F" w14:textId="77777777" w:rsidTr="00BE1741">
        <w:tc>
          <w:tcPr>
            <w:tcW w:w="1555" w:type="dxa"/>
            <w:shd w:val="clear" w:color="auto" w:fill="0070C0"/>
          </w:tcPr>
          <w:p w14:paraId="308F242A" w14:textId="77777777" w:rsidR="00F31C25" w:rsidRPr="00EF77E1" w:rsidRDefault="00F31C25" w:rsidP="00BE1741">
            <w:pPr>
              <w:pStyle w:val="BodyText"/>
              <w:rPr>
                <w:color w:val="FFFFFF" w:themeColor="background1"/>
              </w:rPr>
            </w:pPr>
            <w:r>
              <w:rPr>
                <w:color w:val="FFFFFF" w:themeColor="background1"/>
              </w:rPr>
              <w:t>Forum objectives</w:t>
            </w:r>
          </w:p>
        </w:tc>
        <w:tc>
          <w:tcPr>
            <w:tcW w:w="6940" w:type="dxa"/>
          </w:tcPr>
          <w:p w14:paraId="7E6B36FF" w14:textId="77777777" w:rsidR="00F31C25" w:rsidRPr="0052566B" w:rsidRDefault="00666DF2" w:rsidP="00666DF2">
            <w:pPr>
              <w:pStyle w:val="ListParagraph"/>
              <w:numPr>
                <w:ilvl w:val="0"/>
                <w:numId w:val="67"/>
              </w:numPr>
              <w:spacing w:before="120" w:after="120" w:line="280" w:lineRule="atLeast"/>
              <w:rPr>
                <w:sz w:val="21"/>
                <w:szCs w:val="21"/>
              </w:rPr>
            </w:pPr>
            <w:r w:rsidRPr="0052566B">
              <w:rPr>
                <w:sz w:val="21"/>
                <w:szCs w:val="21"/>
              </w:rPr>
              <w:t>Satisfies forum objectives 1, 2, 3 and 4.</w:t>
            </w:r>
          </w:p>
        </w:tc>
      </w:tr>
      <w:tr w:rsidR="00F31C25" w14:paraId="1B1DDA93" w14:textId="77777777" w:rsidTr="00BE1741">
        <w:tc>
          <w:tcPr>
            <w:tcW w:w="1555" w:type="dxa"/>
            <w:shd w:val="clear" w:color="auto" w:fill="0070C0"/>
          </w:tcPr>
          <w:p w14:paraId="481F41B7" w14:textId="77777777" w:rsidR="00F31C25" w:rsidRPr="00EF77E1" w:rsidRDefault="00F31C25" w:rsidP="00BE1741">
            <w:pPr>
              <w:pStyle w:val="BodyText"/>
              <w:rPr>
                <w:color w:val="FFFFFF" w:themeColor="background1"/>
              </w:rPr>
            </w:pPr>
            <w:r w:rsidRPr="00EF77E1">
              <w:rPr>
                <w:color w:val="FFFFFF" w:themeColor="background1"/>
              </w:rPr>
              <w:t xml:space="preserve">Description </w:t>
            </w:r>
          </w:p>
        </w:tc>
        <w:tc>
          <w:tcPr>
            <w:tcW w:w="6940" w:type="dxa"/>
          </w:tcPr>
          <w:p w14:paraId="7228DB39" w14:textId="77777777" w:rsidR="0052566B" w:rsidRPr="004C7493" w:rsidRDefault="0052566B" w:rsidP="0052566B">
            <w:pPr>
              <w:spacing w:before="120" w:after="120" w:line="280" w:lineRule="atLeast"/>
              <w:rPr>
                <w:szCs w:val="21"/>
              </w:rPr>
            </w:pPr>
            <w:r>
              <w:rPr>
                <w:szCs w:val="21"/>
              </w:rPr>
              <w:t>Participants</w:t>
            </w:r>
            <w:r w:rsidRPr="004C7493">
              <w:rPr>
                <w:szCs w:val="21"/>
              </w:rPr>
              <w:t xml:space="preserve"> identified a need to improve the level of specialist support for people with severe BPSD, both at an individualised and organisation-wide level. DBMAS was identified as well placed to deliver improved support at an individual level, while DTSCs were identified as being well positioned to provide </w:t>
            </w:r>
            <w:r>
              <w:rPr>
                <w:szCs w:val="21"/>
              </w:rPr>
              <w:t xml:space="preserve">education and knowledge about </w:t>
            </w:r>
            <w:r w:rsidRPr="004C7493">
              <w:rPr>
                <w:szCs w:val="21"/>
              </w:rPr>
              <w:t xml:space="preserve">managing people with severe BPSD at the service provider level. </w:t>
            </w:r>
            <w:r>
              <w:rPr>
                <w:szCs w:val="21"/>
              </w:rPr>
              <w:t xml:space="preserve">Option B could be used to validate both propositions. </w:t>
            </w:r>
          </w:p>
          <w:p w14:paraId="246F206E" w14:textId="77777777" w:rsidR="0052566B" w:rsidRDefault="0052566B" w:rsidP="0052566B">
            <w:pPr>
              <w:spacing w:before="120" w:after="120" w:line="280" w:lineRule="atLeast"/>
              <w:rPr>
                <w:szCs w:val="21"/>
              </w:rPr>
            </w:pPr>
            <w:r w:rsidRPr="004C7493">
              <w:rPr>
                <w:szCs w:val="21"/>
              </w:rPr>
              <w:t xml:space="preserve">There is scope to increase the alignment, cohesiveness, and coordination of both DBMAS and DTSC, which could be explored as part of </w:t>
            </w:r>
            <w:r>
              <w:rPr>
                <w:szCs w:val="21"/>
              </w:rPr>
              <w:t>Option</w:t>
            </w:r>
            <w:r w:rsidRPr="004C7493">
              <w:rPr>
                <w:szCs w:val="21"/>
              </w:rPr>
              <w:t xml:space="preserve"> B.  </w:t>
            </w:r>
          </w:p>
          <w:p w14:paraId="563BE637" w14:textId="77777777" w:rsidR="0052566B" w:rsidRPr="004C7493" w:rsidRDefault="0052566B" w:rsidP="0052566B">
            <w:pPr>
              <w:spacing w:before="120" w:after="120" w:line="280" w:lineRule="atLeast"/>
              <w:rPr>
                <w:szCs w:val="21"/>
              </w:rPr>
            </w:pPr>
            <w:r>
              <w:rPr>
                <w:szCs w:val="21"/>
              </w:rPr>
              <w:t>Participants also thought DBMAS was well placed to assist with identifying and addressing behaviours triggered by unmet need.</w:t>
            </w:r>
          </w:p>
          <w:p w14:paraId="52FBA60B" w14:textId="77777777" w:rsidR="00F31C25" w:rsidRDefault="0052566B" w:rsidP="0052566B">
            <w:pPr>
              <w:spacing w:before="120" w:after="120" w:line="280" w:lineRule="atLeast"/>
              <w:rPr>
                <w:szCs w:val="22"/>
              </w:rPr>
            </w:pPr>
            <w:r w:rsidRPr="004C7493">
              <w:rPr>
                <w:szCs w:val="21"/>
              </w:rPr>
              <w:t>Both DBMAS and DTSCs would require increased resourc</w:t>
            </w:r>
            <w:r w:rsidR="000D151E">
              <w:rPr>
                <w:szCs w:val="21"/>
              </w:rPr>
              <w:t>es to meet the expanded role.</w:t>
            </w:r>
          </w:p>
        </w:tc>
      </w:tr>
      <w:tr w:rsidR="0052566B" w:rsidRPr="00E041C5" w14:paraId="2C791A38" w14:textId="77777777" w:rsidTr="00BE1741">
        <w:tc>
          <w:tcPr>
            <w:tcW w:w="1555" w:type="dxa"/>
            <w:shd w:val="clear" w:color="auto" w:fill="0070C0"/>
          </w:tcPr>
          <w:p w14:paraId="6357066D" w14:textId="77777777" w:rsidR="0052566B" w:rsidRPr="00EF77E1" w:rsidRDefault="0052566B" w:rsidP="0052566B">
            <w:pPr>
              <w:pStyle w:val="BodyText"/>
              <w:rPr>
                <w:color w:val="FFFFFF" w:themeColor="background1"/>
              </w:rPr>
            </w:pPr>
            <w:r w:rsidRPr="00EF77E1">
              <w:rPr>
                <w:color w:val="FFFFFF" w:themeColor="background1"/>
              </w:rPr>
              <w:t>Benefits</w:t>
            </w:r>
          </w:p>
        </w:tc>
        <w:tc>
          <w:tcPr>
            <w:tcW w:w="6940" w:type="dxa"/>
          </w:tcPr>
          <w:p w14:paraId="1C9E7950" w14:textId="77777777" w:rsidR="0052566B" w:rsidRPr="00DC33A9" w:rsidRDefault="0052566B" w:rsidP="0052566B">
            <w:pPr>
              <w:pStyle w:val="ListParagraph"/>
              <w:numPr>
                <w:ilvl w:val="0"/>
                <w:numId w:val="28"/>
              </w:numPr>
              <w:spacing w:before="120" w:after="120" w:line="280" w:lineRule="atLeast"/>
              <w:rPr>
                <w:sz w:val="21"/>
                <w:szCs w:val="21"/>
              </w:rPr>
            </w:pPr>
            <w:r w:rsidRPr="00767E2B">
              <w:rPr>
                <w:sz w:val="21"/>
                <w:szCs w:val="21"/>
              </w:rPr>
              <w:t xml:space="preserve">Greater levels of assistance for service providers in providing care for individuals with </w:t>
            </w:r>
            <w:r w:rsidRPr="00DC33A9">
              <w:rPr>
                <w:sz w:val="21"/>
                <w:szCs w:val="21"/>
              </w:rPr>
              <w:t>severe BPSD.</w:t>
            </w:r>
          </w:p>
          <w:p w14:paraId="06A0B341" w14:textId="77777777" w:rsidR="0052566B" w:rsidRPr="00850C95" w:rsidRDefault="0052566B" w:rsidP="0052566B">
            <w:pPr>
              <w:pStyle w:val="ListParagraph"/>
              <w:numPr>
                <w:ilvl w:val="0"/>
                <w:numId w:val="28"/>
              </w:numPr>
              <w:spacing w:before="120" w:after="120" w:line="280" w:lineRule="atLeast"/>
              <w:rPr>
                <w:sz w:val="21"/>
                <w:szCs w:val="21"/>
              </w:rPr>
            </w:pPr>
            <w:r w:rsidRPr="00850C95">
              <w:rPr>
                <w:sz w:val="21"/>
                <w:szCs w:val="21"/>
              </w:rPr>
              <w:t xml:space="preserve">Assistance with improving organisation-wide capabilities in providing care for people with severe BPSD. </w:t>
            </w:r>
          </w:p>
          <w:p w14:paraId="5E097923" w14:textId="77777777" w:rsidR="0052566B" w:rsidRPr="00850C95" w:rsidRDefault="0052566B" w:rsidP="0052566B">
            <w:pPr>
              <w:pStyle w:val="ListParagraph"/>
              <w:numPr>
                <w:ilvl w:val="0"/>
                <w:numId w:val="28"/>
              </w:numPr>
              <w:spacing w:before="120" w:after="120" w:line="280" w:lineRule="atLeast"/>
              <w:rPr>
                <w:sz w:val="21"/>
                <w:szCs w:val="21"/>
              </w:rPr>
            </w:pPr>
            <w:r w:rsidRPr="00850C95">
              <w:rPr>
                <w:sz w:val="21"/>
                <w:szCs w:val="21"/>
              </w:rPr>
              <w:t>Greater overall levels of care for people with severe BPSD.</w:t>
            </w:r>
          </w:p>
        </w:tc>
      </w:tr>
      <w:tr w:rsidR="0052566B" w:rsidRPr="0021210C" w14:paraId="488C61A4" w14:textId="77777777" w:rsidTr="00BE1741">
        <w:tc>
          <w:tcPr>
            <w:tcW w:w="1555" w:type="dxa"/>
            <w:shd w:val="clear" w:color="auto" w:fill="0070C0"/>
          </w:tcPr>
          <w:p w14:paraId="3CEF9C67" w14:textId="77777777" w:rsidR="0052566B" w:rsidRPr="00EF77E1" w:rsidRDefault="0052566B" w:rsidP="0052566B">
            <w:pPr>
              <w:pStyle w:val="BodyText"/>
              <w:rPr>
                <w:color w:val="FFFFFF" w:themeColor="background1"/>
              </w:rPr>
            </w:pPr>
            <w:r w:rsidRPr="00EF77E1">
              <w:rPr>
                <w:color w:val="FFFFFF" w:themeColor="background1"/>
              </w:rPr>
              <w:t xml:space="preserve">Risks </w:t>
            </w:r>
          </w:p>
        </w:tc>
        <w:tc>
          <w:tcPr>
            <w:tcW w:w="6940" w:type="dxa"/>
          </w:tcPr>
          <w:p w14:paraId="4F4FEEE3" w14:textId="77777777" w:rsidR="0052566B" w:rsidRPr="0077376C" w:rsidRDefault="0052566B" w:rsidP="0052566B">
            <w:pPr>
              <w:pStyle w:val="ListParagraph"/>
              <w:numPr>
                <w:ilvl w:val="0"/>
                <w:numId w:val="29"/>
              </w:numPr>
              <w:spacing w:before="120" w:after="120" w:line="280" w:lineRule="atLeast"/>
              <w:rPr>
                <w:sz w:val="21"/>
                <w:szCs w:val="21"/>
              </w:rPr>
            </w:pPr>
            <w:r w:rsidRPr="00962278">
              <w:rPr>
                <w:sz w:val="21"/>
                <w:szCs w:val="21"/>
              </w:rPr>
              <w:t>Poor communication or cooperation between DBMAS and DTSCs may</w:t>
            </w:r>
            <w:r>
              <w:rPr>
                <w:sz w:val="21"/>
                <w:szCs w:val="21"/>
              </w:rPr>
              <w:t xml:space="preserve"> adversely affect coordination and service provision. </w:t>
            </w:r>
          </w:p>
        </w:tc>
      </w:tr>
      <w:tr w:rsidR="0052566B" w:rsidRPr="00F043C2" w14:paraId="52219537" w14:textId="77777777" w:rsidTr="00BE1741">
        <w:tc>
          <w:tcPr>
            <w:tcW w:w="1555" w:type="dxa"/>
            <w:shd w:val="clear" w:color="auto" w:fill="0070C0"/>
          </w:tcPr>
          <w:p w14:paraId="4C8AAEFD" w14:textId="77777777" w:rsidR="0052566B" w:rsidRPr="00EF77E1" w:rsidRDefault="0052566B" w:rsidP="0052566B">
            <w:pPr>
              <w:pStyle w:val="BodyText"/>
              <w:rPr>
                <w:color w:val="FFFFFF" w:themeColor="background1"/>
              </w:rPr>
            </w:pPr>
            <w:r>
              <w:rPr>
                <w:color w:val="FFFFFF" w:themeColor="background1"/>
              </w:rPr>
              <w:t>Funding</w:t>
            </w:r>
          </w:p>
        </w:tc>
        <w:tc>
          <w:tcPr>
            <w:tcW w:w="6940" w:type="dxa"/>
          </w:tcPr>
          <w:p w14:paraId="7F67F4A7" w14:textId="77777777" w:rsidR="0052566B" w:rsidRPr="0052566B" w:rsidRDefault="0052566B" w:rsidP="0052566B">
            <w:pPr>
              <w:pStyle w:val="ListParagraph"/>
              <w:numPr>
                <w:ilvl w:val="0"/>
                <w:numId w:val="29"/>
              </w:numPr>
              <w:spacing w:before="120" w:after="120" w:line="280" w:lineRule="atLeast"/>
              <w:rPr>
                <w:sz w:val="21"/>
                <w:szCs w:val="21"/>
              </w:rPr>
            </w:pPr>
            <w:r w:rsidRPr="00767E2B">
              <w:rPr>
                <w:sz w:val="21"/>
                <w:szCs w:val="21"/>
              </w:rPr>
              <w:t xml:space="preserve">This model could be piloted using funding </w:t>
            </w:r>
            <w:r>
              <w:rPr>
                <w:sz w:val="21"/>
                <w:szCs w:val="21"/>
              </w:rPr>
              <w:t>that was previously identified as being for</w:t>
            </w:r>
            <w:r w:rsidRPr="00767E2B">
              <w:rPr>
                <w:sz w:val="21"/>
                <w:szCs w:val="21"/>
              </w:rPr>
              <w:t xml:space="preserve"> the Dementia and Severe Behaviours Supplement.</w:t>
            </w:r>
          </w:p>
        </w:tc>
      </w:tr>
      <w:tr w:rsidR="0052566B" w:rsidRPr="00F043C2" w14:paraId="2B87134A" w14:textId="77777777" w:rsidTr="00BE1741">
        <w:tc>
          <w:tcPr>
            <w:tcW w:w="1555" w:type="dxa"/>
            <w:shd w:val="clear" w:color="auto" w:fill="0070C0"/>
          </w:tcPr>
          <w:p w14:paraId="6D664435" w14:textId="77777777" w:rsidR="0052566B" w:rsidRPr="00EF77E1" w:rsidRDefault="0052566B" w:rsidP="0052566B">
            <w:pPr>
              <w:pStyle w:val="BodyText"/>
              <w:rPr>
                <w:color w:val="FFFFFF" w:themeColor="background1"/>
              </w:rPr>
            </w:pPr>
            <w:r>
              <w:rPr>
                <w:color w:val="FFFFFF" w:themeColor="background1"/>
              </w:rPr>
              <w:t>Feasibility</w:t>
            </w:r>
          </w:p>
        </w:tc>
        <w:tc>
          <w:tcPr>
            <w:tcW w:w="6940" w:type="dxa"/>
          </w:tcPr>
          <w:p w14:paraId="07538E4F" w14:textId="77777777" w:rsidR="0052566B" w:rsidRPr="0052566B" w:rsidRDefault="0052566B" w:rsidP="0052566B">
            <w:pPr>
              <w:pStyle w:val="ListParagraph"/>
              <w:numPr>
                <w:ilvl w:val="0"/>
                <w:numId w:val="29"/>
              </w:numPr>
              <w:spacing w:before="120" w:after="120" w:line="280" w:lineRule="atLeast"/>
              <w:rPr>
                <w:sz w:val="21"/>
                <w:szCs w:val="21"/>
              </w:rPr>
            </w:pPr>
            <w:r w:rsidRPr="00767E2B">
              <w:rPr>
                <w:sz w:val="21"/>
                <w:szCs w:val="21"/>
              </w:rPr>
              <w:t>This is an option for the short to medium term.</w:t>
            </w:r>
          </w:p>
        </w:tc>
      </w:tr>
    </w:tbl>
    <w:p w14:paraId="77FBC643" w14:textId="77777777" w:rsidR="00F31C25" w:rsidRDefault="00F31C25" w:rsidP="00AD1951"/>
    <w:tbl>
      <w:tblPr>
        <w:tblStyle w:val="TableGrid"/>
        <w:tblW w:w="0" w:type="auto"/>
        <w:tblLook w:val="04A0" w:firstRow="1" w:lastRow="0" w:firstColumn="1" w:lastColumn="0" w:noHBand="0" w:noVBand="1"/>
        <w:tblDescription w:val="Strategy D: Pilot the use of flying squads"/>
      </w:tblPr>
      <w:tblGrid>
        <w:gridCol w:w="1555"/>
        <w:gridCol w:w="6940"/>
      </w:tblGrid>
      <w:tr w:rsidR="00F31C25" w:rsidRPr="00686BA1" w14:paraId="67A9DAD6" w14:textId="77777777" w:rsidTr="0059201E">
        <w:trPr>
          <w:tblHeader/>
        </w:trPr>
        <w:tc>
          <w:tcPr>
            <w:tcW w:w="1555" w:type="dxa"/>
            <w:shd w:val="clear" w:color="auto" w:fill="0070C0"/>
          </w:tcPr>
          <w:p w14:paraId="10F1E404" w14:textId="77777777" w:rsidR="00F31C25" w:rsidRPr="00EF77E1" w:rsidRDefault="00F31C25" w:rsidP="00BE1741">
            <w:pPr>
              <w:pStyle w:val="BodyText"/>
              <w:rPr>
                <w:color w:val="FFFFFF" w:themeColor="background1"/>
              </w:rPr>
            </w:pPr>
            <w:r w:rsidRPr="00EF77E1">
              <w:rPr>
                <w:color w:val="FFFFFF" w:themeColor="background1"/>
              </w:rPr>
              <w:t xml:space="preserve">Strategy </w:t>
            </w:r>
          </w:p>
        </w:tc>
        <w:tc>
          <w:tcPr>
            <w:tcW w:w="6940" w:type="dxa"/>
          </w:tcPr>
          <w:p w14:paraId="2AC521AE" w14:textId="77777777" w:rsidR="00F31C25" w:rsidRPr="006C369F" w:rsidRDefault="00666DF2" w:rsidP="00666DF2">
            <w:pPr>
              <w:pStyle w:val="ListParagraph"/>
              <w:numPr>
                <w:ilvl w:val="0"/>
                <w:numId w:val="51"/>
              </w:numPr>
              <w:spacing w:before="120" w:after="120" w:line="280" w:lineRule="atLeast"/>
              <w:rPr>
                <w:sz w:val="21"/>
                <w:szCs w:val="21"/>
              </w:rPr>
            </w:pPr>
            <w:r w:rsidRPr="006C369F">
              <w:rPr>
                <w:sz w:val="21"/>
                <w:szCs w:val="21"/>
              </w:rPr>
              <w:t>Pilot the use of ‘flying squads’</w:t>
            </w:r>
            <w:r w:rsidR="00F31C25" w:rsidRPr="006C369F">
              <w:rPr>
                <w:sz w:val="21"/>
                <w:szCs w:val="21"/>
              </w:rPr>
              <w:t xml:space="preserve"> </w:t>
            </w:r>
          </w:p>
        </w:tc>
      </w:tr>
      <w:tr w:rsidR="00666DF2" w14:paraId="028C5CD9" w14:textId="77777777" w:rsidTr="00BE1741">
        <w:tc>
          <w:tcPr>
            <w:tcW w:w="1555" w:type="dxa"/>
            <w:shd w:val="clear" w:color="auto" w:fill="0070C0"/>
          </w:tcPr>
          <w:p w14:paraId="7A3D40A5" w14:textId="77777777" w:rsidR="00666DF2" w:rsidRPr="00EF77E1" w:rsidRDefault="00666DF2" w:rsidP="00666DF2">
            <w:pPr>
              <w:pStyle w:val="BodyText"/>
              <w:rPr>
                <w:color w:val="FFFFFF" w:themeColor="background1"/>
              </w:rPr>
            </w:pPr>
            <w:r>
              <w:rPr>
                <w:color w:val="FFFFFF" w:themeColor="background1"/>
              </w:rPr>
              <w:t>Forum objectives</w:t>
            </w:r>
          </w:p>
        </w:tc>
        <w:tc>
          <w:tcPr>
            <w:tcW w:w="6940" w:type="dxa"/>
          </w:tcPr>
          <w:p w14:paraId="1AE5F247" w14:textId="77777777" w:rsidR="00666DF2" w:rsidRPr="006C369F" w:rsidRDefault="00666DF2" w:rsidP="00666DF2">
            <w:pPr>
              <w:pStyle w:val="ListParagraph"/>
              <w:numPr>
                <w:ilvl w:val="0"/>
                <w:numId w:val="67"/>
              </w:numPr>
              <w:spacing w:before="120" w:after="120" w:line="280" w:lineRule="atLeast"/>
              <w:rPr>
                <w:sz w:val="21"/>
                <w:szCs w:val="21"/>
              </w:rPr>
            </w:pPr>
            <w:r w:rsidRPr="006C369F">
              <w:rPr>
                <w:sz w:val="21"/>
                <w:szCs w:val="21"/>
              </w:rPr>
              <w:t xml:space="preserve">Satisfies forum objectives 1, 2 3 and 4.  </w:t>
            </w:r>
          </w:p>
        </w:tc>
      </w:tr>
      <w:tr w:rsidR="006C369F" w14:paraId="70E06B31" w14:textId="77777777" w:rsidTr="00BE1741">
        <w:tc>
          <w:tcPr>
            <w:tcW w:w="1555" w:type="dxa"/>
            <w:shd w:val="clear" w:color="auto" w:fill="0070C0"/>
          </w:tcPr>
          <w:p w14:paraId="5DD29625" w14:textId="77777777" w:rsidR="006C369F" w:rsidRPr="00EF77E1" w:rsidRDefault="006C369F" w:rsidP="006C369F">
            <w:pPr>
              <w:pStyle w:val="BodyText"/>
              <w:rPr>
                <w:color w:val="FFFFFF" w:themeColor="background1"/>
              </w:rPr>
            </w:pPr>
            <w:r w:rsidRPr="00EF77E1">
              <w:rPr>
                <w:color w:val="FFFFFF" w:themeColor="background1"/>
              </w:rPr>
              <w:t xml:space="preserve">Description </w:t>
            </w:r>
          </w:p>
        </w:tc>
        <w:tc>
          <w:tcPr>
            <w:tcW w:w="6940" w:type="dxa"/>
          </w:tcPr>
          <w:p w14:paraId="72D6F4D0" w14:textId="77777777" w:rsidR="006C369F" w:rsidRPr="00E6139D" w:rsidRDefault="006C369F" w:rsidP="006C369F">
            <w:pPr>
              <w:spacing w:before="120" w:after="120" w:line="280" w:lineRule="atLeast"/>
              <w:rPr>
                <w:szCs w:val="21"/>
              </w:rPr>
            </w:pPr>
            <w:r w:rsidRPr="00E6139D">
              <w:rPr>
                <w:szCs w:val="21"/>
              </w:rPr>
              <w:t>The use of flying squads—the models of which varied between geriatrician and nurse practitioner led but involved specialis</w:t>
            </w:r>
            <w:r>
              <w:rPr>
                <w:szCs w:val="21"/>
              </w:rPr>
              <w:t>t</w:t>
            </w:r>
            <w:r w:rsidRPr="00E6139D">
              <w:rPr>
                <w:szCs w:val="21"/>
              </w:rPr>
              <w:t xml:space="preserve"> assessment and multidisciplinary input—to provide support to residential care providers or carers </w:t>
            </w:r>
            <w:r>
              <w:rPr>
                <w:szCs w:val="21"/>
              </w:rPr>
              <w:t xml:space="preserve">of people with severe BPSD </w:t>
            </w:r>
            <w:r w:rsidRPr="00E6139D">
              <w:rPr>
                <w:szCs w:val="21"/>
              </w:rPr>
              <w:t xml:space="preserve">could be piloted </w:t>
            </w:r>
            <w:r>
              <w:rPr>
                <w:szCs w:val="21"/>
              </w:rPr>
              <w:t>to assess</w:t>
            </w:r>
            <w:r w:rsidRPr="00E6139D">
              <w:rPr>
                <w:szCs w:val="21"/>
              </w:rPr>
              <w:t xml:space="preserve"> their effectiveness. </w:t>
            </w:r>
          </w:p>
          <w:p w14:paraId="3B7ACB92" w14:textId="77777777" w:rsidR="006C369F" w:rsidRPr="00E6139D" w:rsidRDefault="006C369F" w:rsidP="006C369F">
            <w:pPr>
              <w:spacing w:before="120" w:after="120" w:line="280" w:lineRule="atLeast"/>
              <w:rPr>
                <w:szCs w:val="21"/>
              </w:rPr>
            </w:pPr>
            <w:r w:rsidRPr="00E6139D">
              <w:rPr>
                <w:szCs w:val="21"/>
              </w:rPr>
              <w:t>A pilot could involve flying squads in three different geographic locations, a metropolitan; regional; and rural location.</w:t>
            </w:r>
          </w:p>
        </w:tc>
      </w:tr>
      <w:tr w:rsidR="006C369F" w:rsidRPr="0021210C" w14:paraId="63D2BD11" w14:textId="77777777" w:rsidTr="00BE1741">
        <w:tc>
          <w:tcPr>
            <w:tcW w:w="1555" w:type="dxa"/>
            <w:shd w:val="clear" w:color="auto" w:fill="0070C0"/>
          </w:tcPr>
          <w:p w14:paraId="6C7D17C1" w14:textId="77777777" w:rsidR="006C369F" w:rsidRPr="00EF77E1" w:rsidRDefault="006C369F" w:rsidP="006C369F">
            <w:pPr>
              <w:pStyle w:val="BodyText"/>
              <w:rPr>
                <w:color w:val="FFFFFF" w:themeColor="background1"/>
              </w:rPr>
            </w:pPr>
            <w:r w:rsidRPr="00EF77E1">
              <w:rPr>
                <w:color w:val="FFFFFF" w:themeColor="background1"/>
              </w:rPr>
              <w:lastRenderedPageBreak/>
              <w:t>Benefits</w:t>
            </w:r>
          </w:p>
        </w:tc>
        <w:tc>
          <w:tcPr>
            <w:tcW w:w="6940" w:type="dxa"/>
          </w:tcPr>
          <w:p w14:paraId="1605491E" w14:textId="77777777" w:rsidR="006C369F" w:rsidRPr="00E6139D" w:rsidRDefault="006C369F" w:rsidP="006C369F">
            <w:pPr>
              <w:pStyle w:val="ListParagraph"/>
              <w:numPr>
                <w:ilvl w:val="0"/>
                <w:numId w:val="28"/>
              </w:numPr>
              <w:spacing w:before="120" w:after="120" w:line="280" w:lineRule="atLeast"/>
              <w:rPr>
                <w:sz w:val="21"/>
                <w:szCs w:val="21"/>
              </w:rPr>
            </w:pPr>
            <w:r w:rsidRPr="00767E2B">
              <w:rPr>
                <w:sz w:val="21"/>
                <w:szCs w:val="21"/>
              </w:rPr>
              <w:t>It was thought that these flying squads would be cost effective in that they would bring care to the person</w:t>
            </w:r>
            <w:r>
              <w:rPr>
                <w:sz w:val="21"/>
                <w:szCs w:val="21"/>
              </w:rPr>
              <w:t xml:space="preserve"> with severe BPSD</w:t>
            </w:r>
            <w:r w:rsidRPr="00767E2B">
              <w:rPr>
                <w:sz w:val="21"/>
                <w:szCs w:val="21"/>
              </w:rPr>
              <w:t>, resulting in earlier intervention a</w:t>
            </w:r>
            <w:r>
              <w:rPr>
                <w:sz w:val="21"/>
                <w:szCs w:val="21"/>
              </w:rPr>
              <w:t xml:space="preserve"> with the result of minimising</w:t>
            </w:r>
            <w:r w:rsidRPr="00767E2B">
              <w:rPr>
                <w:sz w:val="21"/>
                <w:szCs w:val="21"/>
              </w:rPr>
              <w:t xml:space="preserve"> even more resource intensive downstream interventions such as emergency department presentations.</w:t>
            </w:r>
            <w:r w:rsidRPr="00E6139D">
              <w:rPr>
                <w:sz w:val="21"/>
                <w:szCs w:val="21"/>
              </w:rPr>
              <w:t xml:space="preserve"> A pilot would be able to evaluate this.</w:t>
            </w:r>
          </w:p>
        </w:tc>
      </w:tr>
      <w:tr w:rsidR="006C369F" w:rsidRPr="0021210C" w14:paraId="7AE3941D" w14:textId="77777777" w:rsidTr="00BE1741">
        <w:tc>
          <w:tcPr>
            <w:tcW w:w="1555" w:type="dxa"/>
            <w:shd w:val="clear" w:color="auto" w:fill="0070C0"/>
          </w:tcPr>
          <w:p w14:paraId="26AC25B8" w14:textId="77777777" w:rsidR="006C369F" w:rsidRPr="00EF77E1" w:rsidRDefault="006C369F" w:rsidP="006C369F">
            <w:pPr>
              <w:pStyle w:val="BodyText"/>
              <w:rPr>
                <w:color w:val="FFFFFF" w:themeColor="background1"/>
              </w:rPr>
            </w:pPr>
            <w:r w:rsidRPr="00EF77E1">
              <w:rPr>
                <w:color w:val="FFFFFF" w:themeColor="background1"/>
              </w:rPr>
              <w:t xml:space="preserve">Risks </w:t>
            </w:r>
          </w:p>
        </w:tc>
        <w:tc>
          <w:tcPr>
            <w:tcW w:w="6940" w:type="dxa"/>
          </w:tcPr>
          <w:p w14:paraId="352FD6F1" w14:textId="77777777" w:rsidR="006C369F" w:rsidRPr="00767E2B" w:rsidRDefault="006C369F" w:rsidP="006C369F">
            <w:pPr>
              <w:pStyle w:val="ListParagraph"/>
              <w:numPr>
                <w:ilvl w:val="0"/>
                <w:numId w:val="29"/>
              </w:numPr>
              <w:spacing w:before="120" w:after="120" w:line="280" w:lineRule="atLeast"/>
              <w:rPr>
                <w:sz w:val="21"/>
                <w:szCs w:val="21"/>
              </w:rPr>
            </w:pPr>
            <w:r w:rsidRPr="00767E2B">
              <w:rPr>
                <w:sz w:val="21"/>
                <w:szCs w:val="21"/>
              </w:rPr>
              <w:t>Concerns regarding the number of flying squads required to service the whole country.</w:t>
            </w:r>
          </w:p>
          <w:p w14:paraId="07559FE4" w14:textId="77777777" w:rsidR="006C369F" w:rsidRPr="00E6139D" w:rsidRDefault="006C369F" w:rsidP="006C369F">
            <w:pPr>
              <w:pStyle w:val="ListParagraph"/>
              <w:numPr>
                <w:ilvl w:val="0"/>
                <w:numId w:val="29"/>
              </w:numPr>
              <w:spacing w:before="120" w:after="120" w:line="280" w:lineRule="atLeast"/>
              <w:rPr>
                <w:sz w:val="21"/>
                <w:szCs w:val="21"/>
              </w:rPr>
            </w:pPr>
            <w:r w:rsidRPr="009552F2">
              <w:rPr>
                <w:sz w:val="21"/>
                <w:szCs w:val="21"/>
              </w:rPr>
              <w:t xml:space="preserve">May be difficult for the flying squad model to </w:t>
            </w:r>
            <w:r>
              <w:rPr>
                <w:sz w:val="21"/>
                <w:szCs w:val="21"/>
              </w:rPr>
              <w:t>sustain</w:t>
            </w:r>
            <w:r w:rsidRPr="009552F2">
              <w:rPr>
                <w:sz w:val="21"/>
                <w:szCs w:val="21"/>
              </w:rPr>
              <w:t xml:space="preserve"> long-term change and service improvement outcomes </w:t>
            </w:r>
            <w:r w:rsidRPr="00E6139D">
              <w:rPr>
                <w:sz w:val="21"/>
                <w:szCs w:val="21"/>
              </w:rPr>
              <w:t>in the residential care facilities.</w:t>
            </w:r>
          </w:p>
        </w:tc>
      </w:tr>
      <w:tr w:rsidR="006C369F" w:rsidRPr="0021210C" w14:paraId="697CEE2D" w14:textId="77777777" w:rsidTr="00BE1741">
        <w:tc>
          <w:tcPr>
            <w:tcW w:w="1555" w:type="dxa"/>
            <w:shd w:val="clear" w:color="auto" w:fill="0070C0"/>
          </w:tcPr>
          <w:p w14:paraId="07B615C6" w14:textId="77777777" w:rsidR="006C369F" w:rsidRPr="00EF77E1" w:rsidRDefault="006C369F" w:rsidP="006C369F">
            <w:pPr>
              <w:pStyle w:val="BodyText"/>
              <w:rPr>
                <w:color w:val="FFFFFF" w:themeColor="background1"/>
              </w:rPr>
            </w:pPr>
            <w:r>
              <w:rPr>
                <w:color w:val="FFFFFF" w:themeColor="background1"/>
              </w:rPr>
              <w:t>Funding</w:t>
            </w:r>
          </w:p>
        </w:tc>
        <w:tc>
          <w:tcPr>
            <w:tcW w:w="6940" w:type="dxa"/>
          </w:tcPr>
          <w:p w14:paraId="6F6DFC82" w14:textId="77777777" w:rsidR="006C369F" w:rsidRPr="00E6139D" w:rsidRDefault="006C369F" w:rsidP="006C369F">
            <w:pPr>
              <w:pStyle w:val="ListParagraph"/>
              <w:numPr>
                <w:ilvl w:val="0"/>
                <w:numId w:val="29"/>
              </w:numPr>
              <w:spacing w:before="120" w:after="120" w:line="280" w:lineRule="atLeast"/>
              <w:rPr>
                <w:sz w:val="21"/>
                <w:szCs w:val="21"/>
              </w:rPr>
            </w:pPr>
            <w:r w:rsidRPr="00767E2B">
              <w:rPr>
                <w:sz w:val="21"/>
                <w:szCs w:val="21"/>
              </w:rPr>
              <w:t xml:space="preserve">A budget to pilot and evaluate flying squads could be created from the funds that </w:t>
            </w:r>
            <w:r>
              <w:rPr>
                <w:sz w:val="21"/>
                <w:szCs w:val="21"/>
              </w:rPr>
              <w:t>were</w:t>
            </w:r>
            <w:r w:rsidRPr="00767E2B">
              <w:rPr>
                <w:sz w:val="21"/>
                <w:szCs w:val="21"/>
              </w:rPr>
              <w:t xml:space="preserve"> previously allocated for the Dementia and Severe Behaviour</w:t>
            </w:r>
            <w:r w:rsidRPr="00E6139D">
              <w:rPr>
                <w:sz w:val="21"/>
                <w:szCs w:val="21"/>
              </w:rPr>
              <w:t>s Supplement.</w:t>
            </w:r>
          </w:p>
        </w:tc>
      </w:tr>
      <w:tr w:rsidR="006C369F" w:rsidRPr="0021210C" w14:paraId="602D9059" w14:textId="77777777" w:rsidTr="00BE1741">
        <w:tc>
          <w:tcPr>
            <w:tcW w:w="1555" w:type="dxa"/>
            <w:shd w:val="clear" w:color="auto" w:fill="0070C0"/>
          </w:tcPr>
          <w:p w14:paraId="78CA245D" w14:textId="77777777" w:rsidR="006C369F" w:rsidRPr="00EF77E1" w:rsidRDefault="006C369F" w:rsidP="006C369F">
            <w:pPr>
              <w:pStyle w:val="BodyText"/>
              <w:rPr>
                <w:color w:val="FFFFFF" w:themeColor="background1"/>
              </w:rPr>
            </w:pPr>
            <w:r>
              <w:rPr>
                <w:color w:val="FFFFFF" w:themeColor="background1"/>
              </w:rPr>
              <w:t>Feasibility</w:t>
            </w:r>
          </w:p>
        </w:tc>
        <w:tc>
          <w:tcPr>
            <w:tcW w:w="6940" w:type="dxa"/>
          </w:tcPr>
          <w:p w14:paraId="7DE1F2D3" w14:textId="77777777" w:rsidR="006C369F" w:rsidRPr="00E6139D" w:rsidRDefault="006C369F" w:rsidP="006C369F">
            <w:pPr>
              <w:pStyle w:val="ListParagraph"/>
              <w:numPr>
                <w:ilvl w:val="0"/>
                <w:numId w:val="29"/>
              </w:numPr>
              <w:spacing w:before="120" w:after="120" w:line="280" w:lineRule="atLeast"/>
              <w:rPr>
                <w:sz w:val="21"/>
                <w:szCs w:val="21"/>
              </w:rPr>
            </w:pPr>
            <w:r w:rsidRPr="00767E2B">
              <w:rPr>
                <w:sz w:val="21"/>
                <w:szCs w:val="21"/>
              </w:rPr>
              <w:t>Further work is required to develop the flying squad model and to clarify how flying squads would differ from</w:t>
            </w:r>
            <w:r>
              <w:rPr>
                <w:sz w:val="21"/>
                <w:szCs w:val="21"/>
              </w:rPr>
              <w:t>,</w:t>
            </w:r>
            <w:r w:rsidRPr="009552F2">
              <w:rPr>
                <w:sz w:val="21"/>
                <w:szCs w:val="21"/>
              </w:rPr>
              <w:t xml:space="preserve"> compl</w:t>
            </w:r>
            <w:r>
              <w:rPr>
                <w:sz w:val="21"/>
                <w:szCs w:val="21"/>
              </w:rPr>
              <w:t>e</w:t>
            </w:r>
            <w:r w:rsidRPr="009552F2">
              <w:rPr>
                <w:sz w:val="21"/>
                <w:szCs w:val="21"/>
              </w:rPr>
              <w:t>ment</w:t>
            </w:r>
            <w:r>
              <w:rPr>
                <w:sz w:val="21"/>
                <w:szCs w:val="21"/>
              </w:rPr>
              <w:t xml:space="preserve">, </w:t>
            </w:r>
            <w:r w:rsidRPr="009552F2">
              <w:rPr>
                <w:sz w:val="21"/>
                <w:szCs w:val="21"/>
              </w:rPr>
              <w:t>or build on DBMAS</w:t>
            </w:r>
            <w:r>
              <w:rPr>
                <w:sz w:val="21"/>
                <w:szCs w:val="21"/>
              </w:rPr>
              <w:t>, particularly</w:t>
            </w:r>
            <w:r w:rsidRPr="009552F2">
              <w:rPr>
                <w:sz w:val="21"/>
                <w:szCs w:val="21"/>
              </w:rPr>
              <w:t xml:space="preserve"> in states where DBMAS is less established</w:t>
            </w:r>
            <w:r w:rsidRPr="00E6139D">
              <w:rPr>
                <w:sz w:val="21"/>
                <w:szCs w:val="21"/>
              </w:rPr>
              <w:t>.</w:t>
            </w:r>
            <w:r>
              <w:rPr>
                <w:sz w:val="21"/>
                <w:szCs w:val="21"/>
              </w:rPr>
              <w:t xml:space="preserve"> </w:t>
            </w:r>
            <w:r w:rsidRPr="00E6139D">
              <w:rPr>
                <w:sz w:val="21"/>
                <w:szCs w:val="21"/>
              </w:rPr>
              <w:t>This is an option for the medium term.</w:t>
            </w:r>
          </w:p>
        </w:tc>
      </w:tr>
    </w:tbl>
    <w:p w14:paraId="4F077E5F" w14:textId="77777777" w:rsidR="00F31C25" w:rsidRDefault="00F31C25" w:rsidP="00F31C25"/>
    <w:tbl>
      <w:tblPr>
        <w:tblStyle w:val="TableGrid"/>
        <w:tblW w:w="0" w:type="auto"/>
        <w:tblLook w:val="04A0" w:firstRow="1" w:lastRow="0" w:firstColumn="1" w:lastColumn="0" w:noHBand="0" w:noVBand="1"/>
        <w:tblDescription w:val="Strategy E: Use of specialised units"/>
      </w:tblPr>
      <w:tblGrid>
        <w:gridCol w:w="1555"/>
        <w:gridCol w:w="6940"/>
      </w:tblGrid>
      <w:tr w:rsidR="00F31C25" w:rsidRPr="00655575" w14:paraId="229197AC" w14:textId="77777777" w:rsidTr="0059201E">
        <w:trPr>
          <w:tblHeader/>
        </w:trPr>
        <w:tc>
          <w:tcPr>
            <w:tcW w:w="1555" w:type="dxa"/>
            <w:shd w:val="clear" w:color="auto" w:fill="0070C0"/>
          </w:tcPr>
          <w:p w14:paraId="6D87ECC2" w14:textId="77777777" w:rsidR="00F31C25" w:rsidRPr="00EF77E1" w:rsidRDefault="00F31C25" w:rsidP="00BE1741">
            <w:pPr>
              <w:pStyle w:val="BodyText"/>
              <w:rPr>
                <w:color w:val="FFFFFF" w:themeColor="background1"/>
              </w:rPr>
            </w:pPr>
            <w:r w:rsidRPr="00EF77E1">
              <w:rPr>
                <w:color w:val="FFFFFF" w:themeColor="background1"/>
              </w:rPr>
              <w:t xml:space="preserve">Strategy </w:t>
            </w:r>
          </w:p>
        </w:tc>
        <w:tc>
          <w:tcPr>
            <w:tcW w:w="6940" w:type="dxa"/>
          </w:tcPr>
          <w:p w14:paraId="1292BE0C" w14:textId="77777777" w:rsidR="00F31C25" w:rsidRPr="006C369F" w:rsidRDefault="00666DF2" w:rsidP="00666DF2">
            <w:pPr>
              <w:pStyle w:val="ListParagraph"/>
              <w:numPr>
                <w:ilvl w:val="0"/>
                <w:numId w:val="51"/>
              </w:numPr>
              <w:spacing w:before="120" w:after="120" w:line="280" w:lineRule="atLeast"/>
              <w:rPr>
                <w:sz w:val="21"/>
                <w:szCs w:val="21"/>
              </w:rPr>
            </w:pPr>
            <w:r w:rsidRPr="006C369F">
              <w:rPr>
                <w:sz w:val="21"/>
                <w:szCs w:val="21"/>
              </w:rPr>
              <w:t>Use of specialised units</w:t>
            </w:r>
            <w:r w:rsidR="00F31C25" w:rsidRPr="006C369F">
              <w:rPr>
                <w:sz w:val="21"/>
                <w:szCs w:val="21"/>
              </w:rPr>
              <w:t xml:space="preserve">  </w:t>
            </w:r>
          </w:p>
        </w:tc>
      </w:tr>
      <w:tr w:rsidR="00F31C25" w:rsidRPr="005E3927" w14:paraId="1BE8990A" w14:textId="77777777" w:rsidTr="00BE1741">
        <w:tc>
          <w:tcPr>
            <w:tcW w:w="1555" w:type="dxa"/>
            <w:shd w:val="clear" w:color="auto" w:fill="0070C0"/>
          </w:tcPr>
          <w:p w14:paraId="467455A2" w14:textId="77777777" w:rsidR="00F31C25" w:rsidRPr="00EF77E1" w:rsidRDefault="00F31C25" w:rsidP="00BE1741">
            <w:pPr>
              <w:pStyle w:val="BodyText"/>
              <w:rPr>
                <w:color w:val="FFFFFF" w:themeColor="background1"/>
              </w:rPr>
            </w:pPr>
            <w:r>
              <w:rPr>
                <w:color w:val="FFFFFF" w:themeColor="background1"/>
              </w:rPr>
              <w:t>Forum objectives</w:t>
            </w:r>
          </w:p>
        </w:tc>
        <w:tc>
          <w:tcPr>
            <w:tcW w:w="6940" w:type="dxa"/>
          </w:tcPr>
          <w:p w14:paraId="780611DF" w14:textId="77777777" w:rsidR="00F31C25" w:rsidRPr="006C369F" w:rsidRDefault="00666DF2" w:rsidP="00BE1741">
            <w:pPr>
              <w:pStyle w:val="ListParagraph"/>
              <w:numPr>
                <w:ilvl w:val="0"/>
                <w:numId w:val="67"/>
              </w:numPr>
              <w:spacing w:before="120" w:after="120" w:line="280" w:lineRule="atLeast"/>
              <w:rPr>
                <w:sz w:val="21"/>
                <w:szCs w:val="21"/>
              </w:rPr>
            </w:pPr>
            <w:r w:rsidRPr="006C369F">
              <w:rPr>
                <w:sz w:val="21"/>
                <w:szCs w:val="21"/>
              </w:rPr>
              <w:t>Satisfies f</w:t>
            </w:r>
            <w:r w:rsidR="00F31C25" w:rsidRPr="006C369F">
              <w:rPr>
                <w:sz w:val="21"/>
                <w:szCs w:val="21"/>
              </w:rPr>
              <w:t xml:space="preserve">orum objectives 2 and 4  </w:t>
            </w:r>
          </w:p>
        </w:tc>
      </w:tr>
      <w:tr w:rsidR="006C369F" w14:paraId="18589611" w14:textId="77777777" w:rsidTr="00BE1741">
        <w:tc>
          <w:tcPr>
            <w:tcW w:w="1555" w:type="dxa"/>
            <w:shd w:val="clear" w:color="auto" w:fill="0070C0"/>
          </w:tcPr>
          <w:p w14:paraId="4543E661" w14:textId="77777777" w:rsidR="006C369F" w:rsidRPr="00EF77E1" w:rsidRDefault="006C369F" w:rsidP="006C369F">
            <w:pPr>
              <w:pStyle w:val="BodyText"/>
              <w:rPr>
                <w:color w:val="FFFFFF" w:themeColor="background1"/>
              </w:rPr>
            </w:pPr>
            <w:r w:rsidRPr="00EF77E1">
              <w:rPr>
                <w:color w:val="FFFFFF" w:themeColor="background1"/>
              </w:rPr>
              <w:t xml:space="preserve">Description </w:t>
            </w:r>
          </w:p>
        </w:tc>
        <w:tc>
          <w:tcPr>
            <w:tcW w:w="6940" w:type="dxa"/>
          </w:tcPr>
          <w:p w14:paraId="58E9F798" w14:textId="77777777" w:rsidR="006C369F" w:rsidRPr="004C7493" w:rsidRDefault="006C369F" w:rsidP="006C369F">
            <w:pPr>
              <w:spacing w:before="120" w:after="120" w:line="280" w:lineRule="atLeast"/>
              <w:rPr>
                <w:szCs w:val="21"/>
              </w:rPr>
            </w:pPr>
            <w:r>
              <w:rPr>
                <w:szCs w:val="21"/>
              </w:rPr>
              <w:t>T</w:t>
            </w:r>
            <w:r w:rsidRPr="004C7493">
              <w:rPr>
                <w:szCs w:val="21"/>
              </w:rPr>
              <w:t xml:space="preserve">he use of </w:t>
            </w:r>
            <w:r>
              <w:rPr>
                <w:szCs w:val="21"/>
              </w:rPr>
              <w:t>specialist</w:t>
            </w:r>
            <w:r w:rsidRPr="004C7493">
              <w:rPr>
                <w:szCs w:val="21"/>
              </w:rPr>
              <w:t xml:space="preserve"> units within general residential aged care facilities for those with severe BPSD is considered to be highly effective in the areas that these services are available. The units </w:t>
            </w:r>
            <w:r>
              <w:rPr>
                <w:szCs w:val="21"/>
              </w:rPr>
              <w:t>c</w:t>
            </w:r>
            <w:r w:rsidRPr="004C7493">
              <w:rPr>
                <w:szCs w:val="21"/>
              </w:rPr>
              <w:t xml:space="preserve">ould </w:t>
            </w:r>
            <w:r>
              <w:rPr>
                <w:szCs w:val="21"/>
              </w:rPr>
              <w:t>be characterised by</w:t>
            </w:r>
            <w:r w:rsidRPr="00DC33A9">
              <w:rPr>
                <w:szCs w:val="21"/>
              </w:rPr>
              <w:t xml:space="preserve"> a specialised workforce, good dementia design</w:t>
            </w:r>
            <w:r>
              <w:rPr>
                <w:szCs w:val="21"/>
              </w:rPr>
              <w:t xml:space="preserve"> and</w:t>
            </w:r>
            <w:r w:rsidRPr="00DC33A9">
              <w:rPr>
                <w:szCs w:val="21"/>
              </w:rPr>
              <w:t xml:space="preserve"> low levels of medical and physical restraint</w:t>
            </w:r>
            <w:r>
              <w:rPr>
                <w:szCs w:val="21"/>
              </w:rPr>
              <w:t>.</w:t>
            </w:r>
            <w:r w:rsidRPr="004C7493">
              <w:rPr>
                <w:szCs w:val="21"/>
              </w:rPr>
              <w:t xml:space="preserve"> </w:t>
            </w:r>
            <w:r>
              <w:rPr>
                <w:szCs w:val="21"/>
              </w:rPr>
              <w:t>While t</w:t>
            </w:r>
            <w:r w:rsidRPr="004C7493">
              <w:rPr>
                <w:szCs w:val="21"/>
              </w:rPr>
              <w:t xml:space="preserve">here are some units in existence, a lack of specialised support was identified as a significant problem by most forum </w:t>
            </w:r>
            <w:r>
              <w:rPr>
                <w:szCs w:val="21"/>
              </w:rPr>
              <w:t>participants</w:t>
            </w:r>
            <w:r w:rsidRPr="004C7493">
              <w:rPr>
                <w:szCs w:val="21"/>
              </w:rPr>
              <w:t xml:space="preserve">. Increasing the availability of specialised units would </w:t>
            </w:r>
            <w:r>
              <w:rPr>
                <w:szCs w:val="21"/>
              </w:rPr>
              <w:t>provide support for people with severe BPSD</w:t>
            </w:r>
            <w:r w:rsidRPr="004C7493">
              <w:rPr>
                <w:szCs w:val="21"/>
              </w:rPr>
              <w:t>.</w:t>
            </w:r>
          </w:p>
          <w:p w14:paraId="22CC72B0" w14:textId="77777777" w:rsidR="006C369F" w:rsidRPr="004C7493" w:rsidRDefault="006C369F" w:rsidP="006C369F">
            <w:pPr>
              <w:spacing w:before="120" w:after="120" w:line="280" w:lineRule="atLeast"/>
              <w:rPr>
                <w:szCs w:val="21"/>
              </w:rPr>
            </w:pPr>
            <w:r>
              <w:rPr>
                <w:szCs w:val="21"/>
              </w:rPr>
              <w:t>Participants thought that t</w:t>
            </w:r>
            <w:r w:rsidRPr="004C7493">
              <w:rPr>
                <w:szCs w:val="21"/>
              </w:rPr>
              <w:t xml:space="preserve">he description of these units should not </w:t>
            </w:r>
            <w:r>
              <w:rPr>
                <w:szCs w:val="21"/>
              </w:rPr>
              <w:t>add to</w:t>
            </w:r>
            <w:r w:rsidRPr="004C7493">
              <w:rPr>
                <w:szCs w:val="21"/>
              </w:rPr>
              <w:t xml:space="preserve"> the stigma around dementia and </w:t>
            </w:r>
            <w:r>
              <w:rPr>
                <w:szCs w:val="21"/>
              </w:rPr>
              <w:t xml:space="preserve">severe </w:t>
            </w:r>
            <w:r w:rsidRPr="004C7493">
              <w:rPr>
                <w:szCs w:val="21"/>
              </w:rPr>
              <w:t xml:space="preserve">BPSD. Instead of names such as ‘high care units’ and ‘high dependency units’, names such as ‘special care units’ or ‘special dementia units’ should be used to emphasise a quality of life enhancing approach for people needing these specialised units. </w:t>
            </w:r>
            <w:r>
              <w:rPr>
                <w:szCs w:val="21"/>
              </w:rPr>
              <w:t>While the exact number of units required in each state/territory is not known, t</w:t>
            </w:r>
            <w:r w:rsidRPr="004C7493">
              <w:rPr>
                <w:szCs w:val="21"/>
              </w:rPr>
              <w:t>wo to three additional specialised units per state</w:t>
            </w:r>
            <w:r>
              <w:rPr>
                <w:szCs w:val="21"/>
              </w:rPr>
              <w:t>/territory</w:t>
            </w:r>
            <w:r w:rsidRPr="004C7493">
              <w:rPr>
                <w:szCs w:val="21"/>
              </w:rPr>
              <w:t xml:space="preserve"> would substantially increase the availability of </w:t>
            </w:r>
            <w:r>
              <w:rPr>
                <w:szCs w:val="21"/>
              </w:rPr>
              <w:t>this type of care</w:t>
            </w:r>
            <w:r w:rsidRPr="004C7493">
              <w:rPr>
                <w:szCs w:val="21"/>
              </w:rPr>
              <w:t xml:space="preserve">.  </w:t>
            </w:r>
          </w:p>
        </w:tc>
      </w:tr>
      <w:tr w:rsidR="006C369F" w:rsidRPr="00E041C5" w14:paraId="16D9E45C" w14:textId="77777777" w:rsidTr="00BE1741">
        <w:tc>
          <w:tcPr>
            <w:tcW w:w="1555" w:type="dxa"/>
            <w:shd w:val="clear" w:color="auto" w:fill="0070C0"/>
          </w:tcPr>
          <w:p w14:paraId="1981D2A2" w14:textId="77777777" w:rsidR="006C369F" w:rsidRPr="00EF77E1" w:rsidRDefault="006C369F" w:rsidP="006C369F">
            <w:pPr>
              <w:pStyle w:val="BodyText"/>
              <w:rPr>
                <w:color w:val="FFFFFF" w:themeColor="background1"/>
              </w:rPr>
            </w:pPr>
            <w:r w:rsidRPr="00EF77E1">
              <w:rPr>
                <w:color w:val="FFFFFF" w:themeColor="background1"/>
              </w:rPr>
              <w:t>Benefits</w:t>
            </w:r>
          </w:p>
        </w:tc>
        <w:tc>
          <w:tcPr>
            <w:tcW w:w="6940" w:type="dxa"/>
          </w:tcPr>
          <w:p w14:paraId="247A5D21" w14:textId="77777777" w:rsidR="006C369F" w:rsidRDefault="006C369F" w:rsidP="006C369F">
            <w:pPr>
              <w:pStyle w:val="ListParagraph"/>
              <w:numPr>
                <w:ilvl w:val="0"/>
                <w:numId w:val="38"/>
              </w:numPr>
              <w:spacing w:before="120" w:after="120" w:line="280" w:lineRule="atLeast"/>
              <w:rPr>
                <w:sz w:val="21"/>
                <w:szCs w:val="21"/>
              </w:rPr>
            </w:pPr>
            <w:r w:rsidRPr="00767E2B">
              <w:rPr>
                <w:sz w:val="21"/>
                <w:szCs w:val="21"/>
              </w:rPr>
              <w:t>An expansion of specialist services would provide greater equity of access to these services</w:t>
            </w:r>
            <w:r w:rsidRPr="0077376C">
              <w:rPr>
                <w:sz w:val="21"/>
                <w:szCs w:val="21"/>
              </w:rPr>
              <w:t xml:space="preserve"> throughout Australia.</w:t>
            </w:r>
          </w:p>
          <w:p w14:paraId="05539162" w14:textId="77777777" w:rsidR="006C369F" w:rsidRPr="00DC33A9" w:rsidRDefault="006C369F" w:rsidP="006C369F">
            <w:pPr>
              <w:pStyle w:val="ListParagraph"/>
              <w:numPr>
                <w:ilvl w:val="0"/>
                <w:numId w:val="38"/>
              </w:numPr>
              <w:spacing w:after="0" w:line="260" w:lineRule="atLeast"/>
              <w:rPr>
                <w:sz w:val="21"/>
                <w:szCs w:val="21"/>
              </w:rPr>
            </w:pPr>
            <w:r w:rsidRPr="00DC33A9">
              <w:rPr>
                <w:sz w:val="21"/>
                <w:szCs w:val="21"/>
              </w:rPr>
              <w:t>An opportunity to</w:t>
            </w:r>
            <w:r>
              <w:rPr>
                <w:sz w:val="21"/>
                <w:szCs w:val="21"/>
              </w:rPr>
              <w:t xml:space="preserve"> provide care which</w:t>
            </w:r>
            <w:r w:rsidRPr="00DC33A9">
              <w:rPr>
                <w:sz w:val="21"/>
                <w:szCs w:val="21"/>
              </w:rPr>
              <w:t xml:space="preserve"> we know works </w:t>
            </w:r>
            <w:r>
              <w:rPr>
                <w:sz w:val="21"/>
                <w:szCs w:val="21"/>
              </w:rPr>
              <w:t xml:space="preserve">for people with </w:t>
            </w:r>
            <w:r>
              <w:rPr>
                <w:sz w:val="21"/>
                <w:szCs w:val="21"/>
              </w:rPr>
              <w:lastRenderedPageBreak/>
              <w:t>BPSD.</w:t>
            </w:r>
          </w:p>
          <w:p w14:paraId="71FD20A2" w14:textId="77777777" w:rsidR="006C369F" w:rsidRPr="0077376C" w:rsidRDefault="006C369F" w:rsidP="006C369F">
            <w:pPr>
              <w:pStyle w:val="ListParagraph"/>
              <w:numPr>
                <w:ilvl w:val="0"/>
                <w:numId w:val="38"/>
              </w:numPr>
              <w:spacing w:before="120" w:after="120" w:line="280" w:lineRule="atLeast"/>
              <w:rPr>
                <w:sz w:val="21"/>
                <w:szCs w:val="21"/>
              </w:rPr>
            </w:pPr>
            <w:r w:rsidRPr="0077376C">
              <w:rPr>
                <w:sz w:val="21"/>
                <w:szCs w:val="21"/>
              </w:rPr>
              <w:t xml:space="preserve">Improved service outcomes for people with severe BPSD. </w:t>
            </w:r>
          </w:p>
        </w:tc>
      </w:tr>
      <w:tr w:rsidR="006C369F" w:rsidRPr="0021210C" w14:paraId="419E9A0C" w14:textId="77777777" w:rsidTr="00BE1741">
        <w:tc>
          <w:tcPr>
            <w:tcW w:w="1555" w:type="dxa"/>
            <w:shd w:val="clear" w:color="auto" w:fill="0070C0"/>
          </w:tcPr>
          <w:p w14:paraId="401A5A7D" w14:textId="77777777" w:rsidR="006C369F" w:rsidRPr="00EF77E1" w:rsidRDefault="006C369F" w:rsidP="006C369F">
            <w:pPr>
              <w:pStyle w:val="BodyText"/>
              <w:rPr>
                <w:color w:val="FFFFFF" w:themeColor="background1"/>
              </w:rPr>
            </w:pPr>
            <w:r w:rsidRPr="00EF77E1">
              <w:rPr>
                <w:color w:val="FFFFFF" w:themeColor="background1"/>
              </w:rPr>
              <w:lastRenderedPageBreak/>
              <w:t xml:space="preserve">Risks </w:t>
            </w:r>
          </w:p>
        </w:tc>
        <w:tc>
          <w:tcPr>
            <w:tcW w:w="6940" w:type="dxa"/>
          </w:tcPr>
          <w:p w14:paraId="4E0E48AC" w14:textId="77777777" w:rsidR="006C369F" w:rsidRPr="0077376C" w:rsidRDefault="006C369F" w:rsidP="006C369F">
            <w:pPr>
              <w:pStyle w:val="ListParagraph"/>
              <w:numPr>
                <w:ilvl w:val="0"/>
                <w:numId w:val="29"/>
              </w:numPr>
              <w:spacing w:before="120" w:after="120" w:line="280" w:lineRule="atLeast"/>
              <w:rPr>
                <w:sz w:val="21"/>
                <w:szCs w:val="21"/>
              </w:rPr>
            </w:pPr>
            <w:r>
              <w:rPr>
                <w:sz w:val="21"/>
                <w:szCs w:val="21"/>
              </w:rPr>
              <w:t>A</w:t>
            </w:r>
            <w:r w:rsidRPr="0077376C">
              <w:rPr>
                <w:sz w:val="21"/>
                <w:szCs w:val="21"/>
              </w:rPr>
              <w:t>ttracting a sustainable workforce for this model may be difficult.</w:t>
            </w:r>
            <w:r>
              <w:rPr>
                <w:sz w:val="21"/>
                <w:szCs w:val="21"/>
              </w:rPr>
              <w:t xml:space="preserve"> Therefore attention would need to be given to workforce development.</w:t>
            </w:r>
          </w:p>
          <w:p w14:paraId="1506D178" w14:textId="77777777" w:rsidR="006C369F" w:rsidRPr="00B61CC9" w:rsidRDefault="006C369F" w:rsidP="006C369F">
            <w:pPr>
              <w:pStyle w:val="ListParagraph"/>
              <w:numPr>
                <w:ilvl w:val="0"/>
                <w:numId w:val="29"/>
              </w:numPr>
              <w:spacing w:before="120" w:after="120" w:line="280" w:lineRule="atLeast"/>
              <w:rPr>
                <w:sz w:val="21"/>
                <w:szCs w:val="21"/>
              </w:rPr>
            </w:pPr>
            <w:r w:rsidRPr="0077376C">
              <w:rPr>
                <w:sz w:val="21"/>
                <w:szCs w:val="21"/>
              </w:rPr>
              <w:t>Consideration needs to be given as to how the units will complement and not duplicate existing state-ba</w:t>
            </w:r>
            <w:r w:rsidR="000D151E">
              <w:rPr>
                <w:sz w:val="21"/>
                <w:szCs w:val="21"/>
              </w:rPr>
              <w:t>sed psychogeriatric services.</w:t>
            </w:r>
          </w:p>
        </w:tc>
      </w:tr>
      <w:tr w:rsidR="006C369F" w:rsidRPr="00F043C2" w14:paraId="0BEC002D" w14:textId="77777777" w:rsidTr="00BE1741">
        <w:tc>
          <w:tcPr>
            <w:tcW w:w="1555" w:type="dxa"/>
            <w:shd w:val="clear" w:color="auto" w:fill="0070C0"/>
          </w:tcPr>
          <w:p w14:paraId="7C8893B3" w14:textId="77777777" w:rsidR="006C369F" w:rsidRPr="00EF77E1" w:rsidRDefault="006C369F" w:rsidP="006C369F">
            <w:pPr>
              <w:pStyle w:val="BodyText"/>
              <w:rPr>
                <w:color w:val="FFFFFF" w:themeColor="background1"/>
              </w:rPr>
            </w:pPr>
            <w:r>
              <w:rPr>
                <w:color w:val="FFFFFF" w:themeColor="background1"/>
              </w:rPr>
              <w:t>Funding</w:t>
            </w:r>
          </w:p>
        </w:tc>
        <w:tc>
          <w:tcPr>
            <w:tcW w:w="6940" w:type="dxa"/>
          </w:tcPr>
          <w:p w14:paraId="1E9735F6" w14:textId="77777777" w:rsidR="006C369F" w:rsidRPr="00767E2B" w:rsidRDefault="006C369F" w:rsidP="006C369F">
            <w:pPr>
              <w:pStyle w:val="ListParagraph"/>
              <w:numPr>
                <w:ilvl w:val="0"/>
                <w:numId w:val="29"/>
              </w:numPr>
              <w:spacing w:before="120" w:after="120" w:line="280" w:lineRule="atLeast"/>
              <w:rPr>
                <w:sz w:val="21"/>
                <w:szCs w:val="21"/>
              </w:rPr>
            </w:pPr>
            <w:r w:rsidRPr="00767E2B">
              <w:rPr>
                <w:sz w:val="21"/>
                <w:szCs w:val="21"/>
              </w:rPr>
              <w:t>Funding for specialised units could be allocated by DSS by designating priority places under the ACAR process.</w:t>
            </w:r>
            <w:r w:rsidRPr="004C7493">
              <w:rPr>
                <w:sz w:val="21"/>
                <w:szCs w:val="21"/>
              </w:rPr>
              <w:t xml:space="preserve"> </w:t>
            </w:r>
            <w:r w:rsidRPr="00767E2B">
              <w:rPr>
                <w:sz w:val="21"/>
                <w:szCs w:val="21"/>
              </w:rPr>
              <w:t>Under this option, existing providers could have existing places re-classified.</w:t>
            </w:r>
          </w:p>
          <w:p w14:paraId="29FDE2A1" w14:textId="77777777" w:rsidR="006C369F" w:rsidRPr="0077376C" w:rsidRDefault="006C369F" w:rsidP="006C369F">
            <w:pPr>
              <w:pStyle w:val="ListParagraph"/>
              <w:numPr>
                <w:ilvl w:val="0"/>
                <w:numId w:val="29"/>
              </w:numPr>
              <w:spacing w:before="120" w:after="120" w:line="280" w:lineRule="atLeast"/>
              <w:rPr>
                <w:sz w:val="21"/>
                <w:szCs w:val="21"/>
              </w:rPr>
            </w:pPr>
            <w:r w:rsidRPr="0077376C">
              <w:rPr>
                <w:sz w:val="21"/>
                <w:szCs w:val="21"/>
              </w:rPr>
              <w:t xml:space="preserve">Funds previously allocated to the Dementia and Severe Behaviours Supplement could be reallocated to a grants system where providers with severe BPSD places could apply for top-up funding. </w:t>
            </w:r>
          </w:p>
        </w:tc>
      </w:tr>
      <w:tr w:rsidR="006C369F" w:rsidRPr="00F043C2" w14:paraId="3BB6FAB2" w14:textId="77777777" w:rsidTr="00BE1741">
        <w:tc>
          <w:tcPr>
            <w:tcW w:w="1555" w:type="dxa"/>
            <w:shd w:val="clear" w:color="auto" w:fill="0070C0"/>
          </w:tcPr>
          <w:p w14:paraId="77CF6EF9" w14:textId="77777777" w:rsidR="006C369F" w:rsidRPr="00EF77E1" w:rsidRDefault="006C369F" w:rsidP="006C369F">
            <w:pPr>
              <w:pStyle w:val="BodyText"/>
              <w:rPr>
                <w:color w:val="FFFFFF" w:themeColor="background1"/>
              </w:rPr>
            </w:pPr>
            <w:r>
              <w:rPr>
                <w:color w:val="FFFFFF" w:themeColor="background1"/>
              </w:rPr>
              <w:t>Feasibility</w:t>
            </w:r>
          </w:p>
        </w:tc>
        <w:tc>
          <w:tcPr>
            <w:tcW w:w="6940" w:type="dxa"/>
          </w:tcPr>
          <w:p w14:paraId="6BE1423C" w14:textId="77777777" w:rsidR="006C369F" w:rsidRPr="00767E2B" w:rsidRDefault="006C369F" w:rsidP="006C369F">
            <w:pPr>
              <w:pStyle w:val="ListParagraph"/>
              <w:numPr>
                <w:ilvl w:val="0"/>
                <w:numId w:val="29"/>
              </w:numPr>
              <w:spacing w:before="120" w:after="120" w:line="280" w:lineRule="atLeast"/>
              <w:rPr>
                <w:sz w:val="21"/>
                <w:szCs w:val="21"/>
              </w:rPr>
            </w:pPr>
            <w:r w:rsidRPr="00767E2B">
              <w:rPr>
                <w:sz w:val="21"/>
                <w:szCs w:val="21"/>
              </w:rPr>
              <w:t>This is an option for the medium term</w:t>
            </w:r>
            <w:r>
              <w:rPr>
                <w:sz w:val="21"/>
                <w:szCs w:val="21"/>
              </w:rPr>
              <w:t xml:space="preserve"> to long term</w:t>
            </w:r>
            <w:r w:rsidRPr="00767E2B">
              <w:rPr>
                <w:sz w:val="21"/>
                <w:szCs w:val="21"/>
              </w:rPr>
              <w:t>.</w:t>
            </w:r>
          </w:p>
        </w:tc>
      </w:tr>
    </w:tbl>
    <w:p w14:paraId="75BC6517" w14:textId="77777777" w:rsidR="000C0E46" w:rsidRDefault="000C0E46" w:rsidP="000C0E46"/>
    <w:tbl>
      <w:tblPr>
        <w:tblStyle w:val="TableGrid"/>
        <w:tblW w:w="0" w:type="auto"/>
        <w:tblLook w:val="04A0" w:firstRow="1" w:lastRow="0" w:firstColumn="1" w:lastColumn="0" w:noHBand="0" w:noVBand="1"/>
        <w:tblDescription w:val="Strategy F: Increase access to rehabilitation and transitional accommodation for people with dementia"/>
      </w:tblPr>
      <w:tblGrid>
        <w:gridCol w:w="1555"/>
        <w:gridCol w:w="6940"/>
      </w:tblGrid>
      <w:tr w:rsidR="000C0E46" w:rsidRPr="00686BA1" w14:paraId="706D1FEC" w14:textId="77777777" w:rsidTr="0059201E">
        <w:trPr>
          <w:tblHeader/>
        </w:trPr>
        <w:tc>
          <w:tcPr>
            <w:tcW w:w="1555" w:type="dxa"/>
            <w:shd w:val="clear" w:color="auto" w:fill="0070C0"/>
          </w:tcPr>
          <w:p w14:paraId="577F08CF" w14:textId="77777777" w:rsidR="000C0E46" w:rsidRPr="00EF77E1" w:rsidRDefault="000C0E46" w:rsidP="009623C1">
            <w:pPr>
              <w:pStyle w:val="BodyText"/>
              <w:rPr>
                <w:color w:val="FFFFFF" w:themeColor="background1"/>
              </w:rPr>
            </w:pPr>
            <w:r w:rsidRPr="00EF77E1">
              <w:rPr>
                <w:color w:val="FFFFFF" w:themeColor="background1"/>
              </w:rPr>
              <w:t xml:space="preserve">Strategy </w:t>
            </w:r>
          </w:p>
        </w:tc>
        <w:tc>
          <w:tcPr>
            <w:tcW w:w="6940" w:type="dxa"/>
          </w:tcPr>
          <w:p w14:paraId="3F81C4F1" w14:textId="77777777" w:rsidR="000C0E46" w:rsidRPr="006C369F" w:rsidRDefault="000C0E46" w:rsidP="000C0E46">
            <w:pPr>
              <w:pStyle w:val="ListParagraph"/>
              <w:numPr>
                <w:ilvl w:val="0"/>
                <w:numId w:val="51"/>
              </w:numPr>
              <w:spacing w:before="120" w:after="120" w:line="280" w:lineRule="atLeast"/>
              <w:rPr>
                <w:sz w:val="21"/>
                <w:szCs w:val="21"/>
              </w:rPr>
            </w:pPr>
            <w:r w:rsidRPr="006C369F">
              <w:rPr>
                <w:sz w:val="21"/>
                <w:szCs w:val="21"/>
              </w:rPr>
              <w:t>Increase access to rehabilitation and transitional accommoda</w:t>
            </w:r>
            <w:r w:rsidR="000D151E">
              <w:rPr>
                <w:sz w:val="21"/>
                <w:szCs w:val="21"/>
              </w:rPr>
              <w:t>tion for people with dementia</w:t>
            </w:r>
          </w:p>
        </w:tc>
      </w:tr>
      <w:tr w:rsidR="000C0E46" w14:paraId="4D082566" w14:textId="77777777" w:rsidTr="009623C1">
        <w:tc>
          <w:tcPr>
            <w:tcW w:w="1555" w:type="dxa"/>
            <w:shd w:val="clear" w:color="auto" w:fill="0070C0"/>
          </w:tcPr>
          <w:p w14:paraId="256EA0CA" w14:textId="77777777" w:rsidR="000C0E46" w:rsidRPr="00EF77E1" w:rsidRDefault="000C0E46" w:rsidP="009623C1">
            <w:pPr>
              <w:pStyle w:val="BodyText"/>
              <w:rPr>
                <w:color w:val="FFFFFF" w:themeColor="background1"/>
              </w:rPr>
            </w:pPr>
            <w:r>
              <w:rPr>
                <w:color w:val="FFFFFF" w:themeColor="background1"/>
              </w:rPr>
              <w:t>Forum objectives</w:t>
            </w:r>
          </w:p>
        </w:tc>
        <w:tc>
          <w:tcPr>
            <w:tcW w:w="6940" w:type="dxa"/>
          </w:tcPr>
          <w:p w14:paraId="201B2932" w14:textId="77777777" w:rsidR="000C0E46" w:rsidRPr="006C369F" w:rsidRDefault="000C0E46" w:rsidP="009623C1">
            <w:pPr>
              <w:pStyle w:val="ListParagraph"/>
              <w:numPr>
                <w:ilvl w:val="0"/>
                <w:numId w:val="73"/>
              </w:numPr>
              <w:spacing w:before="120" w:after="120" w:line="280" w:lineRule="atLeast"/>
              <w:rPr>
                <w:sz w:val="21"/>
                <w:szCs w:val="21"/>
              </w:rPr>
            </w:pPr>
            <w:r w:rsidRPr="006C369F">
              <w:rPr>
                <w:sz w:val="21"/>
                <w:szCs w:val="21"/>
              </w:rPr>
              <w:t xml:space="preserve">Satisfies forum objectives 2 and 4.  </w:t>
            </w:r>
          </w:p>
        </w:tc>
      </w:tr>
      <w:tr w:rsidR="006C369F" w14:paraId="5CA2D766" w14:textId="77777777" w:rsidTr="009623C1">
        <w:tc>
          <w:tcPr>
            <w:tcW w:w="1555" w:type="dxa"/>
            <w:shd w:val="clear" w:color="auto" w:fill="0070C0"/>
          </w:tcPr>
          <w:p w14:paraId="4C8FA9C6" w14:textId="77777777" w:rsidR="006C369F" w:rsidRPr="00EF77E1" w:rsidRDefault="006C369F" w:rsidP="006C369F">
            <w:pPr>
              <w:pStyle w:val="BodyText"/>
              <w:rPr>
                <w:color w:val="FFFFFF" w:themeColor="background1"/>
              </w:rPr>
            </w:pPr>
            <w:r w:rsidRPr="00EF77E1">
              <w:rPr>
                <w:color w:val="FFFFFF" w:themeColor="background1"/>
              </w:rPr>
              <w:t xml:space="preserve">Description </w:t>
            </w:r>
          </w:p>
        </w:tc>
        <w:tc>
          <w:tcPr>
            <w:tcW w:w="6940" w:type="dxa"/>
          </w:tcPr>
          <w:p w14:paraId="3E70E41A" w14:textId="77777777" w:rsidR="006C369F" w:rsidRDefault="006C369F" w:rsidP="006C369F">
            <w:pPr>
              <w:spacing w:before="120" w:after="120" w:line="280" w:lineRule="atLeast"/>
              <w:rPr>
                <w:szCs w:val="21"/>
              </w:rPr>
            </w:pPr>
            <w:r w:rsidRPr="00545B5C">
              <w:rPr>
                <w:szCs w:val="21"/>
              </w:rPr>
              <w:t>Offer people with dementia access to cognitive rehabilitation to assist their independence and functioning in the community and residential care.</w:t>
            </w:r>
          </w:p>
          <w:p w14:paraId="0BEB84C0" w14:textId="77777777" w:rsidR="006C369F" w:rsidRPr="00E6139D" w:rsidRDefault="006C369F" w:rsidP="006C369F">
            <w:pPr>
              <w:spacing w:before="120" w:after="120" w:line="280" w:lineRule="atLeast"/>
              <w:rPr>
                <w:szCs w:val="21"/>
              </w:rPr>
            </w:pPr>
            <w:r w:rsidRPr="00E6139D">
              <w:rPr>
                <w:szCs w:val="21"/>
              </w:rPr>
              <w:t>The Australian Government funded Transitional Care Program</w:t>
            </w:r>
            <w:r>
              <w:rPr>
                <w:szCs w:val="21"/>
              </w:rPr>
              <w:t>me</w:t>
            </w:r>
            <w:r w:rsidRPr="00E6139D">
              <w:rPr>
                <w:szCs w:val="21"/>
              </w:rPr>
              <w:t xml:space="preserve"> (TCP) is primarily focused on physical rehabilitation but has not been readily available for dementia care. It was proposed that transitional care models may have applicability in dementia care. The focus of these </w:t>
            </w:r>
            <w:r>
              <w:rPr>
                <w:szCs w:val="21"/>
              </w:rPr>
              <w:t xml:space="preserve">transition care </w:t>
            </w:r>
            <w:r w:rsidRPr="00E6139D">
              <w:rPr>
                <w:szCs w:val="21"/>
              </w:rPr>
              <w:t xml:space="preserve">models would be on re-enablement </w:t>
            </w:r>
            <w:r>
              <w:rPr>
                <w:szCs w:val="21"/>
              </w:rPr>
              <w:t xml:space="preserve">and minimising functional decline </w:t>
            </w:r>
            <w:r w:rsidRPr="00E6139D">
              <w:rPr>
                <w:szCs w:val="21"/>
              </w:rPr>
              <w:t xml:space="preserve">of the person with dementia. </w:t>
            </w:r>
          </w:p>
          <w:p w14:paraId="65508247" w14:textId="77777777" w:rsidR="006C369F" w:rsidRPr="00E6139D" w:rsidRDefault="006C369F" w:rsidP="006C369F">
            <w:pPr>
              <w:spacing w:before="120" w:after="120" w:line="280" w:lineRule="atLeast"/>
              <w:rPr>
                <w:szCs w:val="21"/>
              </w:rPr>
            </w:pPr>
            <w:r w:rsidRPr="00E6139D">
              <w:rPr>
                <w:szCs w:val="21"/>
              </w:rPr>
              <w:t xml:space="preserve">To enable greater access, criteria around entry into transitional accommodation could be modified </w:t>
            </w:r>
            <w:r>
              <w:rPr>
                <w:szCs w:val="21"/>
              </w:rPr>
              <w:t xml:space="preserve">to </w:t>
            </w:r>
            <w:r w:rsidRPr="00E6139D">
              <w:rPr>
                <w:szCs w:val="21"/>
              </w:rPr>
              <w:t>ensure there is a focus on people with dementia</w:t>
            </w:r>
            <w:r>
              <w:rPr>
                <w:szCs w:val="21"/>
              </w:rPr>
              <w:t>.</w:t>
            </w:r>
            <w:r w:rsidRPr="00E6139D">
              <w:rPr>
                <w:szCs w:val="21"/>
              </w:rPr>
              <w:t xml:space="preserve"> In addition</w:t>
            </w:r>
            <w:r>
              <w:rPr>
                <w:szCs w:val="21"/>
              </w:rPr>
              <w:t>,</w:t>
            </w:r>
            <w:r w:rsidRPr="00E6139D">
              <w:rPr>
                <w:szCs w:val="21"/>
              </w:rPr>
              <w:t xml:space="preserve"> providers need to engage DBMAS and DTSCs to improve the workforce capability</w:t>
            </w:r>
            <w:r>
              <w:rPr>
                <w:szCs w:val="21"/>
              </w:rPr>
              <w:t xml:space="preserve"> of transition care</w:t>
            </w:r>
            <w:r w:rsidRPr="00E6139D">
              <w:rPr>
                <w:szCs w:val="21"/>
              </w:rPr>
              <w:t>.</w:t>
            </w:r>
          </w:p>
        </w:tc>
      </w:tr>
      <w:tr w:rsidR="006C369F" w:rsidRPr="0021210C" w14:paraId="28B5FC48" w14:textId="77777777" w:rsidTr="009623C1">
        <w:tc>
          <w:tcPr>
            <w:tcW w:w="1555" w:type="dxa"/>
            <w:shd w:val="clear" w:color="auto" w:fill="0070C0"/>
          </w:tcPr>
          <w:p w14:paraId="6E2E5CB0" w14:textId="77777777" w:rsidR="006C369F" w:rsidRPr="00EF77E1" w:rsidRDefault="006C369F" w:rsidP="006C369F">
            <w:pPr>
              <w:pStyle w:val="BodyText"/>
              <w:rPr>
                <w:color w:val="FFFFFF" w:themeColor="background1"/>
              </w:rPr>
            </w:pPr>
            <w:r w:rsidRPr="00EF77E1">
              <w:rPr>
                <w:color w:val="FFFFFF" w:themeColor="background1"/>
              </w:rPr>
              <w:t>Benefits</w:t>
            </w:r>
          </w:p>
        </w:tc>
        <w:tc>
          <w:tcPr>
            <w:tcW w:w="6940" w:type="dxa"/>
          </w:tcPr>
          <w:p w14:paraId="03A6B6B7" w14:textId="77777777" w:rsidR="006C369F" w:rsidRPr="00E6139D" w:rsidRDefault="006C369F" w:rsidP="006C369F">
            <w:pPr>
              <w:pStyle w:val="ListParagraph"/>
              <w:numPr>
                <w:ilvl w:val="0"/>
                <w:numId w:val="28"/>
              </w:numPr>
              <w:spacing w:before="120" w:after="120" w:line="280" w:lineRule="atLeast"/>
              <w:rPr>
                <w:sz w:val="21"/>
                <w:szCs w:val="21"/>
              </w:rPr>
            </w:pPr>
            <w:r w:rsidRPr="00767E2B">
              <w:rPr>
                <w:sz w:val="21"/>
                <w:szCs w:val="21"/>
              </w:rPr>
              <w:t xml:space="preserve">Greater access to </w:t>
            </w:r>
            <w:r>
              <w:rPr>
                <w:sz w:val="21"/>
                <w:szCs w:val="21"/>
              </w:rPr>
              <w:t xml:space="preserve">rehabilitation and </w:t>
            </w:r>
            <w:r w:rsidRPr="00767E2B">
              <w:rPr>
                <w:sz w:val="21"/>
                <w:szCs w:val="21"/>
              </w:rPr>
              <w:t xml:space="preserve">transitional accommodation could address the need for early intervention, </w:t>
            </w:r>
            <w:r w:rsidRPr="0077376C">
              <w:rPr>
                <w:sz w:val="21"/>
                <w:szCs w:val="21"/>
              </w:rPr>
              <w:t xml:space="preserve">on a more individual basis.  </w:t>
            </w:r>
          </w:p>
          <w:p w14:paraId="2DBC37D0" w14:textId="77777777" w:rsidR="006C369F" w:rsidRPr="00E6139D" w:rsidRDefault="006C369F" w:rsidP="006C369F">
            <w:pPr>
              <w:pStyle w:val="ListParagraph"/>
              <w:numPr>
                <w:ilvl w:val="0"/>
                <w:numId w:val="28"/>
              </w:numPr>
              <w:spacing w:before="120" w:after="120" w:line="280" w:lineRule="atLeast"/>
              <w:rPr>
                <w:sz w:val="21"/>
                <w:szCs w:val="21"/>
              </w:rPr>
            </w:pPr>
            <w:r w:rsidRPr="00E6139D">
              <w:rPr>
                <w:sz w:val="21"/>
                <w:szCs w:val="21"/>
              </w:rPr>
              <w:t xml:space="preserve">Access to transitional accommodation would allow both carers and people with dementia to acclimatise to a different environment so that the transition to residential care does not exacerbate an individual’s symptoms </w:t>
            </w:r>
            <w:r>
              <w:rPr>
                <w:sz w:val="21"/>
                <w:szCs w:val="21"/>
              </w:rPr>
              <w:t>on admission to residential care</w:t>
            </w:r>
            <w:r w:rsidRPr="00E6139D">
              <w:rPr>
                <w:sz w:val="21"/>
                <w:szCs w:val="21"/>
              </w:rPr>
              <w:t>.</w:t>
            </w:r>
          </w:p>
        </w:tc>
      </w:tr>
      <w:tr w:rsidR="006C369F" w:rsidRPr="0021210C" w14:paraId="458B7A76" w14:textId="77777777" w:rsidTr="009623C1">
        <w:tc>
          <w:tcPr>
            <w:tcW w:w="1555" w:type="dxa"/>
            <w:shd w:val="clear" w:color="auto" w:fill="0070C0"/>
          </w:tcPr>
          <w:p w14:paraId="689C2833" w14:textId="77777777" w:rsidR="006C369F" w:rsidRPr="00EF77E1" w:rsidRDefault="006C369F" w:rsidP="006C369F">
            <w:pPr>
              <w:pStyle w:val="BodyText"/>
              <w:rPr>
                <w:color w:val="FFFFFF" w:themeColor="background1"/>
              </w:rPr>
            </w:pPr>
            <w:r w:rsidRPr="00EF77E1">
              <w:rPr>
                <w:color w:val="FFFFFF" w:themeColor="background1"/>
              </w:rPr>
              <w:t xml:space="preserve">Risks </w:t>
            </w:r>
          </w:p>
        </w:tc>
        <w:tc>
          <w:tcPr>
            <w:tcW w:w="6940" w:type="dxa"/>
          </w:tcPr>
          <w:p w14:paraId="49BF28C2" w14:textId="77777777" w:rsidR="006C369F" w:rsidRPr="0077376C" w:rsidRDefault="006C369F" w:rsidP="006C369F">
            <w:pPr>
              <w:pStyle w:val="ListParagraph"/>
              <w:numPr>
                <w:ilvl w:val="0"/>
                <w:numId w:val="29"/>
              </w:numPr>
              <w:spacing w:before="120" w:after="120" w:line="280" w:lineRule="atLeast"/>
              <w:rPr>
                <w:sz w:val="21"/>
                <w:szCs w:val="21"/>
              </w:rPr>
            </w:pPr>
            <w:r w:rsidRPr="00767E2B">
              <w:rPr>
                <w:sz w:val="21"/>
                <w:szCs w:val="21"/>
              </w:rPr>
              <w:t xml:space="preserve">For some providers of TCP, this will require a substantial change to existing services and require a change to current staffing models to </w:t>
            </w:r>
            <w:r w:rsidRPr="00767E2B">
              <w:rPr>
                <w:sz w:val="21"/>
                <w:szCs w:val="21"/>
              </w:rPr>
              <w:lastRenderedPageBreak/>
              <w:t>provide a greater focus on demen</w:t>
            </w:r>
            <w:r w:rsidRPr="0077376C">
              <w:rPr>
                <w:sz w:val="21"/>
                <w:szCs w:val="21"/>
              </w:rPr>
              <w:t xml:space="preserve">tia care.  </w:t>
            </w:r>
          </w:p>
        </w:tc>
      </w:tr>
      <w:tr w:rsidR="006C369F" w:rsidRPr="0021210C" w14:paraId="6D1FD815" w14:textId="77777777" w:rsidTr="009623C1">
        <w:tc>
          <w:tcPr>
            <w:tcW w:w="1555" w:type="dxa"/>
            <w:shd w:val="clear" w:color="auto" w:fill="0070C0"/>
          </w:tcPr>
          <w:p w14:paraId="12E5CE7F" w14:textId="77777777" w:rsidR="006C369F" w:rsidRPr="00EF77E1" w:rsidRDefault="006C369F" w:rsidP="006C369F">
            <w:pPr>
              <w:pStyle w:val="BodyText"/>
              <w:rPr>
                <w:color w:val="FFFFFF" w:themeColor="background1"/>
              </w:rPr>
            </w:pPr>
            <w:r>
              <w:rPr>
                <w:color w:val="FFFFFF" w:themeColor="background1"/>
              </w:rPr>
              <w:lastRenderedPageBreak/>
              <w:t>Funding</w:t>
            </w:r>
          </w:p>
        </w:tc>
        <w:tc>
          <w:tcPr>
            <w:tcW w:w="6940" w:type="dxa"/>
          </w:tcPr>
          <w:p w14:paraId="152F9882" w14:textId="77777777" w:rsidR="006C369F" w:rsidRDefault="006C369F" w:rsidP="006C369F">
            <w:pPr>
              <w:pStyle w:val="ListParagraph"/>
              <w:numPr>
                <w:ilvl w:val="0"/>
                <w:numId w:val="29"/>
              </w:numPr>
              <w:spacing w:before="120" w:after="120" w:line="280" w:lineRule="atLeast"/>
              <w:rPr>
                <w:sz w:val="21"/>
                <w:szCs w:val="21"/>
              </w:rPr>
            </w:pPr>
            <w:r w:rsidRPr="00767E2B">
              <w:rPr>
                <w:sz w:val="21"/>
                <w:szCs w:val="21"/>
              </w:rPr>
              <w:t>This strategy would require an amendment to the criteria around access to TCP and is not necessarily dependent on an increase in funding</w:t>
            </w:r>
            <w:r w:rsidRPr="0077376C">
              <w:rPr>
                <w:sz w:val="21"/>
                <w:szCs w:val="21"/>
              </w:rPr>
              <w:t xml:space="preserve">. </w:t>
            </w:r>
          </w:p>
          <w:p w14:paraId="5DFA79CF" w14:textId="77777777" w:rsidR="006C369F" w:rsidRPr="00E6139D" w:rsidRDefault="006C369F" w:rsidP="006C369F">
            <w:pPr>
              <w:pStyle w:val="ListParagraph"/>
              <w:numPr>
                <w:ilvl w:val="0"/>
                <w:numId w:val="29"/>
              </w:numPr>
              <w:spacing w:before="120" w:after="120" w:line="280" w:lineRule="atLeast"/>
              <w:rPr>
                <w:sz w:val="21"/>
                <w:szCs w:val="21"/>
              </w:rPr>
            </w:pPr>
            <w:r w:rsidRPr="00E6139D">
              <w:rPr>
                <w:sz w:val="21"/>
                <w:szCs w:val="21"/>
              </w:rPr>
              <w:t>TCP</w:t>
            </w:r>
            <w:r>
              <w:rPr>
                <w:sz w:val="21"/>
                <w:szCs w:val="21"/>
              </w:rPr>
              <w:t xml:space="preserve"> providers may require support to develop appropriate service delivery models and to build their workforce capability</w:t>
            </w:r>
            <w:r w:rsidRPr="00E6139D">
              <w:rPr>
                <w:sz w:val="21"/>
                <w:szCs w:val="21"/>
              </w:rPr>
              <w:t>.</w:t>
            </w:r>
          </w:p>
        </w:tc>
      </w:tr>
      <w:tr w:rsidR="006C369F" w14:paraId="43CB1AD2" w14:textId="77777777" w:rsidTr="009623C1">
        <w:tc>
          <w:tcPr>
            <w:tcW w:w="1555" w:type="dxa"/>
            <w:shd w:val="clear" w:color="auto" w:fill="0070C0"/>
          </w:tcPr>
          <w:p w14:paraId="79B18E51" w14:textId="77777777" w:rsidR="006C369F" w:rsidRPr="00EF77E1" w:rsidRDefault="006C369F" w:rsidP="006C369F">
            <w:pPr>
              <w:pStyle w:val="BodyText"/>
              <w:rPr>
                <w:color w:val="FFFFFF" w:themeColor="background1"/>
              </w:rPr>
            </w:pPr>
            <w:r>
              <w:rPr>
                <w:color w:val="FFFFFF" w:themeColor="background1"/>
              </w:rPr>
              <w:t>Feasibility</w:t>
            </w:r>
          </w:p>
        </w:tc>
        <w:tc>
          <w:tcPr>
            <w:tcW w:w="6940" w:type="dxa"/>
          </w:tcPr>
          <w:p w14:paraId="2BADC0D3" w14:textId="77777777" w:rsidR="006C369F" w:rsidRPr="00767E2B" w:rsidRDefault="006C369F" w:rsidP="006C369F">
            <w:pPr>
              <w:pStyle w:val="ListParagraph"/>
              <w:numPr>
                <w:ilvl w:val="0"/>
                <w:numId w:val="29"/>
              </w:numPr>
              <w:spacing w:before="120" w:after="120" w:line="280" w:lineRule="atLeast"/>
              <w:rPr>
                <w:sz w:val="21"/>
                <w:szCs w:val="21"/>
              </w:rPr>
            </w:pPr>
            <w:r w:rsidRPr="00767E2B">
              <w:rPr>
                <w:sz w:val="21"/>
                <w:szCs w:val="21"/>
              </w:rPr>
              <w:t>This is an option for the medium term.</w:t>
            </w:r>
          </w:p>
        </w:tc>
      </w:tr>
    </w:tbl>
    <w:p w14:paraId="61D0BEA8" w14:textId="77777777" w:rsidR="00F83862" w:rsidRPr="0097264A" w:rsidRDefault="00377910" w:rsidP="0097264A">
      <w:pPr>
        <w:pStyle w:val="Heading3"/>
        <w:numPr>
          <w:ilvl w:val="0"/>
          <w:numId w:val="0"/>
        </w:numPr>
        <w:ind w:left="720" w:hanging="720"/>
      </w:pPr>
      <w:r w:rsidRPr="009B71D2">
        <w:t>Q</w:t>
      </w:r>
      <w:r w:rsidR="00AE24C3" w:rsidRPr="00703C13">
        <w:t>uality</w:t>
      </w:r>
      <w:r w:rsidR="003948E8" w:rsidRPr="0097264A">
        <w:t xml:space="preserve"> of life</w:t>
      </w:r>
      <w:r w:rsidR="00AE24C3" w:rsidRPr="0097264A">
        <w:t xml:space="preserve"> indicators</w:t>
      </w:r>
    </w:p>
    <w:p w14:paraId="202F211A" w14:textId="77777777" w:rsidR="00F83862" w:rsidRDefault="006C369F" w:rsidP="00F83862">
      <w:pPr>
        <w:pStyle w:val="BodyText"/>
      </w:pPr>
      <w:r w:rsidRPr="004B1EB0">
        <w:t>The establishment of aged care quality</w:t>
      </w:r>
      <w:r>
        <w:t xml:space="preserve"> </w:t>
      </w:r>
      <w:r w:rsidRPr="004B1EB0">
        <w:t xml:space="preserve">indicators </w:t>
      </w:r>
      <w:r>
        <w:t>f</w:t>
      </w:r>
      <w:r w:rsidRPr="004B1EB0">
        <w:t>ocus</w:t>
      </w:r>
      <w:r>
        <w:t>ing</w:t>
      </w:r>
      <w:r w:rsidRPr="004B1EB0">
        <w:t xml:space="preserve"> on the individual with dementia</w:t>
      </w:r>
      <w:r>
        <w:t>, including</w:t>
      </w:r>
      <w:r w:rsidRPr="004B1EB0">
        <w:t xml:space="preserve"> those with </w:t>
      </w:r>
      <w:r w:rsidRPr="00296825">
        <w:t xml:space="preserve">severe </w:t>
      </w:r>
      <w:r w:rsidRPr="004B1EB0">
        <w:t>BPSD</w:t>
      </w:r>
      <w:r>
        <w:t>,</w:t>
      </w:r>
      <w:r w:rsidRPr="004B1EB0">
        <w:t xml:space="preserve"> was widely supported by </w:t>
      </w:r>
      <w:r>
        <w:t>participants</w:t>
      </w:r>
      <w:r w:rsidR="004B1EB0" w:rsidRPr="004B1EB0">
        <w:t>.</w:t>
      </w:r>
      <w:r w:rsidR="004B1EB0">
        <w:t xml:space="preserve"> </w:t>
      </w:r>
    </w:p>
    <w:tbl>
      <w:tblPr>
        <w:tblStyle w:val="TableGrid"/>
        <w:tblW w:w="0" w:type="auto"/>
        <w:tblLook w:val="04A0" w:firstRow="1" w:lastRow="0" w:firstColumn="1" w:lastColumn="0" w:noHBand="0" w:noVBand="1"/>
        <w:tblDescription w:val="Strategy G: Introduction of aged care quality of life indicators"/>
      </w:tblPr>
      <w:tblGrid>
        <w:gridCol w:w="1555"/>
        <w:gridCol w:w="6940"/>
      </w:tblGrid>
      <w:tr w:rsidR="00F83862" w:rsidRPr="00686BA1" w14:paraId="43704AB4" w14:textId="77777777" w:rsidTr="0059201E">
        <w:trPr>
          <w:tblHeader/>
        </w:trPr>
        <w:tc>
          <w:tcPr>
            <w:tcW w:w="1555" w:type="dxa"/>
            <w:shd w:val="clear" w:color="auto" w:fill="0070C0"/>
          </w:tcPr>
          <w:p w14:paraId="4B15B5C4" w14:textId="77777777" w:rsidR="00F83862" w:rsidRPr="00EF77E1" w:rsidRDefault="00F83862" w:rsidP="004A6ED2">
            <w:pPr>
              <w:pStyle w:val="BodyText"/>
              <w:rPr>
                <w:color w:val="FFFFFF" w:themeColor="background1"/>
              </w:rPr>
            </w:pPr>
            <w:r w:rsidRPr="00EF77E1">
              <w:rPr>
                <w:color w:val="FFFFFF" w:themeColor="background1"/>
              </w:rPr>
              <w:t xml:space="preserve">Strategy </w:t>
            </w:r>
          </w:p>
        </w:tc>
        <w:tc>
          <w:tcPr>
            <w:tcW w:w="6940" w:type="dxa"/>
          </w:tcPr>
          <w:p w14:paraId="1AEAF972" w14:textId="77777777" w:rsidR="00F83862" w:rsidRPr="006C369F" w:rsidRDefault="000C0E46" w:rsidP="000C0E46">
            <w:pPr>
              <w:pStyle w:val="ListParagraph"/>
              <w:numPr>
                <w:ilvl w:val="0"/>
                <w:numId w:val="51"/>
              </w:numPr>
              <w:spacing w:before="120" w:after="120" w:line="280" w:lineRule="atLeast"/>
              <w:rPr>
                <w:sz w:val="21"/>
                <w:szCs w:val="21"/>
              </w:rPr>
            </w:pPr>
            <w:r w:rsidRPr="006C369F">
              <w:rPr>
                <w:sz w:val="21"/>
                <w:szCs w:val="21"/>
              </w:rPr>
              <w:t>Introduction of aged care quality of life indicators</w:t>
            </w:r>
            <w:r w:rsidR="00F83862" w:rsidRPr="006C369F">
              <w:rPr>
                <w:sz w:val="21"/>
                <w:szCs w:val="21"/>
              </w:rPr>
              <w:t xml:space="preserve">  </w:t>
            </w:r>
          </w:p>
        </w:tc>
      </w:tr>
      <w:tr w:rsidR="003C669E" w:rsidRPr="00686BA1" w14:paraId="3E9E23BA" w14:textId="77777777" w:rsidTr="004A6ED2">
        <w:tc>
          <w:tcPr>
            <w:tcW w:w="1555" w:type="dxa"/>
            <w:shd w:val="clear" w:color="auto" w:fill="0070C0"/>
          </w:tcPr>
          <w:p w14:paraId="45EEAF63" w14:textId="77777777" w:rsidR="003C669E" w:rsidRPr="00EF77E1" w:rsidRDefault="003C669E" w:rsidP="003C669E">
            <w:pPr>
              <w:pStyle w:val="BodyText"/>
              <w:rPr>
                <w:color w:val="FFFFFF" w:themeColor="background1"/>
              </w:rPr>
            </w:pPr>
            <w:r>
              <w:rPr>
                <w:color w:val="FFFFFF" w:themeColor="background1"/>
              </w:rPr>
              <w:t>Forum objectives</w:t>
            </w:r>
          </w:p>
        </w:tc>
        <w:tc>
          <w:tcPr>
            <w:tcW w:w="6940" w:type="dxa"/>
          </w:tcPr>
          <w:p w14:paraId="70CB3431" w14:textId="77777777" w:rsidR="003C669E" w:rsidRPr="006C369F" w:rsidRDefault="003C669E" w:rsidP="000C0E46">
            <w:pPr>
              <w:pStyle w:val="ListParagraph"/>
              <w:numPr>
                <w:ilvl w:val="0"/>
                <w:numId w:val="28"/>
              </w:numPr>
              <w:spacing w:before="120" w:after="120" w:line="280" w:lineRule="atLeast"/>
              <w:rPr>
                <w:sz w:val="21"/>
                <w:szCs w:val="21"/>
              </w:rPr>
            </w:pPr>
            <w:r w:rsidRPr="006C369F">
              <w:rPr>
                <w:sz w:val="21"/>
                <w:szCs w:val="21"/>
              </w:rPr>
              <w:t xml:space="preserve">Satisfies </w:t>
            </w:r>
            <w:r w:rsidR="000C0E46" w:rsidRPr="006C369F">
              <w:rPr>
                <w:sz w:val="21"/>
                <w:szCs w:val="21"/>
              </w:rPr>
              <w:t>f</w:t>
            </w:r>
            <w:r w:rsidRPr="006C369F">
              <w:rPr>
                <w:sz w:val="21"/>
                <w:szCs w:val="21"/>
              </w:rPr>
              <w:t>orum objectives 1 and 3</w:t>
            </w:r>
            <w:r w:rsidR="000C0E46" w:rsidRPr="006C369F">
              <w:rPr>
                <w:sz w:val="21"/>
                <w:szCs w:val="21"/>
              </w:rPr>
              <w:t>.</w:t>
            </w:r>
            <w:r w:rsidRPr="006C369F">
              <w:rPr>
                <w:sz w:val="21"/>
                <w:szCs w:val="21"/>
              </w:rPr>
              <w:t xml:space="preserve">  </w:t>
            </w:r>
          </w:p>
        </w:tc>
      </w:tr>
      <w:tr w:rsidR="006C369F" w:rsidRPr="00686BA1" w14:paraId="341EF807" w14:textId="77777777" w:rsidTr="004A6ED2">
        <w:tc>
          <w:tcPr>
            <w:tcW w:w="1555" w:type="dxa"/>
            <w:shd w:val="clear" w:color="auto" w:fill="0070C0"/>
          </w:tcPr>
          <w:p w14:paraId="53CD6E03" w14:textId="77777777" w:rsidR="006C369F" w:rsidRPr="00EF77E1" w:rsidRDefault="006C369F" w:rsidP="006C369F">
            <w:pPr>
              <w:pStyle w:val="BodyText"/>
              <w:rPr>
                <w:color w:val="FFFFFF" w:themeColor="background1"/>
              </w:rPr>
            </w:pPr>
            <w:r w:rsidRPr="00EF77E1">
              <w:rPr>
                <w:color w:val="FFFFFF" w:themeColor="background1"/>
              </w:rPr>
              <w:t xml:space="preserve">Description </w:t>
            </w:r>
          </w:p>
        </w:tc>
        <w:tc>
          <w:tcPr>
            <w:tcW w:w="6940" w:type="dxa"/>
          </w:tcPr>
          <w:p w14:paraId="0B0241F5" w14:textId="77777777" w:rsidR="006C369F" w:rsidRPr="00CC6C0B" w:rsidRDefault="006C369F" w:rsidP="006C369F">
            <w:pPr>
              <w:spacing w:before="120" w:after="120" w:line="280" w:lineRule="atLeast"/>
              <w:rPr>
                <w:szCs w:val="21"/>
              </w:rPr>
            </w:pPr>
            <w:r w:rsidRPr="00DC33A9">
              <w:rPr>
                <w:szCs w:val="21"/>
              </w:rPr>
              <w:t xml:space="preserve">The introduction of indicators that cover both quality of care and quality of life </w:t>
            </w:r>
            <w:r>
              <w:rPr>
                <w:szCs w:val="21"/>
              </w:rPr>
              <w:t>would</w:t>
            </w:r>
            <w:r w:rsidRPr="00DC33A9">
              <w:rPr>
                <w:szCs w:val="21"/>
              </w:rPr>
              <w:t xml:space="preserve"> assist consumers in making decisions </w:t>
            </w:r>
            <w:r>
              <w:rPr>
                <w:szCs w:val="21"/>
              </w:rPr>
              <w:t>about their choice of aged care service providers, and also assist</w:t>
            </w:r>
            <w:r w:rsidRPr="00DC33A9">
              <w:rPr>
                <w:szCs w:val="21"/>
              </w:rPr>
              <w:t xml:space="preserve"> service providers in </w:t>
            </w:r>
            <w:r>
              <w:rPr>
                <w:szCs w:val="21"/>
              </w:rPr>
              <w:t xml:space="preserve">their </w:t>
            </w:r>
            <w:r w:rsidRPr="00DC33A9">
              <w:rPr>
                <w:szCs w:val="21"/>
              </w:rPr>
              <w:t>continuous improvement</w:t>
            </w:r>
            <w:r>
              <w:rPr>
                <w:szCs w:val="21"/>
              </w:rPr>
              <w:t xml:space="preserve"> of service delivery</w:t>
            </w:r>
            <w:r w:rsidRPr="00DC33A9">
              <w:rPr>
                <w:szCs w:val="21"/>
              </w:rPr>
              <w:t xml:space="preserve">. </w:t>
            </w:r>
            <w:r>
              <w:rPr>
                <w:szCs w:val="21"/>
              </w:rPr>
              <w:t>Quality indicators would complement the current quality framework.</w:t>
            </w:r>
          </w:p>
          <w:p w14:paraId="70A917D0" w14:textId="77777777" w:rsidR="006C369F" w:rsidRPr="00CC6C0B" w:rsidRDefault="006C369F" w:rsidP="006C369F">
            <w:pPr>
              <w:spacing w:before="120" w:after="120" w:line="280" w:lineRule="atLeast"/>
              <w:rPr>
                <w:szCs w:val="21"/>
              </w:rPr>
            </w:pPr>
            <w:r w:rsidRPr="00CC6C0B">
              <w:rPr>
                <w:szCs w:val="21"/>
              </w:rPr>
              <w:t xml:space="preserve">The quality indicators should </w:t>
            </w:r>
            <w:r>
              <w:rPr>
                <w:szCs w:val="21"/>
              </w:rPr>
              <w:t>support</w:t>
            </w:r>
            <w:r w:rsidRPr="00CC6C0B">
              <w:rPr>
                <w:szCs w:val="21"/>
              </w:rPr>
              <w:t xml:space="preserve"> the rights of residents covered in User Rights Principles 2014 Schedule 1—Charter of care recipients’ rights and responsibilities—residential care</w:t>
            </w:r>
            <w:r>
              <w:rPr>
                <w:szCs w:val="21"/>
              </w:rPr>
              <w:t>,</w:t>
            </w:r>
            <w:r w:rsidRPr="00CC6C0B">
              <w:rPr>
                <w:szCs w:val="21"/>
              </w:rPr>
              <w:t xml:space="preserve"> and also consider the following ten dignity of care principles: </w:t>
            </w:r>
          </w:p>
          <w:p w14:paraId="22036F2A" w14:textId="77777777" w:rsidR="006C369F" w:rsidRPr="00CC6C0B" w:rsidRDefault="006C369F" w:rsidP="006C369F">
            <w:pPr>
              <w:pStyle w:val="BodyText"/>
              <w:rPr>
                <w:szCs w:val="21"/>
              </w:rPr>
            </w:pPr>
            <w:r w:rsidRPr="00CC6C0B">
              <w:rPr>
                <w:szCs w:val="21"/>
              </w:rPr>
              <w:t>1.  Zero tolerance of all forms of abuse</w:t>
            </w:r>
            <w:r>
              <w:rPr>
                <w:szCs w:val="21"/>
              </w:rPr>
              <w:t>.</w:t>
            </w:r>
          </w:p>
          <w:p w14:paraId="78CC679C" w14:textId="77777777" w:rsidR="006C369F" w:rsidRPr="00CC6C0B" w:rsidRDefault="006C369F" w:rsidP="006C369F">
            <w:pPr>
              <w:pStyle w:val="BodyText"/>
              <w:ind w:left="284" w:hanging="284"/>
              <w:rPr>
                <w:szCs w:val="21"/>
              </w:rPr>
            </w:pPr>
            <w:r w:rsidRPr="00CC6C0B">
              <w:rPr>
                <w:szCs w:val="21"/>
              </w:rPr>
              <w:t>2.  Support people with the same respect you would want for yourself or a member of your family</w:t>
            </w:r>
            <w:r>
              <w:rPr>
                <w:szCs w:val="21"/>
              </w:rPr>
              <w:t>.</w:t>
            </w:r>
          </w:p>
          <w:p w14:paraId="54AFC534" w14:textId="77777777" w:rsidR="006C369F" w:rsidRPr="00CC6C0B" w:rsidRDefault="006C369F" w:rsidP="006C369F">
            <w:pPr>
              <w:pStyle w:val="BodyText"/>
              <w:ind w:left="284" w:hanging="284"/>
              <w:rPr>
                <w:szCs w:val="21"/>
              </w:rPr>
            </w:pPr>
            <w:r w:rsidRPr="00CC6C0B">
              <w:rPr>
                <w:szCs w:val="21"/>
              </w:rPr>
              <w:t>3.  Treat each person as an individual by offering a personalised service</w:t>
            </w:r>
            <w:r>
              <w:rPr>
                <w:szCs w:val="21"/>
              </w:rPr>
              <w:t>.</w:t>
            </w:r>
          </w:p>
          <w:p w14:paraId="762D4DB4" w14:textId="77777777" w:rsidR="006C369F" w:rsidRPr="00CC6C0B" w:rsidRDefault="006C369F" w:rsidP="006C369F">
            <w:pPr>
              <w:pStyle w:val="BodyText"/>
              <w:ind w:left="284" w:hanging="284"/>
              <w:rPr>
                <w:szCs w:val="21"/>
              </w:rPr>
            </w:pPr>
            <w:r w:rsidRPr="00CC6C0B">
              <w:rPr>
                <w:szCs w:val="21"/>
              </w:rPr>
              <w:t>4.  Enable people to maintain the maximum possible level of independence, choice and control</w:t>
            </w:r>
            <w:r>
              <w:rPr>
                <w:szCs w:val="21"/>
              </w:rPr>
              <w:t>.</w:t>
            </w:r>
          </w:p>
          <w:p w14:paraId="430AEF39" w14:textId="77777777" w:rsidR="006C369F" w:rsidRPr="00CC6C0B" w:rsidRDefault="006C369F" w:rsidP="006C369F">
            <w:pPr>
              <w:pStyle w:val="BodyText"/>
              <w:rPr>
                <w:szCs w:val="21"/>
              </w:rPr>
            </w:pPr>
            <w:r w:rsidRPr="00CC6C0B">
              <w:rPr>
                <w:szCs w:val="21"/>
              </w:rPr>
              <w:t>5.  Listen and support people to express their needs and wants</w:t>
            </w:r>
            <w:r>
              <w:rPr>
                <w:szCs w:val="21"/>
              </w:rPr>
              <w:t>.</w:t>
            </w:r>
          </w:p>
          <w:p w14:paraId="158828DD" w14:textId="77777777" w:rsidR="006C369F" w:rsidRPr="00CC6C0B" w:rsidRDefault="006C369F" w:rsidP="006C369F">
            <w:pPr>
              <w:pStyle w:val="BodyText"/>
              <w:rPr>
                <w:szCs w:val="21"/>
              </w:rPr>
            </w:pPr>
            <w:r w:rsidRPr="00CC6C0B">
              <w:rPr>
                <w:szCs w:val="21"/>
              </w:rPr>
              <w:t>6.  Respect people’s privacy</w:t>
            </w:r>
            <w:r>
              <w:rPr>
                <w:szCs w:val="21"/>
              </w:rPr>
              <w:t>.</w:t>
            </w:r>
          </w:p>
          <w:p w14:paraId="239460E2" w14:textId="77777777" w:rsidR="006C369F" w:rsidRPr="00CC6C0B" w:rsidRDefault="006C369F" w:rsidP="006C369F">
            <w:pPr>
              <w:pStyle w:val="BodyText"/>
              <w:rPr>
                <w:szCs w:val="21"/>
              </w:rPr>
            </w:pPr>
            <w:r w:rsidRPr="00CC6C0B">
              <w:rPr>
                <w:szCs w:val="21"/>
              </w:rPr>
              <w:t>7.  Ensure people feel able to complain without fear of retribution</w:t>
            </w:r>
            <w:r>
              <w:rPr>
                <w:szCs w:val="21"/>
              </w:rPr>
              <w:t>.</w:t>
            </w:r>
          </w:p>
          <w:p w14:paraId="0E55733B" w14:textId="77777777" w:rsidR="006C369F" w:rsidRPr="00CC6C0B" w:rsidRDefault="006C369F" w:rsidP="006C369F">
            <w:pPr>
              <w:pStyle w:val="BodyText"/>
              <w:rPr>
                <w:szCs w:val="21"/>
              </w:rPr>
            </w:pPr>
            <w:r w:rsidRPr="00CC6C0B">
              <w:rPr>
                <w:szCs w:val="21"/>
              </w:rPr>
              <w:t>8.  Engage with family members and carers as care partners</w:t>
            </w:r>
            <w:r>
              <w:rPr>
                <w:szCs w:val="21"/>
              </w:rPr>
              <w:t>.</w:t>
            </w:r>
          </w:p>
          <w:p w14:paraId="7F324997" w14:textId="77777777" w:rsidR="006C369F" w:rsidRPr="00CC6C0B" w:rsidRDefault="006C369F" w:rsidP="006C369F">
            <w:pPr>
              <w:pStyle w:val="BodyText"/>
              <w:rPr>
                <w:szCs w:val="21"/>
              </w:rPr>
            </w:pPr>
            <w:r w:rsidRPr="00CC6C0B">
              <w:rPr>
                <w:szCs w:val="21"/>
              </w:rPr>
              <w:t>9.  Assist people to maintain confidence and a positive self-esteem</w:t>
            </w:r>
            <w:r>
              <w:rPr>
                <w:szCs w:val="21"/>
              </w:rPr>
              <w:t>.</w:t>
            </w:r>
          </w:p>
          <w:p w14:paraId="473E17AC" w14:textId="77777777" w:rsidR="006C369F" w:rsidRPr="00CC6C0B" w:rsidRDefault="006C369F" w:rsidP="006C369F">
            <w:pPr>
              <w:spacing w:before="120" w:after="120" w:line="280" w:lineRule="atLeast"/>
              <w:rPr>
                <w:szCs w:val="21"/>
              </w:rPr>
            </w:pPr>
            <w:r w:rsidRPr="00CC6C0B">
              <w:rPr>
                <w:szCs w:val="21"/>
              </w:rPr>
              <w:t>10.  Act to alleviate people’s loneliness and isolation.</w:t>
            </w:r>
          </w:p>
        </w:tc>
      </w:tr>
      <w:tr w:rsidR="006C369F" w:rsidRPr="00686BA1" w14:paraId="16785C86" w14:textId="77777777" w:rsidTr="004A6ED2">
        <w:tc>
          <w:tcPr>
            <w:tcW w:w="1555" w:type="dxa"/>
            <w:shd w:val="clear" w:color="auto" w:fill="0070C0"/>
          </w:tcPr>
          <w:p w14:paraId="231DF684" w14:textId="77777777" w:rsidR="006C369F" w:rsidRPr="00EF77E1" w:rsidRDefault="006C369F" w:rsidP="006C369F">
            <w:pPr>
              <w:pStyle w:val="BodyText"/>
              <w:rPr>
                <w:color w:val="FFFFFF" w:themeColor="background1"/>
              </w:rPr>
            </w:pPr>
            <w:r w:rsidRPr="00EF77E1">
              <w:rPr>
                <w:color w:val="FFFFFF" w:themeColor="background1"/>
              </w:rPr>
              <w:lastRenderedPageBreak/>
              <w:t>Benefits</w:t>
            </w:r>
          </w:p>
        </w:tc>
        <w:tc>
          <w:tcPr>
            <w:tcW w:w="6940" w:type="dxa"/>
          </w:tcPr>
          <w:p w14:paraId="4F86F4DA" w14:textId="77777777" w:rsidR="006C369F" w:rsidRPr="00DC33A9" w:rsidRDefault="006C369F" w:rsidP="006C369F">
            <w:pPr>
              <w:pStyle w:val="ListParagraph"/>
              <w:numPr>
                <w:ilvl w:val="0"/>
                <w:numId w:val="28"/>
              </w:numPr>
              <w:spacing w:before="120" w:after="120" w:line="280" w:lineRule="atLeast"/>
              <w:rPr>
                <w:sz w:val="21"/>
                <w:szCs w:val="21"/>
              </w:rPr>
            </w:pPr>
            <w:r w:rsidRPr="00DC33A9">
              <w:rPr>
                <w:sz w:val="21"/>
                <w:szCs w:val="21"/>
              </w:rPr>
              <w:t>Builds on the Government</w:t>
            </w:r>
            <w:r>
              <w:rPr>
                <w:sz w:val="21"/>
                <w:szCs w:val="21"/>
              </w:rPr>
              <w:t>’s existing quality indicator work.</w:t>
            </w:r>
          </w:p>
          <w:p w14:paraId="076C334E" w14:textId="77777777" w:rsidR="006C369F" w:rsidRPr="00DC33A9" w:rsidRDefault="006C369F" w:rsidP="006C369F">
            <w:pPr>
              <w:pStyle w:val="ListParagraph"/>
              <w:numPr>
                <w:ilvl w:val="0"/>
                <w:numId w:val="28"/>
              </w:numPr>
              <w:spacing w:before="120" w:after="120" w:line="280" w:lineRule="atLeast"/>
              <w:rPr>
                <w:sz w:val="21"/>
                <w:szCs w:val="21"/>
              </w:rPr>
            </w:pPr>
            <w:r w:rsidRPr="00DC33A9">
              <w:rPr>
                <w:sz w:val="21"/>
                <w:szCs w:val="21"/>
              </w:rPr>
              <w:t>Increase the transparency of care outcomes for consumers in making decisions about which services to access.</w:t>
            </w:r>
          </w:p>
          <w:p w14:paraId="5CF8DE39" w14:textId="77777777" w:rsidR="006C369F" w:rsidRPr="00767E2B" w:rsidRDefault="006C369F" w:rsidP="006C369F">
            <w:pPr>
              <w:pStyle w:val="ListParagraph"/>
              <w:numPr>
                <w:ilvl w:val="0"/>
                <w:numId w:val="28"/>
              </w:numPr>
              <w:spacing w:before="120" w:after="120" w:line="280" w:lineRule="atLeast"/>
              <w:rPr>
                <w:sz w:val="21"/>
                <w:szCs w:val="21"/>
              </w:rPr>
            </w:pPr>
            <w:r>
              <w:rPr>
                <w:sz w:val="21"/>
                <w:szCs w:val="21"/>
              </w:rPr>
              <w:t>Inclusion of consumer input</w:t>
            </w:r>
            <w:r w:rsidRPr="00767E2B">
              <w:rPr>
                <w:sz w:val="21"/>
                <w:szCs w:val="21"/>
              </w:rPr>
              <w:t xml:space="preserve">. </w:t>
            </w:r>
          </w:p>
          <w:p w14:paraId="527214F6" w14:textId="77777777" w:rsidR="006C369F" w:rsidRPr="0077376C" w:rsidRDefault="006C369F" w:rsidP="006C369F">
            <w:pPr>
              <w:pStyle w:val="ListParagraph"/>
              <w:numPr>
                <w:ilvl w:val="0"/>
                <w:numId w:val="28"/>
              </w:numPr>
              <w:spacing w:before="120" w:after="120" w:line="280" w:lineRule="atLeast"/>
              <w:rPr>
                <w:sz w:val="21"/>
                <w:szCs w:val="21"/>
              </w:rPr>
            </w:pPr>
            <w:r w:rsidRPr="0077376C">
              <w:rPr>
                <w:sz w:val="21"/>
                <w:szCs w:val="21"/>
              </w:rPr>
              <w:t>Help drive change and focus strategies on areas of need both for the individual and within organisations.</w:t>
            </w:r>
          </w:p>
          <w:p w14:paraId="7D9AFC8D" w14:textId="77777777" w:rsidR="006C369F" w:rsidRDefault="006C369F" w:rsidP="006C369F">
            <w:pPr>
              <w:pStyle w:val="ListParagraph"/>
              <w:numPr>
                <w:ilvl w:val="0"/>
                <w:numId w:val="28"/>
              </w:numPr>
              <w:spacing w:before="120" w:after="120" w:line="280" w:lineRule="atLeast"/>
              <w:rPr>
                <w:sz w:val="21"/>
                <w:szCs w:val="21"/>
              </w:rPr>
            </w:pPr>
            <w:r w:rsidRPr="0077376C">
              <w:rPr>
                <w:sz w:val="21"/>
                <w:szCs w:val="21"/>
              </w:rPr>
              <w:t>Provide solid data to inform policy around aged care in general</w:t>
            </w:r>
            <w:r>
              <w:rPr>
                <w:sz w:val="21"/>
                <w:szCs w:val="21"/>
              </w:rPr>
              <w:t>,</w:t>
            </w:r>
            <w:r w:rsidRPr="009552F2">
              <w:rPr>
                <w:sz w:val="21"/>
                <w:szCs w:val="21"/>
              </w:rPr>
              <w:t xml:space="preserve"> and dementia and severe BPSD specifically</w:t>
            </w:r>
            <w:r>
              <w:rPr>
                <w:sz w:val="21"/>
                <w:szCs w:val="21"/>
              </w:rPr>
              <w:t>,</w:t>
            </w:r>
            <w:r w:rsidRPr="009552F2">
              <w:rPr>
                <w:sz w:val="21"/>
                <w:szCs w:val="21"/>
              </w:rPr>
              <w:t xml:space="preserve"> at the government level.</w:t>
            </w:r>
          </w:p>
          <w:p w14:paraId="3DD7AF99" w14:textId="77777777" w:rsidR="006C369F" w:rsidRPr="0077376C" w:rsidRDefault="006C369F" w:rsidP="006C369F">
            <w:pPr>
              <w:pStyle w:val="ListParagraph"/>
              <w:numPr>
                <w:ilvl w:val="0"/>
                <w:numId w:val="28"/>
              </w:numPr>
              <w:spacing w:before="120" w:after="120" w:line="280" w:lineRule="atLeast"/>
              <w:rPr>
                <w:sz w:val="21"/>
                <w:szCs w:val="21"/>
              </w:rPr>
            </w:pPr>
            <w:r w:rsidRPr="008030E6">
              <w:rPr>
                <w:sz w:val="21"/>
                <w:szCs w:val="21"/>
              </w:rPr>
              <w:t>P</w:t>
            </w:r>
            <w:r>
              <w:rPr>
                <w:sz w:val="21"/>
                <w:szCs w:val="21"/>
              </w:rPr>
              <w:t>erformance measurement, benchmarking and p</w:t>
            </w:r>
            <w:r w:rsidRPr="008030E6">
              <w:rPr>
                <w:sz w:val="21"/>
                <w:szCs w:val="21"/>
              </w:rPr>
              <w:t>ublication of performance data</w:t>
            </w:r>
            <w:r>
              <w:rPr>
                <w:sz w:val="21"/>
                <w:szCs w:val="21"/>
              </w:rPr>
              <w:t xml:space="preserve"> is likely to lead to improved service provision</w:t>
            </w:r>
            <w:r w:rsidRPr="009552F2">
              <w:rPr>
                <w:sz w:val="21"/>
                <w:szCs w:val="21"/>
              </w:rPr>
              <w:t xml:space="preserve">. </w:t>
            </w:r>
          </w:p>
        </w:tc>
      </w:tr>
      <w:tr w:rsidR="006C369F" w:rsidRPr="00686BA1" w14:paraId="276CA11E" w14:textId="77777777" w:rsidTr="004A6ED2">
        <w:tc>
          <w:tcPr>
            <w:tcW w:w="1555" w:type="dxa"/>
            <w:shd w:val="clear" w:color="auto" w:fill="0070C0"/>
          </w:tcPr>
          <w:p w14:paraId="22822F4A" w14:textId="77777777" w:rsidR="006C369F" w:rsidRPr="00686BA1" w:rsidRDefault="006C369F" w:rsidP="006C369F">
            <w:pPr>
              <w:pStyle w:val="BodyText"/>
            </w:pPr>
            <w:r w:rsidRPr="00EF77E1">
              <w:rPr>
                <w:color w:val="FFFFFF" w:themeColor="background1"/>
              </w:rPr>
              <w:t xml:space="preserve">Risks </w:t>
            </w:r>
          </w:p>
        </w:tc>
        <w:tc>
          <w:tcPr>
            <w:tcW w:w="6940" w:type="dxa"/>
          </w:tcPr>
          <w:p w14:paraId="775CDC9B" w14:textId="77777777" w:rsidR="006C369F" w:rsidRPr="00767E2B" w:rsidRDefault="006C369F" w:rsidP="006C369F">
            <w:pPr>
              <w:pStyle w:val="ListParagraph"/>
              <w:numPr>
                <w:ilvl w:val="0"/>
                <w:numId w:val="29"/>
              </w:numPr>
              <w:spacing w:before="120" w:after="120" w:line="280" w:lineRule="atLeast"/>
              <w:rPr>
                <w:sz w:val="21"/>
                <w:szCs w:val="21"/>
              </w:rPr>
            </w:pPr>
            <w:r w:rsidRPr="00767E2B">
              <w:rPr>
                <w:sz w:val="21"/>
                <w:szCs w:val="21"/>
              </w:rPr>
              <w:t xml:space="preserve">Increased risk of administrative burden. </w:t>
            </w:r>
          </w:p>
          <w:p w14:paraId="40882563" w14:textId="77777777" w:rsidR="006C369F" w:rsidRPr="001A5210" w:rsidRDefault="006C369F" w:rsidP="006C369F">
            <w:pPr>
              <w:pStyle w:val="ListParagraph"/>
              <w:numPr>
                <w:ilvl w:val="0"/>
                <w:numId w:val="29"/>
              </w:numPr>
              <w:spacing w:before="120" w:after="120" w:line="280" w:lineRule="atLeast"/>
              <w:rPr>
                <w:sz w:val="21"/>
                <w:szCs w:val="21"/>
              </w:rPr>
            </w:pPr>
            <w:r>
              <w:rPr>
                <w:sz w:val="21"/>
                <w:szCs w:val="21"/>
              </w:rPr>
              <w:t>People</w:t>
            </w:r>
            <w:r w:rsidRPr="001A5210">
              <w:rPr>
                <w:sz w:val="21"/>
                <w:szCs w:val="21"/>
              </w:rPr>
              <w:t xml:space="preserve"> with more severe BPSD</w:t>
            </w:r>
            <w:r w:rsidRPr="00112BFE">
              <w:rPr>
                <w:sz w:val="21"/>
                <w:szCs w:val="21"/>
              </w:rPr>
              <w:t xml:space="preserve"> or comorbidities may</w:t>
            </w:r>
            <w:r>
              <w:rPr>
                <w:sz w:val="21"/>
                <w:szCs w:val="21"/>
              </w:rPr>
              <w:t xml:space="preserve"> negatively skew results.</w:t>
            </w:r>
            <w:r w:rsidRPr="001A5210">
              <w:rPr>
                <w:sz w:val="21"/>
                <w:szCs w:val="21"/>
              </w:rPr>
              <w:t xml:space="preserve"> </w:t>
            </w:r>
          </w:p>
          <w:p w14:paraId="420F2334" w14:textId="77777777" w:rsidR="006C369F" w:rsidRDefault="006C369F" w:rsidP="006C369F">
            <w:pPr>
              <w:pStyle w:val="ListParagraph"/>
              <w:numPr>
                <w:ilvl w:val="0"/>
                <w:numId w:val="29"/>
              </w:numPr>
              <w:spacing w:before="120" w:after="120" w:line="280" w:lineRule="atLeast"/>
              <w:rPr>
                <w:sz w:val="21"/>
                <w:szCs w:val="21"/>
              </w:rPr>
            </w:pPr>
            <w:r w:rsidRPr="00B61CC9">
              <w:rPr>
                <w:sz w:val="21"/>
                <w:szCs w:val="21"/>
              </w:rPr>
              <w:t xml:space="preserve">Measurement tools must reliably measure </w:t>
            </w:r>
            <w:r>
              <w:rPr>
                <w:sz w:val="21"/>
                <w:szCs w:val="21"/>
              </w:rPr>
              <w:t xml:space="preserve">the </w:t>
            </w:r>
            <w:r w:rsidRPr="00B61CC9">
              <w:rPr>
                <w:sz w:val="21"/>
                <w:szCs w:val="21"/>
              </w:rPr>
              <w:t>quality</w:t>
            </w:r>
            <w:r>
              <w:rPr>
                <w:sz w:val="21"/>
                <w:szCs w:val="21"/>
              </w:rPr>
              <w:t xml:space="preserve"> indicators</w:t>
            </w:r>
            <w:r w:rsidRPr="00B61CC9">
              <w:rPr>
                <w:sz w:val="21"/>
                <w:szCs w:val="21"/>
              </w:rPr>
              <w:t xml:space="preserve">. </w:t>
            </w:r>
          </w:p>
          <w:p w14:paraId="59C64C5E" w14:textId="77777777" w:rsidR="006C369F" w:rsidRPr="00B61CC9" w:rsidRDefault="006C369F" w:rsidP="006C369F">
            <w:pPr>
              <w:pStyle w:val="ListParagraph"/>
              <w:numPr>
                <w:ilvl w:val="0"/>
                <w:numId w:val="29"/>
              </w:numPr>
              <w:spacing w:before="120" w:after="120" w:line="280" w:lineRule="atLeast"/>
              <w:rPr>
                <w:sz w:val="21"/>
                <w:szCs w:val="21"/>
              </w:rPr>
            </w:pPr>
            <w:r>
              <w:rPr>
                <w:sz w:val="21"/>
                <w:szCs w:val="21"/>
              </w:rPr>
              <w:t>Quality Indicators and resident surveys must not be confused with compliance measurements.</w:t>
            </w:r>
          </w:p>
        </w:tc>
      </w:tr>
      <w:tr w:rsidR="006C369F" w:rsidRPr="00686BA1" w14:paraId="4840F8B9" w14:textId="77777777" w:rsidTr="004A6ED2">
        <w:tc>
          <w:tcPr>
            <w:tcW w:w="1555" w:type="dxa"/>
            <w:shd w:val="clear" w:color="auto" w:fill="0070C0"/>
          </w:tcPr>
          <w:p w14:paraId="0D6DD61E" w14:textId="77777777" w:rsidR="006C369F" w:rsidRPr="00EF77E1" w:rsidRDefault="006C369F" w:rsidP="006C369F">
            <w:pPr>
              <w:pStyle w:val="BodyText"/>
              <w:rPr>
                <w:color w:val="FFFFFF" w:themeColor="background1"/>
              </w:rPr>
            </w:pPr>
            <w:r>
              <w:rPr>
                <w:color w:val="FFFFFF" w:themeColor="background1"/>
              </w:rPr>
              <w:t>Funding</w:t>
            </w:r>
          </w:p>
        </w:tc>
        <w:tc>
          <w:tcPr>
            <w:tcW w:w="6940" w:type="dxa"/>
          </w:tcPr>
          <w:p w14:paraId="49BBE4AF" w14:textId="77777777" w:rsidR="006C369F" w:rsidRPr="0077376C" w:rsidRDefault="006C369F" w:rsidP="006C369F">
            <w:pPr>
              <w:pStyle w:val="ListParagraph"/>
              <w:numPr>
                <w:ilvl w:val="0"/>
                <w:numId w:val="29"/>
              </w:numPr>
              <w:spacing w:before="120" w:after="120" w:line="280" w:lineRule="atLeast"/>
              <w:rPr>
                <w:sz w:val="21"/>
                <w:szCs w:val="21"/>
              </w:rPr>
            </w:pPr>
            <w:r w:rsidRPr="00767E2B">
              <w:rPr>
                <w:sz w:val="21"/>
                <w:szCs w:val="21"/>
              </w:rPr>
              <w:t>To be funded out of existing DSS budget allocations.</w:t>
            </w:r>
          </w:p>
        </w:tc>
      </w:tr>
      <w:tr w:rsidR="006C369F" w:rsidRPr="00686BA1" w14:paraId="47CF387A" w14:textId="77777777" w:rsidTr="004A6ED2">
        <w:tc>
          <w:tcPr>
            <w:tcW w:w="1555" w:type="dxa"/>
            <w:shd w:val="clear" w:color="auto" w:fill="0070C0"/>
          </w:tcPr>
          <w:p w14:paraId="7F92A14D" w14:textId="77777777" w:rsidR="006C369F" w:rsidRPr="00EF77E1" w:rsidRDefault="006C369F" w:rsidP="006C369F">
            <w:pPr>
              <w:pStyle w:val="BodyText"/>
              <w:rPr>
                <w:color w:val="FFFFFF" w:themeColor="background1"/>
              </w:rPr>
            </w:pPr>
            <w:r>
              <w:rPr>
                <w:color w:val="FFFFFF" w:themeColor="background1"/>
              </w:rPr>
              <w:t>Feasibility</w:t>
            </w:r>
          </w:p>
        </w:tc>
        <w:tc>
          <w:tcPr>
            <w:tcW w:w="6940" w:type="dxa"/>
          </w:tcPr>
          <w:p w14:paraId="37430DD8" w14:textId="77777777" w:rsidR="006C369F" w:rsidRPr="00767E2B" w:rsidRDefault="006C369F" w:rsidP="006C369F">
            <w:pPr>
              <w:pStyle w:val="ListParagraph"/>
              <w:numPr>
                <w:ilvl w:val="0"/>
                <w:numId w:val="29"/>
              </w:numPr>
              <w:spacing w:before="120" w:after="120" w:line="280" w:lineRule="atLeast"/>
              <w:rPr>
                <w:sz w:val="21"/>
                <w:szCs w:val="21"/>
              </w:rPr>
            </w:pPr>
            <w:r w:rsidRPr="00767E2B">
              <w:rPr>
                <w:sz w:val="21"/>
                <w:szCs w:val="21"/>
              </w:rPr>
              <w:t xml:space="preserve">Considerable work will be required to introduce aged quality of life </w:t>
            </w:r>
            <w:r w:rsidRPr="00207212">
              <w:rPr>
                <w:sz w:val="21"/>
                <w:szCs w:val="21"/>
              </w:rPr>
              <w:t>indicators. The design of appropriate indicators; selecting the right measurement tool or developing a new tool</w:t>
            </w:r>
            <w:r>
              <w:rPr>
                <w:sz w:val="21"/>
                <w:szCs w:val="21"/>
              </w:rPr>
              <w:t xml:space="preserve"> </w:t>
            </w:r>
            <w:proofErr w:type="gramStart"/>
            <w:r w:rsidRPr="00207212">
              <w:rPr>
                <w:sz w:val="21"/>
                <w:szCs w:val="21"/>
              </w:rPr>
              <w:t>are</w:t>
            </w:r>
            <w:proofErr w:type="gramEnd"/>
            <w:r w:rsidRPr="00207212">
              <w:rPr>
                <w:sz w:val="21"/>
                <w:szCs w:val="21"/>
              </w:rPr>
              <w:t xml:space="preserve"> complex tasks to ensure the above risks are mitigated.</w:t>
            </w:r>
          </w:p>
          <w:p w14:paraId="2276EF83" w14:textId="77777777" w:rsidR="006C369F" w:rsidRPr="0077376C" w:rsidRDefault="006C369F" w:rsidP="006C369F">
            <w:pPr>
              <w:pStyle w:val="ListParagraph"/>
              <w:numPr>
                <w:ilvl w:val="0"/>
                <w:numId w:val="29"/>
              </w:numPr>
              <w:spacing w:before="120" w:after="120" w:line="280" w:lineRule="atLeast"/>
              <w:rPr>
                <w:sz w:val="21"/>
                <w:szCs w:val="21"/>
              </w:rPr>
            </w:pPr>
            <w:r w:rsidRPr="0077376C">
              <w:rPr>
                <w:sz w:val="21"/>
                <w:szCs w:val="21"/>
              </w:rPr>
              <w:t>This is an option for the medium term.</w:t>
            </w:r>
          </w:p>
        </w:tc>
      </w:tr>
    </w:tbl>
    <w:p w14:paraId="73B66986" w14:textId="77777777" w:rsidR="003E15CA" w:rsidRPr="00703C13" w:rsidRDefault="000C0E46" w:rsidP="0097264A">
      <w:pPr>
        <w:pStyle w:val="Heading3"/>
        <w:numPr>
          <w:ilvl w:val="0"/>
          <w:numId w:val="0"/>
        </w:numPr>
        <w:ind w:left="720" w:hanging="720"/>
      </w:pPr>
      <w:r w:rsidRPr="009B71D2">
        <w:t>Grants to pilot and evaluate new service delivery models</w:t>
      </w:r>
    </w:p>
    <w:tbl>
      <w:tblPr>
        <w:tblStyle w:val="TableGrid"/>
        <w:tblW w:w="0" w:type="auto"/>
        <w:tblLook w:val="04A0" w:firstRow="1" w:lastRow="0" w:firstColumn="1" w:lastColumn="0" w:noHBand="0" w:noVBand="1"/>
        <w:tblDescription w:val="Strategy H: Using funding grants to pilot and evaluate new service delivery models or initiatives"/>
      </w:tblPr>
      <w:tblGrid>
        <w:gridCol w:w="1555"/>
        <w:gridCol w:w="6940"/>
      </w:tblGrid>
      <w:tr w:rsidR="003E15CA" w:rsidRPr="00686BA1" w14:paraId="67CB1962" w14:textId="77777777" w:rsidTr="0059201E">
        <w:trPr>
          <w:tblHeader/>
        </w:trPr>
        <w:tc>
          <w:tcPr>
            <w:tcW w:w="1555" w:type="dxa"/>
            <w:shd w:val="clear" w:color="auto" w:fill="0070C0"/>
          </w:tcPr>
          <w:p w14:paraId="37FB2547" w14:textId="77777777" w:rsidR="003E15CA" w:rsidRPr="00EF77E1" w:rsidRDefault="003E15CA" w:rsidP="004A6ED2">
            <w:pPr>
              <w:pStyle w:val="BodyText"/>
              <w:rPr>
                <w:color w:val="FFFFFF" w:themeColor="background1"/>
              </w:rPr>
            </w:pPr>
            <w:r w:rsidRPr="00EF77E1">
              <w:rPr>
                <w:color w:val="FFFFFF" w:themeColor="background1"/>
              </w:rPr>
              <w:t xml:space="preserve">Strategy </w:t>
            </w:r>
          </w:p>
        </w:tc>
        <w:tc>
          <w:tcPr>
            <w:tcW w:w="6940" w:type="dxa"/>
          </w:tcPr>
          <w:p w14:paraId="38D1E857" w14:textId="77777777" w:rsidR="003E15CA" w:rsidRPr="006C369F" w:rsidRDefault="000C0E46" w:rsidP="000C0E46">
            <w:pPr>
              <w:pStyle w:val="ListParagraph"/>
              <w:numPr>
                <w:ilvl w:val="0"/>
                <w:numId w:val="51"/>
              </w:numPr>
              <w:spacing w:before="120" w:after="120" w:line="280" w:lineRule="atLeast"/>
              <w:rPr>
                <w:sz w:val="21"/>
                <w:szCs w:val="21"/>
              </w:rPr>
            </w:pPr>
            <w:r w:rsidRPr="006C369F">
              <w:rPr>
                <w:sz w:val="21"/>
                <w:szCs w:val="21"/>
              </w:rPr>
              <w:t>Using funding grants to pilot and evaluate new service delivery models or initiatives</w:t>
            </w:r>
          </w:p>
        </w:tc>
      </w:tr>
      <w:tr w:rsidR="00EC023B" w:rsidRPr="00686BA1" w14:paraId="2334A3F6" w14:textId="77777777" w:rsidTr="004A6ED2">
        <w:tc>
          <w:tcPr>
            <w:tcW w:w="1555" w:type="dxa"/>
            <w:shd w:val="clear" w:color="auto" w:fill="0070C0"/>
          </w:tcPr>
          <w:p w14:paraId="7599C540" w14:textId="77777777" w:rsidR="00EC023B" w:rsidRDefault="00EC023B" w:rsidP="00EC023B">
            <w:pPr>
              <w:pStyle w:val="BodyText"/>
              <w:rPr>
                <w:color w:val="FFFFFF" w:themeColor="background1"/>
              </w:rPr>
            </w:pPr>
            <w:r>
              <w:rPr>
                <w:color w:val="FFFFFF" w:themeColor="background1"/>
              </w:rPr>
              <w:t>Forum objectives</w:t>
            </w:r>
          </w:p>
        </w:tc>
        <w:tc>
          <w:tcPr>
            <w:tcW w:w="6940" w:type="dxa"/>
          </w:tcPr>
          <w:p w14:paraId="273123BC" w14:textId="77777777" w:rsidR="00EC023B" w:rsidRPr="006C369F" w:rsidRDefault="000C0E46" w:rsidP="000C0E46">
            <w:pPr>
              <w:pStyle w:val="ListParagraph"/>
              <w:numPr>
                <w:ilvl w:val="0"/>
                <w:numId w:val="70"/>
              </w:numPr>
              <w:spacing w:before="120" w:after="120" w:line="280" w:lineRule="atLeast"/>
              <w:rPr>
                <w:sz w:val="21"/>
                <w:szCs w:val="21"/>
              </w:rPr>
            </w:pPr>
            <w:r w:rsidRPr="006C369F">
              <w:rPr>
                <w:sz w:val="21"/>
                <w:szCs w:val="21"/>
              </w:rPr>
              <w:t>Satisfies forum objectives 1, 2, 3 and 4.</w:t>
            </w:r>
            <w:r w:rsidR="00EC023B" w:rsidRPr="006C369F">
              <w:rPr>
                <w:sz w:val="21"/>
                <w:szCs w:val="21"/>
              </w:rPr>
              <w:t xml:space="preserve">  </w:t>
            </w:r>
          </w:p>
        </w:tc>
      </w:tr>
      <w:tr w:rsidR="006C369F" w:rsidRPr="00686BA1" w14:paraId="6B10EE65" w14:textId="77777777" w:rsidTr="004A6ED2">
        <w:tc>
          <w:tcPr>
            <w:tcW w:w="1555" w:type="dxa"/>
            <w:shd w:val="clear" w:color="auto" w:fill="0070C0"/>
          </w:tcPr>
          <w:p w14:paraId="3582E4D7" w14:textId="77777777" w:rsidR="006C369F" w:rsidRPr="00EF77E1" w:rsidRDefault="006C369F" w:rsidP="006C369F">
            <w:pPr>
              <w:pStyle w:val="BodyText"/>
              <w:rPr>
                <w:color w:val="FFFFFF" w:themeColor="background1"/>
              </w:rPr>
            </w:pPr>
            <w:r>
              <w:rPr>
                <w:color w:val="FFFFFF" w:themeColor="background1"/>
              </w:rPr>
              <w:t xml:space="preserve">Description </w:t>
            </w:r>
          </w:p>
        </w:tc>
        <w:tc>
          <w:tcPr>
            <w:tcW w:w="6940" w:type="dxa"/>
          </w:tcPr>
          <w:p w14:paraId="7991E917" w14:textId="77777777" w:rsidR="006C369F" w:rsidRPr="00207212" w:rsidRDefault="006C369F" w:rsidP="006C369F">
            <w:pPr>
              <w:spacing w:before="120" w:after="120" w:line="280" w:lineRule="atLeast"/>
              <w:rPr>
                <w:szCs w:val="21"/>
              </w:rPr>
            </w:pPr>
            <w:r w:rsidRPr="00207212">
              <w:rPr>
                <w:szCs w:val="21"/>
              </w:rPr>
              <w:t>Using funding grants to pilot and evaluate new service delivery models or initiatives was proposed as a replacement for the Dementia and Severe Behaviours Supplement. It was proposed that these grants would be specifically targeted to address severe BPSD. Service providers would apply for grants to pilot innovative models and</w:t>
            </w:r>
            <w:r>
              <w:rPr>
                <w:szCs w:val="21"/>
              </w:rPr>
              <w:t>,</w:t>
            </w:r>
            <w:r w:rsidRPr="00207212">
              <w:rPr>
                <w:szCs w:val="21"/>
              </w:rPr>
              <w:t xml:space="preserve"> if successful, could be distributed more broadly across the sector.</w:t>
            </w:r>
          </w:p>
          <w:p w14:paraId="6DA80127" w14:textId="77777777" w:rsidR="006C369F" w:rsidRPr="00207212" w:rsidRDefault="006C369F" w:rsidP="006C369F">
            <w:pPr>
              <w:spacing w:before="120" w:after="120" w:line="280" w:lineRule="atLeast"/>
              <w:rPr>
                <w:szCs w:val="21"/>
              </w:rPr>
            </w:pPr>
            <w:r w:rsidRPr="00207212">
              <w:rPr>
                <w:szCs w:val="21"/>
              </w:rPr>
              <w:t xml:space="preserve">Possible new service delivery models or initiatives that were proposed by </w:t>
            </w:r>
            <w:r>
              <w:rPr>
                <w:szCs w:val="21"/>
              </w:rPr>
              <w:t>participants</w:t>
            </w:r>
            <w:r w:rsidRPr="00207212">
              <w:rPr>
                <w:szCs w:val="21"/>
              </w:rPr>
              <w:t xml:space="preserve"> include:</w:t>
            </w:r>
          </w:p>
          <w:p w14:paraId="6141214A" w14:textId="77777777" w:rsidR="006C369F" w:rsidRPr="006C369F" w:rsidRDefault="006C369F" w:rsidP="006C369F">
            <w:pPr>
              <w:pStyle w:val="ListParagraph"/>
              <w:numPr>
                <w:ilvl w:val="0"/>
                <w:numId w:val="50"/>
              </w:numPr>
              <w:spacing w:before="120" w:after="120" w:line="280" w:lineRule="atLeast"/>
              <w:rPr>
                <w:sz w:val="21"/>
                <w:szCs w:val="21"/>
              </w:rPr>
            </w:pPr>
            <w:r w:rsidRPr="006C369F">
              <w:rPr>
                <w:sz w:val="21"/>
                <w:szCs w:val="21"/>
              </w:rPr>
              <w:t>respite care funding following the care recipient rather than being allocated to providers;</w:t>
            </w:r>
          </w:p>
          <w:p w14:paraId="1AA6F1EC" w14:textId="77777777" w:rsidR="006C369F" w:rsidRPr="00207212" w:rsidRDefault="006C369F" w:rsidP="006C369F">
            <w:pPr>
              <w:pStyle w:val="ListParagraph"/>
              <w:numPr>
                <w:ilvl w:val="0"/>
                <w:numId w:val="50"/>
              </w:numPr>
              <w:spacing w:before="120" w:after="120" w:line="280" w:lineRule="atLeast"/>
              <w:rPr>
                <w:sz w:val="21"/>
                <w:szCs w:val="21"/>
              </w:rPr>
            </w:pPr>
            <w:r w:rsidRPr="00207212">
              <w:rPr>
                <w:sz w:val="21"/>
                <w:szCs w:val="21"/>
              </w:rPr>
              <w:t>an expansion of the role of nurse practitioners</w:t>
            </w:r>
            <w:r>
              <w:rPr>
                <w:sz w:val="21"/>
                <w:szCs w:val="21"/>
              </w:rPr>
              <w:t>;</w:t>
            </w:r>
            <w:r w:rsidRPr="00207212">
              <w:rPr>
                <w:sz w:val="21"/>
                <w:szCs w:val="21"/>
              </w:rPr>
              <w:t xml:space="preserve"> </w:t>
            </w:r>
          </w:p>
          <w:p w14:paraId="119B9CA4" w14:textId="77777777" w:rsidR="006C369F" w:rsidRPr="00207212" w:rsidRDefault="006C369F" w:rsidP="006C369F">
            <w:pPr>
              <w:pStyle w:val="ListParagraph"/>
              <w:numPr>
                <w:ilvl w:val="0"/>
                <w:numId w:val="50"/>
              </w:numPr>
              <w:spacing w:before="120" w:after="120" w:line="280" w:lineRule="atLeast"/>
              <w:rPr>
                <w:sz w:val="21"/>
                <w:szCs w:val="21"/>
              </w:rPr>
            </w:pPr>
            <w:r w:rsidRPr="00207212">
              <w:rPr>
                <w:sz w:val="21"/>
                <w:szCs w:val="21"/>
              </w:rPr>
              <w:lastRenderedPageBreak/>
              <w:t xml:space="preserve">increasing the leadership capability of </w:t>
            </w:r>
            <w:r>
              <w:rPr>
                <w:sz w:val="21"/>
                <w:szCs w:val="21"/>
              </w:rPr>
              <w:t xml:space="preserve">the aged care </w:t>
            </w:r>
            <w:r w:rsidRPr="00207212">
              <w:rPr>
                <w:sz w:val="21"/>
                <w:szCs w:val="21"/>
              </w:rPr>
              <w:t>workforce</w:t>
            </w:r>
            <w:r>
              <w:rPr>
                <w:sz w:val="21"/>
                <w:szCs w:val="21"/>
              </w:rPr>
              <w:t>;</w:t>
            </w:r>
          </w:p>
          <w:p w14:paraId="19D4F202" w14:textId="77777777" w:rsidR="006C369F" w:rsidRDefault="006C369F" w:rsidP="006C369F">
            <w:pPr>
              <w:pStyle w:val="ListParagraph"/>
              <w:numPr>
                <w:ilvl w:val="0"/>
                <w:numId w:val="50"/>
              </w:numPr>
              <w:spacing w:before="120" w:after="120" w:line="280" w:lineRule="atLeast"/>
              <w:rPr>
                <w:sz w:val="21"/>
                <w:szCs w:val="21"/>
              </w:rPr>
            </w:pPr>
            <w:r w:rsidRPr="00207212">
              <w:rPr>
                <w:sz w:val="21"/>
                <w:szCs w:val="21"/>
              </w:rPr>
              <w:t>a better allocation of staff caseloads</w:t>
            </w:r>
            <w:r>
              <w:rPr>
                <w:sz w:val="21"/>
                <w:szCs w:val="21"/>
              </w:rPr>
              <w:t>; and</w:t>
            </w:r>
          </w:p>
          <w:p w14:paraId="1954F392" w14:textId="77777777" w:rsidR="006C369F" w:rsidRPr="00207212" w:rsidRDefault="006C369F" w:rsidP="006C369F">
            <w:pPr>
              <w:pStyle w:val="ListParagraph"/>
              <w:numPr>
                <w:ilvl w:val="0"/>
                <w:numId w:val="50"/>
              </w:numPr>
              <w:spacing w:before="120" w:after="120" w:line="280" w:lineRule="atLeast"/>
              <w:rPr>
                <w:sz w:val="21"/>
                <w:szCs w:val="21"/>
              </w:rPr>
            </w:pPr>
            <w:proofErr w:type="gramStart"/>
            <w:r>
              <w:rPr>
                <w:sz w:val="21"/>
                <w:szCs w:val="21"/>
              </w:rPr>
              <w:t>improved</w:t>
            </w:r>
            <w:proofErr w:type="gramEnd"/>
            <w:r>
              <w:rPr>
                <w:sz w:val="21"/>
                <w:szCs w:val="21"/>
              </w:rPr>
              <w:t xml:space="preserve"> knowledge translation of dementia research.</w:t>
            </w:r>
          </w:p>
        </w:tc>
      </w:tr>
      <w:tr w:rsidR="006C369F" w:rsidRPr="0021210C" w14:paraId="46CA763B" w14:textId="77777777" w:rsidTr="004A6ED2">
        <w:tc>
          <w:tcPr>
            <w:tcW w:w="1555" w:type="dxa"/>
            <w:shd w:val="clear" w:color="auto" w:fill="0070C0"/>
          </w:tcPr>
          <w:p w14:paraId="0396880A" w14:textId="77777777" w:rsidR="006C369F" w:rsidRPr="00EF77E1" w:rsidRDefault="006C369F" w:rsidP="006C369F">
            <w:pPr>
              <w:pStyle w:val="BodyText"/>
              <w:rPr>
                <w:color w:val="FFFFFF" w:themeColor="background1"/>
              </w:rPr>
            </w:pPr>
            <w:r w:rsidRPr="00EF77E1">
              <w:rPr>
                <w:color w:val="FFFFFF" w:themeColor="background1"/>
              </w:rPr>
              <w:lastRenderedPageBreak/>
              <w:t>Benefits</w:t>
            </w:r>
          </w:p>
        </w:tc>
        <w:tc>
          <w:tcPr>
            <w:tcW w:w="6940" w:type="dxa"/>
          </w:tcPr>
          <w:p w14:paraId="40ED981D" w14:textId="77777777" w:rsidR="006C369F" w:rsidRPr="0077376C" w:rsidRDefault="006C369F" w:rsidP="006C369F">
            <w:pPr>
              <w:pStyle w:val="ListParagraph"/>
              <w:numPr>
                <w:ilvl w:val="0"/>
                <w:numId w:val="39"/>
              </w:numPr>
              <w:spacing w:before="120" w:after="120" w:line="280" w:lineRule="atLeast"/>
              <w:rPr>
                <w:sz w:val="21"/>
                <w:szCs w:val="21"/>
              </w:rPr>
            </w:pPr>
            <w:r>
              <w:rPr>
                <w:sz w:val="21"/>
                <w:szCs w:val="21"/>
              </w:rPr>
              <w:t xml:space="preserve">Development of </w:t>
            </w:r>
            <w:r w:rsidRPr="009552F2">
              <w:rPr>
                <w:sz w:val="21"/>
                <w:szCs w:val="21"/>
              </w:rPr>
              <w:t xml:space="preserve">innovative approaches to providing services for people with </w:t>
            </w:r>
            <w:r w:rsidRPr="0077376C">
              <w:rPr>
                <w:sz w:val="21"/>
                <w:szCs w:val="21"/>
              </w:rPr>
              <w:t>severe BPSD.</w:t>
            </w:r>
          </w:p>
          <w:p w14:paraId="75F15804" w14:textId="77777777" w:rsidR="006C369F" w:rsidRPr="00B61CC9" w:rsidRDefault="006C369F" w:rsidP="006C369F">
            <w:pPr>
              <w:pStyle w:val="ListParagraph"/>
              <w:numPr>
                <w:ilvl w:val="0"/>
                <w:numId w:val="39"/>
              </w:numPr>
              <w:spacing w:before="120" w:after="120" w:line="280" w:lineRule="atLeast"/>
              <w:rPr>
                <w:sz w:val="21"/>
                <w:szCs w:val="21"/>
              </w:rPr>
            </w:pPr>
            <w:r w:rsidRPr="00B61CC9">
              <w:rPr>
                <w:sz w:val="21"/>
                <w:szCs w:val="21"/>
              </w:rPr>
              <w:t>Successful innovations could be rolled out across the sector, improving s</w:t>
            </w:r>
            <w:r w:rsidR="000D151E">
              <w:rPr>
                <w:sz w:val="21"/>
                <w:szCs w:val="21"/>
              </w:rPr>
              <w:t>ervice provision sector-wide.</w:t>
            </w:r>
          </w:p>
        </w:tc>
      </w:tr>
      <w:tr w:rsidR="006C369F" w:rsidRPr="00E358FF" w14:paraId="1E911390" w14:textId="77777777" w:rsidTr="004A6ED2">
        <w:tc>
          <w:tcPr>
            <w:tcW w:w="1555" w:type="dxa"/>
            <w:shd w:val="clear" w:color="auto" w:fill="0070C0"/>
          </w:tcPr>
          <w:p w14:paraId="60269B1C" w14:textId="77777777" w:rsidR="006C369F" w:rsidRPr="009947C9" w:rsidRDefault="006C369F" w:rsidP="006C369F">
            <w:pPr>
              <w:pStyle w:val="BodyText"/>
              <w:rPr>
                <w:color w:val="FFFFFF" w:themeColor="background1"/>
              </w:rPr>
            </w:pPr>
            <w:r w:rsidRPr="009947C9">
              <w:rPr>
                <w:color w:val="FFFFFF" w:themeColor="background1"/>
              </w:rPr>
              <w:t xml:space="preserve">Risks </w:t>
            </w:r>
          </w:p>
        </w:tc>
        <w:tc>
          <w:tcPr>
            <w:tcW w:w="6940" w:type="dxa"/>
          </w:tcPr>
          <w:p w14:paraId="44196DAB" w14:textId="77777777" w:rsidR="006C369F" w:rsidRPr="009552F2" w:rsidRDefault="006C369F" w:rsidP="006C369F">
            <w:pPr>
              <w:pStyle w:val="ListParagraph"/>
              <w:numPr>
                <w:ilvl w:val="0"/>
                <w:numId w:val="35"/>
              </w:numPr>
              <w:spacing w:before="120" w:after="120" w:line="280" w:lineRule="atLeast"/>
              <w:rPr>
                <w:sz w:val="21"/>
                <w:szCs w:val="21"/>
              </w:rPr>
            </w:pPr>
            <w:r>
              <w:rPr>
                <w:sz w:val="21"/>
                <w:szCs w:val="21"/>
              </w:rPr>
              <w:t>Duplication of trials and research that has already been undertaken.</w:t>
            </w:r>
          </w:p>
        </w:tc>
      </w:tr>
      <w:tr w:rsidR="006C369F" w:rsidRPr="00E358FF" w14:paraId="08F74C08" w14:textId="77777777" w:rsidTr="004A6ED2">
        <w:tc>
          <w:tcPr>
            <w:tcW w:w="1555" w:type="dxa"/>
            <w:shd w:val="clear" w:color="auto" w:fill="0070C0"/>
          </w:tcPr>
          <w:p w14:paraId="3EA83801" w14:textId="77777777" w:rsidR="006C369F" w:rsidRPr="009947C9" w:rsidRDefault="006C369F" w:rsidP="006C369F">
            <w:pPr>
              <w:pStyle w:val="BodyText"/>
              <w:rPr>
                <w:color w:val="FFFFFF" w:themeColor="background1"/>
              </w:rPr>
            </w:pPr>
            <w:r>
              <w:rPr>
                <w:color w:val="FFFFFF" w:themeColor="background1"/>
              </w:rPr>
              <w:t>Funding</w:t>
            </w:r>
          </w:p>
        </w:tc>
        <w:tc>
          <w:tcPr>
            <w:tcW w:w="6940" w:type="dxa"/>
          </w:tcPr>
          <w:p w14:paraId="56795D26" w14:textId="77777777" w:rsidR="006C369F" w:rsidRPr="00767E2B" w:rsidRDefault="006C369F" w:rsidP="006C369F">
            <w:pPr>
              <w:pStyle w:val="ListParagraph"/>
              <w:numPr>
                <w:ilvl w:val="0"/>
                <w:numId w:val="35"/>
              </w:numPr>
              <w:spacing w:before="120" w:after="120" w:line="280" w:lineRule="atLeast"/>
              <w:rPr>
                <w:sz w:val="21"/>
                <w:szCs w:val="21"/>
              </w:rPr>
            </w:pPr>
            <w:r w:rsidRPr="00767E2B">
              <w:rPr>
                <w:sz w:val="21"/>
                <w:szCs w:val="21"/>
              </w:rPr>
              <w:t xml:space="preserve">A grants program could </w:t>
            </w:r>
            <w:r>
              <w:rPr>
                <w:sz w:val="21"/>
                <w:szCs w:val="21"/>
              </w:rPr>
              <w:t xml:space="preserve">be created </w:t>
            </w:r>
            <w:r w:rsidRPr="00767E2B">
              <w:rPr>
                <w:sz w:val="21"/>
                <w:szCs w:val="21"/>
              </w:rPr>
              <w:t xml:space="preserve">from the funds that </w:t>
            </w:r>
            <w:r>
              <w:rPr>
                <w:sz w:val="21"/>
                <w:szCs w:val="21"/>
              </w:rPr>
              <w:t>were</w:t>
            </w:r>
            <w:r w:rsidRPr="00767E2B">
              <w:rPr>
                <w:sz w:val="21"/>
                <w:szCs w:val="21"/>
              </w:rPr>
              <w:t xml:space="preserve"> previously allocated for the Dementia and Severe Behaviours Supplement.</w:t>
            </w:r>
          </w:p>
        </w:tc>
      </w:tr>
      <w:tr w:rsidR="006C369F" w14:paraId="41D9C381" w14:textId="77777777" w:rsidTr="004A6ED2">
        <w:tc>
          <w:tcPr>
            <w:tcW w:w="1555" w:type="dxa"/>
            <w:shd w:val="clear" w:color="auto" w:fill="0070C0"/>
          </w:tcPr>
          <w:p w14:paraId="122C7E7D" w14:textId="77777777" w:rsidR="006C369F" w:rsidRPr="009947C9" w:rsidRDefault="006C369F" w:rsidP="006C369F">
            <w:pPr>
              <w:pStyle w:val="BodyText"/>
              <w:rPr>
                <w:color w:val="FFFFFF" w:themeColor="background1"/>
              </w:rPr>
            </w:pPr>
            <w:r w:rsidRPr="009947C9">
              <w:rPr>
                <w:color w:val="FFFFFF" w:themeColor="background1"/>
              </w:rPr>
              <w:t>Feasibility</w:t>
            </w:r>
          </w:p>
        </w:tc>
        <w:tc>
          <w:tcPr>
            <w:tcW w:w="6940" w:type="dxa"/>
          </w:tcPr>
          <w:p w14:paraId="4FFD41FF" w14:textId="77777777" w:rsidR="006C369F" w:rsidRPr="009552F2" w:rsidRDefault="006C369F" w:rsidP="006C369F">
            <w:pPr>
              <w:pStyle w:val="ListParagraph"/>
              <w:numPr>
                <w:ilvl w:val="0"/>
                <w:numId w:val="35"/>
              </w:numPr>
              <w:spacing w:before="120" w:after="120" w:line="280" w:lineRule="atLeast"/>
              <w:rPr>
                <w:sz w:val="21"/>
                <w:szCs w:val="21"/>
              </w:rPr>
            </w:pPr>
            <w:r w:rsidRPr="00767E2B">
              <w:rPr>
                <w:sz w:val="21"/>
                <w:szCs w:val="21"/>
              </w:rPr>
              <w:t xml:space="preserve">While clear funding criteria would need to be established, a grants program could </w:t>
            </w:r>
            <w:r>
              <w:rPr>
                <w:sz w:val="21"/>
                <w:szCs w:val="21"/>
              </w:rPr>
              <w:t xml:space="preserve">be </w:t>
            </w:r>
            <w:r w:rsidRPr="00767E2B">
              <w:rPr>
                <w:sz w:val="21"/>
                <w:szCs w:val="21"/>
              </w:rPr>
              <w:t>implemented r</w:t>
            </w:r>
            <w:r w:rsidRPr="009552F2">
              <w:rPr>
                <w:sz w:val="21"/>
                <w:szCs w:val="21"/>
              </w:rPr>
              <w:t xml:space="preserve">elatively quickly, making this a short to medium term </w:t>
            </w:r>
            <w:r>
              <w:rPr>
                <w:sz w:val="21"/>
                <w:szCs w:val="21"/>
              </w:rPr>
              <w:t>option</w:t>
            </w:r>
            <w:r w:rsidRPr="009552F2">
              <w:rPr>
                <w:sz w:val="21"/>
                <w:szCs w:val="21"/>
              </w:rPr>
              <w:t xml:space="preserve">. </w:t>
            </w:r>
          </w:p>
        </w:tc>
      </w:tr>
    </w:tbl>
    <w:p w14:paraId="5A2E0CF8" w14:textId="77777777" w:rsidR="00CB3B01" w:rsidRDefault="00CB3B01" w:rsidP="00CB3B01">
      <w:pPr>
        <w:spacing w:line="240" w:lineRule="auto"/>
      </w:pPr>
    </w:p>
    <w:p w14:paraId="33B46F85" w14:textId="77777777" w:rsidR="00A61490" w:rsidRDefault="00A61490">
      <w:pPr>
        <w:spacing w:line="240" w:lineRule="auto"/>
      </w:pPr>
    </w:p>
    <w:p w14:paraId="2C270A99" w14:textId="77777777" w:rsidR="00A61490" w:rsidRDefault="00A61490">
      <w:pPr>
        <w:spacing w:line="240" w:lineRule="auto"/>
      </w:pPr>
    </w:p>
    <w:p w14:paraId="70CE5BC8" w14:textId="77777777" w:rsidR="00A55667" w:rsidRDefault="00A55667" w:rsidP="002B4AE1">
      <w:pPr>
        <w:pStyle w:val="Heading1"/>
      </w:pPr>
      <w:bookmarkStart w:id="19" w:name="_Toc402530517"/>
      <w:r w:rsidRPr="00D93715">
        <w:lastRenderedPageBreak/>
        <w:t>Next steps</w:t>
      </w:r>
      <w:bookmarkEnd w:id="19"/>
    </w:p>
    <w:p w14:paraId="37A3FD72" w14:textId="77777777" w:rsidR="006C369F" w:rsidRDefault="006C369F" w:rsidP="006C369F">
      <w:pPr>
        <w:pStyle w:val="BodyText"/>
      </w:pPr>
      <w:r w:rsidRPr="00F043C2">
        <w:t xml:space="preserve">As noted in Section 4, </w:t>
      </w:r>
      <w:r>
        <w:t>the Australian Government requested that the forum provide policy options within the existing funding envelope. S</w:t>
      </w:r>
      <w:r w:rsidRPr="00F043C2">
        <w:t xml:space="preserve">ome policy options received broader support from forum </w:t>
      </w:r>
      <w:r>
        <w:t>participants</w:t>
      </w:r>
      <w:r w:rsidRPr="00F043C2">
        <w:t xml:space="preserve"> than other potential options. </w:t>
      </w:r>
    </w:p>
    <w:p w14:paraId="293EC692" w14:textId="77777777" w:rsidR="006C369F" w:rsidRDefault="006C369F" w:rsidP="006C369F">
      <w:pPr>
        <w:pStyle w:val="BodyText"/>
      </w:pPr>
      <w:r w:rsidRPr="004141DF">
        <w:t xml:space="preserve">The first </w:t>
      </w:r>
      <w:r>
        <w:t xml:space="preserve">policy </w:t>
      </w:r>
      <w:r w:rsidRPr="004141DF">
        <w:t xml:space="preserve">option that </w:t>
      </w:r>
      <w:r>
        <w:t xml:space="preserve">Government </w:t>
      </w:r>
      <w:r w:rsidRPr="004141DF">
        <w:t xml:space="preserve">should </w:t>
      </w:r>
      <w:r>
        <w:t>consider</w:t>
      </w:r>
      <w:r w:rsidRPr="004141DF">
        <w:t xml:space="preserve"> is to increase</w:t>
      </w:r>
      <w:r>
        <w:t xml:space="preserve"> the current levels of</w:t>
      </w:r>
      <w:r w:rsidRPr="004141DF">
        <w:t xml:space="preserve"> engagement</w:t>
      </w:r>
      <w:r>
        <w:t xml:space="preserve"> with people with dementia when determining future policy directions</w:t>
      </w:r>
      <w:r w:rsidRPr="004141DF">
        <w:t xml:space="preserve">. </w:t>
      </w:r>
      <w:r>
        <w:t>C</w:t>
      </w:r>
      <w:r w:rsidRPr="004141DF">
        <w:t>onsultation process</w:t>
      </w:r>
      <w:r>
        <w:t>es</w:t>
      </w:r>
      <w:r w:rsidRPr="004141DF">
        <w:t xml:space="preserve"> w</w:t>
      </w:r>
      <w:r>
        <w:t>ould</w:t>
      </w:r>
      <w:r w:rsidRPr="004141DF">
        <w:t xml:space="preserve"> be greatly improved by increasing the role of people with dementia and their </w:t>
      </w:r>
      <w:proofErr w:type="spellStart"/>
      <w:r w:rsidRPr="004141DF">
        <w:t>carers</w:t>
      </w:r>
      <w:proofErr w:type="spellEnd"/>
      <w:r>
        <w:t xml:space="preserve">. Greater representation at </w:t>
      </w:r>
      <w:r w:rsidRPr="004141DF">
        <w:t>the annual Ministerial</w:t>
      </w:r>
      <w:r>
        <w:t xml:space="preserve"> Dementia</w:t>
      </w:r>
      <w:r w:rsidRPr="004141DF">
        <w:t xml:space="preserve"> Forum </w:t>
      </w:r>
      <w:r>
        <w:t>would be</w:t>
      </w:r>
      <w:r w:rsidRPr="004141DF">
        <w:t xml:space="preserve"> an effective way to ensure that the people who are most affected by policy changes are </w:t>
      </w:r>
      <w:r>
        <w:t xml:space="preserve">involved. However, greater consumer engagement and participation should not begin and end there, as these concepts should be kept in mind with the pursuit of any of the reform options presented in Section 4. </w:t>
      </w:r>
    </w:p>
    <w:p w14:paraId="6854A5CE" w14:textId="77777777" w:rsidR="006C369F" w:rsidRDefault="006C369F" w:rsidP="006C369F">
      <w:pPr>
        <w:pStyle w:val="BodyText"/>
      </w:pPr>
      <w:proofErr w:type="gramStart"/>
      <w:r w:rsidRPr="00F043C2">
        <w:t>One of which is undertaking a review encompassing current dementia initiatives</w:t>
      </w:r>
      <w:r>
        <w:t xml:space="preserve"> and</w:t>
      </w:r>
      <w:r w:rsidRPr="00F043C2">
        <w:t xml:space="preserve"> education and training opportunities.</w:t>
      </w:r>
      <w:proofErr w:type="gramEnd"/>
      <w:r w:rsidRPr="00F043C2">
        <w:t xml:space="preserve"> In light of the feedback from forum </w:t>
      </w:r>
      <w:r>
        <w:t>participants</w:t>
      </w:r>
      <w:r w:rsidRPr="00F043C2">
        <w:t xml:space="preserve">, it would appear that it is now an appropriate time for DSS to begin to take stock of the current supports that are provided for </w:t>
      </w:r>
      <w:r>
        <w:t xml:space="preserve">people with </w:t>
      </w:r>
      <w:r w:rsidRPr="00F043C2">
        <w:t xml:space="preserve">dementia. The outcomes of the review will position DSS to support the findings of the forum and suggestions from </w:t>
      </w:r>
      <w:r>
        <w:t>participants</w:t>
      </w:r>
      <w:r w:rsidRPr="00F043C2">
        <w:t xml:space="preserve"> with evidence of what works well</w:t>
      </w:r>
      <w:r>
        <w:t xml:space="preserve"> and is supported by evidence</w:t>
      </w:r>
      <w:r w:rsidRPr="00F043C2">
        <w:t>, what needs to be expanded and what can be discontinued. It will also identify potential gaps and assist with prioritising options listed in Section 4</w:t>
      </w:r>
      <w:r>
        <w:t>,</w:t>
      </w:r>
      <w:r w:rsidRPr="00F043C2">
        <w:t xml:space="preserve"> particularly under the headings of specialised support.</w:t>
      </w:r>
    </w:p>
    <w:p w14:paraId="1269B6B7" w14:textId="77777777" w:rsidR="006C369F" w:rsidRDefault="006C369F" w:rsidP="006C369F">
      <w:pPr>
        <w:pStyle w:val="BodyText"/>
      </w:pPr>
      <w:proofErr w:type="gramStart"/>
      <w:r>
        <w:t>Two other initiatives that received broad support from participants, the introduction</w:t>
      </w:r>
      <w:r w:rsidRPr="00733E30">
        <w:t xml:space="preserve"> of quality</w:t>
      </w:r>
      <w:r>
        <w:t xml:space="preserve"> </w:t>
      </w:r>
      <w:r w:rsidRPr="00733E30">
        <w:t xml:space="preserve">indicators </w:t>
      </w:r>
      <w:r>
        <w:t>and improved transition care, both of which could be funded through the relevant DSS programs.</w:t>
      </w:r>
      <w:proofErr w:type="gramEnd"/>
      <w:r>
        <w:t xml:space="preserve"> Both proposals will require some planning but both could be implemented in the medium term. </w:t>
      </w:r>
    </w:p>
    <w:p w14:paraId="7C934D03" w14:textId="77777777" w:rsidR="006C369F" w:rsidRDefault="006C369F" w:rsidP="006C369F">
      <w:pPr>
        <w:pStyle w:val="BodyText"/>
      </w:pPr>
      <w:r>
        <w:t xml:space="preserve">Whilst broader funding considerations were beyond the scope of the forum, it was clear that efforts to ensure CDC is implemented throughout the whole aged care system, in both home care and residential care, and ensuring that funding is allocated to the consumer throughout their journey in the system, should be part of future funding policy considerations. Participants also made clear a desire for the current funding arrangements to be reviewed, particularly the existing ACFI funding arrangements. However, this was also beyond the scope of the forum and outside of the funding envelope. </w:t>
      </w:r>
    </w:p>
    <w:p w14:paraId="39FE77AF" w14:textId="77777777" w:rsidR="00D93715" w:rsidRPr="00D93715" w:rsidRDefault="006C369F" w:rsidP="006C369F">
      <w:pPr>
        <w:pStyle w:val="BodyText"/>
      </w:pPr>
      <w:r>
        <w:t>Given that t</w:t>
      </w:r>
      <w:r w:rsidRPr="00D44162">
        <w:t xml:space="preserve">he overarching aim of the </w:t>
      </w:r>
      <w:r>
        <w:t>forum</w:t>
      </w:r>
      <w:r w:rsidRPr="00D44162">
        <w:t xml:space="preserve"> was to establish what is needed to improve the provision of dementia care both in residential aged care and home care</w:t>
      </w:r>
      <w:r w:rsidRPr="00545B5C">
        <w:t xml:space="preserve"> including respite care</w:t>
      </w:r>
      <w:r w:rsidRPr="00D44162">
        <w:t>, whilst remaining within the current funding envelop</w:t>
      </w:r>
      <w:r>
        <w:t>e, it may not be possible to implement every option proposed in Section 4. Those options not able to be adopted at this time could be considered as potential options for the next wave of reforms to the aged care system. Similarly, the views of many participants that the broader funding system should be reviewed and that funding should follow the consumer rather than the provider, could also be considered in the context of future reforms to the aged care system</w:t>
      </w:r>
      <w:r w:rsidR="00D44162">
        <w:t xml:space="preserve">. </w:t>
      </w:r>
    </w:p>
    <w:p w14:paraId="72423755" w14:textId="41B0AF39" w:rsidR="00744AC3" w:rsidRPr="00DA3635" w:rsidRDefault="00DA3635" w:rsidP="006A72C4">
      <w:pPr>
        <w:pStyle w:val="Appendixheading1"/>
      </w:pPr>
      <w:bookmarkStart w:id="20" w:name="_Toc402530518"/>
      <w:r w:rsidRPr="00DA3635">
        <w:lastRenderedPageBreak/>
        <w:t xml:space="preserve">: List of Ministerial Dementia Forum </w:t>
      </w:r>
      <w:r w:rsidR="006A72C4" w:rsidRPr="006A72C4">
        <w:t xml:space="preserve">participant organisations </w:t>
      </w:r>
      <w:bookmarkEnd w:id="20"/>
    </w:p>
    <w:p w14:paraId="7151B202" w14:textId="77777777" w:rsidR="00744AC3" w:rsidRDefault="00744AC3" w:rsidP="00DA3635">
      <w:pPr>
        <w:pStyle w:val="BodyText"/>
      </w:pPr>
    </w:p>
    <w:tbl>
      <w:tblPr>
        <w:tblStyle w:val="GridTable4-Accent11"/>
        <w:tblW w:w="0" w:type="auto"/>
        <w:tblLook w:val="04A0" w:firstRow="1" w:lastRow="0" w:firstColumn="1" w:lastColumn="0" w:noHBand="0" w:noVBand="1"/>
        <w:tblDescription w:val="List of Ministerial Dementia Forum delegates and their organisation"/>
      </w:tblPr>
      <w:tblGrid>
        <w:gridCol w:w="6487"/>
      </w:tblGrid>
      <w:tr w:rsidR="0018371E" w:rsidRPr="006D23F7" w14:paraId="004ED50A" w14:textId="77777777" w:rsidTr="003A40FB">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626F9ED" w14:textId="77777777" w:rsidR="0018371E" w:rsidRPr="006D23F7" w:rsidRDefault="0018371E" w:rsidP="000C61C3">
            <w:r w:rsidRPr="006D23F7">
              <w:t>Organisation</w:t>
            </w:r>
          </w:p>
        </w:tc>
      </w:tr>
      <w:tr w:rsidR="0018371E" w:rsidRPr="006D23F7" w14:paraId="6636F040"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B4F8F3C" w14:textId="77777777" w:rsidR="0018371E" w:rsidRPr="006D23F7" w:rsidRDefault="0018371E" w:rsidP="000C0E46">
            <w:r w:rsidRPr="006D23F7">
              <w:t>ACH</w:t>
            </w:r>
            <w:r>
              <w:t xml:space="preserve"> Group </w:t>
            </w:r>
            <w:proofErr w:type="spellStart"/>
            <w:r>
              <w:t>Inc</w:t>
            </w:r>
            <w:proofErr w:type="spellEnd"/>
          </w:p>
        </w:tc>
      </w:tr>
      <w:tr w:rsidR="0018371E" w:rsidRPr="006D23F7" w14:paraId="294F6A02"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4ABAE6D" w14:textId="77777777" w:rsidR="0018371E" w:rsidRPr="006D23F7" w:rsidRDefault="0018371E" w:rsidP="000C0E46">
            <w:r w:rsidRPr="006D23F7">
              <w:t>Aged and Community Services Australia</w:t>
            </w:r>
          </w:p>
        </w:tc>
      </w:tr>
      <w:tr w:rsidR="0018371E" w:rsidRPr="006D23F7" w14:paraId="08661D25"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6A2A378" w14:textId="77777777" w:rsidR="0018371E" w:rsidRPr="006D23F7" w:rsidRDefault="0018371E" w:rsidP="000C0E46">
            <w:r w:rsidRPr="006D23F7">
              <w:t>Aged Care Financing Authority</w:t>
            </w:r>
          </w:p>
        </w:tc>
      </w:tr>
      <w:tr w:rsidR="0018371E" w:rsidRPr="006D23F7" w14:paraId="464980A5"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078D328" w14:textId="77777777" w:rsidR="0018371E" w:rsidRPr="006D23F7" w:rsidRDefault="0018371E" w:rsidP="000C0E46">
            <w:r w:rsidRPr="006D23F7">
              <w:t>Alzheimer’s Australia</w:t>
            </w:r>
          </w:p>
        </w:tc>
      </w:tr>
      <w:tr w:rsidR="0018371E" w:rsidRPr="006D23F7" w14:paraId="3B7FD50A"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94FF53B" w14:textId="77777777" w:rsidR="0018371E" w:rsidRPr="006D23F7" w:rsidRDefault="0018371E" w:rsidP="000C0E46">
            <w:r w:rsidRPr="006D23F7">
              <w:t>ANZSGM</w:t>
            </w:r>
          </w:p>
        </w:tc>
      </w:tr>
      <w:tr w:rsidR="0018371E" w:rsidRPr="006D23F7" w14:paraId="138F211B"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21CBD18" w14:textId="77777777" w:rsidR="0018371E" w:rsidRPr="006D23F7" w:rsidRDefault="0018371E" w:rsidP="000C0E46">
            <w:r w:rsidRPr="006D23F7">
              <w:t>Applied Aged Care Solutions Pty Ltd</w:t>
            </w:r>
          </w:p>
        </w:tc>
      </w:tr>
      <w:tr w:rsidR="0018371E" w:rsidRPr="006D23F7" w14:paraId="13955F10"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74F5C50C" w14:textId="77777777" w:rsidR="0018371E" w:rsidRPr="006D23F7" w:rsidRDefault="0018371E" w:rsidP="000C0E46">
            <w:proofErr w:type="spellStart"/>
            <w:r w:rsidRPr="006D23F7">
              <w:t>Arcare</w:t>
            </w:r>
            <w:proofErr w:type="spellEnd"/>
            <w:r w:rsidRPr="006D23F7">
              <w:t xml:space="preserve"> Qld</w:t>
            </w:r>
          </w:p>
        </w:tc>
      </w:tr>
      <w:tr w:rsidR="0018371E" w:rsidRPr="006D23F7" w14:paraId="3821789F"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46CAC79" w14:textId="77777777" w:rsidR="0018371E" w:rsidRPr="006D23F7" w:rsidRDefault="0018371E" w:rsidP="000C0E46">
            <w:r w:rsidRPr="006D23F7">
              <w:t>Australian Nursing &amp; Midwifery Federation</w:t>
            </w:r>
          </w:p>
        </w:tc>
      </w:tr>
      <w:tr w:rsidR="0018371E" w:rsidRPr="006D23F7" w14:paraId="37C7C4D8"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771D3D5B" w14:textId="77777777" w:rsidR="0018371E" w:rsidRPr="006D23F7" w:rsidRDefault="0018371E" w:rsidP="000C0E46">
            <w:r w:rsidRPr="006D23F7">
              <w:t>Australian Unity</w:t>
            </w:r>
          </w:p>
        </w:tc>
      </w:tr>
      <w:tr w:rsidR="0018371E" w:rsidRPr="006D23F7" w14:paraId="3343714E"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05D764D2" w14:textId="77777777" w:rsidR="0018371E" w:rsidRPr="006D23F7" w:rsidRDefault="0018371E" w:rsidP="000C0E46">
            <w:proofErr w:type="spellStart"/>
            <w:r w:rsidRPr="006D23F7">
              <w:t>Bethanie</w:t>
            </w:r>
            <w:proofErr w:type="spellEnd"/>
          </w:p>
        </w:tc>
      </w:tr>
      <w:tr w:rsidR="0018371E" w:rsidRPr="006D23F7" w14:paraId="6F4DBCDD"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D5E8CD6" w14:textId="77777777" w:rsidR="0018371E" w:rsidRPr="006D23F7" w:rsidRDefault="0018371E" w:rsidP="000C0E46">
            <w:r w:rsidRPr="006D23F7">
              <w:t>Bill Crawford Lodge</w:t>
            </w:r>
          </w:p>
        </w:tc>
      </w:tr>
      <w:tr w:rsidR="0018371E" w:rsidRPr="006D23F7" w14:paraId="5E151B92"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1453634C" w14:textId="77777777" w:rsidR="0018371E" w:rsidRPr="006D23F7" w:rsidRDefault="0018371E" w:rsidP="000C0E46">
            <w:r w:rsidRPr="006D23F7">
              <w:t>Blue Care</w:t>
            </w:r>
          </w:p>
        </w:tc>
      </w:tr>
      <w:tr w:rsidR="0018371E" w:rsidRPr="006D23F7" w14:paraId="39AF4E78"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ACF9C62" w14:textId="77777777" w:rsidR="0018371E" w:rsidRPr="006D23F7" w:rsidRDefault="0018371E" w:rsidP="000C0E46">
            <w:r w:rsidRPr="006D23F7">
              <w:t>Braeside Hospital</w:t>
            </w:r>
          </w:p>
        </w:tc>
      </w:tr>
      <w:tr w:rsidR="0018371E" w:rsidRPr="006D23F7" w14:paraId="6F09F6F2"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1562169B" w14:textId="77777777" w:rsidR="0018371E" w:rsidRPr="006D23F7" w:rsidRDefault="0018371E" w:rsidP="000C0E46">
            <w:r w:rsidRPr="006D23F7">
              <w:t>BUPA Care Services Australia</w:t>
            </w:r>
          </w:p>
        </w:tc>
      </w:tr>
      <w:tr w:rsidR="0018371E" w:rsidRPr="006D23F7" w14:paraId="5EA4B479"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C539C6B" w14:textId="77777777" w:rsidR="0018371E" w:rsidRPr="006D23F7" w:rsidRDefault="0018371E" w:rsidP="000C0E46">
            <w:r w:rsidRPr="006D23F7">
              <w:t>Canberra Hospital</w:t>
            </w:r>
          </w:p>
        </w:tc>
      </w:tr>
      <w:tr w:rsidR="0018371E" w:rsidRPr="006D23F7" w14:paraId="44D2508A"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FAC6CAE" w14:textId="77777777" w:rsidR="0018371E" w:rsidRPr="006D23F7" w:rsidRDefault="0018371E" w:rsidP="000C0E46">
            <w:r w:rsidRPr="006D23F7">
              <w:t>Carer, Alzheimer’s Australia</w:t>
            </w:r>
          </w:p>
        </w:tc>
      </w:tr>
      <w:tr w:rsidR="0018371E" w:rsidRPr="006D23F7" w14:paraId="6BD21D33"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3688564" w14:textId="77777777" w:rsidR="0018371E" w:rsidRPr="006D23F7" w:rsidRDefault="0018371E" w:rsidP="000C0E46">
            <w:r w:rsidRPr="006D23F7">
              <w:t>Carers Australia</w:t>
            </w:r>
          </w:p>
        </w:tc>
      </w:tr>
      <w:tr w:rsidR="0018371E" w:rsidRPr="006D23F7" w14:paraId="6A400940"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76B71F7E" w14:textId="77777777" w:rsidR="0018371E" w:rsidRPr="006D23F7" w:rsidRDefault="0018371E" w:rsidP="000C0E46">
            <w:r w:rsidRPr="006D23F7">
              <w:t>Catholic Health Australia</w:t>
            </w:r>
          </w:p>
        </w:tc>
      </w:tr>
      <w:tr w:rsidR="0018371E" w:rsidRPr="006D23F7" w14:paraId="3441FB7D"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5AFCC6B" w14:textId="77777777" w:rsidR="0018371E" w:rsidRPr="006D23F7" w:rsidRDefault="0018371E" w:rsidP="000C0E46">
            <w:r w:rsidRPr="006D23F7">
              <w:t>Catholic Homes</w:t>
            </w:r>
          </w:p>
        </w:tc>
      </w:tr>
      <w:tr w:rsidR="0018371E" w:rsidRPr="006D23F7" w14:paraId="28A81E7A"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259C359" w14:textId="77777777" w:rsidR="0018371E" w:rsidRPr="006D23F7" w:rsidRDefault="0018371E" w:rsidP="000C0E46">
            <w:r w:rsidRPr="006D23F7">
              <w:t>Caulfield Hospital</w:t>
            </w:r>
          </w:p>
        </w:tc>
      </w:tr>
      <w:tr w:rsidR="0018371E" w:rsidRPr="006D23F7" w14:paraId="7C6C4E6A"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4A5EC6F" w14:textId="77777777" w:rsidR="0018371E" w:rsidRPr="006D23F7" w:rsidRDefault="0018371E" w:rsidP="000C0E46">
            <w:r w:rsidRPr="006D23F7">
              <w:t>Consumer</w:t>
            </w:r>
          </w:p>
        </w:tc>
      </w:tr>
      <w:tr w:rsidR="0018371E" w:rsidRPr="006D23F7" w14:paraId="154A8175"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2092E85" w14:textId="77777777" w:rsidR="0018371E" w:rsidRPr="006D23F7" w:rsidRDefault="0018371E" w:rsidP="000C0E46">
            <w:r w:rsidRPr="006D23F7">
              <w:t>COTA</w:t>
            </w:r>
          </w:p>
        </w:tc>
      </w:tr>
      <w:tr w:rsidR="0018371E" w:rsidRPr="006D23F7" w14:paraId="68675578"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6551083" w14:textId="77777777" w:rsidR="0018371E" w:rsidRPr="006D23F7" w:rsidRDefault="0018371E" w:rsidP="000C0E46">
            <w:r w:rsidRPr="006D23F7">
              <w:t>DBMAS Qld</w:t>
            </w:r>
          </w:p>
        </w:tc>
      </w:tr>
      <w:tr w:rsidR="0018371E" w:rsidRPr="006D23F7" w14:paraId="378C6997"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F46BB4D" w14:textId="6CAC73A1" w:rsidR="0018371E" w:rsidRPr="006D23F7" w:rsidRDefault="0018371E" w:rsidP="00C5203D">
            <w:r w:rsidRPr="006D23F7">
              <w:t>D</w:t>
            </w:r>
            <w:r>
              <w:t xml:space="preserve">epartment of </w:t>
            </w:r>
            <w:r w:rsidRPr="006D23F7">
              <w:t>H</w:t>
            </w:r>
            <w:r w:rsidR="00C5203D">
              <w:t>ealth</w:t>
            </w:r>
          </w:p>
        </w:tc>
      </w:tr>
      <w:tr w:rsidR="0018371E" w:rsidRPr="006D23F7" w14:paraId="0A872D63"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9E4D333" w14:textId="72774176" w:rsidR="0018371E" w:rsidRPr="006D23F7" w:rsidRDefault="00C5203D" w:rsidP="000C0E46">
            <w:r>
              <w:t>Department of Social Services</w:t>
            </w:r>
          </w:p>
        </w:tc>
      </w:tr>
      <w:tr w:rsidR="0018371E" w:rsidRPr="006D23F7" w14:paraId="6E728656"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56F007C" w14:textId="77777777" w:rsidR="0018371E" w:rsidRPr="006D23F7" w:rsidRDefault="0018371E" w:rsidP="000C0E46">
            <w:proofErr w:type="spellStart"/>
            <w:r w:rsidRPr="006D23F7">
              <w:t>ElderCare</w:t>
            </w:r>
            <w:proofErr w:type="spellEnd"/>
          </w:p>
        </w:tc>
      </w:tr>
      <w:tr w:rsidR="0018371E" w:rsidRPr="006D23F7" w14:paraId="07FFABF6"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A9883A9" w14:textId="77777777" w:rsidR="0018371E" w:rsidRPr="006D23F7" w:rsidRDefault="0018371E" w:rsidP="000C0E46">
            <w:r>
              <w:t>Former carer</w:t>
            </w:r>
          </w:p>
        </w:tc>
      </w:tr>
      <w:tr w:rsidR="0018371E" w:rsidRPr="006D23F7" w14:paraId="752BE768"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7674AD5E" w14:textId="77777777" w:rsidR="0018371E" w:rsidRPr="006D23F7" w:rsidRDefault="0018371E" w:rsidP="000C0E46">
            <w:r w:rsidRPr="006D23F7">
              <w:t xml:space="preserve">formerly Australian Institute for Primary </w:t>
            </w:r>
            <w:r>
              <w:t>C</w:t>
            </w:r>
            <w:r w:rsidRPr="006D23F7">
              <w:t>are</w:t>
            </w:r>
          </w:p>
        </w:tc>
      </w:tr>
      <w:tr w:rsidR="0018371E" w:rsidRPr="006D23F7" w14:paraId="7209F412"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0596F27" w14:textId="77777777" w:rsidR="0018371E" w:rsidRPr="006D23F7" w:rsidRDefault="0018371E" w:rsidP="000C0E46">
            <w:r w:rsidRPr="006D23F7">
              <w:t>Group Homes</w:t>
            </w:r>
          </w:p>
        </w:tc>
      </w:tr>
      <w:tr w:rsidR="0018371E" w:rsidRPr="006D23F7" w14:paraId="31B97A28"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02E54CA1" w14:textId="77777777" w:rsidR="0018371E" w:rsidRPr="006D23F7" w:rsidRDefault="0018371E" w:rsidP="000C0E46">
            <w:r w:rsidRPr="006D23F7">
              <w:t>Hall &amp; Prior</w:t>
            </w:r>
            <w:r>
              <w:t>,</w:t>
            </w:r>
            <w:r w:rsidRPr="006D23F7">
              <w:t xml:space="preserve"> NSW Regional Office</w:t>
            </w:r>
          </w:p>
        </w:tc>
      </w:tr>
      <w:tr w:rsidR="0018371E" w:rsidRPr="006D23F7" w14:paraId="39C828F1"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39016D1" w14:textId="77777777" w:rsidR="0018371E" w:rsidRPr="006D23F7" w:rsidRDefault="0018371E" w:rsidP="000C0E46">
            <w:r w:rsidRPr="006D23F7">
              <w:t xml:space="preserve">Hall </w:t>
            </w:r>
            <w:r>
              <w:t>&amp;</w:t>
            </w:r>
            <w:r w:rsidRPr="006D23F7">
              <w:t xml:space="preserve"> Prior</w:t>
            </w:r>
            <w:r>
              <w:t>,</w:t>
            </w:r>
            <w:r w:rsidRPr="006D23F7">
              <w:t xml:space="preserve"> WA</w:t>
            </w:r>
          </w:p>
        </w:tc>
      </w:tr>
      <w:tr w:rsidR="0018371E" w:rsidRPr="006D23F7" w14:paraId="3B087EF8"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4ED7774C" w14:textId="77777777" w:rsidR="0018371E" w:rsidRPr="006D23F7" w:rsidRDefault="0018371E" w:rsidP="000C0E46">
            <w:proofErr w:type="spellStart"/>
            <w:r w:rsidRPr="006D23F7">
              <w:t>HammondCare</w:t>
            </w:r>
            <w:proofErr w:type="spellEnd"/>
          </w:p>
        </w:tc>
      </w:tr>
      <w:tr w:rsidR="0018371E" w:rsidRPr="006D23F7" w14:paraId="072302A9"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4FFBBA32" w14:textId="77777777" w:rsidR="0018371E" w:rsidRPr="006D23F7" w:rsidRDefault="0018371E" w:rsidP="000C0E46">
            <w:r w:rsidRPr="006D23F7">
              <w:t>University of Newcastle</w:t>
            </w:r>
          </w:p>
        </w:tc>
      </w:tr>
      <w:tr w:rsidR="0018371E" w:rsidRPr="006D23F7" w14:paraId="0B3E1AB1"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529AF7C" w14:textId="77777777" w:rsidR="0018371E" w:rsidRPr="006D23F7" w:rsidRDefault="0018371E" w:rsidP="000C0E46">
            <w:r w:rsidRPr="006D23F7">
              <w:t>Helping Hand SA</w:t>
            </w:r>
          </w:p>
        </w:tc>
      </w:tr>
      <w:tr w:rsidR="0018371E" w:rsidRPr="006D23F7" w14:paraId="5D5088EA"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892A854" w14:textId="77777777" w:rsidR="0018371E" w:rsidRPr="006D23F7" w:rsidRDefault="0018371E" w:rsidP="000C0E46">
            <w:r w:rsidRPr="006D23F7">
              <w:t>Jewish Care Victoria</w:t>
            </w:r>
          </w:p>
        </w:tc>
      </w:tr>
      <w:tr w:rsidR="0018371E" w:rsidRPr="006D23F7" w14:paraId="488CA529"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75A15025" w14:textId="77777777" w:rsidR="0018371E" w:rsidRPr="006D23F7" w:rsidRDefault="0018371E" w:rsidP="000C0E46">
            <w:proofErr w:type="spellStart"/>
            <w:r w:rsidRPr="006D23F7">
              <w:t>Kincare</w:t>
            </w:r>
            <w:proofErr w:type="spellEnd"/>
          </w:p>
        </w:tc>
      </w:tr>
      <w:tr w:rsidR="0018371E" w:rsidRPr="006D23F7" w14:paraId="2932DA48"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6A8EA56" w14:textId="77777777" w:rsidR="0018371E" w:rsidRPr="006D23F7" w:rsidRDefault="0018371E" w:rsidP="000C0E46">
            <w:proofErr w:type="spellStart"/>
            <w:r w:rsidRPr="00B57D62">
              <w:t>Synovum</w:t>
            </w:r>
            <w:proofErr w:type="spellEnd"/>
            <w:r w:rsidRPr="00B57D62">
              <w:t xml:space="preserve"> Care Group</w:t>
            </w:r>
          </w:p>
        </w:tc>
      </w:tr>
      <w:tr w:rsidR="0018371E" w:rsidRPr="006D23F7" w14:paraId="7D423BAB"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tcPr>
          <w:p w14:paraId="1EECCB5C" w14:textId="77777777" w:rsidR="0018371E" w:rsidRDefault="0018371E" w:rsidP="000C0E46">
            <w:pPr>
              <w:rPr>
                <w:color w:val="1F497D"/>
              </w:rPr>
            </w:pPr>
            <w:r>
              <w:lastRenderedPageBreak/>
              <w:t>LASA</w:t>
            </w:r>
          </w:p>
        </w:tc>
      </w:tr>
      <w:tr w:rsidR="0018371E" w:rsidRPr="006D23F7" w14:paraId="63A78333"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23F4066F" w14:textId="77777777" w:rsidR="0018371E" w:rsidRPr="006D23F7" w:rsidRDefault="0018371E" w:rsidP="000C0E46">
            <w:r w:rsidRPr="006D23F7">
              <w:t>Metro South Health</w:t>
            </w:r>
          </w:p>
        </w:tc>
      </w:tr>
      <w:tr w:rsidR="0018371E" w:rsidRPr="006D23F7" w14:paraId="256912B5"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2C61222E" w14:textId="77777777" w:rsidR="0018371E" w:rsidRPr="006D23F7" w:rsidRDefault="0018371E" w:rsidP="000C0E46">
            <w:r w:rsidRPr="006D23F7">
              <w:t>Minister Andrew’s Office</w:t>
            </w:r>
          </w:p>
        </w:tc>
      </w:tr>
      <w:tr w:rsidR="0018371E" w:rsidRPr="006D23F7" w14:paraId="4537A91C"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4AFF74FB" w14:textId="77777777" w:rsidR="0018371E" w:rsidRPr="006D23F7" w:rsidRDefault="0018371E" w:rsidP="000C0E46">
            <w:r w:rsidRPr="006D23F7">
              <w:t>NARI</w:t>
            </w:r>
          </w:p>
        </w:tc>
      </w:tr>
      <w:tr w:rsidR="0018371E" w:rsidRPr="006D23F7" w14:paraId="7F207607"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035F6E8B" w14:textId="77777777" w:rsidR="0018371E" w:rsidRPr="006D23F7" w:rsidRDefault="0018371E" w:rsidP="000C0E46">
            <w:r w:rsidRPr="006D23F7">
              <w:t>National Aged Care Alliance</w:t>
            </w:r>
          </w:p>
        </w:tc>
      </w:tr>
      <w:tr w:rsidR="0018371E" w:rsidRPr="006D23F7" w14:paraId="53F771F7"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1B5CD8D7" w14:textId="77777777" w:rsidR="0018371E" w:rsidRPr="006D23F7" w:rsidRDefault="0018371E" w:rsidP="000C0E46">
            <w:r w:rsidRPr="006D23F7">
              <w:t>NHMRC</w:t>
            </w:r>
          </w:p>
        </w:tc>
      </w:tr>
      <w:tr w:rsidR="0018371E" w:rsidRPr="006D23F7" w14:paraId="519128DE"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6DC03F8" w14:textId="77777777" w:rsidR="0018371E" w:rsidRPr="006D23F7" w:rsidRDefault="0018371E" w:rsidP="000C0E46">
            <w:r w:rsidRPr="006D23F7">
              <w:t>NSW Dementia Collaborative Research Centre</w:t>
            </w:r>
          </w:p>
        </w:tc>
      </w:tr>
      <w:tr w:rsidR="0018371E" w:rsidRPr="006D23F7" w14:paraId="641F1530"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48D9BC71" w14:textId="77777777" w:rsidR="0018371E" w:rsidRPr="006D23F7" w:rsidRDefault="0018371E" w:rsidP="000C0E46">
            <w:r w:rsidRPr="006D23F7">
              <w:t>NSW/ACT DT</w:t>
            </w:r>
            <w:r>
              <w:t>S</w:t>
            </w:r>
            <w:r w:rsidRPr="006D23F7">
              <w:t>C</w:t>
            </w:r>
          </w:p>
        </w:tc>
      </w:tr>
      <w:tr w:rsidR="0018371E" w:rsidRPr="006D23F7" w14:paraId="27DDEF74"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177CBFFC" w14:textId="77777777" w:rsidR="0018371E" w:rsidRPr="006D23F7" w:rsidRDefault="0018371E" w:rsidP="000C0E46">
            <w:r w:rsidRPr="006D23F7">
              <w:t>Opal Aged Care</w:t>
            </w:r>
          </w:p>
        </w:tc>
      </w:tr>
      <w:tr w:rsidR="0018371E" w:rsidRPr="006D23F7" w14:paraId="681F7650"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083804DE" w14:textId="77777777" w:rsidR="0018371E" w:rsidRPr="006D23F7" w:rsidRDefault="0018371E" w:rsidP="000C0E46">
            <w:r w:rsidRPr="006D23F7">
              <w:t>RDNS</w:t>
            </w:r>
          </w:p>
        </w:tc>
      </w:tr>
      <w:tr w:rsidR="0018371E" w:rsidRPr="006D23F7" w14:paraId="6E64AC60"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9EE19E7" w14:textId="77777777" w:rsidR="0018371E" w:rsidRPr="006D23F7" w:rsidRDefault="0018371E" w:rsidP="000C0E46">
            <w:r w:rsidRPr="006D23F7">
              <w:t>RSL Care</w:t>
            </w:r>
          </w:p>
        </w:tc>
      </w:tr>
      <w:tr w:rsidR="0018371E" w:rsidRPr="006D23F7" w14:paraId="5582D90E"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2735C993" w14:textId="77777777" w:rsidR="0018371E" w:rsidRPr="006D23F7" w:rsidRDefault="0018371E" w:rsidP="000C0E46">
            <w:r w:rsidRPr="006D23F7">
              <w:t>Rural Northwest Health</w:t>
            </w:r>
          </w:p>
        </w:tc>
      </w:tr>
      <w:tr w:rsidR="0018371E" w:rsidRPr="006D23F7" w14:paraId="4B704CCC"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17CDC0F6" w14:textId="77777777" w:rsidR="0018371E" w:rsidRPr="006D23F7" w:rsidRDefault="0018371E" w:rsidP="000C0E46">
            <w:r w:rsidRPr="006D23F7">
              <w:t>Salvation Army, Southern Territory</w:t>
            </w:r>
          </w:p>
        </w:tc>
      </w:tr>
      <w:tr w:rsidR="0018371E" w:rsidRPr="006D23F7" w14:paraId="4301285F"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2E3F0720" w14:textId="77777777" w:rsidR="0018371E" w:rsidRPr="006D23F7" w:rsidRDefault="0018371E" w:rsidP="000C0E46">
            <w:r w:rsidRPr="006D23F7">
              <w:t>Shepparton Villages</w:t>
            </w:r>
          </w:p>
        </w:tc>
      </w:tr>
      <w:tr w:rsidR="0018371E" w:rsidRPr="006D23F7" w14:paraId="489FC91E"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1E76A4DF" w14:textId="77777777" w:rsidR="0018371E" w:rsidRPr="006D23F7" w:rsidRDefault="0018371E" w:rsidP="000C0E46">
            <w:r w:rsidRPr="006D23F7">
              <w:t>Silver Chain</w:t>
            </w:r>
          </w:p>
        </w:tc>
      </w:tr>
      <w:tr w:rsidR="0018371E" w:rsidRPr="006D23F7" w14:paraId="7551E4FF"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4F35007" w14:textId="77777777" w:rsidR="0018371E" w:rsidRPr="006D23F7" w:rsidRDefault="0018371E" w:rsidP="000C0E46">
            <w:r w:rsidRPr="006D23F7">
              <w:t>St Vincent’s Health Australia</w:t>
            </w:r>
          </w:p>
        </w:tc>
      </w:tr>
      <w:tr w:rsidR="0018371E" w:rsidRPr="006D23F7" w14:paraId="43636356"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1CAFD46" w14:textId="77777777" w:rsidR="0018371E" w:rsidRPr="006D23F7" w:rsidRDefault="0018371E" w:rsidP="000C0E46">
            <w:r w:rsidRPr="006D23F7">
              <w:t>The Queen Elizabeth Hospital</w:t>
            </w:r>
          </w:p>
        </w:tc>
      </w:tr>
      <w:tr w:rsidR="0018371E" w:rsidRPr="006D23F7" w14:paraId="6A6988E1"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6E6AC36" w14:textId="77777777" w:rsidR="0018371E" w:rsidRPr="006D23F7" w:rsidRDefault="0018371E" w:rsidP="000C0E46">
            <w:proofErr w:type="spellStart"/>
            <w:r w:rsidRPr="006D23F7">
              <w:t>UnitingCare</w:t>
            </w:r>
            <w:proofErr w:type="spellEnd"/>
            <w:r w:rsidRPr="006D23F7">
              <w:t xml:space="preserve"> Australia</w:t>
            </w:r>
          </w:p>
        </w:tc>
      </w:tr>
      <w:tr w:rsidR="0018371E" w:rsidRPr="006D23F7" w14:paraId="546142B8"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DB503D7" w14:textId="77777777" w:rsidR="0018371E" w:rsidRPr="006D23F7" w:rsidRDefault="0018371E" w:rsidP="000C0E46">
            <w:r w:rsidRPr="006D23F7">
              <w:t>Vic/</w:t>
            </w:r>
            <w:proofErr w:type="spellStart"/>
            <w:r w:rsidRPr="006D23F7">
              <w:t>Tas</w:t>
            </w:r>
            <w:proofErr w:type="spellEnd"/>
            <w:r w:rsidRPr="006D23F7">
              <w:t xml:space="preserve"> DTSC</w:t>
            </w:r>
          </w:p>
        </w:tc>
      </w:tr>
      <w:tr w:rsidR="0018371E" w:rsidRPr="006D23F7" w14:paraId="46878724"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3249712D" w14:textId="77777777" w:rsidR="0018371E" w:rsidRPr="006D23F7" w:rsidRDefault="0018371E" w:rsidP="000C0E46">
            <w:proofErr w:type="spellStart"/>
            <w:r w:rsidRPr="006D23F7">
              <w:t>Vincent</w:t>
            </w:r>
            <w:r>
              <w:t>C</w:t>
            </w:r>
            <w:r w:rsidRPr="006D23F7">
              <w:t>are</w:t>
            </w:r>
            <w:proofErr w:type="spellEnd"/>
            <w:r>
              <w:t xml:space="preserve"> Victoria</w:t>
            </w:r>
          </w:p>
        </w:tc>
      </w:tr>
      <w:tr w:rsidR="0018371E" w:rsidRPr="006D23F7" w14:paraId="4DCDD168" w14:textId="77777777" w:rsidTr="003A40FB">
        <w:trPr>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585847F8" w14:textId="77777777" w:rsidR="0018371E" w:rsidRPr="006D23F7" w:rsidRDefault="0018371E" w:rsidP="000C0E46">
            <w:proofErr w:type="spellStart"/>
            <w:r w:rsidRPr="006D23F7">
              <w:t>Whiddon</w:t>
            </w:r>
            <w:proofErr w:type="spellEnd"/>
            <w:r w:rsidRPr="006D23F7">
              <w:t xml:space="preserve"> Group</w:t>
            </w:r>
          </w:p>
        </w:tc>
      </w:tr>
      <w:tr w:rsidR="0018371E" w:rsidRPr="006D23F7" w14:paraId="24971FEC" w14:textId="77777777" w:rsidTr="003A40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7" w:type="dxa"/>
            <w:noWrap/>
            <w:hideMark/>
          </w:tcPr>
          <w:p w14:paraId="6BE7543A" w14:textId="77777777" w:rsidR="0018371E" w:rsidRPr="006D23F7" w:rsidRDefault="0018371E" w:rsidP="000C0E46">
            <w:proofErr w:type="spellStart"/>
            <w:r w:rsidRPr="006D23F7">
              <w:t>Wintringham</w:t>
            </w:r>
            <w:proofErr w:type="spellEnd"/>
            <w:r w:rsidRPr="006D23F7">
              <w:t xml:space="preserve"> VIC</w:t>
            </w:r>
          </w:p>
        </w:tc>
      </w:tr>
    </w:tbl>
    <w:p w14:paraId="54B0551C" w14:textId="77777777" w:rsidR="00744AC3" w:rsidRPr="00121A4D" w:rsidRDefault="00744AC3" w:rsidP="00744AC3"/>
    <w:p w14:paraId="0BBDEBBE" w14:textId="77777777" w:rsidR="00744AC3" w:rsidRDefault="00744AC3" w:rsidP="00744AC3">
      <w:pPr>
        <w:pStyle w:val="BodyText"/>
      </w:pPr>
    </w:p>
    <w:p w14:paraId="10097FF7" w14:textId="77777777" w:rsidR="00744AC3" w:rsidRDefault="000C61C3" w:rsidP="000C61C3">
      <w:pPr>
        <w:pStyle w:val="Appendixheading1"/>
      </w:pPr>
      <w:bookmarkStart w:id="21" w:name="_Toc402530519"/>
      <w:r>
        <w:rPr>
          <w:rFonts w:ascii="Garamond" w:hAnsi="Garamond"/>
          <w:bCs w:val="0"/>
          <w:color w:val="auto"/>
          <w:sz w:val="36"/>
          <w:szCs w:val="36"/>
        </w:rPr>
        <w:lastRenderedPageBreak/>
        <w:t xml:space="preserve">: </w:t>
      </w:r>
      <w:r w:rsidR="00744AC3" w:rsidRPr="00744AC3">
        <w:t>Ministerial Dementia Forum – 11 September 2014</w:t>
      </w:r>
      <w:r w:rsidR="00744AC3">
        <w:t xml:space="preserve"> Agenda</w:t>
      </w:r>
      <w:bookmarkEnd w:id="21"/>
    </w:p>
    <w:p w14:paraId="577ED316" w14:textId="77777777" w:rsidR="00744AC3" w:rsidRDefault="00744AC3" w:rsidP="00744AC3"/>
    <w:p w14:paraId="3774E136" w14:textId="77777777" w:rsidR="00744AC3" w:rsidRPr="00C10AC9" w:rsidRDefault="00C10AC9" w:rsidP="00C10AC9">
      <w:pPr>
        <w:pBdr>
          <w:top w:val="thinThickSmallGap" w:sz="24" w:space="1" w:color="auto"/>
          <w:left w:val="thinThickSmallGap" w:sz="24" w:space="4" w:color="auto"/>
          <w:bottom w:val="thickThinSmallGap" w:sz="24" w:space="1" w:color="auto"/>
          <w:right w:val="thickThinSmallGap" w:sz="24" w:space="4" w:color="auto"/>
        </w:pBdr>
        <w:spacing w:after="120"/>
        <w:ind w:left="2268" w:right="2268"/>
        <w:jc w:val="center"/>
        <w:rPr>
          <w:rFonts w:ascii="Times New Roman" w:hAnsi="Times New Roman"/>
        </w:rPr>
      </w:pPr>
      <w:r w:rsidRPr="00C10AC9">
        <w:rPr>
          <w:rFonts w:ascii="Times New Roman" w:hAnsi="Times New Roman"/>
        </w:rPr>
        <w:t>Ministerial Dementia Forum</w:t>
      </w:r>
    </w:p>
    <w:p w14:paraId="19F0B5E0" w14:textId="77777777" w:rsidR="00C10AC9" w:rsidRPr="00C10AC9" w:rsidRDefault="00C10AC9" w:rsidP="00C10AC9">
      <w:pPr>
        <w:pBdr>
          <w:top w:val="thinThickSmallGap" w:sz="24" w:space="1" w:color="auto"/>
          <w:left w:val="thinThickSmallGap" w:sz="24" w:space="4" w:color="auto"/>
          <w:bottom w:val="thickThinSmallGap" w:sz="24" w:space="1" w:color="auto"/>
          <w:right w:val="thickThinSmallGap" w:sz="24" w:space="4" w:color="auto"/>
        </w:pBdr>
        <w:spacing w:after="120"/>
        <w:ind w:left="2268" w:right="2268"/>
        <w:jc w:val="center"/>
        <w:rPr>
          <w:rFonts w:ascii="Times New Roman" w:hAnsi="Times New Roman"/>
        </w:rPr>
      </w:pPr>
      <w:r w:rsidRPr="00C10AC9">
        <w:rPr>
          <w:rFonts w:ascii="Times New Roman" w:hAnsi="Times New Roman"/>
        </w:rPr>
        <w:t>‘Dementia care – core business for aged care’</w:t>
      </w:r>
    </w:p>
    <w:p w14:paraId="427E235F" w14:textId="77777777" w:rsidR="00C10AC9" w:rsidRPr="00C10AC9" w:rsidRDefault="00C10AC9" w:rsidP="00C10AC9">
      <w:pPr>
        <w:pBdr>
          <w:top w:val="thinThickSmallGap" w:sz="24" w:space="1" w:color="auto"/>
          <w:left w:val="thinThickSmallGap" w:sz="24" w:space="4" w:color="auto"/>
          <w:bottom w:val="thickThinSmallGap" w:sz="24" w:space="1" w:color="auto"/>
          <w:right w:val="thickThinSmallGap" w:sz="24" w:space="4" w:color="auto"/>
        </w:pBdr>
        <w:spacing w:after="120"/>
        <w:ind w:left="2268" w:right="2268"/>
        <w:jc w:val="center"/>
        <w:rPr>
          <w:rFonts w:ascii="Times New Roman" w:hAnsi="Times New Roman"/>
        </w:rPr>
      </w:pPr>
      <w:r w:rsidRPr="00C10AC9">
        <w:rPr>
          <w:rFonts w:ascii="Times New Roman" w:hAnsi="Times New Roman"/>
        </w:rPr>
        <w:t>Oaks-on-Market Melbourne</w:t>
      </w:r>
    </w:p>
    <w:p w14:paraId="7C1FDAE9" w14:textId="77777777" w:rsidR="00C10AC9" w:rsidRPr="00C10AC9" w:rsidRDefault="00C10AC9" w:rsidP="00C10AC9">
      <w:pPr>
        <w:pBdr>
          <w:top w:val="thinThickSmallGap" w:sz="24" w:space="1" w:color="auto"/>
          <w:left w:val="thinThickSmallGap" w:sz="24" w:space="4" w:color="auto"/>
          <w:bottom w:val="thickThinSmallGap" w:sz="24" w:space="1" w:color="auto"/>
          <w:right w:val="thickThinSmallGap" w:sz="24" w:space="4" w:color="auto"/>
        </w:pBdr>
        <w:ind w:left="2268" w:right="2268"/>
        <w:jc w:val="center"/>
        <w:rPr>
          <w:rFonts w:ascii="Times New Roman" w:hAnsi="Times New Roman"/>
        </w:rPr>
      </w:pPr>
      <w:r w:rsidRPr="00C10AC9">
        <w:rPr>
          <w:rFonts w:ascii="Times New Roman" w:hAnsi="Times New Roman"/>
        </w:rPr>
        <w:t>60 Market Street, Melbourne</w:t>
      </w:r>
    </w:p>
    <w:p w14:paraId="6D1E0FF5" w14:textId="77777777" w:rsidR="004C2C5E" w:rsidRDefault="004C2C5E" w:rsidP="00744AC3"/>
    <w:p w14:paraId="355718D3" w14:textId="77777777" w:rsidR="00744AC3" w:rsidRDefault="00744AC3" w:rsidP="00744AC3"/>
    <w:p w14:paraId="69602301" w14:textId="77777777" w:rsidR="004C2C5E" w:rsidRDefault="004C2C5E" w:rsidP="000D151E">
      <w:pPr>
        <w:pBdr>
          <w:top w:val="single" w:sz="4" w:space="0" w:color="auto"/>
          <w:left w:val="single" w:sz="4" w:space="0" w:color="auto"/>
          <w:bottom w:val="single" w:sz="4" w:space="12" w:color="auto"/>
          <w:right w:val="single" w:sz="4" w:space="23" w:color="auto"/>
          <w:between w:val="single" w:sz="4" w:space="1" w:color="auto"/>
        </w:pBdr>
        <w:tabs>
          <w:tab w:val="left" w:pos="1701"/>
        </w:tabs>
        <w:spacing w:after="120"/>
        <w:rPr>
          <w:sz w:val="22"/>
          <w:lang w:eastAsia="en-AU"/>
        </w:rPr>
      </w:pPr>
      <w:r>
        <w:rPr>
          <w:sz w:val="22"/>
          <w:lang w:eastAsia="en-AU"/>
        </w:rPr>
        <w:t xml:space="preserve">09.30 </w:t>
      </w:r>
      <w:r w:rsidRPr="00D2339B">
        <w:rPr>
          <w:sz w:val="22"/>
          <w:lang w:eastAsia="en-AU"/>
        </w:rPr>
        <w:t>–</w:t>
      </w:r>
      <w:r w:rsidR="000D151E">
        <w:rPr>
          <w:sz w:val="22"/>
          <w:lang w:eastAsia="en-AU"/>
        </w:rPr>
        <w:t xml:space="preserve"> 10:00</w:t>
      </w:r>
      <w:proofErr w:type="gramStart"/>
      <w:r w:rsidR="000D151E">
        <w:rPr>
          <w:sz w:val="22"/>
          <w:lang w:eastAsia="en-AU"/>
        </w:rPr>
        <w:t>am</w:t>
      </w:r>
      <w:proofErr w:type="gramEnd"/>
      <w:r w:rsidR="000D151E">
        <w:rPr>
          <w:sz w:val="22"/>
          <w:lang w:eastAsia="en-AU"/>
        </w:rPr>
        <w:tab/>
      </w:r>
      <w:r w:rsidRPr="00D2339B">
        <w:rPr>
          <w:sz w:val="22"/>
          <w:lang w:eastAsia="en-AU"/>
        </w:rPr>
        <w:t xml:space="preserve">Registration / </w:t>
      </w:r>
      <w:r>
        <w:rPr>
          <w:sz w:val="22"/>
          <w:lang w:eastAsia="en-AU"/>
        </w:rPr>
        <w:t xml:space="preserve">continuous </w:t>
      </w:r>
      <w:r w:rsidRPr="00D2339B">
        <w:rPr>
          <w:sz w:val="22"/>
          <w:lang w:eastAsia="en-AU"/>
        </w:rPr>
        <w:t xml:space="preserve">Tea and Coffee </w:t>
      </w:r>
      <w:r>
        <w:rPr>
          <w:sz w:val="22"/>
          <w:lang w:eastAsia="en-AU"/>
        </w:rPr>
        <w:t>from</w:t>
      </w:r>
      <w:r w:rsidRPr="00D2339B">
        <w:rPr>
          <w:sz w:val="22"/>
          <w:lang w:eastAsia="en-AU"/>
        </w:rPr>
        <w:t xml:space="preserve"> arrival</w:t>
      </w:r>
    </w:p>
    <w:p w14:paraId="282BBABA" w14:textId="77777777" w:rsidR="004C2C5E" w:rsidRDefault="00FF09B9" w:rsidP="00FF09B9">
      <w:pPr>
        <w:pBdr>
          <w:top w:val="single" w:sz="4" w:space="0" w:color="auto"/>
          <w:left w:val="single" w:sz="4" w:space="0" w:color="auto"/>
          <w:bottom w:val="single" w:sz="4" w:space="12" w:color="auto"/>
          <w:right w:val="single" w:sz="4" w:space="23" w:color="auto"/>
          <w:between w:val="single" w:sz="4" w:space="1" w:color="auto"/>
        </w:pBdr>
        <w:tabs>
          <w:tab w:val="left" w:pos="1701"/>
          <w:tab w:val="left" w:pos="5670"/>
        </w:tabs>
        <w:spacing w:after="120"/>
        <w:rPr>
          <w:sz w:val="22"/>
          <w:lang w:eastAsia="en-AU"/>
        </w:rPr>
      </w:pPr>
      <w:r>
        <w:rPr>
          <w:sz w:val="22"/>
          <w:lang w:eastAsia="en-AU"/>
        </w:rPr>
        <w:t>10.00 – 10.05am</w:t>
      </w:r>
      <w:r>
        <w:rPr>
          <w:sz w:val="22"/>
          <w:lang w:eastAsia="en-AU"/>
        </w:rPr>
        <w:tab/>
      </w:r>
      <w:r w:rsidR="004C2C5E">
        <w:rPr>
          <w:sz w:val="22"/>
          <w:lang w:eastAsia="en-AU"/>
        </w:rPr>
        <w:t>Opening Remarks</w:t>
      </w:r>
      <w:r>
        <w:rPr>
          <w:sz w:val="22"/>
          <w:lang w:eastAsia="en-AU"/>
        </w:rPr>
        <w:tab/>
      </w:r>
      <w:r w:rsidR="004C2C5E">
        <w:rPr>
          <w:sz w:val="22"/>
          <w:lang w:eastAsia="en-AU"/>
        </w:rPr>
        <w:t>Ms Liz Forsyth</w:t>
      </w:r>
    </w:p>
    <w:p w14:paraId="30A7317C" w14:textId="77777777" w:rsidR="004C2C5E" w:rsidRDefault="004C2C5E" w:rsidP="000D151E">
      <w:pPr>
        <w:pBdr>
          <w:top w:val="single" w:sz="4" w:space="0" w:color="auto"/>
          <w:left w:val="single" w:sz="4" w:space="0" w:color="auto"/>
          <w:bottom w:val="single" w:sz="4" w:space="12" w:color="auto"/>
          <w:right w:val="single" w:sz="4" w:space="23" w:color="auto"/>
          <w:between w:val="single" w:sz="4" w:space="1" w:color="auto"/>
        </w:pBdr>
        <w:tabs>
          <w:tab w:val="left" w:pos="1701"/>
        </w:tabs>
        <w:spacing w:after="120"/>
        <w:rPr>
          <w:sz w:val="22"/>
          <w:lang w:eastAsia="en-AU"/>
        </w:rPr>
      </w:pPr>
      <w:r>
        <w:rPr>
          <w:sz w:val="22"/>
          <w:lang w:eastAsia="en-AU"/>
        </w:rPr>
        <w:t xml:space="preserve">10:05 </w:t>
      </w:r>
      <w:r w:rsidRPr="00D2339B">
        <w:rPr>
          <w:sz w:val="22"/>
          <w:lang w:eastAsia="en-AU"/>
        </w:rPr>
        <w:t xml:space="preserve">– </w:t>
      </w:r>
      <w:r w:rsidR="000D151E">
        <w:rPr>
          <w:sz w:val="22"/>
          <w:lang w:eastAsia="en-AU"/>
        </w:rPr>
        <w:t>10:20am</w:t>
      </w:r>
      <w:r>
        <w:rPr>
          <w:sz w:val="22"/>
          <w:lang w:eastAsia="en-AU"/>
        </w:rPr>
        <w:t xml:space="preserve"> </w:t>
      </w:r>
      <w:r w:rsidR="000D151E">
        <w:rPr>
          <w:sz w:val="22"/>
          <w:lang w:eastAsia="en-AU"/>
        </w:rPr>
        <w:tab/>
      </w:r>
      <w:r w:rsidRPr="00230A5E">
        <w:rPr>
          <w:sz w:val="22"/>
          <w:lang w:eastAsia="en-AU"/>
        </w:rPr>
        <w:t>Introduction and se</w:t>
      </w:r>
      <w:r w:rsidR="000D2FA4">
        <w:rPr>
          <w:sz w:val="22"/>
          <w:lang w:eastAsia="en-AU"/>
        </w:rPr>
        <w:t>tting the scene</w:t>
      </w:r>
      <w:r w:rsidR="00B45449">
        <w:rPr>
          <w:sz w:val="22"/>
          <w:lang w:eastAsia="en-AU"/>
        </w:rPr>
        <w:tab/>
      </w:r>
      <w:r w:rsidR="00B45449">
        <w:rPr>
          <w:sz w:val="22"/>
          <w:lang w:eastAsia="en-AU"/>
        </w:rPr>
        <w:tab/>
      </w:r>
      <w:r w:rsidR="00572237">
        <w:rPr>
          <w:sz w:val="22"/>
          <w:lang w:eastAsia="en-AU"/>
        </w:rPr>
        <w:t>Dr Sue Koch</w:t>
      </w:r>
    </w:p>
    <w:p w14:paraId="19223991" w14:textId="77777777" w:rsidR="004C2C5E" w:rsidRPr="003629AD" w:rsidRDefault="004C2C5E" w:rsidP="000C0E46">
      <w:pPr>
        <w:pBdr>
          <w:top w:val="single" w:sz="4" w:space="0" w:color="auto"/>
          <w:left w:val="single" w:sz="4" w:space="0" w:color="auto"/>
          <w:bottom w:val="single" w:sz="4" w:space="12" w:color="auto"/>
          <w:right w:val="single" w:sz="4" w:space="23" w:color="auto"/>
          <w:between w:val="single" w:sz="4" w:space="1" w:color="auto"/>
        </w:pBdr>
        <w:spacing w:after="120"/>
        <w:rPr>
          <w:b/>
          <w:sz w:val="22"/>
          <w:lang w:eastAsia="en-AU"/>
        </w:rPr>
      </w:pPr>
      <w:r w:rsidRPr="003629AD">
        <w:rPr>
          <w:b/>
          <w:sz w:val="22"/>
          <w:lang w:eastAsia="en-AU"/>
        </w:rPr>
        <w:t>10:</w:t>
      </w:r>
      <w:r>
        <w:rPr>
          <w:b/>
          <w:sz w:val="22"/>
          <w:lang w:eastAsia="en-AU"/>
        </w:rPr>
        <w:t>20</w:t>
      </w:r>
      <w:r w:rsidRPr="003629AD">
        <w:rPr>
          <w:b/>
          <w:sz w:val="22"/>
          <w:lang w:eastAsia="en-AU"/>
        </w:rPr>
        <w:t xml:space="preserve"> –</w:t>
      </w:r>
      <w:r w:rsidR="000D151E">
        <w:rPr>
          <w:b/>
          <w:sz w:val="22"/>
          <w:lang w:eastAsia="en-AU"/>
        </w:rPr>
        <w:t xml:space="preserve"> 10:45am</w:t>
      </w:r>
      <w:r w:rsidR="000D151E">
        <w:rPr>
          <w:b/>
          <w:sz w:val="22"/>
          <w:lang w:eastAsia="en-AU"/>
        </w:rPr>
        <w:tab/>
      </w:r>
      <w:proofErr w:type="gramStart"/>
      <w:r w:rsidR="004969A8">
        <w:rPr>
          <w:b/>
          <w:sz w:val="22"/>
          <w:lang w:eastAsia="en-AU"/>
        </w:rPr>
        <w:t>The</w:t>
      </w:r>
      <w:proofErr w:type="gramEnd"/>
      <w:r w:rsidR="004969A8">
        <w:rPr>
          <w:b/>
          <w:sz w:val="22"/>
          <w:lang w:eastAsia="en-AU"/>
        </w:rPr>
        <w:t xml:space="preserve"> Hon </w:t>
      </w:r>
      <w:r w:rsidRPr="003629AD">
        <w:rPr>
          <w:b/>
          <w:sz w:val="22"/>
          <w:lang w:eastAsia="en-AU"/>
        </w:rPr>
        <w:t xml:space="preserve">Minister </w:t>
      </w:r>
      <w:r w:rsidR="004969A8">
        <w:rPr>
          <w:b/>
          <w:sz w:val="22"/>
          <w:lang w:eastAsia="en-AU"/>
        </w:rPr>
        <w:t xml:space="preserve">Mitch </w:t>
      </w:r>
      <w:r w:rsidRPr="003629AD">
        <w:rPr>
          <w:b/>
          <w:sz w:val="22"/>
          <w:lang w:eastAsia="en-AU"/>
        </w:rPr>
        <w:t xml:space="preserve">Fifield </w:t>
      </w:r>
      <w:r>
        <w:rPr>
          <w:b/>
          <w:sz w:val="22"/>
          <w:lang w:eastAsia="en-AU"/>
        </w:rPr>
        <w:tab/>
      </w:r>
    </w:p>
    <w:p w14:paraId="51072925" w14:textId="77777777" w:rsidR="004C2C5E" w:rsidRPr="00D2339B" w:rsidRDefault="000D151E" w:rsidP="00FF09B9">
      <w:pPr>
        <w:pBdr>
          <w:top w:val="single" w:sz="4" w:space="0" w:color="auto"/>
          <w:left w:val="single" w:sz="4" w:space="0" w:color="auto"/>
          <w:bottom w:val="single" w:sz="4" w:space="12" w:color="auto"/>
          <w:right w:val="single" w:sz="4" w:space="23" w:color="auto"/>
          <w:between w:val="single" w:sz="4" w:space="1" w:color="auto"/>
        </w:pBdr>
        <w:tabs>
          <w:tab w:val="left" w:pos="1701"/>
          <w:tab w:val="left" w:pos="5670"/>
        </w:tabs>
        <w:spacing w:after="120"/>
        <w:rPr>
          <w:sz w:val="22"/>
          <w:lang w:eastAsia="en-AU"/>
        </w:rPr>
      </w:pPr>
      <w:r>
        <w:rPr>
          <w:sz w:val="22"/>
          <w:lang w:eastAsia="en-AU"/>
        </w:rPr>
        <w:t>10</w:t>
      </w:r>
      <w:r w:rsidR="00FF09B9">
        <w:rPr>
          <w:sz w:val="22"/>
          <w:lang w:eastAsia="en-AU"/>
        </w:rPr>
        <w:t>:45 – 10:55am</w:t>
      </w:r>
      <w:r w:rsidR="00FF09B9">
        <w:rPr>
          <w:sz w:val="22"/>
          <w:lang w:eastAsia="en-AU"/>
        </w:rPr>
        <w:tab/>
      </w:r>
      <w:r w:rsidR="004C2C5E">
        <w:rPr>
          <w:sz w:val="22"/>
          <w:lang w:eastAsia="en-AU"/>
        </w:rPr>
        <w:t>Service provider</w:t>
      </w:r>
      <w:r w:rsidR="00FF09B9">
        <w:rPr>
          <w:sz w:val="22"/>
          <w:lang w:eastAsia="en-AU"/>
        </w:rPr>
        <w:tab/>
      </w:r>
      <w:r w:rsidR="000D2FA4">
        <w:rPr>
          <w:sz w:val="22"/>
          <w:lang w:eastAsia="en-AU"/>
        </w:rPr>
        <w:t>D</w:t>
      </w:r>
      <w:r w:rsidR="00B45449">
        <w:rPr>
          <w:sz w:val="22"/>
          <w:lang w:eastAsia="en-AU"/>
        </w:rPr>
        <w:t>r Stephen Judd</w:t>
      </w:r>
    </w:p>
    <w:p w14:paraId="1AC2567F" w14:textId="77777777" w:rsidR="004C2C5E" w:rsidRDefault="000D151E" w:rsidP="00FF09B9">
      <w:pPr>
        <w:pBdr>
          <w:top w:val="single" w:sz="4" w:space="0" w:color="auto"/>
          <w:left w:val="single" w:sz="4" w:space="0" w:color="auto"/>
          <w:bottom w:val="single" w:sz="4" w:space="12" w:color="auto"/>
          <w:right w:val="single" w:sz="4" w:space="23" w:color="auto"/>
          <w:between w:val="single" w:sz="4" w:space="1" w:color="auto"/>
        </w:pBdr>
        <w:tabs>
          <w:tab w:val="left" w:pos="1701"/>
          <w:tab w:val="left" w:pos="5670"/>
        </w:tabs>
        <w:spacing w:after="120"/>
        <w:rPr>
          <w:sz w:val="22"/>
          <w:lang w:eastAsia="en-AU"/>
        </w:rPr>
      </w:pPr>
      <w:r>
        <w:rPr>
          <w:sz w:val="22"/>
          <w:lang w:eastAsia="en-AU"/>
        </w:rPr>
        <w:t>10:55 – 11:05am</w:t>
      </w:r>
      <w:r>
        <w:rPr>
          <w:sz w:val="22"/>
          <w:lang w:eastAsia="en-AU"/>
        </w:rPr>
        <w:tab/>
      </w:r>
      <w:r w:rsidR="004C2C5E">
        <w:rPr>
          <w:sz w:val="22"/>
          <w:lang w:eastAsia="en-AU"/>
        </w:rPr>
        <w:t>Clinician</w:t>
      </w:r>
      <w:r w:rsidR="00FF09B9">
        <w:rPr>
          <w:sz w:val="22"/>
          <w:lang w:eastAsia="en-AU"/>
        </w:rPr>
        <w:tab/>
      </w:r>
      <w:r w:rsidR="004C2C5E">
        <w:rPr>
          <w:bCs/>
        </w:rPr>
        <w:t xml:space="preserve">Professor Henry </w:t>
      </w:r>
      <w:proofErr w:type="spellStart"/>
      <w:r w:rsidR="004C2C5E" w:rsidRPr="002F7D1C">
        <w:rPr>
          <w:bCs/>
        </w:rPr>
        <w:t>Brodaty</w:t>
      </w:r>
      <w:proofErr w:type="spellEnd"/>
      <w:r w:rsidR="004C2C5E" w:rsidRPr="002F7D1C">
        <w:rPr>
          <w:bCs/>
        </w:rPr>
        <w:t xml:space="preserve"> </w:t>
      </w:r>
      <w:r w:rsidR="004C2C5E">
        <w:rPr>
          <w:sz w:val="22"/>
          <w:lang w:eastAsia="en-AU"/>
        </w:rPr>
        <w:t xml:space="preserve"> </w:t>
      </w:r>
    </w:p>
    <w:p w14:paraId="2C7D08C0" w14:textId="77777777" w:rsidR="004C2C5E" w:rsidRDefault="000D151E" w:rsidP="00FF09B9">
      <w:pPr>
        <w:pBdr>
          <w:top w:val="single" w:sz="4" w:space="0" w:color="auto"/>
          <w:left w:val="single" w:sz="4" w:space="0" w:color="auto"/>
          <w:bottom w:val="single" w:sz="4" w:space="12" w:color="auto"/>
          <w:right w:val="single" w:sz="4" w:space="23" w:color="auto"/>
          <w:between w:val="single" w:sz="4" w:space="1" w:color="auto"/>
        </w:pBdr>
        <w:tabs>
          <w:tab w:val="left" w:pos="1701"/>
          <w:tab w:val="left" w:pos="5670"/>
        </w:tabs>
        <w:spacing w:after="120"/>
        <w:rPr>
          <w:sz w:val="22"/>
          <w:lang w:eastAsia="en-AU"/>
        </w:rPr>
      </w:pPr>
      <w:r>
        <w:rPr>
          <w:sz w:val="22"/>
          <w:lang w:eastAsia="en-AU"/>
        </w:rPr>
        <w:t>11:05 – 11:15am</w:t>
      </w:r>
      <w:r>
        <w:rPr>
          <w:sz w:val="22"/>
          <w:lang w:eastAsia="en-AU"/>
        </w:rPr>
        <w:tab/>
      </w:r>
      <w:r w:rsidR="004C2C5E">
        <w:rPr>
          <w:sz w:val="22"/>
          <w:lang w:eastAsia="en-AU"/>
        </w:rPr>
        <w:t>Consumer</w:t>
      </w:r>
      <w:r w:rsidR="00FF09B9">
        <w:rPr>
          <w:sz w:val="22"/>
          <w:lang w:eastAsia="en-AU"/>
        </w:rPr>
        <w:tab/>
      </w:r>
      <w:r w:rsidR="004C2C5E">
        <w:rPr>
          <w:sz w:val="22"/>
          <w:lang w:eastAsia="en-AU"/>
        </w:rPr>
        <w:t xml:space="preserve">Ms Kate </w:t>
      </w:r>
      <w:proofErr w:type="spellStart"/>
      <w:r w:rsidR="004C2C5E">
        <w:rPr>
          <w:sz w:val="22"/>
          <w:lang w:eastAsia="en-AU"/>
        </w:rPr>
        <w:t>Swaffer</w:t>
      </w:r>
      <w:proofErr w:type="spellEnd"/>
    </w:p>
    <w:p w14:paraId="53C57395" w14:textId="77777777" w:rsidR="004C2C5E" w:rsidRDefault="000D151E" w:rsidP="00FF09B9">
      <w:pPr>
        <w:pBdr>
          <w:top w:val="single" w:sz="4" w:space="0" w:color="auto"/>
          <w:left w:val="single" w:sz="4" w:space="0" w:color="auto"/>
          <w:bottom w:val="single" w:sz="4" w:space="12" w:color="auto"/>
          <w:right w:val="single" w:sz="4" w:space="23" w:color="auto"/>
          <w:between w:val="single" w:sz="4" w:space="1" w:color="auto"/>
        </w:pBdr>
        <w:tabs>
          <w:tab w:val="left" w:pos="1701"/>
          <w:tab w:val="left" w:pos="5670"/>
        </w:tabs>
        <w:spacing w:after="120"/>
        <w:rPr>
          <w:sz w:val="22"/>
          <w:lang w:eastAsia="en-AU"/>
        </w:rPr>
      </w:pPr>
      <w:r>
        <w:rPr>
          <w:sz w:val="22"/>
          <w:lang w:eastAsia="en-AU"/>
        </w:rPr>
        <w:t>11:15 – 11:20am</w:t>
      </w:r>
      <w:r>
        <w:rPr>
          <w:sz w:val="22"/>
          <w:lang w:eastAsia="en-AU"/>
        </w:rPr>
        <w:tab/>
        <w:t>Getting started</w:t>
      </w:r>
      <w:r w:rsidR="00FF09B9">
        <w:rPr>
          <w:sz w:val="22"/>
          <w:lang w:eastAsia="en-AU"/>
        </w:rPr>
        <w:tab/>
      </w:r>
      <w:r w:rsidR="004C2C5E">
        <w:rPr>
          <w:sz w:val="22"/>
          <w:lang w:eastAsia="en-AU"/>
        </w:rPr>
        <w:t>Ms Liz Forsyth</w:t>
      </w:r>
    </w:p>
    <w:p w14:paraId="58F0000E" w14:textId="77777777" w:rsidR="004C2C5E" w:rsidRDefault="004C2C5E" w:rsidP="008769D4">
      <w:pPr>
        <w:pBdr>
          <w:top w:val="single" w:sz="4" w:space="0" w:color="auto"/>
          <w:left w:val="single" w:sz="4" w:space="0" w:color="auto"/>
          <w:bottom w:val="single" w:sz="4" w:space="12" w:color="auto"/>
          <w:right w:val="single" w:sz="4" w:space="23" w:color="auto"/>
          <w:between w:val="single" w:sz="4" w:space="1" w:color="auto"/>
        </w:pBdr>
        <w:tabs>
          <w:tab w:val="left" w:pos="1701"/>
        </w:tabs>
        <w:spacing w:after="120"/>
        <w:rPr>
          <w:sz w:val="22"/>
          <w:lang w:eastAsia="en-AU"/>
        </w:rPr>
      </w:pPr>
      <w:r>
        <w:rPr>
          <w:sz w:val="22"/>
          <w:lang w:eastAsia="en-AU"/>
        </w:rPr>
        <w:t>11:20 – 12:10pm</w:t>
      </w:r>
      <w:r w:rsidR="008769D4">
        <w:rPr>
          <w:sz w:val="22"/>
          <w:lang w:eastAsia="en-AU"/>
        </w:rPr>
        <w:tab/>
      </w:r>
      <w:r>
        <w:rPr>
          <w:sz w:val="22"/>
          <w:lang w:eastAsia="en-AU"/>
        </w:rPr>
        <w:t>Group session 1</w:t>
      </w:r>
      <w:r w:rsidR="00B45449">
        <w:rPr>
          <w:sz w:val="22"/>
          <w:lang w:eastAsia="en-AU"/>
        </w:rPr>
        <w:tab/>
      </w:r>
      <w:r>
        <w:rPr>
          <w:sz w:val="22"/>
          <w:lang w:eastAsia="en-AU"/>
        </w:rPr>
        <w:t xml:space="preserve"> Ms Liz Forsyth/Table Captains</w:t>
      </w:r>
    </w:p>
    <w:p w14:paraId="0A3F0CA1" w14:textId="77777777" w:rsidR="004C2C5E" w:rsidRPr="008B22F0" w:rsidRDefault="000D151E" w:rsidP="000C0E46">
      <w:pPr>
        <w:pBdr>
          <w:top w:val="single" w:sz="4" w:space="0" w:color="auto"/>
          <w:left w:val="single" w:sz="4" w:space="0" w:color="auto"/>
          <w:bottom w:val="single" w:sz="4" w:space="12" w:color="auto"/>
          <w:right w:val="single" w:sz="4" w:space="23" w:color="auto"/>
          <w:between w:val="single" w:sz="4" w:space="1" w:color="auto"/>
        </w:pBdr>
        <w:spacing w:after="120"/>
        <w:rPr>
          <w:sz w:val="22"/>
          <w:lang w:eastAsia="en-AU"/>
        </w:rPr>
      </w:pPr>
      <w:r>
        <w:rPr>
          <w:sz w:val="22"/>
          <w:lang w:eastAsia="en-AU"/>
        </w:rPr>
        <w:t>12:10 – 12:30pm</w:t>
      </w:r>
      <w:r>
        <w:rPr>
          <w:sz w:val="22"/>
          <w:lang w:eastAsia="en-AU"/>
        </w:rPr>
        <w:tab/>
      </w:r>
      <w:r w:rsidR="004C2C5E">
        <w:rPr>
          <w:sz w:val="22"/>
          <w:lang w:eastAsia="en-AU"/>
        </w:rPr>
        <w:t>Feedback from Group session 1</w:t>
      </w:r>
      <w:r>
        <w:rPr>
          <w:sz w:val="22"/>
          <w:lang w:eastAsia="en-AU"/>
        </w:rPr>
        <w:tab/>
      </w:r>
      <w:r>
        <w:rPr>
          <w:sz w:val="22"/>
          <w:lang w:eastAsia="en-AU"/>
        </w:rPr>
        <w:tab/>
      </w:r>
      <w:r>
        <w:rPr>
          <w:sz w:val="22"/>
          <w:lang w:eastAsia="en-AU"/>
        </w:rPr>
        <w:tab/>
      </w:r>
      <w:r w:rsidR="004C2C5E">
        <w:rPr>
          <w:sz w:val="22"/>
          <w:lang w:eastAsia="en-AU"/>
        </w:rPr>
        <w:t>Ms Liz Forsyth</w:t>
      </w:r>
    </w:p>
    <w:p w14:paraId="2FD43369" w14:textId="77777777" w:rsidR="004C2C5E" w:rsidRDefault="000D151E" w:rsidP="000C0E46">
      <w:pPr>
        <w:pBdr>
          <w:top w:val="single" w:sz="4" w:space="0" w:color="auto"/>
          <w:left w:val="single" w:sz="4" w:space="0" w:color="auto"/>
          <w:bottom w:val="single" w:sz="4" w:space="12" w:color="auto"/>
          <w:right w:val="single" w:sz="4" w:space="23" w:color="auto"/>
          <w:between w:val="single" w:sz="4" w:space="1" w:color="auto"/>
        </w:pBdr>
        <w:spacing w:after="120"/>
        <w:rPr>
          <w:sz w:val="22"/>
          <w:lang w:eastAsia="en-AU"/>
        </w:rPr>
      </w:pPr>
      <w:r>
        <w:rPr>
          <w:sz w:val="22"/>
          <w:lang w:eastAsia="en-AU"/>
        </w:rPr>
        <w:t>12:30 – 13:00pm</w:t>
      </w:r>
      <w:r>
        <w:rPr>
          <w:sz w:val="22"/>
          <w:lang w:eastAsia="en-AU"/>
        </w:rPr>
        <w:tab/>
      </w:r>
      <w:r w:rsidR="004C2C5E">
        <w:rPr>
          <w:b/>
          <w:sz w:val="22"/>
          <w:lang w:eastAsia="en-AU"/>
        </w:rPr>
        <w:t>LUNCH</w:t>
      </w:r>
    </w:p>
    <w:p w14:paraId="7AC52273" w14:textId="77777777" w:rsidR="004C2C5E" w:rsidRDefault="000D151E" w:rsidP="00FF09B9">
      <w:pPr>
        <w:pBdr>
          <w:top w:val="single" w:sz="4" w:space="0" w:color="auto"/>
          <w:left w:val="single" w:sz="4" w:space="0" w:color="auto"/>
          <w:bottom w:val="single" w:sz="4" w:space="12" w:color="auto"/>
          <w:right w:val="single" w:sz="4" w:space="23" w:color="auto"/>
          <w:between w:val="single" w:sz="4" w:space="1" w:color="auto"/>
        </w:pBdr>
        <w:tabs>
          <w:tab w:val="left" w:pos="1701"/>
          <w:tab w:val="left" w:pos="5670"/>
        </w:tabs>
        <w:spacing w:after="120"/>
        <w:rPr>
          <w:sz w:val="22"/>
          <w:lang w:eastAsia="en-AU"/>
        </w:rPr>
      </w:pPr>
      <w:r>
        <w:rPr>
          <w:sz w:val="22"/>
          <w:lang w:eastAsia="en-AU"/>
        </w:rPr>
        <w:t>13:00 – 2:00pm</w:t>
      </w:r>
      <w:r>
        <w:rPr>
          <w:sz w:val="22"/>
          <w:lang w:eastAsia="en-AU"/>
        </w:rPr>
        <w:tab/>
        <w:t>Group session 2</w:t>
      </w:r>
      <w:r w:rsidR="00FF09B9">
        <w:rPr>
          <w:sz w:val="22"/>
          <w:lang w:eastAsia="en-AU"/>
        </w:rPr>
        <w:tab/>
      </w:r>
      <w:r w:rsidR="004C2C5E">
        <w:rPr>
          <w:sz w:val="22"/>
          <w:lang w:eastAsia="en-AU"/>
        </w:rPr>
        <w:t>Ms Liz Forsyth/Table Captains</w:t>
      </w:r>
    </w:p>
    <w:p w14:paraId="77C797C6" w14:textId="77777777" w:rsidR="004C2C5E" w:rsidRDefault="000D151E" w:rsidP="000D151E">
      <w:pPr>
        <w:pBdr>
          <w:top w:val="single" w:sz="4" w:space="0" w:color="auto"/>
          <w:left w:val="single" w:sz="4" w:space="0" w:color="auto"/>
          <w:bottom w:val="single" w:sz="4" w:space="12" w:color="auto"/>
          <w:right w:val="single" w:sz="4" w:space="23" w:color="auto"/>
          <w:between w:val="single" w:sz="4" w:space="1" w:color="auto"/>
        </w:pBdr>
        <w:tabs>
          <w:tab w:val="left" w:pos="1701"/>
        </w:tabs>
        <w:spacing w:after="120"/>
        <w:rPr>
          <w:sz w:val="22"/>
          <w:lang w:eastAsia="en-AU"/>
        </w:rPr>
      </w:pPr>
      <w:r>
        <w:rPr>
          <w:sz w:val="22"/>
          <w:lang w:eastAsia="en-AU"/>
        </w:rPr>
        <w:t>2:00 – 2:20pm</w:t>
      </w:r>
      <w:r>
        <w:rPr>
          <w:sz w:val="22"/>
          <w:lang w:eastAsia="en-AU"/>
        </w:rPr>
        <w:tab/>
        <w:t>Feedback from Group session 2</w:t>
      </w:r>
      <w:r>
        <w:rPr>
          <w:sz w:val="22"/>
          <w:lang w:eastAsia="en-AU"/>
        </w:rPr>
        <w:tab/>
      </w:r>
      <w:r>
        <w:rPr>
          <w:sz w:val="22"/>
          <w:lang w:eastAsia="en-AU"/>
        </w:rPr>
        <w:tab/>
      </w:r>
      <w:r>
        <w:rPr>
          <w:sz w:val="22"/>
          <w:lang w:eastAsia="en-AU"/>
        </w:rPr>
        <w:tab/>
      </w:r>
      <w:r w:rsidR="004C2C5E">
        <w:rPr>
          <w:sz w:val="22"/>
          <w:lang w:eastAsia="en-AU"/>
        </w:rPr>
        <w:t>Ms Liz Forsyth</w:t>
      </w:r>
    </w:p>
    <w:p w14:paraId="3F168CD4" w14:textId="77777777" w:rsidR="004C2C5E" w:rsidRDefault="004C2C5E" w:rsidP="000D151E">
      <w:pPr>
        <w:pBdr>
          <w:top w:val="single" w:sz="4" w:space="0" w:color="auto"/>
          <w:left w:val="single" w:sz="4" w:space="0" w:color="auto"/>
          <w:bottom w:val="single" w:sz="4" w:space="12" w:color="auto"/>
          <w:right w:val="single" w:sz="4" w:space="23" w:color="auto"/>
          <w:between w:val="single" w:sz="4" w:space="1" w:color="auto"/>
        </w:pBdr>
        <w:tabs>
          <w:tab w:val="left" w:pos="1701"/>
        </w:tabs>
        <w:spacing w:after="120"/>
        <w:rPr>
          <w:sz w:val="22"/>
          <w:lang w:eastAsia="en-AU"/>
        </w:rPr>
      </w:pPr>
      <w:r>
        <w:rPr>
          <w:sz w:val="22"/>
          <w:lang w:eastAsia="en-AU"/>
        </w:rPr>
        <w:t>2.20</w:t>
      </w:r>
      <w:r w:rsidRPr="00D2339B">
        <w:rPr>
          <w:sz w:val="22"/>
          <w:lang w:eastAsia="en-AU"/>
        </w:rPr>
        <w:t xml:space="preserve"> – </w:t>
      </w:r>
      <w:r>
        <w:rPr>
          <w:sz w:val="22"/>
          <w:lang w:eastAsia="en-AU"/>
        </w:rPr>
        <w:t>3.20pm</w:t>
      </w:r>
      <w:r w:rsidR="000D151E">
        <w:rPr>
          <w:sz w:val="22"/>
          <w:lang w:eastAsia="en-AU"/>
        </w:rPr>
        <w:tab/>
      </w:r>
      <w:r>
        <w:rPr>
          <w:sz w:val="22"/>
          <w:lang w:eastAsia="en-AU"/>
        </w:rPr>
        <w:t>Working Afternoo</w:t>
      </w:r>
      <w:r w:rsidR="000D151E">
        <w:rPr>
          <w:sz w:val="22"/>
          <w:lang w:eastAsia="en-AU"/>
        </w:rPr>
        <w:t>n Tea - Group session 3</w:t>
      </w:r>
      <w:r w:rsidR="000D151E">
        <w:rPr>
          <w:sz w:val="22"/>
          <w:lang w:eastAsia="en-AU"/>
        </w:rPr>
        <w:tab/>
      </w:r>
      <w:r>
        <w:rPr>
          <w:sz w:val="22"/>
          <w:lang w:eastAsia="en-AU"/>
        </w:rPr>
        <w:t>Ms Liz Forsyth/Table Captains</w:t>
      </w:r>
    </w:p>
    <w:p w14:paraId="5F256B45" w14:textId="77777777" w:rsidR="004C2C5E" w:rsidRDefault="004C2C5E" w:rsidP="000D151E">
      <w:pPr>
        <w:pBdr>
          <w:top w:val="single" w:sz="4" w:space="0" w:color="auto"/>
          <w:left w:val="single" w:sz="4" w:space="0" w:color="auto"/>
          <w:bottom w:val="single" w:sz="4" w:space="12" w:color="auto"/>
          <w:right w:val="single" w:sz="4" w:space="23" w:color="auto"/>
          <w:between w:val="single" w:sz="4" w:space="1" w:color="auto"/>
        </w:pBdr>
        <w:tabs>
          <w:tab w:val="left" w:pos="1701"/>
        </w:tabs>
        <w:spacing w:after="120"/>
        <w:rPr>
          <w:sz w:val="22"/>
          <w:lang w:eastAsia="en-AU"/>
        </w:rPr>
      </w:pPr>
      <w:r>
        <w:rPr>
          <w:sz w:val="22"/>
          <w:lang w:eastAsia="en-AU"/>
        </w:rPr>
        <w:t>3.20 – 3.40pm</w:t>
      </w:r>
      <w:r w:rsidR="000D151E">
        <w:rPr>
          <w:sz w:val="22"/>
          <w:lang w:eastAsia="en-AU"/>
        </w:rPr>
        <w:tab/>
      </w:r>
      <w:r>
        <w:rPr>
          <w:sz w:val="22"/>
          <w:lang w:eastAsia="en-AU"/>
        </w:rPr>
        <w:t xml:space="preserve"> Feedback from Group session 3</w:t>
      </w:r>
      <w:r w:rsidR="000D151E">
        <w:rPr>
          <w:sz w:val="22"/>
          <w:lang w:eastAsia="en-AU"/>
        </w:rPr>
        <w:tab/>
      </w:r>
      <w:r w:rsidR="000D151E">
        <w:rPr>
          <w:sz w:val="22"/>
          <w:lang w:eastAsia="en-AU"/>
        </w:rPr>
        <w:tab/>
      </w:r>
      <w:r>
        <w:rPr>
          <w:sz w:val="22"/>
          <w:lang w:eastAsia="en-AU"/>
        </w:rPr>
        <w:t>Ms Liz Forsyth</w:t>
      </w:r>
    </w:p>
    <w:p w14:paraId="39911022" w14:textId="77777777" w:rsidR="004C2C5E" w:rsidRDefault="004C2C5E" w:rsidP="000C0E46">
      <w:pPr>
        <w:pBdr>
          <w:top w:val="single" w:sz="4" w:space="0" w:color="auto"/>
          <w:left w:val="single" w:sz="4" w:space="0" w:color="auto"/>
          <w:bottom w:val="single" w:sz="4" w:space="12" w:color="auto"/>
          <w:right w:val="single" w:sz="4" w:space="23" w:color="auto"/>
          <w:between w:val="single" w:sz="4" w:space="1" w:color="auto"/>
        </w:pBdr>
        <w:spacing w:after="120"/>
        <w:rPr>
          <w:sz w:val="22"/>
          <w:lang w:eastAsia="en-AU"/>
        </w:rPr>
      </w:pPr>
      <w:r>
        <w:rPr>
          <w:sz w:val="22"/>
          <w:lang w:eastAsia="en-AU"/>
        </w:rPr>
        <w:t>3.40 – 4.15pm</w:t>
      </w:r>
      <w:r w:rsidR="000D151E">
        <w:rPr>
          <w:sz w:val="22"/>
          <w:lang w:eastAsia="en-AU"/>
        </w:rPr>
        <w:tab/>
      </w:r>
      <w:r>
        <w:rPr>
          <w:sz w:val="22"/>
          <w:lang w:eastAsia="en-AU"/>
        </w:rPr>
        <w:t>Plenary Session - Clarifying/refining recommendations</w:t>
      </w:r>
      <w:r w:rsidR="00B45449">
        <w:rPr>
          <w:sz w:val="22"/>
          <w:lang w:eastAsia="en-AU"/>
        </w:rPr>
        <w:tab/>
      </w:r>
      <w:r>
        <w:rPr>
          <w:sz w:val="22"/>
          <w:lang w:eastAsia="en-AU"/>
        </w:rPr>
        <w:t>Ms Liz Forsyth</w:t>
      </w:r>
    </w:p>
    <w:p w14:paraId="0D24A892" w14:textId="77777777" w:rsidR="004C2C5E" w:rsidRDefault="004C2C5E" w:rsidP="00B45449">
      <w:pPr>
        <w:pBdr>
          <w:top w:val="single" w:sz="4" w:space="0" w:color="auto"/>
          <w:left w:val="single" w:sz="4" w:space="0" w:color="auto"/>
          <w:bottom w:val="single" w:sz="4" w:space="12" w:color="auto"/>
          <w:right w:val="single" w:sz="4" w:space="23" w:color="auto"/>
          <w:between w:val="single" w:sz="4" w:space="1" w:color="auto"/>
        </w:pBdr>
        <w:tabs>
          <w:tab w:val="left" w:pos="1701"/>
          <w:tab w:val="left" w:pos="5670"/>
        </w:tabs>
        <w:spacing w:after="120"/>
        <w:ind w:left="2410" w:hanging="2410"/>
        <w:rPr>
          <w:sz w:val="22"/>
          <w:lang w:eastAsia="en-AU"/>
        </w:rPr>
      </w:pPr>
      <w:r w:rsidRPr="008B22F0">
        <w:rPr>
          <w:sz w:val="22"/>
          <w:lang w:eastAsia="en-AU"/>
        </w:rPr>
        <w:t>4:15 – 4.30pm</w:t>
      </w:r>
      <w:r w:rsidR="000D151E">
        <w:rPr>
          <w:sz w:val="22"/>
          <w:lang w:eastAsia="en-AU"/>
        </w:rPr>
        <w:tab/>
      </w:r>
      <w:r>
        <w:rPr>
          <w:sz w:val="22"/>
          <w:lang w:eastAsia="en-AU"/>
        </w:rPr>
        <w:t>Chair – Co-Chair to close the Forum</w:t>
      </w:r>
      <w:r w:rsidR="00B45449">
        <w:rPr>
          <w:sz w:val="22"/>
          <w:lang w:eastAsia="en-AU"/>
        </w:rPr>
        <w:tab/>
      </w:r>
      <w:r w:rsidR="00572237">
        <w:rPr>
          <w:sz w:val="22"/>
          <w:lang w:eastAsia="en-AU"/>
        </w:rPr>
        <w:t xml:space="preserve">Ms Sue </w:t>
      </w:r>
      <w:proofErr w:type="spellStart"/>
      <w:r w:rsidR="00572237">
        <w:rPr>
          <w:sz w:val="22"/>
          <w:lang w:eastAsia="en-AU"/>
        </w:rPr>
        <w:t>Pieters</w:t>
      </w:r>
      <w:proofErr w:type="spellEnd"/>
      <w:r w:rsidR="00572237">
        <w:rPr>
          <w:sz w:val="22"/>
          <w:lang w:eastAsia="en-AU"/>
        </w:rPr>
        <w:t>-Hawke</w:t>
      </w:r>
    </w:p>
    <w:p w14:paraId="52638FB4" w14:textId="77777777" w:rsidR="00604E3D" w:rsidRDefault="00604E3D" w:rsidP="00604E3D">
      <w:pPr>
        <w:tabs>
          <w:tab w:val="left" w:pos="7513"/>
        </w:tabs>
        <w:ind w:left="2410" w:hanging="2410"/>
        <w:rPr>
          <w:sz w:val="22"/>
          <w:lang w:eastAsia="en-AU"/>
        </w:rPr>
      </w:pPr>
    </w:p>
    <w:p w14:paraId="508CBBBD" w14:textId="77777777" w:rsidR="00604E3D" w:rsidRDefault="00604E3D" w:rsidP="00E01C90">
      <w:pPr>
        <w:pStyle w:val="Heading1"/>
        <w:numPr>
          <w:ilvl w:val="0"/>
          <w:numId w:val="0"/>
        </w:numPr>
        <w:ind w:left="851"/>
        <w:sectPr w:rsidR="00604E3D" w:rsidSect="00647849">
          <w:pgSz w:w="11907" w:h="16840" w:code="9"/>
          <w:pgMar w:top="1701" w:right="1474" w:bottom="1588" w:left="1474" w:header="958" w:footer="261" w:gutter="454"/>
          <w:pgNumType w:start="1"/>
          <w:cols w:space="720"/>
          <w:docGrid w:linePitch="272"/>
        </w:sectPr>
      </w:pPr>
    </w:p>
    <w:bookmarkEnd w:id="4"/>
    <w:bookmarkEnd w:id="5"/>
    <w:bookmarkEnd w:id="6"/>
    <w:bookmarkEnd w:id="7"/>
    <w:p w14:paraId="420B2936" w14:textId="77777777" w:rsidR="00E01C90" w:rsidRDefault="00E01C90" w:rsidP="00A02A41">
      <w:pPr>
        <w:pStyle w:val="Heading1"/>
        <w:numPr>
          <w:ilvl w:val="0"/>
          <w:numId w:val="0"/>
        </w:numPr>
        <w:spacing w:after="31680"/>
      </w:pPr>
      <w:r>
        <w:lastRenderedPageBreak/>
        <w:t>kpmg.com.au</w:t>
      </w:r>
    </w:p>
    <w:p w14:paraId="4138D781" w14:textId="77777777" w:rsidR="00A02A41" w:rsidRPr="00A02A41" w:rsidRDefault="00A02A41" w:rsidP="00A02A41">
      <w:pPr>
        <w:pStyle w:val="BodyText"/>
      </w:pPr>
    </w:p>
    <w:p w14:paraId="3CB0565E" w14:textId="77777777" w:rsidR="008E3005" w:rsidRPr="008E3005" w:rsidRDefault="008E3005" w:rsidP="008E3005">
      <w:pPr>
        <w:pStyle w:val="BodyText"/>
        <w:spacing w:before="8400"/>
      </w:pPr>
    </w:p>
    <w:p w14:paraId="53EE1A35" w14:textId="77777777" w:rsidR="00A02A41" w:rsidRDefault="00A02A41" w:rsidP="008E3005">
      <w:pPr>
        <w:pBdr>
          <w:top w:val="single" w:sz="4" w:space="1" w:color="auto"/>
          <w:left w:val="single" w:sz="4" w:space="4" w:color="auto"/>
          <w:bottom w:val="single" w:sz="4" w:space="1" w:color="auto"/>
          <w:right w:val="single" w:sz="4" w:space="4" w:color="auto"/>
        </w:pBdr>
        <w:spacing w:before="80" w:line="180" w:lineRule="atLeast"/>
        <w:rPr>
          <w:rFonts w:ascii="Univers 45 Light" w:hAnsi="Univers 45 Light"/>
          <w:sz w:val="16"/>
          <w:szCs w:val="16"/>
        </w:rPr>
        <w:sectPr w:rsidR="00A02A41" w:rsidSect="00E01C90">
          <w:headerReference w:type="default" r:id="rId18"/>
          <w:footerReference w:type="default" r:id="rId19"/>
          <w:pgSz w:w="11907" w:h="16840" w:code="9"/>
          <w:pgMar w:top="1276" w:right="1474" w:bottom="1588" w:left="1474" w:header="958" w:footer="737" w:gutter="454"/>
          <w:pgNumType w:start="1"/>
          <w:cols w:num="2" w:space="720"/>
          <w:docGrid w:linePitch="272"/>
        </w:sectPr>
      </w:pPr>
    </w:p>
    <w:p w14:paraId="707036B9" w14:textId="77777777" w:rsidR="00E01C90" w:rsidRDefault="00E01C90" w:rsidP="00A02A41">
      <w:pPr>
        <w:pBdr>
          <w:top w:val="single" w:sz="4" w:space="1" w:color="auto"/>
          <w:left w:val="single" w:sz="4" w:space="4" w:color="auto"/>
          <w:bottom w:val="single" w:sz="4" w:space="1" w:color="auto"/>
          <w:right w:val="single" w:sz="4" w:space="4" w:color="auto"/>
        </w:pBdr>
        <w:spacing w:before="80" w:line="180" w:lineRule="atLeast"/>
        <w:rPr>
          <w:rFonts w:ascii="Univers 45 Light" w:hAnsi="Univers 45 Light"/>
          <w:sz w:val="16"/>
          <w:szCs w:val="16"/>
        </w:rPr>
      </w:pPr>
      <w:r w:rsidRPr="00E01C90">
        <w:rPr>
          <w:rFonts w:ascii="Univers 45 Light" w:hAnsi="Univers 45 Light"/>
          <w:sz w:val="16"/>
          <w:szCs w:val="16"/>
        </w:rPr>
        <w:lastRenderedPageBreak/>
        <w:t>This proposal is made by KPMG, an Australian partnership and a member firm of the KPMG network of independent firms affiliated with KPMG International, a Swiss cooperative, and is in all respects subject to the negotiation, agreement, and signing of a specific engagement letter or contract. KPMG International provides no client services. No member firm has any authority to obligate or bind KPMG International or any other member firm vis-à-vis third parties, nor does KPMG International have any such authority to obligate or bind any member firm.</w:t>
      </w:r>
      <w:r w:rsidR="008E3005">
        <w:rPr>
          <w:rFonts w:ascii="Univers 45 Light" w:hAnsi="Univers 45 Light"/>
          <w:sz w:val="16"/>
          <w:szCs w:val="16"/>
        </w:rPr>
        <w:t xml:space="preserve"> </w:t>
      </w:r>
    </w:p>
    <w:p w14:paraId="1BF03E63" w14:textId="77777777" w:rsidR="00E01C90" w:rsidRPr="00E01C90" w:rsidRDefault="00E01C90" w:rsidP="00787F66">
      <w:pPr>
        <w:pBdr>
          <w:top w:val="single" w:sz="4" w:space="0" w:color="auto"/>
          <w:left w:val="single" w:sz="4" w:space="4" w:color="auto"/>
          <w:bottom w:val="single" w:sz="4" w:space="1" w:color="auto"/>
          <w:right w:val="single" w:sz="4" w:space="4" w:color="auto"/>
        </w:pBdr>
        <w:spacing w:before="120" w:line="180" w:lineRule="atLeast"/>
        <w:rPr>
          <w:rFonts w:ascii="Univers 45 Light" w:hAnsi="Univers 45 Light"/>
          <w:sz w:val="16"/>
          <w:szCs w:val="16"/>
        </w:rPr>
      </w:pPr>
      <w:r w:rsidRPr="00E01C90">
        <w:rPr>
          <w:rFonts w:ascii="Univers 45 Light" w:hAnsi="Univers 45 Light"/>
          <w:sz w:val="16"/>
          <w:szCs w:val="16"/>
        </w:rPr>
        <w:lastRenderedPageBreak/>
        <w:t xml:space="preserve">© 2014 KPMG, an Australian partnership and a member firm of the KPMG network of independent member firms affiliated with KPMG International, a Swiss cooperative. All rights reserved. </w:t>
      </w:r>
      <w:proofErr w:type="gramStart"/>
      <w:r w:rsidRPr="00E01C90">
        <w:rPr>
          <w:rFonts w:ascii="Univers 45 Light" w:hAnsi="Univers 45 Light"/>
          <w:sz w:val="16"/>
          <w:szCs w:val="16"/>
        </w:rPr>
        <w:t>Printed in Australia.</w:t>
      </w:r>
      <w:proofErr w:type="gramEnd"/>
    </w:p>
    <w:p w14:paraId="6A961415" w14:textId="77777777" w:rsidR="00E01C90" w:rsidRPr="00E01C90" w:rsidRDefault="00E01C90" w:rsidP="00E01C90">
      <w:pPr>
        <w:pBdr>
          <w:top w:val="single" w:sz="4" w:space="0" w:color="auto"/>
          <w:left w:val="single" w:sz="4" w:space="4" w:color="auto"/>
          <w:bottom w:val="single" w:sz="4" w:space="1" w:color="auto"/>
          <w:right w:val="single" w:sz="4" w:space="4" w:color="auto"/>
        </w:pBdr>
        <w:spacing w:before="80" w:line="180" w:lineRule="atLeast"/>
        <w:rPr>
          <w:rFonts w:ascii="Univers 45 Light" w:hAnsi="Univers 45 Light"/>
          <w:sz w:val="16"/>
          <w:szCs w:val="16"/>
        </w:rPr>
      </w:pPr>
      <w:r w:rsidRPr="00E01C90">
        <w:rPr>
          <w:rFonts w:ascii="Univers 45 Light" w:hAnsi="Univers 45 Light"/>
          <w:sz w:val="16"/>
          <w:szCs w:val="16"/>
        </w:rPr>
        <w:t>KPMG and the KPMG logo are registered trademarks of KPMG International.</w:t>
      </w:r>
    </w:p>
    <w:p w14:paraId="1A8D6BB5" w14:textId="77777777" w:rsidR="00E01C90" w:rsidRPr="00E01C90" w:rsidRDefault="00E01C90" w:rsidP="00E01C90">
      <w:pPr>
        <w:pBdr>
          <w:top w:val="single" w:sz="4" w:space="0" w:color="auto"/>
          <w:left w:val="single" w:sz="4" w:space="4" w:color="auto"/>
          <w:bottom w:val="single" w:sz="4" w:space="1" w:color="auto"/>
          <w:right w:val="single" w:sz="4" w:space="4" w:color="auto"/>
        </w:pBdr>
        <w:spacing w:before="80" w:line="180" w:lineRule="atLeast"/>
        <w:rPr>
          <w:rFonts w:ascii="Univers 45 Light" w:hAnsi="Univers 45 Light"/>
          <w:sz w:val="16"/>
          <w:szCs w:val="16"/>
        </w:rPr>
      </w:pPr>
      <w:r w:rsidRPr="00E01C90">
        <w:rPr>
          <w:rFonts w:ascii="Univers 45 Light" w:hAnsi="Univers 45 Light"/>
          <w:sz w:val="16"/>
          <w:szCs w:val="16"/>
        </w:rPr>
        <w:t xml:space="preserve">Liability limited by a scheme approved under </w:t>
      </w:r>
    </w:p>
    <w:p w14:paraId="3E69BED1" w14:textId="77777777" w:rsidR="00E01C90" w:rsidRPr="00E01C90" w:rsidRDefault="00E01C90" w:rsidP="00E01C90">
      <w:pPr>
        <w:pBdr>
          <w:top w:val="single" w:sz="4" w:space="0" w:color="auto"/>
          <w:left w:val="single" w:sz="4" w:space="4" w:color="auto"/>
          <w:bottom w:val="single" w:sz="4" w:space="1" w:color="auto"/>
          <w:right w:val="single" w:sz="4" w:space="4" w:color="auto"/>
        </w:pBdr>
        <w:spacing w:before="80" w:line="180" w:lineRule="atLeast"/>
        <w:rPr>
          <w:rFonts w:ascii="Univers 45 Light" w:hAnsi="Univers 45 Light"/>
          <w:sz w:val="16"/>
          <w:szCs w:val="16"/>
        </w:rPr>
      </w:pPr>
      <w:proofErr w:type="gramStart"/>
      <w:r w:rsidRPr="00E01C90">
        <w:rPr>
          <w:rFonts w:ascii="Univers 45 Light" w:hAnsi="Univers 45 Light"/>
          <w:sz w:val="16"/>
          <w:szCs w:val="16"/>
        </w:rPr>
        <w:t>Professional Standards Legislation.</w:t>
      </w:r>
      <w:proofErr w:type="gramEnd"/>
    </w:p>
    <w:p w14:paraId="79CA3D60" w14:textId="77777777" w:rsidR="00A02A41" w:rsidRDefault="00A02A41" w:rsidP="00E01C90">
      <w:pPr>
        <w:spacing w:before="80" w:line="180" w:lineRule="atLeast"/>
        <w:rPr>
          <w:rFonts w:ascii="Univers 45 Light" w:hAnsi="Univers 45 Light"/>
          <w:sz w:val="16"/>
          <w:szCs w:val="16"/>
        </w:rPr>
        <w:sectPr w:rsidR="00A02A41" w:rsidSect="00A02A41">
          <w:type w:val="continuous"/>
          <w:pgSz w:w="11907" w:h="16840" w:code="9"/>
          <w:pgMar w:top="1276" w:right="1474" w:bottom="1588" w:left="1474" w:header="958" w:footer="737" w:gutter="454"/>
          <w:pgNumType w:start="1"/>
          <w:cols w:num="2" w:space="720"/>
          <w:docGrid w:linePitch="272"/>
        </w:sectPr>
      </w:pPr>
    </w:p>
    <w:p w14:paraId="5EA189D4" w14:textId="77777777" w:rsidR="00E01C90" w:rsidRDefault="00E01C90" w:rsidP="00E01C90">
      <w:pPr>
        <w:spacing w:before="80" w:line="180" w:lineRule="atLeast"/>
        <w:rPr>
          <w:rFonts w:ascii="Univers 45 Light" w:hAnsi="Univers 45 Light"/>
          <w:sz w:val="16"/>
          <w:szCs w:val="16"/>
        </w:rPr>
      </w:pPr>
    </w:p>
    <w:sectPr w:rsidR="00E01C90" w:rsidSect="00A02A41">
      <w:type w:val="continuous"/>
      <w:pgSz w:w="11907" w:h="16840" w:code="9"/>
      <w:pgMar w:top="1276" w:right="1474" w:bottom="1588" w:left="1474" w:header="958" w:footer="737" w:gutter="454"/>
      <w:pgNumType w:start="1"/>
      <w:cols w:num="2"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93017" w15:done="0"/>
  <w15:commentEx w15:paraId="3626AD49" w15:done="0"/>
  <w15:commentEx w15:paraId="04D295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FCC96" w14:textId="77777777" w:rsidR="0018371E" w:rsidRDefault="0018371E">
      <w:r>
        <w:separator/>
      </w:r>
    </w:p>
    <w:p w14:paraId="5F8872A7" w14:textId="77777777" w:rsidR="0018371E" w:rsidRDefault="0018371E"/>
  </w:endnote>
  <w:endnote w:type="continuationSeparator" w:id="0">
    <w:p w14:paraId="65D55338" w14:textId="77777777" w:rsidR="0018371E" w:rsidRDefault="0018371E">
      <w:r>
        <w:continuationSeparator/>
      </w:r>
    </w:p>
    <w:p w14:paraId="43E68B8C" w14:textId="77777777" w:rsidR="0018371E" w:rsidRDefault="00183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55">
    <w:altName w:val="Times New Roman"/>
    <w:charset w:val="00"/>
    <w:family w:val="auto"/>
    <w:pitch w:val="variable"/>
    <w:sig w:usb0="80000023" w:usb1="00000000" w:usb2="00000000" w:usb3="00000000" w:csb0="00000001" w:csb1="00000000"/>
  </w:font>
  <w:font w:name="Univers 45 Light">
    <w:charset w:val="00"/>
    <w:family w:val="auto"/>
    <w:pitch w:val="variable"/>
    <w:sig w:usb0="80000023" w:usb1="00000000" w:usb2="00000000" w:usb3="00000000" w:csb0="00000001" w:csb1="00000000"/>
  </w:font>
  <w:font w:name="Univers 55 Obliqu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PMG Log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5F81" w14:textId="77777777" w:rsidR="0018371E" w:rsidRDefault="0018371E" w:rsidP="004F3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0B91F" w14:textId="77777777" w:rsidR="0018371E" w:rsidRDefault="0018371E" w:rsidP="004F3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EA60" w14:textId="77777777" w:rsidR="0018371E" w:rsidRDefault="0018371E">
    <w:pPr>
      <w:pStyle w:val="BodyText"/>
    </w:pPr>
  </w:p>
  <w:tbl>
    <w:tblPr>
      <w:tblW w:w="0" w:type="auto"/>
      <w:tblLayout w:type="fixed"/>
      <w:tblLook w:val="0000" w:firstRow="0" w:lastRow="0" w:firstColumn="0" w:lastColumn="0" w:noHBand="0" w:noVBand="0"/>
    </w:tblPr>
    <w:tblGrid>
      <w:gridCol w:w="3572"/>
    </w:tblGrid>
    <w:tr w:rsidR="0018371E" w14:paraId="46D8182E" w14:textId="77777777">
      <w:trPr>
        <w:trHeight w:hRule="exact" w:val="539"/>
      </w:trPr>
      <w:tc>
        <w:tcPr>
          <w:tcW w:w="3572" w:type="dxa"/>
          <w:vAlign w:val="bottom"/>
        </w:tcPr>
        <w:p w14:paraId="07A45832" w14:textId="77777777" w:rsidR="0018371E" w:rsidRDefault="00E177AF">
          <w:pPr>
            <w:pStyle w:val="zKISDescFooter"/>
            <w:framePr w:wrap="around"/>
          </w:pPr>
          <w:fldSimple w:instr=" DocProperty KISFirmDesc \* charformat ">
            <w:r w:rsidR="0018371E">
              <w:t>KPMG, an Australian partnership and a member firm of the KPMG network of independent member firms affiliated with KPMG International, a Swiss cooperative.</w:t>
            </w:r>
          </w:fldSimple>
        </w:p>
      </w:tc>
    </w:tr>
  </w:tbl>
  <w:tbl>
    <w:tblPr>
      <w:tblW w:w="0" w:type="auto"/>
      <w:tblLayout w:type="fixed"/>
      <w:tblLook w:val="0000" w:firstRow="0" w:lastRow="0" w:firstColumn="0" w:lastColumn="0" w:noHBand="0" w:noVBand="0"/>
    </w:tblPr>
    <w:tblGrid>
      <w:gridCol w:w="2518"/>
    </w:tblGrid>
    <w:tr w:rsidR="0018371E" w14:paraId="7390F21D" w14:textId="77777777">
      <w:trPr>
        <w:cantSplit/>
        <w:trHeight w:hRule="exact" w:val="652"/>
      </w:trPr>
      <w:tc>
        <w:tcPr>
          <w:tcW w:w="2518" w:type="dxa"/>
          <w:vAlign w:val="bottom"/>
        </w:tcPr>
        <w:p w14:paraId="6B248861" w14:textId="77777777" w:rsidR="0018371E" w:rsidRDefault="0018371E">
          <w:pPr>
            <w:pStyle w:val="zKISDescFooter"/>
            <w:framePr w:wrap="around" w:x="7854" w:y="15792"/>
          </w:pPr>
          <w:r w:rsidRPr="00D20E98">
            <w:fldChar w:fldCharType="begin"/>
          </w:r>
          <w:r w:rsidRPr="00D20E98">
            <w:instrText xml:space="preserve"> IF </w:instrText>
          </w:r>
          <w:r>
            <w:fldChar w:fldCharType="begin"/>
          </w:r>
          <w:r>
            <w:instrText xml:space="preserve"> DOCPROPERTY  KISSvcInfoC</w:instrText>
          </w:r>
          <w:r>
            <w:fldChar w:fldCharType="separate"/>
          </w:r>
          <w:r>
            <w:instrText>Liability limited by a scheme approved under Professional Standards Legislation.</w:instrText>
          </w:r>
          <w:r>
            <w:fldChar w:fldCharType="end"/>
          </w:r>
          <w:r w:rsidRPr="00D20E98">
            <w:instrText xml:space="preserve">&lt;&gt;"" </w:instrText>
          </w:r>
          <w:r>
            <w:fldChar w:fldCharType="begin"/>
          </w:r>
          <w:r>
            <w:instrText xml:space="preserve"> DOCPROPERTY  KISSvcInfoC</w:instrText>
          </w:r>
          <w:r>
            <w:fldChar w:fldCharType="separate"/>
          </w:r>
          <w:r>
            <w:instrText>Liability limited by a scheme approved under Professional Standards Legislation.</w:instrText>
          </w:r>
          <w:r>
            <w:fldChar w:fldCharType="end"/>
          </w:r>
          <w:r w:rsidRPr="00D20E98">
            <w:fldChar w:fldCharType="separate"/>
          </w:r>
          <w:r>
            <w:rPr>
              <w:noProof/>
            </w:rPr>
            <w:t>Liability limited by a scheme approved under Professional Standards Legislation.</w:t>
          </w:r>
          <w:r w:rsidRPr="00D20E98">
            <w:fldChar w:fldCharType="end"/>
          </w:r>
        </w:p>
      </w:tc>
    </w:tr>
  </w:tbl>
  <w:p w14:paraId="1AA52C90" w14:textId="77777777" w:rsidR="0018371E" w:rsidRPr="00FE7218" w:rsidRDefault="0018371E" w:rsidP="00FE7218">
    <w:pPr>
      <w:pStyle w:val="zKISDescFooter2"/>
      <w:framePr w:wrap="around"/>
    </w:pPr>
    <w:r w:rsidRPr="00FE7218">
      <w:fldChar w:fldCharType="begin"/>
    </w:r>
    <w:r w:rsidRPr="00FE7218">
      <w:instrText xml:space="preserve"> SET stdNSW "Liability limited by the Accountants Scheme, approved under the Professional Standards Act 1994 (NSW)." </w:instrText>
    </w:r>
    <w:r w:rsidRPr="00FE7218">
      <w:fldChar w:fldCharType="separate"/>
    </w:r>
    <w:bookmarkStart w:id="1" w:name="stdNSW"/>
    <w:r w:rsidRPr="00FE7218">
      <w:rPr>
        <w:noProof/>
      </w:rPr>
      <w:t>Liability limited by the Accountants Scheme, approved under the Professional Standards Act 1994 (NSW).</w:t>
    </w:r>
    <w:bookmarkEnd w:id="1"/>
    <w:r w:rsidRPr="00FE7218">
      <w:fldChar w:fldCharType="end"/>
    </w:r>
    <w:r w:rsidRPr="00FE7218">
      <w:fldChar w:fldCharType="begin"/>
    </w:r>
    <w:r w:rsidRPr="00FE7218">
      <w:instrText xml:space="preserve"> SET stdNSW "Liability limited by the Accountants Scheme, approved under the Professional Standards Act 1994 (NSW)." </w:instrText>
    </w:r>
    <w:r w:rsidRPr="00FE7218">
      <w:fldChar w:fldCharType="separate"/>
    </w:r>
    <w:r w:rsidRPr="00FE7218">
      <w:rPr>
        <w:noProof/>
      </w:rPr>
      <w:t>Liability limited by the Accountants Scheme, approved under the Professional Standards Act 1994 (NSW).</w:t>
    </w:r>
    <w:r w:rsidRPr="00FE7218">
      <w:fldChar w:fldCharType="end"/>
    </w:r>
  </w:p>
  <w:p w14:paraId="4DAB44B0" w14:textId="77777777" w:rsidR="0018371E" w:rsidRDefault="0018371E">
    <w:pPr>
      <w:pStyle w:val="Footer"/>
    </w:pPr>
  </w:p>
  <w:p w14:paraId="3E76EC81" w14:textId="77777777" w:rsidR="0018371E" w:rsidRPr="00FE7218" w:rsidRDefault="0018371E" w:rsidP="00FE7218">
    <w:pPr>
      <w:pStyle w:val="Footer"/>
    </w:pPr>
    <w:r>
      <w:rPr>
        <w:noProof/>
        <w:lang w:eastAsia="en-AU"/>
      </w:rPr>
      <w:drawing>
        <wp:inline distT="0" distB="0" distL="0" distR="0" wp14:anchorId="3C9CFB97" wp14:editId="6D6C92FD">
          <wp:extent cx="1332230" cy="454025"/>
          <wp:effectExtent l="0" t="0" r="1270" b="3175"/>
          <wp:docPr id="8" name="Picture 8" descr="KPMG_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PMG_footer graph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230" cy="4540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2E0D" w14:textId="77777777" w:rsidR="0018371E" w:rsidRDefault="0018371E" w:rsidP="00FE7218">
    <w:pPr>
      <w:pStyle w:val="Footer"/>
      <w:framePr w:hSpace="181" w:wrap="notBeside" w:vAnchor="text" w:hAnchor="page" w:x="1134" w:y="1" w:anchorLock="1"/>
      <w:rPr>
        <w:rFonts w:ascii="Univers 45 Light" w:hAnsi="Univers 45 Light"/>
        <w:sz w:val="20"/>
      </w:rPr>
    </w:pPr>
    <w:r>
      <w:rPr>
        <w:rFonts w:ascii="Univers 45 Light" w:hAnsi="Univers 45 Light"/>
        <w:sz w:val="20"/>
      </w:rPr>
      <w:fldChar w:fldCharType="begin"/>
    </w:r>
    <w:r>
      <w:rPr>
        <w:rFonts w:ascii="Univers 45 Light" w:hAnsi="Univers 45 Light"/>
        <w:sz w:val="20"/>
      </w:rPr>
      <w:instrText xml:space="preserve"> PAGE  \* MERGEFORMAT </w:instrText>
    </w:r>
    <w:r>
      <w:rPr>
        <w:rFonts w:ascii="Univers 45 Light" w:hAnsi="Univers 45 Light"/>
        <w:sz w:val="20"/>
      </w:rPr>
      <w:fldChar w:fldCharType="separate"/>
    </w:r>
    <w:r>
      <w:rPr>
        <w:rFonts w:ascii="Univers 45 Light" w:hAnsi="Univers 45 Light"/>
        <w:noProof/>
        <w:sz w:val="20"/>
      </w:rPr>
      <w:t>14</w:t>
    </w:r>
    <w:r>
      <w:rPr>
        <w:rFonts w:ascii="Univers 45 Light" w:hAnsi="Univers 45 Light"/>
        <w:sz w:val="20"/>
      </w:rPr>
      <w:fldChar w:fldCharType="end"/>
    </w:r>
  </w:p>
  <w:p w14:paraId="73879C09" w14:textId="77777777" w:rsidR="0018371E" w:rsidRPr="00FE7218" w:rsidRDefault="0018371E" w:rsidP="00FE72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302E9" w14:textId="77777777" w:rsidR="0018371E" w:rsidRDefault="0018371E" w:rsidP="00663FC4">
    <w:pPr>
      <w:pStyle w:val="Footer"/>
      <w:framePr w:hSpace="181" w:wrap="notBeside" w:vAnchor="text" w:hAnchor="page" w:x="10260" w:y="368" w:anchorLock="1"/>
    </w:pPr>
    <w:r>
      <w:rPr>
        <w:rFonts w:ascii="Univers 45 Light" w:hAnsi="Univers 45 Light"/>
        <w:sz w:val="20"/>
      </w:rPr>
      <w:fldChar w:fldCharType="begin"/>
    </w:r>
    <w:r>
      <w:rPr>
        <w:rFonts w:ascii="Univers 45 Light" w:hAnsi="Univers 45 Light"/>
        <w:sz w:val="20"/>
      </w:rPr>
      <w:instrText xml:space="preserve"> PAGE  \* MERGEFORMAT </w:instrText>
    </w:r>
    <w:r>
      <w:rPr>
        <w:rFonts w:ascii="Univers 45 Light" w:hAnsi="Univers 45 Light"/>
        <w:sz w:val="20"/>
      </w:rPr>
      <w:fldChar w:fldCharType="separate"/>
    </w:r>
    <w:r w:rsidR="007B6D13">
      <w:rPr>
        <w:rFonts w:ascii="Univers 45 Light" w:hAnsi="Univers 45 Light"/>
        <w:noProof/>
        <w:sz w:val="20"/>
      </w:rPr>
      <w:t>25</w:t>
    </w:r>
    <w:r>
      <w:rPr>
        <w:rFonts w:ascii="Univers 45 Light" w:hAnsi="Univers 45 Light"/>
        <w:sz w:val="20"/>
      </w:rPr>
      <w:fldChar w:fldCharType="end"/>
    </w:r>
    <w:r>
      <w:t xml:space="preserve"> </w:t>
    </w:r>
  </w:p>
  <w:p w14:paraId="33E38D18" w14:textId="77777777" w:rsidR="0018371E" w:rsidRPr="00A53D3F" w:rsidRDefault="0018371E" w:rsidP="00FC30A1">
    <w:pPr>
      <w:spacing w:line="240" w:lineRule="auto"/>
      <w:ind w:right="567"/>
      <w:jc w:val="center"/>
      <w:rPr>
        <w:rFonts w:ascii="Univers 45 Light" w:hAnsi="Univers 45 Light"/>
        <w:sz w:val="15"/>
        <w:szCs w:val="15"/>
      </w:rPr>
    </w:pPr>
    <w:r w:rsidRPr="00A53D3F">
      <w:rPr>
        <w:rFonts w:ascii="Univers 45 Light" w:hAnsi="Univers 45 Light"/>
        <w:sz w:val="15"/>
        <w:szCs w:val="15"/>
      </w:rPr>
      <w:t>© 201</w:t>
    </w:r>
    <w:r>
      <w:rPr>
        <w:rFonts w:ascii="Univers 45 Light" w:hAnsi="Univers 45 Light"/>
        <w:sz w:val="15"/>
        <w:szCs w:val="15"/>
      </w:rPr>
      <w:t>4</w:t>
    </w:r>
    <w:r w:rsidRPr="00A53D3F">
      <w:rPr>
        <w:rFonts w:ascii="Univers 45 Light" w:hAnsi="Univers 45 Light"/>
        <w:sz w:val="15"/>
        <w:szCs w:val="15"/>
      </w:rPr>
      <w:t xml:space="preserve"> KPMG, an Australian partnership and a member firm of the KPMG network of independent member firms affiliated with KPMG International Cooperative (“KPMG International”), a Swiss entity. </w:t>
    </w:r>
    <w:r w:rsidRPr="00A53D3F">
      <w:rPr>
        <w:rFonts w:ascii="Univers 45 Light" w:hAnsi="Univers 45 Light"/>
        <w:sz w:val="15"/>
        <w:szCs w:val="15"/>
      </w:rPr>
      <w:br/>
      <w:t>All rights reserved.</w:t>
    </w:r>
  </w:p>
  <w:p w14:paraId="3BA8B380" w14:textId="77777777" w:rsidR="0018371E" w:rsidRPr="00A53D3F" w:rsidRDefault="0018371E" w:rsidP="00FC30A1">
    <w:pPr>
      <w:spacing w:line="240" w:lineRule="auto"/>
      <w:ind w:right="567"/>
      <w:jc w:val="center"/>
      <w:rPr>
        <w:rFonts w:ascii="Univers 45 Light" w:hAnsi="Univers 45 Light"/>
        <w:sz w:val="15"/>
        <w:szCs w:val="15"/>
      </w:rPr>
    </w:pPr>
    <w:r w:rsidRPr="00A53D3F">
      <w:rPr>
        <w:rFonts w:ascii="Univers 45 Light" w:hAnsi="Univers 45 Light"/>
        <w:sz w:val="15"/>
        <w:szCs w:val="15"/>
      </w:rPr>
      <w:t>KPMG and the KPMG logo are registered trademarks of KPMG International.</w:t>
    </w:r>
  </w:p>
  <w:p w14:paraId="51FB10E9" w14:textId="77777777" w:rsidR="0018371E" w:rsidRPr="00A53D3F" w:rsidRDefault="0018371E" w:rsidP="00FC30A1">
    <w:pPr>
      <w:spacing w:line="240" w:lineRule="auto"/>
      <w:ind w:right="567"/>
      <w:jc w:val="center"/>
      <w:rPr>
        <w:rFonts w:ascii="Univers 45 Light" w:hAnsi="Univers 45 Light"/>
        <w:sz w:val="15"/>
        <w:szCs w:val="15"/>
      </w:rPr>
    </w:pPr>
    <w:r w:rsidRPr="00A53D3F">
      <w:rPr>
        <w:rFonts w:ascii="Univers 45 Light" w:hAnsi="Univers 45 Light"/>
        <w:sz w:val="15"/>
        <w:szCs w:val="15"/>
      </w:rPr>
      <w:t>Liability limited by a scheme approved under Professional Standards Legislation</w:t>
    </w:r>
  </w:p>
  <w:p w14:paraId="27C4AB90" w14:textId="77777777" w:rsidR="0018371E" w:rsidRPr="00FE7218" w:rsidRDefault="0018371E" w:rsidP="00580DB1">
    <w:pPr>
      <w:pStyle w:val="Footer"/>
      <w:tabs>
        <w:tab w:val="clear" w:pos="8505"/>
        <w:tab w:val="left" w:pos="1515"/>
      </w:tabs>
      <w:ind w:hanging="99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1490" w14:textId="77777777" w:rsidR="0018371E" w:rsidRDefault="0018371E" w:rsidP="00FE7218">
    <w:pPr>
      <w:pStyle w:val="Footer"/>
      <w:framePr w:hSpace="181" w:wrap="notBeside" w:vAnchor="text" w:hAnchor="margin" w:xAlign="right" w:y="1" w:anchorLock="1"/>
      <w:rPr>
        <w:rFonts w:ascii="Univers 45 Light" w:hAnsi="Univers 45 Light"/>
        <w:sz w:val="20"/>
      </w:rPr>
    </w:pPr>
    <w:r>
      <w:rPr>
        <w:rFonts w:ascii="Univers 45 Light" w:hAnsi="Univers 45 Light"/>
        <w:sz w:val="20"/>
      </w:rPr>
      <w:fldChar w:fldCharType="begin"/>
    </w:r>
    <w:r>
      <w:rPr>
        <w:rFonts w:ascii="Univers 45 Light" w:hAnsi="Univers 45 Light"/>
        <w:sz w:val="20"/>
      </w:rPr>
      <w:instrText xml:space="preserve"> PAGE  \* MERGEFORMAT </w:instrText>
    </w:r>
    <w:r>
      <w:rPr>
        <w:rFonts w:ascii="Univers 45 Light" w:hAnsi="Univers 45 Light"/>
        <w:sz w:val="20"/>
      </w:rPr>
      <w:fldChar w:fldCharType="separate"/>
    </w:r>
    <w:r>
      <w:rPr>
        <w:rFonts w:ascii="Univers 45 Light" w:hAnsi="Univers 45 Light"/>
        <w:noProof/>
        <w:sz w:val="20"/>
      </w:rPr>
      <w:t>4</w:t>
    </w:r>
    <w:r>
      <w:rPr>
        <w:rFonts w:ascii="Univers 45 Light" w:hAnsi="Univers 45 Light"/>
        <w:sz w:val="20"/>
      </w:rPr>
      <w:fldChar w:fldCharType="end"/>
    </w:r>
  </w:p>
  <w:p w14:paraId="5B098079" w14:textId="77777777" w:rsidR="0018371E" w:rsidRPr="00FE7218" w:rsidRDefault="0018371E" w:rsidP="00FE72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ABE5" w14:textId="77777777" w:rsidR="0018371E" w:rsidRPr="00FE7218" w:rsidRDefault="0018371E" w:rsidP="00FE7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A03B" w14:textId="77777777" w:rsidR="0018371E" w:rsidRDefault="0018371E"/>
    <w:p w14:paraId="13E4A717" w14:textId="77777777" w:rsidR="0018371E" w:rsidRDefault="0018371E">
      <w:r>
        <w:separator/>
      </w:r>
    </w:p>
    <w:p w14:paraId="45EAE4E9" w14:textId="77777777" w:rsidR="0018371E" w:rsidRDefault="0018371E"/>
  </w:footnote>
  <w:footnote w:type="continuationSeparator" w:id="0">
    <w:p w14:paraId="01019FD0" w14:textId="77777777" w:rsidR="0018371E" w:rsidRDefault="0018371E">
      <w:r>
        <w:continuationSeparator/>
      </w:r>
    </w:p>
    <w:p w14:paraId="365CAE1A" w14:textId="77777777" w:rsidR="0018371E" w:rsidRDefault="0018371E"/>
  </w:footnote>
  <w:footnote w:id="1">
    <w:p w14:paraId="794FEA85" w14:textId="77777777" w:rsidR="0018371E" w:rsidRDefault="0018371E" w:rsidP="009623C1">
      <w:pPr>
        <w:pStyle w:val="FootnoteText"/>
      </w:pPr>
      <w:r>
        <w:rPr>
          <w:rStyle w:val="FootnoteReference"/>
        </w:rPr>
        <w:footnoteRef/>
      </w:r>
      <w:r>
        <w:t xml:space="preserve"> </w:t>
      </w:r>
      <w:r w:rsidRPr="00EE1BE1">
        <w:t>Australian Institute of H</w:t>
      </w:r>
      <w:r>
        <w:t xml:space="preserve">ealth and Welfare (AIHW) 2012, Dementia in Australia, catalogue no. </w:t>
      </w:r>
      <w:proofErr w:type="gramStart"/>
      <w:r>
        <w:t>AGE 70,</w:t>
      </w:r>
      <w:r w:rsidRPr="00EE1BE1">
        <w:t xml:space="preserve"> AIHW</w:t>
      </w:r>
      <w:r>
        <w:t>,</w:t>
      </w:r>
      <w:r w:rsidRPr="00EE1BE1">
        <w:t xml:space="preserve"> Canberra</w:t>
      </w:r>
      <w:r>
        <w:t>.</w:t>
      </w:r>
      <w:proofErr w:type="gramEnd"/>
    </w:p>
  </w:footnote>
  <w:footnote w:id="2">
    <w:p w14:paraId="09E4DED7" w14:textId="77777777" w:rsidR="0018371E" w:rsidRDefault="0018371E" w:rsidP="009623C1">
      <w:pPr>
        <w:pStyle w:val="FootnoteText"/>
      </w:pPr>
      <w:r>
        <w:rPr>
          <w:rStyle w:val="FootnoteReference"/>
        </w:rPr>
        <w:footnoteRef/>
      </w:r>
      <w:r>
        <w:t xml:space="preserve"> AIHW, Dementia, viewed September 2014 </w:t>
      </w:r>
      <w:hyperlink r:id="rId1" w:history="1">
        <w:r>
          <w:rPr>
            <w:rStyle w:val="Hyperlink"/>
          </w:rPr>
          <w:t>Australian Institute of Health and Welfare (http://www.aihw.gov.au/dementia/)</w:t>
        </w:r>
      </w:hyperlink>
      <w:r>
        <w:t xml:space="preserve"> </w:t>
      </w:r>
    </w:p>
  </w:footnote>
  <w:footnote w:id="3">
    <w:p w14:paraId="2C458E96" w14:textId="77777777" w:rsidR="0018371E" w:rsidRDefault="0018371E" w:rsidP="009623C1">
      <w:pPr>
        <w:pStyle w:val="FootnoteText"/>
      </w:pPr>
      <w:r>
        <w:rPr>
          <w:rStyle w:val="FootnoteReference"/>
        </w:rPr>
        <w:footnoteRef/>
      </w:r>
      <w:r>
        <w:t xml:space="preserve"> KPMG 2011, Dementia services pathways – an essential guide to effective service planning,  </w:t>
      </w:r>
      <w:hyperlink r:id="rId2" w:history="1">
        <w:r>
          <w:rPr>
            <w:rStyle w:val="Hyperlink"/>
          </w:rPr>
          <w:t>KPMG (http://www.health.gov.au/internet/publications/publishing.nsf/Content/ageing-dementia-services-pathways-2011-toc.htm/$FILE/Dementia-services-pathways(ext2).pdf)</w:t>
        </w:r>
      </w:hyperlink>
      <w:r>
        <w:t xml:space="preserve"> </w:t>
      </w:r>
    </w:p>
  </w:footnote>
  <w:footnote w:id="4">
    <w:p w14:paraId="037BD7FA" w14:textId="77777777" w:rsidR="0018371E" w:rsidRDefault="0018371E" w:rsidP="009623C1">
      <w:pPr>
        <w:pStyle w:val="FootnoteText"/>
      </w:pPr>
      <w:r>
        <w:rPr>
          <w:rStyle w:val="FootnoteReference"/>
        </w:rPr>
        <w:footnoteRef/>
      </w:r>
      <w:r>
        <w:t xml:space="preserve"> AIHW 2004, The Impact of dementia on the health and aged care systems, catalogue</w:t>
      </w:r>
      <w:r w:rsidRPr="00AD220C">
        <w:t xml:space="preserve"> no. </w:t>
      </w:r>
      <w:proofErr w:type="gramStart"/>
      <w:r w:rsidRPr="00AD220C">
        <w:t>AGE 37</w:t>
      </w:r>
      <w:r>
        <w:t>, AIHW, Canberra.</w:t>
      </w:r>
      <w:proofErr w:type="gramEnd"/>
      <w:r w:rsidRPr="00AD220C">
        <w:t xml:space="preserve"> </w:t>
      </w:r>
    </w:p>
  </w:footnote>
  <w:footnote w:id="5">
    <w:p w14:paraId="4119503C" w14:textId="77777777" w:rsidR="0018371E" w:rsidRDefault="0018371E" w:rsidP="009623C1">
      <w:pPr>
        <w:pStyle w:val="FootnoteText"/>
      </w:pPr>
      <w:r>
        <w:rPr>
          <w:rStyle w:val="FootnoteReference"/>
        </w:rPr>
        <w:footnoteRef/>
      </w:r>
      <w:r>
        <w:t xml:space="preserve"> AIHW</w:t>
      </w:r>
      <w:r w:rsidRPr="00AD220C">
        <w:t xml:space="preserve"> 2012, Dementia in Australia, catalogue no. </w:t>
      </w:r>
      <w:proofErr w:type="gramStart"/>
      <w:r w:rsidRPr="00AD220C">
        <w:t>AGE 70, AIHW, Canberra.</w:t>
      </w:r>
      <w:proofErr w:type="gramEnd"/>
    </w:p>
  </w:footnote>
  <w:footnote w:id="6">
    <w:p w14:paraId="0327F367" w14:textId="77777777" w:rsidR="0018371E" w:rsidRDefault="0018371E" w:rsidP="009623C1">
      <w:pPr>
        <w:pStyle w:val="FootnoteText"/>
      </w:pPr>
      <w:r>
        <w:rPr>
          <w:rStyle w:val="FootnoteReference"/>
        </w:rPr>
        <w:footnoteRef/>
      </w:r>
      <w:r>
        <w:t xml:space="preserve"> </w:t>
      </w:r>
      <w:r w:rsidRPr="002C69FC">
        <w:t xml:space="preserve">AIHW 2012, Dementia in Australia, catalogue no. </w:t>
      </w:r>
      <w:proofErr w:type="gramStart"/>
      <w:r w:rsidRPr="002C69FC">
        <w:t>AGE 70, AIHW, Canberra</w:t>
      </w:r>
      <w:r>
        <w:t>.</w:t>
      </w:r>
      <w:proofErr w:type="gramEnd"/>
      <w:r>
        <w:t xml:space="preserve"> </w:t>
      </w:r>
    </w:p>
  </w:footnote>
  <w:footnote w:id="7">
    <w:p w14:paraId="2EB17595" w14:textId="77777777" w:rsidR="0018371E" w:rsidRDefault="0018371E" w:rsidP="009623C1">
      <w:pPr>
        <w:pStyle w:val="FootnoteText"/>
      </w:pPr>
      <w:r>
        <w:rPr>
          <w:rStyle w:val="FootnoteReference"/>
        </w:rPr>
        <w:footnoteRef/>
      </w:r>
      <w:r>
        <w:t xml:space="preserve"> </w:t>
      </w:r>
      <w:r w:rsidRPr="00AD220C">
        <w:t xml:space="preserve">AIHW, Dementia, viewed </w:t>
      </w:r>
      <w:r>
        <w:t>September</w:t>
      </w:r>
      <w:r w:rsidRPr="00AD220C">
        <w:t xml:space="preserve"> 2014 </w:t>
      </w:r>
      <w:hyperlink r:id="rId3" w:history="1">
        <w:r>
          <w:rPr>
            <w:rStyle w:val="Hyperlink"/>
          </w:rPr>
          <w:t>Australian Institute of Health and Welfare (http://www.aihw.gov.au/dementia/)</w:t>
        </w:r>
      </w:hyperlink>
      <w:r>
        <w:t xml:space="preserve"> </w:t>
      </w:r>
    </w:p>
  </w:footnote>
  <w:footnote w:id="8">
    <w:p w14:paraId="68F8B3B0" w14:textId="77777777" w:rsidR="0018371E" w:rsidRDefault="0018371E" w:rsidP="009623C1">
      <w:pPr>
        <w:pStyle w:val="FootnoteText"/>
      </w:pPr>
      <w:r>
        <w:rPr>
          <w:rStyle w:val="FootnoteReference"/>
        </w:rPr>
        <w:footnoteRef/>
      </w:r>
      <w:r>
        <w:t xml:space="preserve"> </w:t>
      </w:r>
      <w:r w:rsidRPr="00C46C1D">
        <w:t>AI</w:t>
      </w:r>
      <w:r>
        <w:t>HW 2012, Dementia in Australia,</w:t>
      </w:r>
      <w:r w:rsidRPr="00C46C1D">
        <w:t xml:space="preserve"> </w:t>
      </w:r>
      <w:r>
        <w:t xml:space="preserve">catalogue no. </w:t>
      </w:r>
      <w:proofErr w:type="gramStart"/>
      <w:r>
        <w:t>AGE 70,</w:t>
      </w:r>
      <w:r w:rsidRPr="00C46C1D">
        <w:t xml:space="preserve"> AIHW</w:t>
      </w:r>
      <w:r>
        <w:t>,</w:t>
      </w:r>
      <w:r w:rsidRPr="00AD220C">
        <w:t xml:space="preserve"> </w:t>
      </w:r>
      <w:r w:rsidRPr="00C46C1D">
        <w:t>Canberra</w:t>
      </w:r>
      <w:r>
        <w:t>.</w:t>
      </w:r>
      <w:proofErr w:type="gramEnd"/>
    </w:p>
  </w:footnote>
  <w:footnote w:id="9">
    <w:p w14:paraId="2812609F" w14:textId="77777777" w:rsidR="0018371E" w:rsidRDefault="0018371E" w:rsidP="009623C1">
      <w:pPr>
        <w:pStyle w:val="FootnoteText"/>
      </w:pPr>
      <w:r>
        <w:rPr>
          <w:rStyle w:val="FootnoteReference"/>
        </w:rPr>
        <w:footnoteRef/>
      </w:r>
      <w:r>
        <w:t xml:space="preserve"> </w:t>
      </w:r>
      <w:r w:rsidRPr="00305FE2">
        <w:t xml:space="preserve">Department </w:t>
      </w:r>
      <w:r>
        <w:t xml:space="preserve">of Health and Ageing 2013, </w:t>
      </w:r>
      <w:r w:rsidRPr="00AD220C">
        <w:t>submission to Senate Standing Committee on Community Affairs’ Inquiry into the care and management of younger and older Australians living with dementia and behavioural and psychiatric symptoms of dementia (BPSD)</w:t>
      </w:r>
      <w:r>
        <w:t>, p. 6.</w:t>
      </w:r>
    </w:p>
  </w:footnote>
  <w:footnote w:id="10">
    <w:p w14:paraId="64118D00" w14:textId="77777777" w:rsidR="0018371E" w:rsidRDefault="0018371E" w:rsidP="009623C1">
      <w:pPr>
        <w:pStyle w:val="FootnoteText"/>
      </w:pPr>
      <w:r>
        <w:rPr>
          <w:rStyle w:val="FootnoteReference"/>
        </w:rPr>
        <w:footnoteRef/>
      </w:r>
      <w:r>
        <w:t xml:space="preserve"> </w:t>
      </w:r>
      <w:proofErr w:type="spellStart"/>
      <w:r w:rsidRPr="00094009">
        <w:t>Brodaty</w:t>
      </w:r>
      <w:proofErr w:type="spellEnd"/>
      <w:r w:rsidRPr="00094009">
        <w:t xml:space="preserve"> H, Draper, B &amp; Low, LF 2003, Behavioural and Psychological Symptoms of Dementia: A Seven Tiered Model of Service Delivery, Medical Journal of Australia, vol. 178, </w:t>
      </w:r>
      <w:proofErr w:type="spellStart"/>
      <w:r w:rsidRPr="00094009">
        <w:t>pp</w:t>
      </w:r>
      <w:proofErr w:type="spellEnd"/>
      <w:r w:rsidRPr="00094009">
        <w:t xml:space="preserve"> 231 – 34</w:t>
      </w:r>
    </w:p>
  </w:footnote>
  <w:footnote w:id="11">
    <w:p w14:paraId="105B1FA8" w14:textId="77777777" w:rsidR="0018371E" w:rsidRDefault="0018371E" w:rsidP="009623C1">
      <w:pPr>
        <w:pStyle w:val="FootnoteText"/>
      </w:pPr>
      <w:r>
        <w:rPr>
          <w:rStyle w:val="FootnoteReference"/>
        </w:rPr>
        <w:footnoteRef/>
      </w:r>
      <w:r>
        <w:t xml:space="preserve"> </w:t>
      </w:r>
      <w:r w:rsidRPr="000A0B18">
        <w:t>Dementia Behaviour Management Advisory Services</w:t>
      </w:r>
      <w:r>
        <w:t xml:space="preserve">, </w:t>
      </w:r>
      <w:r w:rsidRPr="000A0B18">
        <w:t>viewed September 2014</w:t>
      </w:r>
      <w:r>
        <w:t>,</w:t>
      </w:r>
      <w:r w:rsidRPr="000A0B18">
        <w:t xml:space="preserve"> </w:t>
      </w:r>
      <w:hyperlink r:id="rId4" w:history="1">
        <w:r>
          <w:rPr>
            <w:rStyle w:val="Hyperlink"/>
          </w:rPr>
          <w:t>DBMAS (http://dbmas.org.au/what-we-do/who-is-eligible/)</w:t>
        </w:r>
      </w:hyperlink>
      <w:r>
        <w:t xml:space="preserve"> </w:t>
      </w:r>
    </w:p>
  </w:footnote>
  <w:footnote w:id="12">
    <w:p w14:paraId="12DA1DAA" w14:textId="77777777" w:rsidR="0018371E" w:rsidRDefault="0018371E" w:rsidP="009623C1">
      <w:pPr>
        <w:pStyle w:val="FootnoteText"/>
      </w:pPr>
      <w:r>
        <w:rPr>
          <w:rStyle w:val="FootnoteReference"/>
        </w:rPr>
        <w:footnoteRef/>
      </w:r>
      <w:r>
        <w:t xml:space="preserve"> </w:t>
      </w:r>
      <w:r w:rsidRPr="0085168E">
        <w:t>Grenade, L., Williams, P., Horner, B., &amp; Carey, M.</w:t>
      </w:r>
      <w:r>
        <w:t xml:space="preserve"> 2007</w:t>
      </w:r>
      <w:r w:rsidRPr="0085168E">
        <w:t>,</w:t>
      </w:r>
      <w:r>
        <w:t xml:space="preserve"> </w:t>
      </w:r>
      <w:r w:rsidRPr="0085168E">
        <w:t>Evaluation of the National Dementia Support Pro</w:t>
      </w:r>
      <w:r>
        <w:t xml:space="preserve">gram (NDSP) Report, </w:t>
      </w:r>
      <w:r w:rsidRPr="0085168E">
        <w:t xml:space="preserve">viewed September 2014, </w:t>
      </w:r>
      <w:r>
        <w:t xml:space="preserve"> </w:t>
      </w:r>
      <w:hyperlink r:id="rId5" w:history="1">
        <w:r>
          <w:rPr>
            <w:rStyle w:val="Hyperlink"/>
          </w:rPr>
          <w:t>Evaluation of the National Dementia Support Progam (https://fightdementia.org.au/sites/default/files/20120730_NAT_Final_Evaluation_Report15Feb07.pdf)</w:t>
        </w:r>
      </w:hyperlink>
      <w:r>
        <w:t xml:space="preserve"> </w:t>
      </w:r>
    </w:p>
  </w:footnote>
  <w:footnote w:id="13">
    <w:p w14:paraId="54B0CDFC" w14:textId="77777777" w:rsidR="0018371E" w:rsidRDefault="0018371E" w:rsidP="009623C1">
      <w:pPr>
        <w:pStyle w:val="FootnoteText"/>
      </w:pPr>
      <w:r>
        <w:rPr>
          <w:rStyle w:val="FootnoteReference"/>
        </w:rPr>
        <w:footnoteRef/>
      </w:r>
      <w:r>
        <w:t xml:space="preserve"> </w:t>
      </w:r>
      <w:r w:rsidRPr="0085168E">
        <w:t>Dementia Training Study Centres</w:t>
      </w:r>
      <w:r>
        <w:t xml:space="preserve">, </w:t>
      </w:r>
      <w:r w:rsidRPr="0085168E">
        <w:t xml:space="preserve">viewed September 2014, </w:t>
      </w:r>
      <w:hyperlink r:id="rId6" w:history="1">
        <w:r>
          <w:rPr>
            <w:rStyle w:val="Hyperlink"/>
          </w:rPr>
          <w:t>DTSC (http://www.dtsc.com.au/)</w:t>
        </w:r>
      </w:hyperlink>
      <w:r>
        <w:t xml:space="preserve"> </w:t>
      </w:r>
    </w:p>
  </w:footnote>
  <w:footnote w:id="14">
    <w:p w14:paraId="1DDB247A" w14:textId="77777777" w:rsidR="0018371E" w:rsidRDefault="0018371E" w:rsidP="009623C1">
      <w:pPr>
        <w:pStyle w:val="FootnoteText"/>
      </w:pPr>
      <w:r>
        <w:rPr>
          <w:rStyle w:val="FootnoteReference"/>
        </w:rPr>
        <w:footnoteRef/>
      </w:r>
      <w:r>
        <w:t xml:space="preserve"> Department of Health, </w:t>
      </w:r>
      <w:r w:rsidRPr="0085168E">
        <w:t>Support for people with dementia, their families and carers</w:t>
      </w:r>
      <w:r>
        <w:t xml:space="preserve">, </w:t>
      </w:r>
      <w:r w:rsidRPr="0085168E">
        <w:t>viewed September 2014</w:t>
      </w:r>
      <w:r>
        <w:t xml:space="preserve">, </w:t>
      </w:r>
      <w:hyperlink r:id="rId7" w:history="1">
        <w:r>
          <w:rPr>
            <w:rStyle w:val="Hyperlink"/>
          </w:rPr>
          <w:t>Department of Health (http://www.health.gov.au/internet/main/publishing.nsf/content/dementia-support)</w:t>
        </w:r>
      </w:hyperlink>
      <w:r>
        <w:t xml:space="preserve"> </w:t>
      </w:r>
    </w:p>
  </w:footnote>
  <w:footnote w:id="15">
    <w:p w14:paraId="7B130D52" w14:textId="77777777" w:rsidR="0018371E" w:rsidRDefault="0018371E" w:rsidP="009623C1">
      <w:pPr>
        <w:pStyle w:val="FootnoteText"/>
      </w:pPr>
      <w:r>
        <w:rPr>
          <w:rStyle w:val="FootnoteReference"/>
        </w:rPr>
        <w:footnoteRef/>
      </w:r>
      <w:r>
        <w:t xml:space="preserve"> </w:t>
      </w:r>
      <w:r w:rsidRPr="004A08D6">
        <w:t>Alzheimer’s Australia</w:t>
      </w:r>
      <w:r>
        <w:t xml:space="preserve">, Fight Dementia, </w:t>
      </w:r>
      <w:r w:rsidRPr="004A08D6">
        <w:t>National Younger Onset Dementia Key Worker Program</w:t>
      </w:r>
      <w:r>
        <w:t xml:space="preserve">, viewed October 2014, </w:t>
      </w:r>
      <w:hyperlink r:id="rId8" w:history="1">
        <w:r>
          <w:rPr>
            <w:rStyle w:val="Hyperlink"/>
          </w:rPr>
          <w:t>Alzheimer's Australia (https://fightdementia.org.au/support-and-services/services-and-programs-we-provide/national-younger-onset-dementia-key-worker-program)</w:t>
        </w:r>
      </w:hyperlink>
      <w:r>
        <w:t xml:space="preserve"> </w:t>
      </w:r>
    </w:p>
  </w:footnote>
  <w:footnote w:id="16">
    <w:p w14:paraId="24F2FB0D" w14:textId="77777777" w:rsidR="0018371E" w:rsidRDefault="0018371E" w:rsidP="009623C1">
      <w:pPr>
        <w:pStyle w:val="FootnoteText"/>
      </w:pPr>
      <w:r>
        <w:rPr>
          <w:rStyle w:val="FootnoteReference"/>
        </w:rPr>
        <w:footnoteRef/>
      </w:r>
      <w:r>
        <w:t xml:space="preserve"> Department of Social Services, Ageing and Aged Care, viewed October 2014, </w:t>
      </w:r>
      <w:hyperlink r:id="rId9" w:history="1">
        <w:r>
          <w:rPr>
            <w:rStyle w:val="Hyperlink"/>
          </w:rPr>
          <w:t>Department of Social Services (http://www.dss.gov.au/our-responsibilities/ageing-and-aged-care/aged-care-reform/get-involved/dementia-and-cognition-supplement-in-home-care-and-the-dementia-and-severe-behaviours-supplement-in-residential-care-0)</w:t>
        </w:r>
      </w:hyperlink>
      <w:r>
        <w:t xml:space="preserve"> </w:t>
      </w:r>
    </w:p>
  </w:footnote>
  <w:footnote w:id="17">
    <w:p w14:paraId="1895E9BB" w14:textId="77777777" w:rsidR="0018371E" w:rsidRDefault="0018371E" w:rsidP="009623C1">
      <w:pPr>
        <w:pStyle w:val="FootnoteText"/>
      </w:pPr>
      <w:r>
        <w:rPr>
          <w:rStyle w:val="FootnoteReference"/>
        </w:rPr>
        <w:footnoteRef/>
      </w:r>
      <w:r>
        <w:t xml:space="preserve"> </w:t>
      </w:r>
      <w:r w:rsidRPr="0085168E">
        <w:t>Department of Health, The National Aged Care Advocacy Program, viewed September 2014,</w:t>
      </w:r>
      <w:r>
        <w:t xml:space="preserve"> </w:t>
      </w:r>
      <w:hyperlink r:id="rId10" w:history="1">
        <w:r>
          <w:rPr>
            <w:rStyle w:val="Hyperlink"/>
          </w:rPr>
          <w:t>Department of Health (http://www.health.gov.au/agedcareadvocacy)</w:t>
        </w:r>
      </w:hyperlink>
      <w:r>
        <w:t xml:space="preserve"> </w:t>
      </w:r>
    </w:p>
  </w:footnote>
  <w:footnote w:id="18">
    <w:p w14:paraId="4A3473C3" w14:textId="77777777" w:rsidR="0018371E" w:rsidRDefault="0018371E" w:rsidP="009623C1">
      <w:pPr>
        <w:pStyle w:val="FootnoteText"/>
      </w:pPr>
      <w:r>
        <w:rPr>
          <w:rStyle w:val="FootnoteReference"/>
        </w:rPr>
        <w:footnoteRef/>
      </w:r>
      <w:r>
        <w:t xml:space="preserve"> </w:t>
      </w:r>
      <w:r w:rsidRPr="0085168E">
        <w:t xml:space="preserve">Department of Health, Information on Community Visitors Scheme for consumers, viewed September 2014, </w:t>
      </w:r>
      <w:hyperlink r:id="rId11" w:anchor="referral" w:history="1">
        <w:r>
          <w:rPr>
            <w:rStyle w:val="Hyperlink"/>
          </w:rPr>
          <w:t>Department of Health (http://www.health.gov.au/internet/main/publishing.nsf/Content/ageing-rescare-cvs-cvscons.htm#referral)</w:t>
        </w:r>
      </w:hyperlink>
      <w:r>
        <w:t xml:space="preserve"> </w:t>
      </w:r>
    </w:p>
  </w:footnote>
  <w:footnote w:id="19">
    <w:p w14:paraId="5949EEF5" w14:textId="77777777" w:rsidR="0018371E" w:rsidRDefault="0018371E" w:rsidP="009623C1">
      <w:pPr>
        <w:pStyle w:val="FootnoteText"/>
      </w:pPr>
      <w:r>
        <w:rPr>
          <w:rStyle w:val="FootnoteReference"/>
        </w:rPr>
        <w:footnoteRef/>
      </w:r>
      <w:r>
        <w:t xml:space="preserve"> </w:t>
      </w:r>
      <w:r w:rsidRPr="0085168E">
        <w:t xml:space="preserve">Department of Health, </w:t>
      </w:r>
      <w:r w:rsidRPr="007D0A0E">
        <w:t>Community Visitors Scheme</w:t>
      </w:r>
      <w:r w:rsidRPr="0085168E">
        <w:t xml:space="preserve">, viewed September 2014, </w:t>
      </w:r>
      <w:hyperlink r:id="rId12" w:history="1">
        <w:r>
          <w:rPr>
            <w:rStyle w:val="Hyperlink"/>
          </w:rPr>
          <w:t>Department of Health (http://health.gov.au/cvs)</w:t>
        </w:r>
      </w:hyperlink>
      <w:r>
        <w:t xml:space="preserve"> </w:t>
      </w:r>
    </w:p>
  </w:footnote>
  <w:footnote w:id="20">
    <w:p w14:paraId="04611528" w14:textId="77777777" w:rsidR="0018371E" w:rsidRDefault="0018371E" w:rsidP="009623C1">
      <w:pPr>
        <w:pStyle w:val="FootnoteText"/>
      </w:pPr>
      <w:r>
        <w:rPr>
          <w:rStyle w:val="FootnoteReference"/>
        </w:rPr>
        <w:footnoteRef/>
      </w:r>
      <w:r>
        <w:t xml:space="preserve"> </w:t>
      </w:r>
      <w:proofErr w:type="spellStart"/>
      <w:r>
        <w:t>ComLaw</w:t>
      </w:r>
      <w:proofErr w:type="spellEnd"/>
      <w:r>
        <w:t xml:space="preserve">, </w:t>
      </w:r>
      <w:r w:rsidRPr="007D0A0E">
        <w:t>Quality of Care Principles 2014</w:t>
      </w:r>
      <w:r>
        <w:t>,</w:t>
      </w:r>
      <w:r w:rsidRPr="007D0A0E">
        <w:t xml:space="preserve"> </w:t>
      </w:r>
      <w:r>
        <w:t xml:space="preserve">Commonwealth Government of Australia, </w:t>
      </w:r>
      <w:r w:rsidRPr="007D0A0E">
        <w:t>viewed September 2014,</w:t>
      </w:r>
      <w:hyperlink r:id="rId13" w:history="1">
        <w:r>
          <w:rPr>
            <w:rStyle w:val="Hyperlink"/>
          </w:rPr>
          <w:t>ComLaw, Australian Government (http://www.comlaw.gov.au/Details/F2014L00830/Explanatory%20Statement/Text)</w:t>
        </w:r>
      </w:hyperlink>
      <w:r>
        <w:t xml:space="preserve"> </w:t>
      </w:r>
    </w:p>
  </w:footnote>
  <w:footnote w:id="21">
    <w:p w14:paraId="1B756571" w14:textId="77777777" w:rsidR="0018371E" w:rsidRDefault="0018371E" w:rsidP="009623C1">
      <w:pPr>
        <w:pStyle w:val="FootnoteText"/>
      </w:pPr>
      <w:r>
        <w:rPr>
          <w:rStyle w:val="FootnoteReference"/>
        </w:rPr>
        <w:footnoteRef/>
      </w:r>
      <w:r>
        <w:t xml:space="preserve"> Australian Aged Care Quality Agency, </w:t>
      </w:r>
      <w:r w:rsidRPr="007D0A0E">
        <w:t>Failure to meet the Standards</w:t>
      </w:r>
      <w:r>
        <w:t xml:space="preserve">, </w:t>
      </w:r>
      <w:r w:rsidRPr="007D0A0E">
        <w:t xml:space="preserve">viewed September 2014,  </w:t>
      </w:r>
      <w:r>
        <w:t xml:space="preserve"> </w:t>
      </w:r>
      <w:hyperlink r:id="rId14" w:history="1">
        <w:r>
          <w:rPr>
            <w:rStyle w:val="Hyperlink"/>
          </w:rPr>
          <w:t>Australian Aged Care Quality Agency (https://www.aacqa.gov.au/for-providers/failure-to-meet-the-standards)</w:t>
        </w:r>
      </w:hyperlink>
      <w:r>
        <w:t xml:space="preserve"> </w:t>
      </w:r>
    </w:p>
  </w:footnote>
  <w:footnote w:id="22">
    <w:p w14:paraId="01C16597" w14:textId="77777777" w:rsidR="0018371E" w:rsidRDefault="0018371E" w:rsidP="009623C1">
      <w:pPr>
        <w:pStyle w:val="FootnoteText"/>
      </w:pPr>
      <w:r>
        <w:rPr>
          <w:rStyle w:val="FootnoteReference"/>
        </w:rPr>
        <w:footnoteRef/>
      </w:r>
      <w:r>
        <w:t xml:space="preserve"> </w:t>
      </w:r>
      <w:r w:rsidRPr="007D0A0E">
        <w:t xml:space="preserve">Department of Health, Using the Aged Care Funding Instrument (ACFI), viewed September 2014, </w:t>
      </w:r>
      <w:hyperlink r:id="rId15" w:history="1">
        <w:r>
          <w:rPr>
            <w:rStyle w:val="Hyperlink"/>
          </w:rPr>
          <w:t>Department of Health (http://www.health.gov.au/internet/main/publishing.nsf/Content/ageing-acfi-using.htm)</w:t>
        </w:r>
      </w:hyperlink>
      <w:r>
        <w:t xml:space="preserve"> </w:t>
      </w:r>
    </w:p>
  </w:footnote>
  <w:footnote w:id="23">
    <w:p w14:paraId="7362F48B" w14:textId="77777777" w:rsidR="0018371E" w:rsidRDefault="0018371E" w:rsidP="009623C1">
      <w:pPr>
        <w:pStyle w:val="FootnoteText"/>
      </w:pPr>
      <w:r>
        <w:rPr>
          <w:rStyle w:val="FootnoteReference"/>
        </w:rPr>
        <w:footnoteRef/>
      </w:r>
      <w:r>
        <w:t xml:space="preserve"> </w:t>
      </w:r>
      <w:r w:rsidRPr="00C40B5A">
        <w:t xml:space="preserve">Department of Health, Consumer Directed Care - Evaluation of Pilot Program, viewed September 2014, </w:t>
      </w:r>
      <w:hyperlink r:id="rId16" w:history="1">
        <w:r>
          <w:rPr>
            <w:rStyle w:val="Hyperlink"/>
          </w:rPr>
          <w:t>Department of Health (http://www.health.gov.au/internet/main/publishing.nsf/Content/ageing-cdc-evaluation-pilot-program)</w:t>
        </w:r>
      </w:hyperlink>
      <w:r>
        <w:t xml:space="preserve"> </w:t>
      </w:r>
    </w:p>
  </w:footnote>
  <w:footnote w:id="24">
    <w:p w14:paraId="364C7C86" w14:textId="77777777" w:rsidR="0018371E" w:rsidRDefault="0018371E" w:rsidP="009623C1">
      <w:pPr>
        <w:pStyle w:val="FootnoteText"/>
      </w:pPr>
      <w:r>
        <w:rPr>
          <w:rStyle w:val="FootnoteReference"/>
        </w:rPr>
        <w:footnoteRef/>
      </w:r>
      <w:r>
        <w:t xml:space="preserve"> KPMG 2012, Evaluation of the consumer-directed care initiative – Final Report, for Department of Health and Ageing, </w:t>
      </w:r>
      <w:r w:rsidRPr="00C40B5A">
        <w:t>viewed September 2014,</w:t>
      </w:r>
      <w:r>
        <w:t xml:space="preserve"> </w:t>
      </w:r>
      <w:hyperlink r:id="rId17" w:history="1">
        <w:r>
          <w:rPr>
            <w:rStyle w:val="Hyperlink"/>
          </w:rPr>
          <w:t>KPMG (http://www.health.gov.au/internet/main/publishing.nsf/Content/F072F0C75198E936CA257BF0001A35BF/$File/CDC-Eval-Final-Rep.pdf)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79CC" w14:textId="77777777" w:rsidR="0018371E" w:rsidRDefault="0018371E" w:rsidP="00FE7218">
    <w:pPr>
      <w:pStyle w:val="Header"/>
      <w:framePr w:hSpace="181" w:wrap="around" w:vAnchor="text" w:hAnchor="margin" w:y="1"/>
      <w:spacing w:line="240" w:lineRule="auto"/>
      <w:jc w:val="left"/>
      <w:rPr>
        <w:i w:val="0"/>
        <w:color w:val="0C2D83"/>
        <w:sz w:val="20"/>
      </w:rPr>
    </w:pPr>
    <w:r>
      <w:rPr>
        <w:rFonts w:ascii="KPMG Logo" w:hAnsi="KPMG Logo"/>
        <w:i w:val="0"/>
        <w:color w:val="0C2D83"/>
        <w:sz w:val="20"/>
      </w:rPr>
      <w:t>ABCD</w:t>
    </w:r>
  </w:p>
  <w:p w14:paraId="5B175568" w14:textId="77777777" w:rsidR="0018371E" w:rsidRPr="00FE7218" w:rsidRDefault="0018371E" w:rsidP="00FE7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20FB" w14:textId="77777777" w:rsidR="0018371E" w:rsidRPr="00FE7218" w:rsidRDefault="0018371E" w:rsidP="00FE7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31E4" w14:textId="77777777" w:rsidR="0018371E" w:rsidRPr="00FE7218" w:rsidRDefault="0018371E" w:rsidP="00FE72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FAFD" w14:textId="77777777" w:rsidR="0018371E" w:rsidRPr="00FE7218" w:rsidRDefault="0018371E" w:rsidP="00FE7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AD47558"/>
    <w:lvl w:ilvl="0">
      <w:start w:val="1"/>
      <w:numFmt w:val="bullet"/>
      <w:pStyle w:val="ListBullet2"/>
      <w:lvlText w:val="–"/>
      <w:lvlJc w:val="left"/>
      <w:pPr>
        <w:tabs>
          <w:tab w:val="num" w:pos="692"/>
        </w:tabs>
        <w:ind w:left="692" w:hanging="335"/>
      </w:pPr>
      <w:rPr>
        <w:rFonts w:ascii="Times New Roman" w:hAnsi="Times New Roman" w:cs="Times New Roman" w:hint="default"/>
        <w:color w:val="00338D"/>
      </w:rPr>
    </w:lvl>
  </w:abstractNum>
  <w:abstractNum w:abstractNumId="1">
    <w:nsid w:val="FFFFFF89"/>
    <w:multiLevelType w:val="singleLevel"/>
    <w:tmpl w:val="118CAFDC"/>
    <w:lvl w:ilvl="0">
      <w:start w:val="1"/>
      <w:numFmt w:val="bullet"/>
      <w:pStyle w:val="ListBullet"/>
      <w:lvlText w:val=""/>
      <w:lvlJc w:val="left"/>
      <w:pPr>
        <w:tabs>
          <w:tab w:val="num" w:pos="360"/>
        </w:tabs>
        <w:ind w:left="360" w:hanging="360"/>
      </w:pPr>
      <w:rPr>
        <w:rFonts w:ascii="Symbol" w:hAnsi="Symbol" w:hint="default"/>
        <w:color w:val="00338D"/>
      </w:rPr>
    </w:lvl>
  </w:abstractNum>
  <w:abstractNum w:abstractNumId="2">
    <w:nsid w:val="0215004C"/>
    <w:multiLevelType w:val="hybridMultilevel"/>
    <w:tmpl w:val="0A7C907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7E507C"/>
    <w:multiLevelType w:val="singleLevel"/>
    <w:tmpl w:val="824AB4AE"/>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059C5AD6"/>
    <w:multiLevelType w:val="singleLevel"/>
    <w:tmpl w:val="053875F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06661C98"/>
    <w:multiLevelType w:val="singleLevel"/>
    <w:tmpl w:val="206E7D86"/>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06FF08E8"/>
    <w:multiLevelType w:val="hybridMultilevel"/>
    <w:tmpl w:val="40263CEC"/>
    <w:lvl w:ilvl="0" w:tplc="3C96C8F6">
      <w:start w:val="1"/>
      <w:numFmt w:val="bullet"/>
      <w:pStyle w:val="Tablebullets"/>
      <w:lvlText w:val=""/>
      <w:lvlJc w:val="left"/>
      <w:pPr>
        <w:tabs>
          <w:tab w:val="num" w:pos="357"/>
        </w:tabs>
        <w:ind w:left="357" w:hanging="357"/>
      </w:pPr>
      <w:rPr>
        <w:rFonts w:ascii="Symbol" w:hAnsi="Symbol" w:hint="default"/>
        <w:color w:val="00338D"/>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C07180A"/>
    <w:multiLevelType w:val="hybridMultilevel"/>
    <w:tmpl w:val="9FB2F2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CA6DF2"/>
    <w:multiLevelType w:val="singleLevel"/>
    <w:tmpl w:val="96105BC0"/>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1900593C"/>
    <w:multiLevelType w:val="singleLevel"/>
    <w:tmpl w:val="1C1012B6"/>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19B024A3"/>
    <w:multiLevelType w:val="hybridMultilevel"/>
    <w:tmpl w:val="C59A20CC"/>
    <w:lvl w:ilvl="0" w:tplc="8226499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206E0B"/>
    <w:multiLevelType w:val="hybridMultilevel"/>
    <w:tmpl w:val="D458EFC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3D758E"/>
    <w:multiLevelType w:val="hybridMultilevel"/>
    <w:tmpl w:val="1166D34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2B6FD2"/>
    <w:multiLevelType w:val="singleLevel"/>
    <w:tmpl w:val="24DC9986"/>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1F7A3218"/>
    <w:multiLevelType w:val="multilevel"/>
    <w:tmpl w:val="B978E2E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nsid w:val="1F890810"/>
    <w:multiLevelType w:val="hybridMultilevel"/>
    <w:tmpl w:val="A314CC7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14173E0"/>
    <w:multiLevelType w:val="singleLevel"/>
    <w:tmpl w:val="5C1AAFF2"/>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21EA45D4"/>
    <w:multiLevelType w:val="singleLevel"/>
    <w:tmpl w:val="57B2B6AA"/>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270F2760"/>
    <w:multiLevelType w:val="singleLevel"/>
    <w:tmpl w:val="1460F4F8"/>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2A97102C"/>
    <w:multiLevelType w:val="multilevel"/>
    <w:tmpl w:val="8E3C188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nsid w:val="2B841080"/>
    <w:multiLevelType w:val="hybridMultilevel"/>
    <w:tmpl w:val="707CD64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BC1FB7"/>
    <w:multiLevelType w:val="singleLevel"/>
    <w:tmpl w:val="941A4D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315D7318"/>
    <w:multiLevelType w:val="singleLevel"/>
    <w:tmpl w:val="4770E6CA"/>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338F2573"/>
    <w:multiLevelType w:val="singleLevel"/>
    <w:tmpl w:val="69846F7C"/>
    <w:lvl w:ilvl="0">
      <w:start w:val="1"/>
      <w:numFmt w:val="bullet"/>
      <w:lvlText w:val=""/>
      <w:lvlJc w:val="left"/>
      <w:pPr>
        <w:tabs>
          <w:tab w:val="num" w:pos="340"/>
        </w:tabs>
        <w:ind w:left="340" w:hanging="340"/>
      </w:pPr>
      <w:rPr>
        <w:rFonts w:ascii="Symbol" w:hAnsi="Symbol" w:hint="default"/>
        <w:color w:val="auto"/>
        <w:sz w:val="22"/>
      </w:rPr>
    </w:lvl>
  </w:abstractNum>
  <w:abstractNum w:abstractNumId="24">
    <w:nsid w:val="33BC0338"/>
    <w:multiLevelType w:val="singleLevel"/>
    <w:tmpl w:val="69EAB056"/>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381366C6"/>
    <w:multiLevelType w:val="hybridMultilevel"/>
    <w:tmpl w:val="AA620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A447F67"/>
    <w:multiLevelType w:val="singleLevel"/>
    <w:tmpl w:val="A0FC5E98"/>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3AFA531C"/>
    <w:multiLevelType w:val="singleLevel"/>
    <w:tmpl w:val="1E340078"/>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3FC825EA"/>
    <w:multiLevelType w:val="singleLevel"/>
    <w:tmpl w:val="AB348598"/>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40BB7F6A"/>
    <w:multiLevelType w:val="hybridMultilevel"/>
    <w:tmpl w:val="B19E833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180488"/>
    <w:multiLevelType w:val="hybridMultilevel"/>
    <w:tmpl w:val="F1C00D9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49D0AFD"/>
    <w:multiLevelType w:val="singleLevel"/>
    <w:tmpl w:val="91D048EA"/>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47925CAB"/>
    <w:multiLevelType w:val="multilevel"/>
    <w:tmpl w:val="79FE7E3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3">
    <w:nsid w:val="4B3F7464"/>
    <w:multiLevelType w:val="singleLevel"/>
    <w:tmpl w:val="94DAD504"/>
    <w:lvl w:ilvl="0">
      <w:start w:val="1"/>
      <w:numFmt w:val="bullet"/>
      <w:lvlText w:val=""/>
      <w:lvlJc w:val="left"/>
      <w:pPr>
        <w:tabs>
          <w:tab w:val="num" w:pos="340"/>
        </w:tabs>
        <w:ind w:left="340" w:hanging="340"/>
      </w:pPr>
      <w:rPr>
        <w:rFonts w:ascii="Symbol" w:hAnsi="Symbol" w:hint="default"/>
        <w:color w:val="auto"/>
        <w:sz w:val="22"/>
      </w:rPr>
    </w:lvl>
  </w:abstractNum>
  <w:abstractNum w:abstractNumId="34">
    <w:nsid w:val="4B901029"/>
    <w:multiLevelType w:val="singleLevel"/>
    <w:tmpl w:val="0710720C"/>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4BFB33C2"/>
    <w:multiLevelType w:val="hybridMultilevel"/>
    <w:tmpl w:val="A308F29A"/>
    <w:lvl w:ilvl="0" w:tplc="A6A82332">
      <w:start w:val="1"/>
      <w:numFmt w:val="bullet"/>
      <w:pStyle w:val="TableBullets2"/>
      <w:lvlText w:val="–"/>
      <w:lvlJc w:val="left"/>
      <w:pPr>
        <w:tabs>
          <w:tab w:val="num" w:pos="692"/>
        </w:tabs>
        <w:ind w:left="692" w:hanging="335"/>
      </w:pPr>
      <w:rPr>
        <w:rFonts w:ascii="Times New Roman" w:hAnsi="Times New Roman" w:cs="Times New Roman" w:hint="default"/>
        <w:color w:val="00338D"/>
        <w:sz w:val="1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4EB23E8E"/>
    <w:multiLevelType w:val="singleLevel"/>
    <w:tmpl w:val="8376E1B0"/>
    <w:lvl w:ilvl="0">
      <w:start w:val="1"/>
      <w:numFmt w:val="bullet"/>
      <w:lvlText w:val=""/>
      <w:lvlJc w:val="left"/>
      <w:pPr>
        <w:tabs>
          <w:tab w:val="num" w:pos="340"/>
        </w:tabs>
        <w:ind w:left="340" w:hanging="340"/>
      </w:pPr>
      <w:rPr>
        <w:rFonts w:ascii="Symbol" w:hAnsi="Symbol" w:hint="default"/>
        <w:color w:val="auto"/>
        <w:sz w:val="22"/>
      </w:rPr>
    </w:lvl>
  </w:abstractNum>
  <w:abstractNum w:abstractNumId="37">
    <w:nsid w:val="4FDA31D6"/>
    <w:multiLevelType w:val="singleLevel"/>
    <w:tmpl w:val="A02C5D96"/>
    <w:lvl w:ilvl="0">
      <w:start w:val="1"/>
      <w:numFmt w:val="bullet"/>
      <w:lvlText w:val=""/>
      <w:lvlJc w:val="left"/>
      <w:pPr>
        <w:tabs>
          <w:tab w:val="num" w:pos="340"/>
        </w:tabs>
        <w:ind w:left="340" w:hanging="340"/>
      </w:pPr>
      <w:rPr>
        <w:rFonts w:ascii="Symbol" w:hAnsi="Symbol" w:hint="default"/>
        <w:color w:val="auto"/>
        <w:sz w:val="22"/>
      </w:rPr>
    </w:lvl>
  </w:abstractNum>
  <w:abstractNum w:abstractNumId="38">
    <w:nsid w:val="53B1652F"/>
    <w:multiLevelType w:val="singleLevel"/>
    <w:tmpl w:val="D51AC358"/>
    <w:lvl w:ilvl="0">
      <w:start w:val="1"/>
      <w:numFmt w:val="bullet"/>
      <w:lvlText w:val=""/>
      <w:lvlJc w:val="left"/>
      <w:pPr>
        <w:tabs>
          <w:tab w:val="num" w:pos="340"/>
        </w:tabs>
        <w:ind w:left="340" w:hanging="340"/>
      </w:pPr>
      <w:rPr>
        <w:rFonts w:ascii="Symbol" w:hAnsi="Symbol" w:hint="default"/>
        <w:color w:val="auto"/>
        <w:sz w:val="22"/>
      </w:rPr>
    </w:lvl>
  </w:abstractNum>
  <w:abstractNum w:abstractNumId="39">
    <w:nsid w:val="53DC5714"/>
    <w:multiLevelType w:val="singleLevel"/>
    <w:tmpl w:val="FFFFFFFF"/>
    <w:lvl w:ilvl="0">
      <w:numFmt w:val="decimal"/>
      <w:pStyle w:val="Tablebullet1"/>
      <w:lvlText w:val="%1"/>
      <w:legacy w:legacy="1" w:legacySpace="0" w:legacyIndent="0"/>
      <w:lvlJc w:val="left"/>
      <w:rPr>
        <w:rFonts w:ascii="Tms Rmn" w:hAnsi="Tms Rmn" w:hint="default"/>
      </w:rPr>
    </w:lvl>
  </w:abstractNum>
  <w:abstractNum w:abstractNumId="40">
    <w:nsid w:val="59B36ECB"/>
    <w:multiLevelType w:val="singleLevel"/>
    <w:tmpl w:val="C096BB0E"/>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5AE30072"/>
    <w:multiLevelType w:val="singleLevel"/>
    <w:tmpl w:val="0A3CE688"/>
    <w:lvl w:ilvl="0">
      <w:start w:val="1"/>
      <w:numFmt w:val="bullet"/>
      <w:lvlText w:val=""/>
      <w:lvlJc w:val="left"/>
      <w:pPr>
        <w:tabs>
          <w:tab w:val="num" w:pos="340"/>
        </w:tabs>
        <w:ind w:left="340" w:hanging="340"/>
      </w:pPr>
      <w:rPr>
        <w:rFonts w:ascii="Symbol" w:hAnsi="Symbol" w:hint="default"/>
        <w:color w:val="auto"/>
        <w:sz w:val="22"/>
      </w:rPr>
    </w:lvl>
  </w:abstractNum>
  <w:abstractNum w:abstractNumId="42">
    <w:nsid w:val="5B0F1E2B"/>
    <w:multiLevelType w:val="singleLevel"/>
    <w:tmpl w:val="1CC28A36"/>
    <w:lvl w:ilvl="0">
      <w:start w:val="1"/>
      <w:numFmt w:val="bullet"/>
      <w:lvlText w:val=""/>
      <w:lvlJc w:val="left"/>
      <w:pPr>
        <w:tabs>
          <w:tab w:val="num" w:pos="340"/>
        </w:tabs>
        <w:ind w:left="340" w:hanging="340"/>
      </w:pPr>
      <w:rPr>
        <w:rFonts w:ascii="Symbol" w:hAnsi="Symbol" w:hint="default"/>
        <w:color w:val="auto"/>
        <w:sz w:val="22"/>
      </w:rPr>
    </w:lvl>
  </w:abstractNum>
  <w:abstractNum w:abstractNumId="43">
    <w:nsid w:val="5C8D5F8E"/>
    <w:multiLevelType w:val="singleLevel"/>
    <w:tmpl w:val="7BA0176A"/>
    <w:lvl w:ilvl="0">
      <w:start w:val="1"/>
      <w:numFmt w:val="bullet"/>
      <w:lvlText w:val=""/>
      <w:lvlJc w:val="left"/>
      <w:pPr>
        <w:tabs>
          <w:tab w:val="num" w:pos="340"/>
        </w:tabs>
        <w:ind w:left="340" w:hanging="340"/>
      </w:pPr>
      <w:rPr>
        <w:rFonts w:ascii="Symbol" w:hAnsi="Symbol" w:hint="default"/>
        <w:color w:val="auto"/>
        <w:sz w:val="22"/>
      </w:rPr>
    </w:lvl>
  </w:abstractNum>
  <w:abstractNum w:abstractNumId="44">
    <w:nsid w:val="60B25F68"/>
    <w:multiLevelType w:val="multilevel"/>
    <w:tmpl w:val="481CB73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5">
    <w:nsid w:val="60D87F61"/>
    <w:multiLevelType w:val="singleLevel"/>
    <w:tmpl w:val="817A90A0"/>
    <w:lvl w:ilvl="0">
      <w:start w:val="1"/>
      <w:numFmt w:val="bullet"/>
      <w:lvlText w:val=""/>
      <w:lvlJc w:val="left"/>
      <w:pPr>
        <w:tabs>
          <w:tab w:val="num" w:pos="340"/>
        </w:tabs>
        <w:ind w:left="340" w:hanging="340"/>
      </w:pPr>
      <w:rPr>
        <w:rFonts w:ascii="Symbol" w:hAnsi="Symbol" w:hint="default"/>
        <w:color w:val="auto"/>
        <w:sz w:val="22"/>
      </w:rPr>
    </w:lvl>
  </w:abstractNum>
  <w:abstractNum w:abstractNumId="46">
    <w:nsid w:val="64AD0F4C"/>
    <w:multiLevelType w:val="hybridMultilevel"/>
    <w:tmpl w:val="2BE2CCD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5151C26"/>
    <w:multiLevelType w:val="multilevel"/>
    <w:tmpl w:val="8BE41EC4"/>
    <w:lvl w:ilvl="0">
      <w:start w:val="1"/>
      <w:numFmt w:val="decimal"/>
      <w:pStyle w:val="Appendixheading1"/>
      <w:suff w:val="nothing"/>
      <w:lvlText w:val="Appendix %1"/>
      <w:lvlJc w:val="left"/>
      <w:pPr>
        <w:ind w:left="0" w:firstLine="0"/>
      </w:pPr>
      <w:rPr>
        <w:rFonts w:ascii="Calibri" w:hAnsi="Calibri" w:hint="default"/>
        <w:b w:val="0"/>
        <w:i w:val="0"/>
        <w:color w:val="0C2D83"/>
        <w:sz w:val="50"/>
        <w:szCs w:val="50"/>
      </w:rPr>
    </w:lvl>
    <w:lvl w:ilvl="1">
      <w:start w:val="1"/>
      <w:numFmt w:val="decimal"/>
      <w:lvlText w:val="%1.%2"/>
      <w:lvlJc w:val="left"/>
      <w:pPr>
        <w:tabs>
          <w:tab w:val="num" w:pos="720"/>
        </w:tabs>
        <w:ind w:left="720" w:hanging="720"/>
      </w:pPr>
      <w:rPr>
        <w:rFonts w:hint="default"/>
        <w:b/>
        <w:i w:val="0"/>
        <w:color w:val="1F497D" w:themeColor="text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Batang" w:hAnsi="Batang" w:hint="default"/>
        <w:b/>
        <w:sz w:val="22"/>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nsid w:val="69CF7723"/>
    <w:multiLevelType w:val="singleLevel"/>
    <w:tmpl w:val="0F069B28"/>
    <w:lvl w:ilvl="0">
      <w:start w:val="1"/>
      <w:numFmt w:val="bullet"/>
      <w:lvlText w:val=""/>
      <w:lvlJc w:val="left"/>
      <w:pPr>
        <w:tabs>
          <w:tab w:val="num" w:pos="340"/>
        </w:tabs>
        <w:ind w:left="340" w:hanging="340"/>
      </w:pPr>
      <w:rPr>
        <w:rFonts w:ascii="Symbol" w:hAnsi="Symbol" w:hint="default"/>
        <w:color w:val="auto"/>
        <w:sz w:val="22"/>
      </w:rPr>
    </w:lvl>
  </w:abstractNum>
  <w:abstractNum w:abstractNumId="49">
    <w:nsid w:val="6B2953A5"/>
    <w:multiLevelType w:val="hybridMultilevel"/>
    <w:tmpl w:val="A2121234"/>
    <w:lvl w:ilvl="0" w:tplc="9FFE8592">
      <w:start w:val="1"/>
      <w:numFmt w:val="decimal"/>
      <w:pStyle w:val="Numbering"/>
      <w:lvlText w:val="%1."/>
      <w:lvlJc w:val="left"/>
      <w:pPr>
        <w:tabs>
          <w:tab w:val="num" w:pos="357"/>
        </w:tabs>
        <w:ind w:left="357" w:hanging="357"/>
      </w:pPr>
      <w:rPr>
        <w:rFonts w:ascii="Times New Roman" w:hAnsi="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6B3B756E"/>
    <w:multiLevelType w:val="singleLevel"/>
    <w:tmpl w:val="4A7847CC"/>
    <w:lvl w:ilvl="0">
      <w:start w:val="1"/>
      <w:numFmt w:val="bullet"/>
      <w:lvlText w:val=""/>
      <w:lvlJc w:val="left"/>
      <w:pPr>
        <w:tabs>
          <w:tab w:val="num" w:pos="340"/>
        </w:tabs>
        <w:ind w:left="340" w:hanging="340"/>
      </w:pPr>
      <w:rPr>
        <w:rFonts w:ascii="Symbol" w:hAnsi="Symbol" w:hint="default"/>
        <w:color w:val="auto"/>
        <w:sz w:val="22"/>
      </w:rPr>
    </w:lvl>
  </w:abstractNum>
  <w:abstractNum w:abstractNumId="51">
    <w:nsid w:val="6E49285C"/>
    <w:multiLevelType w:val="singleLevel"/>
    <w:tmpl w:val="1D40942C"/>
    <w:lvl w:ilvl="0">
      <w:start w:val="1"/>
      <w:numFmt w:val="bullet"/>
      <w:lvlText w:val=""/>
      <w:lvlJc w:val="left"/>
      <w:pPr>
        <w:tabs>
          <w:tab w:val="num" w:pos="340"/>
        </w:tabs>
        <w:ind w:left="340" w:hanging="340"/>
      </w:pPr>
      <w:rPr>
        <w:rFonts w:ascii="Symbol" w:hAnsi="Symbol" w:hint="default"/>
        <w:color w:val="auto"/>
        <w:sz w:val="22"/>
      </w:rPr>
    </w:lvl>
  </w:abstractNum>
  <w:abstractNum w:abstractNumId="52">
    <w:nsid w:val="6E6B55D3"/>
    <w:multiLevelType w:val="singleLevel"/>
    <w:tmpl w:val="B5225582"/>
    <w:lvl w:ilvl="0">
      <w:start w:val="1"/>
      <w:numFmt w:val="bullet"/>
      <w:lvlText w:val=""/>
      <w:lvlJc w:val="left"/>
      <w:pPr>
        <w:tabs>
          <w:tab w:val="num" w:pos="340"/>
        </w:tabs>
        <w:ind w:left="340" w:hanging="340"/>
      </w:pPr>
      <w:rPr>
        <w:rFonts w:ascii="Symbol" w:hAnsi="Symbol" w:hint="default"/>
        <w:color w:val="auto"/>
        <w:sz w:val="22"/>
      </w:rPr>
    </w:lvl>
  </w:abstractNum>
  <w:abstractNum w:abstractNumId="53">
    <w:nsid w:val="74105457"/>
    <w:multiLevelType w:val="hybridMultilevel"/>
    <w:tmpl w:val="CE80A7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41B053B"/>
    <w:multiLevelType w:val="singleLevel"/>
    <w:tmpl w:val="FFFFFFFF"/>
    <w:lvl w:ilvl="0">
      <w:numFmt w:val="decimal"/>
      <w:pStyle w:val="Tablebullet2"/>
      <w:lvlText w:val="%1"/>
      <w:legacy w:legacy="1" w:legacySpace="0" w:legacyIndent="0"/>
      <w:lvlJc w:val="left"/>
      <w:rPr>
        <w:rFonts w:ascii="Tms Rmn" w:hAnsi="Tms Rmn" w:hint="default"/>
      </w:rPr>
    </w:lvl>
  </w:abstractNum>
  <w:abstractNum w:abstractNumId="55">
    <w:nsid w:val="756024C5"/>
    <w:multiLevelType w:val="hybridMultilevel"/>
    <w:tmpl w:val="7FB828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8552CB7"/>
    <w:multiLevelType w:val="hybridMultilevel"/>
    <w:tmpl w:val="57C809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8B9155E"/>
    <w:multiLevelType w:val="singleLevel"/>
    <w:tmpl w:val="452AC764"/>
    <w:lvl w:ilvl="0">
      <w:start w:val="1"/>
      <w:numFmt w:val="bullet"/>
      <w:lvlText w:val=""/>
      <w:lvlJc w:val="left"/>
      <w:pPr>
        <w:tabs>
          <w:tab w:val="num" w:pos="340"/>
        </w:tabs>
        <w:ind w:left="340" w:hanging="340"/>
      </w:pPr>
      <w:rPr>
        <w:rFonts w:ascii="Symbol" w:hAnsi="Symbol" w:hint="default"/>
        <w:color w:val="auto"/>
        <w:sz w:val="22"/>
      </w:rPr>
    </w:lvl>
  </w:abstractNum>
  <w:abstractNum w:abstractNumId="58">
    <w:nsid w:val="7A9A27DE"/>
    <w:multiLevelType w:val="singleLevel"/>
    <w:tmpl w:val="2334DA80"/>
    <w:lvl w:ilvl="0">
      <w:start w:val="1"/>
      <w:numFmt w:val="bullet"/>
      <w:lvlText w:val=""/>
      <w:lvlJc w:val="left"/>
      <w:pPr>
        <w:tabs>
          <w:tab w:val="num" w:pos="340"/>
        </w:tabs>
        <w:ind w:left="340" w:hanging="340"/>
      </w:pPr>
      <w:rPr>
        <w:rFonts w:ascii="Symbol" w:hAnsi="Symbol" w:hint="default"/>
        <w:color w:val="auto"/>
        <w:sz w:val="22"/>
      </w:rPr>
    </w:lvl>
  </w:abstractNum>
  <w:abstractNum w:abstractNumId="59">
    <w:nsid w:val="7D7C43E9"/>
    <w:multiLevelType w:val="singleLevel"/>
    <w:tmpl w:val="2FFADBC2"/>
    <w:lvl w:ilvl="0">
      <w:start w:val="1"/>
      <w:numFmt w:val="bullet"/>
      <w:lvlText w:val=""/>
      <w:lvlJc w:val="left"/>
      <w:pPr>
        <w:tabs>
          <w:tab w:val="num" w:pos="340"/>
        </w:tabs>
        <w:ind w:left="340" w:hanging="340"/>
      </w:pPr>
      <w:rPr>
        <w:rFonts w:ascii="Symbol" w:hAnsi="Symbol" w:hint="default"/>
        <w:color w:val="auto"/>
        <w:sz w:val="22"/>
      </w:rPr>
    </w:lvl>
  </w:abstractNum>
  <w:abstractNum w:abstractNumId="60">
    <w:nsid w:val="7E4C02DB"/>
    <w:multiLevelType w:val="singleLevel"/>
    <w:tmpl w:val="EADA418C"/>
    <w:lvl w:ilvl="0">
      <w:start w:val="1"/>
      <w:numFmt w:val="bullet"/>
      <w:lvlText w:val=""/>
      <w:lvlJc w:val="left"/>
      <w:pPr>
        <w:tabs>
          <w:tab w:val="num" w:pos="340"/>
        </w:tabs>
        <w:ind w:left="340" w:hanging="340"/>
      </w:pPr>
      <w:rPr>
        <w:rFonts w:ascii="Symbol" w:hAnsi="Symbol" w:hint="default"/>
        <w:color w:val="auto"/>
        <w:sz w:val="22"/>
      </w:rPr>
    </w:lvl>
  </w:abstractNum>
  <w:abstractNum w:abstractNumId="61">
    <w:nsid w:val="7E5B2A01"/>
    <w:multiLevelType w:val="multilevel"/>
    <w:tmpl w:val="BA10B1B4"/>
    <w:lvl w:ilvl="0">
      <w:start w:val="1"/>
      <w:numFmt w:val="decimal"/>
      <w:pStyle w:val="Heading1"/>
      <w:lvlText w:val="%1."/>
      <w:lvlJc w:val="left"/>
      <w:pPr>
        <w:tabs>
          <w:tab w:val="num" w:pos="851"/>
        </w:tabs>
        <w:ind w:left="851" w:hanging="851"/>
      </w:pPr>
      <w:rPr>
        <w:rFonts w:hint="default"/>
        <w:b w:val="0"/>
        <w:i w:val="0"/>
        <w:sz w:val="50"/>
        <w:szCs w:val="50"/>
      </w:rPr>
    </w:lvl>
    <w:lvl w:ilvl="1">
      <w:start w:val="1"/>
      <w:numFmt w:val="decimal"/>
      <w:pStyle w:val="Heading2"/>
      <w:lvlText w:val="%1.%2"/>
      <w:lvlJc w:val="left"/>
      <w:pPr>
        <w:tabs>
          <w:tab w:val="num" w:pos="720"/>
        </w:tabs>
        <w:ind w:left="720" w:hanging="720"/>
      </w:pPr>
      <w:rPr>
        <w:rFonts w:hint="default"/>
        <w:b/>
        <w:i w:val="0"/>
        <w:color w:val="1F497D" w:themeColor="text2"/>
      </w:rPr>
    </w:lvl>
    <w:lvl w:ilvl="2">
      <w:start w:val="1"/>
      <w:numFmt w:val="decimal"/>
      <w:pStyle w:val="Heading3"/>
      <w:lvlText w:val="%1.%2.%3"/>
      <w:lvlJc w:val="left"/>
      <w:pPr>
        <w:tabs>
          <w:tab w:val="num" w:pos="720"/>
        </w:tabs>
        <w:ind w:left="720" w:hanging="720"/>
      </w:pPr>
      <w:rPr>
        <w:rFonts w:hint="default"/>
        <w:color w:val="17365D" w:themeColor="text2" w:themeShade="BF"/>
      </w:rPr>
    </w:lvl>
    <w:lvl w:ilvl="3">
      <w:start w:val="1"/>
      <w:numFmt w:val="decimal"/>
      <w:pStyle w:val="Heading4"/>
      <w:lvlText w:val="%1.%2.%3.%4"/>
      <w:lvlJc w:val="left"/>
      <w:pPr>
        <w:tabs>
          <w:tab w:val="num" w:pos="720"/>
        </w:tabs>
        <w:ind w:left="720" w:hanging="720"/>
      </w:pPr>
      <w:rPr>
        <w:rFonts w:ascii="Batang" w:hAnsi="Batang" w:hint="default"/>
        <w:b/>
        <w:sz w:val="22"/>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62">
    <w:nsid w:val="7EE443EE"/>
    <w:multiLevelType w:val="hybridMultilevel"/>
    <w:tmpl w:val="0A9A2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F6E7CD0"/>
    <w:multiLevelType w:val="hybridMultilevel"/>
    <w:tmpl w:val="1D3CF01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54"/>
  </w:num>
  <w:num w:numId="3">
    <w:abstractNumId w:val="1"/>
  </w:num>
  <w:num w:numId="4">
    <w:abstractNumId w:val="0"/>
  </w:num>
  <w:num w:numId="5">
    <w:abstractNumId w:val="49"/>
  </w:num>
  <w:num w:numId="6">
    <w:abstractNumId w:val="35"/>
  </w:num>
  <w:num w:numId="7">
    <w:abstractNumId w:val="6"/>
  </w:num>
  <w:num w:numId="8">
    <w:abstractNumId w:val="61"/>
  </w:num>
  <w:num w:numId="9">
    <w:abstractNumId w:val="38"/>
  </w:num>
  <w:num w:numId="10">
    <w:abstractNumId w:val="33"/>
  </w:num>
  <w:num w:numId="11">
    <w:abstractNumId w:val="25"/>
  </w:num>
  <w:num w:numId="12">
    <w:abstractNumId w:val="1"/>
  </w:num>
  <w:num w:numId="13">
    <w:abstractNumId w:val="61"/>
  </w:num>
  <w:num w:numId="14">
    <w:abstractNumId w:val="44"/>
  </w:num>
  <w:num w:numId="15">
    <w:abstractNumId w:val="19"/>
  </w:num>
  <w:num w:numId="16">
    <w:abstractNumId w:val="51"/>
  </w:num>
  <w:num w:numId="17">
    <w:abstractNumId w:val="62"/>
  </w:num>
  <w:num w:numId="18">
    <w:abstractNumId w:val="58"/>
  </w:num>
  <w:num w:numId="19">
    <w:abstractNumId w:val="34"/>
  </w:num>
  <w:num w:numId="20">
    <w:abstractNumId w:val="13"/>
  </w:num>
  <w:num w:numId="21">
    <w:abstractNumId w:val="4"/>
  </w:num>
  <w:num w:numId="22">
    <w:abstractNumId w:val="52"/>
  </w:num>
  <w:num w:numId="23">
    <w:abstractNumId w:val="17"/>
  </w:num>
  <w:num w:numId="24">
    <w:abstractNumId w:val="18"/>
  </w:num>
  <w:num w:numId="25">
    <w:abstractNumId w:val="57"/>
  </w:num>
  <w:num w:numId="26">
    <w:abstractNumId w:val="48"/>
  </w:num>
  <w:num w:numId="27">
    <w:abstractNumId w:val="31"/>
  </w:num>
  <w:num w:numId="28">
    <w:abstractNumId w:val="50"/>
  </w:num>
  <w:num w:numId="29">
    <w:abstractNumId w:val="36"/>
  </w:num>
  <w:num w:numId="30">
    <w:abstractNumId w:val="7"/>
  </w:num>
  <w:num w:numId="31">
    <w:abstractNumId w:val="27"/>
  </w:num>
  <w:num w:numId="32">
    <w:abstractNumId w:val="0"/>
  </w:num>
  <w:num w:numId="33">
    <w:abstractNumId w:val="59"/>
  </w:num>
  <w:num w:numId="34">
    <w:abstractNumId w:val="42"/>
  </w:num>
  <w:num w:numId="35">
    <w:abstractNumId w:val="37"/>
  </w:num>
  <w:num w:numId="36">
    <w:abstractNumId w:val="24"/>
  </w:num>
  <w:num w:numId="37">
    <w:abstractNumId w:val="28"/>
  </w:num>
  <w:num w:numId="38">
    <w:abstractNumId w:val="26"/>
  </w:num>
  <w:num w:numId="39">
    <w:abstractNumId w:val="60"/>
  </w:num>
  <w:num w:numId="40">
    <w:abstractNumId w:val="61"/>
  </w:num>
  <w:num w:numId="41">
    <w:abstractNumId w:val="61"/>
  </w:num>
  <w:num w:numId="42">
    <w:abstractNumId w:val="10"/>
  </w:num>
  <w:num w:numId="43">
    <w:abstractNumId w:val="14"/>
  </w:num>
  <w:num w:numId="44">
    <w:abstractNumId w:val="61"/>
  </w:num>
  <w:num w:numId="45">
    <w:abstractNumId w:val="61"/>
  </w:num>
  <w:num w:numId="46">
    <w:abstractNumId w:val="61"/>
  </w:num>
  <w:num w:numId="47">
    <w:abstractNumId w:val="61"/>
  </w:num>
  <w:num w:numId="48">
    <w:abstractNumId w:val="61"/>
    <w:lvlOverride w:ilvl="0">
      <w:lvl w:ilvl="0">
        <w:start w:val="1"/>
        <w:numFmt w:val="decimal"/>
        <w:pStyle w:val="Heading1"/>
        <w:lvlText w:val="%1."/>
        <w:lvlJc w:val="left"/>
        <w:pPr>
          <w:tabs>
            <w:tab w:val="num" w:pos="851"/>
          </w:tabs>
          <w:ind w:left="851" w:hanging="851"/>
        </w:pPr>
        <w:rPr>
          <w:rFonts w:hint="default"/>
          <w:b w:val="0"/>
          <w:i w:val="0"/>
          <w:sz w:val="50"/>
          <w:szCs w:val="50"/>
        </w:rPr>
      </w:lvl>
    </w:lvlOverride>
    <w:lvlOverride w:ilvl="1">
      <w:lvl w:ilvl="1">
        <w:start w:val="1"/>
        <w:numFmt w:val="decimal"/>
        <w:pStyle w:val="Heading2"/>
        <w:lvlText w:val="%1.%2"/>
        <w:lvlJc w:val="left"/>
        <w:pPr>
          <w:tabs>
            <w:tab w:val="num" w:pos="720"/>
          </w:tabs>
          <w:ind w:left="720" w:hanging="720"/>
        </w:pPr>
        <w:rPr>
          <w:rFonts w:hint="default"/>
          <w:b/>
          <w:i w:val="0"/>
          <w:color w:val="1F497D" w:themeColor="text2"/>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720"/>
          </w:tabs>
          <w:ind w:left="720" w:hanging="720"/>
        </w:pPr>
        <w:rPr>
          <w:rFonts w:ascii="Batang" w:hAnsi="Batang" w:hint="default"/>
          <w:b/>
          <w:sz w:val="22"/>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lvlText w:val=""/>
        <w:lvlJc w:val="left"/>
        <w:pPr>
          <w:ind w:left="0" w:firstLine="0"/>
        </w:pPr>
        <w:rPr>
          <w:rFonts w:hint="default"/>
        </w:rPr>
      </w:lvl>
    </w:lvlOverride>
  </w:num>
  <w:num w:numId="49">
    <w:abstractNumId w:val="47"/>
  </w:num>
  <w:num w:numId="50">
    <w:abstractNumId w:val="43"/>
  </w:num>
  <w:num w:numId="51">
    <w:abstractNumId w:val="15"/>
  </w:num>
  <w:num w:numId="52">
    <w:abstractNumId w:val="53"/>
  </w:num>
  <w:num w:numId="53">
    <w:abstractNumId w:val="32"/>
  </w:num>
  <w:num w:numId="54">
    <w:abstractNumId w:val="11"/>
  </w:num>
  <w:num w:numId="55">
    <w:abstractNumId w:val="20"/>
  </w:num>
  <w:num w:numId="56">
    <w:abstractNumId w:val="46"/>
  </w:num>
  <w:num w:numId="57">
    <w:abstractNumId w:val="12"/>
  </w:num>
  <w:num w:numId="58">
    <w:abstractNumId w:val="55"/>
  </w:num>
  <w:num w:numId="59">
    <w:abstractNumId w:val="2"/>
  </w:num>
  <w:num w:numId="60">
    <w:abstractNumId w:val="29"/>
  </w:num>
  <w:num w:numId="61">
    <w:abstractNumId w:val="56"/>
  </w:num>
  <w:num w:numId="62">
    <w:abstractNumId w:val="30"/>
  </w:num>
  <w:num w:numId="63">
    <w:abstractNumId w:val="63"/>
  </w:num>
  <w:num w:numId="64">
    <w:abstractNumId w:val="41"/>
  </w:num>
  <w:num w:numId="65">
    <w:abstractNumId w:val="3"/>
  </w:num>
  <w:num w:numId="66">
    <w:abstractNumId w:val="21"/>
  </w:num>
  <w:num w:numId="67">
    <w:abstractNumId w:val="9"/>
  </w:num>
  <w:num w:numId="68">
    <w:abstractNumId w:val="23"/>
  </w:num>
  <w:num w:numId="69">
    <w:abstractNumId w:val="16"/>
  </w:num>
  <w:num w:numId="70">
    <w:abstractNumId w:val="8"/>
  </w:num>
  <w:num w:numId="71">
    <w:abstractNumId w:val="5"/>
  </w:num>
  <w:num w:numId="72">
    <w:abstractNumId w:val="45"/>
  </w:num>
  <w:num w:numId="73">
    <w:abstractNumId w:val="22"/>
  </w:num>
  <w:num w:numId="74">
    <w:abstractNumId w:val="40"/>
  </w:num>
  <w:num w:numId="75">
    <w:abstractNumId w:val="1"/>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warno, Ryan">
    <w15:presenceInfo w15:providerId="None" w15:userId="Czwarno, 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lCEFfy0Hs0/aSNLBqdMjWqajftU=" w:salt="aRXI6zNxN/FQ1ETdMhGwfA=="/>
  <w:defaultTabStop w:val="567"/>
  <w:drawingGridHorizontalSpacing w:val="100"/>
  <w:drawingGridVerticalSpacing w:val="181"/>
  <w:displayHorizontalDrawingGridEvery w:val="0"/>
  <w:displayVerticalDrawingGridEvery w:val="0"/>
  <w:noPunctuationKerning/>
  <w:characterSpacingControl w:val="doNotCompress"/>
  <w:hdrShapeDefaults>
    <o:shapedefaults v:ext="edit" spidmax="40961" style="v-text-anchor:middle" fillcolor="#dce2ec" stroke="f">
      <v:fill color="#dce2ec"/>
      <v:stroke on="f"/>
      <v:shadow color="#969696"/>
      <o:colormru v:ext="edit" colors="#dce2ec,#b3c085,#97a9c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Letter" w:val="Y"/>
    <w:docVar w:name="Division" w:val="Government"/>
    <w:docVar w:name="DraftWatermark" w:val="0"/>
    <w:docVar w:name="Entity" w:val="KPMG"/>
    <w:docVar w:name="FilledIn" w:val="Y"/>
    <w:docVar w:name="FlagDuplex" w:val="1"/>
    <w:docVar w:name="IsPropDoc" w:val="Y"/>
    <w:docVar w:name="Office" w:val="Melbourne"/>
    <w:docVar w:name="OfficeIndex" w:val="10"/>
    <w:docVar w:name="PropCoverLetterSection" w:val="2"/>
    <w:docVar w:name="PropCoverLetterSectionNumber" w:val="2"/>
    <w:docVar w:name="PropLetterHeadInstalled" w:val="Y"/>
    <w:docVar w:name="PropLOBCount" w:val="5"/>
    <w:docVar w:name="PropLOBVal1" w:val="Audit||Financial Statement Audit||Middle Market Advisory||Accounting Advisory Services||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Asia Markets||China Business Practice||India Business Practice||Japanese Practice||Korea Business Practice||Singapore/Malaysia Business Practice"/>
    <w:docVar w:name="PropLOBVal2" w:val="Advisory||Board Advisory Services||Business Performance Services||Corporate Finance||Executive Search &amp; Selection||Financial Risk Management, Regulation &amp; Compliance||Forensic||Government Advisory Services||Internal Audit, Risk &amp; Control Services||IT Advisory||Property Advisory Services||Restructuring Services||Sustainability, Climate Change &amp; Water||Transaction Services||Middle Market Advisory||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Asia Markets||China Business Practice||India Business Practice||Japanese Practice||Korea Business Practice||Singapore/Malaysia Business Practice"/>
    <w:docVar w:name="PropLOBVal3" w:val="Tax||Corporate Tax||Global Transfer Pricing Services||Indirect Tax||International Corporate Tax||International Executive Services||Mergers &amp; Acquisitions Tax||Research &amp; Development||Superannuation &amp; Pension Funds||Middle Market Advisory||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Asia Markets||China Business Practice||India Business Practice||Japanese Practice||Korea Business Practice||Singapore/Malaysia Business Practice"/>
    <w:docVar w:name="PropLOBVal4" w:val="Australia||Asia Markets||China Business Practice||India Business Practice||Japanese Practice||Korea Business Practice||Singapore/Malaysia Business Practice||Finance||Human Resources||ITS||Marketing||Markets||Risk Management||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Not applicable"/>
    <w:docVar w:name="PropLOBVal5" w:val="Financial Services||Banking||Funds Management||Insurance||Private Equity||Real Estate||Superannuation"/>
    <w:docVar w:name="propTOCLevel" w:val="1"/>
    <w:docVar w:name="SelectedOffice" w:val="9"/>
    <w:docVar w:name="ToggleHeading" w:val="2"/>
  </w:docVars>
  <w:rsids>
    <w:rsidRoot w:val="006E7303"/>
    <w:rsid w:val="000005B4"/>
    <w:rsid w:val="0000280F"/>
    <w:rsid w:val="00002D8E"/>
    <w:rsid w:val="00006BCC"/>
    <w:rsid w:val="000116A5"/>
    <w:rsid w:val="0001322C"/>
    <w:rsid w:val="00013754"/>
    <w:rsid w:val="00020775"/>
    <w:rsid w:val="00020D9F"/>
    <w:rsid w:val="00022432"/>
    <w:rsid w:val="00022443"/>
    <w:rsid w:val="00027258"/>
    <w:rsid w:val="00031CDD"/>
    <w:rsid w:val="000326C2"/>
    <w:rsid w:val="00034AB9"/>
    <w:rsid w:val="0003568E"/>
    <w:rsid w:val="00035BB6"/>
    <w:rsid w:val="00041262"/>
    <w:rsid w:val="00053299"/>
    <w:rsid w:val="00053D30"/>
    <w:rsid w:val="000567F6"/>
    <w:rsid w:val="00062353"/>
    <w:rsid w:val="00064732"/>
    <w:rsid w:val="000649AC"/>
    <w:rsid w:val="000654E2"/>
    <w:rsid w:val="000654F9"/>
    <w:rsid w:val="00072E43"/>
    <w:rsid w:val="000807A2"/>
    <w:rsid w:val="00080873"/>
    <w:rsid w:val="00080FE6"/>
    <w:rsid w:val="00081B11"/>
    <w:rsid w:val="00081EEE"/>
    <w:rsid w:val="00082C19"/>
    <w:rsid w:val="00084DC4"/>
    <w:rsid w:val="00085628"/>
    <w:rsid w:val="00085F80"/>
    <w:rsid w:val="00086BAB"/>
    <w:rsid w:val="00086C8F"/>
    <w:rsid w:val="000912DF"/>
    <w:rsid w:val="00091CBD"/>
    <w:rsid w:val="0009249A"/>
    <w:rsid w:val="00096B17"/>
    <w:rsid w:val="00097A56"/>
    <w:rsid w:val="000A0B18"/>
    <w:rsid w:val="000A0F4E"/>
    <w:rsid w:val="000A1D3F"/>
    <w:rsid w:val="000A3DF6"/>
    <w:rsid w:val="000A4EB2"/>
    <w:rsid w:val="000A763F"/>
    <w:rsid w:val="000B3D31"/>
    <w:rsid w:val="000B6A8F"/>
    <w:rsid w:val="000C0E46"/>
    <w:rsid w:val="000C166B"/>
    <w:rsid w:val="000C1D4F"/>
    <w:rsid w:val="000C4539"/>
    <w:rsid w:val="000C4A73"/>
    <w:rsid w:val="000C61C3"/>
    <w:rsid w:val="000C68A1"/>
    <w:rsid w:val="000C6FE8"/>
    <w:rsid w:val="000D151E"/>
    <w:rsid w:val="000D1F8A"/>
    <w:rsid w:val="000D2FA4"/>
    <w:rsid w:val="000D5163"/>
    <w:rsid w:val="000D7B49"/>
    <w:rsid w:val="000E4CFA"/>
    <w:rsid w:val="000E6A41"/>
    <w:rsid w:val="000E70C7"/>
    <w:rsid w:val="000F04BA"/>
    <w:rsid w:val="000F4499"/>
    <w:rsid w:val="000F5BBF"/>
    <w:rsid w:val="000F6883"/>
    <w:rsid w:val="00104525"/>
    <w:rsid w:val="00110EC0"/>
    <w:rsid w:val="00112740"/>
    <w:rsid w:val="00112A9F"/>
    <w:rsid w:val="001133D6"/>
    <w:rsid w:val="00113BB9"/>
    <w:rsid w:val="00114CCB"/>
    <w:rsid w:val="0011634A"/>
    <w:rsid w:val="00116DB9"/>
    <w:rsid w:val="00117D93"/>
    <w:rsid w:val="00121A4D"/>
    <w:rsid w:val="00122C74"/>
    <w:rsid w:val="00123829"/>
    <w:rsid w:val="00123A33"/>
    <w:rsid w:val="00124006"/>
    <w:rsid w:val="001243F1"/>
    <w:rsid w:val="00125334"/>
    <w:rsid w:val="00126451"/>
    <w:rsid w:val="0013325C"/>
    <w:rsid w:val="00133EA1"/>
    <w:rsid w:val="0013713A"/>
    <w:rsid w:val="00137227"/>
    <w:rsid w:val="00137AC5"/>
    <w:rsid w:val="001400F3"/>
    <w:rsid w:val="00140E93"/>
    <w:rsid w:val="001429A3"/>
    <w:rsid w:val="0014372C"/>
    <w:rsid w:val="001463CB"/>
    <w:rsid w:val="00146D80"/>
    <w:rsid w:val="00152708"/>
    <w:rsid w:val="00153AB5"/>
    <w:rsid w:val="00154BF5"/>
    <w:rsid w:val="001566AF"/>
    <w:rsid w:val="001667E3"/>
    <w:rsid w:val="00166908"/>
    <w:rsid w:val="0016701D"/>
    <w:rsid w:val="00167B07"/>
    <w:rsid w:val="00171196"/>
    <w:rsid w:val="00171F38"/>
    <w:rsid w:val="00173206"/>
    <w:rsid w:val="00176458"/>
    <w:rsid w:val="00176483"/>
    <w:rsid w:val="00177F63"/>
    <w:rsid w:val="001804E0"/>
    <w:rsid w:val="0018371E"/>
    <w:rsid w:val="00185C88"/>
    <w:rsid w:val="001915B3"/>
    <w:rsid w:val="00192266"/>
    <w:rsid w:val="00196E06"/>
    <w:rsid w:val="001A2194"/>
    <w:rsid w:val="001A4E58"/>
    <w:rsid w:val="001A5D26"/>
    <w:rsid w:val="001B18CC"/>
    <w:rsid w:val="001B19F1"/>
    <w:rsid w:val="001C3B82"/>
    <w:rsid w:val="001C5315"/>
    <w:rsid w:val="001D0C18"/>
    <w:rsid w:val="001D3392"/>
    <w:rsid w:val="001E0A73"/>
    <w:rsid w:val="001E3226"/>
    <w:rsid w:val="001E3782"/>
    <w:rsid w:val="001E51F7"/>
    <w:rsid w:val="001E79EF"/>
    <w:rsid w:val="001F698B"/>
    <w:rsid w:val="001F75E6"/>
    <w:rsid w:val="001F7A65"/>
    <w:rsid w:val="00202587"/>
    <w:rsid w:val="00204910"/>
    <w:rsid w:val="00204AEF"/>
    <w:rsid w:val="00205833"/>
    <w:rsid w:val="002065CC"/>
    <w:rsid w:val="002076B3"/>
    <w:rsid w:val="00207AD3"/>
    <w:rsid w:val="0021077E"/>
    <w:rsid w:val="00211DAB"/>
    <w:rsid w:val="0021210C"/>
    <w:rsid w:val="00214335"/>
    <w:rsid w:val="00214BB3"/>
    <w:rsid w:val="00216CD9"/>
    <w:rsid w:val="002203AE"/>
    <w:rsid w:val="00221405"/>
    <w:rsid w:val="00222D1B"/>
    <w:rsid w:val="002277C5"/>
    <w:rsid w:val="00230AF8"/>
    <w:rsid w:val="00230E75"/>
    <w:rsid w:val="00230F75"/>
    <w:rsid w:val="00245BAC"/>
    <w:rsid w:val="002462F2"/>
    <w:rsid w:val="00246D7B"/>
    <w:rsid w:val="00251AA8"/>
    <w:rsid w:val="00254337"/>
    <w:rsid w:val="00254CEE"/>
    <w:rsid w:val="002564A7"/>
    <w:rsid w:val="00257DEE"/>
    <w:rsid w:val="00260FCC"/>
    <w:rsid w:val="002613FB"/>
    <w:rsid w:val="00273C15"/>
    <w:rsid w:val="0027545E"/>
    <w:rsid w:val="0027576B"/>
    <w:rsid w:val="0027585D"/>
    <w:rsid w:val="002761F8"/>
    <w:rsid w:val="00277054"/>
    <w:rsid w:val="002773B3"/>
    <w:rsid w:val="00277431"/>
    <w:rsid w:val="00277D3B"/>
    <w:rsid w:val="00280085"/>
    <w:rsid w:val="002827BC"/>
    <w:rsid w:val="00283947"/>
    <w:rsid w:val="00284BD9"/>
    <w:rsid w:val="00290304"/>
    <w:rsid w:val="00291383"/>
    <w:rsid w:val="00291FD1"/>
    <w:rsid w:val="00292200"/>
    <w:rsid w:val="00296376"/>
    <w:rsid w:val="00296825"/>
    <w:rsid w:val="00296D65"/>
    <w:rsid w:val="002971FB"/>
    <w:rsid w:val="002A1DE6"/>
    <w:rsid w:val="002A1F00"/>
    <w:rsid w:val="002A2B1E"/>
    <w:rsid w:val="002A31BE"/>
    <w:rsid w:val="002B2DC9"/>
    <w:rsid w:val="002B3554"/>
    <w:rsid w:val="002B3A62"/>
    <w:rsid w:val="002B4AE1"/>
    <w:rsid w:val="002B4D68"/>
    <w:rsid w:val="002B5667"/>
    <w:rsid w:val="002B6021"/>
    <w:rsid w:val="002C1BAF"/>
    <w:rsid w:val="002C28E6"/>
    <w:rsid w:val="002C3A22"/>
    <w:rsid w:val="002C3F91"/>
    <w:rsid w:val="002C64D4"/>
    <w:rsid w:val="002C66B9"/>
    <w:rsid w:val="002C713F"/>
    <w:rsid w:val="002D0A40"/>
    <w:rsid w:val="002D2746"/>
    <w:rsid w:val="002D2E33"/>
    <w:rsid w:val="002D4E6F"/>
    <w:rsid w:val="002D4F5C"/>
    <w:rsid w:val="002E3CC9"/>
    <w:rsid w:val="002E7ED9"/>
    <w:rsid w:val="002F0402"/>
    <w:rsid w:val="002F1404"/>
    <w:rsid w:val="002F5934"/>
    <w:rsid w:val="002F5F6C"/>
    <w:rsid w:val="00303E6F"/>
    <w:rsid w:val="00305FE2"/>
    <w:rsid w:val="00307A90"/>
    <w:rsid w:val="003111D6"/>
    <w:rsid w:val="00311294"/>
    <w:rsid w:val="0031252F"/>
    <w:rsid w:val="00312B27"/>
    <w:rsid w:val="00312CF9"/>
    <w:rsid w:val="00314C6C"/>
    <w:rsid w:val="00317B90"/>
    <w:rsid w:val="003211A3"/>
    <w:rsid w:val="0032189C"/>
    <w:rsid w:val="0032404D"/>
    <w:rsid w:val="0032515E"/>
    <w:rsid w:val="00327474"/>
    <w:rsid w:val="003274BE"/>
    <w:rsid w:val="00331969"/>
    <w:rsid w:val="0033686C"/>
    <w:rsid w:val="003400F4"/>
    <w:rsid w:val="0034414A"/>
    <w:rsid w:val="00346AAF"/>
    <w:rsid w:val="003479ED"/>
    <w:rsid w:val="003521F9"/>
    <w:rsid w:val="00353554"/>
    <w:rsid w:val="003563E6"/>
    <w:rsid w:val="00356EEF"/>
    <w:rsid w:val="00360FDC"/>
    <w:rsid w:val="0036360C"/>
    <w:rsid w:val="0036399E"/>
    <w:rsid w:val="0036569E"/>
    <w:rsid w:val="00366E35"/>
    <w:rsid w:val="003710BF"/>
    <w:rsid w:val="00371FF9"/>
    <w:rsid w:val="00373EDD"/>
    <w:rsid w:val="00375C59"/>
    <w:rsid w:val="00376E38"/>
    <w:rsid w:val="00377910"/>
    <w:rsid w:val="003806B6"/>
    <w:rsid w:val="00380B89"/>
    <w:rsid w:val="00380DFE"/>
    <w:rsid w:val="00384308"/>
    <w:rsid w:val="00384576"/>
    <w:rsid w:val="003848C4"/>
    <w:rsid w:val="003854E3"/>
    <w:rsid w:val="00387C65"/>
    <w:rsid w:val="00387F06"/>
    <w:rsid w:val="00391F6C"/>
    <w:rsid w:val="003948E8"/>
    <w:rsid w:val="00395058"/>
    <w:rsid w:val="00397D52"/>
    <w:rsid w:val="003A0C76"/>
    <w:rsid w:val="003A1167"/>
    <w:rsid w:val="003A40FB"/>
    <w:rsid w:val="003A4512"/>
    <w:rsid w:val="003A5104"/>
    <w:rsid w:val="003A68DD"/>
    <w:rsid w:val="003A710E"/>
    <w:rsid w:val="003B1D61"/>
    <w:rsid w:val="003B4C16"/>
    <w:rsid w:val="003B65E1"/>
    <w:rsid w:val="003C3559"/>
    <w:rsid w:val="003C5887"/>
    <w:rsid w:val="003C669E"/>
    <w:rsid w:val="003C6971"/>
    <w:rsid w:val="003C744C"/>
    <w:rsid w:val="003D1D52"/>
    <w:rsid w:val="003D5BE3"/>
    <w:rsid w:val="003D6C71"/>
    <w:rsid w:val="003D7241"/>
    <w:rsid w:val="003D7909"/>
    <w:rsid w:val="003E0763"/>
    <w:rsid w:val="003E15CA"/>
    <w:rsid w:val="003E20BB"/>
    <w:rsid w:val="003E402E"/>
    <w:rsid w:val="003E4ADF"/>
    <w:rsid w:val="003E7C2D"/>
    <w:rsid w:val="003F23C5"/>
    <w:rsid w:val="003F38A7"/>
    <w:rsid w:val="003F38F9"/>
    <w:rsid w:val="003F7775"/>
    <w:rsid w:val="00404C1B"/>
    <w:rsid w:val="00404DA1"/>
    <w:rsid w:val="004058E0"/>
    <w:rsid w:val="00406473"/>
    <w:rsid w:val="004128EA"/>
    <w:rsid w:val="0041322A"/>
    <w:rsid w:val="004141DF"/>
    <w:rsid w:val="00415881"/>
    <w:rsid w:val="00415C47"/>
    <w:rsid w:val="004163BE"/>
    <w:rsid w:val="00417C9E"/>
    <w:rsid w:val="00423F0A"/>
    <w:rsid w:val="00426606"/>
    <w:rsid w:val="00426E9E"/>
    <w:rsid w:val="00432ED7"/>
    <w:rsid w:val="00434E5B"/>
    <w:rsid w:val="004353B2"/>
    <w:rsid w:val="00437B0C"/>
    <w:rsid w:val="00437D23"/>
    <w:rsid w:val="004403C0"/>
    <w:rsid w:val="004429C2"/>
    <w:rsid w:val="00443325"/>
    <w:rsid w:val="0045029A"/>
    <w:rsid w:val="00452084"/>
    <w:rsid w:val="00456179"/>
    <w:rsid w:val="004565A4"/>
    <w:rsid w:val="00457987"/>
    <w:rsid w:val="00460743"/>
    <w:rsid w:val="004612B8"/>
    <w:rsid w:val="00465FF1"/>
    <w:rsid w:val="0047115A"/>
    <w:rsid w:val="004749EE"/>
    <w:rsid w:val="00475293"/>
    <w:rsid w:val="00475B33"/>
    <w:rsid w:val="00476670"/>
    <w:rsid w:val="0047726C"/>
    <w:rsid w:val="00480AEA"/>
    <w:rsid w:val="0048443E"/>
    <w:rsid w:val="00484720"/>
    <w:rsid w:val="00487D4D"/>
    <w:rsid w:val="00493EB6"/>
    <w:rsid w:val="004969A8"/>
    <w:rsid w:val="004969CF"/>
    <w:rsid w:val="004A085C"/>
    <w:rsid w:val="004A08D6"/>
    <w:rsid w:val="004A113E"/>
    <w:rsid w:val="004A154D"/>
    <w:rsid w:val="004A253B"/>
    <w:rsid w:val="004A6C85"/>
    <w:rsid w:val="004A6ED2"/>
    <w:rsid w:val="004A7439"/>
    <w:rsid w:val="004B1EB0"/>
    <w:rsid w:val="004B38BF"/>
    <w:rsid w:val="004B3F7E"/>
    <w:rsid w:val="004C0FE5"/>
    <w:rsid w:val="004C2C5E"/>
    <w:rsid w:val="004C3361"/>
    <w:rsid w:val="004C6C6D"/>
    <w:rsid w:val="004C782D"/>
    <w:rsid w:val="004D322B"/>
    <w:rsid w:val="004D42A6"/>
    <w:rsid w:val="004E014D"/>
    <w:rsid w:val="004E0A8D"/>
    <w:rsid w:val="004E3B7F"/>
    <w:rsid w:val="004E4A64"/>
    <w:rsid w:val="004E5B11"/>
    <w:rsid w:val="004E63B3"/>
    <w:rsid w:val="004F2769"/>
    <w:rsid w:val="004F2DFF"/>
    <w:rsid w:val="004F31A1"/>
    <w:rsid w:val="004F374E"/>
    <w:rsid w:val="004F479E"/>
    <w:rsid w:val="004F5281"/>
    <w:rsid w:val="004F637E"/>
    <w:rsid w:val="004F6F27"/>
    <w:rsid w:val="004F7660"/>
    <w:rsid w:val="004F7C20"/>
    <w:rsid w:val="00500F19"/>
    <w:rsid w:val="00501DB0"/>
    <w:rsid w:val="00501E2F"/>
    <w:rsid w:val="00503BE9"/>
    <w:rsid w:val="00505054"/>
    <w:rsid w:val="005057F6"/>
    <w:rsid w:val="00506A3C"/>
    <w:rsid w:val="00507C15"/>
    <w:rsid w:val="00510435"/>
    <w:rsid w:val="00510573"/>
    <w:rsid w:val="00510BF5"/>
    <w:rsid w:val="00516649"/>
    <w:rsid w:val="00516726"/>
    <w:rsid w:val="00516754"/>
    <w:rsid w:val="0051730E"/>
    <w:rsid w:val="00520E31"/>
    <w:rsid w:val="005252FD"/>
    <w:rsid w:val="0052566B"/>
    <w:rsid w:val="00525E2A"/>
    <w:rsid w:val="005342FD"/>
    <w:rsid w:val="00534D25"/>
    <w:rsid w:val="0053701E"/>
    <w:rsid w:val="005434E1"/>
    <w:rsid w:val="005434E3"/>
    <w:rsid w:val="0054373B"/>
    <w:rsid w:val="0054534C"/>
    <w:rsid w:val="00547178"/>
    <w:rsid w:val="005543B6"/>
    <w:rsid w:val="00554F36"/>
    <w:rsid w:val="00556713"/>
    <w:rsid w:val="005603B2"/>
    <w:rsid w:val="00561DC5"/>
    <w:rsid w:val="005625D7"/>
    <w:rsid w:val="0057107B"/>
    <w:rsid w:val="00572237"/>
    <w:rsid w:val="0057291A"/>
    <w:rsid w:val="005736F1"/>
    <w:rsid w:val="00573EDB"/>
    <w:rsid w:val="0057622C"/>
    <w:rsid w:val="005772FD"/>
    <w:rsid w:val="00580DB1"/>
    <w:rsid w:val="00580F78"/>
    <w:rsid w:val="0058569E"/>
    <w:rsid w:val="00590F17"/>
    <w:rsid w:val="0059201E"/>
    <w:rsid w:val="0059297E"/>
    <w:rsid w:val="00594855"/>
    <w:rsid w:val="00595484"/>
    <w:rsid w:val="00595A99"/>
    <w:rsid w:val="00595F20"/>
    <w:rsid w:val="005973A6"/>
    <w:rsid w:val="005A34DB"/>
    <w:rsid w:val="005A4E06"/>
    <w:rsid w:val="005A50FE"/>
    <w:rsid w:val="005A7F62"/>
    <w:rsid w:val="005B0D03"/>
    <w:rsid w:val="005B454E"/>
    <w:rsid w:val="005B56BE"/>
    <w:rsid w:val="005B6B41"/>
    <w:rsid w:val="005C0582"/>
    <w:rsid w:val="005C0BBC"/>
    <w:rsid w:val="005C21CB"/>
    <w:rsid w:val="005C7EE9"/>
    <w:rsid w:val="005D1933"/>
    <w:rsid w:val="005D2B16"/>
    <w:rsid w:val="005D2EA4"/>
    <w:rsid w:val="005D66A5"/>
    <w:rsid w:val="005E3927"/>
    <w:rsid w:val="005E4165"/>
    <w:rsid w:val="005E4FE9"/>
    <w:rsid w:val="005E595A"/>
    <w:rsid w:val="005F093C"/>
    <w:rsid w:val="005F14AC"/>
    <w:rsid w:val="005F2DE4"/>
    <w:rsid w:val="005F556A"/>
    <w:rsid w:val="005F66CE"/>
    <w:rsid w:val="005F7A22"/>
    <w:rsid w:val="00600951"/>
    <w:rsid w:val="00603C34"/>
    <w:rsid w:val="0060458D"/>
    <w:rsid w:val="00604E3D"/>
    <w:rsid w:val="00607EB9"/>
    <w:rsid w:val="00617A1C"/>
    <w:rsid w:val="00624B13"/>
    <w:rsid w:val="006303B1"/>
    <w:rsid w:val="00635386"/>
    <w:rsid w:val="00637AE7"/>
    <w:rsid w:val="00640CE4"/>
    <w:rsid w:val="0064284E"/>
    <w:rsid w:val="00645804"/>
    <w:rsid w:val="00646FB9"/>
    <w:rsid w:val="00647264"/>
    <w:rsid w:val="00647849"/>
    <w:rsid w:val="006543A9"/>
    <w:rsid w:val="00654664"/>
    <w:rsid w:val="00654BB8"/>
    <w:rsid w:val="00655488"/>
    <w:rsid w:val="00655575"/>
    <w:rsid w:val="0065786C"/>
    <w:rsid w:val="00660546"/>
    <w:rsid w:val="00661AB5"/>
    <w:rsid w:val="00663583"/>
    <w:rsid w:val="00663623"/>
    <w:rsid w:val="00663DFE"/>
    <w:rsid w:val="00663FC4"/>
    <w:rsid w:val="00666DF2"/>
    <w:rsid w:val="00670AD2"/>
    <w:rsid w:val="00671338"/>
    <w:rsid w:val="00675342"/>
    <w:rsid w:val="00675A70"/>
    <w:rsid w:val="00676741"/>
    <w:rsid w:val="006821FB"/>
    <w:rsid w:val="006847BB"/>
    <w:rsid w:val="006867D1"/>
    <w:rsid w:val="00686BA1"/>
    <w:rsid w:val="006872CE"/>
    <w:rsid w:val="006923B9"/>
    <w:rsid w:val="00692844"/>
    <w:rsid w:val="0069390E"/>
    <w:rsid w:val="00694DA1"/>
    <w:rsid w:val="00697FD9"/>
    <w:rsid w:val="006A118F"/>
    <w:rsid w:val="006A3D0A"/>
    <w:rsid w:val="006A4644"/>
    <w:rsid w:val="006A511D"/>
    <w:rsid w:val="006A6551"/>
    <w:rsid w:val="006A72C4"/>
    <w:rsid w:val="006B001F"/>
    <w:rsid w:val="006B25E4"/>
    <w:rsid w:val="006B2695"/>
    <w:rsid w:val="006B3EEC"/>
    <w:rsid w:val="006B73AA"/>
    <w:rsid w:val="006C0BA5"/>
    <w:rsid w:val="006C1561"/>
    <w:rsid w:val="006C369F"/>
    <w:rsid w:val="006C5573"/>
    <w:rsid w:val="006D1580"/>
    <w:rsid w:val="006D291B"/>
    <w:rsid w:val="006D2D80"/>
    <w:rsid w:val="006D3D33"/>
    <w:rsid w:val="006D4C4B"/>
    <w:rsid w:val="006D4D1C"/>
    <w:rsid w:val="006D4F30"/>
    <w:rsid w:val="006D731F"/>
    <w:rsid w:val="006E297C"/>
    <w:rsid w:val="006E7303"/>
    <w:rsid w:val="006F0603"/>
    <w:rsid w:val="006F2B07"/>
    <w:rsid w:val="006F52DF"/>
    <w:rsid w:val="006F53C4"/>
    <w:rsid w:val="006F7775"/>
    <w:rsid w:val="00703833"/>
    <w:rsid w:val="00703C13"/>
    <w:rsid w:val="00704779"/>
    <w:rsid w:val="00705649"/>
    <w:rsid w:val="0070584D"/>
    <w:rsid w:val="00706DD9"/>
    <w:rsid w:val="00707F05"/>
    <w:rsid w:val="00711166"/>
    <w:rsid w:val="00711E3F"/>
    <w:rsid w:val="00711EFD"/>
    <w:rsid w:val="00712B63"/>
    <w:rsid w:val="00712B80"/>
    <w:rsid w:val="00714098"/>
    <w:rsid w:val="00715191"/>
    <w:rsid w:val="00716FB8"/>
    <w:rsid w:val="00721453"/>
    <w:rsid w:val="007238B5"/>
    <w:rsid w:val="00724035"/>
    <w:rsid w:val="00727A49"/>
    <w:rsid w:val="00731305"/>
    <w:rsid w:val="00733989"/>
    <w:rsid w:val="00733BC5"/>
    <w:rsid w:val="00733E30"/>
    <w:rsid w:val="0073717D"/>
    <w:rsid w:val="00740AFB"/>
    <w:rsid w:val="007439CF"/>
    <w:rsid w:val="00744AC3"/>
    <w:rsid w:val="00746197"/>
    <w:rsid w:val="00747994"/>
    <w:rsid w:val="00747B3A"/>
    <w:rsid w:val="00747DE7"/>
    <w:rsid w:val="007500A3"/>
    <w:rsid w:val="00751931"/>
    <w:rsid w:val="0075372A"/>
    <w:rsid w:val="007555C7"/>
    <w:rsid w:val="00760FF0"/>
    <w:rsid w:val="00763518"/>
    <w:rsid w:val="00766959"/>
    <w:rsid w:val="007704F0"/>
    <w:rsid w:val="007713DD"/>
    <w:rsid w:val="00773735"/>
    <w:rsid w:val="00774119"/>
    <w:rsid w:val="00776267"/>
    <w:rsid w:val="00780636"/>
    <w:rsid w:val="0078227A"/>
    <w:rsid w:val="00783399"/>
    <w:rsid w:val="007839C8"/>
    <w:rsid w:val="00783F81"/>
    <w:rsid w:val="0078416C"/>
    <w:rsid w:val="00785A17"/>
    <w:rsid w:val="00787C4E"/>
    <w:rsid w:val="00787CAF"/>
    <w:rsid w:val="00787F66"/>
    <w:rsid w:val="00790E57"/>
    <w:rsid w:val="00793406"/>
    <w:rsid w:val="007978B6"/>
    <w:rsid w:val="007A18B9"/>
    <w:rsid w:val="007A386F"/>
    <w:rsid w:val="007A43EF"/>
    <w:rsid w:val="007A5F9E"/>
    <w:rsid w:val="007B04BA"/>
    <w:rsid w:val="007B190C"/>
    <w:rsid w:val="007B1F41"/>
    <w:rsid w:val="007B2CFB"/>
    <w:rsid w:val="007B6D13"/>
    <w:rsid w:val="007C1159"/>
    <w:rsid w:val="007C6B2D"/>
    <w:rsid w:val="007C74FD"/>
    <w:rsid w:val="007D0A0E"/>
    <w:rsid w:val="007D150E"/>
    <w:rsid w:val="007E2D93"/>
    <w:rsid w:val="007E34D6"/>
    <w:rsid w:val="007E3E5D"/>
    <w:rsid w:val="007F0811"/>
    <w:rsid w:val="007F2B9C"/>
    <w:rsid w:val="007F4B7E"/>
    <w:rsid w:val="007F4EBA"/>
    <w:rsid w:val="007F7DD7"/>
    <w:rsid w:val="0080030D"/>
    <w:rsid w:val="00801D1D"/>
    <w:rsid w:val="0080631B"/>
    <w:rsid w:val="008073F9"/>
    <w:rsid w:val="008101BA"/>
    <w:rsid w:val="00810C3A"/>
    <w:rsid w:val="00812F97"/>
    <w:rsid w:val="0082154B"/>
    <w:rsid w:val="0082378E"/>
    <w:rsid w:val="0082787F"/>
    <w:rsid w:val="008314C1"/>
    <w:rsid w:val="008329C3"/>
    <w:rsid w:val="00834362"/>
    <w:rsid w:val="008372DE"/>
    <w:rsid w:val="0085168E"/>
    <w:rsid w:val="00851842"/>
    <w:rsid w:val="00856D8A"/>
    <w:rsid w:val="00857D81"/>
    <w:rsid w:val="00861D0E"/>
    <w:rsid w:val="00861E4C"/>
    <w:rsid w:val="0086787B"/>
    <w:rsid w:val="00870137"/>
    <w:rsid w:val="00870520"/>
    <w:rsid w:val="008725A5"/>
    <w:rsid w:val="008769D4"/>
    <w:rsid w:val="00882D14"/>
    <w:rsid w:val="00882F7F"/>
    <w:rsid w:val="0088336F"/>
    <w:rsid w:val="00884AE5"/>
    <w:rsid w:val="0088614F"/>
    <w:rsid w:val="0088692D"/>
    <w:rsid w:val="008900DA"/>
    <w:rsid w:val="0089328C"/>
    <w:rsid w:val="008941AF"/>
    <w:rsid w:val="0089605F"/>
    <w:rsid w:val="00896B62"/>
    <w:rsid w:val="00897660"/>
    <w:rsid w:val="00897860"/>
    <w:rsid w:val="008A08D0"/>
    <w:rsid w:val="008A18F8"/>
    <w:rsid w:val="008A4364"/>
    <w:rsid w:val="008A4A47"/>
    <w:rsid w:val="008B0EED"/>
    <w:rsid w:val="008B3C0E"/>
    <w:rsid w:val="008B4138"/>
    <w:rsid w:val="008B51A6"/>
    <w:rsid w:val="008B55A5"/>
    <w:rsid w:val="008D327A"/>
    <w:rsid w:val="008D3DB7"/>
    <w:rsid w:val="008D45A1"/>
    <w:rsid w:val="008E0A89"/>
    <w:rsid w:val="008E2A87"/>
    <w:rsid w:val="008E3005"/>
    <w:rsid w:val="008E6408"/>
    <w:rsid w:val="008E6667"/>
    <w:rsid w:val="008F0B76"/>
    <w:rsid w:val="008F1102"/>
    <w:rsid w:val="008F1531"/>
    <w:rsid w:val="008F5BCA"/>
    <w:rsid w:val="00902593"/>
    <w:rsid w:val="00903E23"/>
    <w:rsid w:val="00904B36"/>
    <w:rsid w:val="0090735F"/>
    <w:rsid w:val="00907ED0"/>
    <w:rsid w:val="00907EE8"/>
    <w:rsid w:val="009102C2"/>
    <w:rsid w:val="00911950"/>
    <w:rsid w:val="00912BE2"/>
    <w:rsid w:val="009131FD"/>
    <w:rsid w:val="009153AF"/>
    <w:rsid w:val="00916E36"/>
    <w:rsid w:val="00921730"/>
    <w:rsid w:val="0092758E"/>
    <w:rsid w:val="00930490"/>
    <w:rsid w:val="00940919"/>
    <w:rsid w:val="0094198F"/>
    <w:rsid w:val="00943AE8"/>
    <w:rsid w:val="009519F9"/>
    <w:rsid w:val="009562D5"/>
    <w:rsid w:val="0095665E"/>
    <w:rsid w:val="00960042"/>
    <w:rsid w:val="009623C1"/>
    <w:rsid w:val="00962BC6"/>
    <w:rsid w:val="009639E5"/>
    <w:rsid w:val="0096539B"/>
    <w:rsid w:val="009676A6"/>
    <w:rsid w:val="00970C45"/>
    <w:rsid w:val="0097264A"/>
    <w:rsid w:val="0097483A"/>
    <w:rsid w:val="00975284"/>
    <w:rsid w:val="0098096F"/>
    <w:rsid w:val="0098226D"/>
    <w:rsid w:val="00985A52"/>
    <w:rsid w:val="009907F2"/>
    <w:rsid w:val="009930FE"/>
    <w:rsid w:val="009947C9"/>
    <w:rsid w:val="00996C08"/>
    <w:rsid w:val="00997190"/>
    <w:rsid w:val="00997495"/>
    <w:rsid w:val="009A03D0"/>
    <w:rsid w:val="009A4503"/>
    <w:rsid w:val="009A76DB"/>
    <w:rsid w:val="009B0CF7"/>
    <w:rsid w:val="009B6DCD"/>
    <w:rsid w:val="009B71D2"/>
    <w:rsid w:val="009B7F2A"/>
    <w:rsid w:val="009C26EE"/>
    <w:rsid w:val="009C2DFC"/>
    <w:rsid w:val="009D165B"/>
    <w:rsid w:val="009D25E4"/>
    <w:rsid w:val="009D3865"/>
    <w:rsid w:val="009D39B8"/>
    <w:rsid w:val="009D39ED"/>
    <w:rsid w:val="009D3C42"/>
    <w:rsid w:val="009D541E"/>
    <w:rsid w:val="009E049F"/>
    <w:rsid w:val="009E2662"/>
    <w:rsid w:val="009E3909"/>
    <w:rsid w:val="009E4E67"/>
    <w:rsid w:val="009E6828"/>
    <w:rsid w:val="009E6942"/>
    <w:rsid w:val="009F0F54"/>
    <w:rsid w:val="009F1B37"/>
    <w:rsid w:val="009F591E"/>
    <w:rsid w:val="009F5BCF"/>
    <w:rsid w:val="009F6874"/>
    <w:rsid w:val="00A01F1D"/>
    <w:rsid w:val="00A02A41"/>
    <w:rsid w:val="00A04DBD"/>
    <w:rsid w:val="00A04EA9"/>
    <w:rsid w:val="00A06BEC"/>
    <w:rsid w:val="00A15D0D"/>
    <w:rsid w:val="00A22118"/>
    <w:rsid w:val="00A22BDE"/>
    <w:rsid w:val="00A23C56"/>
    <w:rsid w:val="00A24F0F"/>
    <w:rsid w:val="00A250A1"/>
    <w:rsid w:val="00A27D8C"/>
    <w:rsid w:val="00A33124"/>
    <w:rsid w:val="00A34A15"/>
    <w:rsid w:val="00A34EAF"/>
    <w:rsid w:val="00A4004B"/>
    <w:rsid w:val="00A4031F"/>
    <w:rsid w:val="00A40B63"/>
    <w:rsid w:val="00A430E6"/>
    <w:rsid w:val="00A4372D"/>
    <w:rsid w:val="00A476BB"/>
    <w:rsid w:val="00A5161F"/>
    <w:rsid w:val="00A543BF"/>
    <w:rsid w:val="00A55667"/>
    <w:rsid w:val="00A56DED"/>
    <w:rsid w:val="00A5774C"/>
    <w:rsid w:val="00A61490"/>
    <w:rsid w:val="00A64540"/>
    <w:rsid w:val="00A6735A"/>
    <w:rsid w:val="00A67586"/>
    <w:rsid w:val="00A75669"/>
    <w:rsid w:val="00A7677F"/>
    <w:rsid w:val="00A80AE6"/>
    <w:rsid w:val="00A84430"/>
    <w:rsid w:val="00A87098"/>
    <w:rsid w:val="00A87F86"/>
    <w:rsid w:val="00A91CBF"/>
    <w:rsid w:val="00A94E5C"/>
    <w:rsid w:val="00A97ACD"/>
    <w:rsid w:val="00AA1AE5"/>
    <w:rsid w:val="00AA378C"/>
    <w:rsid w:val="00AA7B28"/>
    <w:rsid w:val="00AB1DFD"/>
    <w:rsid w:val="00AB3FC8"/>
    <w:rsid w:val="00AB4509"/>
    <w:rsid w:val="00AB4DF4"/>
    <w:rsid w:val="00AB6627"/>
    <w:rsid w:val="00AC2207"/>
    <w:rsid w:val="00AC338C"/>
    <w:rsid w:val="00AC458D"/>
    <w:rsid w:val="00AC4D89"/>
    <w:rsid w:val="00AC5A1A"/>
    <w:rsid w:val="00AC6FD2"/>
    <w:rsid w:val="00AD0EFB"/>
    <w:rsid w:val="00AD1951"/>
    <w:rsid w:val="00AD220C"/>
    <w:rsid w:val="00AD53BE"/>
    <w:rsid w:val="00AE24C3"/>
    <w:rsid w:val="00AE3274"/>
    <w:rsid w:val="00AE4E04"/>
    <w:rsid w:val="00AE7360"/>
    <w:rsid w:val="00AF0D7B"/>
    <w:rsid w:val="00AF0D88"/>
    <w:rsid w:val="00AF54ED"/>
    <w:rsid w:val="00AF57DB"/>
    <w:rsid w:val="00AF76BC"/>
    <w:rsid w:val="00B00B8D"/>
    <w:rsid w:val="00B029CE"/>
    <w:rsid w:val="00B04071"/>
    <w:rsid w:val="00B05973"/>
    <w:rsid w:val="00B15C96"/>
    <w:rsid w:val="00B163D4"/>
    <w:rsid w:val="00B17142"/>
    <w:rsid w:val="00B207C3"/>
    <w:rsid w:val="00B20D66"/>
    <w:rsid w:val="00B2543F"/>
    <w:rsid w:val="00B30151"/>
    <w:rsid w:val="00B32C54"/>
    <w:rsid w:val="00B3408B"/>
    <w:rsid w:val="00B35380"/>
    <w:rsid w:val="00B42727"/>
    <w:rsid w:val="00B430C2"/>
    <w:rsid w:val="00B4339F"/>
    <w:rsid w:val="00B45449"/>
    <w:rsid w:val="00B50822"/>
    <w:rsid w:val="00B525CF"/>
    <w:rsid w:val="00B5584D"/>
    <w:rsid w:val="00B562F1"/>
    <w:rsid w:val="00B5678D"/>
    <w:rsid w:val="00B57704"/>
    <w:rsid w:val="00B57D62"/>
    <w:rsid w:val="00B62805"/>
    <w:rsid w:val="00B62DA7"/>
    <w:rsid w:val="00B65703"/>
    <w:rsid w:val="00B6644E"/>
    <w:rsid w:val="00B67785"/>
    <w:rsid w:val="00B73779"/>
    <w:rsid w:val="00B81D79"/>
    <w:rsid w:val="00B8278F"/>
    <w:rsid w:val="00B84A16"/>
    <w:rsid w:val="00B84F05"/>
    <w:rsid w:val="00B84F35"/>
    <w:rsid w:val="00B87D92"/>
    <w:rsid w:val="00B90A4C"/>
    <w:rsid w:val="00B930C6"/>
    <w:rsid w:val="00B94C6C"/>
    <w:rsid w:val="00BA148A"/>
    <w:rsid w:val="00BA2B42"/>
    <w:rsid w:val="00BA4192"/>
    <w:rsid w:val="00BA770F"/>
    <w:rsid w:val="00BA77F4"/>
    <w:rsid w:val="00BA7FAA"/>
    <w:rsid w:val="00BB0B2D"/>
    <w:rsid w:val="00BB0D61"/>
    <w:rsid w:val="00BB28AE"/>
    <w:rsid w:val="00BB2E2A"/>
    <w:rsid w:val="00BB7442"/>
    <w:rsid w:val="00BB7AFC"/>
    <w:rsid w:val="00BC0D33"/>
    <w:rsid w:val="00BC1F78"/>
    <w:rsid w:val="00BC2834"/>
    <w:rsid w:val="00BC2CC0"/>
    <w:rsid w:val="00BC46B9"/>
    <w:rsid w:val="00BC6E32"/>
    <w:rsid w:val="00BC7903"/>
    <w:rsid w:val="00BD0C5D"/>
    <w:rsid w:val="00BD38F3"/>
    <w:rsid w:val="00BD68E3"/>
    <w:rsid w:val="00BD6FED"/>
    <w:rsid w:val="00BD70F6"/>
    <w:rsid w:val="00BE0F72"/>
    <w:rsid w:val="00BE1741"/>
    <w:rsid w:val="00BE1C68"/>
    <w:rsid w:val="00BE33E5"/>
    <w:rsid w:val="00BE5B19"/>
    <w:rsid w:val="00BE5D39"/>
    <w:rsid w:val="00BE7E2C"/>
    <w:rsid w:val="00BF01B9"/>
    <w:rsid w:val="00BF0B90"/>
    <w:rsid w:val="00C008A2"/>
    <w:rsid w:val="00C033A6"/>
    <w:rsid w:val="00C0382F"/>
    <w:rsid w:val="00C0778E"/>
    <w:rsid w:val="00C10579"/>
    <w:rsid w:val="00C10AC9"/>
    <w:rsid w:val="00C12286"/>
    <w:rsid w:val="00C1410E"/>
    <w:rsid w:val="00C14188"/>
    <w:rsid w:val="00C1523D"/>
    <w:rsid w:val="00C156AB"/>
    <w:rsid w:val="00C173A0"/>
    <w:rsid w:val="00C17435"/>
    <w:rsid w:val="00C20F9F"/>
    <w:rsid w:val="00C219CB"/>
    <w:rsid w:val="00C2249E"/>
    <w:rsid w:val="00C230FC"/>
    <w:rsid w:val="00C2387E"/>
    <w:rsid w:val="00C2392F"/>
    <w:rsid w:val="00C25D48"/>
    <w:rsid w:val="00C27A02"/>
    <w:rsid w:val="00C3103F"/>
    <w:rsid w:val="00C31414"/>
    <w:rsid w:val="00C31CE7"/>
    <w:rsid w:val="00C32A35"/>
    <w:rsid w:val="00C32D59"/>
    <w:rsid w:val="00C33801"/>
    <w:rsid w:val="00C35658"/>
    <w:rsid w:val="00C4086F"/>
    <w:rsid w:val="00C40B5A"/>
    <w:rsid w:val="00C40D9B"/>
    <w:rsid w:val="00C4113D"/>
    <w:rsid w:val="00C42067"/>
    <w:rsid w:val="00C46951"/>
    <w:rsid w:val="00C46C1D"/>
    <w:rsid w:val="00C47695"/>
    <w:rsid w:val="00C51028"/>
    <w:rsid w:val="00C5203D"/>
    <w:rsid w:val="00C52269"/>
    <w:rsid w:val="00C52F0F"/>
    <w:rsid w:val="00C54B70"/>
    <w:rsid w:val="00C56644"/>
    <w:rsid w:val="00C60F9F"/>
    <w:rsid w:val="00C629F5"/>
    <w:rsid w:val="00C64187"/>
    <w:rsid w:val="00C644E3"/>
    <w:rsid w:val="00C67B4B"/>
    <w:rsid w:val="00C72EAE"/>
    <w:rsid w:val="00C7390A"/>
    <w:rsid w:val="00C745D9"/>
    <w:rsid w:val="00C7708F"/>
    <w:rsid w:val="00C8092F"/>
    <w:rsid w:val="00C83D93"/>
    <w:rsid w:val="00C905B5"/>
    <w:rsid w:val="00C90AC1"/>
    <w:rsid w:val="00C91AE2"/>
    <w:rsid w:val="00C974BC"/>
    <w:rsid w:val="00CA34C8"/>
    <w:rsid w:val="00CA46FE"/>
    <w:rsid w:val="00CA4714"/>
    <w:rsid w:val="00CA65F2"/>
    <w:rsid w:val="00CB179D"/>
    <w:rsid w:val="00CB2224"/>
    <w:rsid w:val="00CB28A3"/>
    <w:rsid w:val="00CB3B01"/>
    <w:rsid w:val="00CB669B"/>
    <w:rsid w:val="00CB75DE"/>
    <w:rsid w:val="00CC0EC1"/>
    <w:rsid w:val="00CC1A65"/>
    <w:rsid w:val="00CC702A"/>
    <w:rsid w:val="00CD0DBD"/>
    <w:rsid w:val="00CD1276"/>
    <w:rsid w:val="00CD1BFF"/>
    <w:rsid w:val="00CD24E0"/>
    <w:rsid w:val="00CD277D"/>
    <w:rsid w:val="00CD4A31"/>
    <w:rsid w:val="00CE67AF"/>
    <w:rsid w:val="00CE68BD"/>
    <w:rsid w:val="00CF1F8C"/>
    <w:rsid w:val="00CF32E0"/>
    <w:rsid w:val="00CF4243"/>
    <w:rsid w:val="00CF6BA1"/>
    <w:rsid w:val="00D00A99"/>
    <w:rsid w:val="00D01461"/>
    <w:rsid w:val="00D02B07"/>
    <w:rsid w:val="00D05BCB"/>
    <w:rsid w:val="00D06AEC"/>
    <w:rsid w:val="00D0700A"/>
    <w:rsid w:val="00D07353"/>
    <w:rsid w:val="00D10791"/>
    <w:rsid w:val="00D150A2"/>
    <w:rsid w:val="00D16282"/>
    <w:rsid w:val="00D16CF7"/>
    <w:rsid w:val="00D22907"/>
    <w:rsid w:val="00D22E20"/>
    <w:rsid w:val="00D317FB"/>
    <w:rsid w:val="00D31CB0"/>
    <w:rsid w:val="00D325C0"/>
    <w:rsid w:val="00D335C6"/>
    <w:rsid w:val="00D362DC"/>
    <w:rsid w:val="00D423CE"/>
    <w:rsid w:val="00D42E9C"/>
    <w:rsid w:val="00D43578"/>
    <w:rsid w:val="00D43D3C"/>
    <w:rsid w:val="00D44162"/>
    <w:rsid w:val="00D4483F"/>
    <w:rsid w:val="00D47FB4"/>
    <w:rsid w:val="00D56FA6"/>
    <w:rsid w:val="00D57357"/>
    <w:rsid w:val="00D601B8"/>
    <w:rsid w:val="00D622E3"/>
    <w:rsid w:val="00D66554"/>
    <w:rsid w:val="00D672C4"/>
    <w:rsid w:val="00D72B12"/>
    <w:rsid w:val="00D74D7E"/>
    <w:rsid w:val="00D80795"/>
    <w:rsid w:val="00D82840"/>
    <w:rsid w:val="00D83954"/>
    <w:rsid w:val="00D84812"/>
    <w:rsid w:val="00D87B23"/>
    <w:rsid w:val="00D91577"/>
    <w:rsid w:val="00D93715"/>
    <w:rsid w:val="00D937B4"/>
    <w:rsid w:val="00D9381B"/>
    <w:rsid w:val="00D94919"/>
    <w:rsid w:val="00D97EFC"/>
    <w:rsid w:val="00DA3635"/>
    <w:rsid w:val="00DA5925"/>
    <w:rsid w:val="00DA7B8E"/>
    <w:rsid w:val="00DB3CB7"/>
    <w:rsid w:val="00DB54D6"/>
    <w:rsid w:val="00DB69C1"/>
    <w:rsid w:val="00DC251A"/>
    <w:rsid w:val="00DC30B1"/>
    <w:rsid w:val="00DC6E0E"/>
    <w:rsid w:val="00DD137D"/>
    <w:rsid w:val="00DD3492"/>
    <w:rsid w:val="00DD41E9"/>
    <w:rsid w:val="00DD51ED"/>
    <w:rsid w:val="00DE109F"/>
    <w:rsid w:val="00DE420E"/>
    <w:rsid w:val="00DE43DD"/>
    <w:rsid w:val="00DE4D6F"/>
    <w:rsid w:val="00DE63AA"/>
    <w:rsid w:val="00DF3421"/>
    <w:rsid w:val="00DF66E3"/>
    <w:rsid w:val="00E018D0"/>
    <w:rsid w:val="00E01C90"/>
    <w:rsid w:val="00E02292"/>
    <w:rsid w:val="00E0289F"/>
    <w:rsid w:val="00E041C5"/>
    <w:rsid w:val="00E0549E"/>
    <w:rsid w:val="00E054EB"/>
    <w:rsid w:val="00E05DC2"/>
    <w:rsid w:val="00E06246"/>
    <w:rsid w:val="00E078FA"/>
    <w:rsid w:val="00E122F3"/>
    <w:rsid w:val="00E12F10"/>
    <w:rsid w:val="00E13FB6"/>
    <w:rsid w:val="00E15F32"/>
    <w:rsid w:val="00E16CE1"/>
    <w:rsid w:val="00E177AF"/>
    <w:rsid w:val="00E20AC6"/>
    <w:rsid w:val="00E21E92"/>
    <w:rsid w:val="00E2685F"/>
    <w:rsid w:val="00E3243D"/>
    <w:rsid w:val="00E33CC3"/>
    <w:rsid w:val="00E342ED"/>
    <w:rsid w:val="00E3470E"/>
    <w:rsid w:val="00E358FF"/>
    <w:rsid w:val="00E40788"/>
    <w:rsid w:val="00E446DA"/>
    <w:rsid w:val="00E454FE"/>
    <w:rsid w:val="00E45853"/>
    <w:rsid w:val="00E51473"/>
    <w:rsid w:val="00E514BC"/>
    <w:rsid w:val="00E52D5B"/>
    <w:rsid w:val="00E55F08"/>
    <w:rsid w:val="00E56BAA"/>
    <w:rsid w:val="00E63593"/>
    <w:rsid w:val="00E636E5"/>
    <w:rsid w:val="00E651F0"/>
    <w:rsid w:val="00E663BC"/>
    <w:rsid w:val="00E67EC3"/>
    <w:rsid w:val="00E722AD"/>
    <w:rsid w:val="00E724EA"/>
    <w:rsid w:val="00E75C26"/>
    <w:rsid w:val="00E77D9C"/>
    <w:rsid w:val="00E77F54"/>
    <w:rsid w:val="00E818F9"/>
    <w:rsid w:val="00E8276A"/>
    <w:rsid w:val="00E844BC"/>
    <w:rsid w:val="00E853DE"/>
    <w:rsid w:val="00E8573D"/>
    <w:rsid w:val="00E85F8D"/>
    <w:rsid w:val="00E917A7"/>
    <w:rsid w:val="00E974D9"/>
    <w:rsid w:val="00EA1B1C"/>
    <w:rsid w:val="00EA30D9"/>
    <w:rsid w:val="00EA3424"/>
    <w:rsid w:val="00EA448C"/>
    <w:rsid w:val="00EA5B8D"/>
    <w:rsid w:val="00EB1E64"/>
    <w:rsid w:val="00EB4C1B"/>
    <w:rsid w:val="00EB66D5"/>
    <w:rsid w:val="00EB7B6E"/>
    <w:rsid w:val="00EC023B"/>
    <w:rsid w:val="00EC0DAE"/>
    <w:rsid w:val="00EC0FC7"/>
    <w:rsid w:val="00EC1BF6"/>
    <w:rsid w:val="00EC262C"/>
    <w:rsid w:val="00EC6314"/>
    <w:rsid w:val="00EC6FE6"/>
    <w:rsid w:val="00ED2CEC"/>
    <w:rsid w:val="00EE1B16"/>
    <w:rsid w:val="00EE1BE1"/>
    <w:rsid w:val="00EE4F9E"/>
    <w:rsid w:val="00EE6639"/>
    <w:rsid w:val="00EF03E2"/>
    <w:rsid w:val="00EF0667"/>
    <w:rsid w:val="00EF3342"/>
    <w:rsid w:val="00EF5A4B"/>
    <w:rsid w:val="00EF6F1A"/>
    <w:rsid w:val="00EF7340"/>
    <w:rsid w:val="00EF77E1"/>
    <w:rsid w:val="00F037A2"/>
    <w:rsid w:val="00F043C2"/>
    <w:rsid w:val="00F06077"/>
    <w:rsid w:val="00F0693E"/>
    <w:rsid w:val="00F0793F"/>
    <w:rsid w:val="00F10097"/>
    <w:rsid w:val="00F123A3"/>
    <w:rsid w:val="00F15EB3"/>
    <w:rsid w:val="00F16052"/>
    <w:rsid w:val="00F161A0"/>
    <w:rsid w:val="00F20677"/>
    <w:rsid w:val="00F21C05"/>
    <w:rsid w:val="00F23BFF"/>
    <w:rsid w:val="00F24B57"/>
    <w:rsid w:val="00F30271"/>
    <w:rsid w:val="00F3027E"/>
    <w:rsid w:val="00F31C25"/>
    <w:rsid w:val="00F3247A"/>
    <w:rsid w:val="00F419EB"/>
    <w:rsid w:val="00F41E4D"/>
    <w:rsid w:val="00F43745"/>
    <w:rsid w:val="00F475F8"/>
    <w:rsid w:val="00F520C4"/>
    <w:rsid w:val="00F56395"/>
    <w:rsid w:val="00F57F93"/>
    <w:rsid w:val="00F6435B"/>
    <w:rsid w:val="00F671EC"/>
    <w:rsid w:val="00F67E67"/>
    <w:rsid w:val="00F74CBB"/>
    <w:rsid w:val="00F767D8"/>
    <w:rsid w:val="00F7765C"/>
    <w:rsid w:val="00F778D1"/>
    <w:rsid w:val="00F83620"/>
    <w:rsid w:val="00F83862"/>
    <w:rsid w:val="00F9142A"/>
    <w:rsid w:val="00F915DE"/>
    <w:rsid w:val="00F96162"/>
    <w:rsid w:val="00F96979"/>
    <w:rsid w:val="00F96B06"/>
    <w:rsid w:val="00FA19DF"/>
    <w:rsid w:val="00FA4158"/>
    <w:rsid w:val="00FA4510"/>
    <w:rsid w:val="00FA5A6B"/>
    <w:rsid w:val="00FB1564"/>
    <w:rsid w:val="00FB4BD0"/>
    <w:rsid w:val="00FB680C"/>
    <w:rsid w:val="00FC0228"/>
    <w:rsid w:val="00FC30A1"/>
    <w:rsid w:val="00FC311F"/>
    <w:rsid w:val="00FC7761"/>
    <w:rsid w:val="00FE11FC"/>
    <w:rsid w:val="00FE1384"/>
    <w:rsid w:val="00FE1E60"/>
    <w:rsid w:val="00FE66DB"/>
    <w:rsid w:val="00FE7218"/>
    <w:rsid w:val="00FF09B9"/>
    <w:rsid w:val="00FF0B84"/>
    <w:rsid w:val="00FF1222"/>
    <w:rsid w:val="00FF2BF6"/>
    <w:rsid w:val="00FF3414"/>
    <w:rsid w:val="00FF3878"/>
    <w:rsid w:val="00FF3ADA"/>
    <w:rsid w:val="00FF5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v-text-anchor:middle" fillcolor="#dce2ec" stroke="f">
      <v:fill color="#dce2ec"/>
      <v:stroke on="f"/>
      <v:shadow color="#969696"/>
      <o:colormru v:ext="edit" colors="#dce2ec,#b3c085,#97a9c7"/>
    </o:shapedefaults>
    <o:shapelayout v:ext="edit">
      <o:idmap v:ext="edit" data="1"/>
    </o:shapelayout>
  </w:shapeDefaults>
  <w:decimalSymbol w:val="."/>
  <w:listSeparator w:val=","/>
  <w14:docId w14:val="2C32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1"/>
    <w:pPr>
      <w:spacing w:line="260" w:lineRule="atLeast"/>
    </w:pPr>
    <w:rPr>
      <w:rFonts w:ascii="Calibri" w:hAnsi="Calibri"/>
      <w:sz w:val="21"/>
      <w:lang w:eastAsia="en-US"/>
    </w:rPr>
  </w:style>
  <w:style w:type="paragraph" w:styleId="Heading1">
    <w:name w:val="heading 1"/>
    <w:basedOn w:val="Normal"/>
    <w:next w:val="BodyText"/>
    <w:qFormat/>
    <w:rsid w:val="002B4AE1"/>
    <w:pPr>
      <w:pageBreakBefore/>
      <w:numPr>
        <w:numId w:val="8"/>
      </w:numPr>
      <w:spacing w:before="240" w:after="240" w:line="240" w:lineRule="auto"/>
      <w:outlineLvl w:val="0"/>
    </w:pPr>
    <w:rPr>
      <w:color w:val="00338D"/>
      <w:sz w:val="50"/>
    </w:rPr>
  </w:style>
  <w:style w:type="paragraph" w:styleId="Heading2">
    <w:name w:val="heading 2"/>
    <w:basedOn w:val="Heading1"/>
    <w:next w:val="BodyText"/>
    <w:link w:val="Heading2Char"/>
    <w:qFormat/>
    <w:rsid w:val="00D362DC"/>
    <w:pPr>
      <w:pageBreakBefore w:val="0"/>
      <w:numPr>
        <w:ilvl w:val="1"/>
      </w:numPr>
      <w:tabs>
        <w:tab w:val="num" w:pos="0"/>
        <w:tab w:val="left" w:pos="998"/>
      </w:tabs>
      <w:spacing w:before="200" w:after="120"/>
      <w:outlineLvl w:val="1"/>
    </w:pPr>
    <w:rPr>
      <w:b/>
      <w:bCs/>
      <w:sz w:val="28"/>
      <w:szCs w:val="24"/>
    </w:rPr>
  </w:style>
  <w:style w:type="paragraph" w:styleId="Heading3">
    <w:name w:val="heading 3"/>
    <w:basedOn w:val="BodyText"/>
    <w:next w:val="BodyText"/>
    <w:qFormat/>
    <w:rsid w:val="00D362DC"/>
    <w:pPr>
      <w:keepNext/>
      <w:keepLines/>
      <w:numPr>
        <w:ilvl w:val="2"/>
        <w:numId w:val="8"/>
      </w:numPr>
      <w:spacing w:before="200" w:line="240" w:lineRule="auto"/>
      <w:outlineLvl w:val="2"/>
    </w:pPr>
    <w:rPr>
      <w:rFonts w:ascii="Univers 55" w:hAnsi="Univers 55"/>
      <w:b/>
      <w:bCs/>
      <w:color w:val="00338D"/>
      <w:sz w:val="24"/>
    </w:rPr>
  </w:style>
  <w:style w:type="paragraph" w:styleId="Heading4">
    <w:name w:val="heading 4"/>
    <w:basedOn w:val="BodyText"/>
    <w:next w:val="BodyText"/>
    <w:qFormat/>
    <w:rsid w:val="004A085C"/>
    <w:pPr>
      <w:numPr>
        <w:ilvl w:val="3"/>
        <w:numId w:val="8"/>
      </w:numPr>
      <w:spacing w:before="200" w:after="0"/>
      <w:outlineLvl w:val="3"/>
    </w:pPr>
    <w:rPr>
      <w:rFonts w:ascii="Univers 55" w:hAnsi="Univers 55"/>
      <w:i/>
      <w:iCs/>
      <w:color w:val="00338D"/>
    </w:rPr>
  </w:style>
  <w:style w:type="paragraph" w:styleId="Heading5">
    <w:name w:val="heading 5"/>
    <w:basedOn w:val="StyleHeading4BodyCalibri"/>
    <w:next w:val="Normal"/>
    <w:qFormat/>
    <w:rsid w:val="002B4AE1"/>
    <w:pPr>
      <w:keepNext/>
      <w:numPr>
        <w:ilvl w:val="0"/>
        <w:numId w:val="0"/>
      </w:numPr>
      <w:spacing w:after="120"/>
      <w:outlineLvl w:val="4"/>
    </w:pPr>
  </w:style>
  <w:style w:type="paragraph" w:styleId="Heading6">
    <w:name w:val="heading 6"/>
    <w:basedOn w:val="BodyText"/>
    <w:next w:val="Normal"/>
    <w:qFormat/>
    <w:rsid w:val="002B4AE1"/>
    <w:pPr>
      <w:keepNext/>
      <w:outlineLvl w:val="5"/>
    </w:pPr>
    <w:rPr>
      <w:b/>
      <w:color w:val="1F497D" w:themeColor="text2"/>
    </w:rPr>
  </w:style>
  <w:style w:type="paragraph" w:styleId="Heading7">
    <w:name w:val="heading 7"/>
    <w:basedOn w:val="Normal"/>
    <w:next w:val="Normal"/>
    <w:qFormat/>
    <w:rsid w:val="007500A3"/>
    <w:pPr>
      <w:numPr>
        <w:ilvl w:val="6"/>
        <w:numId w:val="8"/>
      </w:numPr>
      <w:outlineLvl w:val="6"/>
    </w:pPr>
  </w:style>
  <w:style w:type="paragraph" w:styleId="Heading8">
    <w:name w:val="heading 8"/>
    <w:basedOn w:val="Normal"/>
    <w:next w:val="Normal"/>
    <w:qFormat/>
    <w:rsid w:val="007500A3"/>
    <w:pPr>
      <w:numPr>
        <w:ilvl w:val="7"/>
        <w:numId w:val="8"/>
      </w:numPr>
      <w:outlineLvl w:val="7"/>
    </w:pPr>
  </w:style>
  <w:style w:type="paragraph" w:styleId="Heading9">
    <w:name w:val="heading 9"/>
    <w:basedOn w:val="Normal"/>
    <w:next w:val="Normal"/>
    <w:qFormat/>
    <w:rsid w:val="00D43578"/>
    <w:pPr>
      <w:keepNext/>
      <w:numPr>
        <w:ilvl w:val="8"/>
        <w:numId w:val="8"/>
      </w:numPr>
      <w:outlineLvl w:val="8"/>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66DB"/>
    <w:pPr>
      <w:spacing w:before="120" w:after="120" w:line="280" w:lineRule="atLeast"/>
    </w:pPr>
    <w:rPr>
      <w:szCs w:val="22"/>
    </w:rPr>
  </w:style>
  <w:style w:type="paragraph" w:styleId="BodyTextIndent">
    <w:name w:val="Body Text Indent"/>
    <w:basedOn w:val="BodyText"/>
    <w:rsid w:val="007500A3"/>
    <w:pPr>
      <w:ind w:left="340"/>
    </w:pPr>
  </w:style>
  <w:style w:type="paragraph" w:styleId="Footer">
    <w:name w:val="footer"/>
    <w:basedOn w:val="Normal"/>
    <w:rsid w:val="007500A3"/>
    <w:pPr>
      <w:tabs>
        <w:tab w:val="right" w:pos="8505"/>
      </w:tabs>
    </w:pPr>
    <w:rPr>
      <w:sz w:val="18"/>
    </w:rPr>
  </w:style>
  <w:style w:type="paragraph" w:styleId="Header">
    <w:name w:val="header"/>
    <w:basedOn w:val="Normal"/>
    <w:rsid w:val="007500A3"/>
    <w:pPr>
      <w:spacing w:line="220" w:lineRule="exact"/>
      <w:jc w:val="right"/>
    </w:pPr>
    <w:rPr>
      <w:i/>
      <w:sz w:val="18"/>
    </w:rPr>
  </w:style>
  <w:style w:type="paragraph" w:styleId="ListBullet">
    <w:name w:val="List Bullet"/>
    <w:aliases w:val="l,list no space after,(NECG) List Bullet,*List Bullet,lb,l1,List Bullet 1"/>
    <w:basedOn w:val="BodyText"/>
    <w:qFormat/>
    <w:rsid w:val="00AF54ED"/>
    <w:pPr>
      <w:numPr>
        <w:numId w:val="3"/>
      </w:numPr>
    </w:pPr>
    <w:rPr>
      <w:color w:val="000000"/>
    </w:rPr>
  </w:style>
  <w:style w:type="paragraph" w:styleId="FootnoteText">
    <w:name w:val="footnote text"/>
    <w:basedOn w:val="Normal"/>
    <w:link w:val="FootnoteTextChar"/>
    <w:uiPriority w:val="99"/>
    <w:semiHidden/>
    <w:rsid w:val="007500A3"/>
    <w:rPr>
      <w:sz w:val="18"/>
    </w:rPr>
  </w:style>
  <w:style w:type="paragraph" w:customStyle="1" w:styleId="Graphic">
    <w:name w:val="Graphic"/>
    <w:basedOn w:val="Signature"/>
    <w:rsid w:val="007500A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7500A3"/>
    <w:pPr>
      <w:spacing w:line="240" w:lineRule="auto"/>
    </w:pPr>
  </w:style>
  <w:style w:type="paragraph" w:styleId="ListBullet2">
    <w:name w:val="List Bullet 2"/>
    <w:basedOn w:val="BodyText"/>
    <w:qFormat/>
    <w:rsid w:val="00AF54ED"/>
    <w:pPr>
      <w:numPr>
        <w:numId w:val="4"/>
      </w:numPr>
    </w:pPr>
    <w:rPr>
      <w:color w:val="000000"/>
    </w:rPr>
  </w:style>
  <w:style w:type="paragraph" w:styleId="MacroText">
    <w:name w:val="macro"/>
    <w:semiHidden/>
    <w:rsid w:val="007500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paragraph" w:styleId="Caption">
    <w:name w:val="caption"/>
    <w:basedOn w:val="Normal"/>
    <w:next w:val="Normal"/>
    <w:link w:val="CaptionChar"/>
    <w:qFormat/>
    <w:rsid w:val="00FF3878"/>
    <w:pPr>
      <w:keepNext/>
      <w:spacing w:before="120"/>
    </w:pPr>
    <w:rPr>
      <w:bCs/>
      <w:i/>
    </w:rPr>
  </w:style>
  <w:style w:type="character" w:styleId="PageNumber">
    <w:name w:val="page number"/>
    <w:basedOn w:val="DefaultParagraphFont"/>
    <w:rsid w:val="007500A3"/>
    <w:rPr>
      <w:rFonts w:ascii="Univers 45 Light" w:hAnsi="Univers 45 Light"/>
      <w:color w:val="0C2D83"/>
      <w:sz w:val="20"/>
      <w:szCs w:val="20"/>
    </w:rPr>
  </w:style>
  <w:style w:type="paragraph" w:customStyle="1" w:styleId="Appendixheading1">
    <w:name w:val="Appendix heading 1"/>
    <w:next w:val="Normal"/>
    <w:rsid w:val="00DA3635"/>
    <w:pPr>
      <w:pageBreakBefore/>
      <w:numPr>
        <w:numId w:val="49"/>
      </w:numPr>
      <w:spacing w:before="240" w:after="240"/>
    </w:pPr>
    <w:rPr>
      <w:rFonts w:ascii="Calibri" w:hAnsi="Calibri"/>
      <w:bCs/>
      <w:color w:val="0C2D83"/>
      <w:sz w:val="50"/>
      <w:lang w:eastAsia="en-US"/>
    </w:rPr>
  </w:style>
  <w:style w:type="paragraph" w:styleId="TOC3">
    <w:name w:val="toc 3"/>
    <w:basedOn w:val="Normal"/>
    <w:next w:val="Normal"/>
    <w:autoRedefine/>
    <w:semiHidden/>
    <w:rsid w:val="007500A3"/>
    <w:pPr>
      <w:ind w:left="440"/>
    </w:pPr>
  </w:style>
  <w:style w:type="paragraph" w:customStyle="1" w:styleId="Frontpagesubhead">
    <w:name w:val="Front page subhead"/>
    <w:basedOn w:val="BodyText"/>
    <w:rsid w:val="007500A3"/>
    <w:pPr>
      <w:spacing w:after="0"/>
    </w:pPr>
    <w:rPr>
      <w:rFonts w:ascii="Univers 55" w:hAnsi="Univers 55"/>
      <w:color w:val="0C2D83"/>
      <w:sz w:val="24"/>
    </w:rPr>
  </w:style>
  <w:style w:type="paragraph" w:customStyle="1" w:styleId="Disclaimer">
    <w:name w:val="Disclaimer"/>
    <w:basedOn w:val="Normal"/>
    <w:rsid w:val="007500A3"/>
    <w:pPr>
      <w:spacing w:line="180" w:lineRule="atLeast"/>
    </w:pPr>
    <w:rPr>
      <w:rFonts w:ascii="Univers 45 Light" w:hAnsi="Univers 45 Light"/>
      <w:sz w:val="16"/>
      <w:szCs w:val="18"/>
    </w:rPr>
  </w:style>
  <w:style w:type="paragraph" w:customStyle="1" w:styleId="Contentsheading">
    <w:name w:val="Contents heading"/>
    <w:basedOn w:val="BodyText"/>
    <w:rsid w:val="009102C2"/>
    <w:pPr>
      <w:spacing w:after="1247"/>
    </w:pPr>
    <w:rPr>
      <w:rFonts w:ascii="Univers 45 Light" w:hAnsi="Univers 45 Light"/>
      <w:color w:val="FFFFFF"/>
      <w:sz w:val="50"/>
    </w:rPr>
  </w:style>
  <w:style w:type="paragraph" w:styleId="TOC1">
    <w:name w:val="toc 1"/>
    <w:basedOn w:val="BodyText"/>
    <w:next w:val="BodyText"/>
    <w:autoRedefine/>
    <w:uiPriority w:val="39"/>
    <w:rsid w:val="00D43578"/>
    <w:pPr>
      <w:tabs>
        <w:tab w:val="left" w:pos="567"/>
        <w:tab w:val="right" w:pos="8080"/>
      </w:tabs>
      <w:spacing w:line="240" w:lineRule="auto"/>
    </w:pPr>
    <w:rPr>
      <w:rFonts w:ascii="Univers 55" w:hAnsi="Univers 55"/>
      <w:noProof/>
      <w:color w:val="415299"/>
      <w:sz w:val="22"/>
      <w:szCs w:val="40"/>
    </w:rPr>
  </w:style>
  <w:style w:type="paragraph" w:styleId="TOC2">
    <w:name w:val="toc 2"/>
    <w:basedOn w:val="BodyText"/>
    <w:next w:val="BodyText"/>
    <w:autoRedefine/>
    <w:uiPriority w:val="39"/>
    <w:rsid w:val="00D43578"/>
    <w:pPr>
      <w:tabs>
        <w:tab w:val="left" w:pos="1320"/>
        <w:tab w:val="right" w:pos="8080"/>
      </w:tabs>
      <w:spacing w:after="0" w:line="240" w:lineRule="auto"/>
      <w:ind w:left="567"/>
    </w:pPr>
    <w:rPr>
      <w:rFonts w:ascii="Univers 45 Light" w:hAnsi="Univers 45 Light"/>
      <w:noProof/>
      <w:color w:val="415299"/>
      <w:sz w:val="22"/>
      <w:szCs w:val="40"/>
    </w:rPr>
  </w:style>
  <w:style w:type="paragraph" w:styleId="TOC4">
    <w:name w:val="toc 4"/>
    <w:basedOn w:val="Normal"/>
    <w:next w:val="Normal"/>
    <w:autoRedefine/>
    <w:semiHidden/>
    <w:rsid w:val="007500A3"/>
    <w:pPr>
      <w:ind w:left="660"/>
    </w:pPr>
  </w:style>
  <w:style w:type="paragraph" w:styleId="TOC5">
    <w:name w:val="toc 5"/>
    <w:basedOn w:val="Normal"/>
    <w:next w:val="Normal"/>
    <w:autoRedefine/>
    <w:semiHidden/>
    <w:rsid w:val="007500A3"/>
    <w:pPr>
      <w:ind w:left="880"/>
    </w:pPr>
  </w:style>
  <w:style w:type="paragraph" w:styleId="TOC6">
    <w:name w:val="toc 6"/>
    <w:basedOn w:val="Normal"/>
    <w:next w:val="Normal"/>
    <w:autoRedefine/>
    <w:semiHidden/>
    <w:rsid w:val="007500A3"/>
    <w:pPr>
      <w:ind w:left="1100"/>
    </w:pPr>
  </w:style>
  <w:style w:type="paragraph" w:styleId="TOC7">
    <w:name w:val="toc 7"/>
    <w:basedOn w:val="Normal"/>
    <w:next w:val="Normal"/>
    <w:autoRedefine/>
    <w:semiHidden/>
    <w:rsid w:val="007500A3"/>
    <w:pPr>
      <w:ind w:left="1320"/>
    </w:pPr>
  </w:style>
  <w:style w:type="paragraph" w:styleId="TOC8">
    <w:name w:val="toc 8"/>
    <w:basedOn w:val="Normal"/>
    <w:next w:val="Normal"/>
    <w:autoRedefine/>
    <w:semiHidden/>
    <w:rsid w:val="007500A3"/>
    <w:pPr>
      <w:ind w:left="1540"/>
    </w:pPr>
  </w:style>
  <w:style w:type="paragraph" w:styleId="TOC9">
    <w:name w:val="toc 9"/>
    <w:basedOn w:val="Normal"/>
    <w:next w:val="Normal"/>
    <w:autoRedefine/>
    <w:semiHidden/>
    <w:rsid w:val="007500A3"/>
    <w:pPr>
      <w:ind w:left="1760"/>
    </w:pPr>
  </w:style>
  <w:style w:type="character" w:styleId="Hyperlink">
    <w:name w:val="Hyperlink"/>
    <w:basedOn w:val="DefaultParagraphFont"/>
    <w:uiPriority w:val="99"/>
    <w:rsid w:val="007500A3"/>
    <w:rPr>
      <w:color w:val="0000FF"/>
      <w:u w:val="single"/>
    </w:rPr>
  </w:style>
  <w:style w:type="character" w:customStyle="1" w:styleId="Bodyhighlight">
    <w:name w:val="Body highlight"/>
    <w:rsid w:val="007500A3"/>
    <w:rPr>
      <w:rFonts w:ascii="Univers 55" w:hAnsi="Univers 55"/>
      <w:b/>
      <w:color w:val="000000"/>
      <w:sz w:val="17"/>
    </w:rPr>
  </w:style>
  <w:style w:type="paragraph" w:styleId="Quote">
    <w:name w:val="Quote"/>
    <w:basedOn w:val="BodyText"/>
    <w:qFormat/>
    <w:rsid w:val="007500A3"/>
    <w:rPr>
      <w:rFonts w:ascii="Univers 55" w:hAnsi="Univers 55"/>
      <w:kern w:val="20"/>
      <w:sz w:val="28"/>
    </w:rPr>
  </w:style>
  <w:style w:type="paragraph" w:customStyle="1" w:styleId="Frontpagehead">
    <w:name w:val="Front page head"/>
    <w:rsid w:val="007500A3"/>
    <w:pPr>
      <w:spacing w:line="480" w:lineRule="atLeast"/>
    </w:pPr>
    <w:rPr>
      <w:rFonts w:ascii="Univers 55" w:hAnsi="Univers 55"/>
      <w:color w:val="0C2D83"/>
      <w:sz w:val="44"/>
      <w:lang w:eastAsia="en-US"/>
    </w:rPr>
  </w:style>
  <w:style w:type="paragraph" w:customStyle="1" w:styleId="Tabletext">
    <w:name w:val="Table text"/>
    <w:basedOn w:val="Normal"/>
    <w:rsid w:val="005772FD"/>
    <w:pPr>
      <w:spacing w:before="40" w:after="40"/>
    </w:pPr>
    <w:rPr>
      <w:rFonts w:ascii="Univers 45 Light" w:hAnsi="Univers 45 Light"/>
    </w:rPr>
  </w:style>
  <w:style w:type="paragraph" w:customStyle="1" w:styleId="Guidancenote">
    <w:name w:val="Guidance note"/>
    <w:basedOn w:val="BodyText"/>
    <w:rsid w:val="007500A3"/>
    <w:pPr>
      <w:spacing w:after="0" w:line="260" w:lineRule="atLeast"/>
    </w:pPr>
    <w:rPr>
      <w:color w:val="FF0000"/>
      <w:szCs w:val="20"/>
    </w:rPr>
  </w:style>
  <w:style w:type="paragraph" w:customStyle="1" w:styleId="Tablebullets">
    <w:name w:val="Table bullets"/>
    <w:basedOn w:val="Tabletext"/>
    <w:rsid w:val="002F5934"/>
    <w:pPr>
      <w:numPr>
        <w:numId w:val="7"/>
      </w:numPr>
      <w:spacing w:line="280" w:lineRule="atLeast"/>
      <w:ind w:left="0" w:firstLine="0"/>
    </w:pPr>
  </w:style>
  <w:style w:type="paragraph" w:customStyle="1" w:styleId="Chartsource">
    <w:name w:val="Chart source"/>
    <w:basedOn w:val="BodyText"/>
    <w:rsid w:val="007500A3"/>
    <w:pPr>
      <w:tabs>
        <w:tab w:val="left" w:pos="3600"/>
      </w:tabs>
      <w:spacing w:after="180" w:line="240" w:lineRule="auto"/>
    </w:pPr>
    <w:rPr>
      <w:rFonts w:ascii="Univers 55" w:hAnsi="Univers 55"/>
      <w:i/>
      <w:color w:val="000000"/>
      <w:sz w:val="16"/>
      <w:szCs w:val="16"/>
      <w:lang w:val="en-US"/>
    </w:rPr>
  </w:style>
  <w:style w:type="paragraph" w:customStyle="1" w:styleId="Charttitle">
    <w:name w:val="Chart title"/>
    <w:basedOn w:val="BodyText"/>
    <w:rsid w:val="007500A3"/>
    <w:pPr>
      <w:keepNext/>
      <w:tabs>
        <w:tab w:val="left" w:pos="3600"/>
      </w:tabs>
      <w:spacing w:line="360" w:lineRule="auto"/>
    </w:pPr>
    <w:rPr>
      <w:rFonts w:ascii="Univers 55" w:hAnsi="Univers 55"/>
      <w:i/>
      <w:color w:val="0C2D83"/>
      <w:lang w:val="en-US"/>
    </w:rPr>
  </w:style>
  <w:style w:type="paragraph" w:customStyle="1" w:styleId="PreTOCExecSummHeading">
    <w:name w:val="Pre TOC Exec Summ Heading"/>
    <w:basedOn w:val="PreTOCHeading"/>
    <w:next w:val="BodyText"/>
    <w:rsid w:val="00133EA1"/>
    <w:pPr>
      <w:pageBreakBefore w:val="0"/>
      <w:spacing w:line="260" w:lineRule="atLeast"/>
    </w:pPr>
    <w:rPr>
      <w:lang w:val="en-US"/>
    </w:rPr>
  </w:style>
  <w:style w:type="paragraph" w:customStyle="1" w:styleId="Pulloutquote2">
    <w:name w:val="Pullout quote 2"/>
    <w:basedOn w:val="Normal"/>
    <w:rsid w:val="00727A49"/>
    <w:rPr>
      <w:rFonts w:ascii="Univers 45 Light" w:hAnsi="Univers 45 Light"/>
      <w:color w:val="68820B"/>
    </w:rPr>
  </w:style>
  <w:style w:type="paragraph" w:customStyle="1" w:styleId="Quotetitle">
    <w:name w:val="Quote title"/>
    <w:basedOn w:val="Normal"/>
    <w:rsid w:val="00727A49"/>
    <w:pPr>
      <w:spacing w:before="40" w:after="80" w:line="240" w:lineRule="auto"/>
    </w:pPr>
    <w:rPr>
      <w:rFonts w:ascii="Univers 45 Light" w:hAnsi="Univers 45 Light"/>
      <w:noProof/>
      <w:color w:val="68820B"/>
      <w:lang w:val="en-US"/>
    </w:rPr>
  </w:style>
  <w:style w:type="paragraph" w:customStyle="1" w:styleId="Resumehead">
    <w:name w:val="Resume head"/>
    <w:basedOn w:val="Normal"/>
    <w:rsid w:val="007500A3"/>
    <w:pPr>
      <w:tabs>
        <w:tab w:val="left" w:pos="3600"/>
      </w:tabs>
      <w:spacing w:before="360" w:line="360" w:lineRule="auto"/>
    </w:pPr>
    <w:rPr>
      <w:rFonts w:ascii="Univers 55" w:hAnsi="Univers 55"/>
      <w:i/>
      <w:sz w:val="17"/>
      <w:lang w:val="en-US"/>
    </w:rPr>
  </w:style>
  <w:style w:type="paragraph" w:customStyle="1" w:styleId="Resumedetails">
    <w:name w:val="Resume details"/>
    <w:basedOn w:val="Normal"/>
    <w:next w:val="BodyText"/>
    <w:rsid w:val="004C0FE5"/>
    <w:pPr>
      <w:tabs>
        <w:tab w:val="left" w:pos="3600"/>
      </w:tabs>
      <w:spacing w:line="240" w:lineRule="auto"/>
    </w:pPr>
    <w:rPr>
      <w:rFonts w:ascii="Univers 55" w:hAnsi="Univers 55"/>
      <w:bCs/>
      <w:color w:val="333333"/>
      <w:sz w:val="16"/>
      <w:lang w:val="en-US"/>
    </w:rPr>
  </w:style>
  <w:style w:type="paragraph" w:customStyle="1" w:styleId="TableHeading">
    <w:name w:val="Table Heading"/>
    <w:basedOn w:val="Normal"/>
    <w:rsid w:val="000E4CFA"/>
    <w:pPr>
      <w:spacing w:line="280" w:lineRule="atLeast"/>
    </w:pPr>
    <w:rPr>
      <w:rFonts w:ascii="Univers 45 Light" w:hAnsi="Univers 45 Light"/>
      <w:color w:val="FFFFFF"/>
    </w:rPr>
  </w:style>
  <w:style w:type="paragraph" w:customStyle="1" w:styleId="zNormal">
    <w:name w:val="zNormal"/>
    <w:rsid w:val="007500A3"/>
    <w:rPr>
      <w:sz w:val="22"/>
      <w:lang w:eastAsia="en-US"/>
    </w:rPr>
  </w:style>
  <w:style w:type="paragraph" w:styleId="PlainText">
    <w:name w:val="Plain Text"/>
    <w:basedOn w:val="Normal"/>
    <w:rsid w:val="007500A3"/>
    <w:rPr>
      <w:rFonts w:cs="Courier New"/>
    </w:rPr>
  </w:style>
  <w:style w:type="paragraph" w:customStyle="1" w:styleId="FrontPageServiceheading">
    <w:name w:val="Front Page Service heading"/>
    <w:basedOn w:val="Frontpagehead"/>
    <w:rsid w:val="007500A3"/>
    <w:pPr>
      <w:spacing w:after="60" w:line="200" w:lineRule="atLeast"/>
    </w:pPr>
    <w:rPr>
      <w:caps/>
      <w:sz w:val="16"/>
    </w:rPr>
  </w:style>
  <w:style w:type="paragraph" w:customStyle="1" w:styleId="FrontpageATAdescriptor">
    <w:name w:val="Front page A/T/A descriptor"/>
    <w:basedOn w:val="Frontpagesubhead"/>
    <w:rsid w:val="007500A3"/>
    <w:pPr>
      <w:framePr w:hSpace="181" w:vSpace="181" w:wrap="around" w:vAnchor="text" w:hAnchor="text" w:y="1"/>
      <w:spacing w:line="160" w:lineRule="atLeast"/>
    </w:pPr>
    <w:rPr>
      <w:caps/>
      <w:sz w:val="16"/>
    </w:rPr>
  </w:style>
  <w:style w:type="paragraph" w:customStyle="1" w:styleId="Introductoryparagraph">
    <w:name w:val="Introductory paragraph"/>
    <w:basedOn w:val="BodyText"/>
    <w:next w:val="BodyText"/>
    <w:rsid w:val="00727A49"/>
    <w:pPr>
      <w:spacing w:before="0"/>
    </w:pPr>
    <w:rPr>
      <w:rFonts w:ascii="Univers 55" w:hAnsi="Univers 55"/>
      <w:color w:val="68820B"/>
      <w:sz w:val="23"/>
      <w:szCs w:val="18"/>
    </w:rPr>
  </w:style>
  <w:style w:type="paragraph" w:customStyle="1" w:styleId="Callout1">
    <w:name w:val="Callout1"/>
    <w:basedOn w:val="Heading3"/>
    <w:rsid w:val="007500A3"/>
    <w:pPr>
      <w:keepLines w:val="0"/>
      <w:spacing w:before="0" w:line="380" w:lineRule="exact"/>
    </w:pPr>
    <w:rPr>
      <w:rFonts w:ascii="Univers 55 Oblique" w:eastAsia="Times" w:hAnsi="Univers 55 Oblique"/>
      <w:b w:val="0"/>
      <w:bCs w:val="0"/>
      <w:i/>
      <w:color w:val="808EC8"/>
      <w:szCs w:val="24"/>
      <w:lang w:val="en-US" w:eastAsia="zh-CN"/>
    </w:rPr>
  </w:style>
  <w:style w:type="paragraph" w:customStyle="1" w:styleId="Curriculavitae">
    <w:name w:val="Curricula vitae"/>
    <w:basedOn w:val="BodyText"/>
    <w:next w:val="BodyText"/>
    <w:rsid w:val="007500A3"/>
    <w:pPr>
      <w:keepNext/>
      <w:spacing w:line="280" w:lineRule="exact"/>
    </w:pPr>
    <w:rPr>
      <w:rFonts w:eastAsia="Osaka"/>
      <w:b/>
      <w:color w:val="0C2D83"/>
      <w:szCs w:val="20"/>
      <w:lang w:eastAsia="zh-CN"/>
    </w:rPr>
  </w:style>
  <w:style w:type="paragraph" w:customStyle="1" w:styleId="PreTOCHeading">
    <w:name w:val="Pre TOC Heading"/>
    <w:basedOn w:val="BodyText"/>
    <w:next w:val="BodyText"/>
    <w:rsid w:val="009102C2"/>
    <w:pPr>
      <w:pageBreakBefore/>
      <w:spacing w:after="240" w:line="480" w:lineRule="exact"/>
    </w:pPr>
    <w:rPr>
      <w:rFonts w:ascii="Univers 45 Light" w:hAnsi="Univers 45 Light"/>
      <w:noProof/>
      <w:color w:val="0C2D83"/>
      <w:sz w:val="50"/>
      <w:szCs w:val="50"/>
    </w:rPr>
  </w:style>
  <w:style w:type="paragraph" w:styleId="BlockText">
    <w:name w:val="Block Text"/>
    <w:basedOn w:val="Normal"/>
    <w:rsid w:val="007500A3"/>
    <w:pPr>
      <w:spacing w:after="120"/>
      <w:ind w:left="1440" w:right="1440"/>
    </w:pPr>
  </w:style>
  <w:style w:type="paragraph" w:styleId="List">
    <w:name w:val="List"/>
    <w:basedOn w:val="Normal"/>
    <w:rsid w:val="007500A3"/>
    <w:pPr>
      <w:ind w:left="283" w:hanging="283"/>
    </w:pPr>
  </w:style>
  <w:style w:type="paragraph" w:styleId="List2">
    <w:name w:val="List 2"/>
    <w:basedOn w:val="Normal"/>
    <w:rsid w:val="007500A3"/>
    <w:pPr>
      <w:ind w:left="566" w:hanging="283"/>
    </w:pPr>
  </w:style>
  <w:style w:type="paragraph" w:customStyle="1" w:styleId="Tableheading2">
    <w:name w:val="Table heading 2"/>
    <w:basedOn w:val="Normal"/>
    <w:rsid w:val="00006BCC"/>
    <w:pPr>
      <w:shd w:val="clear" w:color="auto" w:fill="FFFFFF"/>
      <w:spacing w:before="40" w:after="40" w:line="280" w:lineRule="atLeast"/>
    </w:pPr>
    <w:rPr>
      <w:rFonts w:ascii="Univers 45 Light" w:eastAsia="Osaka" w:hAnsi="Univers 45 Light"/>
      <w:noProof/>
      <w:color w:val="00338D"/>
      <w:lang w:val="en-GB" w:eastAsia="zh-CN"/>
    </w:rPr>
  </w:style>
  <w:style w:type="table" w:styleId="TableGrid">
    <w:name w:val="Table Grid"/>
    <w:basedOn w:val="TableNormal"/>
    <w:uiPriority w:val="39"/>
    <w:rsid w:val="007500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ISOffAddress">
    <w:name w:val="zKISOffAddress"/>
    <w:basedOn w:val="Normal"/>
    <w:rsid w:val="007500A3"/>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al"/>
    <w:rsid w:val="007500A3"/>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Normal"/>
    <w:rsid w:val="00296376"/>
    <w:pPr>
      <w:framePr w:wrap="around" w:vAnchor="page" w:hAnchor="page" w:x="7854" w:y="15140"/>
      <w:spacing w:line="130" w:lineRule="exact"/>
    </w:pPr>
    <w:rPr>
      <w:rFonts w:ascii="Univers 45 Light" w:hAnsi="Univers 45 Light"/>
      <w:sz w:val="11"/>
    </w:rPr>
  </w:style>
  <w:style w:type="paragraph" w:customStyle="1" w:styleId="Diagramtitle">
    <w:name w:val="Diagram title"/>
    <w:basedOn w:val="Normal"/>
    <w:rsid w:val="007500A3"/>
    <w:pPr>
      <w:spacing w:line="240" w:lineRule="auto"/>
    </w:pPr>
    <w:rPr>
      <w:rFonts w:ascii="Univers 45 Light" w:hAnsi="Univers 45 Light"/>
      <w:sz w:val="18"/>
    </w:rPr>
  </w:style>
  <w:style w:type="paragraph" w:customStyle="1" w:styleId="Numbering">
    <w:name w:val="Numbering"/>
    <w:basedOn w:val="BodyText"/>
    <w:autoRedefine/>
    <w:rsid w:val="00AF54ED"/>
    <w:pPr>
      <w:numPr>
        <w:numId w:val="5"/>
      </w:numPr>
    </w:pPr>
  </w:style>
  <w:style w:type="paragraph" w:customStyle="1" w:styleId="Pulloutquote">
    <w:name w:val="Pullout quote"/>
    <w:basedOn w:val="Normal"/>
    <w:rsid w:val="00727A49"/>
    <w:pPr>
      <w:spacing w:before="240" w:after="240" w:line="360" w:lineRule="auto"/>
    </w:pPr>
    <w:rPr>
      <w:rFonts w:ascii="Univers 55" w:hAnsi="Univers 55"/>
      <w:color w:val="68820B"/>
      <w:sz w:val="28"/>
    </w:rPr>
  </w:style>
  <w:style w:type="paragraph" w:customStyle="1" w:styleId="BodyText0">
    <w:name w:val="BodyText"/>
    <w:basedOn w:val="Normal"/>
    <w:rsid w:val="00465FF1"/>
    <w:pPr>
      <w:spacing w:after="130" w:line="240" w:lineRule="auto"/>
    </w:pPr>
    <w:rPr>
      <w:sz w:val="22"/>
    </w:rPr>
  </w:style>
  <w:style w:type="paragraph" w:customStyle="1" w:styleId="TableBullets2">
    <w:name w:val="Table Bullets 2"/>
    <w:basedOn w:val="Tablebullets"/>
    <w:rsid w:val="005772FD"/>
    <w:pPr>
      <w:numPr>
        <w:numId w:val="6"/>
      </w:numPr>
      <w:ind w:left="714" w:hanging="357"/>
    </w:pPr>
  </w:style>
  <w:style w:type="character" w:customStyle="1" w:styleId="BodyTextChar">
    <w:name w:val="Body Text Char"/>
    <w:basedOn w:val="DefaultParagraphFont"/>
    <w:link w:val="BodyText"/>
    <w:rsid w:val="00FE66DB"/>
    <w:rPr>
      <w:rFonts w:ascii="Calibri" w:hAnsi="Calibri"/>
      <w:sz w:val="21"/>
      <w:szCs w:val="22"/>
      <w:lang w:eastAsia="en-US"/>
    </w:rPr>
  </w:style>
  <w:style w:type="character" w:customStyle="1" w:styleId="Heading2Char">
    <w:name w:val="Heading 2 Char"/>
    <w:basedOn w:val="DefaultParagraphFont"/>
    <w:link w:val="Heading2"/>
    <w:rsid w:val="00D362DC"/>
    <w:rPr>
      <w:rFonts w:ascii="Univers 45 Light" w:hAnsi="Univers 45 Light"/>
      <w:b/>
      <w:bCs/>
      <w:color w:val="00338D"/>
      <w:sz w:val="28"/>
      <w:szCs w:val="24"/>
      <w:lang w:eastAsia="en-US"/>
    </w:rPr>
  </w:style>
  <w:style w:type="character" w:customStyle="1" w:styleId="CharChar">
    <w:name w:val="Char Char"/>
    <w:basedOn w:val="DefaultParagraphFont"/>
    <w:rsid w:val="00FE7218"/>
    <w:rPr>
      <w:szCs w:val="22"/>
      <w:lang w:val="en-AU" w:eastAsia="en-US" w:bidi="ar-SA"/>
    </w:rPr>
  </w:style>
  <w:style w:type="paragraph" w:customStyle="1" w:styleId="BodyText1">
    <w:name w:val="_Body Text"/>
    <w:basedOn w:val="Normal"/>
    <w:qFormat/>
    <w:rsid w:val="00BA4192"/>
    <w:pPr>
      <w:spacing w:after="280" w:line="288" w:lineRule="atLeast"/>
    </w:pPr>
    <w:rPr>
      <w:rFonts w:ascii="Arial" w:eastAsiaTheme="minorHAnsi" w:hAnsi="Arial" w:cstheme="minorBidi"/>
      <w:color w:val="000000" w:themeColor="text1"/>
      <w:sz w:val="24"/>
      <w:szCs w:val="22"/>
      <w:lang w:val="en-GB"/>
    </w:rPr>
  </w:style>
  <w:style w:type="paragraph" w:customStyle="1" w:styleId="DocumentTitle">
    <w:name w:val="_Document Title"/>
    <w:basedOn w:val="Normal"/>
    <w:qFormat/>
    <w:rsid w:val="00BA4192"/>
    <w:pPr>
      <w:spacing w:after="300" w:line="648" w:lineRule="atLeast"/>
    </w:pPr>
    <w:rPr>
      <w:rFonts w:ascii="Arial" w:eastAsiaTheme="minorHAnsi" w:hAnsi="Arial" w:cstheme="minorBidi"/>
      <w:b/>
      <w:color w:val="FFFFFF" w:themeColor="background1"/>
      <w:sz w:val="60"/>
      <w:szCs w:val="22"/>
      <w:lang w:val="en-GB"/>
    </w:rPr>
  </w:style>
  <w:style w:type="paragraph" w:customStyle="1" w:styleId="ReportDate">
    <w:name w:val="_Report Date"/>
    <w:basedOn w:val="Normal"/>
    <w:qFormat/>
    <w:rsid w:val="00BA4192"/>
    <w:pPr>
      <w:spacing w:line="288" w:lineRule="atLeast"/>
    </w:pPr>
    <w:rPr>
      <w:rFonts w:ascii="Arial" w:eastAsiaTheme="minorHAnsi" w:hAnsi="Arial" w:cstheme="minorBidi"/>
      <w:color w:val="FFFFFF" w:themeColor="background1"/>
      <w:sz w:val="24"/>
      <w:szCs w:val="22"/>
      <w:lang w:val="en-GB"/>
    </w:rPr>
  </w:style>
  <w:style w:type="paragraph" w:customStyle="1" w:styleId="AdditionalInfo">
    <w:name w:val="_Additional Info"/>
    <w:basedOn w:val="BodyText1"/>
    <w:rsid w:val="00BA4192"/>
    <w:rPr>
      <w:color w:val="FFFFFF" w:themeColor="background1"/>
    </w:rPr>
  </w:style>
  <w:style w:type="paragraph" w:styleId="BodyText2">
    <w:name w:val="Body Text 2"/>
    <w:basedOn w:val="Normal"/>
    <w:link w:val="BodyText2Char"/>
    <w:rsid w:val="00BA4192"/>
    <w:pPr>
      <w:spacing w:after="120" w:line="480" w:lineRule="auto"/>
    </w:pPr>
    <w:rPr>
      <w:rFonts w:ascii="Times New Roman" w:hAnsi="Times New Roman"/>
      <w:sz w:val="22"/>
    </w:rPr>
  </w:style>
  <w:style w:type="character" w:customStyle="1" w:styleId="BodyText2Char">
    <w:name w:val="Body Text 2 Char"/>
    <w:basedOn w:val="DefaultParagraphFont"/>
    <w:link w:val="BodyText2"/>
    <w:rsid w:val="00BA4192"/>
    <w:rPr>
      <w:sz w:val="22"/>
      <w:lang w:eastAsia="en-US"/>
    </w:rPr>
  </w:style>
  <w:style w:type="character" w:styleId="CommentReference">
    <w:name w:val="annotation reference"/>
    <w:basedOn w:val="DefaultParagraphFont"/>
    <w:rsid w:val="00BA4192"/>
    <w:rPr>
      <w:sz w:val="16"/>
      <w:szCs w:val="16"/>
    </w:rPr>
  </w:style>
  <w:style w:type="paragraph" w:styleId="CommentText">
    <w:name w:val="annotation text"/>
    <w:basedOn w:val="Normal"/>
    <w:link w:val="CommentTextChar"/>
    <w:rsid w:val="00BA4192"/>
  </w:style>
  <w:style w:type="character" w:customStyle="1" w:styleId="CommentTextChar">
    <w:name w:val="Comment Text Char"/>
    <w:basedOn w:val="DefaultParagraphFont"/>
    <w:link w:val="CommentText"/>
    <w:rsid w:val="00BA4192"/>
    <w:rPr>
      <w:rFonts w:ascii="Calibri" w:hAnsi="Calibri"/>
      <w:lang w:eastAsia="en-US"/>
    </w:rPr>
  </w:style>
  <w:style w:type="paragraph" w:styleId="CommentSubject">
    <w:name w:val="annotation subject"/>
    <w:basedOn w:val="CommentText"/>
    <w:next w:val="CommentText"/>
    <w:link w:val="CommentSubjectChar"/>
    <w:rsid w:val="00BA4192"/>
    <w:rPr>
      <w:b/>
      <w:bCs/>
    </w:rPr>
  </w:style>
  <w:style w:type="character" w:customStyle="1" w:styleId="CommentSubjectChar">
    <w:name w:val="Comment Subject Char"/>
    <w:basedOn w:val="CommentTextChar"/>
    <w:link w:val="CommentSubject"/>
    <w:rsid w:val="00BA4192"/>
    <w:rPr>
      <w:rFonts w:ascii="Calibri" w:hAnsi="Calibri"/>
      <w:b/>
      <w:bCs/>
      <w:lang w:eastAsia="en-US"/>
    </w:rPr>
  </w:style>
  <w:style w:type="paragraph" w:styleId="BalloonText">
    <w:name w:val="Balloon Text"/>
    <w:basedOn w:val="Normal"/>
    <w:link w:val="BalloonTextChar"/>
    <w:rsid w:val="00BA4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4192"/>
    <w:rPr>
      <w:rFonts w:ascii="Tahoma" w:hAnsi="Tahoma" w:cs="Tahoma"/>
      <w:sz w:val="16"/>
      <w:szCs w:val="16"/>
      <w:lang w:eastAsia="en-US"/>
    </w:rPr>
  </w:style>
  <w:style w:type="character" w:customStyle="1" w:styleId="CaptionChar">
    <w:name w:val="Caption Char"/>
    <w:link w:val="Caption"/>
    <w:locked/>
    <w:rsid w:val="00FF3878"/>
    <w:rPr>
      <w:rFonts w:ascii="Calibri" w:hAnsi="Calibri"/>
      <w:bCs/>
      <w:i/>
      <w:sz w:val="21"/>
      <w:lang w:eastAsia="en-US"/>
    </w:rPr>
  </w:style>
  <w:style w:type="paragraph" w:customStyle="1" w:styleId="Tableheading0">
    <w:name w:val="Tableheading"/>
    <w:basedOn w:val="BodyText"/>
    <w:qFormat/>
    <w:rsid w:val="00FF3878"/>
    <w:pPr>
      <w:spacing w:before="60" w:after="60" w:line="240" w:lineRule="auto"/>
      <w:jc w:val="center"/>
    </w:pPr>
    <w:rPr>
      <w:b/>
      <w:color w:val="FFFFFF" w:themeColor="background1"/>
      <w:sz w:val="20"/>
      <w:szCs w:val="20"/>
    </w:rPr>
  </w:style>
  <w:style w:type="paragraph" w:customStyle="1" w:styleId="Tabletext0">
    <w:name w:val="Tabletext"/>
    <w:basedOn w:val="BodyText"/>
    <w:qFormat/>
    <w:rsid w:val="00FF3878"/>
    <w:pPr>
      <w:spacing w:before="60" w:after="60" w:line="240" w:lineRule="auto"/>
    </w:pPr>
    <w:rPr>
      <w:sz w:val="20"/>
      <w:szCs w:val="20"/>
    </w:rPr>
  </w:style>
  <w:style w:type="paragraph" w:customStyle="1" w:styleId="Tablebullet1">
    <w:name w:val="Tablebullet1"/>
    <w:basedOn w:val="ListBullet"/>
    <w:qFormat/>
    <w:rsid w:val="00FF3878"/>
    <w:pPr>
      <w:numPr>
        <w:numId w:val="1"/>
      </w:numPr>
      <w:spacing w:before="60" w:after="60" w:line="240" w:lineRule="auto"/>
      <w:ind w:left="357" w:hanging="357"/>
    </w:pPr>
    <w:rPr>
      <w:sz w:val="20"/>
      <w:szCs w:val="20"/>
    </w:rPr>
  </w:style>
  <w:style w:type="paragraph" w:customStyle="1" w:styleId="Tablebullet2">
    <w:name w:val="Tablebullet2"/>
    <w:basedOn w:val="ListBullet2"/>
    <w:qFormat/>
    <w:rsid w:val="00FF3878"/>
    <w:pPr>
      <w:numPr>
        <w:numId w:val="2"/>
      </w:numPr>
      <w:spacing w:before="60" w:after="60" w:line="240" w:lineRule="auto"/>
    </w:pPr>
    <w:rPr>
      <w:sz w:val="20"/>
      <w:szCs w:val="20"/>
    </w:rPr>
  </w:style>
  <w:style w:type="character" w:styleId="FootnoteReference">
    <w:name w:val="footnote reference"/>
    <w:basedOn w:val="DefaultParagraphFont"/>
    <w:uiPriority w:val="99"/>
    <w:semiHidden/>
    <w:unhideWhenUsed/>
    <w:rsid w:val="00510435"/>
    <w:rPr>
      <w:vertAlign w:val="superscript"/>
    </w:rPr>
  </w:style>
  <w:style w:type="character" w:customStyle="1" w:styleId="FootnoteTextChar">
    <w:name w:val="Footnote Text Char"/>
    <w:basedOn w:val="DefaultParagraphFont"/>
    <w:link w:val="FootnoteText"/>
    <w:uiPriority w:val="99"/>
    <w:semiHidden/>
    <w:rsid w:val="00A476BB"/>
    <w:rPr>
      <w:rFonts w:ascii="Calibri" w:hAnsi="Calibri"/>
      <w:sz w:val="18"/>
      <w:lang w:eastAsia="en-US"/>
    </w:rPr>
  </w:style>
  <w:style w:type="paragraph" w:styleId="ListParagraph">
    <w:name w:val="List Paragraph"/>
    <w:basedOn w:val="Normal"/>
    <w:uiPriority w:val="34"/>
    <w:qFormat/>
    <w:rsid w:val="00A476B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A250A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250A1"/>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EE1BE1"/>
    <w:rPr>
      <w:color w:val="800080" w:themeColor="followedHyperlink"/>
      <w:u w:val="single"/>
    </w:rPr>
  </w:style>
  <w:style w:type="paragraph" w:styleId="Revision">
    <w:name w:val="Revision"/>
    <w:hidden/>
    <w:uiPriority w:val="99"/>
    <w:semiHidden/>
    <w:rsid w:val="00423F0A"/>
    <w:rPr>
      <w:rFonts w:ascii="Calibri" w:hAnsi="Calibri"/>
      <w:lang w:eastAsia="en-US"/>
    </w:rPr>
  </w:style>
  <w:style w:type="paragraph" w:styleId="NormalWeb">
    <w:name w:val="Normal (Web)"/>
    <w:basedOn w:val="Normal"/>
    <w:uiPriority w:val="99"/>
    <w:semiHidden/>
    <w:unhideWhenUsed/>
    <w:rsid w:val="006E7303"/>
    <w:pPr>
      <w:spacing w:before="100" w:beforeAutospacing="1" w:after="100" w:afterAutospacing="1" w:line="240" w:lineRule="auto"/>
    </w:pPr>
    <w:rPr>
      <w:rFonts w:ascii="Times New Roman" w:eastAsiaTheme="minorEastAsia" w:hAnsi="Times New Roman"/>
      <w:sz w:val="24"/>
      <w:szCs w:val="24"/>
      <w:lang w:eastAsia="en-AU"/>
    </w:rPr>
  </w:style>
  <w:style w:type="paragraph" w:styleId="TOCHeading">
    <w:name w:val="TOC Heading"/>
    <w:basedOn w:val="Heading1"/>
    <w:next w:val="Normal"/>
    <w:uiPriority w:val="39"/>
    <w:unhideWhenUsed/>
    <w:qFormat/>
    <w:rsid w:val="004E0A8D"/>
    <w:pPr>
      <w:keepNext/>
      <w:keepLines/>
      <w:pageBreakBefore w:val="0"/>
      <w:numPr>
        <w:numId w:val="0"/>
      </w:numPr>
      <w:spacing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customStyle="1" w:styleId="StyleHeading2BodyCalibri105ptText2">
    <w:name w:val="Style Heading 2 + +Body (Calibri) 10.5 pt Text 2"/>
    <w:basedOn w:val="Heading2"/>
    <w:autoRedefine/>
    <w:rsid w:val="002B4AE1"/>
    <w:pPr>
      <w:tabs>
        <w:tab w:val="clear" w:pos="0"/>
        <w:tab w:val="num" w:pos="3544"/>
      </w:tabs>
      <w:ind w:left="4395"/>
    </w:pPr>
    <w:rPr>
      <w:rFonts w:asciiTheme="minorHAnsi" w:hAnsiTheme="minorHAnsi"/>
      <w:color w:val="1F497D" w:themeColor="text2"/>
      <w:sz w:val="21"/>
    </w:rPr>
  </w:style>
  <w:style w:type="paragraph" w:customStyle="1" w:styleId="StyleHeading4BodyCalibri">
    <w:name w:val="Style Heading 4 + +Body (Calibri)"/>
    <w:basedOn w:val="Heading4"/>
    <w:rsid w:val="008D45A1"/>
    <w:rPr>
      <w:rFonts w:asciiTheme="minorHAnsi" w:hAnsiTheme="minorHAnsi"/>
    </w:rPr>
  </w:style>
  <w:style w:type="table" w:customStyle="1" w:styleId="GridTable4-Accent11">
    <w:name w:val="Grid Table 4 - Accent 11"/>
    <w:basedOn w:val="TableNormal"/>
    <w:uiPriority w:val="49"/>
    <w:rsid w:val="00744AC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Level1NoNumber">
    <w:name w:val="HeadingLevel1NoNumber"/>
    <w:basedOn w:val="Heading1"/>
    <w:qFormat/>
    <w:rsid w:val="002B4AE1"/>
    <w:pPr>
      <w:numPr>
        <w:numId w:val="0"/>
      </w:numPr>
    </w:pPr>
  </w:style>
  <w:style w:type="paragraph" w:customStyle="1" w:styleId="HeadingLevel3NoNumber">
    <w:name w:val="HeadingLevel3NoNumber"/>
    <w:basedOn w:val="Heading3"/>
    <w:qFormat/>
    <w:rsid w:val="00604E3D"/>
    <w:pPr>
      <w:numPr>
        <w:ilvl w:val="0"/>
        <w:numId w:val="0"/>
      </w:numPr>
    </w:pPr>
  </w:style>
  <w:style w:type="table" w:customStyle="1" w:styleId="GridTable4-Accent110">
    <w:name w:val="Grid Table 4 - Accent 11"/>
    <w:basedOn w:val="TableNormal"/>
    <w:uiPriority w:val="49"/>
    <w:rsid w:val="000C0E4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BookTitle">
    <w:name w:val="Book Title"/>
    <w:uiPriority w:val="33"/>
    <w:qFormat/>
    <w:rsid w:val="004A253B"/>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1"/>
    <w:pPr>
      <w:spacing w:line="260" w:lineRule="atLeast"/>
    </w:pPr>
    <w:rPr>
      <w:rFonts w:ascii="Calibri" w:hAnsi="Calibri"/>
      <w:sz w:val="21"/>
      <w:lang w:eastAsia="en-US"/>
    </w:rPr>
  </w:style>
  <w:style w:type="paragraph" w:styleId="Heading1">
    <w:name w:val="heading 1"/>
    <w:basedOn w:val="Normal"/>
    <w:next w:val="BodyText"/>
    <w:qFormat/>
    <w:rsid w:val="002B4AE1"/>
    <w:pPr>
      <w:pageBreakBefore/>
      <w:numPr>
        <w:numId w:val="8"/>
      </w:numPr>
      <w:spacing w:before="240" w:after="240" w:line="240" w:lineRule="auto"/>
      <w:outlineLvl w:val="0"/>
    </w:pPr>
    <w:rPr>
      <w:color w:val="00338D"/>
      <w:sz w:val="50"/>
    </w:rPr>
  </w:style>
  <w:style w:type="paragraph" w:styleId="Heading2">
    <w:name w:val="heading 2"/>
    <w:basedOn w:val="Heading1"/>
    <w:next w:val="BodyText"/>
    <w:link w:val="Heading2Char"/>
    <w:qFormat/>
    <w:rsid w:val="00D362DC"/>
    <w:pPr>
      <w:pageBreakBefore w:val="0"/>
      <w:numPr>
        <w:ilvl w:val="1"/>
      </w:numPr>
      <w:tabs>
        <w:tab w:val="num" w:pos="0"/>
        <w:tab w:val="left" w:pos="998"/>
      </w:tabs>
      <w:spacing w:before="200" w:after="120"/>
      <w:outlineLvl w:val="1"/>
    </w:pPr>
    <w:rPr>
      <w:b/>
      <w:bCs/>
      <w:sz w:val="28"/>
      <w:szCs w:val="24"/>
    </w:rPr>
  </w:style>
  <w:style w:type="paragraph" w:styleId="Heading3">
    <w:name w:val="heading 3"/>
    <w:basedOn w:val="BodyText"/>
    <w:next w:val="BodyText"/>
    <w:qFormat/>
    <w:rsid w:val="00D362DC"/>
    <w:pPr>
      <w:keepNext/>
      <w:keepLines/>
      <w:numPr>
        <w:ilvl w:val="2"/>
        <w:numId w:val="8"/>
      </w:numPr>
      <w:spacing w:before="200" w:line="240" w:lineRule="auto"/>
      <w:outlineLvl w:val="2"/>
    </w:pPr>
    <w:rPr>
      <w:rFonts w:ascii="Univers 55" w:hAnsi="Univers 55"/>
      <w:b/>
      <w:bCs/>
      <w:color w:val="00338D"/>
      <w:sz w:val="24"/>
    </w:rPr>
  </w:style>
  <w:style w:type="paragraph" w:styleId="Heading4">
    <w:name w:val="heading 4"/>
    <w:basedOn w:val="BodyText"/>
    <w:next w:val="BodyText"/>
    <w:qFormat/>
    <w:rsid w:val="004A085C"/>
    <w:pPr>
      <w:numPr>
        <w:ilvl w:val="3"/>
        <w:numId w:val="8"/>
      </w:numPr>
      <w:spacing w:before="200" w:after="0"/>
      <w:outlineLvl w:val="3"/>
    </w:pPr>
    <w:rPr>
      <w:rFonts w:ascii="Univers 55" w:hAnsi="Univers 55"/>
      <w:i/>
      <w:iCs/>
      <w:color w:val="00338D"/>
    </w:rPr>
  </w:style>
  <w:style w:type="paragraph" w:styleId="Heading5">
    <w:name w:val="heading 5"/>
    <w:basedOn w:val="StyleHeading4BodyCalibri"/>
    <w:next w:val="Normal"/>
    <w:qFormat/>
    <w:rsid w:val="002B4AE1"/>
    <w:pPr>
      <w:keepNext/>
      <w:numPr>
        <w:ilvl w:val="0"/>
        <w:numId w:val="0"/>
      </w:numPr>
      <w:spacing w:after="120"/>
      <w:outlineLvl w:val="4"/>
    </w:pPr>
  </w:style>
  <w:style w:type="paragraph" w:styleId="Heading6">
    <w:name w:val="heading 6"/>
    <w:basedOn w:val="BodyText"/>
    <w:next w:val="Normal"/>
    <w:qFormat/>
    <w:rsid w:val="002B4AE1"/>
    <w:pPr>
      <w:keepNext/>
      <w:outlineLvl w:val="5"/>
    </w:pPr>
    <w:rPr>
      <w:b/>
      <w:color w:val="1F497D" w:themeColor="text2"/>
    </w:rPr>
  </w:style>
  <w:style w:type="paragraph" w:styleId="Heading7">
    <w:name w:val="heading 7"/>
    <w:basedOn w:val="Normal"/>
    <w:next w:val="Normal"/>
    <w:qFormat/>
    <w:rsid w:val="007500A3"/>
    <w:pPr>
      <w:numPr>
        <w:ilvl w:val="6"/>
        <w:numId w:val="8"/>
      </w:numPr>
      <w:outlineLvl w:val="6"/>
    </w:pPr>
  </w:style>
  <w:style w:type="paragraph" w:styleId="Heading8">
    <w:name w:val="heading 8"/>
    <w:basedOn w:val="Normal"/>
    <w:next w:val="Normal"/>
    <w:qFormat/>
    <w:rsid w:val="007500A3"/>
    <w:pPr>
      <w:numPr>
        <w:ilvl w:val="7"/>
        <w:numId w:val="8"/>
      </w:numPr>
      <w:outlineLvl w:val="7"/>
    </w:pPr>
  </w:style>
  <w:style w:type="paragraph" w:styleId="Heading9">
    <w:name w:val="heading 9"/>
    <w:basedOn w:val="Normal"/>
    <w:next w:val="Normal"/>
    <w:qFormat/>
    <w:rsid w:val="00D43578"/>
    <w:pPr>
      <w:keepNext/>
      <w:numPr>
        <w:ilvl w:val="8"/>
        <w:numId w:val="8"/>
      </w:numPr>
      <w:outlineLvl w:val="8"/>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66DB"/>
    <w:pPr>
      <w:spacing w:before="120" w:after="120" w:line="280" w:lineRule="atLeast"/>
    </w:pPr>
    <w:rPr>
      <w:szCs w:val="22"/>
    </w:rPr>
  </w:style>
  <w:style w:type="paragraph" w:styleId="BodyTextIndent">
    <w:name w:val="Body Text Indent"/>
    <w:basedOn w:val="BodyText"/>
    <w:rsid w:val="007500A3"/>
    <w:pPr>
      <w:ind w:left="340"/>
    </w:pPr>
  </w:style>
  <w:style w:type="paragraph" w:styleId="Footer">
    <w:name w:val="footer"/>
    <w:basedOn w:val="Normal"/>
    <w:rsid w:val="007500A3"/>
    <w:pPr>
      <w:tabs>
        <w:tab w:val="right" w:pos="8505"/>
      </w:tabs>
    </w:pPr>
    <w:rPr>
      <w:sz w:val="18"/>
    </w:rPr>
  </w:style>
  <w:style w:type="paragraph" w:styleId="Header">
    <w:name w:val="header"/>
    <w:basedOn w:val="Normal"/>
    <w:rsid w:val="007500A3"/>
    <w:pPr>
      <w:spacing w:line="220" w:lineRule="exact"/>
      <w:jc w:val="right"/>
    </w:pPr>
    <w:rPr>
      <w:i/>
      <w:sz w:val="18"/>
    </w:rPr>
  </w:style>
  <w:style w:type="paragraph" w:styleId="ListBullet">
    <w:name w:val="List Bullet"/>
    <w:aliases w:val="l,list no space after,(NECG) List Bullet,*List Bullet,lb,l1,List Bullet 1"/>
    <w:basedOn w:val="BodyText"/>
    <w:qFormat/>
    <w:rsid w:val="00AF54ED"/>
    <w:pPr>
      <w:numPr>
        <w:numId w:val="3"/>
      </w:numPr>
    </w:pPr>
    <w:rPr>
      <w:color w:val="000000"/>
    </w:rPr>
  </w:style>
  <w:style w:type="paragraph" w:styleId="FootnoteText">
    <w:name w:val="footnote text"/>
    <w:basedOn w:val="Normal"/>
    <w:link w:val="FootnoteTextChar"/>
    <w:uiPriority w:val="99"/>
    <w:semiHidden/>
    <w:rsid w:val="007500A3"/>
    <w:rPr>
      <w:sz w:val="18"/>
    </w:rPr>
  </w:style>
  <w:style w:type="paragraph" w:customStyle="1" w:styleId="Graphic">
    <w:name w:val="Graphic"/>
    <w:basedOn w:val="Signature"/>
    <w:rsid w:val="007500A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7500A3"/>
    <w:pPr>
      <w:spacing w:line="240" w:lineRule="auto"/>
    </w:pPr>
  </w:style>
  <w:style w:type="paragraph" w:styleId="ListBullet2">
    <w:name w:val="List Bullet 2"/>
    <w:basedOn w:val="BodyText"/>
    <w:qFormat/>
    <w:rsid w:val="00AF54ED"/>
    <w:pPr>
      <w:numPr>
        <w:numId w:val="4"/>
      </w:numPr>
    </w:pPr>
    <w:rPr>
      <w:color w:val="000000"/>
    </w:rPr>
  </w:style>
  <w:style w:type="paragraph" w:styleId="MacroText">
    <w:name w:val="macro"/>
    <w:semiHidden/>
    <w:rsid w:val="007500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paragraph" w:styleId="Caption">
    <w:name w:val="caption"/>
    <w:basedOn w:val="Normal"/>
    <w:next w:val="Normal"/>
    <w:link w:val="CaptionChar"/>
    <w:qFormat/>
    <w:rsid w:val="00FF3878"/>
    <w:pPr>
      <w:keepNext/>
      <w:spacing w:before="120"/>
    </w:pPr>
    <w:rPr>
      <w:bCs/>
      <w:i/>
    </w:rPr>
  </w:style>
  <w:style w:type="character" w:styleId="PageNumber">
    <w:name w:val="page number"/>
    <w:basedOn w:val="DefaultParagraphFont"/>
    <w:rsid w:val="007500A3"/>
    <w:rPr>
      <w:rFonts w:ascii="Univers 45 Light" w:hAnsi="Univers 45 Light"/>
      <w:color w:val="0C2D83"/>
      <w:sz w:val="20"/>
      <w:szCs w:val="20"/>
    </w:rPr>
  </w:style>
  <w:style w:type="paragraph" w:customStyle="1" w:styleId="Appendixheading1">
    <w:name w:val="Appendix heading 1"/>
    <w:next w:val="Normal"/>
    <w:rsid w:val="00DA3635"/>
    <w:pPr>
      <w:pageBreakBefore/>
      <w:numPr>
        <w:numId w:val="49"/>
      </w:numPr>
      <w:spacing w:before="240" w:after="240"/>
    </w:pPr>
    <w:rPr>
      <w:rFonts w:ascii="Calibri" w:hAnsi="Calibri"/>
      <w:bCs/>
      <w:color w:val="0C2D83"/>
      <w:sz w:val="50"/>
      <w:lang w:eastAsia="en-US"/>
    </w:rPr>
  </w:style>
  <w:style w:type="paragraph" w:styleId="TOC3">
    <w:name w:val="toc 3"/>
    <w:basedOn w:val="Normal"/>
    <w:next w:val="Normal"/>
    <w:autoRedefine/>
    <w:semiHidden/>
    <w:rsid w:val="007500A3"/>
    <w:pPr>
      <w:ind w:left="440"/>
    </w:pPr>
  </w:style>
  <w:style w:type="paragraph" w:customStyle="1" w:styleId="Frontpagesubhead">
    <w:name w:val="Front page subhead"/>
    <w:basedOn w:val="BodyText"/>
    <w:rsid w:val="007500A3"/>
    <w:pPr>
      <w:spacing w:after="0"/>
    </w:pPr>
    <w:rPr>
      <w:rFonts w:ascii="Univers 55" w:hAnsi="Univers 55"/>
      <w:color w:val="0C2D83"/>
      <w:sz w:val="24"/>
    </w:rPr>
  </w:style>
  <w:style w:type="paragraph" w:customStyle="1" w:styleId="Disclaimer">
    <w:name w:val="Disclaimer"/>
    <w:basedOn w:val="Normal"/>
    <w:rsid w:val="007500A3"/>
    <w:pPr>
      <w:spacing w:line="180" w:lineRule="atLeast"/>
    </w:pPr>
    <w:rPr>
      <w:rFonts w:ascii="Univers 45 Light" w:hAnsi="Univers 45 Light"/>
      <w:sz w:val="16"/>
      <w:szCs w:val="18"/>
    </w:rPr>
  </w:style>
  <w:style w:type="paragraph" w:customStyle="1" w:styleId="Contentsheading">
    <w:name w:val="Contents heading"/>
    <w:basedOn w:val="BodyText"/>
    <w:rsid w:val="009102C2"/>
    <w:pPr>
      <w:spacing w:after="1247"/>
    </w:pPr>
    <w:rPr>
      <w:rFonts w:ascii="Univers 45 Light" w:hAnsi="Univers 45 Light"/>
      <w:color w:val="FFFFFF"/>
      <w:sz w:val="50"/>
    </w:rPr>
  </w:style>
  <w:style w:type="paragraph" w:styleId="TOC1">
    <w:name w:val="toc 1"/>
    <w:basedOn w:val="BodyText"/>
    <w:next w:val="BodyText"/>
    <w:autoRedefine/>
    <w:uiPriority w:val="39"/>
    <w:rsid w:val="00D43578"/>
    <w:pPr>
      <w:tabs>
        <w:tab w:val="left" w:pos="567"/>
        <w:tab w:val="right" w:pos="8080"/>
      </w:tabs>
      <w:spacing w:line="240" w:lineRule="auto"/>
    </w:pPr>
    <w:rPr>
      <w:rFonts w:ascii="Univers 55" w:hAnsi="Univers 55"/>
      <w:noProof/>
      <w:color w:val="415299"/>
      <w:sz w:val="22"/>
      <w:szCs w:val="40"/>
    </w:rPr>
  </w:style>
  <w:style w:type="paragraph" w:styleId="TOC2">
    <w:name w:val="toc 2"/>
    <w:basedOn w:val="BodyText"/>
    <w:next w:val="BodyText"/>
    <w:autoRedefine/>
    <w:uiPriority w:val="39"/>
    <w:rsid w:val="00D43578"/>
    <w:pPr>
      <w:tabs>
        <w:tab w:val="left" w:pos="1320"/>
        <w:tab w:val="right" w:pos="8080"/>
      </w:tabs>
      <w:spacing w:after="0" w:line="240" w:lineRule="auto"/>
      <w:ind w:left="567"/>
    </w:pPr>
    <w:rPr>
      <w:rFonts w:ascii="Univers 45 Light" w:hAnsi="Univers 45 Light"/>
      <w:noProof/>
      <w:color w:val="415299"/>
      <w:sz w:val="22"/>
      <w:szCs w:val="40"/>
    </w:rPr>
  </w:style>
  <w:style w:type="paragraph" w:styleId="TOC4">
    <w:name w:val="toc 4"/>
    <w:basedOn w:val="Normal"/>
    <w:next w:val="Normal"/>
    <w:autoRedefine/>
    <w:semiHidden/>
    <w:rsid w:val="007500A3"/>
    <w:pPr>
      <w:ind w:left="660"/>
    </w:pPr>
  </w:style>
  <w:style w:type="paragraph" w:styleId="TOC5">
    <w:name w:val="toc 5"/>
    <w:basedOn w:val="Normal"/>
    <w:next w:val="Normal"/>
    <w:autoRedefine/>
    <w:semiHidden/>
    <w:rsid w:val="007500A3"/>
    <w:pPr>
      <w:ind w:left="880"/>
    </w:pPr>
  </w:style>
  <w:style w:type="paragraph" w:styleId="TOC6">
    <w:name w:val="toc 6"/>
    <w:basedOn w:val="Normal"/>
    <w:next w:val="Normal"/>
    <w:autoRedefine/>
    <w:semiHidden/>
    <w:rsid w:val="007500A3"/>
    <w:pPr>
      <w:ind w:left="1100"/>
    </w:pPr>
  </w:style>
  <w:style w:type="paragraph" w:styleId="TOC7">
    <w:name w:val="toc 7"/>
    <w:basedOn w:val="Normal"/>
    <w:next w:val="Normal"/>
    <w:autoRedefine/>
    <w:semiHidden/>
    <w:rsid w:val="007500A3"/>
    <w:pPr>
      <w:ind w:left="1320"/>
    </w:pPr>
  </w:style>
  <w:style w:type="paragraph" w:styleId="TOC8">
    <w:name w:val="toc 8"/>
    <w:basedOn w:val="Normal"/>
    <w:next w:val="Normal"/>
    <w:autoRedefine/>
    <w:semiHidden/>
    <w:rsid w:val="007500A3"/>
    <w:pPr>
      <w:ind w:left="1540"/>
    </w:pPr>
  </w:style>
  <w:style w:type="paragraph" w:styleId="TOC9">
    <w:name w:val="toc 9"/>
    <w:basedOn w:val="Normal"/>
    <w:next w:val="Normal"/>
    <w:autoRedefine/>
    <w:semiHidden/>
    <w:rsid w:val="007500A3"/>
    <w:pPr>
      <w:ind w:left="1760"/>
    </w:pPr>
  </w:style>
  <w:style w:type="character" w:styleId="Hyperlink">
    <w:name w:val="Hyperlink"/>
    <w:basedOn w:val="DefaultParagraphFont"/>
    <w:uiPriority w:val="99"/>
    <w:rsid w:val="007500A3"/>
    <w:rPr>
      <w:color w:val="0000FF"/>
      <w:u w:val="single"/>
    </w:rPr>
  </w:style>
  <w:style w:type="character" w:customStyle="1" w:styleId="Bodyhighlight">
    <w:name w:val="Body highlight"/>
    <w:rsid w:val="007500A3"/>
    <w:rPr>
      <w:rFonts w:ascii="Univers 55" w:hAnsi="Univers 55"/>
      <w:b/>
      <w:color w:val="000000"/>
      <w:sz w:val="17"/>
    </w:rPr>
  </w:style>
  <w:style w:type="paragraph" w:styleId="Quote">
    <w:name w:val="Quote"/>
    <w:basedOn w:val="BodyText"/>
    <w:qFormat/>
    <w:rsid w:val="007500A3"/>
    <w:rPr>
      <w:rFonts w:ascii="Univers 55" w:hAnsi="Univers 55"/>
      <w:kern w:val="20"/>
      <w:sz w:val="28"/>
    </w:rPr>
  </w:style>
  <w:style w:type="paragraph" w:customStyle="1" w:styleId="Frontpagehead">
    <w:name w:val="Front page head"/>
    <w:rsid w:val="007500A3"/>
    <w:pPr>
      <w:spacing w:line="480" w:lineRule="atLeast"/>
    </w:pPr>
    <w:rPr>
      <w:rFonts w:ascii="Univers 55" w:hAnsi="Univers 55"/>
      <w:color w:val="0C2D83"/>
      <w:sz w:val="44"/>
      <w:lang w:eastAsia="en-US"/>
    </w:rPr>
  </w:style>
  <w:style w:type="paragraph" w:customStyle="1" w:styleId="Tabletext">
    <w:name w:val="Table text"/>
    <w:basedOn w:val="Normal"/>
    <w:rsid w:val="005772FD"/>
    <w:pPr>
      <w:spacing w:before="40" w:after="40"/>
    </w:pPr>
    <w:rPr>
      <w:rFonts w:ascii="Univers 45 Light" w:hAnsi="Univers 45 Light"/>
    </w:rPr>
  </w:style>
  <w:style w:type="paragraph" w:customStyle="1" w:styleId="Guidancenote">
    <w:name w:val="Guidance note"/>
    <w:basedOn w:val="BodyText"/>
    <w:rsid w:val="007500A3"/>
    <w:pPr>
      <w:spacing w:after="0" w:line="260" w:lineRule="atLeast"/>
    </w:pPr>
    <w:rPr>
      <w:color w:val="FF0000"/>
      <w:szCs w:val="20"/>
    </w:rPr>
  </w:style>
  <w:style w:type="paragraph" w:customStyle="1" w:styleId="Tablebullets">
    <w:name w:val="Table bullets"/>
    <w:basedOn w:val="Tabletext"/>
    <w:rsid w:val="002F5934"/>
    <w:pPr>
      <w:numPr>
        <w:numId w:val="7"/>
      </w:numPr>
      <w:spacing w:line="280" w:lineRule="atLeast"/>
      <w:ind w:left="0" w:firstLine="0"/>
    </w:pPr>
  </w:style>
  <w:style w:type="paragraph" w:customStyle="1" w:styleId="Chartsource">
    <w:name w:val="Chart source"/>
    <w:basedOn w:val="BodyText"/>
    <w:rsid w:val="007500A3"/>
    <w:pPr>
      <w:tabs>
        <w:tab w:val="left" w:pos="3600"/>
      </w:tabs>
      <w:spacing w:after="180" w:line="240" w:lineRule="auto"/>
    </w:pPr>
    <w:rPr>
      <w:rFonts w:ascii="Univers 55" w:hAnsi="Univers 55"/>
      <w:i/>
      <w:color w:val="000000"/>
      <w:sz w:val="16"/>
      <w:szCs w:val="16"/>
      <w:lang w:val="en-US"/>
    </w:rPr>
  </w:style>
  <w:style w:type="paragraph" w:customStyle="1" w:styleId="Charttitle">
    <w:name w:val="Chart title"/>
    <w:basedOn w:val="BodyText"/>
    <w:rsid w:val="007500A3"/>
    <w:pPr>
      <w:keepNext/>
      <w:tabs>
        <w:tab w:val="left" w:pos="3600"/>
      </w:tabs>
      <w:spacing w:line="360" w:lineRule="auto"/>
    </w:pPr>
    <w:rPr>
      <w:rFonts w:ascii="Univers 55" w:hAnsi="Univers 55"/>
      <w:i/>
      <w:color w:val="0C2D83"/>
      <w:lang w:val="en-US"/>
    </w:rPr>
  </w:style>
  <w:style w:type="paragraph" w:customStyle="1" w:styleId="PreTOCExecSummHeading">
    <w:name w:val="Pre TOC Exec Summ Heading"/>
    <w:basedOn w:val="PreTOCHeading"/>
    <w:next w:val="BodyText"/>
    <w:rsid w:val="00133EA1"/>
    <w:pPr>
      <w:pageBreakBefore w:val="0"/>
      <w:spacing w:line="260" w:lineRule="atLeast"/>
    </w:pPr>
    <w:rPr>
      <w:lang w:val="en-US"/>
    </w:rPr>
  </w:style>
  <w:style w:type="paragraph" w:customStyle="1" w:styleId="Pulloutquote2">
    <w:name w:val="Pullout quote 2"/>
    <w:basedOn w:val="Normal"/>
    <w:rsid w:val="00727A49"/>
    <w:rPr>
      <w:rFonts w:ascii="Univers 45 Light" w:hAnsi="Univers 45 Light"/>
      <w:color w:val="68820B"/>
    </w:rPr>
  </w:style>
  <w:style w:type="paragraph" w:customStyle="1" w:styleId="Quotetitle">
    <w:name w:val="Quote title"/>
    <w:basedOn w:val="Normal"/>
    <w:rsid w:val="00727A49"/>
    <w:pPr>
      <w:spacing w:before="40" w:after="80" w:line="240" w:lineRule="auto"/>
    </w:pPr>
    <w:rPr>
      <w:rFonts w:ascii="Univers 45 Light" w:hAnsi="Univers 45 Light"/>
      <w:noProof/>
      <w:color w:val="68820B"/>
      <w:lang w:val="en-US"/>
    </w:rPr>
  </w:style>
  <w:style w:type="paragraph" w:customStyle="1" w:styleId="Resumehead">
    <w:name w:val="Resume head"/>
    <w:basedOn w:val="Normal"/>
    <w:rsid w:val="007500A3"/>
    <w:pPr>
      <w:tabs>
        <w:tab w:val="left" w:pos="3600"/>
      </w:tabs>
      <w:spacing w:before="360" w:line="360" w:lineRule="auto"/>
    </w:pPr>
    <w:rPr>
      <w:rFonts w:ascii="Univers 55" w:hAnsi="Univers 55"/>
      <w:i/>
      <w:sz w:val="17"/>
      <w:lang w:val="en-US"/>
    </w:rPr>
  </w:style>
  <w:style w:type="paragraph" w:customStyle="1" w:styleId="Resumedetails">
    <w:name w:val="Resume details"/>
    <w:basedOn w:val="Normal"/>
    <w:next w:val="BodyText"/>
    <w:rsid w:val="004C0FE5"/>
    <w:pPr>
      <w:tabs>
        <w:tab w:val="left" w:pos="3600"/>
      </w:tabs>
      <w:spacing w:line="240" w:lineRule="auto"/>
    </w:pPr>
    <w:rPr>
      <w:rFonts w:ascii="Univers 55" w:hAnsi="Univers 55"/>
      <w:bCs/>
      <w:color w:val="333333"/>
      <w:sz w:val="16"/>
      <w:lang w:val="en-US"/>
    </w:rPr>
  </w:style>
  <w:style w:type="paragraph" w:customStyle="1" w:styleId="TableHeading">
    <w:name w:val="Table Heading"/>
    <w:basedOn w:val="Normal"/>
    <w:rsid w:val="000E4CFA"/>
    <w:pPr>
      <w:spacing w:line="280" w:lineRule="atLeast"/>
    </w:pPr>
    <w:rPr>
      <w:rFonts w:ascii="Univers 45 Light" w:hAnsi="Univers 45 Light"/>
      <w:color w:val="FFFFFF"/>
    </w:rPr>
  </w:style>
  <w:style w:type="paragraph" w:customStyle="1" w:styleId="zNormal">
    <w:name w:val="zNormal"/>
    <w:rsid w:val="007500A3"/>
    <w:rPr>
      <w:sz w:val="22"/>
      <w:lang w:eastAsia="en-US"/>
    </w:rPr>
  </w:style>
  <w:style w:type="paragraph" w:styleId="PlainText">
    <w:name w:val="Plain Text"/>
    <w:basedOn w:val="Normal"/>
    <w:rsid w:val="007500A3"/>
    <w:rPr>
      <w:rFonts w:cs="Courier New"/>
    </w:rPr>
  </w:style>
  <w:style w:type="paragraph" w:customStyle="1" w:styleId="FrontPageServiceheading">
    <w:name w:val="Front Page Service heading"/>
    <w:basedOn w:val="Frontpagehead"/>
    <w:rsid w:val="007500A3"/>
    <w:pPr>
      <w:spacing w:after="60" w:line="200" w:lineRule="atLeast"/>
    </w:pPr>
    <w:rPr>
      <w:caps/>
      <w:sz w:val="16"/>
    </w:rPr>
  </w:style>
  <w:style w:type="paragraph" w:customStyle="1" w:styleId="FrontpageATAdescriptor">
    <w:name w:val="Front page A/T/A descriptor"/>
    <w:basedOn w:val="Frontpagesubhead"/>
    <w:rsid w:val="007500A3"/>
    <w:pPr>
      <w:framePr w:hSpace="181" w:vSpace="181" w:wrap="around" w:vAnchor="text" w:hAnchor="text" w:y="1"/>
      <w:spacing w:line="160" w:lineRule="atLeast"/>
    </w:pPr>
    <w:rPr>
      <w:caps/>
      <w:sz w:val="16"/>
    </w:rPr>
  </w:style>
  <w:style w:type="paragraph" w:customStyle="1" w:styleId="Introductoryparagraph">
    <w:name w:val="Introductory paragraph"/>
    <w:basedOn w:val="BodyText"/>
    <w:next w:val="BodyText"/>
    <w:rsid w:val="00727A49"/>
    <w:pPr>
      <w:spacing w:before="0"/>
    </w:pPr>
    <w:rPr>
      <w:rFonts w:ascii="Univers 55" w:hAnsi="Univers 55"/>
      <w:color w:val="68820B"/>
      <w:sz w:val="23"/>
      <w:szCs w:val="18"/>
    </w:rPr>
  </w:style>
  <w:style w:type="paragraph" w:customStyle="1" w:styleId="Callout1">
    <w:name w:val="Callout1"/>
    <w:basedOn w:val="Heading3"/>
    <w:rsid w:val="007500A3"/>
    <w:pPr>
      <w:keepLines w:val="0"/>
      <w:spacing w:before="0" w:line="380" w:lineRule="exact"/>
    </w:pPr>
    <w:rPr>
      <w:rFonts w:ascii="Univers 55 Oblique" w:eastAsia="Times" w:hAnsi="Univers 55 Oblique"/>
      <w:b w:val="0"/>
      <w:bCs w:val="0"/>
      <w:i/>
      <w:color w:val="808EC8"/>
      <w:szCs w:val="24"/>
      <w:lang w:val="en-US" w:eastAsia="zh-CN"/>
    </w:rPr>
  </w:style>
  <w:style w:type="paragraph" w:customStyle="1" w:styleId="Curriculavitae">
    <w:name w:val="Curricula vitae"/>
    <w:basedOn w:val="BodyText"/>
    <w:next w:val="BodyText"/>
    <w:rsid w:val="007500A3"/>
    <w:pPr>
      <w:keepNext/>
      <w:spacing w:line="280" w:lineRule="exact"/>
    </w:pPr>
    <w:rPr>
      <w:rFonts w:eastAsia="Osaka"/>
      <w:b/>
      <w:color w:val="0C2D83"/>
      <w:szCs w:val="20"/>
      <w:lang w:eastAsia="zh-CN"/>
    </w:rPr>
  </w:style>
  <w:style w:type="paragraph" w:customStyle="1" w:styleId="PreTOCHeading">
    <w:name w:val="Pre TOC Heading"/>
    <w:basedOn w:val="BodyText"/>
    <w:next w:val="BodyText"/>
    <w:rsid w:val="009102C2"/>
    <w:pPr>
      <w:pageBreakBefore/>
      <w:spacing w:after="240" w:line="480" w:lineRule="exact"/>
    </w:pPr>
    <w:rPr>
      <w:rFonts w:ascii="Univers 45 Light" w:hAnsi="Univers 45 Light"/>
      <w:noProof/>
      <w:color w:val="0C2D83"/>
      <w:sz w:val="50"/>
      <w:szCs w:val="50"/>
    </w:rPr>
  </w:style>
  <w:style w:type="paragraph" w:styleId="BlockText">
    <w:name w:val="Block Text"/>
    <w:basedOn w:val="Normal"/>
    <w:rsid w:val="007500A3"/>
    <w:pPr>
      <w:spacing w:after="120"/>
      <w:ind w:left="1440" w:right="1440"/>
    </w:pPr>
  </w:style>
  <w:style w:type="paragraph" w:styleId="List">
    <w:name w:val="List"/>
    <w:basedOn w:val="Normal"/>
    <w:rsid w:val="007500A3"/>
    <w:pPr>
      <w:ind w:left="283" w:hanging="283"/>
    </w:pPr>
  </w:style>
  <w:style w:type="paragraph" w:styleId="List2">
    <w:name w:val="List 2"/>
    <w:basedOn w:val="Normal"/>
    <w:rsid w:val="007500A3"/>
    <w:pPr>
      <w:ind w:left="566" w:hanging="283"/>
    </w:pPr>
  </w:style>
  <w:style w:type="paragraph" w:customStyle="1" w:styleId="Tableheading2">
    <w:name w:val="Table heading 2"/>
    <w:basedOn w:val="Normal"/>
    <w:rsid w:val="00006BCC"/>
    <w:pPr>
      <w:shd w:val="clear" w:color="auto" w:fill="FFFFFF"/>
      <w:spacing w:before="40" w:after="40" w:line="280" w:lineRule="atLeast"/>
    </w:pPr>
    <w:rPr>
      <w:rFonts w:ascii="Univers 45 Light" w:eastAsia="Osaka" w:hAnsi="Univers 45 Light"/>
      <w:noProof/>
      <w:color w:val="00338D"/>
      <w:lang w:val="en-GB" w:eastAsia="zh-CN"/>
    </w:rPr>
  </w:style>
  <w:style w:type="table" w:styleId="TableGrid">
    <w:name w:val="Table Grid"/>
    <w:basedOn w:val="TableNormal"/>
    <w:uiPriority w:val="39"/>
    <w:rsid w:val="007500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ISOffAddress">
    <w:name w:val="zKISOffAddress"/>
    <w:basedOn w:val="Normal"/>
    <w:rsid w:val="007500A3"/>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al"/>
    <w:rsid w:val="007500A3"/>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Normal"/>
    <w:rsid w:val="00296376"/>
    <w:pPr>
      <w:framePr w:wrap="around" w:vAnchor="page" w:hAnchor="page" w:x="7854" w:y="15140"/>
      <w:spacing w:line="130" w:lineRule="exact"/>
    </w:pPr>
    <w:rPr>
      <w:rFonts w:ascii="Univers 45 Light" w:hAnsi="Univers 45 Light"/>
      <w:sz w:val="11"/>
    </w:rPr>
  </w:style>
  <w:style w:type="paragraph" w:customStyle="1" w:styleId="Diagramtitle">
    <w:name w:val="Diagram title"/>
    <w:basedOn w:val="Normal"/>
    <w:rsid w:val="007500A3"/>
    <w:pPr>
      <w:spacing w:line="240" w:lineRule="auto"/>
    </w:pPr>
    <w:rPr>
      <w:rFonts w:ascii="Univers 45 Light" w:hAnsi="Univers 45 Light"/>
      <w:sz w:val="18"/>
    </w:rPr>
  </w:style>
  <w:style w:type="paragraph" w:customStyle="1" w:styleId="Numbering">
    <w:name w:val="Numbering"/>
    <w:basedOn w:val="BodyText"/>
    <w:autoRedefine/>
    <w:rsid w:val="00AF54ED"/>
    <w:pPr>
      <w:numPr>
        <w:numId w:val="5"/>
      </w:numPr>
    </w:pPr>
  </w:style>
  <w:style w:type="paragraph" w:customStyle="1" w:styleId="Pulloutquote">
    <w:name w:val="Pullout quote"/>
    <w:basedOn w:val="Normal"/>
    <w:rsid w:val="00727A49"/>
    <w:pPr>
      <w:spacing w:before="240" w:after="240" w:line="360" w:lineRule="auto"/>
    </w:pPr>
    <w:rPr>
      <w:rFonts w:ascii="Univers 55" w:hAnsi="Univers 55"/>
      <w:color w:val="68820B"/>
      <w:sz w:val="28"/>
    </w:rPr>
  </w:style>
  <w:style w:type="paragraph" w:customStyle="1" w:styleId="BodyText0">
    <w:name w:val="BodyText"/>
    <w:basedOn w:val="Normal"/>
    <w:rsid w:val="00465FF1"/>
    <w:pPr>
      <w:spacing w:after="130" w:line="240" w:lineRule="auto"/>
    </w:pPr>
    <w:rPr>
      <w:sz w:val="22"/>
    </w:rPr>
  </w:style>
  <w:style w:type="paragraph" w:customStyle="1" w:styleId="TableBullets2">
    <w:name w:val="Table Bullets 2"/>
    <w:basedOn w:val="Tablebullets"/>
    <w:rsid w:val="005772FD"/>
    <w:pPr>
      <w:numPr>
        <w:numId w:val="6"/>
      </w:numPr>
      <w:ind w:left="714" w:hanging="357"/>
    </w:pPr>
  </w:style>
  <w:style w:type="character" w:customStyle="1" w:styleId="BodyTextChar">
    <w:name w:val="Body Text Char"/>
    <w:basedOn w:val="DefaultParagraphFont"/>
    <w:link w:val="BodyText"/>
    <w:rsid w:val="00FE66DB"/>
    <w:rPr>
      <w:rFonts w:ascii="Calibri" w:hAnsi="Calibri"/>
      <w:sz w:val="21"/>
      <w:szCs w:val="22"/>
      <w:lang w:eastAsia="en-US"/>
    </w:rPr>
  </w:style>
  <w:style w:type="character" w:customStyle="1" w:styleId="Heading2Char">
    <w:name w:val="Heading 2 Char"/>
    <w:basedOn w:val="DefaultParagraphFont"/>
    <w:link w:val="Heading2"/>
    <w:rsid w:val="00D362DC"/>
    <w:rPr>
      <w:rFonts w:ascii="Univers 45 Light" w:hAnsi="Univers 45 Light"/>
      <w:b/>
      <w:bCs/>
      <w:color w:val="00338D"/>
      <w:sz w:val="28"/>
      <w:szCs w:val="24"/>
      <w:lang w:eastAsia="en-US"/>
    </w:rPr>
  </w:style>
  <w:style w:type="character" w:customStyle="1" w:styleId="CharChar">
    <w:name w:val="Char Char"/>
    <w:basedOn w:val="DefaultParagraphFont"/>
    <w:rsid w:val="00FE7218"/>
    <w:rPr>
      <w:szCs w:val="22"/>
      <w:lang w:val="en-AU" w:eastAsia="en-US" w:bidi="ar-SA"/>
    </w:rPr>
  </w:style>
  <w:style w:type="paragraph" w:customStyle="1" w:styleId="BodyText1">
    <w:name w:val="_Body Text"/>
    <w:basedOn w:val="Normal"/>
    <w:qFormat/>
    <w:rsid w:val="00BA4192"/>
    <w:pPr>
      <w:spacing w:after="280" w:line="288" w:lineRule="atLeast"/>
    </w:pPr>
    <w:rPr>
      <w:rFonts w:ascii="Arial" w:eastAsiaTheme="minorHAnsi" w:hAnsi="Arial" w:cstheme="minorBidi"/>
      <w:color w:val="000000" w:themeColor="text1"/>
      <w:sz w:val="24"/>
      <w:szCs w:val="22"/>
      <w:lang w:val="en-GB"/>
    </w:rPr>
  </w:style>
  <w:style w:type="paragraph" w:customStyle="1" w:styleId="DocumentTitle">
    <w:name w:val="_Document Title"/>
    <w:basedOn w:val="Normal"/>
    <w:qFormat/>
    <w:rsid w:val="00BA4192"/>
    <w:pPr>
      <w:spacing w:after="300" w:line="648" w:lineRule="atLeast"/>
    </w:pPr>
    <w:rPr>
      <w:rFonts w:ascii="Arial" w:eastAsiaTheme="minorHAnsi" w:hAnsi="Arial" w:cstheme="minorBidi"/>
      <w:b/>
      <w:color w:val="FFFFFF" w:themeColor="background1"/>
      <w:sz w:val="60"/>
      <w:szCs w:val="22"/>
      <w:lang w:val="en-GB"/>
    </w:rPr>
  </w:style>
  <w:style w:type="paragraph" w:customStyle="1" w:styleId="ReportDate">
    <w:name w:val="_Report Date"/>
    <w:basedOn w:val="Normal"/>
    <w:qFormat/>
    <w:rsid w:val="00BA4192"/>
    <w:pPr>
      <w:spacing w:line="288" w:lineRule="atLeast"/>
    </w:pPr>
    <w:rPr>
      <w:rFonts w:ascii="Arial" w:eastAsiaTheme="minorHAnsi" w:hAnsi="Arial" w:cstheme="minorBidi"/>
      <w:color w:val="FFFFFF" w:themeColor="background1"/>
      <w:sz w:val="24"/>
      <w:szCs w:val="22"/>
      <w:lang w:val="en-GB"/>
    </w:rPr>
  </w:style>
  <w:style w:type="paragraph" w:customStyle="1" w:styleId="AdditionalInfo">
    <w:name w:val="_Additional Info"/>
    <w:basedOn w:val="BodyText1"/>
    <w:rsid w:val="00BA4192"/>
    <w:rPr>
      <w:color w:val="FFFFFF" w:themeColor="background1"/>
    </w:rPr>
  </w:style>
  <w:style w:type="paragraph" w:styleId="BodyText2">
    <w:name w:val="Body Text 2"/>
    <w:basedOn w:val="Normal"/>
    <w:link w:val="BodyText2Char"/>
    <w:rsid w:val="00BA4192"/>
    <w:pPr>
      <w:spacing w:after="120" w:line="480" w:lineRule="auto"/>
    </w:pPr>
    <w:rPr>
      <w:rFonts w:ascii="Times New Roman" w:hAnsi="Times New Roman"/>
      <w:sz w:val="22"/>
    </w:rPr>
  </w:style>
  <w:style w:type="character" w:customStyle="1" w:styleId="BodyText2Char">
    <w:name w:val="Body Text 2 Char"/>
    <w:basedOn w:val="DefaultParagraphFont"/>
    <w:link w:val="BodyText2"/>
    <w:rsid w:val="00BA4192"/>
    <w:rPr>
      <w:sz w:val="22"/>
      <w:lang w:eastAsia="en-US"/>
    </w:rPr>
  </w:style>
  <w:style w:type="character" w:styleId="CommentReference">
    <w:name w:val="annotation reference"/>
    <w:basedOn w:val="DefaultParagraphFont"/>
    <w:rsid w:val="00BA4192"/>
    <w:rPr>
      <w:sz w:val="16"/>
      <w:szCs w:val="16"/>
    </w:rPr>
  </w:style>
  <w:style w:type="paragraph" w:styleId="CommentText">
    <w:name w:val="annotation text"/>
    <w:basedOn w:val="Normal"/>
    <w:link w:val="CommentTextChar"/>
    <w:rsid w:val="00BA4192"/>
  </w:style>
  <w:style w:type="character" w:customStyle="1" w:styleId="CommentTextChar">
    <w:name w:val="Comment Text Char"/>
    <w:basedOn w:val="DefaultParagraphFont"/>
    <w:link w:val="CommentText"/>
    <w:rsid w:val="00BA4192"/>
    <w:rPr>
      <w:rFonts w:ascii="Calibri" w:hAnsi="Calibri"/>
      <w:lang w:eastAsia="en-US"/>
    </w:rPr>
  </w:style>
  <w:style w:type="paragraph" w:styleId="CommentSubject">
    <w:name w:val="annotation subject"/>
    <w:basedOn w:val="CommentText"/>
    <w:next w:val="CommentText"/>
    <w:link w:val="CommentSubjectChar"/>
    <w:rsid w:val="00BA4192"/>
    <w:rPr>
      <w:b/>
      <w:bCs/>
    </w:rPr>
  </w:style>
  <w:style w:type="character" w:customStyle="1" w:styleId="CommentSubjectChar">
    <w:name w:val="Comment Subject Char"/>
    <w:basedOn w:val="CommentTextChar"/>
    <w:link w:val="CommentSubject"/>
    <w:rsid w:val="00BA4192"/>
    <w:rPr>
      <w:rFonts w:ascii="Calibri" w:hAnsi="Calibri"/>
      <w:b/>
      <w:bCs/>
      <w:lang w:eastAsia="en-US"/>
    </w:rPr>
  </w:style>
  <w:style w:type="paragraph" w:styleId="BalloonText">
    <w:name w:val="Balloon Text"/>
    <w:basedOn w:val="Normal"/>
    <w:link w:val="BalloonTextChar"/>
    <w:rsid w:val="00BA4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4192"/>
    <w:rPr>
      <w:rFonts w:ascii="Tahoma" w:hAnsi="Tahoma" w:cs="Tahoma"/>
      <w:sz w:val="16"/>
      <w:szCs w:val="16"/>
      <w:lang w:eastAsia="en-US"/>
    </w:rPr>
  </w:style>
  <w:style w:type="character" w:customStyle="1" w:styleId="CaptionChar">
    <w:name w:val="Caption Char"/>
    <w:link w:val="Caption"/>
    <w:locked/>
    <w:rsid w:val="00FF3878"/>
    <w:rPr>
      <w:rFonts w:ascii="Calibri" w:hAnsi="Calibri"/>
      <w:bCs/>
      <w:i/>
      <w:sz w:val="21"/>
      <w:lang w:eastAsia="en-US"/>
    </w:rPr>
  </w:style>
  <w:style w:type="paragraph" w:customStyle="1" w:styleId="Tableheading0">
    <w:name w:val="Tableheading"/>
    <w:basedOn w:val="BodyText"/>
    <w:qFormat/>
    <w:rsid w:val="00FF3878"/>
    <w:pPr>
      <w:spacing w:before="60" w:after="60" w:line="240" w:lineRule="auto"/>
      <w:jc w:val="center"/>
    </w:pPr>
    <w:rPr>
      <w:b/>
      <w:color w:val="FFFFFF" w:themeColor="background1"/>
      <w:sz w:val="20"/>
      <w:szCs w:val="20"/>
    </w:rPr>
  </w:style>
  <w:style w:type="paragraph" w:customStyle="1" w:styleId="Tabletext0">
    <w:name w:val="Tabletext"/>
    <w:basedOn w:val="BodyText"/>
    <w:qFormat/>
    <w:rsid w:val="00FF3878"/>
    <w:pPr>
      <w:spacing w:before="60" w:after="60" w:line="240" w:lineRule="auto"/>
    </w:pPr>
    <w:rPr>
      <w:sz w:val="20"/>
      <w:szCs w:val="20"/>
    </w:rPr>
  </w:style>
  <w:style w:type="paragraph" w:customStyle="1" w:styleId="Tablebullet1">
    <w:name w:val="Tablebullet1"/>
    <w:basedOn w:val="ListBullet"/>
    <w:qFormat/>
    <w:rsid w:val="00FF3878"/>
    <w:pPr>
      <w:numPr>
        <w:numId w:val="1"/>
      </w:numPr>
      <w:spacing w:before="60" w:after="60" w:line="240" w:lineRule="auto"/>
      <w:ind w:left="357" w:hanging="357"/>
    </w:pPr>
    <w:rPr>
      <w:sz w:val="20"/>
      <w:szCs w:val="20"/>
    </w:rPr>
  </w:style>
  <w:style w:type="paragraph" w:customStyle="1" w:styleId="Tablebullet2">
    <w:name w:val="Tablebullet2"/>
    <w:basedOn w:val="ListBullet2"/>
    <w:qFormat/>
    <w:rsid w:val="00FF3878"/>
    <w:pPr>
      <w:numPr>
        <w:numId w:val="2"/>
      </w:numPr>
      <w:spacing w:before="60" w:after="60" w:line="240" w:lineRule="auto"/>
    </w:pPr>
    <w:rPr>
      <w:sz w:val="20"/>
      <w:szCs w:val="20"/>
    </w:rPr>
  </w:style>
  <w:style w:type="character" w:styleId="FootnoteReference">
    <w:name w:val="footnote reference"/>
    <w:basedOn w:val="DefaultParagraphFont"/>
    <w:uiPriority w:val="99"/>
    <w:semiHidden/>
    <w:unhideWhenUsed/>
    <w:rsid w:val="00510435"/>
    <w:rPr>
      <w:vertAlign w:val="superscript"/>
    </w:rPr>
  </w:style>
  <w:style w:type="character" w:customStyle="1" w:styleId="FootnoteTextChar">
    <w:name w:val="Footnote Text Char"/>
    <w:basedOn w:val="DefaultParagraphFont"/>
    <w:link w:val="FootnoteText"/>
    <w:uiPriority w:val="99"/>
    <w:semiHidden/>
    <w:rsid w:val="00A476BB"/>
    <w:rPr>
      <w:rFonts w:ascii="Calibri" w:hAnsi="Calibri"/>
      <w:sz w:val="18"/>
      <w:lang w:eastAsia="en-US"/>
    </w:rPr>
  </w:style>
  <w:style w:type="paragraph" w:styleId="ListParagraph">
    <w:name w:val="List Paragraph"/>
    <w:basedOn w:val="Normal"/>
    <w:uiPriority w:val="34"/>
    <w:qFormat/>
    <w:rsid w:val="00A476B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A250A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250A1"/>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EE1BE1"/>
    <w:rPr>
      <w:color w:val="800080" w:themeColor="followedHyperlink"/>
      <w:u w:val="single"/>
    </w:rPr>
  </w:style>
  <w:style w:type="paragraph" w:styleId="Revision">
    <w:name w:val="Revision"/>
    <w:hidden/>
    <w:uiPriority w:val="99"/>
    <w:semiHidden/>
    <w:rsid w:val="00423F0A"/>
    <w:rPr>
      <w:rFonts w:ascii="Calibri" w:hAnsi="Calibri"/>
      <w:lang w:eastAsia="en-US"/>
    </w:rPr>
  </w:style>
  <w:style w:type="paragraph" w:styleId="NormalWeb">
    <w:name w:val="Normal (Web)"/>
    <w:basedOn w:val="Normal"/>
    <w:uiPriority w:val="99"/>
    <w:semiHidden/>
    <w:unhideWhenUsed/>
    <w:rsid w:val="006E7303"/>
    <w:pPr>
      <w:spacing w:before="100" w:beforeAutospacing="1" w:after="100" w:afterAutospacing="1" w:line="240" w:lineRule="auto"/>
    </w:pPr>
    <w:rPr>
      <w:rFonts w:ascii="Times New Roman" w:eastAsiaTheme="minorEastAsia" w:hAnsi="Times New Roman"/>
      <w:sz w:val="24"/>
      <w:szCs w:val="24"/>
      <w:lang w:eastAsia="en-AU"/>
    </w:rPr>
  </w:style>
  <w:style w:type="paragraph" w:styleId="TOCHeading">
    <w:name w:val="TOC Heading"/>
    <w:basedOn w:val="Heading1"/>
    <w:next w:val="Normal"/>
    <w:uiPriority w:val="39"/>
    <w:unhideWhenUsed/>
    <w:qFormat/>
    <w:rsid w:val="004E0A8D"/>
    <w:pPr>
      <w:keepNext/>
      <w:keepLines/>
      <w:pageBreakBefore w:val="0"/>
      <w:numPr>
        <w:numId w:val="0"/>
      </w:numPr>
      <w:spacing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customStyle="1" w:styleId="StyleHeading2BodyCalibri105ptText2">
    <w:name w:val="Style Heading 2 + +Body (Calibri) 10.5 pt Text 2"/>
    <w:basedOn w:val="Heading2"/>
    <w:autoRedefine/>
    <w:rsid w:val="002B4AE1"/>
    <w:pPr>
      <w:tabs>
        <w:tab w:val="clear" w:pos="0"/>
        <w:tab w:val="num" w:pos="3544"/>
      </w:tabs>
      <w:ind w:left="4395"/>
    </w:pPr>
    <w:rPr>
      <w:rFonts w:asciiTheme="minorHAnsi" w:hAnsiTheme="minorHAnsi"/>
      <w:color w:val="1F497D" w:themeColor="text2"/>
      <w:sz w:val="21"/>
    </w:rPr>
  </w:style>
  <w:style w:type="paragraph" w:customStyle="1" w:styleId="StyleHeading4BodyCalibri">
    <w:name w:val="Style Heading 4 + +Body (Calibri)"/>
    <w:basedOn w:val="Heading4"/>
    <w:rsid w:val="008D45A1"/>
    <w:rPr>
      <w:rFonts w:asciiTheme="minorHAnsi" w:hAnsiTheme="minorHAnsi"/>
    </w:rPr>
  </w:style>
  <w:style w:type="table" w:customStyle="1" w:styleId="GridTable4-Accent11">
    <w:name w:val="Grid Table 4 - Accent 11"/>
    <w:basedOn w:val="TableNormal"/>
    <w:uiPriority w:val="49"/>
    <w:rsid w:val="00744AC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Level1NoNumber">
    <w:name w:val="HeadingLevel1NoNumber"/>
    <w:basedOn w:val="Heading1"/>
    <w:qFormat/>
    <w:rsid w:val="002B4AE1"/>
    <w:pPr>
      <w:numPr>
        <w:numId w:val="0"/>
      </w:numPr>
    </w:pPr>
  </w:style>
  <w:style w:type="paragraph" w:customStyle="1" w:styleId="HeadingLevel3NoNumber">
    <w:name w:val="HeadingLevel3NoNumber"/>
    <w:basedOn w:val="Heading3"/>
    <w:qFormat/>
    <w:rsid w:val="00604E3D"/>
    <w:pPr>
      <w:numPr>
        <w:ilvl w:val="0"/>
        <w:numId w:val="0"/>
      </w:numPr>
    </w:pPr>
  </w:style>
  <w:style w:type="table" w:customStyle="1" w:styleId="GridTable4-Accent110">
    <w:name w:val="Grid Table 4 - Accent 11"/>
    <w:basedOn w:val="TableNormal"/>
    <w:uiPriority w:val="49"/>
    <w:rsid w:val="000C0E4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BookTitle">
    <w:name w:val="Book Title"/>
    <w:uiPriority w:val="33"/>
    <w:qFormat/>
    <w:rsid w:val="004A253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6922">
      <w:bodyDiv w:val="1"/>
      <w:marLeft w:val="0"/>
      <w:marRight w:val="0"/>
      <w:marTop w:val="0"/>
      <w:marBottom w:val="0"/>
      <w:divBdr>
        <w:top w:val="none" w:sz="0" w:space="0" w:color="auto"/>
        <w:left w:val="none" w:sz="0" w:space="0" w:color="auto"/>
        <w:bottom w:val="none" w:sz="0" w:space="0" w:color="auto"/>
        <w:right w:val="none" w:sz="0" w:space="0" w:color="auto"/>
      </w:divBdr>
    </w:div>
    <w:div w:id="1513298910">
      <w:bodyDiv w:val="1"/>
      <w:marLeft w:val="0"/>
      <w:marRight w:val="0"/>
      <w:marTop w:val="0"/>
      <w:marBottom w:val="0"/>
      <w:divBdr>
        <w:top w:val="none" w:sz="0" w:space="0" w:color="auto"/>
        <w:left w:val="none" w:sz="0" w:space="0" w:color="auto"/>
        <w:bottom w:val="none" w:sz="0" w:space="0" w:color="auto"/>
        <w:right w:val="none" w:sz="0" w:space="0" w:color="auto"/>
      </w:divBdr>
      <w:divsChild>
        <w:div w:id="613832629">
          <w:marLeft w:val="0"/>
          <w:marRight w:val="0"/>
          <w:marTop w:val="0"/>
          <w:marBottom w:val="0"/>
          <w:divBdr>
            <w:top w:val="none" w:sz="0" w:space="0" w:color="auto"/>
            <w:left w:val="none" w:sz="0" w:space="0" w:color="auto"/>
            <w:bottom w:val="none" w:sz="0" w:space="0" w:color="auto"/>
            <w:right w:val="none" w:sz="0" w:space="0" w:color="auto"/>
          </w:divBdr>
        </w:div>
      </w:divsChild>
    </w:div>
    <w:div w:id="15273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fightdementia.org.au/support-and-services/services-and-programs-we-provide/national-younger-onset-dementia-key-worker-program" TargetMode="External"/><Relationship Id="rId13" Type="http://schemas.openxmlformats.org/officeDocument/2006/relationships/hyperlink" Target="http://www.comlaw.gov.au/Details/F2014L00830/Explanatory%20Statement/Text" TargetMode="External"/><Relationship Id="rId3" Type="http://schemas.openxmlformats.org/officeDocument/2006/relationships/hyperlink" Target="http://www.aihw.gov.au/dementia/" TargetMode="External"/><Relationship Id="rId7" Type="http://schemas.openxmlformats.org/officeDocument/2006/relationships/hyperlink" Target="http://www.health.gov.au/internet/main/publishing.nsf/content/dementia-support" TargetMode="External"/><Relationship Id="rId12" Type="http://schemas.openxmlformats.org/officeDocument/2006/relationships/hyperlink" Target="http://health.gov.au/cvs" TargetMode="External"/><Relationship Id="rId17" Type="http://schemas.openxmlformats.org/officeDocument/2006/relationships/hyperlink" Target="http://www.health.gov.au/internet/main/publishing.nsf/Content/F072F0C75198E936CA257BF0001A35BF/$File/CDC-Eval-Final-Rep.pdf" TargetMode="External"/><Relationship Id="rId2" Type="http://schemas.openxmlformats.org/officeDocument/2006/relationships/hyperlink" Target="http://www.health.gov.au/internet/publications/publishing.nsf/Content/ageing-dementia-services-pathways-2011-toc.htm/$FILE/Dementia-services-pathways(ext2).pdf" TargetMode="External"/><Relationship Id="rId16" Type="http://schemas.openxmlformats.org/officeDocument/2006/relationships/hyperlink" Target="http://www.health.gov.au/internet/main/publishing.nsf/Content/ageing-cdc-evaluation-pilot-program" TargetMode="External"/><Relationship Id="rId1" Type="http://schemas.openxmlformats.org/officeDocument/2006/relationships/hyperlink" Target="http://www.aihw.gov.au/dementia/" TargetMode="External"/><Relationship Id="rId6" Type="http://schemas.openxmlformats.org/officeDocument/2006/relationships/hyperlink" Target="http://www.dtsc.com.au/" TargetMode="External"/><Relationship Id="rId11" Type="http://schemas.openxmlformats.org/officeDocument/2006/relationships/hyperlink" Target="http://www.health.gov.au/internet/main/publishing.nsf/Content/ageing-rescare-cvs-cvscons.htm" TargetMode="External"/><Relationship Id="rId5" Type="http://schemas.openxmlformats.org/officeDocument/2006/relationships/hyperlink" Target="https://fightdementia.org.au/sites/default/files/20120730_NAT_Final_Evaluation_Report15Feb07.pdf" TargetMode="External"/><Relationship Id="rId15" Type="http://schemas.openxmlformats.org/officeDocument/2006/relationships/hyperlink" Target="http://www.health.gov.au/internet/main/publishing.nsf/Content/ageing-acfi-using.htm" TargetMode="External"/><Relationship Id="rId10" Type="http://schemas.openxmlformats.org/officeDocument/2006/relationships/hyperlink" Target="http://www.health.gov.au/agedcareadvocacy" TargetMode="External"/><Relationship Id="rId4" Type="http://schemas.openxmlformats.org/officeDocument/2006/relationships/hyperlink" Target="http://dbmas.org.au/what-we-do/who-is-eligible/" TargetMode="External"/><Relationship Id="rId9" Type="http://schemas.openxmlformats.org/officeDocument/2006/relationships/hyperlink" Target="http://www.dss.gov.au/our-responsibilities/ageing-and-aged-care/aged-care-reform/get-involved/dementia-and-cognition-supplement-in-home-care-and-the-dementia-and-severe-behaviours-supplement-in-residential-care-0" TargetMode="External"/><Relationship Id="rId14" Type="http://schemas.openxmlformats.org/officeDocument/2006/relationships/hyperlink" Target="https://www.aacqa.gov.au/for-providers/failure-to-meet-th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12DF-0F17-4759-ACAE-91F99241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8450</Words>
  <Characters>48549</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Proposal Template</vt:lpstr>
    </vt:vector>
  </TitlesOfParts>
  <Company>KPMG</Company>
  <LinksUpToDate>false</LinksUpToDate>
  <CharactersWithSpaces>56886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Czwarno, Ryan</dc:creator>
  <cp:lastModifiedBy>BUTLER, Lauren</cp:lastModifiedBy>
  <cp:revision>2</cp:revision>
  <cp:lastPrinted>2014-10-06T22:24:00Z</cp:lastPrinted>
  <dcterms:created xsi:type="dcterms:W3CDTF">2014-12-16T05:11:00Z</dcterms:created>
  <dcterms:modified xsi:type="dcterms:W3CDTF">2014-12-16T05:11:00Z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Name">
    <vt:lpwstr>Client informal name</vt:lpwstr>
  </property>
  <property fmtid="{D5CDD505-2E9C-101B-9397-08002B2CF9AE}" pid="3" name="Client_Name_Full">
    <vt:lpwstr>Client formal name</vt:lpwstr>
  </property>
  <property fmtid="{D5CDD505-2E9C-101B-9397-08002B2CF9AE}" pid="4" name="Prop_Service">
    <vt:lpwstr>Government Advisory Services</vt:lpwstr>
  </property>
  <property fmtid="{D5CDD505-2E9C-101B-9397-08002B2CF9AE}" pid="5" name="Prop_Title1">
    <vt:lpwstr>proposal title</vt:lpwstr>
  </property>
  <property fmtid="{D5CDD505-2E9C-101B-9397-08002B2CF9AE}" pid="6" name="Prop_Title2">
    <vt:lpwstr>Proposal sub-title (optional)</vt:lpwstr>
  </property>
  <property fmtid="{D5CDD505-2E9C-101B-9397-08002B2CF9AE}" pid="7" name="Prop_LOB">
    <vt:lpwstr>Advisory</vt:lpwstr>
  </property>
  <property fmtid="{D5CDD505-2E9C-101B-9397-08002B2CF9AE}" pid="8" name="KISFirmDispName">
    <vt:lpwstr>KPMG</vt:lpwstr>
  </property>
  <property fmtid="{D5CDD505-2E9C-101B-9397-08002B2CF9AE}" pid="9" name="KISFirmPrtName">
    <vt:lpwstr/>
  </property>
  <property fmtid="{D5CDD505-2E9C-101B-9397-08002B2CF9AE}" pid="10" name="KISFirmInfoA">
    <vt:lpwstr>ABN: 51 194 660 183</vt:lpwstr>
  </property>
  <property fmtid="{D5CDD505-2E9C-101B-9397-08002B2CF9AE}" pid="11" name="KISFirmInfoB">
    <vt:lpwstr/>
  </property>
  <property fmtid="{D5CDD505-2E9C-101B-9397-08002B2CF9AE}" pid="12" name="KISFirmInfoC">
    <vt:lpwstr/>
  </property>
  <property fmtid="{D5CDD505-2E9C-101B-9397-08002B2CF9AE}" pid="13" name="KISFirmDesc">
    <vt:lpwstr>KPMG, an Australian partnership and a member firm of the KPMG network of independent member firms affiliated with KPMG International, a Swiss cooperative.</vt:lpwstr>
  </property>
  <property fmtid="{D5CDD505-2E9C-101B-9397-08002B2CF9AE}" pid="14" name="KISFirmCopyright">
    <vt:lpwstr>© 2008 KPMG, an Australian partnership and a member firm of the KPMG network of independent member firms affiliated with KPMG International, a Swiss cooperative. All rights reserved. \r The KPMG logo and name are trademarks of KPMG.</vt:lpwstr>
  </property>
  <property fmtid="{D5CDD505-2E9C-101B-9397-08002B2CF9AE}" pid="15" name="KISFirmCopyright2">
    <vt:lpwstr/>
  </property>
  <property fmtid="{D5CDD505-2E9C-101B-9397-08002B2CF9AE}" pid="16" name="KISSvcDispName">
    <vt:lpwstr>Government</vt:lpwstr>
  </property>
  <property fmtid="{D5CDD505-2E9C-101B-9397-08002B2CF9AE}" pid="17" name="KISSvcPrtName">
    <vt:lpwstr>Government</vt:lpwstr>
  </property>
  <property fmtid="{D5CDD505-2E9C-101B-9397-08002B2CF9AE}" pid="18" name="KISSvcInfoA">
    <vt:lpwstr/>
  </property>
  <property fmtid="{D5CDD505-2E9C-101B-9397-08002B2CF9AE}" pid="19" name="KISSvcInfoB">
    <vt:lpwstr/>
  </property>
  <property fmtid="{D5CDD505-2E9C-101B-9397-08002B2CF9AE}" pid="20" name="KISSvcInfoC">
    <vt:lpwstr>Liability limited by a scheme approved under Professional Standards Legislation.</vt:lpwstr>
  </property>
  <property fmtid="{D5CDD505-2E9C-101B-9397-08002B2CF9AE}" pid="21" name="KISOffName">
    <vt:lpwstr>Melbourne</vt:lpwstr>
  </property>
  <property fmtid="{D5CDD505-2E9C-101B-9397-08002B2CF9AE}" pid="22" name="KISOffCity">
    <vt:lpwstr>Melbourne</vt:lpwstr>
  </property>
  <property fmtid="{D5CDD505-2E9C-101B-9397-08002B2CF9AE}" pid="23" name="KISOffInfoA">
    <vt:lpwstr/>
  </property>
  <property fmtid="{D5CDD505-2E9C-101B-9397-08002B2CF9AE}" pid="24" name="KISOff1Addr">
    <vt:lpwstr>147 Collins Street_x000d_Melbourne  Vic  3000_x000d__x000d_GPO Box 2291U_x000d_Melbourne  Vic 3001_x000d_Australia</vt:lpwstr>
  </property>
  <property fmtid="{D5CDD505-2E9C-101B-9397-08002B2CF9AE}" pid="25" name="KISOff2Addr">
    <vt:lpwstr>GPO Box 2291U_x000d_Melbourne  Vic 3001_x000d_Australia</vt:lpwstr>
  </property>
  <property fmtid="{D5CDD505-2E9C-101B-9397-08002B2CF9AE}" pid="26" name="KISOff3Addr">
    <vt:lpwstr>Telephone: +61 3 9288 5555_x000d_Facsimile: +61 3 9288 6666_x000d_DX: 30824 Melbourne_x000d_www.kpmg.com.au</vt:lpwstr>
  </property>
</Properties>
</file>