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86" w:rsidRPr="00014299" w:rsidRDefault="00534FA3" w:rsidP="00014299">
      <w:pPr>
        <w:spacing w:after="0"/>
        <w:ind w:left="1440"/>
        <w:rPr>
          <w:rFonts w:ascii="Arial Narrow" w:hAnsi="Arial Narrow" w:cs="Arial"/>
          <w:b/>
          <w:sz w:val="28"/>
          <w:szCs w:val="28"/>
        </w:rPr>
      </w:pPr>
      <w:r w:rsidRPr="00014299">
        <w:rPr>
          <w:rFonts w:ascii="Arial Narrow" w:hAnsi="Arial Narrow" w:cs="Arial"/>
          <w:b/>
          <w:sz w:val="28"/>
          <w:szCs w:val="28"/>
        </w:rPr>
        <w:t>Submission on the Legislative Instrument</w:t>
      </w:r>
    </w:p>
    <w:p w:rsidR="00534FA3" w:rsidRPr="00014299" w:rsidRDefault="00534FA3" w:rsidP="00014299">
      <w:pPr>
        <w:spacing w:after="0"/>
        <w:ind w:left="1440"/>
        <w:rPr>
          <w:rFonts w:ascii="Arial Narrow" w:hAnsi="Arial Narrow" w:cs="Arial"/>
          <w:b/>
          <w:sz w:val="28"/>
          <w:szCs w:val="28"/>
        </w:rPr>
      </w:pPr>
      <w:r w:rsidRPr="00014299">
        <w:rPr>
          <w:rFonts w:ascii="Arial Narrow" w:hAnsi="Arial Narrow" w:cs="Arial"/>
          <w:sz w:val="28"/>
          <w:szCs w:val="28"/>
        </w:rPr>
        <w:tab/>
      </w:r>
      <w:r w:rsidRPr="00014299">
        <w:rPr>
          <w:rFonts w:ascii="Arial Narrow" w:hAnsi="Arial Narrow" w:cs="Arial"/>
          <w:b/>
          <w:sz w:val="28"/>
          <w:szCs w:val="28"/>
        </w:rPr>
        <w:t>for the</w:t>
      </w:r>
    </w:p>
    <w:p w:rsidR="00534FA3" w:rsidRPr="00014299" w:rsidRDefault="001E7C86" w:rsidP="00014299">
      <w:pPr>
        <w:spacing w:after="0"/>
        <w:ind w:left="1440"/>
        <w:rPr>
          <w:rFonts w:ascii="Arial Narrow" w:hAnsi="Arial Narrow" w:cs="Arial"/>
          <w:sz w:val="28"/>
          <w:szCs w:val="28"/>
        </w:rPr>
      </w:pPr>
      <w:r w:rsidRPr="00014299">
        <w:rPr>
          <w:rFonts w:ascii="Arial Narrow" w:hAnsi="Arial Narrow" w:cs="Arial"/>
          <w:b/>
          <w:i/>
          <w:sz w:val="28"/>
          <w:szCs w:val="28"/>
        </w:rPr>
        <w:t>Workplace Gender Equality Act 2012</w:t>
      </w:r>
    </w:p>
    <w:p w:rsidR="00014299" w:rsidRDefault="00014299" w:rsidP="00534FA3">
      <w:pPr>
        <w:spacing w:after="0"/>
        <w:rPr>
          <w:rFonts w:ascii="Arial Narrow" w:hAnsi="Arial Narrow" w:cs="Arial"/>
        </w:rPr>
      </w:pPr>
    </w:p>
    <w:p w:rsidR="00014299" w:rsidRDefault="00014299" w:rsidP="00534FA3">
      <w:pPr>
        <w:spacing w:after="0"/>
        <w:rPr>
          <w:rFonts w:ascii="Arial Narrow" w:hAnsi="Arial Narrow" w:cs="Arial"/>
        </w:rPr>
      </w:pPr>
    </w:p>
    <w:p w:rsidR="00F90F0A" w:rsidRDefault="007F4EF1" w:rsidP="00534FA3">
      <w:pPr>
        <w:spacing w:after="0"/>
        <w:rPr>
          <w:rFonts w:ascii="Arial Narrow" w:hAnsi="Arial Narrow" w:cs="Arial"/>
        </w:rPr>
      </w:pPr>
      <w:r w:rsidRPr="00036E54">
        <w:rPr>
          <w:rFonts w:ascii="Arial Narrow" w:hAnsi="Arial Narrow" w:cs="Arial"/>
        </w:rPr>
        <w:t>FAHCSIA</w:t>
      </w:r>
    </w:p>
    <w:p w:rsidR="007F4EF1" w:rsidRPr="00036E54" w:rsidRDefault="00074B16" w:rsidP="00534FA3">
      <w:pPr>
        <w:spacing w:after="0"/>
        <w:rPr>
          <w:rFonts w:ascii="Arial Narrow" w:hAnsi="Arial Narrow" w:cs="Arial"/>
          <w:color w:val="000000" w:themeColor="text1"/>
        </w:rPr>
      </w:pPr>
      <w:hyperlink r:id="rId9" w:history="1">
        <w:r w:rsidR="00F81A82" w:rsidRPr="00036E54">
          <w:rPr>
            <w:rStyle w:val="Hyperlink"/>
            <w:rFonts w:ascii="Arial Narrow" w:hAnsi="Arial Narrow" w:cs="Arial"/>
            <w:color w:val="5F497A" w:themeColor="accent4" w:themeShade="BF"/>
          </w:rPr>
          <w:t>women@fahcsia.gov.au</w:t>
        </w:r>
      </w:hyperlink>
      <w:r w:rsidR="007F4EF1" w:rsidRPr="00036E54">
        <w:rPr>
          <w:rFonts w:ascii="Arial Narrow" w:hAnsi="Arial Narrow" w:cs="Arial"/>
          <w:color w:val="000000" w:themeColor="text1"/>
        </w:rPr>
        <w:t>.</w:t>
      </w:r>
    </w:p>
    <w:p w:rsidR="00F90F0A" w:rsidRDefault="00F90F0A" w:rsidP="007F4EF1">
      <w:pPr>
        <w:spacing w:after="0"/>
        <w:rPr>
          <w:rFonts w:ascii="Arial Narrow" w:hAnsi="Arial Narrow" w:cs="Arial"/>
        </w:rPr>
      </w:pPr>
    </w:p>
    <w:p w:rsidR="007F4EF1" w:rsidRPr="00036E54" w:rsidRDefault="007F4EF1" w:rsidP="007F4EF1">
      <w:pPr>
        <w:spacing w:after="0"/>
        <w:rPr>
          <w:rFonts w:ascii="Arial Narrow" w:hAnsi="Arial Narrow" w:cs="Arial"/>
        </w:rPr>
      </w:pPr>
      <w:r w:rsidRPr="00036E54">
        <w:rPr>
          <w:rFonts w:ascii="Arial Narrow" w:hAnsi="Arial Narrow" w:cs="Arial"/>
        </w:rPr>
        <w:t>29 January 2013</w:t>
      </w:r>
    </w:p>
    <w:p w:rsidR="00B33831" w:rsidRDefault="00B33831" w:rsidP="004A14BF">
      <w:pPr>
        <w:spacing w:after="0"/>
        <w:jc w:val="both"/>
        <w:rPr>
          <w:rFonts w:ascii="Arial Narrow" w:hAnsi="Arial Narrow" w:cs="Arial"/>
        </w:rPr>
      </w:pPr>
    </w:p>
    <w:p w:rsidR="00F90F0A" w:rsidRPr="00036E54" w:rsidRDefault="00F90F0A" w:rsidP="004A14BF">
      <w:pPr>
        <w:spacing w:after="0"/>
        <w:jc w:val="both"/>
        <w:rPr>
          <w:rFonts w:ascii="Arial Narrow" w:hAnsi="Arial Narrow" w:cs="Arial"/>
        </w:rPr>
      </w:pPr>
    </w:p>
    <w:p w:rsidR="004A14BF" w:rsidRPr="00036E54" w:rsidRDefault="004A14BF" w:rsidP="004A14BF">
      <w:pPr>
        <w:spacing w:after="0"/>
        <w:jc w:val="both"/>
        <w:rPr>
          <w:rFonts w:ascii="Arial Narrow" w:hAnsi="Arial Narrow" w:cs="Arial"/>
        </w:rPr>
      </w:pPr>
      <w:r w:rsidRPr="00036E54">
        <w:rPr>
          <w:rFonts w:ascii="Arial Narrow" w:hAnsi="Arial Narrow" w:cs="Arial"/>
          <w:b/>
        </w:rPr>
        <w:t>Submission type:</w:t>
      </w:r>
      <w:r w:rsidR="00B33831" w:rsidRPr="00036E54">
        <w:rPr>
          <w:rFonts w:ascii="Arial Narrow" w:hAnsi="Arial Narrow" w:cs="Arial"/>
        </w:rPr>
        <w:t xml:space="preserve"> </w:t>
      </w:r>
      <w:r w:rsidR="00014FE7" w:rsidRPr="00036E54">
        <w:rPr>
          <w:rFonts w:ascii="Arial Narrow" w:hAnsi="Arial Narrow" w:cs="Arial"/>
        </w:rPr>
        <w:t xml:space="preserve">Individual </w:t>
      </w:r>
      <w:r w:rsidRPr="00036E54">
        <w:rPr>
          <w:rFonts w:ascii="Arial Narrow" w:hAnsi="Arial Narrow" w:cs="Arial"/>
        </w:rPr>
        <w:t>Submission</w:t>
      </w:r>
    </w:p>
    <w:p w:rsidR="004A14BF" w:rsidRPr="00036E54" w:rsidRDefault="001E7C86" w:rsidP="004A14BF">
      <w:pPr>
        <w:spacing w:after="0"/>
        <w:jc w:val="both"/>
        <w:rPr>
          <w:rFonts w:ascii="Arial Narrow" w:hAnsi="Arial Narrow" w:cs="Arial"/>
        </w:rPr>
      </w:pPr>
      <w:r w:rsidRPr="00036E54">
        <w:rPr>
          <w:rFonts w:ascii="Arial Narrow" w:hAnsi="Arial Narrow" w:cs="Arial"/>
          <w:b/>
        </w:rPr>
        <w:t xml:space="preserve">Prepared </w:t>
      </w:r>
      <w:r w:rsidR="00B33831" w:rsidRPr="00036E54">
        <w:rPr>
          <w:rFonts w:ascii="Arial Narrow" w:hAnsi="Arial Narrow" w:cs="Arial"/>
          <w:b/>
        </w:rPr>
        <w:t xml:space="preserve">by: </w:t>
      </w:r>
      <w:r w:rsidR="004A14BF" w:rsidRPr="00036E54">
        <w:rPr>
          <w:rFonts w:ascii="Arial Narrow" w:hAnsi="Arial Narrow" w:cs="Arial"/>
        </w:rPr>
        <w:t>Dr Pendo Mwaiteleke</w:t>
      </w:r>
      <w:r w:rsidR="00014FE7" w:rsidRPr="00036E54">
        <w:rPr>
          <w:rFonts w:ascii="Arial Narrow" w:hAnsi="Arial Narrow" w:cs="Arial"/>
        </w:rPr>
        <w:t xml:space="preserve">, BSW; </w:t>
      </w:r>
      <w:r w:rsidR="004A14BF" w:rsidRPr="00036E54">
        <w:rPr>
          <w:rFonts w:ascii="Arial Narrow" w:hAnsi="Arial Narrow" w:cs="Arial"/>
        </w:rPr>
        <w:t>MA (Public Policy); PhD</w:t>
      </w:r>
    </w:p>
    <w:p w:rsidR="00B33831" w:rsidRDefault="00B33831" w:rsidP="004A14BF">
      <w:pPr>
        <w:spacing w:after="0"/>
        <w:rPr>
          <w:rFonts w:ascii="Arial Narrow" w:hAnsi="Arial Narrow" w:cs="Arial"/>
          <w:b/>
        </w:rPr>
      </w:pPr>
    </w:p>
    <w:p w:rsidR="00014299" w:rsidRPr="00036E54" w:rsidRDefault="00014299" w:rsidP="004A14BF">
      <w:pPr>
        <w:spacing w:after="0"/>
        <w:rPr>
          <w:rFonts w:ascii="Arial Narrow" w:hAnsi="Arial Narrow"/>
          <w:b/>
        </w:rPr>
      </w:pPr>
    </w:p>
    <w:p w:rsidR="004A14BF" w:rsidRPr="00036E54" w:rsidRDefault="00092857" w:rsidP="00B92973">
      <w:pPr>
        <w:pStyle w:val="Docheading1"/>
      </w:pPr>
      <w:r w:rsidRPr="00036E54">
        <w:t>Introduction</w:t>
      </w:r>
    </w:p>
    <w:p w:rsidR="00092857" w:rsidRPr="00036E54" w:rsidRDefault="00395A01" w:rsidP="004A14BF">
      <w:pPr>
        <w:spacing w:after="0"/>
        <w:rPr>
          <w:rFonts w:ascii="Arial Narrow" w:hAnsi="Arial Narrow"/>
        </w:rPr>
      </w:pPr>
      <w:r w:rsidRPr="00036E54">
        <w:rPr>
          <w:rFonts w:ascii="Arial Narrow" w:hAnsi="Arial Narrow"/>
        </w:rPr>
        <w:t>The</w:t>
      </w:r>
      <w:r w:rsidR="00092857" w:rsidRPr="00036E54">
        <w:rPr>
          <w:rFonts w:ascii="Arial Narrow" w:hAnsi="Arial Narrow"/>
        </w:rPr>
        <w:t xml:space="preserve"> government </w:t>
      </w:r>
      <w:r w:rsidRPr="00036E54">
        <w:rPr>
          <w:rFonts w:ascii="Arial Narrow" w:hAnsi="Arial Narrow"/>
        </w:rPr>
        <w:t xml:space="preserve">is </w:t>
      </w:r>
      <w:r w:rsidR="00475F9B" w:rsidRPr="00036E54">
        <w:rPr>
          <w:rFonts w:ascii="Arial Narrow" w:hAnsi="Arial Narrow"/>
        </w:rPr>
        <w:t xml:space="preserve">to be </w:t>
      </w:r>
      <w:r w:rsidRPr="00036E54">
        <w:rPr>
          <w:rFonts w:ascii="Arial Narrow" w:hAnsi="Arial Narrow"/>
        </w:rPr>
        <w:t>commended for</w:t>
      </w:r>
      <w:r w:rsidR="00092857" w:rsidRPr="00036E54">
        <w:rPr>
          <w:rFonts w:ascii="Arial Narrow" w:hAnsi="Arial Narrow"/>
        </w:rPr>
        <w:t xml:space="preserve"> the recent enactment of the </w:t>
      </w:r>
      <w:r w:rsidR="00092857" w:rsidRPr="00036E54">
        <w:rPr>
          <w:rFonts w:ascii="Arial Narrow" w:hAnsi="Arial Narrow"/>
          <w:i/>
        </w:rPr>
        <w:t xml:space="preserve">Workplace Gender Equality </w:t>
      </w:r>
      <w:r w:rsidR="00475F9B" w:rsidRPr="00036E54">
        <w:rPr>
          <w:rFonts w:ascii="Arial Narrow" w:hAnsi="Arial Narrow"/>
          <w:i/>
        </w:rPr>
        <w:t xml:space="preserve">(WGE) </w:t>
      </w:r>
      <w:r w:rsidR="00092857" w:rsidRPr="00036E54">
        <w:rPr>
          <w:rFonts w:ascii="Arial Narrow" w:hAnsi="Arial Narrow"/>
          <w:i/>
        </w:rPr>
        <w:t>Act 2012</w:t>
      </w:r>
      <w:r w:rsidR="00092857" w:rsidRPr="00036E54">
        <w:rPr>
          <w:rFonts w:ascii="Arial Narrow" w:hAnsi="Arial Narrow"/>
        </w:rPr>
        <w:t>. I am pleased for the opportu</w:t>
      </w:r>
      <w:r w:rsidR="00EB268C" w:rsidRPr="00036E54">
        <w:rPr>
          <w:rFonts w:ascii="Arial Narrow" w:hAnsi="Arial Narrow"/>
        </w:rPr>
        <w:t>nity to provide input into the Legislative I</w:t>
      </w:r>
      <w:r w:rsidR="00092857" w:rsidRPr="00036E54">
        <w:rPr>
          <w:rFonts w:ascii="Arial Narrow" w:hAnsi="Arial Narrow"/>
        </w:rPr>
        <w:t>nstrument on reporting indicators</w:t>
      </w:r>
      <w:r w:rsidR="00475F9B" w:rsidRPr="00036E54">
        <w:rPr>
          <w:rFonts w:ascii="Arial Narrow" w:hAnsi="Arial Narrow"/>
        </w:rPr>
        <w:t xml:space="preserve"> that are </w:t>
      </w:r>
      <w:r w:rsidR="00092857" w:rsidRPr="00036E54">
        <w:rPr>
          <w:rFonts w:ascii="Arial Narrow" w:hAnsi="Arial Narrow"/>
        </w:rPr>
        <w:t>intended to accompany this legislation. I also wish to acknowledge Senator Louise Pratt</w:t>
      </w:r>
      <w:r w:rsidR="00475F9B" w:rsidRPr="00036E54">
        <w:rPr>
          <w:rFonts w:ascii="Arial Narrow" w:hAnsi="Arial Narrow"/>
        </w:rPr>
        <w:t>, through whose o</w:t>
      </w:r>
      <w:r w:rsidR="00092857" w:rsidRPr="00036E54">
        <w:rPr>
          <w:rFonts w:ascii="Arial Narrow" w:hAnsi="Arial Narrow"/>
        </w:rPr>
        <w:t>ffice I have received notification, and attention drawn to opportunity for community inputs in respect of the Legislative Instrument under development to inform employers’</w:t>
      </w:r>
      <w:r w:rsidR="00035D6E" w:rsidRPr="00036E54">
        <w:rPr>
          <w:rFonts w:ascii="Arial Narrow" w:hAnsi="Arial Narrow"/>
        </w:rPr>
        <w:t xml:space="preserve"> </w:t>
      </w:r>
      <w:r w:rsidR="00417BC6">
        <w:rPr>
          <w:rFonts w:ascii="Arial Narrow" w:hAnsi="Arial Narrow"/>
        </w:rPr>
        <w:t xml:space="preserve">reporting indicators under </w:t>
      </w:r>
      <w:r w:rsidR="00EB268C" w:rsidRPr="00036E54">
        <w:rPr>
          <w:rFonts w:ascii="Arial Narrow" w:hAnsi="Arial Narrow"/>
        </w:rPr>
        <w:t xml:space="preserve">the </w:t>
      </w:r>
      <w:r w:rsidR="00EB268C" w:rsidRPr="00036E54">
        <w:rPr>
          <w:rFonts w:ascii="Arial Narrow" w:hAnsi="Arial Narrow"/>
          <w:i/>
        </w:rPr>
        <w:t>WGE</w:t>
      </w:r>
      <w:r w:rsidR="00092857" w:rsidRPr="00036E54">
        <w:rPr>
          <w:rFonts w:ascii="Arial Narrow" w:hAnsi="Arial Narrow"/>
          <w:i/>
        </w:rPr>
        <w:t xml:space="preserve"> Act 2012</w:t>
      </w:r>
      <w:r w:rsidR="00035D6E" w:rsidRPr="00036E54">
        <w:rPr>
          <w:rFonts w:ascii="Arial Narrow" w:hAnsi="Arial Narrow"/>
        </w:rPr>
        <w:t>.</w:t>
      </w:r>
      <w:r w:rsidR="00B33831" w:rsidRPr="00036E54">
        <w:rPr>
          <w:rFonts w:ascii="Arial Narrow" w:hAnsi="Arial Narrow"/>
        </w:rPr>
        <w:t xml:space="preserve"> In making this submission, specifically, I am interested in drawing attention</w:t>
      </w:r>
      <w:r w:rsidR="005F5580" w:rsidRPr="00036E54">
        <w:rPr>
          <w:rFonts w:ascii="Arial Narrow" w:hAnsi="Arial Narrow"/>
        </w:rPr>
        <w:t xml:space="preserve"> to issues of diversity relevant to </w:t>
      </w:r>
      <w:r w:rsidR="00B33831" w:rsidRPr="00036E54">
        <w:rPr>
          <w:rFonts w:ascii="Arial Narrow" w:hAnsi="Arial Narrow"/>
        </w:rPr>
        <w:t>migrant women</w:t>
      </w:r>
      <w:r w:rsidR="005F5580" w:rsidRPr="00036E54">
        <w:rPr>
          <w:rFonts w:ascii="Arial Narrow" w:hAnsi="Arial Narrow"/>
        </w:rPr>
        <w:t xml:space="preserve">, especially those that comprise </w:t>
      </w:r>
      <w:r w:rsidR="00FC2308" w:rsidRPr="00036E54">
        <w:rPr>
          <w:rFonts w:ascii="Arial Narrow" w:hAnsi="Arial Narrow"/>
        </w:rPr>
        <w:t xml:space="preserve">Australia’s </w:t>
      </w:r>
      <w:r w:rsidR="005F5580" w:rsidRPr="00036E54">
        <w:rPr>
          <w:rFonts w:ascii="Arial Narrow" w:hAnsi="Arial Narrow"/>
        </w:rPr>
        <w:t>new emerging communities</w:t>
      </w:r>
      <w:r w:rsidR="00B33831" w:rsidRPr="00036E54">
        <w:rPr>
          <w:rFonts w:ascii="Arial Narrow" w:hAnsi="Arial Narrow"/>
        </w:rPr>
        <w:t>.</w:t>
      </w:r>
      <w:r w:rsidR="005F5580" w:rsidRPr="00036E54">
        <w:rPr>
          <w:rFonts w:ascii="Arial Narrow" w:hAnsi="Arial Narrow"/>
        </w:rPr>
        <w:t xml:space="preserve"> </w:t>
      </w:r>
      <w:r w:rsidR="00511CD8" w:rsidRPr="00036E54">
        <w:rPr>
          <w:rFonts w:ascii="Arial Narrow" w:hAnsi="Arial Narrow"/>
        </w:rPr>
        <w:t>I</w:t>
      </w:r>
      <w:r w:rsidR="00475F9B" w:rsidRPr="00036E54">
        <w:rPr>
          <w:rFonts w:ascii="Arial Narrow" w:hAnsi="Arial Narrow"/>
        </w:rPr>
        <w:t xml:space="preserve"> have tied my comments in connection with the</w:t>
      </w:r>
      <w:r w:rsidR="00511CD8" w:rsidRPr="00036E54">
        <w:rPr>
          <w:rFonts w:ascii="Arial Narrow" w:hAnsi="Arial Narrow"/>
        </w:rPr>
        <w:t xml:space="preserve"> government’s Discussion Paper, the </w:t>
      </w:r>
      <w:r w:rsidR="00511CD8" w:rsidRPr="00036E54">
        <w:rPr>
          <w:rFonts w:ascii="Arial Narrow" w:hAnsi="Arial Narrow"/>
          <w:i/>
        </w:rPr>
        <w:t>WGE Act 2012</w:t>
      </w:r>
      <w:r w:rsidR="00511CD8" w:rsidRPr="00036E54">
        <w:rPr>
          <w:rFonts w:ascii="Arial Narrow" w:hAnsi="Arial Narrow"/>
        </w:rPr>
        <w:t xml:space="preserve"> and the legislation’s Explanatory Memorandum.</w:t>
      </w:r>
    </w:p>
    <w:p w:rsidR="00511CD8" w:rsidRPr="00036E54" w:rsidRDefault="00511CD8" w:rsidP="004A14BF">
      <w:pPr>
        <w:spacing w:after="0"/>
        <w:rPr>
          <w:rFonts w:ascii="Arial Narrow" w:hAnsi="Arial Narrow"/>
        </w:rPr>
      </w:pPr>
    </w:p>
    <w:p w:rsidR="00511CD8" w:rsidRPr="00036E54" w:rsidRDefault="00511CD8" w:rsidP="004A14BF">
      <w:pPr>
        <w:spacing w:after="0"/>
        <w:rPr>
          <w:rFonts w:ascii="Arial Narrow" w:hAnsi="Arial Narrow"/>
        </w:rPr>
      </w:pPr>
      <w:r w:rsidRPr="00036E54">
        <w:rPr>
          <w:rFonts w:ascii="Arial Narrow" w:hAnsi="Arial Narrow"/>
        </w:rPr>
        <w:t>The legislation notes the intention of this Act as follows:</w:t>
      </w:r>
    </w:p>
    <w:p w:rsidR="00511CD8" w:rsidRPr="00036E54" w:rsidRDefault="00511CD8" w:rsidP="00511CD8">
      <w:pPr>
        <w:pStyle w:val="ActHead5"/>
        <w:ind w:left="1854"/>
        <w:rPr>
          <w:rFonts w:ascii="Arial Narrow" w:hAnsi="Arial Narrow"/>
          <w:sz w:val="18"/>
          <w:szCs w:val="18"/>
        </w:rPr>
      </w:pPr>
      <w:bookmarkStart w:id="0" w:name="_Toc343170136"/>
      <w:r w:rsidRPr="00036E54">
        <w:rPr>
          <w:rStyle w:val="CharSectno"/>
          <w:rFonts w:ascii="Arial Narrow" w:hAnsi="Arial Narrow"/>
          <w:sz w:val="18"/>
          <w:szCs w:val="18"/>
        </w:rPr>
        <w:t>2A</w:t>
      </w:r>
      <w:r w:rsidRPr="00036E54">
        <w:rPr>
          <w:rFonts w:ascii="Arial Narrow" w:hAnsi="Arial Narrow"/>
          <w:sz w:val="18"/>
          <w:szCs w:val="18"/>
        </w:rPr>
        <w:t xml:space="preserve">  Objects of Act</w:t>
      </w:r>
      <w:bookmarkEnd w:id="0"/>
    </w:p>
    <w:p w:rsidR="00511CD8" w:rsidRPr="00036E54" w:rsidRDefault="00511CD8" w:rsidP="00511CD8">
      <w:pPr>
        <w:pStyle w:val="subsection"/>
        <w:ind w:left="1854"/>
        <w:rPr>
          <w:rFonts w:ascii="Arial Narrow" w:hAnsi="Arial Narrow"/>
          <w:sz w:val="18"/>
          <w:szCs w:val="18"/>
        </w:rPr>
      </w:pPr>
      <w:r w:rsidRPr="00036E54">
        <w:rPr>
          <w:rFonts w:ascii="Arial Narrow" w:hAnsi="Arial Narrow"/>
          <w:sz w:val="18"/>
          <w:szCs w:val="18"/>
        </w:rPr>
        <w:tab/>
      </w:r>
      <w:r w:rsidRPr="00036E54">
        <w:rPr>
          <w:rFonts w:ascii="Arial Narrow" w:hAnsi="Arial Narrow"/>
          <w:sz w:val="18"/>
          <w:szCs w:val="18"/>
        </w:rPr>
        <w:tab/>
        <w:t>The principal objects of this Act are:</w:t>
      </w:r>
    </w:p>
    <w:p w:rsidR="00511CD8" w:rsidRPr="00036E54" w:rsidRDefault="00511CD8" w:rsidP="00511CD8">
      <w:pPr>
        <w:pStyle w:val="paragraph"/>
        <w:ind w:left="2364"/>
        <w:rPr>
          <w:rFonts w:ascii="Arial Narrow" w:hAnsi="Arial Narrow"/>
          <w:sz w:val="18"/>
          <w:szCs w:val="18"/>
        </w:rPr>
      </w:pPr>
      <w:r w:rsidRPr="00036E54">
        <w:rPr>
          <w:rFonts w:ascii="Arial Narrow" w:hAnsi="Arial Narrow"/>
          <w:sz w:val="18"/>
          <w:szCs w:val="18"/>
        </w:rPr>
        <w:tab/>
        <w:t>(a)</w:t>
      </w:r>
      <w:r w:rsidRPr="00036E54">
        <w:rPr>
          <w:rFonts w:ascii="Arial Narrow" w:hAnsi="Arial Narrow"/>
          <w:sz w:val="18"/>
          <w:szCs w:val="18"/>
        </w:rPr>
        <w:tab/>
        <w:t>to promote and improve gender equality (including equal remuneration between women and men) in employment and in the workplace; and</w:t>
      </w:r>
    </w:p>
    <w:p w:rsidR="00511CD8" w:rsidRPr="00036E54" w:rsidRDefault="00511CD8" w:rsidP="00511CD8">
      <w:pPr>
        <w:pStyle w:val="paragraph"/>
        <w:ind w:left="2364"/>
        <w:rPr>
          <w:rFonts w:ascii="Arial Narrow" w:hAnsi="Arial Narrow"/>
          <w:sz w:val="18"/>
          <w:szCs w:val="18"/>
        </w:rPr>
      </w:pPr>
      <w:r w:rsidRPr="00036E54">
        <w:rPr>
          <w:rFonts w:ascii="Arial Narrow" w:hAnsi="Arial Narrow"/>
          <w:sz w:val="18"/>
          <w:szCs w:val="18"/>
        </w:rPr>
        <w:tab/>
        <w:t>(b)</w:t>
      </w:r>
      <w:r w:rsidRPr="00036E54">
        <w:rPr>
          <w:rFonts w:ascii="Arial Narrow" w:hAnsi="Arial Narrow"/>
          <w:sz w:val="18"/>
          <w:szCs w:val="18"/>
        </w:rPr>
        <w:tab/>
        <w:t>to support employers to remove barriers to the full and equal participation of women in the workforce, in recognition of the disadvantaged position of women in relation to employment matters; and</w:t>
      </w:r>
    </w:p>
    <w:p w:rsidR="00511CD8" w:rsidRPr="00036E54" w:rsidRDefault="00511CD8" w:rsidP="00511CD8">
      <w:pPr>
        <w:pStyle w:val="paragraph"/>
        <w:ind w:left="2364"/>
        <w:rPr>
          <w:rFonts w:ascii="Arial Narrow" w:hAnsi="Arial Narrow"/>
          <w:sz w:val="18"/>
          <w:szCs w:val="18"/>
        </w:rPr>
      </w:pPr>
      <w:r w:rsidRPr="00036E54">
        <w:rPr>
          <w:rFonts w:ascii="Arial Narrow" w:hAnsi="Arial Narrow"/>
          <w:sz w:val="18"/>
          <w:szCs w:val="18"/>
        </w:rPr>
        <w:tab/>
        <w:t>(c)</w:t>
      </w:r>
      <w:r w:rsidRPr="00036E54">
        <w:rPr>
          <w:rFonts w:ascii="Arial Narrow" w:hAnsi="Arial Narrow"/>
          <w:sz w:val="18"/>
          <w:szCs w:val="18"/>
        </w:rPr>
        <w:tab/>
        <w:t>to promote, amongst employers, the elimination of discrimination on the basis of gender in relation to employment matters (including in relation to family and caring responsibilities); and</w:t>
      </w:r>
    </w:p>
    <w:p w:rsidR="00511CD8" w:rsidRPr="00036E54" w:rsidRDefault="00511CD8" w:rsidP="00511CD8">
      <w:pPr>
        <w:pStyle w:val="paragraph"/>
        <w:ind w:left="2364"/>
        <w:rPr>
          <w:rFonts w:ascii="Arial Narrow" w:hAnsi="Arial Narrow"/>
          <w:sz w:val="18"/>
          <w:szCs w:val="18"/>
        </w:rPr>
      </w:pPr>
      <w:r w:rsidRPr="00036E54">
        <w:rPr>
          <w:rFonts w:ascii="Arial Narrow" w:hAnsi="Arial Narrow"/>
          <w:sz w:val="18"/>
          <w:szCs w:val="18"/>
        </w:rPr>
        <w:tab/>
        <w:t>(d)</w:t>
      </w:r>
      <w:r w:rsidRPr="00036E54">
        <w:rPr>
          <w:rFonts w:ascii="Arial Narrow" w:hAnsi="Arial Narrow"/>
          <w:sz w:val="18"/>
          <w:szCs w:val="18"/>
        </w:rPr>
        <w:tab/>
        <w:t>to foster workplace</w:t>
      </w:r>
      <w:r w:rsidRPr="00036E54">
        <w:rPr>
          <w:rFonts w:ascii="Arial Narrow" w:hAnsi="Arial Narrow"/>
          <w:i/>
          <w:sz w:val="18"/>
          <w:szCs w:val="18"/>
        </w:rPr>
        <w:t xml:space="preserve"> </w:t>
      </w:r>
      <w:r w:rsidRPr="00036E54">
        <w:rPr>
          <w:rFonts w:ascii="Arial Narrow" w:hAnsi="Arial Narrow"/>
          <w:sz w:val="18"/>
          <w:szCs w:val="18"/>
        </w:rPr>
        <w:t>consultation between employers and employees on issues concerning gender equality in employment and in the workplace; and</w:t>
      </w:r>
    </w:p>
    <w:p w:rsidR="00511CD8" w:rsidRPr="00036E54" w:rsidRDefault="00511CD8" w:rsidP="00511CD8">
      <w:pPr>
        <w:pStyle w:val="paragraph"/>
        <w:ind w:left="2364"/>
        <w:rPr>
          <w:rFonts w:ascii="Arial Narrow" w:hAnsi="Arial Narrow"/>
          <w:sz w:val="18"/>
          <w:szCs w:val="18"/>
        </w:rPr>
      </w:pPr>
      <w:r w:rsidRPr="00036E54">
        <w:rPr>
          <w:rFonts w:ascii="Arial Narrow" w:hAnsi="Arial Narrow"/>
          <w:sz w:val="18"/>
          <w:szCs w:val="18"/>
        </w:rPr>
        <w:tab/>
        <w:t>(e)</w:t>
      </w:r>
      <w:r w:rsidRPr="00036E54">
        <w:rPr>
          <w:rFonts w:ascii="Arial Narrow" w:hAnsi="Arial Narrow"/>
          <w:sz w:val="18"/>
          <w:szCs w:val="18"/>
        </w:rPr>
        <w:tab/>
        <w:t>to improve the productivity and competitiveness of Australian business through the advancement of gender equality in employment and in the workplace.</w:t>
      </w:r>
    </w:p>
    <w:p w:rsidR="002105D5" w:rsidRPr="00036E54" w:rsidRDefault="002105D5" w:rsidP="007F4EF1">
      <w:pPr>
        <w:spacing w:after="0"/>
        <w:rPr>
          <w:rFonts w:ascii="Arial Narrow" w:hAnsi="Arial Narrow"/>
        </w:rPr>
      </w:pPr>
    </w:p>
    <w:p w:rsidR="002105D5" w:rsidRPr="00036E54" w:rsidRDefault="002105D5" w:rsidP="002105D5">
      <w:pPr>
        <w:spacing w:after="0"/>
        <w:rPr>
          <w:rFonts w:ascii="Arial Narrow" w:eastAsia="Times New Roman" w:hAnsi="Arial Narrow" w:cs="Times New Roman"/>
          <w:color w:val="444444"/>
          <w:lang w:eastAsia="en-AU"/>
        </w:rPr>
      </w:pPr>
      <w:r w:rsidRPr="00036E54">
        <w:rPr>
          <w:rFonts w:ascii="Arial Narrow" w:hAnsi="Arial Narrow"/>
        </w:rPr>
        <w:t>Under Section 3, the Act defines the employer as</w:t>
      </w:r>
      <w:r w:rsidR="007B1920" w:rsidRPr="00036E54">
        <w:rPr>
          <w:rFonts w:ascii="Arial Narrow" w:hAnsi="Arial Narrow"/>
        </w:rPr>
        <w:t xml:space="preserve"> including</w:t>
      </w:r>
      <w:r w:rsidRPr="00036E54">
        <w:rPr>
          <w:rFonts w:ascii="Arial Narrow" w:hAnsi="Arial Narrow"/>
        </w:rPr>
        <w:t>:</w:t>
      </w:r>
    </w:p>
    <w:p w:rsidR="002105D5" w:rsidRPr="00036E54" w:rsidRDefault="002105D5" w:rsidP="002105D5">
      <w:pPr>
        <w:shd w:val="clear" w:color="auto" w:fill="FFFFFF"/>
        <w:spacing w:after="0" w:line="260" w:lineRule="atLeast"/>
        <w:ind w:left="360"/>
        <w:jc w:val="both"/>
        <w:rPr>
          <w:rFonts w:ascii="Arial Narrow" w:eastAsia="Times New Roman" w:hAnsi="Arial Narrow" w:cs="Times New Roman"/>
          <w:color w:val="444444"/>
          <w:lang w:eastAsia="en-AU"/>
        </w:rPr>
      </w:pPr>
      <w:r w:rsidRPr="00036E54">
        <w:rPr>
          <w:rFonts w:ascii="Arial Narrow" w:eastAsia="Times New Roman" w:hAnsi="Arial Narrow" w:cs="Arial"/>
          <w:color w:val="000000"/>
          <w:lang w:eastAsia="en-AU"/>
        </w:rPr>
        <w:t> (b) </w:t>
      </w:r>
      <w:r w:rsidRPr="00036E54">
        <w:rPr>
          <w:rFonts w:ascii="Arial Narrow" w:eastAsia="Times New Roman" w:hAnsi="Arial Narrow" w:cs="Times New Roman"/>
          <w:color w:val="000000"/>
          <w:sz w:val="14"/>
          <w:szCs w:val="14"/>
          <w:lang w:eastAsia="en-AU"/>
        </w:rPr>
        <w:t> </w:t>
      </w:r>
      <w:r w:rsidRPr="00036E54">
        <w:rPr>
          <w:rFonts w:ascii="Arial Narrow" w:eastAsia="Times New Roman" w:hAnsi="Arial Narrow" w:cs="Times New Roman"/>
          <w:color w:val="444444"/>
          <w:lang w:eastAsia="en-AU"/>
        </w:rPr>
        <w:t> </w:t>
      </w:r>
      <w:r w:rsidRPr="00036E54">
        <w:rPr>
          <w:rFonts w:ascii="Arial Narrow" w:eastAsia="Times New Roman" w:hAnsi="Arial Narrow" w:cs="Arial"/>
          <w:color w:val="000000"/>
          <w:lang w:eastAsia="en-AU"/>
        </w:rPr>
        <w:t>a natural person, or a body or association (whether incorporated or not), being the employer of 100 or more employees in Australia;</w:t>
      </w:r>
      <w:r w:rsidRPr="00036E54">
        <w:rPr>
          <w:rFonts w:ascii="Arial Narrow" w:eastAsia="Times New Roman" w:hAnsi="Arial Narrow" w:cs="Times New Roman"/>
          <w:color w:val="444444"/>
          <w:lang w:eastAsia="en-AU"/>
        </w:rPr>
        <w:t xml:space="preserve"> </w:t>
      </w:r>
      <w:r w:rsidRPr="00036E54">
        <w:rPr>
          <w:rFonts w:ascii="Arial Narrow" w:eastAsia="Times New Roman" w:hAnsi="Arial Narrow" w:cs="Arial"/>
          <w:color w:val="000000"/>
          <w:lang w:eastAsia="en-AU"/>
        </w:rPr>
        <w:t>but does not include the Commonwealth, a State, a Territory or an authority</w:t>
      </w:r>
    </w:p>
    <w:p w:rsidR="002105D5" w:rsidRPr="00036E54" w:rsidRDefault="002105D5" w:rsidP="007F4EF1">
      <w:pPr>
        <w:spacing w:after="0"/>
        <w:rPr>
          <w:rFonts w:ascii="Arial Narrow" w:hAnsi="Arial Narrow"/>
        </w:rPr>
      </w:pPr>
    </w:p>
    <w:p w:rsidR="00343911" w:rsidRDefault="002105D5" w:rsidP="007F4EF1">
      <w:pPr>
        <w:spacing w:after="0"/>
        <w:rPr>
          <w:rFonts w:ascii="Arial Narrow" w:hAnsi="Arial Narrow"/>
        </w:rPr>
      </w:pPr>
      <w:r w:rsidRPr="00036E54">
        <w:rPr>
          <w:rFonts w:ascii="Arial Narrow" w:hAnsi="Arial Narrow"/>
        </w:rPr>
        <w:t xml:space="preserve">Over the last 15 years </w:t>
      </w:r>
      <w:r w:rsidR="00475F9B" w:rsidRPr="00036E54">
        <w:rPr>
          <w:rFonts w:ascii="Arial Narrow" w:hAnsi="Arial Narrow"/>
        </w:rPr>
        <w:t xml:space="preserve">or so, </w:t>
      </w:r>
      <w:r w:rsidRPr="00036E54">
        <w:rPr>
          <w:rFonts w:ascii="Arial Narrow" w:hAnsi="Arial Narrow"/>
        </w:rPr>
        <w:t>federal and state governments have</w:t>
      </w:r>
      <w:r w:rsidR="00417BC6">
        <w:rPr>
          <w:rFonts w:ascii="Arial Narrow" w:hAnsi="Arial Narrow"/>
        </w:rPr>
        <w:t xml:space="preserve"> progressively contracted out </w:t>
      </w:r>
      <w:r w:rsidRPr="00036E54">
        <w:rPr>
          <w:rFonts w:ascii="Arial Narrow" w:hAnsi="Arial Narrow"/>
        </w:rPr>
        <w:t>substantial part</w:t>
      </w:r>
      <w:r w:rsidR="00475F9B" w:rsidRPr="00036E54">
        <w:rPr>
          <w:rFonts w:ascii="Arial Narrow" w:hAnsi="Arial Narrow"/>
        </w:rPr>
        <w:t>s</w:t>
      </w:r>
      <w:r w:rsidRPr="00036E54">
        <w:rPr>
          <w:rFonts w:ascii="Arial Narrow" w:hAnsi="Arial Narrow"/>
        </w:rPr>
        <w:t xml:space="preserve"> of service delivery to Not-fo</w:t>
      </w:r>
      <w:r w:rsidR="007B1920" w:rsidRPr="00036E54">
        <w:rPr>
          <w:rFonts w:ascii="Arial Narrow" w:hAnsi="Arial Narrow"/>
        </w:rPr>
        <w:t xml:space="preserve">r-Profit </w:t>
      </w:r>
      <w:r w:rsidR="00475F9B" w:rsidRPr="00036E54">
        <w:rPr>
          <w:rFonts w:ascii="Arial Narrow" w:hAnsi="Arial Narrow"/>
        </w:rPr>
        <w:t>(NFP) o</w:t>
      </w:r>
      <w:r w:rsidR="007B1920" w:rsidRPr="00036E54">
        <w:rPr>
          <w:rFonts w:ascii="Arial Narrow" w:hAnsi="Arial Narrow"/>
        </w:rPr>
        <w:t xml:space="preserve">rganisations and </w:t>
      </w:r>
      <w:r w:rsidR="00417BC6">
        <w:rPr>
          <w:rFonts w:ascii="Arial Narrow" w:hAnsi="Arial Narrow"/>
        </w:rPr>
        <w:t xml:space="preserve">to </w:t>
      </w:r>
      <w:r w:rsidRPr="00036E54">
        <w:rPr>
          <w:rFonts w:ascii="Arial Narrow" w:hAnsi="Arial Narrow"/>
        </w:rPr>
        <w:t xml:space="preserve">private </w:t>
      </w:r>
      <w:r w:rsidR="00417BC6">
        <w:rPr>
          <w:rFonts w:ascii="Arial Narrow" w:hAnsi="Arial Narrow"/>
        </w:rPr>
        <w:t xml:space="preserve">profit-making </w:t>
      </w:r>
      <w:r w:rsidRPr="00036E54">
        <w:rPr>
          <w:rFonts w:ascii="Arial Narrow" w:hAnsi="Arial Narrow"/>
        </w:rPr>
        <w:t>companies</w:t>
      </w:r>
      <w:r w:rsidR="00475F9B" w:rsidRPr="00036E54">
        <w:rPr>
          <w:rFonts w:ascii="Arial Narrow" w:hAnsi="Arial Narrow"/>
        </w:rPr>
        <w:t>,</w:t>
      </w:r>
      <w:r w:rsidR="001E0EC8" w:rsidRPr="00036E54">
        <w:rPr>
          <w:rFonts w:ascii="Arial Narrow" w:hAnsi="Arial Narrow"/>
        </w:rPr>
        <w:t xml:space="preserve"> in line with various policies on </w:t>
      </w:r>
      <w:r w:rsidR="001E0EC8" w:rsidRPr="00036E54">
        <w:rPr>
          <w:rFonts w:ascii="Arial Narrow" w:hAnsi="Arial Narrow"/>
          <w:i/>
        </w:rPr>
        <w:t>value for money</w:t>
      </w:r>
      <w:r w:rsidR="001E0EC8" w:rsidRPr="00036E54">
        <w:rPr>
          <w:rFonts w:ascii="Arial Narrow" w:hAnsi="Arial Narrow"/>
        </w:rPr>
        <w:t xml:space="preserve"> and often in keeping with the </w:t>
      </w:r>
      <w:r w:rsidR="001E0EC8" w:rsidRPr="00036E54">
        <w:rPr>
          <w:rFonts w:ascii="Arial Narrow" w:hAnsi="Arial Narrow"/>
          <w:i/>
        </w:rPr>
        <w:t>Financial Management Accountability Act 1997</w:t>
      </w:r>
      <w:r w:rsidRPr="00036E54">
        <w:rPr>
          <w:rFonts w:ascii="Arial Narrow" w:hAnsi="Arial Narrow"/>
        </w:rPr>
        <w:t>. Put togeth</w:t>
      </w:r>
      <w:r w:rsidR="007B1920" w:rsidRPr="00036E54">
        <w:rPr>
          <w:rFonts w:ascii="Arial Narrow" w:hAnsi="Arial Narrow"/>
        </w:rPr>
        <w:t>er, these contracts involve substantial</w:t>
      </w:r>
      <w:r w:rsidRPr="00036E54">
        <w:rPr>
          <w:rFonts w:ascii="Arial Narrow" w:hAnsi="Arial Narrow"/>
        </w:rPr>
        <w:t xml:space="preserve"> </w:t>
      </w:r>
      <w:r w:rsidR="007B1920" w:rsidRPr="00036E54">
        <w:rPr>
          <w:rFonts w:ascii="Arial Narrow" w:hAnsi="Arial Narrow"/>
        </w:rPr>
        <w:t xml:space="preserve">public funding running into billions of dollars. Amongst these, </w:t>
      </w:r>
      <w:r w:rsidR="00475F9B" w:rsidRPr="00036E54">
        <w:rPr>
          <w:rFonts w:ascii="Arial Narrow" w:hAnsi="Arial Narrow"/>
        </w:rPr>
        <w:t xml:space="preserve">to </w:t>
      </w:r>
      <w:r w:rsidR="00475F9B" w:rsidRPr="00036E54">
        <w:rPr>
          <w:rFonts w:ascii="Arial Narrow" w:hAnsi="Arial Narrow"/>
        </w:rPr>
        <w:lastRenderedPageBreak/>
        <w:t xml:space="preserve">mention a few, </w:t>
      </w:r>
      <w:r w:rsidR="007B1920" w:rsidRPr="00036E54">
        <w:rPr>
          <w:rFonts w:ascii="Arial Narrow" w:hAnsi="Arial Narrow"/>
        </w:rPr>
        <w:t xml:space="preserve">they include services funded under Job Services Australia, migrant settlement services and also more recently, Medicare Locals. </w:t>
      </w:r>
      <w:r w:rsidR="0041385B" w:rsidRPr="00036E54">
        <w:rPr>
          <w:rFonts w:ascii="Arial Narrow" w:hAnsi="Arial Narrow"/>
        </w:rPr>
        <w:t>These type</w:t>
      </w:r>
      <w:r w:rsidR="00007617" w:rsidRPr="00036E54">
        <w:rPr>
          <w:rFonts w:ascii="Arial Narrow" w:hAnsi="Arial Narrow"/>
        </w:rPr>
        <w:t>s</w:t>
      </w:r>
      <w:r w:rsidR="00417BC6">
        <w:rPr>
          <w:rFonts w:ascii="Arial Narrow" w:hAnsi="Arial Narrow"/>
        </w:rPr>
        <w:t xml:space="preserve"> of </w:t>
      </w:r>
      <w:r w:rsidR="0041385B" w:rsidRPr="00036E54">
        <w:rPr>
          <w:rFonts w:ascii="Arial Narrow" w:hAnsi="Arial Narrow"/>
        </w:rPr>
        <w:t xml:space="preserve">agencies </w:t>
      </w:r>
      <w:r w:rsidR="00417BC6">
        <w:rPr>
          <w:rFonts w:ascii="Arial Narrow" w:hAnsi="Arial Narrow"/>
        </w:rPr>
        <w:t xml:space="preserve">alongside other services industries </w:t>
      </w:r>
      <w:r w:rsidR="00007617" w:rsidRPr="00036E54">
        <w:rPr>
          <w:rFonts w:ascii="Arial Narrow" w:hAnsi="Arial Narrow"/>
        </w:rPr>
        <w:t>are major employers of women.</w:t>
      </w:r>
      <w:r w:rsidR="00846DB2" w:rsidRPr="00036E54">
        <w:rPr>
          <w:rFonts w:ascii="Arial Narrow" w:hAnsi="Arial Narrow"/>
        </w:rPr>
        <w:t xml:space="preserve"> While a few of </w:t>
      </w:r>
      <w:r w:rsidR="00007617" w:rsidRPr="00036E54">
        <w:rPr>
          <w:rFonts w:ascii="Arial Narrow" w:hAnsi="Arial Narrow"/>
        </w:rPr>
        <w:t>such organisations are likely to employ more than 100 staff, a significant number</w:t>
      </w:r>
      <w:r w:rsidR="005237C0" w:rsidRPr="00036E54">
        <w:rPr>
          <w:rFonts w:ascii="Arial Narrow" w:hAnsi="Arial Narrow"/>
        </w:rPr>
        <w:t xml:space="preserve"> of them are likely </w:t>
      </w:r>
      <w:r w:rsidR="00417BC6">
        <w:rPr>
          <w:rFonts w:ascii="Arial Narrow" w:hAnsi="Arial Narrow"/>
        </w:rPr>
        <w:t xml:space="preserve">to </w:t>
      </w:r>
      <w:r w:rsidR="005237C0" w:rsidRPr="00036E54">
        <w:rPr>
          <w:rFonts w:ascii="Arial Narrow" w:hAnsi="Arial Narrow"/>
        </w:rPr>
        <w:t>run operations with less staff. These leaves substantial number of women outside the coverage of this legislation as their employers are not required to report. Given that</w:t>
      </w:r>
      <w:r w:rsidR="00846DB2" w:rsidRPr="00036E54">
        <w:rPr>
          <w:rFonts w:ascii="Arial Narrow" w:hAnsi="Arial Narrow"/>
        </w:rPr>
        <w:t xml:space="preserve"> the</w:t>
      </w:r>
      <w:r w:rsidR="005237C0" w:rsidRPr="00036E54">
        <w:rPr>
          <w:rFonts w:ascii="Arial Narrow" w:hAnsi="Arial Narrow"/>
        </w:rPr>
        <w:t xml:space="preserve"> legislation </w:t>
      </w:r>
      <w:r w:rsidR="004C24EC" w:rsidRPr="00036E54">
        <w:rPr>
          <w:rFonts w:ascii="Arial Narrow" w:hAnsi="Arial Narrow"/>
        </w:rPr>
        <w:t xml:space="preserve">has already passed, there may be </w:t>
      </w:r>
      <w:r w:rsidR="005237C0" w:rsidRPr="00036E54">
        <w:rPr>
          <w:rFonts w:ascii="Arial Narrow" w:hAnsi="Arial Narrow"/>
        </w:rPr>
        <w:t xml:space="preserve">alternative </w:t>
      </w:r>
      <w:r w:rsidR="004C24EC" w:rsidRPr="00036E54">
        <w:rPr>
          <w:rFonts w:ascii="Arial Narrow" w:hAnsi="Arial Narrow"/>
        </w:rPr>
        <w:t xml:space="preserve">administrative arrangements that can still be used </w:t>
      </w:r>
      <w:r w:rsidR="005237C0" w:rsidRPr="00036E54">
        <w:rPr>
          <w:rFonts w:ascii="Arial Narrow" w:hAnsi="Arial Narrow"/>
        </w:rPr>
        <w:t>to encourage equal pay measures for women</w:t>
      </w:r>
      <w:r w:rsidR="004C24EC" w:rsidRPr="00036E54">
        <w:rPr>
          <w:rFonts w:ascii="Arial Narrow" w:hAnsi="Arial Narrow"/>
        </w:rPr>
        <w:t xml:space="preserve">. For example, prior to 1997, in facilitation of its settlement funding to </w:t>
      </w:r>
      <w:r w:rsidR="006353CA" w:rsidRPr="00036E54">
        <w:rPr>
          <w:rFonts w:ascii="Arial Narrow" w:hAnsi="Arial Narrow"/>
        </w:rPr>
        <w:t xml:space="preserve">the </w:t>
      </w:r>
      <w:r w:rsidR="004C24EC" w:rsidRPr="00036E54">
        <w:rPr>
          <w:rFonts w:ascii="Arial Narrow" w:hAnsi="Arial Narrow"/>
        </w:rPr>
        <w:t xml:space="preserve">NFP sector, the Department of Immigration </w:t>
      </w:r>
      <w:r w:rsidR="006353CA" w:rsidRPr="00036E54">
        <w:rPr>
          <w:rFonts w:ascii="Arial Narrow" w:hAnsi="Arial Narrow"/>
        </w:rPr>
        <w:t>S</w:t>
      </w:r>
      <w:r w:rsidR="004C24EC" w:rsidRPr="00036E54">
        <w:rPr>
          <w:rFonts w:ascii="Arial Narrow" w:hAnsi="Arial Narrow"/>
        </w:rPr>
        <w:t xml:space="preserve">ettlement </w:t>
      </w:r>
      <w:r w:rsidR="006353CA" w:rsidRPr="00036E54">
        <w:rPr>
          <w:rFonts w:ascii="Arial Narrow" w:hAnsi="Arial Narrow"/>
        </w:rPr>
        <w:t>B</w:t>
      </w:r>
      <w:r w:rsidR="004C24EC" w:rsidRPr="00036E54">
        <w:rPr>
          <w:rFonts w:ascii="Arial Narrow" w:hAnsi="Arial Narrow"/>
        </w:rPr>
        <w:t xml:space="preserve">ranch </w:t>
      </w:r>
      <w:r w:rsidR="00417BC6">
        <w:rPr>
          <w:rFonts w:ascii="Arial Narrow" w:hAnsi="Arial Narrow"/>
        </w:rPr>
        <w:t>seemed</w:t>
      </w:r>
      <w:r w:rsidR="006353CA" w:rsidRPr="00036E54">
        <w:rPr>
          <w:rFonts w:ascii="Arial Narrow" w:hAnsi="Arial Narrow"/>
        </w:rPr>
        <w:t xml:space="preserve"> to </w:t>
      </w:r>
      <w:r w:rsidR="004C24EC" w:rsidRPr="00036E54">
        <w:rPr>
          <w:rFonts w:ascii="Arial Narrow" w:hAnsi="Arial Narrow"/>
        </w:rPr>
        <w:t>ensure</w:t>
      </w:r>
      <w:r w:rsidR="006353CA" w:rsidRPr="00036E54">
        <w:rPr>
          <w:rFonts w:ascii="Arial Narrow" w:hAnsi="Arial Narrow"/>
        </w:rPr>
        <w:t xml:space="preserve"> </w:t>
      </w:r>
      <w:r w:rsidR="004C24EC" w:rsidRPr="00036E54">
        <w:rPr>
          <w:rFonts w:ascii="Arial Narrow" w:hAnsi="Arial Narrow"/>
        </w:rPr>
        <w:t xml:space="preserve">job analysis </w:t>
      </w:r>
      <w:r w:rsidR="006353CA" w:rsidRPr="00036E54">
        <w:rPr>
          <w:rFonts w:ascii="Arial Narrow" w:hAnsi="Arial Narrow"/>
        </w:rPr>
        <w:t>accompanied their funding for each</w:t>
      </w:r>
      <w:r w:rsidR="004C24EC" w:rsidRPr="00036E54">
        <w:rPr>
          <w:rFonts w:ascii="Arial Narrow" w:hAnsi="Arial Narrow"/>
        </w:rPr>
        <w:t xml:space="preserve"> FTE. </w:t>
      </w:r>
      <w:r w:rsidR="006353CA" w:rsidRPr="00036E54">
        <w:rPr>
          <w:rFonts w:ascii="Arial Narrow" w:hAnsi="Arial Narrow"/>
        </w:rPr>
        <w:t xml:space="preserve">Understandably, as federal government departments are now subject </w:t>
      </w:r>
      <w:r w:rsidR="00653516" w:rsidRPr="00036E54">
        <w:rPr>
          <w:rFonts w:ascii="Arial Narrow" w:hAnsi="Arial Narrow"/>
        </w:rPr>
        <w:t xml:space="preserve">to </w:t>
      </w:r>
      <w:r w:rsidR="006353CA" w:rsidRPr="00036E54">
        <w:rPr>
          <w:rFonts w:ascii="Arial Narrow" w:hAnsi="Arial Narrow"/>
        </w:rPr>
        <w:t xml:space="preserve">provisions of the </w:t>
      </w:r>
      <w:r w:rsidR="006353CA" w:rsidRPr="00036E54">
        <w:rPr>
          <w:rFonts w:ascii="Arial Narrow" w:hAnsi="Arial Narrow"/>
          <w:i/>
        </w:rPr>
        <w:t>Financial Management Accountability Act 1997</w:t>
      </w:r>
      <w:r w:rsidR="006353CA" w:rsidRPr="00036E54">
        <w:rPr>
          <w:rFonts w:ascii="Arial Narrow" w:hAnsi="Arial Narrow"/>
        </w:rPr>
        <w:t xml:space="preserve"> </w:t>
      </w:r>
      <w:r w:rsidR="00846DB2" w:rsidRPr="00036E54">
        <w:rPr>
          <w:rFonts w:ascii="Arial Narrow" w:hAnsi="Arial Narrow"/>
        </w:rPr>
        <w:t xml:space="preserve">in a bid </w:t>
      </w:r>
      <w:r w:rsidR="00417BC6">
        <w:rPr>
          <w:rFonts w:ascii="Arial Narrow" w:hAnsi="Arial Narrow"/>
        </w:rPr>
        <w:t xml:space="preserve">to </w:t>
      </w:r>
      <w:r w:rsidR="00846DB2" w:rsidRPr="00036E54">
        <w:rPr>
          <w:rFonts w:ascii="Arial Narrow" w:hAnsi="Arial Narrow"/>
        </w:rPr>
        <w:t>achieve</w:t>
      </w:r>
      <w:r w:rsidR="006353CA" w:rsidRPr="00036E54">
        <w:rPr>
          <w:rFonts w:ascii="Arial Narrow" w:hAnsi="Arial Narrow"/>
        </w:rPr>
        <w:t xml:space="preserve"> greater efficiency, the interest now focuses at </w:t>
      </w:r>
      <w:r w:rsidR="00022D28" w:rsidRPr="00036E54">
        <w:rPr>
          <w:rFonts w:ascii="Arial Narrow" w:hAnsi="Arial Narrow"/>
        </w:rPr>
        <w:t>delivering results</w:t>
      </w:r>
      <w:r w:rsidR="00846DB2" w:rsidRPr="00036E54">
        <w:rPr>
          <w:rFonts w:ascii="Arial Narrow" w:hAnsi="Arial Narrow"/>
        </w:rPr>
        <w:t xml:space="preserve"> rather than being preoccupied by what </w:t>
      </w:r>
      <w:r w:rsidR="00F90F0A" w:rsidRPr="00036E54">
        <w:rPr>
          <w:rFonts w:ascii="Arial Narrow" w:hAnsi="Arial Narrow"/>
        </w:rPr>
        <w:t xml:space="preserve">staff in the contracted </w:t>
      </w:r>
      <w:r w:rsidR="00F90F0A">
        <w:rPr>
          <w:rFonts w:ascii="Arial Narrow" w:hAnsi="Arial Narrow"/>
        </w:rPr>
        <w:t xml:space="preserve">non-government </w:t>
      </w:r>
      <w:r w:rsidR="00F90F0A" w:rsidRPr="00036E54">
        <w:rPr>
          <w:rFonts w:ascii="Arial Narrow" w:hAnsi="Arial Narrow"/>
        </w:rPr>
        <w:t>agencies gets</w:t>
      </w:r>
      <w:r w:rsidR="00846DB2" w:rsidRPr="00036E54">
        <w:rPr>
          <w:rFonts w:ascii="Arial Narrow" w:hAnsi="Arial Narrow"/>
        </w:rPr>
        <w:t xml:space="preserve"> paid. Hence, it would appear</w:t>
      </w:r>
      <w:r w:rsidR="00A93FFA" w:rsidRPr="00036E54">
        <w:rPr>
          <w:rFonts w:ascii="Arial Narrow" w:hAnsi="Arial Narrow"/>
          <w:bCs/>
          <w:iCs/>
          <w:color w:val="000000" w:themeColor="text1"/>
        </w:rPr>
        <w:t xml:space="preserve"> job analysis and pay structure </w:t>
      </w:r>
      <w:r w:rsidR="00846DB2" w:rsidRPr="00036E54">
        <w:rPr>
          <w:rFonts w:ascii="Arial Narrow" w:hAnsi="Arial Narrow"/>
          <w:bCs/>
          <w:iCs/>
          <w:color w:val="000000" w:themeColor="text1"/>
        </w:rPr>
        <w:t>which the Department used to do is no longer facilitated as the shift now is on</w:t>
      </w:r>
      <w:r w:rsidR="00A93FFA" w:rsidRPr="00036E54">
        <w:rPr>
          <w:rFonts w:ascii="Arial Narrow" w:hAnsi="Arial Narrow"/>
          <w:bCs/>
          <w:iCs/>
          <w:color w:val="000000" w:themeColor="text1"/>
        </w:rPr>
        <w:t xml:space="preserve"> contracted deliverables</w:t>
      </w:r>
      <w:r w:rsidR="00846DB2" w:rsidRPr="00036E54">
        <w:rPr>
          <w:rFonts w:ascii="Arial Narrow" w:hAnsi="Arial Narrow"/>
          <w:bCs/>
          <w:iCs/>
          <w:color w:val="000000" w:themeColor="text1"/>
        </w:rPr>
        <w:t>. U</w:t>
      </w:r>
      <w:r w:rsidR="00A93FFA" w:rsidRPr="00036E54">
        <w:rPr>
          <w:rFonts w:ascii="Arial Narrow" w:hAnsi="Arial Narrow"/>
          <w:bCs/>
          <w:iCs/>
          <w:color w:val="000000" w:themeColor="text1"/>
        </w:rPr>
        <w:t>nfortunate</w:t>
      </w:r>
      <w:r w:rsidR="00A93FFA" w:rsidRPr="00036E54">
        <w:rPr>
          <w:rFonts w:ascii="Arial Narrow" w:hAnsi="Arial Narrow"/>
        </w:rPr>
        <w:t xml:space="preserve">ly, this has impacted on salary levels across the migrant settlement services. Prior to 1997 every state had migrant staff that were undertaking roles with some level of complexity involving complex casework, community development and policy that were paid equivalent of </w:t>
      </w:r>
      <w:r w:rsidR="008F2661" w:rsidRPr="00036E54">
        <w:rPr>
          <w:rFonts w:ascii="Arial Narrow" w:hAnsi="Arial Narrow"/>
        </w:rPr>
        <w:t>Level 5 to Level 6 (</w:t>
      </w:r>
      <w:r w:rsidR="00343911">
        <w:rPr>
          <w:rFonts w:ascii="Arial Narrow" w:hAnsi="Arial Narrow"/>
        </w:rPr>
        <w:t xml:space="preserve">approximately equivalent to </w:t>
      </w:r>
      <w:r w:rsidR="008F2661" w:rsidRPr="00036E54">
        <w:rPr>
          <w:rFonts w:ascii="Arial Narrow" w:hAnsi="Arial Narrow"/>
        </w:rPr>
        <w:t>WA public State sector) or APS 6 to EL1 (</w:t>
      </w:r>
      <w:r w:rsidR="00343911">
        <w:rPr>
          <w:rFonts w:ascii="Arial Narrow" w:hAnsi="Arial Narrow"/>
        </w:rPr>
        <w:t xml:space="preserve">approximately equivalent to </w:t>
      </w:r>
      <w:r w:rsidR="008F2661" w:rsidRPr="00036E54">
        <w:rPr>
          <w:rFonts w:ascii="Arial Narrow" w:hAnsi="Arial Narrow"/>
        </w:rPr>
        <w:t xml:space="preserve">federal public sector). </w:t>
      </w:r>
      <w:r w:rsidR="00846DB2" w:rsidRPr="00036E54">
        <w:rPr>
          <w:rFonts w:ascii="Arial Narrow" w:hAnsi="Arial Narrow"/>
        </w:rPr>
        <w:t xml:space="preserve">Somehow the shift </w:t>
      </w:r>
      <w:r w:rsidR="00343911">
        <w:rPr>
          <w:rFonts w:ascii="Arial Narrow" w:hAnsi="Arial Narrow"/>
        </w:rPr>
        <w:t xml:space="preserve">to tendering and contracting (framework that has replaced the former grant system) </w:t>
      </w:r>
      <w:r w:rsidR="008623CB" w:rsidRPr="00036E54">
        <w:rPr>
          <w:rFonts w:ascii="Arial Narrow" w:hAnsi="Arial Narrow"/>
        </w:rPr>
        <w:t xml:space="preserve">has also seen </w:t>
      </w:r>
      <w:r w:rsidR="00846DB2" w:rsidRPr="00036E54">
        <w:rPr>
          <w:rFonts w:ascii="Arial Narrow" w:hAnsi="Arial Narrow"/>
        </w:rPr>
        <w:t xml:space="preserve">significant decline in the earnings of </w:t>
      </w:r>
      <w:r w:rsidR="008F2661" w:rsidRPr="00036E54">
        <w:rPr>
          <w:rFonts w:ascii="Arial Narrow" w:hAnsi="Arial Narrow"/>
        </w:rPr>
        <w:t xml:space="preserve">federally-funded migrant settlement </w:t>
      </w:r>
      <w:r w:rsidR="00846DB2" w:rsidRPr="00036E54">
        <w:rPr>
          <w:rFonts w:ascii="Arial Narrow" w:hAnsi="Arial Narrow"/>
        </w:rPr>
        <w:t>services</w:t>
      </w:r>
      <w:r w:rsidR="008623CB" w:rsidRPr="00036E54">
        <w:rPr>
          <w:rFonts w:ascii="Arial Narrow" w:hAnsi="Arial Narrow"/>
        </w:rPr>
        <w:t xml:space="preserve"> within NFP sector, at best now being close to equivalent of</w:t>
      </w:r>
      <w:r w:rsidR="008F2661" w:rsidRPr="00036E54">
        <w:rPr>
          <w:rFonts w:ascii="Arial Narrow" w:hAnsi="Arial Narrow"/>
        </w:rPr>
        <w:t xml:space="preserve"> Level 4 (WA </w:t>
      </w:r>
      <w:r w:rsidR="008623CB" w:rsidRPr="00036E54">
        <w:rPr>
          <w:rFonts w:ascii="Arial Narrow" w:hAnsi="Arial Narrow"/>
        </w:rPr>
        <w:t xml:space="preserve">public </w:t>
      </w:r>
      <w:r w:rsidR="008F2661" w:rsidRPr="00036E54">
        <w:rPr>
          <w:rFonts w:ascii="Arial Narrow" w:hAnsi="Arial Narrow"/>
        </w:rPr>
        <w:t>State</w:t>
      </w:r>
      <w:r w:rsidR="008623CB" w:rsidRPr="00036E54">
        <w:rPr>
          <w:rFonts w:ascii="Arial Narrow" w:hAnsi="Arial Narrow"/>
        </w:rPr>
        <w:t xml:space="preserve"> sector</w:t>
      </w:r>
      <w:r w:rsidR="008F2661" w:rsidRPr="00036E54">
        <w:rPr>
          <w:rFonts w:ascii="Arial Narrow" w:hAnsi="Arial Narrow"/>
        </w:rPr>
        <w:t>). The outcome of this is that the sector has lost experienced professional staff with social work and psychology qualifications</w:t>
      </w:r>
      <w:r w:rsidR="008623CB" w:rsidRPr="00036E54">
        <w:rPr>
          <w:rFonts w:ascii="Arial Narrow" w:hAnsi="Arial Narrow"/>
        </w:rPr>
        <w:t xml:space="preserve"> – it is my understanding that in WA it is rare to have professional social workers taking up these jobs</w:t>
      </w:r>
      <w:r w:rsidR="008F2661" w:rsidRPr="00036E54">
        <w:rPr>
          <w:rFonts w:ascii="Arial Narrow" w:hAnsi="Arial Narrow"/>
        </w:rPr>
        <w:t>.</w:t>
      </w:r>
      <w:r w:rsidR="008623CB" w:rsidRPr="00036E54">
        <w:rPr>
          <w:rFonts w:ascii="Arial Narrow" w:hAnsi="Arial Narrow"/>
        </w:rPr>
        <w:t xml:space="preserve"> </w:t>
      </w:r>
    </w:p>
    <w:p w:rsidR="00343911" w:rsidRDefault="00343911" w:rsidP="007F4EF1">
      <w:pPr>
        <w:spacing w:after="0"/>
        <w:rPr>
          <w:rFonts w:ascii="Arial Narrow" w:hAnsi="Arial Narrow"/>
        </w:rPr>
      </w:pPr>
    </w:p>
    <w:p w:rsidR="00A93FFA" w:rsidRPr="00036E54" w:rsidRDefault="00434202" w:rsidP="007F4EF1">
      <w:pPr>
        <w:spacing w:after="0"/>
        <w:rPr>
          <w:rFonts w:ascii="Arial Narrow" w:hAnsi="Arial Narrow"/>
        </w:rPr>
      </w:pPr>
      <w:r w:rsidRPr="00036E54">
        <w:rPr>
          <w:rFonts w:ascii="Arial Narrow" w:hAnsi="Arial Narrow"/>
        </w:rPr>
        <w:t xml:space="preserve">I would suggest that given the shift to unprecedented outsourcing of government services to the NFP sector and private companies, strategies intending to identify and measure progress in </w:t>
      </w:r>
      <w:r w:rsidRPr="00036E54">
        <w:rPr>
          <w:rFonts w:ascii="Arial Narrow" w:hAnsi="Arial Narrow" w:cstheme="minorHAnsi"/>
        </w:rPr>
        <w:t>gender equality in the workplace</w:t>
      </w:r>
      <w:r w:rsidR="008623CB" w:rsidRPr="00036E54">
        <w:rPr>
          <w:rFonts w:ascii="Arial Narrow" w:hAnsi="Arial Narrow" w:cstheme="minorHAnsi"/>
        </w:rPr>
        <w:t xml:space="preserve"> need</w:t>
      </w:r>
      <w:r w:rsidRPr="00036E54">
        <w:rPr>
          <w:rFonts w:ascii="Arial Narrow" w:hAnsi="Arial Narrow" w:cstheme="minorHAnsi"/>
        </w:rPr>
        <w:t xml:space="preserve"> to take account of this change as it </w:t>
      </w:r>
      <w:r w:rsidR="00343911">
        <w:rPr>
          <w:rFonts w:ascii="Arial Narrow" w:hAnsi="Arial Narrow" w:cstheme="minorHAnsi"/>
        </w:rPr>
        <w:t>seems inseparable</w:t>
      </w:r>
      <w:r w:rsidRPr="00036E54">
        <w:rPr>
          <w:rFonts w:ascii="Arial Narrow" w:hAnsi="Arial Narrow" w:cstheme="minorHAnsi"/>
        </w:rPr>
        <w:t xml:space="preserve"> in addressing some of the factors implicated in the gender pay gap.</w:t>
      </w:r>
    </w:p>
    <w:p w:rsidR="00A93FFA" w:rsidRPr="00036E54" w:rsidRDefault="00A93FFA" w:rsidP="007F4EF1">
      <w:pPr>
        <w:spacing w:after="0"/>
        <w:rPr>
          <w:rFonts w:ascii="Arial Narrow" w:hAnsi="Arial Narrow"/>
        </w:rPr>
      </w:pPr>
    </w:p>
    <w:p w:rsidR="00BB7B0C" w:rsidRPr="00036E54" w:rsidRDefault="00D439AF" w:rsidP="00B92973">
      <w:pPr>
        <w:pStyle w:val="Docheading1"/>
      </w:pPr>
      <w:r w:rsidRPr="00036E54">
        <w:t>Recommendation:</w:t>
      </w:r>
    </w:p>
    <w:p w:rsidR="00D439AF" w:rsidRPr="00036E54" w:rsidRDefault="00D439AF" w:rsidP="00920193">
      <w:pPr>
        <w:pStyle w:val="ListParagraph"/>
        <w:numPr>
          <w:ilvl w:val="0"/>
          <w:numId w:val="7"/>
        </w:numPr>
        <w:spacing w:after="0"/>
        <w:rPr>
          <w:rFonts w:ascii="Arial Narrow" w:hAnsi="Arial Narrow"/>
        </w:rPr>
      </w:pPr>
      <w:r w:rsidRPr="00036E54">
        <w:rPr>
          <w:rFonts w:ascii="Arial Narrow" w:hAnsi="Arial Narrow"/>
        </w:rPr>
        <w:t>Government</w:t>
      </w:r>
      <w:r w:rsidR="00BB7B0C" w:rsidRPr="00036E54">
        <w:rPr>
          <w:rFonts w:ascii="Arial Narrow" w:hAnsi="Arial Narrow"/>
        </w:rPr>
        <w:t xml:space="preserve"> should use service procurement arrangements to monitor staff </w:t>
      </w:r>
      <w:r w:rsidRPr="00036E54">
        <w:rPr>
          <w:rFonts w:ascii="Arial Narrow" w:hAnsi="Arial Narrow"/>
        </w:rPr>
        <w:t>e</w:t>
      </w:r>
      <w:r w:rsidR="00BB7B0C" w:rsidRPr="00036E54">
        <w:rPr>
          <w:rFonts w:ascii="Arial Narrow" w:hAnsi="Arial Narrow"/>
        </w:rPr>
        <w:t>arnings</w:t>
      </w:r>
      <w:r w:rsidR="008623CB" w:rsidRPr="00036E54">
        <w:rPr>
          <w:rFonts w:ascii="Arial Narrow" w:hAnsi="Arial Narrow"/>
        </w:rPr>
        <w:t>, and</w:t>
      </w:r>
      <w:r w:rsidR="00BB7B0C" w:rsidRPr="00036E54">
        <w:rPr>
          <w:rFonts w:ascii="Arial Narrow" w:hAnsi="Arial Narrow"/>
        </w:rPr>
        <w:t xml:space="preserve"> ensure pay structure</w:t>
      </w:r>
      <w:r w:rsidR="008623CB" w:rsidRPr="00036E54">
        <w:rPr>
          <w:rFonts w:ascii="Arial Narrow" w:hAnsi="Arial Narrow"/>
        </w:rPr>
        <w:t xml:space="preserve"> and their own funding to the NFP</w:t>
      </w:r>
      <w:r w:rsidR="00BB7B0C" w:rsidRPr="00036E54">
        <w:rPr>
          <w:rFonts w:ascii="Arial Narrow" w:hAnsi="Arial Narrow"/>
        </w:rPr>
        <w:t xml:space="preserve"> is </w:t>
      </w:r>
      <w:r w:rsidR="008623CB" w:rsidRPr="00036E54">
        <w:rPr>
          <w:rFonts w:ascii="Arial Narrow" w:hAnsi="Arial Narrow"/>
        </w:rPr>
        <w:t xml:space="preserve">commensurate </w:t>
      </w:r>
      <w:r w:rsidR="00BB7B0C" w:rsidRPr="00036E54">
        <w:rPr>
          <w:rFonts w:ascii="Arial Narrow" w:hAnsi="Arial Narrow"/>
        </w:rPr>
        <w:t>with the level of task complexity</w:t>
      </w:r>
    </w:p>
    <w:p w:rsidR="00BB7B0C" w:rsidRPr="00036E54" w:rsidRDefault="00BB7B0C" w:rsidP="00920193">
      <w:pPr>
        <w:pStyle w:val="ListParagraph"/>
        <w:numPr>
          <w:ilvl w:val="0"/>
          <w:numId w:val="7"/>
        </w:numPr>
        <w:spacing w:after="0"/>
        <w:rPr>
          <w:rFonts w:ascii="Arial Narrow" w:hAnsi="Arial Narrow"/>
        </w:rPr>
      </w:pPr>
      <w:r w:rsidRPr="00036E54">
        <w:rPr>
          <w:rFonts w:ascii="Arial Narrow" w:hAnsi="Arial Narrow"/>
        </w:rPr>
        <w:t xml:space="preserve">Review the legislation in 2 – 3 years and consider requiring government agencies to ensure their service procurement practices are not </w:t>
      </w:r>
      <w:r w:rsidR="00920193" w:rsidRPr="00036E54">
        <w:rPr>
          <w:rFonts w:ascii="Arial Narrow" w:hAnsi="Arial Narrow"/>
        </w:rPr>
        <w:t>unintentionally being used to depress women’s earning within NFP organisations</w:t>
      </w:r>
      <w:r w:rsidRPr="00036E54">
        <w:rPr>
          <w:rFonts w:ascii="Arial Narrow" w:hAnsi="Arial Narrow"/>
        </w:rPr>
        <w:t xml:space="preserve"> </w:t>
      </w:r>
    </w:p>
    <w:p w:rsidR="00434202" w:rsidRPr="00036E54" w:rsidRDefault="00434202" w:rsidP="007F4EF1">
      <w:pPr>
        <w:spacing w:after="0"/>
        <w:rPr>
          <w:rFonts w:ascii="Arial Narrow" w:hAnsi="Arial Narrow"/>
        </w:rPr>
      </w:pPr>
    </w:p>
    <w:p w:rsidR="00434202" w:rsidRPr="00036E54" w:rsidRDefault="00434202" w:rsidP="00B92973">
      <w:pPr>
        <w:pStyle w:val="Docheading1"/>
      </w:pPr>
      <w:r w:rsidRPr="00036E54">
        <w:t>Measurable outcomes and process indicators</w:t>
      </w:r>
    </w:p>
    <w:p w:rsidR="00434202" w:rsidRPr="00036E54" w:rsidRDefault="00434202" w:rsidP="00434202">
      <w:pPr>
        <w:spacing w:after="0"/>
        <w:rPr>
          <w:rFonts w:ascii="Arial Narrow" w:hAnsi="Arial Narrow" w:cstheme="minorHAnsi"/>
        </w:rPr>
      </w:pPr>
      <w:r w:rsidRPr="00036E54">
        <w:rPr>
          <w:rFonts w:ascii="Arial Narrow" w:hAnsi="Arial Narrow" w:cstheme="minorHAnsi"/>
        </w:rPr>
        <w:t xml:space="preserve">The government </w:t>
      </w:r>
      <w:r w:rsidR="00E1245A" w:rsidRPr="00036E54">
        <w:rPr>
          <w:rFonts w:ascii="Arial Narrow" w:hAnsi="Arial Narrow" w:cstheme="minorHAnsi"/>
        </w:rPr>
        <w:t>has proposed</w:t>
      </w:r>
      <w:r w:rsidRPr="00036E54">
        <w:rPr>
          <w:rFonts w:ascii="Arial Narrow" w:hAnsi="Arial Narrow" w:cstheme="minorHAnsi"/>
        </w:rPr>
        <w:t xml:space="preserve"> </w:t>
      </w:r>
      <w:r w:rsidR="00343911">
        <w:rPr>
          <w:rFonts w:ascii="Arial Narrow" w:hAnsi="Arial Narrow" w:cstheme="minorHAnsi"/>
        </w:rPr>
        <w:t xml:space="preserve">in its Discussion Paper </w:t>
      </w:r>
      <w:r w:rsidRPr="00036E54">
        <w:rPr>
          <w:rFonts w:ascii="Arial Narrow" w:hAnsi="Arial Narrow" w:cstheme="minorHAnsi"/>
        </w:rPr>
        <w:t>the following key considerations in</w:t>
      </w:r>
      <w:r w:rsidR="00E1245A" w:rsidRPr="00036E54">
        <w:rPr>
          <w:rFonts w:ascii="Arial Narrow" w:hAnsi="Arial Narrow" w:cstheme="minorHAnsi"/>
        </w:rPr>
        <w:t xml:space="preserve"> measuring progress</w:t>
      </w:r>
    </w:p>
    <w:p w:rsidR="00434202" w:rsidRPr="00036E54" w:rsidRDefault="00434202" w:rsidP="00434202">
      <w:pPr>
        <w:numPr>
          <w:ilvl w:val="0"/>
          <w:numId w:val="5"/>
        </w:numPr>
        <w:spacing w:after="0"/>
        <w:ind w:left="714" w:hanging="357"/>
        <w:rPr>
          <w:rFonts w:ascii="Arial Narrow" w:hAnsi="Arial Narrow" w:cstheme="minorHAnsi"/>
          <w:sz w:val="18"/>
          <w:szCs w:val="18"/>
        </w:rPr>
      </w:pPr>
      <w:r w:rsidRPr="00036E54">
        <w:rPr>
          <w:rFonts w:ascii="Arial Narrow" w:hAnsi="Arial Narrow" w:cstheme="minorHAnsi"/>
          <w:sz w:val="18"/>
          <w:szCs w:val="18"/>
        </w:rPr>
        <w:t>Measurable outcomes:  Data and statistics, enabling a view of the ‘state of play’ – for example, the number of women and men at the executive level, or the proportion of employees returning from parental leave.  It may reveal areas for improvement in gender equality.</w:t>
      </w:r>
    </w:p>
    <w:p w:rsidR="00434202" w:rsidRPr="00036E54" w:rsidRDefault="00434202" w:rsidP="00434202">
      <w:pPr>
        <w:numPr>
          <w:ilvl w:val="0"/>
          <w:numId w:val="5"/>
        </w:numPr>
        <w:spacing w:after="0"/>
        <w:ind w:left="714" w:hanging="357"/>
        <w:rPr>
          <w:rFonts w:ascii="Arial Narrow" w:hAnsi="Arial Narrow" w:cstheme="minorHAnsi"/>
          <w:sz w:val="18"/>
          <w:szCs w:val="18"/>
        </w:rPr>
      </w:pPr>
      <w:r w:rsidRPr="00036E54">
        <w:rPr>
          <w:rFonts w:ascii="Arial Narrow" w:hAnsi="Arial Narrow" w:cstheme="minorHAnsi"/>
          <w:sz w:val="18"/>
          <w:szCs w:val="18"/>
        </w:rPr>
        <w:t>Process indicators:  Information on the existence of certain conditions, practices or policies – for example, the availability of flex-time for employees.  This will enable employers compare their practices with those of other employers, particularly those who are making good progress towards gender equality.</w:t>
      </w:r>
    </w:p>
    <w:p w:rsidR="00434202" w:rsidRPr="00036E54" w:rsidRDefault="00434202" w:rsidP="007F4EF1">
      <w:pPr>
        <w:spacing w:after="0"/>
        <w:rPr>
          <w:rFonts w:ascii="Arial Narrow" w:hAnsi="Arial Narrow"/>
        </w:rPr>
      </w:pPr>
    </w:p>
    <w:p w:rsidR="00C77D7A" w:rsidRDefault="00C77D7A" w:rsidP="00C77D7A">
      <w:pPr>
        <w:spacing w:after="80"/>
        <w:rPr>
          <w:rFonts w:ascii="Arial Narrow" w:hAnsi="Arial Narrow" w:cs="Arial"/>
        </w:rPr>
      </w:pPr>
      <w:r>
        <w:rPr>
          <w:rFonts w:ascii="Arial Narrow" w:hAnsi="Arial Narrow"/>
        </w:rPr>
        <w:t xml:space="preserve">As significantly, the </w:t>
      </w:r>
      <w:r w:rsidRPr="00036E54">
        <w:rPr>
          <w:rFonts w:ascii="Arial Narrow" w:hAnsi="Arial Narrow"/>
        </w:rPr>
        <w:t xml:space="preserve">Explanatory Memorandum, </w:t>
      </w:r>
      <w:r w:rsidRPr="00036E54">
        <w:rPr>
          <w:rFonts w:ascii="Arial Narrow" w:hAnsi="Arial Narrow" w:cs="Arial"/>
          <w:i/>
        </w:rPr>
        <w:t>Workplace Gender Equality Act 2012</w:t>
      </w:r>
      <w:r>
        <w:rPr>
          <w:rFonts w:ascii="Arial Narrow" w:hAnsi="Arial Narrow" w:cs="Arial"/>
        </w:rPr>
        <w:t xml:space="preserve"> draws attention to details concerning the government focus of what the reporting should entail. This is worth highlighting as it is part of the crux regarding which indicators of disadvantage are going to be captured by the monitoring mechanisms that the Legislative Instrument is seeking to put in place. Thus, I draw attention to this account:</w:t>
      </w:r>
    </w:p>
    <w:p w:rsidR="00F90F0A" w:rsidRDefault="00F90F0A" w:rsidP="00C77D7A">
      <w:pPr>
        <w:spacing w:after="80"/>
        <w:rPr>
          <w:rFonts w:ascii="Arial Narrow" w:hAnsi="Arial Narrow" w:cs="Arial"/>
        </w:rPr>
      </w:pPr>
    </w:p>
    <w:p w:rsidR="00C77D7A" w:rsidRPr="005E5ECB" w:rsidRDefault="00C77D7A" w:rsidP="00074B16">
      <w:pPr>
        <w:pStyle w:val="Style1"/>
        <w:rPr>
          <w:rFonts w:cs="Times New Roman"/>
          <w:color w:val="444444"/>
        </w:rPr>
      </w:pPr>
      <w:r w:rsidRPr="005E5ECB">
        <w:lastRenderedPageBreak/>
        <w:t>Reporting requirements</w:t>
      </w:r>
    </w:p>
    <w:p w:rsidR="00C77D7A" w:rsidRPr="00C77D7A" w:rsidRDefault="00C77D7A" w:rsidP="00C77D7A">
      <w:pPr>
        <w:shd w:val="clear" w:color="auto" w:fill="FFFFFF"/>
        <w:spacing w:after="240" w:line="260" w:lineRule="atLeast"/>
        <w:ind w:left="720"/>
        <w:jc w:val="both"/>
        <w:rPr>
          <w:rFonts w:ascii="Arial Narrow" w:eastAsia="Times New Roman" w:hAnsi="Arial Narrow" w:cs="Arial"/>
          <w:color w:val="000000"/>
          <w:lang w:val="en-US" w:eastAsia="en-AU"/>
        </w:rPr>
      </w:pPr>
      <w:r w:rsidRPr="005E5ECB">
        <w:rPr>
          <w:rFonts w:ascii="Arial Narrow" w:eastAsia="Times New Roman" w:hAnsi="Arial Narrow" w:cs="Arial"/>
          <w:color w:val="000000"/>
          <w:lang w:val="en-US" w:eastAsia="en-AU"/>
        </w:rPr>
        <w:t>A relevant employer must have a workplace program for each</w:t>
      </w:r>
      <w:r w:rsidRPr="00C77D7A">
        <w:rPr>
          <w:rFonts w:ascii="Arial Narrow" w:eastAsia="Times New Roman" w:hAnsi="Arial Narrow" w:cs="Arial"/>
          <w:color w:val="000000"/>
          <w:lang w:val="en-US" w:eastAsia="en-AU"/>
        </w:rPr>
        <w:t> </w:t>
      </w:r>
      <w:r w:rsidRPr="005E5ECB">
        <w:rPr>
          <w:rFonts w:ascii="Arial Narrow" w:eastAsia="Times New Roman" w:hAnsi="Arial Narrow" w:cs="Arial"/>
          <w:b/>
          <w:bCs/>
          <w:i/>
          <w:iCs/>
          <w:color w:val="000000"/>
          <w:lang w:val="en-US" w:eastAsia="en-AU"/>
        </w:rPr>
        <w:t>reporting period</w:t>
      </w:r>
      <w:r w:rsidRPr="00C77D7A">
        <w:rPr>
          <w:rFonts w:ascii="Arial Narrow" w:eastAsia="Times New Roman" w:hAnsi="Arial Narrow" w:cs="Arial"/>
          <w:color w:val="000000"/>
          <w:lang w:val="en-US" w:eastAsia="en-AU"/>
        </w:rPr>
        <w:t> </w:t>
      </w:r>
      <w:r w:rsidRPr="005E5ECB">
        <w:rPr>
          <w:rFonts w:ascii="Arial Narrow" w:eastAsia="Times New Roman" w:hAnsi="Arial Narrow" w:cs="Arial"/>
          <w:color w:val="000000"/>
          <w:lang w:val="en-US" w:eastAsia="en-AU"/>
        </w:rPr>
        <w:t>(a 12-month period from 1 April to 31 March).  Reports are due to the Agency by 31 May of each year (see section 13B).</w:t>
      </w:r>
    </w:p>
    <w:p w:rsidR="00C77D7A" w:rsidRPr="005E5ECB" w:rsidRDefault="00C77D7A" w:rsidP="00C77D7A">
      <w:pPr>
        <w:shd w:val="clear" w:color="auto" w:fill="FFFFFF"/>
        <w:spacing w:after="0" w:line="260" w:lineRule="atLeast"/>
        <w:ind w:left="720"/>
        <w:jc w:val="both"/>
        <w:rPr>
          <w:rFonts w:ascii="Arial Narrow" w:eastAsia="Times New Roman" w:hAnsi="Arial Narrow" w:cs="Times New Roman"/>
          <w:color w:val="444444"/>
          <w:lang w:eastAsia="en-AU"/>
        </w:rPr>
      </w:pPr>
      <w:r w:rsidRPr="005E5ECB">
        <w:rPr>
          <w:rFonts w:ascii="Arial Narrow" w:eastAsia="Times New Roman" w:hAnsi="Arial Narrow" w:cs="Arial"/>
          <w:color w:val="000000"/>
          <w:lang w:val="en-US" w:eastAsia="en-AU"/>
        </w:rPr>
        <w:t>Under subsection 13(1), a relevant employer must prepare, in respect of each reporting period, a public report in writing about the outcomes of the employer’s workplace program.  The public report must:</w:t>
      </w:r>
    </w:p>
    <w:p w:rsidR="00C77D7A" w:rsidRPr="00C77D7A" w:rsidRDefault="00C77D7A" w:rsidP="00C77D7A">
      <w:pPr>
        <w:pStyle w:val="ListParagraph"/>
        <w:numPr>
          <w:ilvl w:val="0"/>
          <w:numId w:val="18"/>
        </w:numPr>
        <w:shd w:val="clear" w:color="auto" w:fill="FFFFFF"/>
        <w:spacing w:after="0" w:line="260" w:lineRule="atLeast"/>
        <w:ind w:left="1440"/>
        <w:jc w:val="both"/>
        <w:rPr>
          <w:rFonts w:ascii="Arial Narrow" w:eastAsia="Times New Roman" w:hAnsi="Arial Narrow" w:cs="Times New Roman"/>
          <w:color w:val="444444"/>
          <w:lang w:eastAsia="en-AU"/>
        </w:rPr>
      </w:pPr>
      <w:r w:rsidRPr="00C77D7A">
        <w:rPr>
          <w:rFonts w:ascii="Arial Narrow" w:eastAsia="Times New Roman" w:hAnsi="Arial Narrow" w:cs="Arial"/>
          <w:color w:val="000000"/>
          <w:lang w:eastAsia="en-AU"/>
        </w:rPr>
        <w:t>set out the workplace profile;</w:t>
      </w:r>
    </w:p>
    <w:p w:rsidR="00C77D7A" w:rsidRPr="00C77D7A" w:rsidRDefault="00C77D7A" w:rsidP="00C77D7A">
      <w:pPr>
        <w:pStyle w:val="ListParagraph"/>
        <w:numPr>
          <w:ilvl w:val="0"/>
          <w:numId w:val="18"/>
        </w:numPr>
        <w:shd w:val="clear" w:color="auto" w:fill="FFFFFF"/>
        <w:spacing w:after="0" w:line="260" w:lineRule="atLeast"/>
        <w:ind w:left="1440"/>
        <w:jc w:val="both"/>
        <w:rPr>
          <w:rFonts w:ascii="Arial Narrow" w:eastAsia="Times New Roman" w:hAnsi="Arial Narrow" w:cs="Times New Roman"/>
          <w:color w:val="444444"/>
          <w:lang w:eastAsia="en-AU"/>
        </w:rPr>
      </w:pPr>
      <w:r w:rsidRPr="00C77D7A">
        <w:rPr>
          <w:rFonts w:ascii="Arial Narrow" w:eastAsia="Times New Roman" w:hAnsi="Arial Narrow" w:cs="Arial"/>
          <w:color w:val="000000"/>
          <w:lang w:eastAsia="en-AU"/>
        </w:rPr>
        <w:t>describe the employer’s analysis of the issues in the employer’s workplace relating to equal opportunity for women; </w:t>
      </w:r>
    </w:p>
    <w:p w:rsidR="00C77D7A" w:rsidRPr="00C77D7A" w:rsidRDefault="00C77D7A" w:rsidP="00C77D7A">
      <w:pPr>
        <w:pStyle w:val="ListParagraph"/>
        <w:numPr>
          <w:ilvl w:val="0"/>
          <w:numId w:val="18"/>
        </w:numPr>
        <w:shd w:val="clear" w:color="auto" w:fill="FFFFFF"/>
        <w:spacing w:after="0" w:line="260" w:lineRule="atLeast"/>
        <w:ind w:left="1440"/>
        <w:jc w:val="both"/>
        <w:rPr>
          <w:rFonts w:ascii="Arial Narrow" w:eastAsia="Times New Roman" w:hAnsi="Arial Narrow" w:cs="Arial"/>
          <w:color w:val="000000"/>
          <w:lang w:eastAsia="en-AU"/>
        </w:rPr>
      </w:pPr>
      <w:r w:rsidRPr="00C77D7A">
        <w:rPr>
          <w:rFonts w:ascii="Arial Narrow" w:eastAsia="Times New Roman" w:hAnsi="Arial Narrow" w:cs="Arial"/>
          <w:color w:val="000000"/>
          <w:lang w:eastAsia="en-AU"/>
        </w:rPr>
        <w:t>describe the actions taken by the employer during the reporting period to address the priority issues identified in the analysis; and</w:t>
      </w:r>
    </w:p>
    <w:p w:rsidR="00C77D7A" w:rsidRPr="00C77D7A" w:rsidRDefault="00C77D7A" w:rsidP="00C77D7A">
      <w:pPr>
        <w:pStyle w:val="ListParagraph"/>
        <w:numPr>
          <w:ilvl w:val="0"/>
          <w:numId w:val="18"/>
        </w:numPr>
        <w:shd w:val="clear" w:color="auto" w:fill="FFFFFF"/>
        <w:spacing w:after="0" w:line="260" w:lineRule="atLeast"/>
        <w:ind w:left="1440"/>
        <w:jc w:val="both"/>
        <w:rPr>
          <w:rFonts w:ascii="Arial Narrow" w:eastAsia="Times New Roman" w:hAnsi="Arial Narrow" w:cs="Times New Roman"/>
          <w:color w:val="444444"/>
          <w:lang w:eastAsia="en-AU"/>
        </w:rPr>
      </w:pPr>
      <w:r w:rsidRPr="00C77D7A">
        <w:rPr>
          <w:rFonts w:ascii="Arial Narrow" w:eastAsia="Times New Roman" w:hAnsi="Arial Narrow" w:cs="Arial"/>
          <w:color w:val="000000"/>
          <w:lang w:eastAsia="en-AU"/>
        </w:rPr>
        <w:t>describe the actions that the employer plans to take in the next reporting period to address the issues relating to employment matters that the employer would need to address to achieve equal opportunity for women in the workplace.</w:t>
      </w:r>
    </w:p>
    <w:p w:rsidR="00C77D7A" w:rsidRPr="00C77D7A" w:rsidRDefault="00C77D7A" w:rsidP="00C77D7A">
      <w:pPr>
        <w:shd w:val="clear" w:color="auto" w:fill="FFFFFF"/>
        <w:spacing w:after="0" w:line="260" w:lineRule="atLeast"/>
        <w:ind w:left="720"/>
        <w:jc w:val="both"/>
        <w:rPr>
          <w:rFonts w:ascii="Arial Narrow" w:eastAsia="Times New Roman" w:hAnsi="Arial Narrow" w:cs="Arial"/>
          <w:color w:val="000000"/>
          <w:lang w:eastAsia="en-AU"/>
        </w:rPr>
      </w:pPr>
    </w:p>
    <w:p w:rsidR="00C77D7A" w:rsidRPr="005E5ECB" w:rsidRDefault="00C77D7A" w:rsidP="00C77D7A">
      <w:pPr>
        <w:shd w:val="clear" w:color="auto" w:fill="FFFFFF"/>
        <w:spacing w:after="0" w:line="260" w:lineRule="atLeast"/>
        <w:ind w:left="720"/>
        <w:jc w:val="both"/>
        <w:rPr>
          <w:rFonts w:ascii="Arial Narrow" w:eastAsia="Times New Roman" w:hAnsi="Arial Narrow" w:cs="Times New Roman"/>
          <w:color w:val="444444"/>
          <w:lang w:eastAsia="en-AU"/>
        </w:rPr>
      </w:pPr>
      <w:r w:rsidRPr="005E5ECB">
        <w:rPr>
          <w:rFonts w:ascii="Arial Narrow" w:eastAsia="Times New Roman" w:hAnsi="Arial Narrow" w:cs="Arial"/>
          <w:color w:val="000000"/>
          <w:lang w:eastAsia="en-AU"/>
        </w:rPr>
        <w:t>From the reporting period commencing on 1 April 2013, a relevant employer must prepare and lodge a public report containing information relating to the employer and to the gender equality indicators.  The Minister must by legislative instrument, specify matters in relation to each gender equality indicator.  The public report must contain details of the matters specified in the instrument made by the Minister.</w:t>
      </w:r>
    </w:p>
    <w:p w:rsidR="00C77D7A" w:rsidRPr="005E5ECB" w:rsidRDefault="00C77D7A" w:rsidP="00C77D7A">
      <w:pPr>
        <w:shd w:val="clear" w:color="auto" w:fill="FFFFFF"/>
        <w:spacing w:after="0" w:line="260" w:lineRule="atLeast"/>
        <w:ind w:left="720"/>
        <w:jc w:val="both"/>
        <w:rPr>
          <w:rFonts w:ascii="Arial Narrow" w:eastAsia="Times New Roman" w:hAnsi="Arial Narrow" w:cs="Times New Roman"/>
          <w:color w:val="444444"/>
          <w:lang w:eastAsia="en-AU"/>
        </w:rPr>
      </w:pPr>
    </w:p>
    <w:p w:rsidR="00C77D7A" w:rsidRPr="005E5ECB" w:rsidRDefault="00C77D7A" w:rsidP="00C77D7A">
      <w:pPr>
        <w:shd w:val="clear" w:color="auto" w:fill="FFFFFF"/>
        <w:spacing w:after="0" w:line="260" w:lineRule="atLeast"/>
        <w:ind w:left="720"/>
        <w:jc w:val="both"/>
        <w:rPr>
          <w:rFonts w:ascii="Arial Narrow" w:eastAsia="Times New Roman" w:hAnsi="Arial Narrow" w:cs="Times New Roman"/>
          <w:color w:val="444444"/>
          <w:lang w:eastAsia="en-AU"/>
        </w:rPr>
      </w:pPr>
      <w:r w:rsidRPr="005E5ECB">
        <w:rPr>
          <w:rFonts w:ascii="Arial Narrow" w:eastAsia="Times New Roman" w:hAnsi="Arial Narrow" w:cs="Arial"/>
          <w:color w:val="000000"/>
          <w:lang w:eastAsia="en-AU"/>
        </w:rPr>
        <w:t>The gender equality indicators that a relevant employer must report on are:  </w:t>
      </w:r>
    </w:p>
    <w:p w:rsidR="00C77D7A" w:rsidRPr="00C77D7A" w:rsidRDefault="00C77D7A" w:rsidP="00C77D7A">
      <w:pPr>
        <w:pStyle w:val="ListParagraph"/>
        <w:numPr>
          <w:ilvl w:val="0"/>
          <w:numId w:val="17"/>
        </w:numPr>
        <w:shd w:val="clear" w:color="auto" w:fill="FFFFFF"/>
        <w:spacing w:after="240" w:line="260" w:lineRule="atLeast"/>
        <w:ind w:left="1797"/>
        <w:jc w:val="both"/>
        <w:rPr>
          <w:rFonts w:ascii="Arial Narrow" w:eastAsia="Times New Roman" w:hAnsi="Arial Narrow" w:cs="Times New Roman"/>
          <w:color w:val="444444"/>
          <w:lang w:eastAsia="en-AU"/>
        </w:rPr>
      </w:pPr>
      <w:r w:rsidRPr="00C77D7A">
        <w:rPr>
          <w:rFonts w:ascii="Arial Narrow" w:eastAsia="Times New Roman" w:hAnsi="Arial Narrow" w:cs="Arial"/>
          <w:color w:val="000000"/>
          <w:lang w:eastAsia="en-AU"/>
        </w:rPr>
        <w:t>gender composition of the workforce; </w:t>
      </w:r>
    </w:p>
    <w:p w:rsidR="00C77D7A" w:rsidRPr="00C77D7A" w:rsidRDefault="00C77D7A" w:rsidP="00C77D7A">
      <w:pPr>
        <w:pStyle w:val="ListParagraph"/>
        <w:numPr>
          <w:ilvl w:val="0"/>
          <w:numId w:val="17"/>
        </w:numPr>
        <w:shd w:val="clear" w:color="auto" w:fill="FFFFFF"/>
        <w:spacing w:after="240" w:line="260" w:lineRule="atLeast"/>
        <w:ind w:left="1797"/>
        <w:jc w:val="both"/>
        <w:rPr>
          <w:rFonts w:ascii="Arial Narrow" w:eastAsia="Times New Roman" w:hAnsi="Arial Narrow" w:cs="Times New Roman"/>
          <w:color w:val="444444"/>
          <w:lang w:eastAsia="en-AU"/>
        </w:rPr>
      </w:pPr>
      <w:r w:rsidRPr="00C77D7A">
        <w:rPr>
          <w:rFonts w:ascii="Arial Narrow" w:eastAsia="Times New Roman" w:hAnsi="Arial Narrow" w:cs="Arial"/>
          <w:color w:val="000000"/>
          <w:lang w:eastAsia="en-AU"/>
        </w:rPr>
        <w:t>gender composition of governing bodies of relevant employers; </w:t>
      </w:r>
    </w:p>
    <w:p w:rsidR="00C77D7A" w:rsidRPr="00C77D7A" w:rsidRDefault="00C77D7A" w:rsidP="00C77D7A">
      <w:pPr>
        <w:pStyle w:val="ListParagraph"/>
        <w:numPr>
          <w:ilvl w:val="0"/>
          <w:numId w:val="17"/>
        </w:numPr>
        <w:shd w:val="clear" w:color="auto" w:fill="FFFFFF"/>
        <w:spacing w:after="240" w:line="260" w:lineRule="atLeast"/>
        <w:ind w:left="1797"/>
        <w:jc w:val="both"/>
        <w:rPr>
          <w:rFonts w:ascii="Arial Narrow" w:eastAsia="Times New Roman" w:hAnsi="Arial Narrow" w:cs="Times New Roman"/>
          <w:color w:val="444444"/>
          <w:lang w:eastAsia="en-AU"/>
        </w:rPr>
      </w:pPr>
      <w:r w:rsidRPr="00C77D7A">
        <w:rPr>
          <w:rFonts w:ascii="Arial Narrow" w:eastAsia="Times New Roman" w:hAnsi="Arial Narrow" w:cs="Arial"/>
          <w:color w:val="000000"/>
          <w:lang w:eastAsia="en-AU"/>
        </w:rPr>
        <w:t>equal remuneration between women and men; </w:t>
      </w:r>
    </w:p>
    <w:p w:rsidR="00C77D7A" w:rsidRPr="00C77D7A" w:rsidRDefault="00C77D7A" w:rsidP="00C77D7A">
      <w:pPr>
        <w:pStyle w:val="ListParagraph"/>
        <w:numPr>
          <w:ilvl w:val="0"/>
          <w:numId w:val="17"/>
        </w:numPr>
        <w:shd w:val="clear" w:color="auto" w:fill="FFFFFF"/>
        <w:spacing w:after="240" w:line="260" w:lineRule="atLeast"/>
        <w:ind w:left="1797"/>
        <w:jc w:val="both"/>
        <w:rPr>
          <w:rFonts w:ascii="Arial Narrow" w:eastAsia="Times New Roman" w:hAnsi="Arial Narrow" w:cs="Times New Roman"/>
          <w:color w:val="444444"/>
          <w:lang w:eastAsia="en-AU"/>
        </w:rPr>
      </w:pPr>
      <w:r w:rsidRPr="00C77D7A">
        <w:rPr>
          <w:rFonts w:ascii="Arial Narrow" w:eastAsia="Times New Roman" w:hAnsi="Arial Narrow" w:cs="Arial"/>
          <w:color w:val="000000"/>
          <w:lang w:eastAsia="en-AU"/>
        </w:rPr>
        <w:t>availability and utility of employment terms, conditions and practices relating to flexible working arrangements for employees and to working arrangements supporting employees with family or caring responsibilities; </w:t>
      </w:r>
    </w:p>
    <w:p w:rsidR="00F34701" w:rsidRPr="00F34701" w:rsidRDefault="00C77D7A" w:rsidP="00F34701">
      <w:pPr>
        <w:pStyle w:val="ListParagraph"/>
        <w:numPr>
          <w:ilvl w:val="1"/>
          <w:numId w:val="19"/>
        </w:numPr>
        <w:shd w:val="clear" w:color="auto" w:fill="FFFFFF"/>
        <w:spacing w:after="240" w:line="260" w:lineRule="atLeast"/>
        <w:jc w:val="both"/>
        <w:rPr>
          <w:rFonts w:ascii="Arial Narrow" w:eastAsia="Times New Roman" w:hAnsi="Arial Narrow" w:cs="Times New Roman"/>
          <w:color w:val="444444"/>
          <w:lang w:eastAsia="en-AU"/>
        </w:rPr>
      </w:pPr>
      <w:r w:rsidRPr="00F34701">
        <w:rPr>
          <w:rFonts w:ascii="Arial Narrow" w:eastAsia="Times New Roman" w:hAnsi="Arial Narrow" w:cs="Arial"/>
          <w:color w:val="000000"/>
          <w:lang w:eastAsia="en-AU"/>
        </w:rPr>
        <w:t>consultation with employees on issues concerning gender equality in the workplace; and</w:t>
      </w:r>
    </w:p>
    <w:p w:rsidR="00F90F0A" w:rsidRPr="00F90F0A" w:rsidRDefault="00C77D7A" w:rsidP="00F90F0A">
      <w:pPr>
        <w:pStyle w:val="ListParagraph"/>
        <w:numPr>
          <w:ilvl w:val="1"/>
          <w:numId w:val="19"/>
        </w:numPr>
        <w:shd w:val="clear" w:color="auto" w:fill="FFFFFF"/>
        <w:spacing w:after="0" w:line="260" w:lineRule="atLeast"/>
        <w:jc w:val="both"/>
        <w:rPr>
          <w:rFonts w:ascii="Arial Narrow" w:eastAsia="Times New Roman" w:hAnsi="Arial Narrow" w:cs="Times New Roman"/>
          <w:color w:val="444444"/>
          <w:lang w:eastAsia="en-AU"/>
        </w:rPr>
      </w:pPr>
      <w:r w:rsidRPr="00F34701">
        <w:rPr>
          <w:rFonts w:ascii="Arial Narrow" w:eastAsia="Times New Roman" w:hAnsi="Arial Narrow" w:cs="Arial"/>
          <w:color w:val="000000"/>
          <w:lang w:eastAsia="en-AU"/>
        </w:rPr>
        <w:t>any other matters specified in an instrument made by the Minister. </w:t>
      </w:r>
    </w:p>
    <w:p w:rsidR="00C77D7A" w:rsidRPr="00F90F0A" w:rsidRDefault="00F34701" w:rsidP="00F90F0A">
      <w:pPr>
        <w:shd w:val="clear" w:color="auto" w:fill="FFFFFF"/>
        <w:spacing w:after="0" w:line="260" w:lineRule="atLeast"/>
        <w:ind w:left="1437"/>
        <w:jc w:val="both"/>
        <w:rPr>
          <w:rFonts w:ascii="Arial Narrow" w:eastAsia="Times New Roman" w:hAnsi="Arial Narrow" w:cs="Times New Roman"/>
          <w:color w:val="444444"/>
          <w:lang w:eastAsia="en-AU"/>
        </w:rPr>
      </w:pPr>
      <w:r w:rsidRPr="00F90F0A">
        <w:rPr>
          <w:rFonts w:ascii="Arial Narrow" w:hAnsi="Arial Narrow"/>
        </w:rPr>
        <w:t xml:space="preserve">(Explanatory Memorandum, </w:t>
      </w:r>
      <w:r w:rsidRPr="00F90F0A">
        <w:rPr>
          <w:rFonts w:ascii="Arial Narrow" w:hAnsi="Arial Narrow" w:cs="Arial"/>
          <w:i/>
        </w:rPr>
        <w:t>Workplace Gender Equality Act 2012</w:t>
      </w:r>
      <w:r w:rsidRPr="00F90F0A">
        <w:rPr>
          <w:rFonts w:ascii="Arial Narrow" w:hAnsi="Arial Narrow" w:cs="Arial"/>
        </w:rPr>
        <w:t>)</w:t>
      </w:r>
    </w:p>
    <w:p w:rsidR="00F34701" w:rsidRDefault="00F34701" w:rsidP="007F4EF1">
      <w:pPr>
        <w:spacing w:after="0"/>
        <w:rPr>
          <w:rFonts w:ascii="Arial Narrow" w:hAnsi="Arial Narrow"/>
        </w:rPr>
      </w:pPr>
    </w:p>
    <w:p w:rsidR="001E21D3" w:rsidRPr="00036E54" w:rsidRDefault="00E1245A" w:rsidP="007F4EF1">
      <w:pPr>
        <w:spacing w:after="0"/>
        <w:rPr>
          <w:rFonts w:ascii="Arial Narrow" w:hAnsi="Arial Narrow"/>
        </w:rPr>
      </w:pPr>
      <w:r w:rsidRPr="00036E54">
        <w:rPr>
          <w:rFonts w:ascii="Arial Narrow" w:hAnsi="Arial Narrow"/>
        </w:rPr>
        <w:t>I agree with this proposal. As significantly</w:t>
      </w:r>
      <w:r w:rsidR="00F34701">
        <w:rPr>
          <w:rFonts w:ascii="Arial Narrow" w:hAnsi="Arial Narrow"/>
        </w:rPr>
        <w:t xml:space="preserve"> though</w:t>
      </w:r>
      <w:r w:rsidRPr="00036E54">
        <w:rPr>
          <w:rFonts w:ascii="Arial Narrow" w:hAnsi="Arial Narrow"/>
        </w:rPr>
        <w:t>, a meaningful understanding of the gender gap need to clearly spell out diversity as an important attribute in understanding the workforce</w:t>
      </w:r>
      <w:r w:rsidR="006122E3" w:rsidRPr="00036E54">
        <w:rPr>
          <w:rFonts w:ascii="Arial Narrow" w:hAnsi="Arial Narrow"/>
        </w:rPr>
        <w:t xml:space="preserve"> profile</w:t>
      </w:r>
      <w:r w:rsidRPr="00036E54">
        <w:rPr>
          <w:rFonts w:ascii="Arial Narrow" w:hAnsi="Arial Narrow"/>
        </w:rPr>
        <w:t xml:space="preserve">, </w:t>
      </w:r>
      <w:r w:rsidR="006122E3" w:rsidRPr="00036E54">
        <w:rPr>
          <w:rFonts w:ascii="Arial Narrow" w:hAnsi="Arial Narrow"/>
        </w:rPr>
        <w:t xml:space="preserve">productive diversity, </w:t>
      </w:r>
      <w:r w:rsidRPr="00036E54">
        <w:rPr>
          <w:rFonts w:ascii="Arial Narrow" w:hAnsi="Arial Narrow"/>
        </w:rPr>
        <w:t>and</w:t>
      </w:r>
      <w:r w:rsidR="006122E3" w:rsidRPr="00036E54">
        <w:rPr>
          <w:rFonts w:ascii="Arial Narrow" w:hAnsi="Arial Narrow"/>
        </w:rPr>
        <w:t xml:space="preserve"> also</w:t>
      </w:r>
      <w:r w:rsidRPr="00036E54">
        <w:rPr>
          <w:rFonts w:ascii="Arial Narrow" w:hAnsi="Arial Narrow"/>
        </w:rPr>
        <w:t xml:space="preserve"> in terms of ensuring Australia maintains </w:t>
      </w:r>
      <w:r w:rsidR="006122E3" w:rsidRPr="00036E54">
        <w:rPr>
          <w:rFonts w:ascii="Arial Narrow" w:hAnsi="Arial Narrow"/>
        </w:rPr>
        <w:t>a</w:t>
      </w:r>
      <w:r w:rsidRPr="00036E54">
        <w:rPr>
          <w:rFonts w:ascii="Arial Narrow" w:hAnsi="Arial Narrow"/>
        </w:rPr>
        <w:t xml:space="preserve"> productiv</w:t>
      </w:r>
      <w:r w:rsidR="006122E3" w:rsidRPr="00036E54">
        <w:rPr>
          <w:rFonts w:ascii="Arial Narrow" w:hAnsi="Arial Narrow"/>
        </w:rPr>
        <w:t>e and innovative edge</w:t>
      </w:r>
      <w:r w:rsidRPr="00036E54">
        <w:rPr>
          <w:rFonts w:ascii="Arial Narrow" w:hAnsi="Arial Narrow"/>
        </w:rPr>
        <w:t xml:space="preserve">. </w:t>
      </w:r>
      <w:r w:rsidR="00F34701">
        <w:rPr>
          <w:rFonts w:ascii="Arial Narrow" w:hAnsi="Arial Narrow"/>
        </w:rPr>
        <w:t>M</w:t>
      </w:r>
      <w:r w:rsidR="001E7C86" w:rsidRPr="00036E54">
        <w:rPr>
          <w:rFonts w:ascii="Arial Narrow" w:hAnsi="Arial Narrow"/>
        </w:rPr>
        <w:t>igrant women especially from</w:t>
      </w:r>
      <w:r w:rsidR="00CA1153" w:rsidRPr="00036E54">
        <w:rPr>
          <w:rFonts w:ascii="Arial Narrow" w:hAnsi="Arial Narrow"/>
        </w:rPr>
        <w:t xml:space="preserve"> new emerging communities</w:t>
      </w:r>
      <w:r w:rsidR="001E7C86" w:rsidRPr="00036E54">
        <w:rPr>
          <w:rFonts w:ascii="Arial Narrow" w:hAnsi="Arial Narrow"/>
        </w:rPr>
        <w:t xml:space="preserve"> </w:t>
      </w:r>
      <w:r w:rsidR="00F34701">
        <w:rPr>
          <w:rFonts w:ascii="Arial Narrow" w:hAnsi="Arial Narrow"/>
        </w:rPr>
        <w:t>tend not fare</w:t>
      </w:r>
      <w:r w:rsidR="001E7C86" w:rsidRPr="00036E54">
        <w:rPr>
          <w:rFonts w:ascii="Arial Narrow" w:hAnsi="Arial Narrow"/>
        </w:rPr>
        <w:t xml:space="preserve"> equitably</w:t>
      </w:r>
      <w:r w:rsidR="00F34701">
        <w:rPr>
          <w:rFonts w:ascii="Arial Narrow" w:hAnsi="Arial Narrow"/>
        </w:rPr>
        <w:t xml:space="preserve"> – I suspect there is enough evidence to bear this out</w:t>
      </w:r>
      <w:r w:rsidR="001E7C86" w:rsidRPr="00036E54">
        <w:rPr>
          <w:rFonts w:ascii="Arial Narrow" w:hAnsi="Arial Narrow"/>
        </w:rPr>
        <w:t>. This has been clearly demonstrated through various reports</w:t>
      </w:r>
      <w:r w:rsidR="00BF295E" w:rsidRPr="00036E54">
        <w:rPr>
          <w:rFonts w:ascii="Arial Narrow" w:hAnsi="Arial Narrow"/>
        </w:rPr>
        <w:t xml:space="preserve"> and</w:t>
      </w:r>
      <w:r w:rsidR="001E7C86" w:rsidRPr="00036E54">
        <w:rPr>
          <w:rFonts w:ascii="Arial Narrow" w:hAnsi="Arial Narrow"/>
        </w:rPr>
        <w:t xml:space="preserve"> consultations involving for example Australian-Asian women, and in recent times African-Australians</w:t>
      </w:r>
      <w:r w:rsidR="00BF295E" w:rsidRPr="00036E54">
        <w:rPr>
          <w:rFonts w:ascii="Arial Narrow" w:hAnsi="Arial Narrow"/>
        </w:rPr>
        <w:t>. As the government will be aware, in recent years</w:t>
      </w:r>
      <w:r w:rsidR="001E21D3" w:rsidRPr="00036E54">
        <w:rPr>
          <w:rFonts w:ascii="Arial Narrow" w:hAnsi="Arial Narrow"/>
        </w:rPr>
        <w:t xml:space="preserve"> the Human Rights Commission (2009) has paid some attention to the needs of Africans settling Australia, the Commission notes that: </w:t>
      </w:r>
    </w:p>
    <w:p w:rsidR="00E1245A" w:rsidRPr="00036E54" w:rsidRDefault="001E21D3" w:rsidP="00EF0F6A">
      <w:pPr>
        <w:spacing w:after="0"/>
        <w:ind w:left="360"/>
        <w:rPr>
          <w:rFonts w:ascii="Arial Narrow" w:hAnsi="Arial Narrow"/>
          <w:sz w:val="20"/>
          <w:szCs w:val="20"/>
        </w:rPr>
      </w:pPr>
      <w:r w:rsidRPr="00036E54">
        <w:rPr>
          <w:rFonts w:ascii="Arial Narrow" w:hAnsi="Arial Narrow" w:cs="Arial"/>
          <w:color w:val="333333"/>
          <w:sz w:val="20"/>
          <w:szCs w:val="20"/>
          <w:shd w:val="clear" w:color="auto" w:fill="FFFFFF"/>
        </w:rPr>
        <w:t>meaningful employment is essential to successful settlement in Australia. African Australians come to Australia with considerable qualifications and experience and are eager to gain employment and contribute to their new home. However, the Report highlights that many face considerable barriers when they seek suitable work and training</w:t>
      </w:r>
      <w:r w:rsidR="00F34701" w:rsidRPr="00F34701">
        <w:rPr>
          <w:rFonts w:ascii="Arial Narrow" w:hAnsi="Arial Narrow"/>
        </w:rPr>
        <w:t xml:space="preserve"> </w:t>
      </w:r>
      <w:r w:rsidR="00F34701">
        <w:rPr>
          <w:rFonts w:ascii="Arial Narrow" w:hAnsi="Arial Narrow"/>
        </w:rPr>
        <w:t>(</w:t>
      </w:r>
      <w:r w:rsidR="00F34701" w:rsidRPr="00036E54">
        <w:rPr>
          <w:rFonts w:ascii="Arial Narrow" w:hAnsi="Arial Narrow"/>
        </w:rPr>
        <w:t>Human Rights Commission</w:t>
      </w:r>
      <w:r w:rsidR="00F34701">
        <w:rPr>
          <w:rFonts w:ascii="Arial Narrow" w:hAnsi="Arial Narrow"/>
        </w:rPr>
        <w:t xml:space="preserve">, </w:t>
      </w:r>
      <w:r w:rsidR="00F34701" w:rsidRPr="00036E54">
        <w:rPr>
          <w:rFonts w:ascii="Arial Narrow" w:hAnsi="Arial Narrow"/>
        </w:rPr>
        <w:t>2009)</w:t>
      </w:r>
    </w:p>
    <w:p w:rsidR="00EF0F6A" w:rsidRPr="00036E54" w:rsidRDefault="00EF0F6A" w:rsidP="007F4EF1">
      <w:pPr>
        <w:spacing w:after="0"/>
        <w:rPr>
          <w:rFonts w:ascii="Arial Narrow" w:hAnsi="Arial Narrow"/>
        </w:rPr>
      </w:pPr>
    </w:p>
    <w:p w:rsidR="00A9415E" w:rsidRPr="00036E54" w:rsidRDefault="00EF0F6A" w:rsidP="0091333B">
      <w:pPr>
        <w:spacing w:after="0"/>
        <w:rPr>
          <w:rFonts w:ascii="Arial Narrow" w:hAnsi="Arial Narrow" w:cstheme="minorHAnsi"/>
        </w:rPr>
      </w:pPr>
      <w:r w:rsidRPr="00036E54">
        <w:rPr>
          <w:rFonts w:ascii="Arial Narrow" w:hAnsi="Arial Narrow"/>
        </w:rPr>
        <w:t xml:space="preserve">In my view, whilst employers try to do their bit, there are periods in history when </w:t>
      </w:r>
      <w:r w:rsidR="00F34701">
        <w:rPr>
          <w:rFonts w:ascii="Arial Narrow" w:hAnsi="Arial Narrow"/>
        </w:rPr>
        <w:t xml:space="preserve">institutional </w:t>
      </w:r>
      <w:r w:rsidRPr="00036E54">
        <w:rPr>
          <w:rFonts w:ascii="Arial Narrow" w:hAnsi="Arial Narrow"/>
        </w:rPr>
        <w:t>signals from higher levels of leaders</w:t>
      </w:r>
      <w:r w:rsidR="002B6A92" w:rsidRPr="00036E54">
        <w:rPr>
          <w:rFonts w:ascii="Arial Narrow" w:hAnsi="Arial Narrow"/>
        </w:rPr>
        <w:t>hip</w:t>
      </w:r>
      <w:r w:rsidRPr="00036E54">
        <w:rPr>
          <w:rFonts w:ascii="Arial Narrow" w:hAnsi="Arial Narrow"/>
        </w:rPr>
        <w:t xml:space="preserve"> </w:t>
      </w:r>
      <w:r w:rsidR="002B6A92" w:rsidRPr="00036E54">
        <w:rPr>
          <w:rFonts w:ascii="Arial Narrow" w:hAnsi="Arial Narrow"/>
        </w:rPr>
        <w:t xml:space="preserve">play an important part in shifting employment practices, leaning towards equitable practices </w:t>
      </w:r>
      <w:r w:rsidR="008623CB" w:rsidRPr="00036E54">
        <w:rPr>
          <w:rFonts w:ascii="Arial Narrow" w:hAnsi="Arial Narrow"/>
        </w:rPr>
        <w:t xml:space="preserve">that </w:t>
      </w:r>
      <w:r w:rsidR="00F34701">
        <w:rPr>
          <w:rFonts w:ascii="Arial Narrow" w:hAnsi="Arial Narrow"/>
        </w:rPr>
        <w:t xml:space="preserve">can </w:t>
      </w:r>
      <w:r w:rsidR="008623CB" w:rsidRPr="00036E54">
        <w:rPr>
          <w:rFonts w:ascii="Arial Narrow" w:hAnsi="Arial Narrow"/>
        </w:rPr>
        <w:t>still</w:t>
      </w:r>
      <w:r w:rsidR="002B6A92" w:rsidRPr="00036E54">
        <w:rPr>
          <w:rFonts w:ascii="Arial Narrow" w:hAnsi="Arial Narrow"/>
        </w:rPr>
        <w:t xml:space="preserve"> take account </w:t>
      </w:r>
      <w:r w:rsidR="008623CB" w:rsidRPr="00036E54">
        <w:rPr>
          <w:rFonts w:ascii="Arial Narrow" w:hAnsi="Arial Narrow"/>
        </w:rPr>
        <w:t xml:space="preserve">of </w:t>
      </w:r>
      <w:r w:rsidR="002B6A92" w:rsidRPr="00036E54">
        <w:rPr>
          <w:rFonts w:ascii="Arial Narrow" w:hAnsi="Arial Narrow"/>
        </w:rPr>
        <w:t>merit and productivity, whilst not remaining blind to the race dimension that can impact job progression and earnings.</w:t>
      </w:r>
      <w:r w:rsidRPr="00036E54">
        <w:rPr>
          <w:rFonts w:ascii="Arial Narrow" w:hAnsi="Arial Narrow"/>
        </w:rPr>
        <w:t xml:space="preserve"> </w:t>
      </w:r>
      <w:r w:rsidR="002B6A92" w:rsidRPr="00036E54">
        <w:rPr>
          <w:rFonts w:ascii="Arial Narrow" w:hAnsi="Arial Narrow"/>
        </w:rPr>
        <w:t xml:space="preserve">To this extent, it is important that indicators for gender equality also require progressively </w:t>
      </w:r>
      <w:r w:rsidR="00F34701">
        <w:rPr>
          <w:rFonts w:ascii="Arial Narrow" w:hAnsi="Arial Narrow"/>
        </w:rPr>
        <w:t>demonstration of</w:t>
      </w:r>
      <w:r w:rsidR="002B6A92" w:rsidRPr="00036E54">
        <w:rPr>
          <w:rFonts w:ascii="Arial Narrow" w:hAnsi="Arial Narrow"/>
        </w:rPr>
        <w:t xml:space="preserve"> some measure</w:t>
      </w:r>
      <w:r w:rsidR="008623CB" w:rsidRPr="00036E54">
        <w:rPr>
          <w:rFonts w:ascii="Arial Narrow" w:hAnsi="Arial Narrow"/>
        </w:rPr>
        <w:t>s</w:t>
      </w:r>
      <w:r w:rsidR="002B6A92" w:rsidRPr="00036E54">
        <w:rPr>
          <w:rFonts w:ascii="Arial Narrow" w:hAnsi="Arial Narrow"/>
        </w:rPr>
        <w:t xml:space="preserve"> of diversity in the workforce</w:t>
      </w:r>
      <w:r w:rsidR="008623CB" w:rsidRPr="00036E54">
        <w:rPr>
          <w:rFonts w:ascii="Arial Narrow" w:hAnsi="Arial Narrow"/>
        </w:rPr>
        <w:t>,</w:t>
      </w:r>
      <w:r w:rsidR="002B6A92" w:rsidRPr="00036E54">
        <w:rPr>
          <w:rFonts w:ascii="Arial Narrow" w:hAnsi="Arial Narrow"/>
        </w:rPr>
        <w:t xml:space="preserve"> and also in terms of staff earnings progression. Among other things, the government proposes that the Legislative Instrument </w:t>
      </w:r>
      <w:r w:rsidR="00A9415E" w:rsidRPr="00036E54">
        <w:rPr>
          <w:rFonts w:ascii="Arial Narrow" w:hAnsi="Arial Narrow" w:cstheme="minorHAnsi"/>
        </w:rPr>
        <w:t xml:space="preserve">will measure and </w:t>
      </w:r>
      <w:r w:rsidR="0091333B" w:rsidRPr="00036E54">
        <w:rPr>
          <w:rFonts w:ascii="Arial Narrow" w:hAnsi="Arial Narrow" w:cstheme="minorHAnsi"/>
        </w:rPr>
        <w:t>foster</w:t>
      </w:r>
      <w:r w:rsidR="00A9415E" w:rsidRPr="00036E54">
        <w:rPr>
          <w:rFonts w:ascii="Arial Narrow" w:hAnsi="Arial Narrow" w:cstheme="minorHAnsi"/>
        </w:rPr>
        <w:t xml:space="preserve"> progress towards </w:t>
      </w:r>
      <w:r w:rsidR="0091333B" w:rsidRPr="00036E54">
        <w:rPr>
          <w:rFonts w:ascii="Arial Narrow" w:hAnsi="Arial Narrow" w:cstheme="minorHAnsi"/>
        </w:rPr>
        <w:t>the following</w:t>
      </w:r>
      <w:r w:rsidR="00A9415E" w:rsidRPr="00036E54">
        <w:rPr>
          <w:rFonts w:ascii="Arial Narrow" w:hAnsi="Arial Narrow" w:cstheme="minorHAnsi"/>
        </w:rPr>
        <w:t xml:space="preserve"> outcomes:</w:t>
      </w:r>
    </w:p>
    <w:p w:rsidR="00A9415E" w:rsidRPr="00036E54" w:rsidRDefault="00A9415E" w:rsidP="0091333B">
      <w:pPr>
        <w:numPr>
          <w:ilvl w:val="0"/>
          <w:numId w:val="3"/>
        </w:numPr>
        <w:spacing w:after="0"/>
        <w:ind w:left="1080"/>
        <w:rPr>
          <w:rFonts w:ascii="Arial Narrow" w:hAnsi="Arial Narrow" w:cstheme="minorHAnsi"/>
          <w:sz w:val="18"/>
          <w:szCs w:val="18"/>
        </w:rPr>
      </w:pPr>
      <w:r w:rsidRPr="00036E54">
        <w:rPr>
          <w:rFonts w:ascii="Arial Narrow" w:hAnsi="Arial Narrow" w:cstheme="minorHAnsi"/>
          <w:sz w:val="18"/>
          <w:szCs w:val="18"/>
        </w:rPr>
        <w:t>To improve women’s workforce participation across Australia</w:t>
      </w:r>
    </w:p>
    <w:p w:rsidR="00A9415E" w:rsidRPr="00036E54" w:rsidRDefault="00A9415E" w:rsidP="0091333B">
      <w:pPr>
        <w:numPr>
          <w:ilvl w:val="0"/>
          <w:numId w:val="3"/>
        </w:numPr>
        <w:spacing w:after="0"/>
        <w:ind w:left="1080"/>
        <w:rPr>
          <w:rFonts w:ascii="Arial Narrow" w:hAnsi="Arial Narrow" w:cstheme="minorHAnsi"/>
          <w:sz w:val="18"/>
          <w:szCs w:val="18"/>
        </w:rPr>
      </w:pPr>
      <w:r w:rsidRPr="00036E54">
        <w:rPr>
          <w:rFonts w:ascii="Arial Narrow" w:hAnsi="Arial Narrow" w:cstheme="minorHAnsi"/>
          <w:sz w:val="18"/>
          <w:szCs w:val="18"/>
        </w:rPr>
        <w:t>To improve women’s representation in leaderships positions in workplaces and on governing bodies</w:t>
      </w:r>
    </w:p>
    <w:p w:rsidR="00A9415E" w:rsidRPr="00036E54" w:rsidRDefault="00A9415E" w:rsidP="0091333B">
      <w:pPr>
        <w:numPr>
          <w:ilvl w:val="0"/>
          <w:numId w:val="3"/>
        </w:numPr>
        <w:spacing w:after="0"/>
        <w:ind w:left="1080"/>
        <w:rPr>
          <w:rFonts w:ascii="Arial Narrow" w:hAnsi="Arial Narrow" w:cstheme="minorHAnsi"/>
          <w:sz w:val="18"/>
          <w:szCs w:val="18"/>
        </w:rPr>
      </w:pPr>
      <w:r w:rsidRPr="00036E54">
        <w:rPr>
          <w:rFonts w:ascii="Arial Narrow" w:hAnsi="Arial Narrow" w:cstheme="minorHAnsi"/>
          <w:sz w:val="18"/>
          <w:szCs w:val="18"/>
        </w:rPr>
        <w:t>To improve equal remuneration for work of equal value, between women and men</w:t>
      </w:r>
    </w:p>
    <w:p w:rsidR="00A9415E" w:rsidRPr="00036E54" w:rsidRDefault="00A9415E" w:rsidP="0091333B">
      <w:pPr>
        <w:numPr>
          <w:ilvl w:val="0"/>
          <w:numId w:val="3"/>
        </w:numPr>
        <w:spacing w:after="0"/>
        <w:ind w:left="1080"/>
        <w:rPr>
          <w:rFonts w:ascii="Arial Narrow" w:hAnsi="Arial Narrow" w:cstheme="minorHAnsi"/>
          <w:sz w:val="18"/>
          <w:szCs w:val="18"/>
        </w:rPr>
      </w:pPr>
      <w:r w:rsidRPr="00036E54">
        <w:rPr>
          <w:rFonts w:ascii="Arial Narrow" w:hAnsi="Arial Narrow" w:cstheme="minorHAnsi"/>
          <w:sz w:val="18"/>
          <w:szCs w:val="18"/>
        </w:rPr>
        <w:t>To increase flexible working for both women and men, particularly those with family or caring responsibilities</w:t>
      </w:r>
    </w:p>
    <w:p w:rsidR="00A9415E" w:rsidRPr="00036E54" w:rsidRDefault="00A9415E" w:rsidP="0091333B">
      <w:pPr>
        <w:numPr>
          <w:ilvl w:val="0"/>
          <w:numId w:val="3"/>
        </w:numPr>
        <w:spacing w:after="0"/>
        <w:ind w:left="1074" w:hanging="357"/>
        <w:rPr>
          <w:rFonts w:ascii="Arial Narrow" w:hAnsi="Arial Narrow" w:cstheme="minorHAnsi"/>
          <w:sz w:val="18"/>
          <w:szCs w:val="18"/>
        </w:rPr>
      </w:pPr>
      <w:r w:rsidRPr="00036E54">
        <w:rPr>
          <w:rFonts w:ascii="Arial Narrow" w:hAnsi="Arial Narrow" w:cstheme="minorHAnsi"/>
          <w:sz w:val="18"/>
          <w:szCs w:val="18"/>
        </w:rPr>
        <w:t>To promote employee and employer engagement on gender equality.</w:t>
      </w:r>
      <w:r w:rsidR="0091333B" w:rsidRPr="00036E54">
        <w:rPr>
          <w:rFonts w:ascii="Arial Narrow" w:hAnsi="Arial Narrow" w:cstheme="minorHAnsi"/>
          <w:sz w:val="18"/>
          <w:szCs w:val="18"/>
        </w:rPr>
        <w:t xml:space="preserve"> (Discussion Paper</w:t>
      </w:r>
      <w:r w:rsidR="00EC359B" w:rsidRPr="00036E54">
        <w:rPr>
          <w:rFonts w:ascii="Arial Narrow" w:hAnsi="Arial Narrow" w:cstheme="minorHAnsi"/>
          <w:sz w:val="18"/>
          <w:szCs w:val="18"/>
        </w:rPr>
        <w:t>, 2012</w:t>
      </w:r>
      <w:r w:rsidR="0091333B" w:rsidRPr="00036E54">
        <w:rPr>
          <w:rFonts w:ascii="Arial Narrow" w:hAnsi="Arial Narrow" w:cstheme="minorHAnsi"/>
          <w:sz w:val="18"/>
          <w:szCs w:val="18"/>
        </w:rPr>
        <w:t>)</w:t>
      </w:r>
    </w:p>
    <w:p w:rsidR="00D35025" w:rsidRPr="00036E54" w:rsidRDefault="00882F7C">
      <w:pPr>
        <w:rPr>
          <w:rFonts w:ascii="Arial Narrow" w:hAnsi="Arial Narrow"/>
        </w:rPr>
      </w:pPr>
      <w:r w:rsidRPr="00036E54">
        <w:rPr>
          <w:rFonts w:ascii="Arial Narrow" w:hAnsi="Arial Narrow"/>
        </w:rPr>
        <w:t>As already noted, these outcomes are the sort that most of us would agree with. However, if they are to be applicable to a significant section of the community, the questi</w:t>
      </w:r>
      <w:r w:rsidR="00A51B91">
        <w:rPr>
          <w:rFonts w:ascii="Arial Narrow" w:hAnsi="Arial Narrow"/>
        </w:rPr>
        <w:t>on of diversity in terms of at least cultural background</w:t>
      </w:r>
      <w:r w:rsidRPr="00036E54">
        <w:rPr>
          <w:rFonts w:ascii="Arial Narrow" w:hAnsi="Arial Narrow"/>
        </w:rPr>
        <w:t xml:space="preserve"> ought to be spelled out as there are many layers constituting how gender dis</w:t>
      </w:r>
      <w:r w:rsidR="00A51B91">
        <w:rPr>
          <w:rFonts w:ascii="Arial Narrow" w:hAnsi="Arial Narrow"/>
        </w:rPr>
        <w:t>advantage</w:t>
      </w:r>
      <w:r w:rsidRPr="00036E54">
        <w:rPr>
          <w:rFonts w:ascii="Arial Narrow" w:hAnsi="Arial Narrow"/>
        </w:rPr>
        <w:t xml:space="preserve"> is </w:t>
      </w:r>
      <w:r w:rsidR="008623CB" w:rsidRPr="00036E54">
        <w:rPr>
          <w:rFonts w:ascii="Arial Narrow" w:hAnsi="Arial Narrow"/>
        </w:rPr>
        <w:t xml:space="preserve">experienced. </w:t>
      </w:r>
      <w:r w:rsidR="00A51B91">
        <w:rPr>
          <w:rFonts w:ascii="Arial Narrow" w:hAnsi="Arial Narrow"/>
        </w:rPr>
        <w:t>As commonly acknowledged, t</w:t>
      </w:r>
      <w:r w:rsidR="008623CB" w:rsidRPr="00036E54">
        <w:rPr>
          <w:rFonts w:ascii="Arial Narrow" w:hAnsi="Arial Narrow"/>
        </w:rPr>
        <w:t>he r</w:t>
      </w:r>
      <w:r w:rsidRPr="00036E54">
        <w:rPr>
          <w:rFonts w:ascii="Arial Narrow" w:hAnsi="Arial Narrow"/>
        </w:rPr>
        <w:t>ace dimension</w:t>
      </w:r>
      <w:r w:rsidR="008623CB" w:rsidRPr="00036E54">
        <w:rPr>
          <w:rFonts w:ascii="Arial Narrow" w:hAnsi="Arial Narrow"/>
        </w:rPr>
        <w:t xml:space="preserve"> </w:t>
      </w:r>
      <w:r w:rsidR="00A51B91">
        <w:rPr>
          <w:rFonts w:ascii="Arial Narrow" w:hAnsi="Arial Narrow"/>
        </w:rPr>
        <w:t>remains a significant feature</w:t>
      </w:r>
      <w:r w:rsidR="008623CB" w:rsidRPr="00036E54">
        <w:rPr>
          <w:rFonts w:ascii="Arial Narrow" w:hAnsi="Arial Narrow"/>
        </w:rPr>
        <w:t xml:space="preserve"> in informing notions of gender analysis, and cannot be simply </w:t>
      </w:r>
      <w:r w:rsidRPr="00036E54">
        <w:rPr>
          <w:rFonts w:ascii="Arial Narrow" w:hAnsi="Arial Narrow"/>
        </w:rPr>
        <w:t>abstracted out of this dynamic.</w:t>
      </w:r>
    </w:p>
    <w:p w:rsidR="00297917" w:rsidRPr="00036E54" w:rsidRDefault="009A5BE2" w:rsidP="00B92973">
      <w:pPr>
        <w:pStyle w:val="Docheading1"/>
      </w:pPr>
      <w:r w:rsidRPr="00036E54">
        <w:t>Recommendations:</w:t>
      </w:r>
    </w:p>
    <w:p w:rsidR="00297917" w:rsidRPr="00036E54" w:rsidRDefault="00BA7B0C" w:rsidP="00297917">
      <w:pPr>
        <w:pStyle w:val="ListParagraph"/>
        <w:numPr>
          <w:ilvl w:val="0"/>
          <w:numId w:val="12"/>
        </w:numPr>
        <w:rPr>
          <w:rFonts w:ascii="Arial Narrow" w:hAnsi="Arial Narrow"/>
        </w:rPr>
      </w:pPr>
      <w:r w:rsidRPr="00036E54">
        <w:rPr>
          <w:rFonts w:ascii="Arial Narrow" w:hAnsi="Arial Narrow"/>
        </w:rPr>
        <w:t>Reporting should spell out diversity as an important attribute in understanding the workforce profile</w:t>
      </w:r>
    </w:p>
    <w:p w:rsidR="00BA7B0C" w:rsidRPr="00036E54" w:rsidRDefault="00BA7B0C" w:rsidP="00297917">
      <w:pPr>
        <w:pStyle w:val="ListParagraph"/>
        <w:numPr>
          <w:ilvl w:val="0"/>
          <w:numId w:val="12"/>
        </w:numPr>
        <w:rPr>
          <w:rFonts w:ascii="Arial Narrow" w:hAnsi="Arial Narrow"/>
        </w:rPr>
      </w:pPr>
      <w:r w:rsidRPr="00036E54">
        <w:rPr>
          <w:rFonts w:ascii="Arial Narrow" w:hAnsi="Arial Narrow"/>
        </w:rPr>
        <w:t xml:space="preserve">Measure for increased women’s representation in leadership positions need to attention to </w:t>
      </w:r>
      <w:r w:rsidR="00F77322" w:rsidRPr="00036E54">
        <w:rPr>
          <w:rFonts w:ascii="Arial Narrow" w:hAnsi="Arial Narrow"/>
        </w:rPr>
        <w:t>cultural backgrounds (i.e. include some indicators that over time would provide a picture of how emerging communities are faring)</w:t>
      </w:r>
    </w:p>
    <w:p w:rsidR="00297917" w:rsidRPr="00036E54" w:rsidRDefault="007E77F7" w:rsidP="00B92973">
      <w:pPr>
        <w:pStyle w:val="Docheading1"/>
      </w:pPr>
      <w:r w:rsidRPr="00036E54">
        <w:t xml:space="preserve">Federal </w:t>
      </w:r>
      <w:r w:rsidR="00297917" w:rsidRPr="00036E54">
        <w:t xml:space="preserve">Government Hiring Practices </w:t>
      </w:r>
      <w:r w:rsidRPr="00036E54">
        <w:t xml:space="preserve">and </w:t>
      </w:r>
      <w:r w:rsidR="00297917" w:rsidRPr="00036E54">
        <w:t xml:space="preserve">Bearing on </w:t>
      </w:r>
      <w:r w:rsidRPr="00036E54">
        <w:t>the Pay Gap</w:t>
      </w:r>
    </w:p>
    <w:p w:rsidR="00297917" w:rsidRPr="00036E54" w:rsidRDefault="00297917" w:rsidP="00297917">
      <w:pPr>
        <w:spacing w:after="0"/>
        <w:rPr>
          <w:rFonts w:ascii="Arial Narrow" w:hAnsi="Arial Narrow"/>
        </w:rPr>
      </w:pPr>
      <w:r w:rsidRPr="00036E54">
        <w:rPr>
          <w:rFonts w:ascii="Arial Narrow" w:hAnsi="Arial Narrow"/>
        </w:rPr>
        <w:t>It is worth recapping on one of the government proposals for “process indicators” which the government defines in its Discussion Paper/Explanatory Memorandum as:</w:t>
      </w:r>
    </w:p>
    <w:p w:rsidR="00297917" w:rsidRPr="00036E54" w:rsidRDefault="00297917" w:rsidP="00297917">
      <w:pPr>
        <w:spacing w:after="0"/>
        <w:ind w:left="714"/>
        <w:rPr>
          <w:rFonts w:ascii="Arial Narrow" w:hAnsi="Arial Narrow" w:cstheme="minorHAnsi"/>
          <w:sz w:val="18"/>
          <w:szCs w:val="18"/>
        </w:rPr>
      </w:pPr>
      <w:r w:rsidRPr="00036E54">
        <w:rPr>
          <w:rFonts w:ascii="Arial Narrow" w:hAnsi="Arial Narrow" w:cstheme="minorHAnsi"/>
          <w:sz w:val="18"/>
          <w:szCs w:val="18"/>
        </w:rPr>
        <w:t>Process indicators:  Information on the existence of certain conditions, practices or policies – for example, the availability of flex-time for employees.  This will enable employers compare their practices with those of other employers, particularly those who are making good progress towards gender equality.</w:t>
      </w:r>
    </w:p>
    <w:p w:rsidR="00297917" w:rsidRPr="00036E54" w:rsidRDefault="00297917" w:rsidP="00297917">
      <w:pPr>
        <w:spacing w:after="0"/>
        <w:rPr>
          <w:rFonts w:ascii="Arial Narrow" w:hAnsi="Arial Narrow"/>
        </w:rPr>
      </w:pPr>
    </w:p>
    <w:p w:rsidR="007E77F7" w:rsidRPr="00036E54" w:rsidRDefault="00297917" w:rsidP="00297917">
      <w:pPr>
        <w:rPr>
          <w:rFonts w:ascii="Arial Narrow" w:hAnsi="Arial Narrow"/>
        </w:rPr>
      </w:pPr>
      <w:r w:rsidRPr="00036E54">
        <w:rPr>
          <w:rFonts w:ascii="Arial Narrow" w:hAnsi="Arial Narrow"/>
        </w:rPr>
        <w:t xml:space="preserve">In some very substantial way the federal government uses private employment agencies to </w:t>
      </w:r>
      <w:r w:rsidR="007E77F7" w:rsidRPr="00036E54">
        <w:rPr>
          <w:rFonts w:ascii="Arial Narrow" w:hAnsi="Arial Narrow"/>
        </w:rPr>
        <w:t>hire</w:t>
      </w:r>
      <w:r w:rsidRPr="00036E54">
        <w:rPr>
          <w:rFonts w:ascii="Arial Narrow" w:hAnsi="Arial Narrow"/>
        </w:rPr>
        <w:t xml:space="preserve"> its workforce. It’s not as clear whether the government plans to subject these agencies or monitor/scrutinise their hiring practices/methods</w:t>
      </w:r>
      <w:r w:rsidR="007E77F7" w:rsidRPr="00036E54">
        <w:rPr>
          <w:rFonts w:ascii="Arial Narrow" w:hAnsi="Arial Narrow"/>
        </w:rPr>
        <w:t xml:space="preserve"> through the new </w:t>
      </w:r>
      <w:r w:rsidR="007E77F7" w:rsidRPr="00036E54">
        <w:rPr>
          <w:rFonts w:ascii="Arial Narrow" w:hAnsi="Arial Narrow"/>
          <w:i/>
        </w:rPr>
        <w:t>Workplace Gender Equality Act 2012</w:t>
      </w:r>
      <w:r w:rsidRPr="00036E54">
        <w:rPr>
          <w:rFonts w:ascii="Arial Narrow" w:hAnsi="Arial Narrow"/>
        </w:rPr>
        <w:t xml:space="preserve">. </w:t>
      </w:r>
      <w:r w:rsidR="007E77F7" w:rsidRPr="00036E54">
        <w:rPr>
          <w:rFonts w:ascii="Arial Narrow" w:hAnsi="Arial Narrow"/>
        </w:rPr>
        <w:t xml:space="preserve">The role that </w:t>
      </w:r>
      <w:r w:rsidR="003A6125" w:rsidRPr="00036E54">
        <w:rPr>
          <w:rFonts w:ascii="Arial Narrow" w:hAnsi="Arial Narrow"/>
        </w:rPr>
        <w:t xml:space="preserve">these </w:t>
      </w:r>
      <w:r w:rsidR="007E77F7" w:rsidRPr="00036E54">
        <w:rPr>
          <w:rFonts w:ascii="Arial Narrow" w:hAnsi="Arial Narrow"/>
        </w:rPr>
        <w:t>agencies play is</w:t>
      </w:r>
      <w:r w:rsidR="00331247">
        <w:rPr>
          <w:rFonts w:ascii="Arial Narrow" w:hAnsi="Arial Narrow"/>
        </w:rPr>
        <w:t xml:space="preserve"> an</w:t>
      </w:r>
      <w:r w:rsidR="007E77F7" w:rsidRPr="00036E54">
        <w:rPr>
          <w:rFonts w:ascii="Arial Narrow" w:hAnsi="Arial Narrow"/>
        </w:rPr>
        <w:t xml:space="preserve"> important </w:t>
      </w:r>
      <w:r w:rsidR="00331247">
        <w:rPr>
          <w:rFonts w:ascii="Arial Narrow" w:hAnsi="Arial Narrow"/>
        </w:rPr>
        <w:t xml:space="preserve">one, </w:t>
      </w:r>
      <w:r w:rsidR="007E77F7" w:rsidRPr="00036E54">
        <w:rPr>
          <w:rFonts w:ascii="Arial Narrow" w:hAnsi="Arial Narrow"/>
        </w:rPr>
        <w:t xml:space="preserve">and either way, their practices could benefit from being paid </w:t>
      </w:r>
      <w:r w:rsidR="00331247">
        <w:rPr>
          <w:rFonts w:ascii="Arial Narrow" w:hAnsi="Arial Narrow"/>
        </w:rPr>
        <w:t xml:space="preserve">some </w:t>
      </w:r>
      <w:r w:rsidR="007E77F7" w:rsidRPr="00036E54">
        <w:rPr>
          <w:rFonts w:ascii="Arial Narrow" w:hAnsi="Arial Narrow"/>
        </w:rPr>
        <w:t>special attention espe</w:t>
      </w:r>
      <w:r w:rsidR="00331247">
        <w:rPr>
          <w:rFonts w:ascii="Arial Narrow" w:hAnsi="Arial Narrow"/>
        </w:rPr>
        <w:t xml:space="preserve">cially as they are undertaking </w:t>
      </w:r>
      <w:r w:rsidR="007E77F7" w:rsidRPr="00036E54">
        <w:rPr>
          <w:rFonts w:ascii="Arial Narrow" w:hAnsi="Arial Narrow"/>
        </w:rPr>
        <w:t>recruitment on behalf of the go</w:t>
      </w:r>
      <w:r w:rsidR="003A6125" w:rsidRPr="00036E54">
        <w:rPr>
          <w:rFonts w:ascii="Arial Narrow" w:hAnsi="Arial Narrow"/>
        </w:rPr>
        <w:t xml:space="preserve">vernment. The vacancies they manage </w:t>
      </w:r>
      <w:r w:rsidR="007E77F7" w:rsidRPr="00036E54">
        <w:rPr>
          <w:rFonts w:ascii="Arial Narrow" w:hAnsi="Arial Narrow"/>
        </w:rPr>
        <w:t>are sometimes</w:t>
      </w:r>
      <w:r w:rsidR="003B066B" w:rsidRPr="00036E54">
        <w:rPr>
          <w:rFonts w:ascii="Arial Narrow" w:hAnsi="Arial Narrow"/>
        </w:rPr>
        <w:t xml:space="preserve"> advertised as short term and sometimes</w:t>
      </w:r>
      <w:r w:rsidR="007E77F7" w:rsidRPr="00036E54">
        <w:rPr>
          <w:rFonts w:ascii="Arial Narrow" w:hAnsi="Arial Narrow"/>
        </w:rPr>
        <w:t xml:space="preserve">, </w:t>
      </w:r>
      <w:r w:rsidR="003A6125" w:rsidRPr="00036E54">
        <w:rPr>
          <w:rFonts w:ascii="Arial Narrow" w:hAnsi="Arial Narrow"/>
        </w:rPr>
        <w:t xml:space="preserve">with a </w:t>
      </w:r>
      <w:r w:rsidR="007E77F7" w:rsidRPr="00036E54">
        <w:rPr>
          <w:rFonts w:ascii="Arial Narrow" w:hAnsi="Arial Narrow"/>
        </w:rPr>
        <w:t>possibility for extension</w:t>
      </w:r>
      <w:r w:rsidR="003B066B" w:rsidRPr="00036E54">
        <w:rPr>
          <w:rFonts w:ascii="Arial Narrow" w:hAnsi="Arial Narrow"/>
        </w:rPr>
        <w:t xml:space="preserve">. The opportunity to access work experience of the kind connected to </w:t>
      </w:r>
      <w:r w:rsidR="007E77F7" w:rsidRPr="00036E54">
        <w:rPr>
          <w:rFonts w:ascii="Arial Narrow" w:hAnsi="Arial Narrow"/>
        </w:rPr>
        <w:t xml:space="preserve">these jobs </w:t>
      </w:r>
      <w:r w:rsidR="003B066B" w:rsidRPr="00036E54">
        <w:rPr>
          <w:rFonts w:ascii="Arial Narrow" w:hAnsi="Arial Narrow"/>
        </w:rPr>
        <w:t>is crucial in building merit, leading to potential</w:t>
      </w:r>
      <w:r w:rsidR="007E77F7" w:rsidRPr="00036E54">
        <w:rPr>
          <w:rFonts w:ascii="Arial Narrow" w:hAnsi="Arial Narrow"/>
        </w:rPr>
        <w:t>ly</w:t>
      </w:r>
      <w:r w:rsidR="003B066B" w:rsidRPr="00036E54">
        <w:rPr>
          <w:rFonts w:ascii="Arial Narrow" w:hAnsi="Arial Narrow"/>
        </w:rPr>
        <w:t xml:space="preserve"> higher future </w:t>
      </w:r>
      <w:r w:rsidR="007E77F7" w:rsidRPr="00036E54">
        <w:rPr>
          <w:rFonts w:ascii="Arial Narrow" w:hAnsi="Arial Narrow"/>
        </w:rPr>
        <w:t>paying positions</w:t>
      </w:r>
      <w:r w:rsidR="003B066B" w:rsidRPr="00036E54">
        <w:rPr>
          <w:rFonts w:ascii="Arial Narrow" w:hAnsi="Arial Narrow"/>
        </w:rPr>
        <w:t>. As the world of work is changing dramatically, it seems to me</w:t>
      </w:r>
      <w:r w:rsidR="007E77F7" w:rsidRPr="00036E54">
        <w:rPr>
          <w:rFonts w:ascii="Arial Narrow" w:hAnsi="Arial Narrow"/>
        </w:rPr>
        <w:t>,</w:t>
      </w:r>
      <w:r w:rsidR="003B066B" w:rsidRPr="00036E54">
        <w:rPr>
          <w:rFonts w:ascii="Arial Narrow" w:hAnsi="Arial Narrow"/>
        </w:rPr>
        <w:t xml:space="preserve"> new ways </w:t>
      </w:r>
      <w:r w:rsidR="007E77F7" w:rsidRPr="00036E54">
        <w:rPr>
          <w:rFonts w:ascii="Arial Narrow" w:hAnsi="Arial Narrow"/>
        </w:rPr>
        <w:t>of promoting gender equity</w:t>
      </w:r>
      <w:r w:rsidR="003B066B" w:rsidRPr="00036E54">
        <w:rPr>
          <w:rFonts w:ascii="Arial Narrow" w:hAnsi="Arial Narrow"/>
        </w:rPr>
        <w:t xml:space="preserve"> need to be explored</w:t>
      </w:r>
      <w:r w:rsidR="007E77F7" w:rsidRPr="00036E54">
        <w:rPr>
          <w:rFonts w:ascii="Arial Narrow" w:hAnsi="Arial Narrow"/>
        </w:rPr>
        <w:t xml:space="preserve"> and monitored.</w:t>
      </w:r>
      <w:r w:rsidR="00331247">
        <w:rPr>
          <w:rFonts w:ascii="Arial Narrow" w:hAnsi="Arial Narrow"/>
        </w:rPr>
        <w:t xml:space="preserve"> That way, measures and monitoring mechanism are largely aligned with contemporary work hiring structures.</w:t>
      </w:r>
    </w:p>
    <w:p w:rsidR="00CC211C" w:rsidRPr="00036E54" w:rsidRDefault="00CC211C" w:rsidP="00B92973">
      <w:pPr>
        <w:pStyle w:val="Docheading1"/>
      </w:pPr>
      <w:r w:rsidRPr="00036E54">
        <w:t>Recommendation:</w:t>
      </w:r>
    </w:p>
    <w:p w:rsidR="00CC211C" w:rsidRPr="00036E54" w:rsidRDefault="00CC211C" w:rsidP="00CC211C">
      <w:pPr>
        <w:pStyle w:val="ListParagraph"/>
        <w:numPr>
          <w:ilvl w:val="0"/>
          <w:numId w:val="13"/>
        </w:numPr>
        <w:spacing w:after="0"/>
        <w:rPr>
          <w:rFonts w:ascii="Arial Narrow" w:hAnsi="Arial Narrow"/>
        </w:rPr>
      </w:pPr>
      <w:r w:rsidRPr="00036E54">
        <w:rPr>
          <w:rFonts w:ascii="Arial Narrow" w:hAnsi="Arial Narrow"/>
        </w:rPr>
        <w:t xml:space="preserve">Process indicators need to include hiring practices of employment agencies that </w:t>
      </w:r>
      <w:r w:rsidR="003A75D0" w:rsidRPr="00036E54">
        <w:rPr>
          <w:rFonts w:ascii="Arial Narrow" w:hAnsi="Arial Narrow"/>
        </w:rPr>
        <w:t xml:space="preserve">are </w:t>
      </w:r>
      <w:r w:rsidRPr="00036E54">
        <w:rPr>
          <w:rFonts w:ascii="Arial Narrow" w:hAnsi="Arial Narrow"/>
        </w:rPr>
        <w:t>securing new employees for government departments</w:t>
      </w:r>
    </w:p>
    <w:p w:rsidR="00F90F0A" w:rsidRDefault="00CC211C" w:rsidP="003A75D0">
      <w:pPr>
        <w:pStyle w:val="ListParagraph"/>
        <w:numPr>
          <w:ilvl w:val="0"/>
          <w:numId w:val="13"/>
        </w:numPr>
        <w:spacing w:after="0"/>
        <w:rPr>
          <w:rFonts w:ascii="Arial Narrow" w:hAnsi="Arial Narrow"/>
        </w:rPr>
      </w:pPr>
      <w:r w:rsidRPr="00F90F0A">
        <w:rPr>
          <w:rFonts w:ascii="Arial Narrow" w:hAnsi="Arial Narrow"/>
        </w:rPr>
        <w:t xml:space="preserve">Where proposed indicators don’t fit within the scope of current legislation, ensure that the legislation is reviewed in two years to incorporate progressive indicators that are keeping </w:t>
      </w:r>
      <w:r w:rsidR="003A75D0" w:rsidRPr="00F90F0A">
        <w:rPr>
          <w:rFonts w:ascii="Arial Narrow" w:hAnsi="Arial Narrow"/>
        </w:rPr>
        <w:t xml:space="preserve">with the </w:t>
      </w:r>
      <w:r w:rsidRPr="00F90F0A">
        <w:rPr>
          <w:rFonts w:ascii="Arial Narrow" w:hAnsi="Arial Narrow"/>
        </w:rPr>
        <w:t>spirit of this legislation</w:t>
      </w:r>
      <w:r w:rsidR="007E77F7" w:rsidRPr="00F90F0A">
        <w:rPr>
          <w:rFonts w:ascii="Arial Narrow" w:hAnsi="Arial Narrow"/>
        </w:rPr>
        <w:t xml:space="preserve"> </w:t>
      </w:r>
    </w:p>
    <w:p w:rsidR="00F90F0A" w:rsidRPr="00F90F0A" w:rsidRDefault="00F90F0A" w:rsidP="00F90F0A">
      <w:pPr>
        <w:pStyle w:val="ListParagraph"/>
        <w:spacing w:after="0"/>
        <w:rPr>
          <w:rFonts w:ascii="Arial Narrow" w:hAnsi="Arial Narrow"/>
        </w:rPr>
      </w:pPr>
    </w:p>
    <w:p w:rsidR="00876BE8" w:rsidRPr="00036E54" w:rsidRDefault="00331247" w:rsidP="00B92973">
      <w:pPr>
        <w:pStyle w:val="Docheading1"/>
      </w:pPr>
      <w:r>
        <w:t>Advice to the Minister and M</w:t>
      </w:r>
      <w:r w:rsidR="00876BE8" w:rsidRPr="00036E54">
        <w:t>on</w:t>
      </w:r>
      <w:r>
        <w:t>itoring I</w:t>
      </w:r>
      <w:r w:rsidR="00876BE8" w:rsidRPr="00036E54">
        <w:t>ssues</w:t>
      </w:r>
    </w:p>
    <w:p w:rsidR="00876BE8" w:rsidRPr="00036E54" w:rsidRDefault="00876BE8" w:rsidP="00876BE8">
      <w:pPr>
        <w:shd w:val="clear" w:color="auto" w:fill="FFFFFF"/>
        <w:spacing w:after="0" w:line="260" w:lineRule="atLeast"/>
        <w:jc w:val="both"/>
        <w:rPr>
          <w:rFonts w:ascii="Arial Narrow" w:hAnsi="Arial Narrow"/>
        </w:rPr>
      </w:pPr>
      <w:r w:rsidRPr="00036E54">
        <w:rPr>
          <w:rFonts w:ascii="Arial Narrow" w:hAnsi="Arial Narrow"/>
        </w:rPr>
        <w:t xml:space="preserve">The legislation makes provision for an advisory mechanism </w:t>
      </w:r>
      <w:r w:rsidR="003A75D0" w:rsidRPr="00036E54">
        <w:rPr>
          <w:rFonts w:ascii="Arial Narrow" w:hAnsi="Arial Narrow"/>
        </w:rPr>
        <w:t xml:space="preserve">as </w:t>
      </w:r>
      <w:r w:rsidRPr="00036E54">
        <w:rPr>
          <w:rFonts w:ascii="Arial Narrow" w:hAnsi="Arial Narrow"/>
        </w:rPr>
        <w:t>indicated</w:t>
      </w:r>
      <w:r w:rsidR="00331247">
        <w:rPr>
          <w:rFonts w:ascii="Arial Narrow" w:hAnsi="Arial Narrow"/>
        </w:rPr>
        <w:t xml:space="preserve"> in the legislative text</w:t>
      </w:r>
      <w:r w:rsidRPr="00036E54">
        <w:rPr>
          <w:rFonts w:ascii="Arial Narrow" w:hAnsi="Arial Narrow"/>
        </w:rPr>
        <w:t>. I agree with these provisions</w:t>
      </w:r>
      <w:r w:rsidR="00331247">
        <w:rPr>
          <w:rFonts w:ascii="Arial Narrow" w:hAnsi="Arial Narrow"/>
        </w:rPr>
        <w:t>,</w:t>
      </w:r>
      <w:r w:rsidR="00AF61BC" w:rsidRPr="00036E54">
        <w:rPr>
          <w:rFonts w:ascii="Arial Narrow" w:hAnsi="Arial Narrow"/>
        </w:rPr>
        <w:t xml:space="preserve"> </w:t>
      </w:r>
      <w:r w:rsidRPr="00036E54">
        <w:rPr>
          <w:rFonts w:ascii="Arial Narrow" w:hAnsi="Arial Narrow"/>
        </w:rPr>
        <w:t>although I also believe other complementary measures are required to be able to inform future workings and refinements of this policy area.</w:t>
      </w:r>
    </w:p>
    <w:p w:rsidR="00876BE8" w:rsidRPr="00036E54" w:rsidRDefault="00876BE8" w:rsidP="00876BE8">
      <w:pPr>
        <w:shd w:val="clear" w:color="auto" w:fill="FFFFFF"/>
        <w:spacing w:after="0" w:line="260" w:lineRule="atLeast"/>
        <w:jc w:val="both"/>
        <w:rPr>
          <w:rFonts w:ascii="Arial Narrow" w:hAnsi="Arial Narrow"/>
        </w:rPr>
      </w:pPr>
    </w:p>
    <w:p w:rsidR="00876BE8" w:rsidRPr="00036E54" w:rsidRDefault="00876BE8" w:rsidP="00876BE8">
      <w:pPr>
        <w:shd w:val="clear" w:color="auto" w:fill="FFFFFF"/>
        <w:spacing w:after="0" w:line="260" w:lineRule="atLeast"/>
        <w:ind w:firstLine="720"/>
        <w:jc w:val="both"/>
        <w:rPr>
          <w:rFonts w:ascii="Arial Narrow" w:hAnsi="Arial Narrow"/>
          <w:sz w:val="20"/>
          <w:szCs w:val="20"/>
        </w:rPr>
      </w:pPr>
      <w:bookmarkStart w:id="1" w:name="_Toc343170181"/>
      <w:r w:rsidRPr="00036E54">
        <w:rPr>
          <w:rFonts w:ascii="Arial Narrow" w:hAnsi="Arial Narrow"/>
          <w:b/>
          <w:sz w:val="20"/>
          <w:szCs w:val="20"/>
        </w:rPr>
        <w:t>Advisory committees</w:t>
      </w:r>
      <w:bookmarkEnd w:id="1"/>
    </w:p>
    <w:p w:rsidR="00876BE8" w:rsidRPr="00036E54" w:rsidRDefault="00876BE8" w:rsidP="00876BE8">
      <w:pPr>
        <w:pStyle w:val="subsection"/>
        <w:numPr>
          <w:ilvl w:val="0"/>
          <w:numId w:val="14"/>
        </w:numPr>
        <w:rPr>
          <w:rFonts w:ascii="Arial Narrow" w:hAnsi="Arial Narrow"/>
          <w:sz w:val="20"/>
          <w:szCs w:val="20"/>
        </w:rPr>
      </w:pPr>
      <w:r w:rsidRPr="00036E54">
        <w:rPr>
          <w:rFonts w:ascii="Arial Narrow" w:hAnsi="Arial Narrow"/>
          <w:sz w:val="20"/>
          <w:szCs w:val="20"/>
        </w:rPr>
        <w:t xml:space="preserve">Subject to this section the Minister may, in consultation with the Agency, establish such advisory committees as the Minister considers necessary for the purpose of giving advice to the Minister and to the Agency on particular matters or classes of matters relating to gender equality in the workplace, functions of the Agency or the operation of this Act. </w:t>
      </w:r>
    </w:p>
    <w:p w:rsidR="00876BE8" w:rsidRPr="00036E54" w:rsidRDefault="00876BE8" w:rsidP="00876BE8">
      <w:pPr>
        <w:pStyle w:val="subsection"/>
        <w:numPr>
          <w:ilvl w:val="0"/>
          <w:numId w:val="14"/>
        </w:numPr>
        <w:rPr>
          <w:rFonts w:ascii="Arial Narrow" w:hAnsi="Arial Narrow"/>
          <w:sz w:val="20"/>
          <w:szCs w:val="20"/>
        </w:rPr>
      </w:pPr>
      <w:r w:rsidRPr="00036E54">
        <w:rPr>
          <w:rFonts w:ascii="Arial Narrow" w:hAnsi="Arial Narrow"/>
          <w:sz w:val="20"/>
          <w:szCs w:val="20"/>
        </w:rPr>
        <w:t>An advisory committee shall consist of such persons as the Minister from time to time appoints.</w:t>
      </w:r>
    </w:p>
    <w:p w:rsidR="00876BE8" w:rsidRPr="00036E54" w:rsidRDefault="00876BE8" w:rsidP="00876BE8">
      <w:pPr>
        <w:pStyle w:val="subsection"/>
        <w:numPr>
          <w:ilvl w:val="0"/>
          <w:numId w:val="14"/>
        </w:numPr>
        <w:rPr>
          <w:rFonts w:ascii="Arial Narrow" w:hAnsi="Arial Narrow"/>
          <w:sz w:val="20"/>
          <w:szCs w:val="20"/>
        </w:rPr>
      </w:pPr>
      <w:r w:rsidRPr="00036E54">
        <w:rPr>
          <w:rFonts w:ascii="Arial Narrow" w:hAnsi="Arial Narrow"/>
          <w:sz w:val="20"/>
          <w:szCs w:val="20"/>
        </w:rPr>
        <w:t>For the purposes of assisting the Minister in the appointment of the members of an advisory committee, the Agency may provide the Minister with a list of the names of persons:</w:t>
      </w:r>
    </w:p>
    <w:p w:rsidR="00876BE8" w:rsidRPr="00036E54" w:rsidRDefault="00876BE8" w:rsidP="00876BE8">
      <w:pPr>
        <w:pStyle w:val="paragraph"/>
        <w:numPr>
          <w:ilvl w:val="0"/>
          <w:numId w:val="15"/>
        </w:numPr>
        <w:rPr>
          <w:rFonts w:ascii="Arial Narrow" w:hAnsi="Arial Narrow"/>
          <w:sz w:val="20"/>
          <w:szCs w:val="20"/>
        </w:rPr>
      </w:pPr>
      <w:r w:rsidRPr="00036E54">
        <w:rPr>
          <w:rFonts w:ascii="Arial Narrow" w:hAnsi="Arial Narrow"/>
          <w:sz w:val="20"/>
          <w:szCs w:val="20"/>
        </w:rPr>
        <w:t>representing industry or business (including a part of an industry); or</w:t>
      </w:r>
    </w:p>
    <w:p w:rsidR="00876BE8" w:rsidRPr="00036E54" w:rsidRDefault="00876BE8" w:rsidP="00876BE8">
      <w:pPr>
        <w:pStyle w:val="paragraph"/>
        <w:numPr>
          <w:ilvl w:val="0"/>
          <w:numId w:val="15"/>
        </w:numPr>
        <w:rPr>
          <w:rFonts w:ascii="Arial Narrow" w:hAnsi="Arial Narrow"/>
          <w:sz w:val="20"/>
          <w:szCs w:val="20"/>
        </w:rPr>
      </w:pPr>
      <w:r w:rsidRPr="00036E54">
        <w:rPr>
          <w:rFonts w:ascii="Arial Narrow" w:hAnsi="Arial Narrow"/>
          <w:sz w:val="20"/>
          <w:szCs w:val="20"/>
        </w:rPr>
        <w:t>representing employee organisations; or</w:t>
      </w:r>
    </w:p>
    <w:p w:rsidR="00876BE8" w:rsidRPr="00036E54" w:rsidRDefault="00876BE8" w:rsidP="00876BE8">
      <w:pPr>
        <w:pStyle w:val="paragraph"/>
        <w:numPr>
          <w:ilvl w:val="0"/>
          <w:numId w:val="15"/>
        </w:numPr>
        <w:rPr>
          <w:rFonts w:ascii="Arial Narrow" w:hAnsi="Arial Narrow"/>
          <w:sz w:val="20"/>
          <w:szCs w:val="20"/>
        </w:rPr>
      </w:pPr>
      <w:r w:rsidRPr="00036E54">
        <w:rPr>
          <w:rFonts w:ascii="Arial Narrow" w:hAnsi="Arial Narrow"/>
          <w:sz w:val="20"/>
          <w:szCs w:val="20"/>
        </w:rPr>
        <w:t>representing registered higher education providers; or</w:t>
      </w:r>
    </w:p>
    <w:p w:rsidR="00876BE8" w:rsidRPr="00036E54" w:rsidRDefault="00876BE8" w:rsidP="00876BE8">
      <w:pPr>
        <w:pStyle w:val="paragraph"/>
        <w:numPr>
          <w:ilvl w:val="0"/>
          <w:numId w:val="15"/>
        </w:numPr>
        <w:rPr>
          <w:rFonts w:ascii="Arial Narrow" w:hAnsi="Arial Narrow"/>
          <w:sz w:val="20"/>
          <w:szCs w:val="20"/>
        </w:rPr>
      </w:pPr>
      <w:r w:rsidRPr="00036E54">
        <w:rPr>
          <w:rFonts w:ascii="Arial Narrow" w:hAnsi="Arial Narrow"/>
          <w:sz w:val="20"/>
          <w:szCs w:val="20"/>
        </w:rPr>
        <w:t>having special knowledge or interest in relation to gender equality in the workplace, the functions of the Agency or the operation of this Act.</w:t>
      </w:r>
    </w:p>
    <w:p w:rsidR="00AF61BC" w:rsidRPr="00036E54" w:rsidRDefault="00AF61BC" w:rsidP="00AF61BC">
      <w:pPr>
        <w:pStyle w:val="paragraph"/>
        <w:ind w:left="2724" w:firstLine="0"/>
        <w:rPr>
          <w:rFonts w:ascii="Arial Narrow" w:hAnsi="Arial Narrow"/>
          <w:sz w:val="20"/>
          <w:szCs w:val="20"/>
        </w:rPr>
      </w:pPr>
    </w:p>
    <w:p w:rsidR="00AF61BC" w:rsidRPr="00036E54" w:rsidRDefault="00AF61BC" w:rsidP="00B92973">
      <w:pPr>
        <w:pStyle w:val="Docheading1"/>
      </w:pPr>
      <w:r w:rsidRPr="00036E54">
        <w:t>Research for policy advocacy and community engagement</w:t>
      </w:r>
    </w:p>
    <w:p w:rsidR="00A367D4" w:rsidRPr="00036E54" w:rsidRDefault="00A367D4" w:rsidP="00A367D4">
      <w:pPr>
        <w:spacing w:after="0"/>
        <w:rPr>
          <w:rFonts w:ascii="Arial Narrow" w:hAnsi="Arial Narrow"/>
        </w:rPr>
      </w:pPr>
      <w:r w:rsidRPr="00036E54">
        <w:rPr>
          <w:rFonts w:ascii="Arial Narrow" w:hAnsi="Arial Narrow"/>
        </w:rPr>
        <w:t>The Explanatory Memorandum accompanying this legislation indicates that:</w:t>
      </w:r>
    </w:p>
    <w:p w:rsidR="00A367D4" w:rsidRPr="00036E54" w:rsidRDefault="00A367D4" w:rsidP="00402E65">
      <w:pPr>
        <w:pStyle w:val="ListParagraph"/>
        <w:spacing w:after="0"/>
        <w:ind w:left="1440"/>
        <w:rPr>
          <w:rFonts w:ascii="Arial Narrow" w:hAnsi="Arial Narrow"/>
        </w:rPr>
      </w:pPr>
      <w:r w:rsidRPr="00036E54">
        <w:rPr>
          <w:rFonts w:ascii="Arial Narrow" w:hAnsi="Arial Narrow" w:cs="Arial"/>
          <w:color w:val="000000"/>
          <w:sz w:val="20"/>
          <w:szCs w:val="20"/>
          <w:shd w:val="clear" w:color="auto" w:fill="FFFFFF"/>
        </w:rPr>
        <w:t>The Minister must by legislative instrument under subsection 13(3) specify matters in relation to each gender equality indicator.  In setting matters under the gender equality indicators, the intention is to establish a long term data set to provide evidence-based insight at the workplace, occupational and industry level.  This data set is expected to be valuable for employers and, at the aggregate level, to inform research and policy development for government and researchers.</w:t>
      </w:r>
    </w:p>
    <w:p w:rsidR="00402E65" w:rsidRPr="00036E54" w:rsidRDefault="00402E65" w:rsidP="00402E65">
      <w:pPr>
        <w:spacing w:after="0"/>
        <w:rPr>
          <w:rFonts w:ascii="Arial Narrow" w:hAnsi="Arial Narrow"/>
        </w:rPr>
      </w:pPr>
    </w:p>
    <w:p w:rsidR="00AF61BC" w:rsidRPr="00036E54" w:rsidRDefault="009C7240" w:rsidP="009C7240">
      <w:pPr>
        <w:rPr>
          <w:rFonts w:ascii="Arial Narrow" w:hAnsi="Arial Narrow"/>
        </w:rPr>
      </w:pPr>
      <w:r w:rsidRPr="00036E54">
        <w:rPr>
          <w:rFonts w:ascii="Arial Narrow" w:hAnsi="Arial Narrow"/>
        </w:rPr>
        <w:t xml:space="preserve">I believe if we are to foster notions of </w:t>
      </w:r>
      <w:r w:rsidR="00AF61BC" w:rsidRPr="00036E54">
        <w:rPr>
          <w:rFonts w:ascii="Arial Narrow" w:hAnsi="Arial Narrow"/>
        </w:rPr>
        <w:t>industrial democracy</w:t>
      </w:r>
      <w:r w:rsidRPr="00036E54">
        <w:rPr>
          <w:rFonts w:ascii="Arial Narrow" w:hAnsi="Arial Narrow"/>
        </w:rPr>
        <w:t xml:space="preserve"> and maximise workplace productivity and innovation, then a nurturing </w:t>
      </w:r>
      <w:r w:rsidR="003A75D0" w:rsidRPr="00036E54">
        <w:rPr>
          <w:rFonts w:ascii="Arial Narrow" w:hAnsi="Arial Narrow"/>
        </w:rPr>
        <w:t>diversity (</w:t>
      </w:r>
      <w:r w:rsidR="00AF61BC" w:rsidRPr="00036E54">
        <w:rPr>
          <w:rFonts w:ascii="Arial Narrow" w:hAnsi="Arial Narrow"/>
        </w:rPr>
        <w:t>pluralism</w:t>
      </w:r>
      <w:r w:rsidR="003A75D0" w:rsidRPr="00036E54">
        <w:rPr>
          <w:rFonts w:ascii="Arial Narrow" w:hAnsi="Arial Narrow"/>
        </w:rPr>
        <w:t>)</w:t>
      </w:r>
      <w:r w:rsidRPr="00036E54">
        <w:rPr>
          <w:rFonts w:ascii="Arial Narrow" w:hAnsi="Arial Narrow"/>
        </w:rPr>
        <w:t xml:space="preserve"> </w:t>
      </w:r>
      <w:r w:rsidR="00DA5D54" w:rsidRPr="00036E54">
        <w:rPr>
          <w:rFonts w:ascii="Arial Narrow" w:hAnsi="Arial Narrow"/>
        </w:rPr>
        <w:t xml:space="preserve">in the production of research to inform policy development and advocacy </w:t>
      </w:r>
      <w:r w:rsidRPr="00036E54">
        <w:rPr>
          <w:rFonts w:ascii="Arial Narrow" w:hAnsi="Arial Narrow"/>
        </w:rPr>
        <w:t xml:space="preserve">is </w:t>
      </w:r>
      <w:r w:rsidR="00A367D4" w:rsidRPr="00036E54">
        <w:rPr>
          <w:rFonts w:ascii="Arial Narrow" w:hAnsi="Arial Narrow"/>
        </w:rPr>
        <w:t xml:space="preserve">also </w:t>
      </w:r>
      <w:r w:rsidRPr="00036E54">
        <w:rPr>
          <w:rFonts w:ascii="Arial Narrow" w:hAnsi="Arial Narrow"/>
        </w:rPr>
        <w:t xml:space="preserve">something worth taking account of. Previously, a strong </w:t>
      </w:r>
      <w:r w:rsidR="00A367D4" w:rsidRPr="00036E54">
        <w:rPr>
          <w:rFonts w:ascii="Arial Narrow" w:hAnsi="Arial Narrow"/>
        </w:rPr>
        <w:t xml:space="preserve">and well known </w:t>
      </w:r>
      <w:r w:rsidRPr="00036E54">
        <w:rPr>
          <w:rFonts w:ascii="Arial Narrow" w:hAnsi="Arial Narrow"/>
        </w:rPr>
        <w:t>migrant women</w:t>
      </w:r>
      <w:r w:rsidR="00A367D4" w:rsidRPr="00036E54">
        <w:rPr>
          <w:rFonts w:ascii="Arial Narrow" w:hAnsi="Arial Narrow"/>
        </w:rPr>
        <w:t>’s</w:t>
      </w:r>
      <w:r w:rsidRPr="00036E54">
        <w:rPr>
          <w:rFonts w:ascii="Arial Narrow" w:hAnsi="Arial Narrow"/>
        </w:rPr>
        <w:t xml:space="preserve"> </w:t>
      </w:r>
      <w:r w:rsidR="009505F2" w:rsidRPr="00036E54">
        <w:rPr>
          <w:rFonts w:ascii="Arial Narrow" w:hAnsi="Arial Narrow"/>
        </w:rPr>
        <w:t xml:space="preserve">peak </w:t>
      </w:r>
      <w:r w:rsidRPr="00036E54">
        <w:rPr>
          <w:rFonts w:ascii="Arial Narrow" w:hAnsi="Arial Narrow"/>
        </w:rPr>
        <w:t xml:space="preserve">advocacy </w:t>
      </w:r>
      <w:r w:rsidR="003A75D0" w:rsidRPr="00036E54">
        <w:rPr>
          <w:rFonts w:ascii="Arial Narrow" w:hAnsi="Arial Narrow"/>
        </w:rPr>
        <w:t>body</w:t>
      </w:r>
      <w:r w:rsidRPr="00036E54">
        <w:rPr>
          <w:rFonts w:ascii="Arial Narrow" w:hAnsi="Arial Narrow"/>
        </w:rPr>
        <w:t xml:space="preserve"> which used to be known as Association for non-English Speaking Background Women (ANESBWA) used to undertake and commission specific research</w:t>
      </w:r>
      <w:r w:rsidR="00A10D41" w:rsidRPr="00036E54">
        <w:rPr>
          <w:rFonts w:ascii="Arial Narrow" w:hAnsi="Arial Narrow"/>
        </w:rPr>
        <w:t xml:space="preserve"> on migrant women</w:t>
      </w:r>
      <w:r w:rsidR="00A367D4" w:rsidRPr="00036E54">
        <w:rPr>
          <w:rFonts w:ascii="Arial Narrow" w:hAnsi="Arial Narrow"/>
        </w:rPr>
        <w:t>, including how</w:t>
      </w:r>
      <w:r w:rsidR="00A10D41" w:rsidRPr="00036E54">
        <w:rPr>
          <w:rFonts w:ascii="Arial Narrow" w:hAnsi="Arial Narrow"/>
        </w:rPr>
        <w:t xml:space="preserve"> they</w:t>
      </w:r>
      <w:r w:rsidRPr="00036E54">
        <w:rPr>
          <w:rFonts w:ascii="Arial Narrow" w:hAnsi="Arial Narrow"/>
        </w:rPr>
        <w:t xml:space="preserve"> experienced the workforce and </w:t>
      </w:r>
      <w:r w:rsidR="00A367D4" w:rsidRPr="00036E54">
        <w:rPr>
          <w:rFonts w:ascii="Arial Narrow" w:hAnsi="Arial Narrow"/>
        </w:rPr>
        <w:t xml:space="preserve">training </w:t>
      </w:r>
      <w:r w:rsidRPr="00036E54">
        <w:rPr>
          <w:rFonts w:ascii="Arial Narrow" w:hAnsi="Arial Narrow"/>
        </w:rPr>
        <w:t xml:space="preserve">systems. </w:t>
      </w:r>
      <w:r w:rsidR="00A367D4" w:rsidRPr="00036E54">
        <w:rPr>
          <w:rFonts w:ascii="Arial Narrow" w:hAnsi="Arial Narrow"/>
        </w:rPr>
        <w:t>The organisation used to receive a small grant to facilitate national policy advocacy</w:t>
      </w:r>
      <w:r w:rsidR="00A10D41" w:rsidRPr="00036E54">
        <w:rPr>
          <w:rFonts w:ascii="Arial Narrow" w:hAnsi="Arial Narrow"/>
        </w:rPr>
        <w:t xml:space="preserve"> through employment of </w:t>
      </w:r>
      <w:r w:rsidR="00DC69F2" w:rsidRPr="00036E54">
        <w:rPr>
          <w:rFonts w:ascii="Arial Narrow" w:hAnsi="Arial Narrow"/>
        </w:rPr>
        <w:t>a</w:t>
      </w:r>
      <w:r w:rsidR="00A10D41" w:rsidRPr="00036E54">
        <w:rPr>
          <w:rFonts w:ascii="Arial Narrow" w:hAnsi="Arial Narrow"/>
        </w:rPr>
        <w:t xml:space="preserve"> </w:t>
      </w:r>
      <w:r w:rsidR="00DC69F2" w:rsidRPr="00036E54">
        <w:rPr>
          <w:rFonts w:ascii="Arial Narrow" w:hAnsi="Arial Narrow"/>
        </w:rPr>
        <w:t xml:space="preserve">Coordinator </w:t>
      </w:r>
      <w:r w:rsidR="00A10D41" w:rsidRPr="00036E54">
        <w:rPr>
          <w:rFonts w:ascii="Arial Narrow" w:hAnsi="Arial Narrow"/>
        </w:rPr>
        <w:t xml:space="preserve">to run a national </w:t>
      </w:r>
      <w:r w:rsidR="00DC69F2" w:rsidRPr="00036E54">
        <w:rPr>
          <w:rFonts w:ascii="Arial Narrow" w:hAnsi="Arial Narrow"/>
        </w:rPr>
        <w:t>o</w:t>
      </w:r>
      <w:r w:rsidR="00A10D41" w:rsidRPr="00036E54">
        <w:rPr>
          <w:rFonts w:ascii="Arial Narrow" w:hAnsi="Arial Narrow"/>
        </w:rPr>
        <w:t>ffice. T</w:t>
      </w:r>
      <w:r w:rsidR="00DC69F2" w:rsidRPr="00036E54">
        <w:rPr>
          <w:rFonts w:ascii="Arial Narrow" w:hAnsi="Arial Narrow"/>
        </w:rPr>
        <w:t>his alone assisted greatly as the</w:t>
      </w:r>
      <w:r w:rsidR="00A10D41" w:rsidRPr="00036E54">
        <w:rPr>
          <w:rFonts w:ascii="Arial Narrow" w:hAnsi="Arial Narrow"/>
        </w:rPr>
        <w:t xml:space="preserve"> employed</w:t>
      </w:r>
      <w:r w:rsidR="00DC69F2" w:rsidRPr="00036E54">
        <w:rPr>
          <w:rFonts w:ascii="Arial Narrow" w:hAnsi="Arial Narrow"/>
        </w:rPr>
        <w:t xml:space="preserve"> staff</w:t>
      </w:r>
      <w:r w:rsidR="00A10D41" w:rsidRPr="00036E54">
        <w:rPr>
          <w:rFonts w:ascii="Arial Narrow" w:hAnsi="Arial Narrow"/>
        </w:rPr>
        <w:t xml:space="preserve"> also coordinated</w:t>
      </w:r>
      <w:r w:rsidR="00DC69F2" w:rsidRPr="00036E54">
        <w:rPr>
          <w:rFonts w:ascii="Arial Narrow" w:hAnsi="Arial Narrow"/>
        </w:rPr>
        <w:t xml:space="preserve"> women volunteers</w:t>
      </w:r>
      <w:r w:rsidR="00A10D41" w:rsidRPr="00036E54">
        <w:rPr>
          <w:rFonts w:ascii="Arial Narrow" w:hAnsi="Arial Narrow"/>
        </w:rPr>
        <w:t xml:space="preserve"> whose expertise</w:t>
      </w:r>
      <w:r w:rsidR="003A75D0" w:rsidRPr="00036E54">
        <w:rPr>
          <w:rFonts w:ascii="Arial Narrow" w:hAnsi="Arial Narrow"/>
        </w:rPr>
        <w:t xml:space="preserve"> </w:t>
      </w:r>
      <w:r w:rsidR="00A10D41" w:rsidRPr="00036E54">
        <w:rPr>
          <w:rFonts w:ascii="Arial Narrow" w:hAnsi="Arial Narrow"/>
        </w:rPr>
        <w:t>enriched the advocacy undertaken on behalf of migrant women</w:t>
      </w:r>
      <w:r w:rsidR="00DC69F2" w:rsidRPr="00036E54">
        <w:rPr>
          <w:rFonts w:ascii="Arial Narrow" w:hAnsi="Arial Narrow"/>
        </w:rPr>
        <w:t xml:space="preserve">. </w:t>
      </w:r>
      <w:r w:rsidR="00AD7F87" w:rsidRPr="00036E54">
        <w:rPr>
          <w:rFonts w:ascii="Arial Narrow" w:hAnsi="Arial Narrow"/>
        </w:rPr>
        <w:t xml:space="preserve">Around about </w:t>
      </w:r>
      <w:r w:rsidR="00DC69F2" w:rsidRPr="00036E54">
        <w:rPr>
          <w:rFonts w:ascii="Arial Narrow" w:hAnsi="Arial Narrow"/>
        </w:rPr>
        <w:t>1997 the De</w:t>
      </w:r>
      <w:r w:rsidR="00A367D4" w:rsidRPr="00036E54">
        <w:rPr>
          <w:rFonts w:ascii="Arial Narrow" w:hAnsi="Arial Narrow"/>
        </w:rPr>
        <w:t xml:space="preserve">partment of </w:t>
      </w:r>
      <w:r w:rsidR="00DC69F2" w:rsidRPr="00036E54">
        <w:rPr>
          <w:rFonts w:ascii="Arial Narrow" w:hAnsi="Arial Narrow"/>
        </w:rPr>
        <w:t>Immigra</w:t>
      </w:r>
      <w:r w:rsidR="00A367D4" w:rsidRPr="00036E54">
        <w:rPr>
          <w:rFonts w:ascii="Arial Narrow" w:hAnsi="Arial Narrow"/>
        </w:rPr>
        <w:t>t</w:t>
      </w:r>
      <w:r w:rsidR="00DC69F2" w:rsidRPr="00036E54">
        <w:rPr>
          <w:rFonts w:ascii="Arial Narrow" w:hAnsi="Arial Narrow"/>
        </w:rPr>
        <w:t>ion</w:t>
      </w:r>
      <w:r w:rsidR="00A10D41" w:rsidRPr="00036E54">
        <w:rPr>
          <w:rFonts w:ascii="Arial Narrow" w:hAnsi="Arial Narrow"/>
        </w:rPr>
        <w:t xml:space="preserve"> ceased funding</w:t>
      </w:r>
      <w:r w:rsidR="003A75D0" w:rsidRPr="00036E54">
        <w:rPr>
          <w:rFonts w:ascii="Arial Narrow" w:hAnsi="Arial Narrow"/>
        </w:rPr>
        <w:t xml:space="preserve"> </w:t>
      </w:r>
      <w:r w:rsidR="00A10D41" w:rsidRPr="00036E54">
        <w:rPr>
          <w:rFonts w:ascii="Arial Narrow" w:hAnsi="Arial Narrow"/>
        </w:rPr>
        <w:t>as policy advocacy was no longer seen as a role for the community sector. And</w:t>
      </w:r>
      <w:r w:rsidR="00AD7F87" w:rsidRPr="00036E54">
        <w:rPr>
          <w:rFonts w:ascii="Arial Narrow" w:hAnsi="Arial Narrow"/>
        </w:rPr>
        <w:t xml:space="preserve"> in </w:t>
      </w:r>
      <w:r w:rsidR="00A10D41" w:rsidRPr="00036E54">
        <w:rPr>
          <w:rFonts w:ascii="Arial Narrow" w:hAnsi="Arial Narrow"/>
        </w:rPr>
        <w:t>fair</w:t>
      </w:r>
      <w:r w:rsidR="00AD7F87" w:rsidRPr="00036E54">
        <w:rPr>
          <w:rFonts w:ascii="Arial Narrow" w:hAnsi="Arial Narrow"/>
        </w:rPr>
        <w:t>ness</w:t>
      </w:r>
      <w:r w:rsidR="00A10D41" w:rsidRPr="00036E54">
        <w:rPr>
          <w:rFonts w:ascii="Arial Narrow" w:hAnsi="Arial Narrow"/>
        </w:rPr>
        <w:t xml:space="preserve"> to the Department, I suspect </w:t>
      </w:r>
      <w:r w:rsidR="00AD7F87" w:rsidRPr="00036E54">
        <w:rPr>
          <w:rFonts w:ascii="Arial Narrow" w:hAnsi="Arial Narrow"/>
        </w:rPr>
        <w:t>in their</w:t>
      </w:r>
      <w:r w:rsidR="00A10D41" w:rsidRPr="00036E54">
        <w:rPr>
          <w:rFonts w:ascii="Arial Narrow" w:hAnsi="Arial Narrow"/>
        </w:rPr>
        <w:t xml:space="preserve"> interpretation they sought to align their funding more closely with the quest for individual-centred outcomes</w:t>
      </w:r>
      <w:r w:rsidR="00AD7F87" w:rsidRPr="00036E54">
        <w:rPr>
          <w:rFonts w:ascii="Arial Narrow" w:hAnsi="Arial Narrow"/>
        </w:rPr>
        <w:t>,</w:t>
      </w:r>
      <w:r w:rsidR="00A10D41" w:rsidRPr="00036E54">
        <w:rPr>
          <w:rFonts w:ascii="Arial Narrow" w:hAnsi="Arial Narrow"/>
        </w:rPr>
        <w:t xml:space="preserve"> in alignment with </w:t>
      </w:r>
      <w:r w:rsidR="003849BA" w:rsidRPr="00036E54">
        <w:rPr>
          <w:rFonts w:ascii="Arial Narrow" w:hAnsi="Arial Narrow"/>
        </w:rPr>
        <w:t xml:space="preserve">the underpinning of </w:t>
      </w:r>
      <w:r w:rsidR="003849BA" w:rsidRPr="00036E54">
        <w:rPr>
          <w:rFonts w:ascii="Arial Narrow" w:hAnsi="Arial Narrow"/>
          <w:i/>
        </w:rPr>
        <w:t>wise use of resources</w:t>
      </w:r>
      <w:r w:rsidR="003849BA" w:rsidRPr="00036E54">
        <w:rPr>
          <w:rFonts w:ascii="Arial Narrow" w:hAnsi="Arial Narrow"/>
        </w:rPr>
        <w:t xml:space="preserve"> and </w:t>
      </w:r>
      <w:r w:rsidR="003849BA" w:rsidRPr="00036E54">
        <w:rPr>
          <w:rFonts w:ascii="Arial Narrow" w:hAnsi="Arial Narrow"/>
          <w:i/>
        </w:rPr>
        <w:t>value for money</w:t>
      </w:r>
      <w:r w:rsidR="003849BA" w:rsidRPr="00036E54">
        <w:rPr>
          <w:rFonts w:ascii="Arial Narrow" w:hAnsi="Arial Narrow"/>
        </w:rPr>
        <w:t xml:space="preserve"> associated with the </w:t>
      </w:r>
      <w:r w:rsidR="003849BA" w:rsidRPr="00036E54">
        <w:rPr>
          <w:rFonts w:ascii="Arial Narrow" w:hAnsi="Arial Narrow"/>
          <w:i/>
        </w:rPr>
        <w:t xml:space="preserve">Financial Management and </w:t>
      </w:r>
      <w:r w:rsidR="00AD7F87" w:rsidRPr="00036E54">
        <w:rPr>
          <w:rFonts w:ascii="Arial Narrow" w:hAnsi="Arial Narrow"/>
          <w:i/>
        </w:rPr>
        <w:t>Accountability Act 1997</w:t>
      </w:r>
      <w:r w:rsidR="00AD7F87" w:rsidRPr="00036E54">
        <w:rPr>
          <w:rFonts w:ascii="Arial Narrow" w:hAnsi="Arial Narrow"/>
        </w:rPr>
        <w:t xml:space="preserve"> requirements about service procurement.</w:t>
      </w:r>
    </w:p>
    <w:p w:rsidR="00876BE8" w:rsidRPr="00036E54" w:rsidRDefault="009505F2" w:rsidP="00297917">
      <w:pPr>
        <w:rPr>
          <w:rFonts w:ascii="Arial Narrow" w:hAnsi="Arial Narrow"/>
        </w:rPr>
      </w:pPr>
      <w:r w:rsidRPr="00036E54">
        <w:rPr>
          <w:rFonts w:ascii="Arial Narrow" w:hAnsi="Arial Narrow"/>
        </w:rPr>
        <w:t xml:space="preserve">In my view, </w:t>
      </w:r>
      <w:r w:rsidR="00AD7F87" w:rsidRPr="00036E54">
        <w:rPr>
          <w:rFonts w:ascii="Arial Narrow" w:hAnsi="Arial Narrow"/>
        </w:rPr>
        <w:t>since the demise of ANESBWA</w:t>
      </w:r>
      <w:r w:rsidRPr="00036E54">
        <w:rPr>
          <w:rFonts w:ascii="Arial Narrow" w:hAnsi="Arial Narrow"/>
        </w:rPr>
        <w:t xml:space="preserve">, I am not aware of </w:t>
      </w:r>
      <w:r w:rsidR="00402E65" w:rsidRPr="00036E54">
        <w:rPr>
          <w:rFonts w:ascii="Arial Narrow" w:hAnsi="Arial Narrow"/>
        </w:rPr>
        <w:t xml:space="preserve">any institution that has managed to take on board a similar </w:t>
      </w:r>
      <w:r w:rsidR="00331247">
        <w:rPr>
          <w:rFonts w:ascii="Arial Narrow" w:hAnsi="Arial Narrow"/>
        </w:rPr>
        <w:t xml:space="preserve">advocacy </w:t>
      </w:r>
      <w:r w:rsidR="00402E65" w:rsidRPr="00036E54">
        <w:rPr>
          <w:rFonts w:ascii="Arial Narrow" w:hAnsi="Arial Narrow"/>
        </w:rPr>
        <w:t xml:space="preserve">agenda looking at workplace participation issues at </w:t>
      </w:r>
      <w:r w:rsidR="003A75D0" w:rsidRPr="00036E54">
        <w:rPr>
          <w:rFonts w:ascii="Arial Narrow" w:hAnsi="Arial Narrow"/>
        </w:rPr>
        <w:t xml:space="preserve">a </w:t>
      </w:r>
      <w:r w:rsidR="00402E65" w:rsidRPr="00036E54">
        <w:rPr>
          <w:rFonts w:ascii="Arial Narrow" w:hAnsi="Arial Narrow"/>
        </w:rPr>
        <w:t>level that deals with such</w:t>
      </w:r>
      <w:r w:rsidR="003A75D0" w:rsidRPr="00036E54">
        <w:rPr>
          <w:rFonts w:ascii="Arial Narrow" w:hAnsi="Arial Narrow"/>
        </w:rPr>
        <w:t xml:space="preserve"> </w:t>
      </w:r>
      <w:r w:rsidR="00402E65" w:rsidRPr="00036E54">
        <w:rPr>
          <w:rFonts w:ascii="Arial Narrow" w:hAnsi="Arial Narrow"/>
        </w:rPr>
        <w:t xml:space="preserve">complexity. </w:t>
      </w:r>
      <w:r w:rsidRPr="00036E54">
        <w:rPr>
          <w:rFonts w:ascii="Arial Narrow" w:hAnsi="Arial Narrow"/>
        </w:rPr>
        <w:t xml:space="preserve">Whilst some university players may undertake research on migrant women, it seems to me advocacy work requires research that is also informed by a proper brief </w:t>
      </w:r>
      <w:r w:rsidR="00402E65" w:rsidRPr="00036E54">
        <w:rPr>
          <w:rFonts w:ascii="Arial Narrow" w:hAnsi="Arial Narrow"/>
        </w:rPr>
        <w:t>commissioned by</w:t>
      </w:r>
      <w:r w:rsidRPr="00036E54">
        <w:rPr>
          <w:rFonts w:ascii="Arial Narrow" w:hAnsi="Arial Narrow"/>
        </w:rPr>
        <w:t xml:space="preserve"> </w:t>
      </w:r>
      <w:r w:rsidR="00402E65" w:rsidRPr="00036E54">
        <w:rPr>
          <w:rFonts w:ascii="Arial Narrow" w:hAnsi="Arial Narrow"/>
        </w:rPr>
        <w:t>an advocacy body – and that there is continuous follow up, which is part of the crux in terms of work undertaken by peak organisations</w:t>
      </w:r>
      <w:r w:rsidRPr="00036E54">
        <w:rPr>
          <w:rFonts w:ascii="Arial Narrow" w:hAnsi="Arial Narrow"/>
        </w:rPr>
        <w:t xml:space="preserve">. </w:t>
      </w:r>
      <w:r w:rsidR="00451534" w:rsidRPr="00036E54">
        <w:rPr>
          <w:rFonts w:ascii="Arial Narrow" w:hAnsi="Arial Narrow"/>
        </w:rPr>
        <w:t>Whilst the likes of ANESBWA are long gone a</w:t>
      </w:r>
      <w:r w:rsidR="003A75D0" w:rsidRPr="00036E54">
        <w:rPr>
          <w:rFonts w:ascii="Arial Narrow" w:hAnsi="Arial Narrow"/>
        </w:rPr>
        <w:t>n</w:t>
      </w:r>
      <w:r w:rsidR="00451534" w:rsidRPr="00036E54">
        <w:rPr>
          <w:rFonts w:ascii="Arial Narrow" w:hAnsi="Arial Narrow"/>
        </w:rPr>
        <w:t xml:space="preserve">d likely to be confined to future history books, governments need think more closely how they are going to support greater community engagement in the future – informed </w:t>
      </w:r>
      <w:r w:rsidR="003A75D0" w:rsidRPr="00036E54">
        <w:rPr>
          <w:rFonts w:ascii="Arial Narrow" w:hAnsi="Arial Narrow"/>
        </w:rPr>
        <w:t xml:space="preserve">by </w:t>
      </w:r>
      <w:r w:rsidR="00451534" w:rsidRPr="00036E54">
        <w:rPr>
          <w:rFonts w:ascii="Arial Narrow" w:hAnsi="Arial Narrow"/>
        </w:rPr>
        <w:t>in-depth understanding of how migrant women may be experiencing inclusion and exclusion practices in the workforce.</w:t>
      </w:r>
    </w:p>
    <w:p w:rsidR="00876BE8" w:rsidRPr="00036E54" w:rsidRDefault="00451534" w:rsidP="00B92973">
      <w:pPr>
        <w:pStyle w:val="Docheading1"/>
      </w:pPr>
      <w:r w:rsidRPr="00036E54">
        <w:t>Re</w:t>
      </w:r>
      <w:bookmarkStart w:id="2" w:name="_GoBack"/>
      <w:bookmarkEnd w:id="2"/>
      <w:r w:rsidRPr="00036E54">
        <w:t>commendation:</w:t>
      </w:r>
    </w:p>
    <w:p w:rsidR="00451534" w:rsidRPr="00036E54" w:rsidRDefault="00451534" w:rsidP="00475F9B">
      <w:pPr>
        <w:pStyle w:val="ListParagraph"/>
        <w:numPr>
          <w:ilvl w:val="0"/>
          <w:numId w:val="16"/>
        </w:numPr>
        <w:spacing w:after="0"/>
        <w:rPr>
          <w:rFonts w:ascii="Arial Narrow" w:hAnsi="Arial Narrow"/>
        </w:rPr>
      </w:pPr>
      <w:r w:rsidRPr="00036E54">
        <w:rPr>
          <w:rFonts w:ascii="Arial Narrow" w:hAnsi="Arial Narrow"/>
        </w:rPr>
        <w:t>As part of future monitoring, government need to fund research to inform future strategy and policy advocacy</w:t>
      </w:r>
      <w:r w:rsidR="00FA4C33" w:rsidRPr="00FA4C33">
        <w:rPr>
          <w:rFonts w:ascii="Arial Narrow" w:hAnsi="Arial Narrow"/>
        </w:rPr>
        <w:t xml:space="preserve"> </w:t>
      </w:r>
      <w:r w:rsidR="00FA4C33">
        <w:rPr>
          <w:rFonts w:ascii="Arial Narrow" w:hAnsi="Arial Narrow"/>
        </w:rPr>
        <w:t>intended to foster greater and equitable employment inclusion for emerging communities</w:t>
      </w:r>
    </w:p>
    <w:p w:rsidR="00451534" w:rsidRPr="00036E54" w:rsidRDefault="00451534" w:rsidP="00475F9B">
      <w:pPr>
        <w:pStyle w:val="ListParagraph"/>
        <w:numPr>
          <w:ilvl w:val="0"/>
          <w:numId w:val="16"/>
        </w:numPr>
        <w:spacing w:after="0"/>
        <w:rPr>
          <w:rFonts w:ascii="Arial Narrow" w:hAnsi="Arial Narrow"/>
        </w:rPr>
      </w:pPr>
      <w:r w:rsidRPr="00036E54">
        <w:rPr>
          <w:rFonts w:ascii="Arial Narrow" w:hAnsi="Arial Narrow"/>
        </w:rPr>
        <w:t>Emerging communities needs to be supported to explore their</w:t>
      </w:r>
      <w:r w:rsidR="00331247">
        <w:rPr>
          <w:rFonts w:ascii="Arial Narrow" w:hAnsi="Arial Narrow"/>
        </w:rPr>
        <w:t xml:space="preserve"> own</w:t>
      </w:r>
      <w:r w:rsidRPr="00036E54">
        <w:rPr>
          <w:rFonts w:ascii="Arial Narrow" w:hAnsi="Arial Narrow"/>
        </w:rPr>
        <w:t xml:space="preserve"> experiences through research; and using their own expertise and voices to inform policy makers</w:t>
      </w:r>
      <w:r w:rsidR="00534FA3" w:rsidRPr="00036E54">
        <w:rPr>
          <w:rFonts w:ascii="Arial Narrow" w:hAnsi="Arial Narrow"/>
        </w:rPr>
        <w:t xml:space="preserve"> rather than simply being seen as ‘’subjects of study’’ by external stakeholders</w:t>
      </w:r>
    </w:p>
    <w:p w:rsidR="00534FA3" w:rsidRPr="00036E54" w:rsidRDefault="00534FA3" w:rsidP="00EC359B">
      <w:pPr>
        <w:spacing w:after="0"/>
        <w:rPr>
          <w:rFonts w:ascii="Arial Narrow" w:hAnsi="Arial Narrow"/>
        </w:rPr>
      </w:pPr>
    </w:p>
    <w:p w:rsidR="00534FA3" w:rsidRPr="00036E54" w:rsidRDefault="003A75D0" w:rsidP="00B92973">
      <w:pPr>
        <w:pStyle w:val="Docheading1"/>
      </w:pPr>
      <w:r w:rsidRPr="00036E54">
        <w:t>Summary of R</w:t>
      </w:r>
      <w:r w:rsidR="00534FA3" w:rsidRPr="00036E54">
        <w:t>ecommendations:</w:t>
      </w:r>
    </w:p>
    <w:p w:rsidR="00534FA3" w:rsidRPr="00036E54" w:rsidRDefault="00534FA3" w:rsidP="00534FA3">
      <w:pPr>
        <w:pStyle w:val="ListParagraph"/>
        <w:numPr>
          <w:ilvl w:val="0"/>
          <w:numId w:val="7"/>
        </w:numPr>
        <w:spacing w:after="0"/>
        <w:rPr>
          <w:rFonts w:ascii="Arial Narrow" w:hAnsi="Arial Narrow"/>
        </w:rPr>
      </w:pPr>
      <w:r w:rsidRPr="00036E54">
        <w:rPr>
          <w:rFonts w:ascii="Arial Narrow" w:hAnsi="Arial Narrow"/>
        </w:rPr>
        <w:t>Government should use service procurement arrangements to monitor staff earnings as well ensure pay structure is aligned with the level of task complexity</w:t>
      </w:r>
    </w:p>
    <w:p w:rsidR="00534FA3" w:rsidRPr="00036E54" w:rsidRDefault="00534FA3" w:rsidP="00534FA3">
      <w:pPr>
        <w:pStyle w:val="ListParagraph"/>
        <w:numPr>
          <w:ilvl w:val="0"/>
          <w:numId w:val="7"/>
        </w:numPr>
        <w:spacing w:after="0"/>
        <w:rPr>
          <w:rFonts w:ascii="Arial Narrow" w:hAnsi="Arial Narrow"/>
        </w:rPr>
      </w:pPr>
      <w:r w:rsidRPr="00036E54">
        <w:rPr>
          <w:rFonts w:ascii="Arial Narrow" w:hAnsi="Arial Narrow"/>
        </w:rPr>
        <w:t>Review the legislation in 2 – 3 years and consider including requiring government agencies to ensure their service procurement practices are not unintentionally being used to depress women’s earning within NFP organisations</w:t>
      </w:r>
    </w:p>
    <w:p w:rsidR="00475F9B" w:rsidRPr="00036E54" w:rsidRDefault="00475F9B" w:rsidP="00475F9B">
      <w:pPr>
        <w:pStyle w:val="ListParagraph"/>
        <w:numPr>
          <w:ilvl w:val="0"/>
          <w:numId w:val="7"/>
        </w:numPr>
        <w:rPr>
          <w:rFonts w:ascii="Arial Narrow" w:hAnsi="Arial Narrow"/>
        </w:rPr>
      </w:pPr>
      <w:r w:rsidRPr="00036E54">
        <w:rPr>
          <w:rFonts w:ascii="Arial Narrow" w:hAnsi="Arial Narrow"/>
        </w:rPr>
        <w:t>Reporting should spell out diversity as an important attribute in understanding the workforce profile</w:t>
      </w:r>
    </w:p>
    <w:p w:rsidR="00475F9B" w:rsidRPr="00036E54" w:rsidRDefault="00475F9B" w:rsidP="00475F9B">
      <w:pPr>
        <w:pStyle w:val="ListParagraph"/>
        <w:numPr>
          <w:ilvl w:val="0"/>
          <w:numId w:val="7"/>
        </w:numPr>
        <w:rPr>
          <w:rFonts w:ascii="Arial Narrow" w:hAnsi="Arial Narrow"/>
        </w:rPr>
      </w:pPr>
      <w:r w:rsidRPr="00036E54">
        <w:rPr>
          <w:rFonts w:ascii="Arial Narrow" w:hAnsi="Arial Narrow"/>
        </w:rPr>
        <w:t xml:space="preserve">Measure for increased women’s representation in leadership positions need to </w:t>
      </w:r>
      <w:r w:rsidR="00036E54" w:rsidRPr="00036E54">
        <w:rPr>
          <w:rFonts w:ascii="Arial Narrow" w:hAnsi="Arial Narrow"/>
        </w:rPr>
        <w:t xml:space="preserve">pay </w:t>
      </w:r>
      <w:r w:rsidRPr="00036E54">
        <w:rPr>
          <w:rFonts w:ascii="Arial Narrow" w:hAnsi="Arial Narrow"/>
        </w:rPr>
        <w:t>attention to cultural backgrounds (i.e. include some indicators that over time would provide a picture of how emerging communities are faring)</w:t>
      </w:r>
    </w:p>
    <w:p w:rsidR="00475F9B" w:rsidRPr="00036E54" w:rsidRDefault="00475F9B" w:rsidP="00475F9B">
      <w:pPr>
        <w:pStyle w:val="ListParagraph"/>
        <w:numPr>
          <w:ilvl w:val="0"/>
          <w:numId w:val="7"/>
        </w:numPr>
        <w:spacing w:after="0"/>
        <w:rPr>
          <w:rFonts w:ascii="Arial Narrow" w:hAnsi="Arial Narrow"/>
        </w:rPr>
      </w:pPr>
      <w:r w:rsidRPr="00036E54">
        <w:rPr>
          <w:rFonts w:ascii="Arial Narrow" w:hAnsi="Arial Narrow"/>
        </w:rPr>
        <w:t xml:space="preserve">Process indicators need to include hiring practices of employment agencies that </w:t>
      </w:r>
      <w:r w:rsidR="00036E54" w:rsidRPr="00036E54">
        <w:rPr>
          <w:rFonts w:ascii="Arial Narrow" w:hAnsi="Arial Narrow"/>
        </w:rPr>
        <w:t xml:space="preserve">are </w:t>
      </w:r>
      <w:r w:rsidRPr="00036E54">
        <w:rPr>
          <w:rFonts w:ascii="Arial Narrow" w:hAnsi="Arial Narrow"/>
        </w:rPr>
        <w:t>securing new employees for government departments</w:t>
      </w:r>
    </w:p>
    <w:p w:rsidR="00475F9B" w:rsidRPr="00036E54" w:rsidRDefault="00475F9B" w:rsidP="00475F9B">
      <w:pPr>
        <w:pStyle w:val="ListParagraph"/>
        <w:numPr>
          <w:ilvl w:val="0"/>
          <w:numId w:val="7"/>
        </w:numPr>
        <w:spacing w:after="0"/>
        <w:rPr>
          <w:rFonts w:ascii="Arial Narrow" w:hAnsi="Arial Narrow"/>
        </w:rPr>
      </w:pPr>
      <w:r w:rsidRPr="00036E54">
        <w:rPr>
          <w:rFonts w:ascii="Arial Narrow" w:hAnsi="Arial Narrow"/>
        </w:rPr>
        <w:t>Where proposed indicators don’t fit within the scope of current legislation, ensure that th</w:t>
      </w:r>
      <w:r w:rsidR="00FA4C33">
        <w:rPr>
          <w:rFonts w:ascii="Arial Narrow" w:hAnsi="Arial Narrow"/>
        </w:rPr>
        <w:t>e legislation is reviewed in 2 - 3</w:t>
      </w:r>
      <w:r w:rsidRPr="00036E54">
        <w:rPr>
          <w:rFonts w:ascii="Arial Narrow" w:hAnsi="Arial Narrow"/>
        </w:rPr>
        <w:t xml:space="preserve"> years to incorporate progressive indicators that are </w:t>
      </w:r>
      <w:r w:rsidR="00FA4C33">
        <w:rPr>
          <w:rFonts w:ascii="Arial Narrow" w:hAnsi="Arial Narrow"/>
        </w:rPr>
        <w:t xml:space="preserve">in </w:t>
      </w:r>
      <w:r w:rsidRPr="00036E54">
        <w:rPr>
          <w:rFonts w:ascii="Arial Narrow" w:hAnsi="Arial Narrow"/>
        </w:rPr>
        <w:t>keeping with spirit of this legislation</w:t>
      </w:r>
    </w:p>
    <w:p w:rsidR="00475F9B" w:rsidRPr="00036E54" w:rsidRDefault="00475F9B" w:rsidP="00475F9B">
      <w:pPr>
        <w:pStyle w:val="ListParagraph"/>
        <w:numPr>
          <w:ilvl w:val="0"/>
          <w:numId w:val="7"/>
        </w:numPr>
        <w:spacing w:after="0"/>
        <w:rPr>
          <w:rFonts w:ascii="Arial Narrow" w:hAnsi="Arial Narrow"/>
        </w:rPr>
      </w:pPr>
      <w:r w:rsidRPr="00036E54">
        <w:rPr>
          <w:rFonts w:ascii="Arial Narrow" w:hAnsi="Arial Narrow"/>
        </w:rPr>
        <w:t>As part of future monitoring, government need to fund research to inform future strategy and policy advocacy</w:t>
      </w:r>
      <w:r w:rsidR="00FA4C33">
        <w:rPr>
          <w:rFonts w:ascii="Arial Narrow" w:hAnsi="Arial Narrow"/>
        </w:rPr>
        <w:t xml:space="preserve"> intended to foster greater and equitable employment inclusion for emerging communities</w:t>
      </w:r>
    </w:p>
    <w:p w:rsidR="00475F9B" w:rsidRPr="00036E54" w:rsidRDefault="00475F9B" w:rsidP="00475F9B">
      <w:pPr>
        <w:pStyle w:val="ListParagraph"/>
        <w:numPr>
          <w:ilvl w:val="0"/>
          <w:numId w:val="7"/>
        </w:numPr>
        <w:spacing w:after="0"/>
        <w:rPr>
          <w:rFonts w:ascii="Arial Narrow" w:hAnsi="Arial Narrow"/>
        </w:rPr>
      </w:pPr>
      <w:r w:rsidRPr="00036E54">
        <w:rPr>
          <w:rFonts w:ascii="Arial Narrow" w:hAnsi="Arial Narrow"/>
        </w:rPr>
        <w:t xml:space="preserve">Emerging communities needs to be supported to explore their </w:t>
      </w:r>
      <w:r w:rsidR="00036E54" w:rsidRPr="00036E54">
        <w:rPr>
          <w:rFonts w:ascii="Arial Narrow" w:hAnsi="Arial Narrow"/>
        </w:rPr>
        <w:t xml:space="preserve">own </w:t>
      </w:r>
      <w:r w:rsidRPr="00036E54">
        <w:rPr>
          <w:rFonts w:ascii="Arial Narrow" w:hAnsi="Arial Narrow"/>
        </w:rPr>
        <w:t>experiences through research; and using their own expertise and voices to inform policy makers rather than simply being seen as ‘’subjects of study’’ by external stakeholders</w:t>
      </w:r>
    </w:p>
    <w:p w:rsidR="00534FA3" w:rsidRPr="00036E54" w:rsidRDefault="00534FA3" w:rsidP="00EC359B">
      <w:pPr>
        <w:spacing w:after="0"/>
        <w:rPr>
          <w:rFonts w:ascii="Arial Narrow" w:hAnsi="Arial Narrow"/>
        </w:rPr>
      </w:pPr>
    </w:p>
    <w:p w:rsidR="00EC359B" w:rsidRPr="00036E54" w:rsidRDefault="001E21D3" w:rsidP="00B92973">
      <w:pPr>
        <w:pStyle w:val="Docheading1"/>
      </w:pPr>
      <w:r w:rsidRPr="00036E54">
        <w:t>References</w:t>
      </w:r>
    </w:p>
    <w:p w:rsidR="00EC359B" w:rsidRDefault="00036E54" w:rsidP="00DB4C3F">
      <w:pPr>
        <w:spacing w:after="0"/>
        <w:rPr>
          <w:rFonts w:ascii="Arial Narrow" w:hAnsi="Arial Narrow" w:cs="Arial"/>
        </w:rPr>
      </w:pPr>
      <w:r w:rsidRPr="00036E54">
        <w:rPr>
          <w:rFonts w:ascii="Arial Narrow" w:hAnsi="Arial Narrow"/>
        </w:rPr>
        <w:t>FAHCSIA</w:t>
      </w:r>
      <w:r w:rsidR="00F90F0A" w:rsidRPr="00036E54">
        <w:rPr>
          <w:rFonts w:ascii="Arial Narrow" w:hAnsi="Arial Narrow"/>
        </w:rPr>
        <w:t>,</w:t>
      </w:r>
      <w:r w:rsidR="00F90F0A">
        <w:rPr>
          <w:rFonts w:ascii="Arial Narrow" w:hAnsi="Arial Narrow"/>
        </w:rPr>
        <w:t xml:space="preserve"> </w:t>
      </w:r>
      <w:r w:rsidR="00F90F0A" w:rsidRPr="00036E54">
        <w:rPr>
          <w:rFonts w:ascii="Arial Narrow" w:hAnsi="Arial Narrow"/>
        </w:rPr>
        <w:t>2012</w:t>
      </w:r>
      <w:r w:rsidRPr="00036E54">
        <w:rPr>
          <w:rFonts w:ascii="Arial Narrow" w:hAnsi="Arial Narrow"/>
        </w:rPr>
        <w:t xml:space="preserve">. </w:t>
      </w:r>
      <w:r w:rsidR="00EC359B" w:rsidRPr="00036E54">
        <w:rPr>
          <w:rFonts w:ascii="Arial Narrow" w:hAnsi="Arial Narrow" w:cstheme="minorHAnsi"/>
        </w:rPr>
        <w:t>Discussion Paper, 2012.</w:t>
      </w:r>
      <w:r w:rsidR="00EC359B" w:rsidRPr="00036E54">
        <w:rPr>
          <w:rFonts w:ascii="Arial Narrow" w:hAnsi="Arial Narrow" w:cs="Arial"/>
          <w:i/>
        </w:rPr>
        <w:t xml:space="preserve"> Workplace Gender Equality Act 2012 – Consultation on Reporting Matters</w:t>
      </w:r>
      <w:r w:rsidR="00DB4C3F">
        <w:rPr>
          <w:rFonts w:ascii="Arial Narrow" w:hAnsi="Arial Narrow" w:cs="Arial"/>
        </w:rPr>
        <w:t xml:space="preserve">. </w:t>
      </w:r>
      <w:r w:rsidR="00DB4C3F" w:rsidRPr="00036E54">
        <w:rPr>
          <w:rFonts w:ascii="Arial Narrow" w:hAnsi="Arial Narrow"/>
        </w:rPr>
        <w:t>Accessed 28 January 2013</w:t>
      </w:r>
      <w:r w:rsidR="00DB4C3F">
        <w:rPr>
          <w:rFonts w:ascii="Arial Narrow" w:hAnsi="Arial Narrow"/>
        </w:rPr>
        <w:t>.</w:t>
      </w:r>
      <w:r w:rsidR="00DB4C3F">
        <w:rPr>
          <w:rFonts w:ascii="Arial Narrow" w:hAnsi="Arial Narrow" w:cs="Arial"/>
        </w:rPr>
        <w:t xml:space="preserve"> </w:t>
      </w:r>
      <w:hyperlink r:id="rId10" w:history="1">
        <w:r w:rsidR="00DB4C3F" w:rsidRPr="009A07FC">
          <w:rPr>
            <w:rStyle w:val="Hyperlink"/>
            <w:rFonts w:ascii="Arial Narrow" w:hAnsi="Arial Narrow" w:cs="Arial"/>
          </w:rPr>
          <w:t>http://www.fahcsia.gov.au/our-responsibilities/women/publications-articles/consultation-process-to-develop-reporting-matters-under-the-workplace-gender-equality-act</w:t>
        </w:r>
      </w:hyperlink>
    </w:p>
    <w:p w:rsidR="00DB4C3F" w:rsidRDefault="00DB4C3F" w:rsidP="00DB4C3F">
      <w:pPr>
        <w:spacing w:after="0"/>
        <w:rPr>
          <w:rFonts w:ascii="Arial Narrow" w:hAnsi="Arial Narrow"/>
        </w:rPr>
      </w:pPr>
    </w:p>
    <w:p w:rsidR="001E21D3" w:rsidRDefault="001E21D3" w:rsidP="00DB4C3F">
      <w:pPr>
        <w:spacing w:after="0"/>
        <w:rPr>
          <w:rStyle w:val="Hyperlink"/>
          <w:rFonts w:ascii="Arial Narrow" w:hAnsi="Arial Narrow"/>
        </w:rPr>
      </w:pPr>
      <w:r w:rsidRPr="00036E54">
        <w:rPr>
          <w:rFonts w:ascii="Arial Narrow" w:hAnsi="Arial Narrow"/>
        </w:rPr>
        <w:t xml:space="preserve">Human Rights Commission, 2009. Human Rights Issues Affecting African-Australia Communities. Accessed 28 January 2013. </w:t>
      </w:r>
      <w:hyperlink r:id="rId11" w:anchor="a3_3" w:history="1">
        <w:r w:rsidRPr="00036E54">
          <w:rPr>
            <w:rStyle w:val="Hyperlink"/>
            <w:rFonts w:ascii="Arial Narrow" w:hAnsi="Arial Narrow"/>
          </w:rPr>
          <w:t>http://humanrights.gov.au/africanaus/2011_roundtables/index.html#a3_3</w:t>
        </w:r>
      </w:hyperlink>
    </w:p>
    <w:p w:rsidR="00185426" w:rsidRDefault="00185426" w:rsidP="00DB4C3F">
      <w:pPr>
        <w:spacing w:after="0"/>
        <w:rPr>
          <w:rStyle w:val="Hyperlink"/>
          <w:rFonts w:ascii="Arial Narrow" w:hAnsi="Arial Narrow"/>
        </w:rPr>
      </w:pPr>
    </w:p>
    <w:p w:rsidR="00185426" w:rsidRDefault="00185426" w:rsidP="00185426">
      <w:pPr>
        <w:spacing w:after="0"/>
        <w:rPr>
          <w:rFonts w:ascii="Arial Narrow" w:hAnsi="Arial Narrow" w:cs="Arial"/>
        </w:rPr>
      </w:pPr>
      <w:r>
        <w:rPr>
          <w:rFonts w:ascii="Arial Narrow" w:hAnsi="Arial Narrow"/>
        </w:rPr>
        <w:t xml:space="preserve">The Parliament of Commonwealth of Australia. 2012. </w:t>
      </w:r>
      <w:r w:rsidRPr="00036E54">
        <w:rPr>
          <w:rFonts w:ascii="Arial Narrow" w:hAnsi="Arial Narrow"/>
        </w:rPr>
        <w:t xml:space="preserve">Explanatory Memorandum, </w:t>
      </w:r>
      <w:r w:rsidRPr="00036E54">
        <w:rPr>
          <w:rFonts w:ascii="Arial Narrow" w:hAnsi="Arial Narrow" w:cs="Arial"/>
          <w:i/>
        </w:rPr>
        <w:t>Workplace Gender Equality Act 2012</w:t>
      </w:r>
      <w:r>
        <w:rPr>
          <w:rFonts w:ascii="Arial Narrow" w:hAnsi="Arial Narrow" w:cs="Arial"/>
        </w:rPr>
        <w:t xml:space="preserve">. Accessed 28 January 2013. </w:t>
      </w:r>
      <w:hyperlink r:id="rId12" w:history="1">
        <w:r w:rsidRPr="009A07FC">
          <w:rPr>
            <w:rStyle w:val="Hyperlink"/>
            <w:rFonts w:ascii="Arial Narrow" w:hAnsi="Arial Narrow" w:cs="Arial"/>
          </w:rPr>
          <w:t>http://parlinfo.aph.gov.au/parlInfo/search/display/display.w3p;query=Id:%22legislation/ems/r4765_ems_21d75f48-2ce0-4719-aa15-c92c4b78dae5%22</w:t>
        </w:r>
      </w:hyperlink>
    </w:p>
    <w:p w:rsidR="00F90F0A" w:rsidRDefault="00F90F0A" w:rsidP="00DB4C3F">
      <w:pPr>
        <w:spacing w:after="0"/>
        <w:rPr>
          <w:rFonts w:ascii="Arial Narrow" w:hAnsi="Arial Narrow" w:cs="Arial"/>
          <w:i/>
        </w:rPr>
      </w:pPr>
    </w:p>
    <w:p w:rsidR="00534FA3" w:rsidRDefault="00EC359B" w:rsidP="00DB4C3F">
      <w:pPr>
        <w:spacing w:after="0"/>
        <w:rPr>
          <w:rFonts w:ascii="Arial Narrow" w:hAnsi="Arial Narrow" w:cs="Arial"/>
        </w:rPr>
      </w:pPr>
      <w:r w:rsidRPr="00036E54">
        <w:rPr>
          <w:rFonts w:ascii="Arial Narrow" w:hAnsi="Arial Narrow" w:cs="Arial"/>
          <w:i/>
        </w:rPr>
        <w:t>Workplace Gender Equality Act 2012</w:t>
      </w:r>
      <w:r w:rsidRPr="00036E54">
        <w:rPr>
          <w:rFonts w:ascii="Arial Narrow" w:hAnsi="Arial Narrow" w:cs="Arial"/>
        </w:rPr>
        <w:t xml:space="preserve"> – Legislative Instrument</w:t>
      </w:r>
      <w:r w:rsidR="00DB4C3F">
        <w:rPr>
          <w:rFonts w:ascii="Arial Narrow" w:hAnsi="Arial Narrow" w:cs="Arial"/>
        </w:rPr>
        <w:t xml:space="preserve">. </w:t>
      </w:r>
      <w:r w:rsidR="00DB4C3F" w:rsidRPr="00036E54">
        <w:rPr>
          <w:rFonts w:ascii="Arial Narrow" w:hAnsi="Arial Narrow"/>
        </w:rPr>
        <w:t>Accessed 28 January 2013</w:t>
      </w:r>
      <w:r w:rsidR="00DB4C3F">
        <w:rPr>
          <w:rFonts w:ascii="Arial Narrow" w:hAnsi="Arial Narrow"/>
        </w:rPr>
        <w:t>.</w:t>
      </w:r>
      <w:r w:rsidR="00DB4C3F">
        <w:rPr>
          <w:rFonts w:ascii="Arial Narrow" w:hAnsi="Arial Narrow" w:cs="Arial"/>
        </w:rPr>
        <w:t xml:space="preserve"> </w:t>
      </w:r>
      <w:hyperlink r:id="rId13" w:history="1">
        <w:r w:rsidR="00DB4C3F" w:rsidRPr="009A07FC">
          <w:rPr>
            <w:rStyle w:val="Hyperlink"/>
            <w:rFonts w:ascii="Arial Narrow" w:hAnsi="Arial Narrow" w:cs="Arial"/>
          </w:rPr>
          <w:t>http://www.fahcsia.gov.au/our-responsibilities/women/publications-articles/consultation-process-to-develop-reporting-matters-under-the-workplace-gender-equality-act</w:t>
        </w:r>
      </w:hyperlink>
    </w:p>
    <w:sectPr w:rsidR="00534FA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3D" w:rsidRDefault="00DF603D" w:rsidP="00CC211C">
      <w:pPr>
        <w:spacing w:after="0" w:line="240" w:lineRule="auto"/>
      </w:pPr>
      <w:r>
        <w:separator/>
      </w:r>
    </w:p>
  </w:endnote>
  <w:endnote w:type="continuationSeparator" w:id="0">
    <w:p w:rsidR="00DF603D" w:rsidRDefault="00DF603D" w:rsidP="00CC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55" w:rsidRPr="00FF6244" w:rsidRDefault="00953C55" w:rsidP="00953C55">
    <w:pPr>
      <w:spacing w:after="0"/>
    </w:pPr>
    <w:r w:rsidRPr="00FF6244">
      <w:rPr>
        <w:rFonts w:ascii="Arial Narrow" w:hAnsi="Arial Narrow" w:cs="Arial"/>
        <w:i/>
        <w:sz w:val="20"/>
        <w:szCs w:val="20"/>
      </w:rPr>
      <w:t>Workplace Gender Equality Act 2012</w:t>
    </w:r>
    <w:r w:rsidRPr="00FF6244">
      <w:rPr>
        <w:rFonts w:ascii="Arial Narrow" w:hAnsi="Arial Narrow" w:cs="Arial"/>
        <w:sz w:val="20"/>
        <w:szCs w:val="20"/>
      </w:rPr>
      <w:t xml:space="preserve"> – Legislative Instrument</w:t>
    </w:r>
  </w:p>
  <w:p w:rsidR="00953C55" w:rsidRDefault="00953C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74B16" w:rsidRPr="00074B1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CC211C" w:rsidRDefault="00CC2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3D" w:rsidRDefault="00DF603D" w:rsidP="00CC211C">
      <w:pPr>
        <w:spacing w:after="0" w:line="240" w:lineRule="auto"/>
      </w:pPr>
      <w:r>
        <w:separator/>
      </w:r>
    </w:p>
  </w:footnote>
  <w:footnote w:type="continuationSeparator" w:id="0">
    <w:p w:rsidR="00DF603D" w:rsidRDefault="00DF603D" w:rsidP="00CC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8DE"/>
    <w:multiLevelType w:val="hybridMultilevel"/>
    <w:tmpl w:val="A8E01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C5D6E66"/>
    <w:multiLevelType w:val="hybridMultilevel"/>
    <w:tmpl w:val="FD6A965E"/>
    <w:lvl w:ilvl="0" w:tplc="C7D496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614EF5"/>
    <w:multiLevelType w:val="hybridMultilevel"/>
    <w:tmpl w:val="C67C3E5C"/>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start w:val="1"/>
      <w:numFmt w:val="bullet"/>
      <w:lvlText w:val=""/>
      <w:lvlJc w:val="left"/>
      <w:pPr>
        <w:ind w:left="2514" w:hanging="360"/>
      </w:pPr>
      <w:rPr>
        <w:rFonts w:ascii="Wingdings" w:hAnsi="Wingdings" w:hint="default"/>
      </w:rPr>
    </w:lvl>
    <w:lvl w:ilvl="3" w:tplc="0C090001">
      <w:start w:val="1"/>
      <w:numFmt w:val="bullet"/>
      <w:lvlText w:val=""/>
      <w:lvlJc w:val="left"/>
      <w:pPr>
        <w:ind w:left="3234" w:hanging="360"/>
      </w:pPr>
      <w:rPr>
        <w:rFonts w:ascii="Symbol" w:hAnsi="Symbol" w:hint="default"/>
      </w:rPr>
    </w:lvl>
    <w:lvl w:ilvl="4" w:tplc="0C090003">
      <w:start w:val="1"/>
      <w:numFmt w:val="bullet"/>
      <w:lvlText w:val="o"/>
      <w:lvlJc w:val="left"/>
      <w:pPr>
        <w:ind w:left="3954" w:hanging="360"/>
      </w:pPr>
      <w:rPr>
        <w:rFonts w:ascii="Courier New" w:hAnsi="Courier New" w:cs="Courier New" w:hint="default"/>
      </w:rPr>
    </w:lvl>
    <w:lvl w:ilvl="5" w:tplc="0C090005">
      <w:start w:val="1"/>
      <w:numFmt w:val="bullet"/>
      <w:lvlText w:val=""/>
      <w:lvlJc w:val="left"/>
      <w:pPr>
        <w:ind w:left="4674" w:hanging="360"/>
      </w:pPr>
      <w:rPr>
        <w:rFonts w:ascii="Wingdings" w:hAnsi="Wingdings" w:hint="default"/>
      </w:rPr>
    </w:lvl>
    <w:lvl w:ilvl="6" w:tplc="0C090001">
      <w:start w:val="1"/>
      <w:numFmt w:val="bullet"/>
      <w:lvlText w:val=""/>
      <w:lvlJc w:val="left"/>
      <w:pPr>
        <w:ind w:left="5394" w:hanging="360"/>
      </w:pPr>
      <w:rPr>
        <w:rFonts w:ascii="Symbol" w:hAnsi="Symbol" w:hint="default"/>
      </w:rPr>
    </w:lvl>
    <w:lvl w:ilvl="7" w:tplc="0C090003">
      <w:start w:val="1"/>
      <w:numFmt w:val="bullet"/>
      <w:lvlText w:val="o"/>
      <w:lvlJc w:val="left"/>
      <w:pPr>
        <w:ind w:left="6114" w:hanging="360"/>
      </w:pPr>
      <w:rPr>
        <w:rFonts w:ascii="Courier New" w:hAnsi="Courier New" w:cs="Courier New" w:hint="default"/>
      </w:rPr>
    </w:lvl>
    <w:lvl w:ilvl="8" w:tplc="0C090005">
      <w:start w:val="1"/>
      <w:numFmt w:val="bullet"/>
      <w:lvlText w:val=""/>
      <w:lvlJc w:val="left"/>
      <w:pPr>
        <w:ind w:left="6834" w:hanging="360"/>
      </w:pPr>
      <w:rPr>
        <w:rFonts w:ascii="Wingdings" w:hAnsi="Wingdings" w:hint="default"/>
      </w:rPr>
    </w:lvl>
  </w:abstractNum>
  <w:abstractNum w:abstractNumId="3">
    <w:nsid w:val="1F2A4BB3"/>
    <w:multiLevelType w:val="hybridMultilevel"/>
    <w:tmpl w:val="9EAC951E"/>
    <w:lvl w:ilvl="0" w:tplc="4760A1C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3E30C7"/>
    <w:multiLevelType w:val="hybridMultilevel"/>
    <w:tmpl w:val="222EC38E"/>
    <w:lvl w:ilvl="0" w:tplc="0C090001">
      <w:start w:val="1"/>
      <w:numFmt w:val="bullet"/>
      <w:lvlText w:val=""/>
      <w:lvlJc w:val="left"/>
      <w:pPr>
        <w:ind w:left="1077" w:hanging="360"/>
      </w:pPr>
      <w:rPr>
        <w:rFonts w:ascii="Symbol" w:hAnsi="Symbol" w:hint="default"/>
      </w:rPr>
    </w:lvl>
    <w:lvl w:ilvl="1" w:tplc="0C090001">
      <w:start w:val="1"/>
      <w:numFmt w:val="bullet"/>
      <w:lvlText w:val=""/>
      <w:lvlJc w:val="left"/>
      <w:pPr>
        <w:ind w:left="1797" w:hanging="360"/>
      </w:pPr>
      <w:rPr>
        <w:rFonts w:ascii="Symbol" w:hAnsi="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22D214C4"/>
    <w:multiLevelType w:val="hybridMultilevel"/>
    <w:tmpl w:val="BC10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951395"/>
    <w:multiLevelType w:val="hybridMultilevel"/>
    <w:tmpl w:val="BF4A3452"/>
    <w:lvl w:ilvl="0" w:tplc="4760A1C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797B0D"/>
    <w:multiLevelType w:val="hybridMultilevel"/>
    <w:tmpl w:val="99082FE0"/>
    <w:lvl w:ilvl="0" w:tplc="4760A1C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A26DC8"/>
    <w:multiLevelType w:val="hybridMultilevel"/>
    <w:tmpl w:val="099CE4F6"/>
    <w:lvl w:ilvl="0" w:tplc="C74E75AE">
      <w:start w:val="1"/>
      <w:numFmt w:val="decimal"/>
      <w:lvlText w:val="(%1)"/>
      <w:lvlJc w:val="left"/>
      <w:pPr>
        <w:ind w:left="2220" w:hanging="360"/>
      </w:pPr>
      <w:rPr>
        <w:rFonts w:hint="default"/>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9">
    <w:nsid w:val="493F4BA0"/>
    <w:multiLevelType w:val="hybridMultilevel"/>
    <w:tmpl w:val="1A128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931F70"/>
    <w:multiLevelType w:val="hybridMultilevel"/>
    <w:tmpl w:val="8E10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E40E88"/>
    <w:multiLevelType w:val="hybridMultilevel"/>
    <w:tmpl w:val="4A947182"/>
    <w:lvl w:ilvl="0" w:tplc="E2987F2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27058D"/>
    <w:multiLevelType w:val="hybridMultilevel"/>
    <w:tmpl w:val="80E8AB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56720FE0"/>
    <w:multiLevelType w:val="hybridMultilevel"/>
    <w:tmpl w:val="640220C8"/>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67D22AC0"/>
    <w:multiLevelType w:val="hybridMultilevel"/>
    <w:tmpl w:val="64429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4D1080"/>
    <w:multiLevelType w:val="hybridMultilevel"/>
    <w:tmpl w:val="5AC2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4016E5"/>
    <w:multiLevelType w:val="hybridMultilevel"/>
    <w:tmpl w:val="C896AC4A"/>
    <w:lvl w:ilvl="0" w:tplc="C7D49606">
      <w:start w:val="1"/>
      <w:numFmt w:val="lowerLetter"/>
      <w:lvlText w:val="(%1)"/>
      <w:lvlJc w:val="left"/>
      <w:pPr>
        <w:ind w:left="3084" w:hanging="360"/>
      </w:pPr>
      <w:rPr>
        <w:rFonts w:hint="default"/>
      </w:rPr>
    </w:lvl>
    <w:lvl w:ilvl="1" w:tplc="0C090019" w:tentative="1">
      <w:start w:val="1"/>
      <w:numFmt w:val="lowerLetter"/>
      <w:lvlText w:val="%2."/>
      <w:lvlJc w:val="left"/>
      <w:pPr>
        <w:ind w:left="3804" w:hanging="360"/>
      </w:pPr>
    </w:lvl>
    <w:lvl w:ilvl="2" w:tplc="0C09001B" w:tentative="1">
      <w:start w:val="1"/>
      <w:numFmt w:val="lowerRoman"/>
      <w:lvlText w:val="%3."/>
      <w:lvlJc w:val="right"/>
      <w:pPr>
        <w:ind w:left="4524" w:hanging="180"/>
      </w:pPr>
    </w:lvl>
    <w:lvl w:ilvl="3" w:tplc="0C09000F" w:tentative="1">
      <w:start w:val="1"/>
      <w:numFmt w:val="decimal"/>
      <w:lvlText w:val="%4."/>
      <w:lvlJc w:val="left"/>
      <w:pPr>
        <w:ind w:left="5244" w:hanging="360"/>
      </w:pPr>
    </w:lvl>
    <w:lvl w:ilvl="4" w:tplc="0C090019" w:tentative="1">
      <w:start w:val="1"/>
      <w:numFmt w:val="lowerLetter"/>
      <w:lvlText w:val="%5."/>
      <w:lvlJc w:val="left"/>
      <w:pPr>
        <w:ind w:left="5964" w:hanging="360"/>
      </w:pPr>
    </w:lvl>
    <w:lvl w:ilvl="5" w:tplc="0C09001B" w:tentative="1">
      <w:start w:val="1"/>
      <w:numFmt w:val="lowerRoman"/>
      <w:lvlText w:val="%6."/>
      <w:lvlJc w:val="right"/>
      <w:pPr>
        <w:ind w:left="6684" w:hanging="180"/>
      </w:pPr>
    </w:lvl>
    <w:lvl w:ilvl="6" w:tplc="0C09000F" w:tentative="1">
      <w:start w:val="1"/>
      <w:numFmt w:val="decimal"/>
      <w:lvlText w:val="%7."/>
      <w:lvlJc w:val="left"/>
      <w:pPr>
        <w:ind w:left="7404" w:hanging="360"/>
      </w:pPr>
    </w:lvl>
    <w:lvl w:ilvl="7" w:tplc="0C090019" w:tentative="1">
      <w:start w:val="1"/>
      <w:numFmt w:val="lowerLetter"/>
      <w:lvlText w:val="%8."/>
      <w:lvlJc w:val="left"/>
      <w:pPr>
        <w:ind w:left="8124" w:hanging="360"/>
      </w:pPr>
    </w:lvl>
    <w:lvl w:ilvl="8" w:tplc="0C09001B" w:tentative="1">
      <w:start w:val="1"/>
      <w:numFmt w:val="lowerRoman"/>
      <w:lvlText w:val="%9."/>
      <w:lvlJc w:val="right"/>
      <w:pPr>
        <w:ind w:left="8844" w:hanging="180"/>
      </w:pPr>
    </w:lvl>
  </w:abstractNum>
  <w:abstractNum w:abstractNumId="17">
    <w:nsid w:val="711F1560"/>
    <w:multiLevelType w:val="hybridMultilevel"/>
    <w:tmpl w:val="21422730"/>
    <w:lvl w:ilvl="0" w:tplc="BD5ABCDE">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5"/>
  </w:num>
  <w:num w:numId="8">
    <w:abstractNumId w:val="7"/>
  </w:num>
  <w:num w:numId="9">
    <w:abstractNumId w:val="6"/>
  </w:num>
  <w:num w:numId="10">
    <w:abstractNumId w:val="3"/>
  </w:num>
  <w:num w:numId="11">
    <w:abstractNumId w:val="10"/>
  </w:num>
  <w:num w:numId="12">
    <w:abstractNumId w:val="14"/>
  </w:num>
  <w:num w:numId="13">
    <w:abstractNumId w:val="9"/>
  </w:num>
  <w:num w:numId="14">
    <w:abstractNumId w:val="8"/>
  </w:num>
  <w:num w:numId="15">
    <w:abstractNumId w:val="16"/>
  </w:num>
  <w:num w:numId="16">
    <w:abstractNumId w:val="5"/>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76"/>
    <w:rsid w:val="00007617"/>
    <w:rsid w:val="00014299"/>
    <w:rsid w:val="00014FE7"/>
    <w:rsid w:val="00022D28"/>
    <w:rsid w:val="00035D6E"/>
    <w:rsid w:val="00036E54"/>
    <w:rsid w:val="00050368"/>
    <w:rsid w:val="00074B16"/>
    <w:rsid w:val="00092857"/>
    <w:rsid w:val="00096600"/>
    <w:rsid w:val="000B0D0F"/>
    <w:rsid w:val="000C21D0"/>
    <w:rsid w:val="000F02B3"/>
    <w:rsid w:val="0012199E"/>
    <w:rsid w:val="00121A98"/>
    <w:rsid w:val="00176B79"/>
    <w:rsid w:val="00181E11"/>
    <w:rsid w:val="00185426"/>
    <w:rsid w:val="001A25C4"/>
    <w:rsid w:val="001E0EC8"/>
    <w:rsid w:val="001E21D3"/>
    <w:rsid w:val="001E7C86"/>
    <w:rsid w:val="001F5833"/>
    <w:rsid w:val="002105D5"/>
    <w:rsid w:val="00213480"/>
    <w:rsid w:val="002558FE"/>
    <w:rsid w:val="00297917"/>
    <w:rsid w:val="002B6A92"/>
    <w:rsid w:val="002C30DF"/>
    <w:rsid w:val="00331247"/>
    <w:rsid w:val="00343911"/>
    <w:rsid w:val="003849BA"/>
    <w:rsid w:val="00395A01"/>
    <w:rsid w:val="003A6125"/>
    <w:rsid w:val="003A75D0"/>
    <w:rsid w:val="003B066B"/>
    <w:rsid w:val="00402E65"/>
    <w:rsid w:val="0040730D"/>
    <w:rsid w:val="0041385B"/>
    <w:rsid w:val="00417BC6"/>
    <w:rsid w:val="00434202"/>
    <w:rsid w:val="00451534"/>
    <w:rsid w:val="00475F9B"/>
    <w:rsid w:val="00493E6D"/>
    <w:rsid w:val="004A14BF"/>
    <w:rsid w:val="004C24EC"/>
    <w:rsid w:val="00511CD8"/>
    <w:rsid w:val="005237C0"/>
    <w:rsid w:val="00527155"/>
    <w:rsid w:val="00534FA3"/>
    <w:rsid w:val="005F0872"/>
    <w:rsid w:val="005F5580"/>
    <w:rsid w:val="006122E3"/>
    <w:rsid w:val="006353CA"/>
    <w:rsid w:val="00653516"/>
    <w:rsid w:val="00673C45"/>
    <w:rsid w:val="006C3B86"/>
    <w:rsid w:val="006F0400"/>
    <w:rsid w:val="00711C76"/>
    <w:rsid w:val="007B1920"/>
    <w:rsid w:val="007B49A5"/>
    <w:rsid w:val="007E77F7"/>
    <w:rsid w:val="007F4EF1"/>
    <w:rsid w:val="00826E83"/>
    <w:rsid w:val="00846DB2"/>
    <w:rsid w:val="008623CB"/>
    <w:rsid w:val="00876BE8"/>
    <w:rsid w:val="00882F7C"/>
    <w:rsid w:val="00883D13"/>
    <w:rsid w:val="0088456E"/>
    <w:rsid w:val="008C180E"/>
    <w:rsid w:val="008D15ED"/>
    <w:rsid w:val="008F2661"/>
    <w:rsid w:val="0091333B"/>
    <w:rsid w:val="00920193"/>
    <w:rsid w:val="009505F2"/>
    <w:rsid w:val="00953C55"/>
    <w:rsid w:val="00955086"/>
    <w:rsid w:val="009870D6"/>
    <w:rsid w:val="009A5BE2"/>
    <w:rsid w:val="009C7240"/>
    <w:rsid w:val="00A069E4"/>
    <w:rsid w:val="00A10D41"/>
    <w:rsid w:val="00A367D4"/>
    <w:rsid w:val="00A51B91"/>
    <w:rsid w:val="00A93FFA"/>
    <w:rsid w:val="00A9415E"/>
    <w:rsid w:val="00AA3FB6"/>
    <w:rsid w:val="00AD0D41"/>
    <w:rsid w:val="00AD7F87"/>
    <w:rsid w:val="00AF61BC"/>
    <w:rsid w:val="00B12789"/>
    <w:rsid w:val="00B20332"/>
    <w:rsid w:val="00B33831"/>
    <w:rsid w:val="00B92973"/>
    <w:rsid w:val="00BA7B0C"/>
    <w:rsid w:val="00BB7B0C"/>
    <w:rsid w:val="00BC334A"/>
    <w:rsid w:val="00BF295E"/>
    <w:rsid w:val="00C524F7"/>
    <w:rsid w:val="00C77D7A"/>
    <w:rsid w:val="00CA1153"/>
    <w:rsid w:val="00CC211C"/>
    <w:rsid w:val="00CC5BD6"/>
    <w:rsid w:val="00CF3180"/>
    <w:rsid w:val="00D05C30"/>
    <w:rsid w:val="00D35025"/>
    <w:rsid w:val="00D439AF"/>
    <w:rsid w:val="00D55223"/>
    <w:rsid w:val="00D61C6C"/>
    <w:rsid w:val="00D65531"/>
    <w:rsid w:val="00DA5D54"/>
    <w:rsid w:val="00DB4C3F"/>
    <w:rsid w:val="00DC69F2"/>
    <w:rsid w:val="00DF603D"/>
    <w:rsid w:val="00E10495"/>
    <w:rsid w:val="00E1245A"/>
    <w:rsid w:val="00E36B85"/>
    <w:rsid w:val="00E438EC"/>
    <w:rsid w:val="00E61ACF"/>
    <w:rsid w:val="00EB268C"/>
    <w:rsid w:val="00EC359B"/>
    <w:rsid w:val="00EF0F6A"/>
    <w:rsid w:val="00F34701"/>
    <w:rsid w:val="00F77322"/>
    <w:rsid w:val="00F81A82"/>
    <w:rsid w:val="00F90F0A"/>
    <w:rsid w:val="00FA4C33"/>
    <w:rsid w:val="00FC157C"/>
    <w:rsid w:val="00FC2308"/>
    <w:rsid w:val="00FE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next w:val="Normal"/>
    <w:link w:val="Heading5Char"/>
    <w:uiPriority w:val="9"/>
    <w:semiHidden/>
    <w:unhideWhenUsed/>
    <w:qFormat/>
    <w:rsid w:val="00AA3F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711C76"/>
  </w:style>
  <w:style w:type="character" w:styleId="Hyperlink">
    <w:name w:val="Hyperlink"/>
    <w:basedOn w:val="DefaultParagraphFont"/>
    <w:uiPriority w:val="99"/>
    <w:unhideWhenUsed/>
    <w:rsid w:val="00711C76"/>
    <w:rPr>
      <w:color w:val="0000FF"/>
      <w:u w:val="single"/>
    </w:rPr>
  </w:style>
  <w:style w:type="paragraph" w:styleId="NormalWeb">
    <w:name w:val="Normal (Web)"/>
    <w:basedOn w:val="Normal"/>
    <w:uiPriority w:val="99"/>
    <w:unhideWhenUsed/>
    <w:rsid w:val="00711C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11C76"/>
  </w:style>
  <w:style w:type="character" w:styleId="Strong">
    <w:name w:val="Strong"/>
    <w:basedOn w:val="DefaultParagraphFont"/>
    <w:uiPriority w:val="22"/>
    <w:qFormat/>
    <w:rsid w:val="00711C76"/>
    <w:rPr>
      <w:b/>
      <w:bCs/>
    </w:rPr>
  </w:style>
  <w:style w:type="paragraph" w:styleId="TOC5">
    <w:name w:val="toc 5"/>
    <w:basedOn w:val="Heading5"/>
    <w:next w:val="Normal"/>
    <w:autoRedefine/>
    <w:uiPriority w:val="39"/>
    <w:semiHidden/>
    <w:unhideWhenUsed/>
    <w:rsid w:val="00AA3FB6"/>
    <w:pPr>
      <w:keepNext w:val="0"/>
      <w:tabs>
        <w:tab w:val="right" w:leader="dot" w:pos="7088"/>
      </w:tabs>
      <w:spacing w:before="40" w:line="240" w:lineRule="auto"/>
      <w:ind w:left="2098" w:right="567" w:hanging="680"/>
      <w:outlineLvl w:val="9"/>
    </w:pPr>
    <w:rPr>
      <w:rFonts w:ascii="Times New Roman" w:eastAsia="Times New Roman" w:hAnsi="Times New Roman" w:cs="Times New Roman"/>
      <w:iCs/>
      <w:color w:val="auto"/>
      <w:kern w:val="28"/>
      <w:sz w:val="18"/>
      <w:szCs w:val="26"/>
      <w:lang w:eastAsia="en-AU"/>
    </w:rPr>
  </w:style>
  <w:style w:type="character" w:customStyle="1" w:styleId="Heading5Char">
    <w:name w:val="Heading 5 Char"/>
    <w:basedOn w:val="DefaultParagraphFont"/>
    <w:link w:val="Heading5"/>
    <w:uiPriority w:val="9"/>
    <w:semiHidden/>
    <w:rsid w:val="00AA3FB6"/>
    <w:rPr>
      <w:rFonts w:asciiTheme="majorHAnsi" w:eastAsiaTheme="majorEastAsia" w:hAnsiTheme="majorHAnsi" w:cstheme="majorBidi"/>
      <w:color w:val="243F60" w:themeColor="accent1" w:themeShade="7F"/>
    </w:rPr>
  </w:style>
  <w:style w:type="paragraph" w:customStyle="1" w:styleId="ActHead5">
    <w:name w:val="ActHead 5"/>
    <w:aliases w:val="s"/>
    <w:basedOn w:val="Normal"/>
    <w:next w:val="Normal"/>
    <w:rsid w:val="00C524F7"/>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eastAsia="en-AU"/>
    </w:rPr>
  </w:style>
  <w:style w:type="character" w:customStyle="1" w:styleId="subsectionChar">
    <w:name w:val="subsection Char"/>
    <w:aliases w:val="ss Char"/>
    <w:basedOn w:val="DefaultParagraphFont"/>
    <w:link w:val="subsection"/>
    <w:locked/>
    <w:rsid w:val="00C524F7"/>
    <w:rPr>
      <w:szCs w:val="24"/>
    </w:rPr>
  </w:style>
  <w:style w:type="paragraph" w:customStyle="1" w:styleId="subsection">
    <w:name w:val="subsection"/>
    <w:aliases w:val="ss"/>
    <w:link w:val="subsectionChar"/>
    <w:rsid w:val="00C524F7"/>
    <w:pPr>
      <w:tabs>
        <w:tab w:val="right" w:pos="1021"/>
      </w:tabs>
      <w:spacing w:before="180" w:after="0" w:line="240" w:lineRule="auto"/>
      <w:ind w:left="1134" w:hanging="1134"/>
    </w:pPr>
    <w:rPr>
      <w:szCs w:val="24"/>
    </w:rPr>
  </w:style>
  <w:style w:type="character" w:customStyle="1" w:styleId="paragraphChar">
    <w:name w:val="paragraph Char"/>
    <w:aliases w:val="a Char"/>
    <w:basedOn w:val="DefaultParagraphFont"/>
    <w:link w:val="paragraph"/>
    <w:locked/>
    <w:rsid w:val="00C524F7"/>
    <w:rPr>
      <w:szCs w:val="24"/>
    </w:rPr>
  </w:style>
  <w:style w:type="paragraph" w:customStyle="1" w:styleId="paragraph">
    <w:name w:val="paragraph"/>
    <w:aliases w:val="a"/>
    <w:link w:val="paragraphChar"/>
    <w:rsid w:val="00C524F7"/>
    <w:pPr>
      <w:tabs>
        <w:tab w:val="right" w:pos="1531"/>
      </w:tabs>
      <w:spacing w:before="40" w:after="0" w:line="240" w:lineRule="auto"/>
      <w:ind w:left="1644" w:hanging="1644"/>
    </w:pPr>
    <w:rPr>
      <w:szCs w:val="24"/>
    </w:rPr>
  </w:style>
  <w:style w:type="character" w:customStyle="1" w:styleId="CharSectno">
    <w:name w:val="CharSectno"/>
    <w:basedOn w:val="DefaultParagraphFont"/>
    <w:rsid w:val="00C524F7"/>
  </w:style>
  <w:style w:type="paragraph" w:customStyle="1" w:styleId="BoxList">
    <w:name w:val="BoxList"/>
    <w:aliases w:val="bl"/>
    <w:basedOn w:val="Normal"/>
    <w:rsid w:val="008D15ED"/>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4"/>
      <w:lang w:eastAsia="en-AU"/>
    </w:rPr>
  </w:style>
  <w:style w:type="paragraph" w:customStyle="1" w:styleId="Definition">
    <w:name w:val="Definition"/>
    <w:aliases w:val="dd"/>
    <w:basedOn w:val="Normal"/>
    <w:rsid w:val="00E36B85"/>
    <w:pPr>
      <w:spacing w:before="180" w:after="0" w:line="240" w:lineRule="auto"/>
      <w:ind w:left="1134"/>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D65531"/>
    <w:pPr>
      <w:ind w:left="720"/>
      <w:contextualSpacing/>
    </w:pPr>
  </w:style>
  <w:style w:type="character" w:customStyle="1" w:styleId="Heading1Char">
    <w:name w:val="Heading 1 Char"/>
    <w:basedOn w:val="DefaultParagraphFont"/>
    <w:link w:val="Heading1"/>
    <w:uiPriority w:val="9"/>
    <w:rsid w:val="001E21D3"/>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C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11C"/>
  </w:style>
  <w:style w:type="paragraph" w:styleId="Footer">
    <w:name w:val="footer"/>
    <w:basedOn w:val="Normal"/>
    <w:link w:val="FooterChar"/>
    <w:uiPriority w:val="99"/>
    <w:unhideWhenUsed/>
    <w:rsid w:val="00CC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11C"/>
  </w:style>
  <w:style w:type="paragraph" w:styleId="BalloonText">
    <w:name w:val="Balloon Text"/>
    <w:basedOn w:val="Normal"/>
    <w:link w:val="BalloonTextChar"/>
    <w:uiPriority w:val="99"/>
    <w:semiHidden/>
    <w:unhideWhenUsed/>
    <w:rsid w:val="00CC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1C"/>
    <w:rPr>
      <w:rFonts w:ascii="Tahoma" w:hAnsi="Tahoma" w:cs="Tahoma"/>
      <w:sz w:val="16"/>
      <w:szCs w:val="16"/>
    </w:rPr>
  </w:style>
  <w:style w:type="paragraph" w:customStyle="1" w:styleId="Docheading1">
    <w:name w:val="Doc heading1"/>
    <w:basedOn w:val="Normal"/>
    <w:link w:val="Docheading1Char"/>
    <w:qFormat/>
    <w:rsid w:val="00B92973"/>
    <w:pPr>
      <w:spacing w:after="0"/>
    </w:pPr>
    <w:rPr>
      <w:rFonts w:ascii="Arial Narrow" w:hAnsi="Arial Narrow"/>
      <w:b/>
    </w:rPr>
  </w:style>
  <w:style w:type="character" w:customStyle="1" w:styleId="Docheading1Char">
    <w:name w:val="Doc heading1 Char"/>
    <w:basedOn w:val="DefaultParagraphFont"/>
    <w:link w:val="Docheading1"/>
    <w:rsid w:val="00B92973"/>
    <w:rPr>
      <w:rFonts w:ascii="Arial Narrow" w:hAnsi="Arial Narrow"/>
      <w:b/>
    </w:rPr>
  </w:style>
  <w:style w:type="paragraph" w:customStyle="1" w:styleId="Style1">
    <w:name w:val="Style1"/>
    <w:basedOn w:val="Normal"/>
    <w:link w:val="Style1Char"/>
    <w:qFormat/>
    <w:rsid w:val="00074B16"/>
    <w:pPr>
      <w:shd w:val="clear" w:color="auto" w:fill="FFFFFF"/>
      <w:spacing w:after="240" w:line="260" w:lineRule="atLeast"/>
      <w:ind w:left="720"/>
      <w:jc w:val="both"/>
    </w:pPr>
    <w:rPr>
      <w:rFonts w:ascii="Arial Narrow" w:eastAsia="Times New Roman" w:hAnsi="Arial Narrow" w:cs="Arial"/>
      <w:color w:val="000000"/>
      <w:u w:val="single"/>
      <w:lang w:val="en-US" w:eastAsia="en-AU"/>
    </w:rPr>
  </w:style>
  <w:style w:type="character" w:customStyle="1" w:styleId="Style1Char">
    <w:name w:val="Style1 Char"/>
    <w:basedOn w:val="DefaultParagraphFont"/>
    <w:link w:val="Style1"/>
    <w:rsid w:val="00074B16"/>
    <w:rPr>
      <w:rFonts w:ascii="Arial Narrow" w:eastAsia="Times New Roman" w:hAnsi="Arial Narrow" w:cs="Arial"/>
      <w:color w:val="000000"/>
      <w:u w:val="single"/>
      <w:shd w:val="clear" w:color="auto" w:fill="FFFFFF"/>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next w:val="Normal"/>
    <w:link w:val="Heading5Char"/>
    <w:uiPriority w:val="9"/>
    <w:semiHidden/>
    <w:unhideWhenUsed/>
    <w:qFormat/>
    <w:rsid w:val="00AA3F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711C76"/>
  </w:style>
  <w:style w:type="character" w:styleId="Hyperlink">
    <w:name w:val="Hyperlink"/>
    <w:basedOn w:val="DefaultParagraphFont"/>
    <w:uiPriority w:val="99"/>
    <w:unhideWhenUsed/>
    <w:rsid w:val="00711C76"/>
    <w:rPr>
      <w:color w:val="0000FF"/>
      <w:u w:val="single"/>
    </w:rPr>
  </w:style>
  <w:style w:type="paragraph" w:styleId="NormalWeb">
    <w:name w:val="Normal (Web)"/>
    <w:basedOn w:val="Normal"/>
    <w:uiPriority w:val="99"/>
    <w:unhideWhenUsed/>
    <w:rsid w:val="00711C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11C76"/>
  </w:style>
  <w:style w:type="character" w:styleId="Strong">
    <w:name w:val="Strong"/>
    <w:basedOn w:val="DefaultParagraphFont"/>
    <w:uiPriority w:val="22"/>
    <w:qFormat/>
    <w:rsid w:val="00711C76"/>
    <w:rPr>
      <w:b/>
      <w:bCs/>
    </w:rPr>
  </w:style>
  <w:style w:type="paragraph" w:styleId="TOC5">
    <w:name w:val="toc 5"/>
    <w:basedOn w:val="Heading5"/>
    <w:next w:val="Normal"/>
    <w:autoRedefine/>
    <w:uiPriority w:val="39"/>
    <w:semiHidden/>
    <w:unhideWhenUsed/>
    <w:rsid w:val="00AA3FB6"/>
    <w:pPr>
      <w:keepNext w:val="0"/>
      <w:tabs>
        <w:tab w:val="right" w:leader="dot" w:pos="7088"/>
      </w:tabs>
      <w:spacing w:before="40" w:line="240" w:lineRule="auto"/>
      <w:ind w:left="2098" w:right="567" w:hanging="680"/>
      <w:outlineLvl w:val="9"/>
    </w:pPr>
    <w:rPr>
      <w:rFonts w:ascii="Times New Roman" w:eastAsia="Times New Roman" w:hAnsi="Times New Roman" w:cs="Times New Roman"/>
      <w:iCs/>
      <w:color w:val="auto"/>
      <w:kern w:val="28"/>
      <w:sz w:val="18"/>
      <w:szCs w:val="26"/>
      <w:lang w:eastAsia="en-AU"/>
    </w:rPr>
  </w:style>
  <w:style w:type="character" w:customStyle="1" w:styleId="Heading5Char">
    <w:name w:val="Heading 5 Char"/>
    <w:basedOn w:val="DefaultParagraphFont"/>
    <w:link w:val="Heading5"/>
    <w:uiPriority w:val="9"/>
    <w:semiHidden/>
    <w:rsid w:val="00AA3FB6"/>
    <w:rPr>
      <w:rFonts w:asciiTheme="majorHAnsi" w:eastAsiaTheme="majorEastAsia" w:hAnsiTheme="majorHAnsi" w:cstheme="majorBidi"/>
      <w:color w:val="243F60" w:themeColor="accent1" w:themeShade="7F"/>
    </w:rPr>
  </w:style>
  <w:style w:type="paragraph" w:customStyle="1" w:styleId="ActHead5">
    <w:name w:val="ActHead 5"/>
    <w:aliases w:val="s"/>
    <w:basedOn w:val="Normal"/>
    <w:next w:val="Normal"/>
    <w:rsid w:val="00C524F7"/>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eastAsia="en-AU"/>
    </w:rPr>
  </w:style>
  <w:style w:type="character" w:customStyle="1" w:styleId="subsectionChar">
    <w:name w:val="subsection Char"/>
    <w:aliases w:val="ss Char"/>
    <w:basedOn w:val="DefaultParagraphFont"/>
    <w:link w:val="subsection"/>
    <w:locked/>
    <w:rsid w:val="00C524F7"/>
    <w:rPr>
      <w:szCs w:val="24"/>
    </w:rPr>
  </w:style>
  <w:style w:type="paragraph" w:customStyle="1" w:styleId="subsection">
    <w:name w:val="subsection"/>
    <w:aliases w:val="ss"/>
    <w:link w:val="subsectionChar"/>
    <w:rsid w:val="00C524F7"/>
    <w:pPr>
      <w:tabs>
        <w:tab w:val="right" w:pos="1021"/>
      </w:tabs>
      <w:spacing w:before="180" w:after="0" w:line="240" w:lineRule="auto"/>
      <w:ind w:left="1134" w:hanging="1134"/>
    </w:pPr>
    <w:rPr>
      <w:szCs w:val="24"/>
    </w:rPr>
  </w:style>
  <w:style w:type="character" w:customStyle="1" w:styleId="paragraphChar">
    <w:name w:val="paragraph Char"/>
    <w:aliases w:val="a Char"/>
    <w:basedOn w:val="DefaultParagraphFont"/>
    <w:link w:val="paragraph"/>
    <w:locked/>
    <w:rsid w:val="00C524F7"/>
    <w:rPr>
      <w:szCs w:val="24"/>
    </w:rPr>
  </w:style>
  <w:style w:type="paragraph" w:customStyle="1" w:styleId="paragraph">
    <w:name w:val="paragraph"/>
    <w:aliases w:val="a"/>
    <w:link w:val="paragraphChar"/>
    <w:rsid w:val="00C524F7"/>
    <w:pPr>
      <w:tabs>
        <w:tab w:val="right" w:pos="1531"/>
      </w:tabs>
      <w:spacing w:before="40" w:after="0" w:line="240" w:lineRule="auto"/>
      <w:ind w:left="1644" w:hanging="1644"/>
    </w:pPr>
    <w:rPr>
      <w:szCs w:val="24"/>
    </w:rPr>
  </w:style>
  <w:style w:type="character" w:customStyle="1" w:styleId="CharSectno">
    <w:name w:val="CharSectno"/>
    <w:basedOn w:val="DefaultParagraphFont"/>
    <w:rsid w:val="00C524F7"/>
  </w:style>
  <w:style w:type="paragraph" w:customStyle="1" w:styleId="BoxList">
    <w:name w:val="BoxList"/>
    <w:aliases w:val="bl"/>
    <w:basedOn w:val="Normal"/>
    <w:rsid w:val="008D15ED"/>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4"/>
      <w:lang w:eastAsia="en-AU"/>
    </w:rPr>
  </w:style>
  <w:style w:type="paragraph" w:customStyle="1" w:styleId="Definition">
    <w:name w:val="Definition"/>
    <w:aliases w:val="dd"/>
    <w:basedOn w:val="Normal"/>
    <w:rsid w:val="00E36B85"/>
    <w:pPr>
      <w:spacing w:before="180" w:after="0" w:line="240" w:lineRule="auto"/>
      <w:ind w:left="1134"/>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D65531"/>
    <w:pPr>
      <w:ind w:left="720"/>
      <w:contextualSpacing/>
    </w:pPr>
  </w:style>
  <w:style w:type="character" w:customStyle="1" w:styleId="Heading1Char">
    <w:name w:val="Heading 1 Char"/>
    <w:basedOn w:val="DefaultParagraphFont"/>
    <w:link w:val="Heading1"/>
    <w:uiPriority w:val="9"/>
    <w:rsid w:val="001E21D3"/>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C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11C"/>
  </w:style>
  <w:style w:type="paragraph" w:styleId="Footer">
    <w:name w:val="footer"/>
    <w:basedOn w:val="Normal"/>
    <w:link w:val="FooterChar"/>
    <w:uiPriority w:val="99"/>
    <w:unhideWhenUsed/>
    <w:rsid w:val="00CC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11C"/>
  </w:style>
  <w:style w:type="paragraph" w:styleId="BalloonText">
    <w:name w:val="Balloon Text"/>
    <w:basedOn w:val="Normal"/>
    <w:link w:val="BalloonTextChar"/>
    <w:uiPriority w:val="99"/>
    <w:semiHidden/>
    <w:unhideWhenUsed/>
    <w:rsid w:val="00CC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1C"/>
    <w:rPr>
      <w:rFonts w:ascii="Tahoma" w:hAnsi="Tahoma" w:cs="Tahoma"/>
      <w:sz w:val="16"/>
      <w:szCs w:val="16"/>
    </w:rPr>
  </w:style>
  <w:style w:type="paragraph" w:customStyle="1" w:styleId="Docheading1">
    <w:name w:val="Doc heading1"/>
    <w:basedOn w:val="Normal"/>
    <w:link w:val="Docheading1Char"/>
    <w:qFormat/>
    <w:rsid w:val="00B92973"/>
    <w:pPr>
      <w:spacing w:after="0"/>
    </w:pPr>
    <w:rPr>
      <w:rFonts w:ascii="Arial Narrow" w:hAnsi="Arial Narrow"/>
      <w:b/>
    </w:rPr>
  </w:style>
  <w:style w:type="character" w:customStyle="1" w:styleId="Docheading1Char">
    <w:name w:val="Doc heading1 Char"/>
    <w:basedOn w:val="DefaultParagraphFont"/>
    <w:link w:val="Docheading1"/>
    <w:rsid w:val="00B92973"/>
    <w:rPr>
      <w:rFonts w:ascii="Arial Narrow" w:hAnsi="Arial Narrow"/>
      <w:b/>
    </w:rPr>
  </w:style>
  <w:style w:type="paragraph" w:customStyle="1" w:styleId="Style1">
    <w:name w:val="Style1"/>
    <w:basedOn w:val="Normal"/>
    <w:link w:val="Style1Char"/>
    <w:qFormat/>
    <w:rsid w:val="00074B16"/>
    <w:pPr>
      <w:shd w:val="clear" w:color="auto" w:fill="FFFFFF"/>
      <w:spacing w:after="240" w:line="260" w:lineRule="atLeast"/>
      <w:ind w:left="720"/>
      <w:jc w:val="both"/>
    </w:pPr>
    <w:rPr>
      <w:rFonts w:ascii="Arial Narrow" w:eastAsia="Times New Roman" w:hAnsi="Arial Narrow" w:cs="Arial"/>
      <w:color w:val="000000"/>
      <w:u w:val="single"/>
      <w:lang w:val="en-US" w:eastAsia="en-AU"/>
    </w:rPr>
  </w:style>
  <w:style w:type="character" w:customStyle="1" w:styleId="Style1Char">
    <w:name w:val="Style1 Char"/>
    <w:basedOn w:val="DefaultParagraphFont"/>
    <w:link w:val="Style1"/>
    <w:rsid w:val="00074B16"/>
    <w:rPr>
      <w:rFonts w:ascii="Arial Narrow" w:eastAsia="Times New Roman" w:hAnsi="Arial Narrow" w:cs="Arial"/>
      <w:color w:val="000000"/>
      <w:u w:val="single"/>
      <w:shd w:val="clear" w:color="auto" w:fill="FFFFFF"/>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955">
      <w:bodyDiv w:val="1"/>
      <w:marLeft w:val="0"/>
      <w:marRight w:val="0"/>
      <w:marTop w:val="0"/>
      <w:marBottom w:val="0"/>
      <w:divBdr>
        <w:top w:val="none" w:sz="0" w:space="0" w:color="auto"/>
        <w:left w:val="none" w:sz="0" w:space="0" w:color="auto"/>
        <w:bottom w:val="none" w:sz="0" w:space="0" w:color="auto"/>
        <w:right w:val="none" w:sz="0" w:space="0" w:color="auto"/>
      </w:divBdr>
    </w:div>
    <w:div w:id="477066281">
      <w:bodyDiv w:val="1"/>
      <w:marLeft w:val="0"/>
      <w:marRight w:val="0"/>
      <w:marTop w:val="0"/>
      <w:marBottom w:val="0"/>
      <w:divBdr>
        <w:top w:val="none" w:sz="0" w:space="0" w:color="auto"/>
        <w:left w:val="none" w:sz="0" w:space="0" w:color="auto"/>
        <w:bottom w:val="none" w:sz="0" w:space="0" w:color="auto"/>
        <w:right w:val="none" w:sz="0" w:space="0" w:color="auto"/>
      </w:divBdr>
    </w:div>
    <w:div w:id="706612639">
      <w:bodyDiv w:val="1"/>
      <w:marLeft w:val="0"/>
      <w:marRight w:val="0"/>
      <w:marTop w:val="0"/>
      <w:marBottom w:val="0"/>
      <w:divBdr>
        <w:top w:val="none" w:sz="0" w:space="0" w:color="auto"/>
        <w:left w:val="none" w:sz="0" w:space="0" w:color="auto"/>
        <w:bottom w:val="none" w:sz="0" w:space="0" w:color="auto"/>
        <w:right w:val="none" w:sz="0" w:space="0" w:color="auto"/>
      </w:divBdr>
    </w:div>
    <w:div w:id="863441837">
      <w:bodyDiv w:val="1"/>
      <w:marLeft w:val="0"/>
      <w:marRight w:val="0"/>
      <w:marTop w:val="0"/>
      <w:marBottom w:val="0"/>
      <w:divBdr>
        <w:top w:val="none" w:sz="0" w:space="0" w:color="auto"/>
        <w:left w:val="none" w:sz="0" w:space="0" w:color="auto"/>
        <w:bottom w:val="none" w:sz="0" w:space="0" w:color="auto"/>
        <w:right w:val="none" w:sz="0" w:space="0" w:color="auto"/>
      </w:divBdr>
    </w:div>
    <w:div w:id="975724519">
      <w:bodyDiv w:val="1"/>
      <w:marLeft w:val="0"/>
      <w:marRight w:val="0"/>
      <w:marTop w:val="0"/>
      <w:marBottom w:val="0"/>
      <w:divBdr>
        <w:top w:val="none" w:sz="0" w:space="0" w:color="auto"/>
        <w:left w:val="none" w:sz="0" w:space="0" w:color="auto"/>
        <w:bottom w:val="none" w:sz="0" w:space="0" w:color="auto"/>
        <w:right w:val="none" w:sz="0" w:space="0" w:color="auto"/>
      </w:divBdr>
    </w:div>
    <w:div w:id="1086734111">
      <w:bodyDiv w:val="1"/>
      <w:marLeft w:val="0"/>
      <w:marRight w:val="0"/>
      <w:marTop w:val="0"/>
      <w:marBottom w:val="0"/>
      <w:divBdr>
        <w:top w:val="none" w:sz="0" w:space="0" w:color="auto"/>
        <w:left w:val="none" w:sz="0" w:space="0" w:color="auto"/>
        <w:bottom w:val="none" w:sz="0" w:space="0" w:color="auto"/>
        <w:right w:val="none" w:sz="0" w:space="0" w:color="auto"/>
      </w:divBdr>
    </w:div>
    <w:div w:id="1113749356">
      <w:bodyDiv w:val="1"/>
      <w:marLeft w:val="0"/>
      <w:marRight w:val="0"/>
      <w:marTop w:val="0"/>
      <w:marBottom w:val="0"/>
      <w:divBdr>
        <w:top w:val="none" w:sz="0" w:space="0" w:color="auto"/>
        <w:left w:val="none" w:sz="0" w:space="0" w:color="auto"/>
        <w:bottom w:val="none" w:sz="0" w:space="0" w:color="auto"/>
        <w:right w:val="none" w:sz="0" w:space="0" w:color="auto"/>
      </w:divBdr>
    </w:div>
    <w:div w:id="1152134256">
      <w:bodyDiv w:val="1"/>
      <w:marLeft w:val="0"/>
      <w:marRight w:val="0"/>
      <w:marTop w:val="0"/>
      <w:marBottom w:val="0"/>
      <w:divBdr>
        <w:top w:val="none" w:sz="0" w:space="0" w:color="auto"/>
        <w:left w:val="none" w:sz="0" w:space="0" w:color="auto"/>
        <w:bottom w:val="none" w:sz="0" w:space="0" w:color="auto"/>
        <w:right w:val="none" w:sz="0" w:space="0" w:color="auto"/>
      </w:divBdr>
    </w:div>
    <w:div w:id="1183591655">
      <w:bodyDiv w:val="1"/>
      <w:marLeft w:val="0"/>
      <w:marRight w:val="0"/>
      <w:marTop w:val="0"/>
      <w:marBottom w:val="0"/>
      <w:divBdr>
        <w:top w:val="none" w:sz="0" w:space="0" w:color="auto"/>
        <w:left w:val="none" w:sz="0" w:space="0" w:color="auto"/>
        <w:bottom w:val="none" w:sz="0" w:space="0" w:color="auto"/>
        <w:right w:val="none" w:sz="0" w:space="0" w:color="auto"/>
      </w:divBdr>
    </w:div>
    <w:div w:id="1202205550">
      <w:bodyDiv w:val="1"/>
      <w:marLeft w:val="0"/>
      <w:marRight w:val="0"/>
      <w:marTop w:val="0"/>
      <w:marBottom w:val="0"/>
      <w:divBdr>
        <w:top w:val="none" w:sz="0" w:space="0" w:color="auto"/>
        <w:left w:val="none" w:sz="0" w:space="0" w:color="auto"/>
        <w:bottom w:val="none" w:sz="0" w:space="0" w:color="auto"/>
        <w:right w:val="none" w:sz="0" w:space="0" w:color="auto"/>
      </w:divBdr>
    </w:div>
    <w:div w:id="1235699019">
      <w:bodyDiv w:val="1"/>
      <w:marLeft w:val="0"/>
      <w:marRight w:val="0"/>
      <w:marTop w:val="0"/>
      <w:marBottom w:val="0"/>
      <w:divBdr>
        <w:top w:val="none" w:sz="0" w:space="0" w:color="auto"/>
        <w:left w:val="none" w:sz="0" w:space="0" w:color="auto"/>
        <w:bottom w:val="none" w:sz="0" w:space="0" w:color="auto"/>
        <w:right w:val="none" w:sz="0" w:space="0" w:color="auto"/>
      </w:divBdr>
    </w:div>
    <w:div w:id="1349482159">
      <w:bodyDiv w:val="1"/>
      <w:marLeft w:val="0"/>
      <w:marRight w:val="0"/>
      <w:marTop w:val="0"/>
      <w:marBottom w:val="0"/>
      <w:divBdr>
        <w:top w:val="none" w:sz="0" w:space="0" w:color="auto"/>
        <w:left w:val="none" w:sz="0" w:space="0" w:color="auto"/>
        <w:bottom w:val="none" w:sz="0" w:space="0" w:color="auto"/>
        <w:right w:val="none" w:sz="0" w:space="0" w:color="auto"/>
      </w:divBdr>
    </w:div>
    <w:div w:id="1426342211">
      <w:bodyDiv w:val="1"/>
      <w:marLeft w:val="0"/>
      <w:marRight w:val="0"/>
      <w:marTop w:val="0"/>
      <w:marBottom w:val="0"/>
      <w:divBdr>
        <w:top w:val="none" w:sz="0" w:space="0" w:color="auto"/>
        <w:left w:val="none" w:sz="0" w:space="0" w:color="auto"/>
        <w:bottom w:val="none" w:sz="0" w:space="0" w:color="auto"/>
        <w:right w:val="none" w:sz="0" w:space="0" w:color="auto"/>
      </w:divBdr>
    </w:div>
    <w:div w:id="1450901783">
      <w:bodyDiv w:val="1"/>
      <w:marLeft w:val="0"/>
      <w:marRight w:val="0"/>
      <w:marTop w:val="0"/>
      <w:marBottom w:val="0"/>
      <w:divBdr>
        <w:top w:val="none" w:sz="0" w:space="0" w:color="auto"/>
        <w:left w:val="none" w:sz="0" w:space="0" w:color="auto"/>
        <w:bottom w:val="none" w:sz="0" w:space="0" w:color="auto"/>
        <w:right w:val="none" w:sz="0" w:space="0" w:color="auto"/>
      </w:divBdr>
    </w:div>
    <w:div w:id="1641880065">
      <w:bodyDiv w:val="1"/>
      <w:marLeft w:val="0"/>
      <w:marRight w:val="0"/>
      <w:marTop w:val="0"/>
      <w:marBottom w:val="0"/>
      <w:divBdr>
        <w:top w:val="none" w:sz="0" w:space="0" w:color="auto"/>
        <w:left w:val="none" w:sz="0" w:space="0" w:color="auto"/>
        <w:bottom w:val="none" w:sz="0" w:space="0" w:color="auto"/>
        <w:right w:val="none" w:sz="0" w:space="0" w:color="auto"/>
      </w:divBdr>
    </w:div>
    <w:div w:id="1749036627">
      <w:bodyDiv w:val="1"/>
      <w:marLeft w:val="0"/>
      <w:marRight w:val="0"/>
      <w:marTop w:val="0"/>
      <w:marBottom w:val="0"/>
      <w:divBdr>
        <w:top w:val="none" w:sz="0" w:space="0" w:color="auto"/>
        <w:left w:val="none" w:sz="0" w:space="0" w:color="auto"/>
        <w:bottom w:val="none" w:sz="0" w:space="0" w:color="auto"/>
        <w:right w:val="none" w:sz="0" w:space="0" w:color="auto"/>
      </w:divBdr>
    </w:div>
    <w:div w:id="1842818618">
      <w:bodyDiv w:val="1"/>
      <w:marLeft w:val="0"/>
      <w:marRight w:val="0"/>
      <w:marTop w:val="0"/>
      <w:marBottom w:val="0"/>
      <w:divBdr>
        <w:top w:val="none" w:sz="0" w:space="0" w:color="auto"/>
        <w:left w:val="none" w:sz="0" w:space="0" w:color="auto"/>
        <w:bottom w:val="none" w:sz="0" w:space="0" w:color="auto"/>
        <w:right w:val="none" w:sz="0" w:space="0" w:color="auto"/>
      </w:divBdr>
    </w:div>
    <w:div w:id="1887063645">
      <w:bodyDiv w:val="1"/>
      <w:marLeft w:val="0"/>
      <w:marRight w:val="0"/>
      <w:marTop w:val="0"/>
      <w:marBottom w:val="0"/>
      <w:divBdr>
        <w:top w:val="none" w:sz="0" w:space="0" w:color="auto"/>
        <w:left w:val="none" w:sz="0" w:space="0" w:color="auto"/>
        <w:bottom w:val="none" w:sz="0" w:space="0" w:color="auto"/>
        <w:right w:val="none" w:sz="0" w:space="0" w:color="auto"/>
      </w:divBdr>
    </w:div>
    <w:div w:id="1933082132">
      <w:bodyDiv w:val="1"/>
      <w:marLeft w:val="0"/>
      <w:marRight w:val="0"/>
      <w:marTop w:val="0"/>
      <w:marBottom w:val="0"/>
      <w:divBdr>
        <w:top w:val="none" w:sz="0" w:space="0" w:color="auto"/>
        <w:left w:val="none" w:sz="0" w:space="0" w:color="auto"/>
        <w:bottom w:val="none" w:sz="0" w:space="0" w:color="auto"/>
        <w:right w:val="none" w:sz="0" w:space="0" w:color="auto"/>
      </w:divBdr>
    </w:div>
    <w:div w:id="19901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hcsia.gov.au/our-responsibilities/women/publications-articles/consultation-process-to-develop-reporting-matters-under-the-workplace-gender-equality-ac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rlinfo.aph.gov.au/parlInfo/search/display/display.w3p;query=Id:%22legislation/ems/r4765_ems_21d75f48-2ce0-4719-aa15-c92c4b78dae5%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manrights.gov.au/africanaus/2011_roundtables/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hcsia.gov.au/our-responsibilities/women/publications-articles/consultation-process-to-develop-reporting-matters-under-the-workplace-gender-equality-act" TargetMode="External"/><Relationship Id="rId4" Type="http://schemas.microsoft.com/office/2007/relationships/stylesWithEffects" Target="stylesWithEffects.xml"/><Relationship Id="rId9" Type="http://schemas.openxmlformats.org/officeDocument/2006/relationships/hyperlink" Target="mailto:women@fahcsia.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C110-2D39-473C-AA79-9F6BDB55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Pendo</dc:creator>
  <cp:lastModifiedBy>Rod McDonald</cp:lastModifiedBy>
  <cp:revision>2</cp:revision>
  <cp:lastPrinted>2013-01-29T12:54:00Z</cp:lastPrinted>
  <dcterms:created xsi:type="dcterms:W3CDTF">2013-04-15T05:27:00Z</dcterms:created>
  <dcterms:modified xsi:type="dcterms:W3CDTF">2013-04-15T05:27:00Z</dcterms:modified>
</cp:coreProperties>
</file>