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5F61FD" w:rsidP="005F61FD">
            <w:r>
              <w:t>No comment</w:t>
            </w:r>
          </w:p>
          <w:p w:rsidR="005F61FD" w:rsidRPr="005F61FD" w:rsidRDefault="005F61FD" w:rsidP="005F61FD"/>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5F61FD" w:rsidP="005F61FD">
            <w:r>
              <w:t>No comment</w:t>
            </w:r>
          </w:p>
          <w:p w:rsidR="005F61FD" w:rsidRPr="005F61FD" w:rsidRDefault="005F61FD" w:rsidP="005F61FD"/>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5F61FD" w:rsidP="005F61FD">
            <w:r>
              <w:t>No comment</w:t>
            </w:r>
          </w:p>
          <w:p w:rsidR="005F61FD" w:rsidRPr="005F61FD" w:rsidRDefault="005F61FD" w:rsidP="005F61FD"/>
        </w:tc>
      </w:tr>
    </w:tbl>
    <w:p w:rsidR="008C5A75" w:rsidRPr="008C5A75" w:rsidRDefault="008C5A75" w:rsidP="008C5A75"/>
    <w:p w:rsidR="001C2BE7" w:rsidRDefault="001C2BE7" w:rsidP="008C5A75">
      <w:pPr>
        <w:pStyle w:val="Heading3"/>
        <w:rPr>
          <w:iCs/>
          <w:smallCaps/>
        </w:rPr>
      </w:pPr>
      <w:r w:rsidRPr="00352EFF">
        <w:lastRenderedPageBreak/>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5F61FD" w:rsidP="005F61FD">
            <w:r>
              <w:t>No comment</w:t>
            </w:r>
          </w:p>
          <w:p w:rsidR="005F61FD" w:rsidRPr="005F61FD" w:rsidRDefault="005F61FD" w:rsidP="005F61FD"/>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5F61FD" w:rsidP="005F61FD">
            <w:r>
              <w:t>No comment</w:t>
            </w:r>
          </w:p>
          <w:p w:rsidR="005F61FD" w:rsidRPr="005F61FD" w:rsidRDefault="005F61FD" w:rsidP="005F61FD"/>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5F61FD" w:rsidP="005F61FD">
            <w:r>
              <w:t>No comment</w:t>
            </w:r>
          </w:p>
          <w:p w:rsidR="005F61FD" w:rsidRPr="005F61FD" w:rsidRDefault="005F61FD" w:rsidP="005F61FD"/>
        </w:tc>
      </w:tr>
    </w:tbl>
    <w:p w:rsidR="005F61FD" w:rsidRDefault="005F61FD" w:rsidP="008C5A75">
      <w:pPr>
        <w:pStyle w:val="Heading2"/>
      </w:pPr>
    </w:p>
    <w:p w:rsidR="005F61FD" w:rsidRDefault="005F61FD" w:rsidP="008C5A75">
      <w:pPr>
        <w:pStyle w:val="Heading2"/>
      </w:pPr>
    </w:p>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5F61FD" w:rsidRDefault="005F61FD" w:rsidP="005F61FD">
            <w:r>
              <w:t>No comment</w:t>
            </w:r>
          </w:p>
          <w:p w:rsidR="005F61FD" w:rsidRDefault="005F61FD" w:rsidP="006B61A4">
            <w:pPr>
              <w:spacing w:after="840"/>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5F61FD" w:rsidRDefault="005F61FD" w:rsidP="005F61FD">
            <w:r>
              <w:t>No comment</w:t>
            </w:r>
          </w:p>
          <w:p w:rsidR="001C2BE7" w:rsidRPr="002A74D8" w:rsidRDefault="001C2BE7" w:rsidP="001C2BE7">
            <w:pPr>
              <w:spacing w:after="840"/>
              <w:rPr>
                <w:i/>
                <w:iCs/>
                <w:smallCaps/>
              </w:rPr>
            </w:pPr>
          </w:p>
        </w:tc>
      </w:tr>
    </w:tbl>
    <w:p w:rsidR="008C5A75" w:rsidRPr="008C5A75" w:rsidRDefault="008C5A75" w:rsidP="008C5A75"/>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5F61FD" w:rsidRDefault="005F61FD" w:rsidP="008C5A75">
      <w:pPr>
        <w:pStyle w:val="Heading3"/>
      </w:pPr>
    </w:p>
    <w:p w:rsidR="001C2BE7" w:rsidRPr="008C5A75" w:rsidRDefault="001C2BE7" w:rsidP="008C5A75">
      <w:pPr>
        <w:pStyle w:val="Heading3"/>
      </w:pPr>
      <w:r w:rsidRPr="007D7F83">
        <w:lastRenderedPageBreak/>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225085" w:rsidRDefault="00225085" w:rsidP="00225085">
            <w:r>
              <w:t xml:space="preserve">Highly tailored training combined with other assistance can assist disadvantaged young people improve LLN and job search. However, it is the nature of the training and the delivery environment which can make a difference to success or failure. Our experience demonstrates that a departure from the usual approaches might be needed to successfully help disadvantaged young people through. </w:t>
            </w:r>
          </w:p>
          <w:p w:rsidR="00225085" w:rsidRDefault="00225085" w:rsidP="00225085">
            <w:r>
              <w:t xml:space="preserve">RDA Sydney developed (based on the input and collective wisdom of a consortium of JSAs, training and social organizations) and collectively implemented a holistic training model.  </w:t>
            </w:r>
            <w:r w:rsidRPr="004111C3">
              <w:rPr>
                <w:i/>
              </w:rPr>
              <w:t>GPS for your Career</w:t>
            </w:r>
            <w:r>
              <w:t>, for disadvantaged youth in 2012 which produced a number of employment and training outcomes, in the Liverpool area in NSW.</w:t>
            </w:r>
          </w:p>
          <w:p w:rsidR="00225085" w:rsidRDefault="00225085" w:rsidP="00225085">
            <w:r>
              <w:t>The project transitioned 13 vulnerable, early school leavers at risk of dangerous behaviours into trade training and employment in local charities and companies. Most participants lacked peer, community and home role models and connections, some suffered from substance abuse, lacked motivation, had low expectations and were ineffective in finding work and were at risk of long-term unemployment.</w:t>
            </w:r>
          </w:p>
          <w:p w:rsidR="00225085" w:rsidRDefault="00225085" w:rsidP="00225085">
            <w:r>
              <w:t>The model included a diverse set of workshops and interventions that were not normally used by JSAs, such as: Early identification of barriers (housing, mental health, addictions, etc) and interventions through referral to appropriate health and community services and follow up by the project coordinator, to ensure problems impacting on participants’ ability to gain training and employment were addressed at an early stage.</w:t>
            </w:r>
          </w:p>
          <w:p w:rsidR="00225085" w:rsidRDefault="00225085" w:rsidP="00225085">
            <w:r>
              <w:t xml:space="preserve">A personal development program, </w:t>
            </w:r>
            <w:r w:rsidRPr="007D3EE1">
              <w:rPr>
                <w:i/>
              </w:rPr>
              <w:t>Try your Own Potential</w:t>
            </w:r>
            <w:r>
              <w:t xml:space="preserve"> (was conducted in the context of a youth camp in the bush with physical exercise, group dynamics, discussions, feedback etc) which triggered discipline, team work, leadership, communication and soft skills acquisition, needed to succeed in the work environment; vocational assessment and trade tasters; tailored training in literacy and business skills and a closely guided five-week intensive job seeking assistance.</w:t>
            </w:r>
          </w:p>
          <w:p w:rsidR="00225085" w:rsidRDefault="00225085" w:rsidP="00225085">
            <w:r>
              <w:t>This cross section of content and interventions addressed the different but interconnected dimension of need, which combined, seemed to have triggered the impetus for participants to make the difficult transition into employment and training.</w:t>
            </w:r>
          </w:p>
          <w:p w:rsidR="00225085" w:rsidRDefault="00225085" w:rsidP="00225085">
            <w:r>
              <w:t xml:space="preserve">The model identified some best practice. It proved that flexible, coordinated and innovative approaches work with young people that tend to identify with a more </w:t>
            </w:r>
            <w:r w:rsidRPr="007D3EE1">
              <w:rPr>
                <w:i/>
              </w:rPr>
              <w:t xml:space="preserve">upbeat </w:t>
            </w:r>
            <w:r>
              <w:t>type of training environment and content (off site training, visual materials, personal expression etc) -combining experiential with skills learning. An honest engagement, close supervision and follow up by the project coordinator were key to the success of the project. We found that participants faced a number of problems they had to address that were more pressing to them than employment was. For example addiction, family problems, etc so training and employment had to be fit into the broader dimensions of their lives. These need to be taken into account when assisting young people.</w:t>
            </w:r>
          </w:p>
          <w:p w:rsidR="00225085" w:rsidRDefault="00225085" w:rsidP="00225085">
            <w:r>
              <w:t>We also identified fragmentation in service provision. The key to achieving positive changes especially at the local level is the way in which services and agencies work together assisting disadvantaged young people to prepare for and make the transition to employment. We found this was not always the case so service integration is vital as is the continuity of service provision. Centrelink and JSAs need to adopt youth friendly approaches and increase their specialist youth services.</w:t>
            </w:r>
          </w:p>
          <w:p w:rsidR="001C2BE7" w:rsidRPr="00225085" w:rsidRDefault="00225085" w:rsidP="004C582B">
            <w:r>
              <w:t>While GPS for your Career, which was conducted by Inspire Community with LEC funding, was more costly to the government than the usual approaches, it has the potential to be most cost effective in the long term in terms of savings made by government in income support and health, community and juvenile justice services, if participants disengage from their communities.</w:t>
            </w:r>
          </w:p>
        </w:tc>
      </w:tr>
    </w:tbl>
    <w:p w:rsidR="00225085" w:rsidRDefault="00225085" w:rsidP="008C5A75">
      <w:pPr>
        <w:pStyle w:val="Heading3"/>
      </w:pPr>
    </w:p>
    <w:p w:rsidR="00983E31" w:rsidRDefault="00983E31" w:rsidP="008C5A75">
      <w:pPr>
        <w:pStyle w:val="Heading3"/>
      </w:pPr>
    </w:p>
    <w:p w:rsidR="00983E31" w:rsidRDefault="00983E31" w:rsidP="008C5A75">
      <w:pPr>
        <w:pStyle w:val="Heading3"/>
      </w:pPr>
    </w:p>
    <w:p w:rsidR="00983E31" w:rsidRDefault="00983E31" w:rsidP="008C5A75">
      <w:pPr>
        <w:pStyle w:val="Heading3"/>
      </w:pPr>
    </w:p>
    <w:p w:rsidR="001C2BE7" w:rsidRPr="006C5254" w:rsidRDefault="001C2BE7" w:rsidP="008C5A75">
      <w:pPr>
        <w:pStyle w:val="Heading3"/>
        <w:rPr>
          <w:iCs/>
          <w:smallCaps/>
        </w:rPr>
      </w:pPr>
      <w:r w:rsidRPr="006C5254">
        <w:lastRenderedPageBreak/>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E41343" w:rsidRPr="005E6AAB" w:rsidRDefault="00E41343" w:rsidP="00E41343">
            <w:r>
              <w:t xml:space="preserve">RDA Sydney was successful in receiving funding through the National Homelessness Strategy administered by the Department of Families, Housing, Community Services and Indigenous Affairs (now Department of Social Services) to pilot an employment integration model for homeless jobseekers in the Inner City and Nepean areas of Sydney. The project adopted the </w:t>
            </w:r>
            <w:r>
              <w:rPr>
                <w:i/>
              </w:rPr>
              <w:t>WorkF</w:t>
            </w:r>
            <w:r w:rsidRPr="005E6AAB">
              <w:rPr>
                <w:i/>
              </w:rPr>
              <w:t>ast</w:t>
            </w:r>
            <w:r>
              <w:rPr>
                <w:i/>
              </w:rPr>
              <w:t xml:space="preserve"> </w:t>
            </w:r>
            <w:r w:rsidRPr="005E6AAB">
              <w:t>model to explore</w:t>
            </w:r>
            <w:r>
              <w:t xml:space="preserve"> models of integration, </w:t>
            </w:r>
            <w:r>
              <w:rPr>
                <w:i/>
              </w:rPr>
              <w:t>WorkF</w:t>
            </w:r>
            <w:r w:rsidRPr="005E6AAB">
              <w:rPr>
                <w:i/>
              </w:rPr>
              <w:t>ast</w:t>
            </w:r>
            <w:r>
              <w:rPr>
                <w:i/>
              </w:rPr>
              <w:t xml:space="preserve"> </w:t>
            </w:r>
            <w:r>
              <w:t>has an immediate and primary focus on helping the jobseeker gain employment as soon as possible and requires  strong integrated and support for clients, from outreach until long into the employment experience.</w:t>
            </w:r>
          </w:p>
          <w:p w:rsidR="00694C56" w:rsidRDefault="00E41343" w:rsidP="00E41343">
            <w:r>
              <w:t>From the learnings of th</w:t>
            </w:r>
            <w:r w:rsidR="00694C56">
              <w:t>is</w:t>
            </w:r>
            <w:r>
              <w:t xml:space="preserve"> project RDA Sydney recommends that an integrated service model (i.e. joint case management) should be a standard operating procedure for employment service providers for jobseekers identified as having complex issues. Employment services contracts, including KPIs, systems and funding, should strongly influence employment service providers to develop and implement an integrated service model approach. Employment services funding should reflect the additional cost to the provider to establish the appropriate partnerships and to maintain ongoing relationships. Funding should also reflect the need for the establishment and the ongoing operation of outreach services by Employment Service Providers </w:t>
            </w:r>
            <w:r w:rsidR="00694C56">
              <w:t xml:space="preserve">at the premises of partner agencies and in the case of homeless jobseeker at places frequented by rough sleepers. </w:t>
            </w:r>
          </w:p>
          <w:p w:rsidR="00E41343" w:rsidRDefault="00E41343" w:rsidP="00E41343">
            <w:r>
              <w:t>Although both housing and psycho/social services do not have employment as their primary focus it is a pathway out of homelessness and to mental wellness therefore their engagement in an integrated service model is essential, however many of these services are not resourced to engage in their client’s pathway to employment at the level required to have a true integrated system. Examination of the funding streams to housing and psycho/social services is required to determine how this integration can be accomplished or perhaps employment pathways funding should be considered as a funding source to these agencies as a fee for joint case management services. There also needs to be an acknowledgement that the post placement support for clients with complex issues requires more resources for a longer duration to gain maximum outcomes. It is positive to see in the Employment Services Exposure Draft that there is a real focus on creating ongoing relationships with employers and RDA Sydney strongly recommends that for jobseekers with complex issues who have stated that they want to work that the service is built round active job search with reverse marketing efforts. This should be coupled with financial incentives to employers to train on the job and to provide employment for real wages. Vocational and non –vocational services should wrap around this focus and support its ongoing sustainability.</w:t>
            </w:r>
          </w:p>
          <w:p w:rsidR="001C2BE7" w:rsidRPr="00374CDF" w:rsidRDefault="001C2BE7" w:rsidP="00694C56">
            <w:pPr>
              <w:rPr>
                <w:iCs/>
                <w:smallCaps/>
              </w:rPr>
            </w:pPr>
          </w:p>
        </w:tc>
      </w:tr>
    </w:tbl>
    <w:p w:rsidR="008C5A75" w:rsidRPr="008C5A75" w:rsidRDefault="008C5A75" w:rsidP="008C5A75"/>
    <w:p w:rsidR="00983E31" w:rsidRDefault="00983E31" w:rsidP="008C5A75">
      <w:pPr>
        <w:pStyle w:val="Heading3"/>
      </w:pPr>
    </w:p>
    <w:p w:rsidR="00983E31" w:rsidRDefault="00983E31" w:rsidP="008C5A75">
      <w:pPr>
        <w:pStyle w:val="Heading3"/>
      </w:pPr>
    </w:p>
    <w:p w:rsidR="00983E31" w:rsidRDefault="00983E31" w:rsidP="008C5A75">
      <w:pPr>
        <w:pStyle w:val="Heading3"/>
      </w:pPr>
    </w:p>
    <w:p w:rsidR="00694C56" w:rsidRDefault="00694C56" w:rsidP="00694C56">
      <w:pPr>
        <w:rPr>
          <w:lang w:eastAsia="en-AU"/>
        </w:rPr>
      </w:pPr>
    </w:p>
    <w:p w:rsidR="00694C56" w:rsidRDefault="00694C56" w:rsidP="00694C56">
      <w:pPr>
        <w:rPr>
          <w:lang w:eastAsia="en-AU"/>
        </w:rPr>
      </w:pPr>
    </w:p>
    <w:p w:rsidR="00694C56" w:rsidRDefault="00694C56" w:rsidP="00694C56">
      <w:pPr>
        <w:rPr>
          <w:lang w:eastAsia="en-AU"/>
        </w:rPr>
      </w:pPr>
    </w:p>
    <w:p w:rsidR="00694C56" w:rsidRDefault="00694C56" w:rsidP="00694C56">
      <w:pPr>
        <w:rPr>
          <w:lang w:eastAsia="en-AU"/>
        </w:rPr>
      </w:pPr>
    </w:p>
    <w:p w:rsidR="00694C56" w:rsidRPr="00694C56" w:rsidRDefault="00694C56" w:rsidP="00694C56">
      <w:pPr>
        <w:rPr>
          <w:lang w:eastAsia="en-AU"/>
        </w:rPr>
      </w:pPr>
    </w:p>
    <w:p w:rsidR="001C2BE7" w:rsidRPr="00D467B6" w:rsidRDefault="001C2BE7" w:rsidP="008C5A75">
      <w:pPr>
        <w:pStyle w:val="Heading3"/>
        <w:rPr>
          <w:iCs/>
          <w:smallCaps/>
        </w:rPr>
      </w:pPr>
      <w:r w:rsidRPr="00D467B6">
        <w:lastRenderedPageBreak/>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5F61FD" w:rsidRDefault="005F61FD" w:rsidP="005F61FD">
            <w:r>
              <w:t>No comment</w:t>
            </w:r>
          </w:p>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8F7E7A" w:rsidRDefault="008F7E7A" w:rsidP="008F7E7A">
            <w:r>
              <w:t>Annually the Commonwealth Government spends on procurement $72 billion and the NSW Government $27 billion.  If social procurement practices are adopted by government agencies opportunities are created for job creation, business development and economic participation for those excluded or disadvantaged. Social procurement involves organisations intentionally choosing to purchase a social or economic outcome when they buy goods, services or works. RDA Sydney is a partner in a working group which is developing a social procurement action plan for Greater Western Sydney. This working group has representatives from Federal, State and Local Government; decision makers directly involved in major infrastructure projects, social enterprise development organisations and skills industry councils. The five themes of the action plan are:</w:t>
            </w:r>
          </w:p>
          <w:p w:rsidR="008F7E7A" w:rsidRDefault="008F7E7A" w:rsidP="008F7E7A">
            <w:pPr>
              <w:pStyle w:val="ListParagraph"/>
              <w:numPr>
                <w:ilvl w:val="0"/>
                <w:numId w:val="32"/>
              </w:numPr>
            </w:pPr>
            <w:r>
              <w:t>Enhancing social procurement practice for government and business;</w:t>
            </w:r>
          </w:p>
          <w:p w:rsidR="008F7E7A" w:rsidRDefault="008F7E7A" w:rsidP="008F7E7A">
            <w:pPr>
              <w:pStyle w:val="ListParagraph"/>
              <w:numPr>
                <w:ilvl w:val="0"/>
                <w:numId w:val="32"/>
              </w:numPr>
            </w:pPr>
            <w:r>
              <w:t>Developing local business opportunities especially for SMEs through capacity building;</w:t>
            </w:r>
          </w:p>
          <w:p w:rsidR="008F7E7A" w:rsidRDefault="008F7E7A" w:rsidP="008F7E7A">
            <w:pPr>
              <w:pStyle w:val="ListParagraph"/>
              <w:numPr>
                <w:ilvl w:val="0"/>
                <w:numId w:val="32"/>
              </w:numPr>
            </w:pPr>
            <w:r>
              <w:t>social enterprise development to participate in public and private supply chains and effectively deliver employment and employment pathway solutions for disadvantaged jobseekers;</w:t>
            </w:r>
          </w:p>
          <w:p w:rsidR="008F7E7A" w:rsidRDefault="008F7E7A" w:rsidP="008F7E7A">
            <w:pPr>
              <w:pStyle w:val="ListParagraph"/>
              <w:numPr>
                <w:ilvl w:val="0"/>
                <w:numId w:val="32"/>
              </w:numPr>
            </w:pPr>
            <w:r>
              <w:t>Partnerships with major projects to establish the clear pathways to the above opportunities;</w:t>
            </w:r>
          </w:p>
          <w:p w:rsidR="008F7E7A" w:rsidRDefault="008F7E7A" w:rsidP="008F7E7A">
            <w:pPr>
              <w:pStyle w:val="ListParagraph"/>
              <w:numPr>
                <w:ilvl w:val="0"/>
                <w:numId w:val="32"/>
              </w:numPr>
            </w:pPr>
            <w:r>
              <w:t>Systematically connecting labour supply (especially disadvantaged jobseekers) to available jobs.</w:t>
            </w:r>
          </w:p>
          <w:p w:rsidR="008F7E7A" w:rsidRDefault="008F7E7A" w:rsidP="008F7E7A"/>
          <w:p w:rsidR="008F7E7A" w:rsidRDefault="008F7E7A" w:rsidP="008F7E7A">
            <w:r>
              <w:t>RDA Sydney recommends that a more proactive strategic approach is embedded in government procurement practices which result in a cost effective purchase of good, services or works that generate economic or social outcomes; For example North West Rail Link is working with the Department of Employment, NSW Training Services and Skills Industry Councils to develop appropriate industry led training packages and to connect local Employment Services clients to employment opportunities. However, unless learnings are taken from one major project to another</w:t>
            </w:r>
            <w:r w:rsidR="00A02FF6">
              <w:t xml:space="preserve"> the whole</w:t>
            </w:r>
            <w:r>
              <w:t xml:space="preserve"> social procurement </w:t>
            </w:r>
            <w:r w:rsidR="00A02FF6">
              <w:t xml:space="preserve">process has to start again which in the long term duplicates </w:t>
            </w:r>
            <w:r>
              <w:t>system</w:t>
            </w:r>
            <w:r w:rsidR="00A02FF6">
              <w:t>s and does not leverage one project off another resulting in a less cost effective outcome</w:t>
            </w:r>
          </w:p>
          <w:p w:rsidR="008F7E7A" w:rsidRDefault="008F7E7A" w:rsidP="008F7E7A">
            <w:r>
              <w:t xml:space="preserve">The positive perspective of government’s procurement capacity is that they can dictate within reason criteria that will definitely generate opportunities for disadvantaged jobseekers and social enterprise development. However, to ensure viability of the project there needs to be a centralised system in place for contractors to access targeted disadvantaged jobseeker groups, </w:t>
            </w:r>
            <w:r w:rsidR="00A02FF6">
              <w:t xml:space="preserve">there needs to be </w:t>
            </w:r>
            <w:r>
              <w:t>connection to the appropriate training bodies if relevant or to a data base of accredited social enterprises with descriptors of their business capacity. This piece of work requires further investigation and investment.</w:t>
            </w:r>
          </w:p>
          <w:p w:rsidR="001C2BE7" w:rsidRDefault="001C2BE7" w:rsidP="008E17E5">
            <w:pPr>
              <w:rPr>
                <w:i/>
                <w:iCs/>
                <w:smallCaps/>
              </w:rPr>
            </w:pPr>
          </w:p>
        </w:tc>
      </w:tr>
    </w:tbl>
    <w:p w:rsidR="008C5A75" w:rsidRDefault="008C5A75"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Pr="008C5A75" w:rsidRDefault="00EC1234" w:rsidP="008C5A75"/>
    <w:p w:rsidR="001C2BE7" w:rsidRPr="00182BB2" w:rsidRDefault="001C2BE7" w:rsidP="008C5A75">
      <w:pPr>
        <w:pStyle w:val="Heading3"/>
        <w:rPr>
          <w:iCs/>
          <w:smallCaps/>
        </w:rPr>
      </w:pPr>
      <w:r w:rsidRPr="00182BB2">
        <w:lastRenderedPageBreak/>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CA1AC4" w:rsidRDefault="00CA1AC4" w:rsidP="00CA1AC4">
            <w:r>
              <w:t xml:space="preserve">As stated previously RDA Sydney project managed the </w:t>
            </w:r>
            <w:r w:rsidRPr="001A602A">
              <w:rPr>
                <w:i/>
              </w:rPr>
              <w:t>Employment Integration for Homeless Jobseekers</w:t>
            </w:r>
            <w:r>
              <w:t xml:space="preserve"> pilot project. The </w:t>
            </w:r>
            <w:r w:rsidRPr="001A602A">
              <w:rPr>
                <w:i/>
              </w:rPr>
              <w:t>WorkFast</w:t>
            </w:r>
            <w:r>
              <w:t xml:space="preserve"> model was used to explore integration opportunities and blockages. WorkFast like IPS has competitive employment as its ultimate goal and eligibility is based on jobseeker choice. The aim is to have employment services integrated with mental health and housing services with job search processes starting immediately after the person expresses an interest. Like IPS support continues for employed jobseekers as the need arises. As this pilot was targeted to jobseekers experiencing homelessness the barriers to employment were diverse, some had episodes of ill mental health, and others had unresolved legal issues whilst others had addiction problems. The common factor with this group of clients is that they all had experienced homelessness recently and that they were clients of the local housing and/or social/psycho services. Not all were clients of the local JSA/DES providers at the commencement of the pilot but registered during the project.</w:t>
            </w:r>
          </w:p>
          <w:p w:rsidR="001C2BE7" w:rsidRPr="00CA1AC4" w:rsidRDefault="00CA1AC4" w:rsidP="00CA1AC4">
            <w:r>
              <w:t>The funding for this project was for 12 month duration and during that time we learnt that a reasonable timeframe is required to develop an integrated service delivery prototype and all agencies funding the services need to be at the table from the beginning with an openness to explore new delivery models. The support agencies and employment services also need to see value in providing an integrated service and are given permission to work outside their contractual constraints to mould and explore potential options for delivery of services. There also needs to be a very strong focus on employer engagement with incentives available for wage subsidies and on the job training. Post placement support delivery needs to be developed with employment and support agencies with each defining their roles and responsibilities.</w:t>
            </w:r>
          </w:p>
        </w:tc>
      </w:tr>
    </w:tbl>
    <w:p w:rsidR="006054E7" w:rsidRDefault="006054E7" w:rsidP="008C5A75">
      <w:pPr>
        <w:pStyle w:val="Heading3"/>
      </w:pPr>
    </w:p>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604CD" w:rsidP="004604CD">
            <w:r>
              <w:t>No comment</w:t>
            </w:r>
          </w:p>
          <w:p w:rsidR="004604CD" w:rsidRPr="004604CD" w:rsidRDefault="004604CD" w:rsidP="004604CD"/>
        </w:tc>
      </w:tr>
    </w:tbl>
    <w:p w:rsidR="008C5A75" w:rsidRDefault="008C5A75" w:rsidP="008C5A75"/>
    <w:p w:rsidR="00EC1234" w:rsidRDefault="00EC1234" w:rsidP="008C5A75"/>
    <w:p w:rsidR="00EC1234" w:rsidRDefault="00EC1234" w:rsidP="008C5A75"/>
    <w:p w:rsidR="00EC1234" w:rsidRDefault="00EC1234" w:rsidP="008C5A75"/>
    <w:p w:rsidR="00EC1234" w:rsidRDefault="00EC1234" w:rsidP="008C5A75"/>
    <w:p w:rsidR="00EC1234" w:rsidRPr="008C5A75" w:rsidRDefault="00EC1234" w:rsidP="008C5A75"/>
    <w:p w:rsidR="001C2BE7" w:rsidRPr="001C2BE7" w:rsidRDefault="001C2BE7" w:rsidP="008C5A75">
      <w:pPr>
        <w:pStyle w:val="Heading2"/>
      </w:pPr>
      <w:r w:rsidRPr="001C2BE7">
        <w:lastRenderedPageBreak/>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EC1234" w:rsidRDefault="00EC1234" w:rsidP="00EC1234">
            <w:r>
              <w:t>United Way Australia has developed an excellent model for corporates to invest their organisation’s human, financial and technical resources in initiatives that open up opportunities to co-create social change in communities. They have key priorities based on a sound understanding of the core nature of social problems.</w:t>
            </w:r>
          </w:p>
          <w:p w:rsidR="001C2BE7" w:rsidRPr="00EC1234" w:rsidRDefault="00EC1234" w:rsidP="00EC1234">
            <w:r>
              <w:t>We recommend further examination of this model with United Way.</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EC1234" w:rsidP="00EC1234">
            <w:r>
              <w:t>No comment</w:t>
            </w:r>
          </w:p>
          <w:p w:rsidR="00EC1234" w:rsidRPr="00EC1234" w:rsidRDefault="00EC1234" w:rsidP="00EC1234"/>
        </w:tc>
      </w:tr>
    </w:tbl>
    <w:p w:rsidR="008C5A75" w:rsidRDefault="008C5A75"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Default="00EC1234" w:rsidP="008C5A75"/>
    <w:p w:rsidR="00EC1234" w:rsidRPr="008C5A75" w:rsidRDefault="00EC1234" w:rsidP="008C5A75"/>
    <w:p w:rsidR="001C2BE7" w:rsidRPr="00CE7674" w:rsidRDefault="001C2BE7" w:rsidP="008C5A75">
      <w:pPr>
        <w:pStyle w:val="Heading3"/>
        <w:rPr>
          <w:iCs/>
          <w:smallCaps/>
        </w:rPr>
      </w:pPr>
      <w:r w:rsidRPr="00CE7674">
        <w:lastRenderedPageBreak/>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EC1234" w:rsidRDefault="00EC1234" w:rsidP="00EC1234">
            <w:r>
              <w:t xml:space="preserve">Many Rivers is an organisation which operates in many disadvantaged parts of Australia including Western Sydney. It receives most of its funding from philanthropic sources and is partnered with Westpac for its loan provision to micro-enterprises. The model applied by Many Rivers has resulted in a very high loan repayment rate compared to other business loans. This is quite an achievement considering many of their clients come from some of the most disadvantaged areas in Australia. </w:t>
            </w:r>
          </w:p>
          <w:p w:rsidR="00EC1234" w:rsidRDefault="00EC1234" w:rsidP="00EC1234"/>
          <w:p w:rsidR="00EC1234" w:rsidRDefault="00EC1234" w:rsidP="00EC1234">
            <w:r>
              <w:t>Their approach is:</w:t>
            </w:r>
          </w:p>
          <w:p w:rsidR="00EC1234" w:rsidRDefault="00EC1234" w:rsidP="00EC1234"/>
          <w:p w:rsidR="00EC1234" w:rsidRDefault="00EC1234" w:rsidP="00EC1234">
            <w:pPr>
              <w:pStyle w:val="ListParagraph"/>
              <w:numPr>
                <w:ilvl w:val="0"/>
                <w:numId w:val="33"/>
              </w:numPr>
            </w:pPr>
            <w:r>
              <w:t>Local Enterprise Development – they live and work in the community they operate.</w:t>
            </w:r>
          </w:p>
          <w:p w:rsidR="00EC1234" w:rsidRDefault="00EC1234" w:rsidP="00EC1234">
            <w:pPr>
              <w:pStyle w:val="ListParagraph"/>
              <w:numPr>
                <w:ilvl w:val="0"/>
                <w:numId w:val="33"/>
              </w:numPr>
            </w:pPr>
            <w:r>
              <w:t>They provide practical business support focusing on what needs to get done to get the business started.</w:t>
            </w:r>
          </w:p>
          <w:p w:rsidR="00EC1234" w:rsidRDefault="00EC1234" w:rsidP="00EC1234">
            <w:pPr>
              <w:pStyle w:val="ListParagraph"/>
              <w:numPr>
                <w:ilvl w:val="0"/>
                <w:numId w:val="33"/>
              </w:numPr>
            </w:pPr>
            <w:r>
              <w:t>They provide access to finance providing business loans based on mutual trust, no security is required.</w:t>
            </w:r>
          </w:p>
          <w:p w:rsidR="00EC1234" w:rsidRDefault="00EC1234" w:rsidP="00EC1234">
            <w:pPr>
              <w:pStyle w:val="ListParagraph"/>
              <w:numPr>
                <w:ilvl w:val="0"/>
                <w:numId w:val="33"/>
              </w:numPr>
            </w:pPr>
            <w:r>
              <w:t>They journey with the people walking alongside the clients providing support and encouragement.</w:t>
            </w:r>
          </w:p>
          <w:p w:rsidR="00EC1234" w:rsidRDefault="00EC1234" w:rsidP="00EC1234"/>
          <w:p w:rsidR="00EC1234" w:rsidRDefault="00EC1234" w:rsidP="00EC1234">
            <w:r>
              <w:t>They have supported 577 businesses and S3.2 million in loan funds.</w:t>
            </w:r>
          </w:p>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EC1234" w:rsidRDefault="00EC1234" w:rsidP="00EC1234">
            <w:r>
              <w:t>No comment</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Pr="00EC1234" w:rsidRDefault="00EC1234" w:rsidP="00EC1234">
            <w:r>
              <w:t>No comment</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CD" w:rsidRDefault="004604CD" w:rsidP="00214210">
      <w:pPr>
        <w:spacing w:after="0" w:line="240" w:lineRule="auto"/>
      </w:pPr>
      <w:r>
        <w:separator/>
      </w:r>
    </w:p>
  </w:endnote>
  <w:endnote w:type="continuationSeparator" w:id="0">
    <w:p w:rsidR="004604CD" w:rsidRDefault="004604CD"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CD" w:rsidRPr="006F436A" w:rsidRDefault="004604CD">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CD" w:rsidRDefault="004604CD" w:rsidP="00214210">
      <w:pPr>
        <w:spacing w:after="0" w:line="240" w:lineRule="auto"/>
      </w:pPr>
      <w:r>
        <w:separator/>
      </w:r>
    </w:p>
  </w:footnote>
  <w:footnote w:type="continuationSeparator" w:id="0">
    <w:p w:rsidR="004604CD" w:rsidRDefault="004604CD"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0BF58E0"/>
    <w:multiLevelType w:val="hybridMultilevel"/>
    <w:tmpl w:val="B97C399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0004A3"/>
    <w:multiLevelType w:val="hybridMultilevel"/>
    <w:tmpl w:val="22D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B64E58"/>
    <w:multiLevelType w:val="hybridMultilevel"/>
    <w:tmpl w:val="8068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2332E2"/>
    <w:multiLevelType w:val="hybridMultilevel"/>
    <w:tmpl w:val="79042DF0"/>
    <w:lvl w:ilvl="0" w:tplc="DDE06BE6">
      <w:start w:val="1"/>
      <w:numFmt w:val="decimal"/>
      <w:lvlText w:val="%1."/>
      <w:lvlJc w:val="left"/>
      <w:pPr>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AA779F"/>
    <w:multiLevelType w:val="hybridMultilevel"/>
    <w:tmpl w:val="E7A8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28"/>
  </w:num>
  <w:num w:numId="4">
    <w:abstractNumId w:val="8"/>
  </w:num>
  <w:num w:numId="5">
    <w:abstractNumId w:val="6"/>
  </w:num>
  <w:num w:numId="6">
    <w:abstractNumId w:val="31"/>
  </w:num>
  <w:num w:numId="7">
    <w:abstractNumId w:val="29"/>
  </w:num>
  <w:num w:numId="8">
    <w:abstractNumId w:val="10"/>
  </w:num>
  <w:num w:numId="9">
    <w:abstractNumId w:val="0"/>
  </w:num>
  <w:num w:numId="10">
    <w:abstractNumId w:val="7"/>
  </w:num>
  <w:num w:numId="11">
    <w:abstractNumId w:val="5"/>
  </w:num>
  <w:num w:numId="12">
    <w:abstractNumId w:val="3"/>
  </w:num>
  <w:num w:numId="13">
    <w:abstractNumId w:val="27"/>
  </w:num>
  <w:num w:numId="14">
    <w:abstractNumId w:val="16"/>
  </w:num>
  <w:num w:numId="15">
    <w:abstractNumId w:val="24"/>
  </w:num>
  <w:num w:numId="16">
    <w:abstractNumId w:val="12"/>
  </w:num>
  <w:num w:numId="17">
    <w:abstractNumId w:val="14"/>
  </w:num>
  <w:num w:numId="18">
    <w:abstractNumId w:val="21"/>
  </w:num>
  <w:num w:numId="19">
    <w:abstractNumId w:val="30"/>
  </w:num>
  <w:num w:numId="20">
    <w:abstractNumId w:val="25"/>
  </w:num>
  <w:num w:numId="21">
    <w:abstractNumId w:val="18"/>
  </w:num>
  <w:num w:numId="22">
    <w:abstractNumId w:val="26"/>
  </w:num>
  <w:num w:numId="23">
    <w:abstractNumId w:val="13"/>
  </w:num>
  <w:num w:numId="24">
    <w:abstractNumId w:val="9"/>
  </w:num>
  <w:num w:numId="25">
    <w:abstractNumId w:val="20"/>
  </w:num>
  <w:num w:numId="26">
    <w:abstractNumId w:val="23"/>
  </w:num>
  <w:num w:numId="27">
    <w:abstractNumId w:val="22"/>
  </w:num>
  <w:num w:numId="28">
    <w:abstractNumId w:val="2"/>
  </w:num>
  <w:num w:numId="29">
    <w:abstractNumId w:val="11"/>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47DF2"/>
    <w:rsid w:val="00080BCE"/>
    <w:rsid w:val="00085D36"/>
    <w:rsid w:val="0009727B"/>
    <w:rsid w:val="000A676D"/>
    <w:rsid w:val="000B0DFF"/>
    <w:rsid w:val="000E12CC"/>
    <w:rsid w:val="000F2CD5"/>
    <w:rsid w:val="000F44EA"/>
    <w:rsid w:val="00122D0C"/>
    <w:rsid w:val="00127D81"/>
    <w:rsid w:val="00135FB7"/>
    <w:rsid w:val="001470CE"/>
    <w:rsid w:val="0014745C"/>
    <w:rsid w:val="001536C8"/>
    <w:rsid w:val="00162BCB"/>
    <w:rsid w:val="00166710"/>
    <w:rsid w:val="001775AB"/>
    <w:rsid w:val="00183698"/>
    <w:rsid w:val="001A1E5E"/>
    <w:rsid w:val="001A4D8F"/>
    <w:rsid w:val="001C2BE7"/>
    <w:rsid w:val="001D02A4"/>
    <w:rsid w:val="001E2E3B"/>
    <w:rsid w:val="001E3EA9"/>
    <w:rsid w:val="001E630D"/>
    <w:rsid w:val="001F4C15"/>
    <w:rsid w:val="00214210"/>
    <w:rsid w:val="0022258E"/>
    <w:rsid w:val="00223BB8"/>
    <w:rsid w:val="00225085"/>
    <w:rsid w:val="0023096B"/>
    <w:rsid w:val="0023686F"/>
    <w:rsid w:val="00237E0B"/>
    <w:rsid w:val="00260BD9"/>
    <w:rsid w:val="0029140D"/>
    <w:rsid w:val="00315FC6"/>
    <w:rsid w:val="00322E56"/>
    <w:rsid w:val="0034608A"/>
    <w:rsid w:val="00351550"/>
    <w:rsid w:val="0035362A"/>
    <w:rsid w:val="00356F1B"/>
    <w:rsid w:val="00373641"/>
    <w:rsid w:val="00374CDF"/>
    <w:rsid w:val="003B2BB8"/>
    <w:rsid w:val="003B5339"/>
    <w:rsid w:val="003D34FF"/>
    <w:rsid w:val="003E56A6"/>
    <w:rsid w:val="003E5FD4"/>
    <w:rsid w:val="00414093"/>
    <w:rsid w:val="0041533F"/>
    <w:rsid w:val="00443F1C"/>
    <w:rsid w:val="004604CD"/>
    <w:rsid w:val="0046471F"/>
    <w:rsid w:val="00494CBC"/>
    <w:rsid w:val="004A148C"/>
    <w:rsid w:val="004A3253"/>
    <w:rsid w:val="004B54CA"/>
    <w:rsid w:val="004C582B"/>
    <w:rsid w:val="004E3F50"/>
    <w:rsid w:val="004E5CBF"/>
    <w:rsid w:val="004F6157"/>
    <w:rsid w:val="005057B8"/>
    <w:rsid w:val="005153C9"/>
    <w:rsid w:val="00515AF7"/>
    <w:rsid w:val="00555E3E"/>
    <w:rsid w:val="00585179"/>
    <w:rsid w:val="005935E6"/>
    <w:rsid w:val="00596EEA"/>
    <w:rsid w:val="005C3AA9"/>
    <w:rsid w:val="005C3CE5"/>
    <w:rsid w:val="005D3EAB"/>
    <w:rsid w:val="005D4A60"/>
    <w:rsid w:val="005E6AAB"/>
    <w:rsid w:val="005F61FD"/>
    <w:rsid w:val="006054E7"/>
    <w:rsid w:val="00617EBD"/>
    <w:rsid w:val="00625EE2"/>
    <w:rsid w:val="00626096"/>
    <w:rsid w:val="00631B41"/>
    <w:rsid w:val="00634728"/>
    <w:rsid w:val="00635EE5"/>
    <w:rsid w:val="006371EE"/>
    <w:rsid w:val="006770A7"/>
    <w:rsid w:val="00694C56"/>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95502"/>
    <w:rsid w:val="007B0256"/>
    <w:rsid w:val="00824A02"/>
    <w:rsid w:val="00826024"/>
    <w:rsid w:val="00835484"/>
    <w:rsid w:val="00847FA0"/>
    <w:rsid w:val="008647F0"/>
    <w:rsid w:val="008C5A75"/>
    <w:rsid w:val="008D7A5A"/>
    <w:rsid w:val="008E17E5"/>
    <w:rsid w:val="008F770A"/>
    <w:rsid w:val="008F7E7A"/>
    <w:rsid w:val="00915C67"/>
    <w:rsid w:val="009225F0"/>
    <w:rsid w:val="0096286F"/>
    <w:rsid w:val="00977EED"/>
    <w:rsid w:val="009836E4"/>
    <w:rsid w:val="00983E31"/>
    <w:rsid w:val="00987FA0"/>
    <w:rsid w:val="009A7546"/>
    <w:rsid w:val="009B5D60"/>
    <w:rsid w:val="009E5BEF"/>
    <w:rsid w:val="009E7724"/>
    <w:rsid w:val="00A02FF6"/>
    <w:rsid w:val="00A06548"/>
    <w:rsid w:val="00A17AFA"/>
    <w:rsid w:val="00A213DF"/>
    <w:rsid w:val="00A32D61"/>
    <w:rsid w:val="00A673D9"/>
    <w:rsid w:val="00A70E1E"/>
    <w:rsid w:val="00A90945"/>
    <w:rsid w:val="00A92138"/>
    <w:rsid w:val="00AA451B"/>
    <w:rsid w:val="00AC0B89"/>
    <w:rsid w:val="00AC0E82"/>
    <w:rsid w:val="00AC21F5"/>
    <w:rsid w:val="00B01913"/>
    <w:rsid w:val="00B01B10"/>
    <w:rsid w:val="00B06238"/>
    <w:rsid w:val="00B46312"/>
    <w:rsid w:val="00B5345A"/>
    <w:rsid w:val="00B63CF5"/>
    <w:rsid w:val="00B74B28"/>
    <w:rsid w:val="00B81C57"/>
    <w:rsid w:val="00B852F9"/>
    <w:rsid w:val="00B87E99"/>
    <w:rsid w:val="00B9617A"/>
    <w:rsid w:val="00BA2DB9"/>
    <w:rsid w:val="00BC5D99"/>
    <w:rsid w:val="00BE1FB3"/>
    <w:rsid w:val="00BE7148"/>
    <w:rsid w:val="00C428C2"/>
    <w:rsid w:val="00C542F9"/>
    <w:rsid w:val="00C5438C"/>
    <w:rsid w:val="00C640EA"/>
    <w:rsid w:val="00CA1AC4"/>
    <w:rsid w:val="00CC5C1C"/>
    <w:rsid w:val="00CE412A"/>
    <w:rsid w:val="00D17402"/>
    <w:rsid w:val="00D21839"/>
    <w:rsid w:val="00D24567"/>
    <w:rsid w:val="00D3285D"/>
    <w:rsid w:val="00DA301B"/>
    <w:rsid w:val="00DB07ED"/>
    <w:rsid w:val="00DB1422"/>
    <w:rsid w:val="00DB5908"/>
    <w:rsid w:val="00DC1A8C"/>
    <w:rsid w:val="00DE3E32"/>
    <w:rsid w:val="00DF3B4B"/>
    <w:rsid w:val="00DF4413"/>
    <w:rsid w:val="00E05B7E"/>
    <w:rsid w:val="00E30D47"/>
    <w:rsid w:val="00E35FE7"/>
    <w:rsid w:val="00E41343"/>
    <w:rsid w:val="00E90279"/>
    <w:rsid w:val="00E929C7"/>
    <w:rsid w:val="00EC1234"/>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99"/>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character" w:customStyle="1" w:styleId="NormALChar">
    <w:name w:val="NormAL Char"/>
    <w:basedOn w:val="DefaultParagraphFont"/>
    <w:link w:val="Normal1"/>
    <w:locked/>
    <w:rsid w:val="005C3CE5"/>
    <w:rPr>
      <w:rFonts w:ascii="Calibri" w:eastAsia="Calibri" w:hAnsi="Calibri" w:cs="Calibri"/>
      <w:color w:val="000000"/>
      <w:u w:color="000000"/>
    </w:rPr>
  </w:style>
  <w:style w:type="paragraph" w:customStyle="1" w:styleId="Normal1">
    <w:name w:val="Normal1"/>
    <w:basedOn w:val="Normal"/>
    <w:link w:val="NormALChar"/>
    <w:qFormat/>
    <w:rsid w:val="005C3CE5"/>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25C1-B0B6-4048-B144-24130772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3744</Words>
  <Characters>21343</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2014-08-07T04:01:00Z</cp:lastPrinted>
  <dcterms:created xsi:type="dcterms:W3CDTF">2014-08-21T00:23:00Z</dcterms:created>
  <dcterms:modified xsi:type="dcterms:W3CDTF">2014-08-21T00:23:00Z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