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B8FDE" w14:textId="77777777" w:rsidR="006C4478" w:rsidRDefault="006C4478" w:rsidP="006C4478">
      <w:permStart w:id="1627994704" w:edGrp="everyone"/>
      <w:permEnd w:id="1627994704"/>
    </w:p>
    <w:p w14:paraId="11A4B706" w14:textId="1DF2CE84" w:rsidR="005575CC" w:rsidRDefault="005575CC" w:rsidP="006C4478">
      <w:pPr>
        <w:pStyle w:val="Heading1"/>
      </w:pPr>
      <w:r>
        <w:t>Submission on</w:t>
      </w:r>
      <w:r w:rsidR="00225CDD">
        <w:t xml:space="preserve"> </w:t>
      </w:r>
      <w:r>
        <w:t>t</w:t>
      </w:r>
      <w:r w:rsidR="006C4478">
        <w:t>he</w:t>
      </w:r>
      <w:r>
        <w:t xml:space="preserve"> </w:t>
      </w:r>
      <w:r w:rsidR="00623ECB">
        <w:t xml:space="preserve">proposed </w:t>
      </w:r>
      <w:r>
        <w:t xml:space="preserve">Housing Payments Deduction Scheme </w:t>
      </w:r>
    </w:p>
    <w:p w14:paraId="5CAE9D30" w14:textId="47BFA391" w:rsidR="006C4478" w:rsidRDefault="005575CC" w:rsidP="006C4478">
      <w:pPr>
        <w:pStyle w:val="Heading1"/>
      </w:pPr>
      <w:proofErr w:type="gramStart"/>
      <w:r>
        <w:t>and</w:t>
      </w:r>
      <w:proofErr w:type="gramEnd"/>
      <w:r>
        <w:t xml:space="preserve"> the draft Social Security Legislation Amendment (Public Housing Tenants’ Support) Bill 2013</w:t>
      </w:r>
      <w:r w:rsidR="00623ECB">
        <w:t xml:space="preserve"> and associate</w:t>
      </w:r>
      <w:bookmarkStart w:id="0" w:name="_GoBack"/>
      <w:bookmarkEnd w:id="0"/>
      <w:r w:rsidR="00623ECB">
        <w:t>d instruments</w:t>
      </w:r>
    </w:p>
    <w:p w14:paraId="31D11866" w14:textId="77777777" w:rsidR="006C4478" w:rsidRDefault="006C4478" w:rsidP="006C4478"/>
    <w:p w14:paraId="3DA1D25A" w14:textId="77777777" w:rsidR="006C4478" w:rsidRPr="006C4478" w:rsidRDefault="006C4478" w:rsidP="006C4478">
      <w:pPr>
        <w:rPr>
          <w:b/>
        </w:rPr>
      </w:pPr>
      <w:r w:rsidRPr="006C4478">
        <w:rPr>
          <w:b/>
        </w:rPr>
        <w:t>April 2013</w:t>
      </w:r>
    </w:p>
    <w:p w14:paraId="040FA39C" w14:textId="77777777" w:rsidR="006C4478" w:rsidRDefault="006C4478" w:rsidP="006C4478"/>
    <w:p w14:paraId="2C1CB2F5" w14:textId="554DDC9E" w:rsidR="006C4478" w:rsidRDefault="006C4478" w:rsidP="006C4478">
      <w:r>
        <w:t>The Tenants’ Union of NSW is the State’s specialist community legal centre for residential tenancies law, and the primary resource agency for the State-wide network of Tenants Advice and Advocacy Services (TAASs). We make the present submission on our own behalf, and on behalf of the TAASs.</w:t>
      </w:r>
    </w:p>
    <w:p w14:paraId="4FCA851F" w14:textId="77777777" w:rsidR="005575CC" w:rsidRDefault="005575CC" w:rsidP="006C4478"/>
    <w:p w14:paraId="2761C6E3" w14:textId="2F651511" w:rsidR="005575CC" w:rsidRDefault="005575CC" w:rsidP="006C4478">
      <w:r>
        <w:t xml:space="preserve">Before discussing the proposed scheme and the draft </w:t>
      </w:r>
      <w:r w:rsidR="00225CDD">
        <w:t>legislation</w:t>
      </w:r>
      <w:r>
        <w:t xml:space="preserve">, we regret that we must </w:t>
      </w:r>
      <w:r w:rsidR="00FA29BC">
        <w:t>object to the way in which the present consultation process has been conducted</w:t>
      </w:r>
      <w:r>
        <w:t xml:space="preserve">. There has been no </w:t>
      </w:r>
      <w:r w:rsidR="00225CDD">
        <w:t xml:space="preserve">prior </w:t>
      </w:r>
      <w:r>
        <w:t xml:space="preserve">consultation </w:t>
      </w:r>
      <w:r w:rsidR="00041F21">
        <w:t>on t</w:t>
      </w:r>
      <w:r w:rsidR="00225CDD">
        <w:t xml:space="preserve">he scheme as a matter of policy. </w:t>
      </w:r>
      <w:r w:rsidR="00041F21">
        <w:t>Furthermore,</w:t>
      </w:r>
      <w:r>
        <w:t xml:space="preserve"> the </w:t>
      </w:r>
      <w:r w:rsidR="00225CDD">
        <w:t xml:space="preserve">present consultation process </w:t>
      </w:r>
      <w:r w:rsidR="00041F21">
        <w:t>was not well publicised, and has allowed too little time for organisations to properly seek the view of their constitu</w:t>
      </w:r>
      <w:r w:rsidR="00225CDD">
        <w:t xml:space="preserve">ents and analyse the materials. We are aware of other community sector organisations that have concerns about the proposed scheme but </w:t>
      </w:r>
      <w:r w:rsidR="00331814">
        <w:t xml:space="preserve">that </w:t>
      </w:r>
      <w:r w:rsidR="005674E5">
        <w:t xml:space="preserve">have been </w:t>
      </w:r>
      <w:r w:rsidR="00225CDD">
        <w:t xml:space="preserve">unable to make submissions within the timeframe of the consultation. </w:t>
      </w:r>
    </w:p>
    <w:p w14:paraId="640A3E96" w14:textId="77777777" w:rsidR="006C4478" w:rsidRDefault="006C4478" w:rsidP="006C4478"/>
    <w:p w14:paraId="5297D07D" w14:textId="77777777" w:rsidR="007A3BEB" w:rsidRDefault="007A3BEB" w:rsidP="00225CDD">
      <w:pPr>
        <w:pStyle w:val="Heading3"/>
      </w:pPr>
    </w:p>
    <w:p w14:paraId="7642E4E4" w14:textId="7337FEEC" w:rsidR="00BA535C" w:rsidRDefault="005575CC" w:rsidP="00225CDD">
      <w:pPr>
        <w:pStyle w:val="Heading3"/>
      </w:pPr>
      <w:r>
        <w:t>General</w:t>
      </w:r>
      <w:r w:rsidR="00225CDD">
        <w:t xml:space="preserve"> comments</w:t>
      </w:r>
    </w:p>
    <w:p w14:paraId="3F382AD9" w14:textId="75538A96" w:rsidR="003C18CF" w:rsidRDefault="005575CC" w:rsidP="00C177CB">
      <w:r>
        <w:t>The Housing Payment Deduction Scheme</w:t>
      </w:r>
      <w:r w:rsidR="00041F21">
        <w:t xml:space="preserve"> would allow</w:t>
      </w:r>
      <w:r w:rsidR="003E7C5D">
        <w:t>,</w:t>
      </w:r>
      <w:r w:rsidR="00041F21">
        <w:t xml:space="preserve"> </w:t>
      </w:r>
      <w:r w:rsidR="003E7C5D">
        <w:t xml:space="preserve">in </w:t>
      </w:r>
      <w:r w:rsidR="003C18CF">
        <w:t xml:space="preserve">two </w:t>
      </w:r>
      <w:r w:rsidR="003E7C5D">
        <w:t xml:space="preserve">circumstances, </w:t>
      </w:r>
      <w:r w:rsidR="00041F21">
        <w:t>publ</w:t>
      </w:r>
      <w:r w:rsidR="003E7C5D">
        <w:t>ic housing author</w:t>
      </w:r>
      <w:r w:rsidR="00041F21">
        <w:t>ities (‘public housing lessors’) to request</w:t>
      </w:r>
      <w:r w:rsidR="003E7C5D">
        <w:t xml:space="preserve"> the deduction of monies from the social security payments of public housing tenants, with the deducted monies to be paid directly to the public housing authority. </w:t>
      </w:r>
      <w:r w:rsidR="003C18CF">
        <w:t xml:space="preserve">One of the circumstances is where the public housing lessor is of the view that there is an outstanding liability due and payable by the tenant (cl 5(1)(a)); the other is where there is no liability outstanding, but the public housing lessor is of the view that there is ‘a risk’ that the tenant will not pay rent and other liabilities </w:t>
      </w:r>
      <w:r w:rsidR="00DC5DA7">
        <w:t>in the future</w:t>
      </w:r>
      <w:r w:rsidR="003C18CF">
        <w:t xml:space="preserve"> (cl 5(1)(b).    </w:t>
      </w:r>
    </w:p>
    <w:p w14:paraId="6C3365E7" w14:textId="77777777" w:rsidR="003E7C5D" w:rsidRDefault="003E7C5D" w:rsidP="00C177CB"/>
    <w:p w14:paraId="3064B9AF" w14:textId="7DD3BCA5" w:rsidR="003E7C5D" w:rsidRDefault="00FB14D7" w:rsidP="00C177CB">
      <w:r>
        <w:lastRenderedPageBreak/>
        <w:t xml:space="preserve">In effect, the request </w:t>
      </w:r>
      <w:r w:rsidR="005109A8">
        <w:t>is much like a garnishee order</w:t>
      </w:r>
      <w:r w:rsidR="00742732">
        <w:t xml:space="preserve"> (in the case of an outstanding liability), or a specific performance order (in the case of </w:t>
      </w:r>
      <w:r w:rsidR="003C18CF">
        <w:t>a liability</w:t>
      </w:r>
      <w:r w:rsidR="00AF613C">
        <w:t xml:space="preserve"> </w:t>
      </w:r>
      <w:r w:rsidR="00DC5DA7">
        <w:t>in the future</w:t>
      </w:r>
      <w:r w:rsidR="00742732">
        <w:t>)</w:t>
      </w:r>
      <w:r w:rsidR="005109A8">
        <w:t xml:space="preserve"> made by a </w:t>
      </w:r>
      <w:r w:rsidR="00742732">
        <w:t xml:space="preserve">tribunal or </w:t>
      </w:r>
      <w:r w:rsidR="005109A8">
        <w:t>court –</w:t>
      </w:r>
      <w:r w:rsidR="00B75E25">
        <w:t xml:space="preserve"> except that it is </w:t>
      </w:r>
      <w:r w:rsidR="005109A8">
        <w:t xml:space="preserve">made by </w:t>
      </w:r>
      <w:r w:rsidR="00B75E25">
        <w:t xml:space="preserve">an interested party. No independent determination of the question of the tenant’s liability </w:t>
      </w:r>
      <w:r w:rsidR="00742732">
        <w:t xml:space="preserve">or risk </w:t>
      </w:r>
      <w:r w:rsidR="00B75E25">
        <w:t xml:space="preserve">is required. The scheme and the legislation would allow a public housing authority to be the judge of its own cause. This is </w:t>
      </w:r>
      <w:r w:rsidR="006C2EDF">
        <w:t xml:space="preserve">an extraordinary and objectionable departure from </w:t>
      </w:r>
      <w:r w:rsidR="00E7762B">
        <w:t>fundamental</w:t>
      </w:r>
      <w:r w:rsidR="006C2EDF">
        <w:t xml:space="preserve"> principles of natural justice.</w:t>
      </w:r>
    </w:p>
    <w:p w14:paraId="5AB56825" w14:textId="77777777" w:rsidR="00742732" w:rsidRDefault="00742732" w:rsidP="00C177CB"/>
    <w:p w14:paraId="7C6931B3" w14:textId="60661804" w:rsidR="00742732" w:rsidRDefault="00742732" w:rsidP="00C177CB">
      <w:r>
        <w:t xml:space="preserve">We strongly recommend that the proposed scheme </w:t>
      </w:r>
      <w:r w:rsidR="00AF613C">
        <w:t>and</w:t>
      </w:r>
      <w:r>
        <w:t xml:space="preserve"> the draft legislation </w:t>
      </w:r>
      <w:r w:rsidR="00AF613C">
        <w:t xml:space="preserve">not </w:t>
      </w:r>
      <w:r>
        <w:t>proceed.</w:t>
      </w:r>
    </w:p>
    <w:p w14:paraId="32EC3CEE" w14:textId="77777777" w:rsidR="00130AD5" w:rsidRDefault="00130AD5" w:rsidP="00C177CB"/>
    <w:p w14:paraId="63A58073" w14:textId="6B0F52D0" w:rsidR="00742732" w:rsidRDefault="00742732" w:rsidP="00311579">
      <w:pPr>
        <w:pStyle w:val="Heading3"/>
      </w:pPr>
      <w:r>
        <w:t>Questions of tenants’ liabilities due and payable</w:t>
      </w:r>
      <w:r w:rsidR="00311579">
        <w:t xml:space="preserve"> (cl 5(1)</w:t>
      </w:r>
      <w:r w:rsidR="00AF613C">
        <w:t>(a)</w:t>
      </w:r>
      <w:r w:rsidR="00311579">
        <w:t>)</w:t>
      </w:r>
    </w:p>
    <w:p w14:paraId="2FB48D01" w14:textId="3B86740D" w:rsidR="003343E1" w:rsidRDefault="00703BC3" w:rsidP="00C177CB">
      <w:r>
        <w:t>In New South Wales, questions of a tenant’s liability to their landlord are determined primarily by the Consumer, Trader and Tenancy Tribunal</w:t>
      </w:r>
      <w:r w:rsidR="00BA0116">
        <w:t xml:space="preserve"> (the CTTT)</w:t>
      </w:r>
      <w:r w:rsidR="00225CDD">
        <w:t>. T</w:t>
      </w:r>
      <w:r>
        <w:t xml:space="preserve">hese questions may also be determined by the courts, particularly where the amount in question is </w:t>
      </w:r>
      <w:r w:rsidR="003343E1">
        <w:t xml:space="preserve">in excess of the </w:t>
      </w:r>
      <w:r w:rsidR="00BA0116">
        <w:t>CTTT</w:t>
      </w:r>
      <w:r w:rsidR="003343E1">
        <w:t>’s jurisdictiona</w:t>
      </w:r>
      <w:r w:rsidR="00D34179">
        <w:t>l limit ($15</w:t>
      </w:r>
      <w:r w:rsidR="00225CDD">
        <w:t xml:space="preserve"> 000), but i</w:t>
      </w:r>
      <w:r w:rsidR="003343E1">
        <w:t xml:space="preserve">n most cases, it is the </w:t>
      </w:r>
      <w:r w:rsidR="00BA0116">
        <w:t>CTTT</w:t>
      </w:r>
      <w:r w:rsidR="003343E1">
        <w:t xml:space="preserve"> that decides if a tenant owes money to their landlord, and the terms on which it will be paid. </w:t>
      </w:r>
    </w:p>
    <w:p w14:paraId="4C6AC272" w14:textId="77777777" w:rsidR="003343E1" w:rsidRDefault="003343E1" w:rsidP="00C177CB"/>
    <w:p w14:paraId="0D918350" w14:textId="53E2CB41" w:rsidR="00775EB8" w:rsidRDefault="003343E1" w:rsidP="00C177CB">
      <w:r>
        <w:t>In relation to public housing, questions of lia</w:t>
      </w:r>
      <w:r w:rsidR="00BA0116">
        <w:t xml:space="preserve">bility are complicated by </w:t>
      </w:r>
      <w:r>
        <w:t xml:space="preserve">the rent rebate system </w:t>
      </w:r>
      <w:r w:rsidR="00BA0116">
        <w:t xml:space="preserve">operated by Housing NSW. Under the </w:t>
      </w:r>
      <w:r w:rsidR="00BA0116" w:rsidRPr="00775EB8">
        <w:rPr>
          <w:i/>
        </w:rPr>
        <w:t>Housing Act 2001</w:t>
      </w:r>
      <w:r w:rsidR="00BA0116">
        <w:t xml:space="preserve"> (NSW), Housing NSW may grant rent rebates</w:t>
      </w:r>
      <w:r w:rsidR="00225CDD">
        <w:t xml:space="preserve"> (s 56)</w:t>
      </w:r>
      <w:r w:rsidR="00BA0116">
        <w:t xml:space="preserve"> – and vary and cancel rent rebates, including retrospectively</w:t>
      </w:r>
      <w:r w:rsidR="00225CDD">
        <w:t xml:space="preserve"> (s 57)</w:t>
      </w:r>
      <w:r w:rsidR="00BA0116">
        <w:t xml:space="preserve">. </w:t>
      </w:r>
      <w:r w:rsidR="00775EB8">
        <w:t xml:space="preserve">These decisions can affect tenants’ liabilities very substantially: the retrospective cancellation of a rent rebate can result in a debt of many tens of thousands of dollars. </w:t>
      </w:r>
    </w:p>
    <w:p w14:paraId="725DC634" w14:textId="77777777" w:rsidR="00775EB8" w:rsidRDefault="00775EB8" w:rsidP="00C177CB"/>
    <w:p w14:paraId="06387FB2" w14:textId="77777777" w:rsidR="005D0FBC" w:rsidRDefault="00BA0116" w:rsidP="00C177CB">
      <w:r>
        <w:t xml:space="preserve">Decisions by Housing NSW to grant, vary or cancel rent rebates may be reviewed internally by Housing NSW, and </w:t>
      </w:r>
      <w:r w:rsidR="00775EB8">
        <w:t xml:space="preserve">externally by the NSW Housing Appeals Committee (the HAC); the HAC, however, has no statutory basis and merely makes recommendations, not determinations that are binding on Housing NSW. </w:t>
      </w:r>
    </w:p>
    <w:p w14:paraId="2B0F1E9F" w14:textId="77777777" w:rsidR="005D0FBC" w:rsidRDefault="005D0FBC" w:rsidP="00C177CB"/>
    <w:p w14:paraId="1936ACBA" w14:textId="0FE852C6" w:rsidR="006321E8" w:rsidRDefault="00775EB8" w:rsidP="00C177CB">
      <w:r>
        <w:t xml:space="preserve">Decisions to grant, vary or cancel rent rebates </w:t>
      </w:r>
      <w:r w:rsidR="00BA0116">
        <w:t>are not subject to review by the CTTT</w:t>
      </w:r>
      <w:r>
        <w:t xml:space="preserve">: for example, </w:t>
      </w:r>
      <w:r w:rsidR="005D0FBC">
        <w:t xml:space="preserve">if </w:t>
      </w:r>
      <w:r>
        <w:t xml:space="preserve">it finds that Housing NSW has in </w:t>
      </w:r>
      <w:r w:rsidR="005D0FBC">
        <w:t>fact cancelled a rent rebate, the CTTT</w:t>
      </w:r>
      <w:r>
        <w:t xml:space="preserve"> will determine the tenants’ liability accordingly, without regard to the merits of the decision to cancel. </w:t>
      </w:r>
      <w:r w:rsidR="005D0FBC">
        <w:t xml:space="preserve">However, it is the CTTT that decides the terms on which the liability is to be discharged: for </w:t>
      </w:r>
      <w:proofErr w:type="gramStart"/>
      <w:r w:rsidR="005D0FBC">
        <w:t>example, that</w:t>
      </w:r>
      <w:proofErr w:type="gramEnd"/>
      <w:r w:rsidR="005D0FBC">
        <w:t xml:space="preserve"> a debt is to be paid by periodic instalments of a specified sum.</w:t>
      </w:r>
    </w:p>
    <w:p w14:paraId="618D1D0E" w14:textId="77777777" w:rsidR="006321E8" w:rsidRDefault="006321E8" w:rsidP="00C177CB"/>
    <w:p w14:paraId="4F8DFE97" w14:textId="77777777" w:rsidR="005E5314" w:rsidRDefault="009F5403" w:rsidP="00C177CB">
      <w:r>
        <w:t>The CTTT, therefore, is a source of independen</w:t>
      </w:r>
      <w:r w:rsidR="005E5314">
        <w:t xml:space="preserve">t scrutiny in proceedings about tenants’ liabilities, and an important safeguard – though a limited one, where rent rebates are involved. </w:t>
      </w:r>
    </w:p>
    <w:p w14:paraId="0693F093" w14:textId="77777777" w:rsidR="005E5314" w:rsidRDefault="005E5314" w:rsidP="00C177CB"/>
    <w:p w14:paraId="46D6B29B" w14:textId="77777777" w:rsidR="003B3EEA" w:rsidRDefault="005E5314" w:rsidP="00C177CB">
      <w:r>
        <w:t xml:space="preserve">The proposed scheme would allow Housing NSW to avoid scrutiny altogether, by requesting </w:t>
      </w:r>
      <w:r w:rsidR="00E94032">
        <w:t>a deduction</w:t>
      </w:r>
      <w:r>
        <w:t xml:space="preserve"> on the basis of its own v</w:t>
      </w:r>
      <w:r w:rsidR="00E94032">
        <w:t>iew</w:t>
      </w:r>
      <w:r w:rsidR="00623ECB">
        <w:t xml:space="preserve"> as to </w:t>
      </w:r>
      <w:r w:rsidR="00E94032">
        <w:t xml:space="preserve">a </w:t>
      </w:r>
      <w:r w:rsidR="00623ECB">
        <w:t>tenant</w:t>
      </w:r>
      <w:r w:rsidR="00E94032">
        <w:t>’s liability</w:t>
      </w:r>
      <w:r w:rsidR="00623ECB">
        <w:t>.</w:t>
      </w:r>
      <w:r w:rsidR="00E94032">
        <w:t xml:space="preserve"> The proposed scheme would allow Housing NSW could do so</w:t>
      </w:r>
      <w:r>
        <w:t xml:space="preserve"> where the liability is affected by Housing NSW’s own decision </w:t>
      </w:r>
      <w:r w:rsidR="00E94032">
        <w:t xml:space="preserve">to vary or cancel a rent rebate, and where Housing NSW has declined to follow a contrary recommendation of the HAC. </w:t>
      </w:r>
    </w:p>
    <w:p w14:paraId="4257D000" w14:textId="77777777" w:rsidR="003B3EEA" w:rsidRDefault="003B3EEA" w:rsidP="00C177CB"/>
    <w:p w14:paraId="50EFF92D" w14:textId="5F404FCF" w:rsidR="001F05D7" w:rsidRDefault="007A3BEB" w:rsidP="00C177CB">
      <w:r>
        <w:br w:type="page"/>
      </w:r>
      <w:r w:rsidR="00E94032">
        <w:lastRenderedPageBreak/>
        <w:t>The proposed scheme provides</w:t>
      </w:r>
      <w:r w:rsidR="003B3EEA">
        <w:t xml:space="preserve"> for no alternative safeguards. T</w:t>
      </w:r>
      <w:r w:rsidR="00E94032">
        <w:t xml:space="preserve">he only qualification it makes is that </w:t>
      </w:r>
      <w:r w:rsidR="003B3EEA">
        <w:t>a public housing lessor must have ‘taken reasonable action to recover the amount from the person’ (cl 5(1)(a)(ii)); we submit that sending a letter of demand to the tenant may be sufficient to satisfy this qualification.</w:t>
      </w:r>
      <w:r w:rsidR="001F05D7">
        <w:t xml:space="preserve"> This is utterly inadequate.</w:t>
      </w:r>
    </w:p>
    <w:p w14:paraId="50B3FE7C" w14:textId="77777777" w:rsidR="001F05D7" w:rsidRDefault="001F05D7" w:rsidP="00C177CB"/>
    <w:p w14:paraId="1490D8E2" w14:textId="459029D5" w:rsidR="00AF613C" w:rsidRDefault="00AF613C" w:rsidP="00AF613C">
      <w:pPr>
        <w:pStyle w:val="Heading3"/>
      </w:pPr>
      <w:r>
        <w:t xml:space="preserve">Questions of </w:t>
      </w:r>
      <w:r w:rsidR="00DC5DA7">
        <w:t>‘risk’ and payment of liabilities in the future</w:t>
      </w:r>
      <w:r>
        <w:t xml:space="preserve"> (cl 5(1)(b))</w:t>
      </w:r>
    </w:p>
    <w:p w14:paraId="3C4A780B" w14:textId="77777777" w:rsidR="00DC5DA7" w:rsidRDefault="00311579" w:rsidP="00311579">
      <w:r>
        <w:t>I</w:t>
      </w:r>
      <w:r w:rsidR="00AF613C">
        <w:t>n New South Wales, i</w:t>
      </w:r>
      <w:r>
        <w:t xml:space="preserve">t is the CTTT that decides whether it is appropriate to make a specific performance order </w:t>
      </w:r>
      <w:r w:rsidR="00DC5DA7">
        <w:t>in relation to a tenant’s payment of rent and other liabilities in the future</w:t>
      </w:r>
      <w:r>
        <w:t xml:space="preserve">. </w:t>
      </w:r>
      <w:r w:rsidR="00DC5DA7">
        <w:t xml:space="preserve">The proposed scheme would allow Housing NSW to avoid independent scrutiny in this regard, too. </w:t>
      </w:r>
    </w:p>
    <w:p w14:paraId="6EF3C311" w14:textId="77777777" w:rsidR="00DC5DA7" w:rsidRDefault="00DC5DA7" w:rsidP="00311579"/>
    <w:p w14:paraId="4C059B73" w14:textId="680B8445" w:rsidR="007F037B" w:rsidRDefault="007F037B" w:rsidP="007F037B">
      <w:r>
        <w:t xml:space="preserve">Ill-considered direct deductions have the potential to upset tenants’ financial arrangements badly. For example, we know of a public housing tenant who pays his rent only after a precisely organised process of payments to doctors and refunds from Medicare. A direct deduction of rent before paying the doctors would </w:t>
      </w:r>
      <w:r w:rsidR="00590C70">
        <w:t xml:space="preserve">critically </w:t>
      </w:r>
      <w:r>
        <w:t>upset this process.</w:t>
      </w:r>
    </w:p>
    <w:p w14:paraId="0E296119" w14:textId="77777777" w:rsidR="007F037B" w:rsidRDefault="007F037B" w:rsidP="007F037B"/>
    <w:p w14:paraId="7F7C252A" w14:textId="59EDD01B" w:rsidR="00992D77" w:rsidRDefault="00DC5DA7" w:rsidP="00311579">
      <w:r>
        <w:t xml:space="preserve">The proposed ‘risk’ criteria would allow </w:t>
      </w:r>
      <w:r w:rsidR="00992D77">
        <w:t>a deduction</w:t>
      </w:r>
      <w:r>
        <w:t xml:space="preserve"> where a tenant has paid the rent </w:t>
      </w:r>
      <w:r w:rsidR="00CF45C7">
        <w:t xml:space="preserve">a week </w:t>
      </w:r>
      <w:r>
        <w:t xml:space="preserve">late, or </w:t>
      </w:r>
      <w:r w:rsidR="00CF45C7">
        <w:t>paid short, three times in 12 months (draft Social Security (Public Housing Tenants’ Support) Risk of Non-Payment of Amounts Rules (No 1) 2013, cl 3).</w:t>
      </w:r>
      <w:r>
        <w:t xml:space="preserve"> </w:t>
      </w:r>
      <w:r w:rsidR="0031568E">
        <w:t>This sets the threshold of risk</w:t>
      </w:r>
      <w:r w:rsidR="00992D77">
        <w:t xml:space="preserve"> too low; it would allow deductions to be made, and tenants’ own financial arrangements to be </w:t>
      </w:r>
      <w:r w:rsidR="00544D73">
        <w:t>interfered with</w:t>
      </w:r>
      <w:r w:rsidR="007F037B">
        <w:t xml:space="preserve"> and upset</w:t>
      </w:r>
      <w:r w:rsidR="00992D77">
        <w:t>, without proper justification</w:t>
      </w:r>
      <w:r w:rsidR="007F037B">
        <w:t xml:space="preserve"> and possibly to the disadvantage of the tenant.</w:t>
      </w:r>
    </w:p>
    <w:p w14:paraId="1632BA8D" w14:textId="77777777" w:rsidR="007F037B" w:rsidRDefault="007F037B" w:rsidP="00311579"/>
    <w:p w14:paraId="332B5E4F" w14:textId="0C5CA180" w:rsidR="007F037B" w:rsidRDefault="007F037B" w:rsidP="00311579">
      <w:r>
        <w:t xml:space="preserve">There is already concern amongst TAASs about the level of consideration and tact that Housing NSW brings to the management of </w:t>
      </w:r>
      <w:r w:rsidR="00E9114E">
        <w:t>irregular payments</w:t>
      </w:r>
      <w:r w:rsidR="00DE0A99">
        <w:t xml:space="preserve"> – see, for example, the attached report of the Illawarra and South Coast TAAS presented to Housing NSW in late 2012. We submit that allowing Housing NSW to request deductions, without </w:t>
      </w:r>
      <w:r w:rsidR="00A2429C">
        <w:t xml:space="preserve">also requiring a system of independent </w:t>
      </w:r>
      <w:r w:rsidR="00DE0A99">
        <w:t>scrutiny and other safeguards, may further diminish the capacity of housing officers to deal thoughtfully with questions of irregular rent payments.</w:t>
      </w:r>
    </w:p>
    <w:p w14:paraId="48F85B44" w14:textId="77777777" w:rsidR="00AC7111" w:rsidRDefault="00AC7111" w:rsidP="00AF613C"/>
    <w:p w14:paraId="2E838A44" w14:textId="6789EDEB" w:rsidR="00AF613C" w:rsidRDefault="00AF613C" w:rsidP="00AF613C">
      <w:pPr>
        <w:pStyle w:val="Heading3"/>
      </w:pPr>
      <w:r>
        <w:t>Maximum amount of deduction</w:t>
      </w:r>
      <w:r w:rsidR="00AC7111">
        <w:t xml:space="preserve"> (cl 7)</w:t>
      </w:r>
    </w:p>
    <w:p w14:paraId="5809EADA" w14:textId="42B63F7E" w:rsidR="00AF613C" w:rsidRDefault="008154F1" w:rsidP="00AF613C">
      <w:r>
        <w:t>Clause 7(1) of the draft Bill provides:</w:t>
      </w:r>
    </w:p>
    <w:p w14:paraId="43B0CD80" w14:textId="2B46B4B3" w:rsidR="008154F1" w:rsidRPr="008154F1" w:rsidRDefault="008154F1" w:rsidP="008154F1">
      <w:pPr>
        <w:pStyle w:val="subsection"/>
        <w:tabs>
          <w:tab w:val="clear" w:pos="1021"/>
          <w:tab w:val="right" w:pos="1134"/>
        </w:tabs>
        <w:ind w:left="1440"/>
        <w:rPr>
          <w:rFonts w:ascii="Palatino" w:hAnsi="Palatino"/>
          <w:szCs w:val="22"/>
        </w:rPr>
      </w:pPr>
      <w:r>
        <w:rPr>
          <w:rFonts w:ascii="Palatino" w:hAnsi="Palatino"/>
        </w:rPr>
        <w:tab/>
      </w:r>
      <w:r>
        <w:rPr>
          <w:rFonts w:ascii="Palatino" w:hAnsi="Palatino"/>
        </w:rPr>
        <w:tab/>
      </w:r>
      <w:r w:rsidRPr="008154F1">
        <w:rPr>
          <w:rFonts w:ascii="Palatino" w:hAnsi="Palatino"/>
          <w:szCs w:val="22"/>
        </w:rPr>
        <w:t>The amount the Secretary may deduct, from a divertible welfare payment payable to a person, in accordance with a request cannot exceed…</w:t>
      </w:r>
    </w:p>
    <w:p w14:paraId="72CF2449" w14:textId="0B0C880D" w:rsidR="008154F1" w:rsidRPr="008154F1" w:rsidRDefault="008154F1" w:rsidP="008154F1">
      <w:pPr>
        <w:tabs>
          <w:tab w:val="right" w:pos="1134"/>
        </w:tabs>
      </w:pPr>
      <w:r w:rsidRPr="008154F1">
        <w:rPr>
          <w:sz w:val="22"/>
          <w:szCs w:val="22"/>
        </w:rPr>
        <w:tab/>
      </w:r>
      <w:r w:rsidRPr="008154F1">
        <w:rPr>
          <w:sz w:val="22"/>
          <w:szCs w:val="22"/>
        </w:rPr>
        <w:tab/>
        <w:t>(c)</w:t>
      </w:r>
      <w:r w:rsidRPr="008154F1">
        <w:rPr>
          <w:sz w:val="22"/>
          <w:szCs w:val="22"/>
        </w:rPr>
        <w:tab/>
        <w:t>35% of what would be the amount of the payment</w:t>
      </w:r>
      <w:r>
        <w:rPr>
          <w:sz w:val="22"/>
          <w:szCs w:val="22"/>
        </w:rPr>
        <w:t>…</w:t>
      </w:r>
    </w:p>
    <w:p w14:paraId="79B1E45F" w14:textId="77777777" w:rsidR="008154F1" w:rsidRDefault="008154F1" w:rsidP="00AF613C"/>
    <w:p w14:paraId="33407187" w14:textId="6DEB911F" w:rsidR="0085324D" w:rsidRDefault="008154F1" w:rsidP="00AF613C">
      <w:r>
        <w:t xml:space="preserve">This means that 35 per cent of a tenant’s payment could be deducted </w:t>
      </w:r>
      <w:r w:rsidR="0085324D">
        <w:t>for discharging an outstanding liability – without regard to the tenant’s present liability to pay rent going forward. This liability (which under Housing NSW’s rent rebate system amount to 25-30 per cent of a tenant’s income) would have to be paid by the tenant from what remains of their income. The result is that while the deduction is in place as much as 65 per cent of a tenant’s income would go to Housing NSW. Such a rate is untenable, and while it continued would cause great hardship to a tenant.</w:t>
      </w:r>
    </w:p>
    <w:p w14:paraId="10FC7C5C" w14:textId="77777777" w:rsidR="007A3BEB" w:rsidRDefault="007A3BEB">
      <w:pPr>
        <w:rPr>
          <w:rFonts w:ascii="Optima" w:eastAsia="Times New Roman" w:hAnsi="Optima"/>
          <w:b/>
          <w:noProof/>
          <w:color w:val="333333"/>
          <w:sz w:val="26"/>
          <w:lang w:val="en-US"/>
        </w:rPr>
      </w:pPr>
      <w:r>
        <w:br w:type="page"/>
      </w:r>
    </w:p>
    <w:p w14:paraId="075C25CD" w14:textId="06F8C725" w:rsidR="00AF613C" w:rsidRDefault="00AF613C" w:rsidP="00544D73">
      <w:pPr>
        <w:pStyle w:val="Heading3"/>
      </w:pPr>
      <w:r>
        <w:lastRenderedPageBreak/>
        <w:t>Recommendations</w:t>
      </w:r>
    </w:p>
    <w:p w14:paraId="223485C5" w14:textId="0DA33864" w:rsidR="00544D73" w:rsidRDefault="00544D73" w:rsidP="00AF613C">
      <w:r>
        <w:t>We strongly recommend that the proposed scheme and the draft legislation not proceed.</w:t>
      </w:r>
    </w:p>
    <w:p w14:paraId="6D03D2D7" w14:textId="77777777" w:rsidR="00544D73" w:rsidRDefault="00544D73" w:rsidP="00AF613C"/>
    <w:p w14:paraId="02297530" w14:textId="77777777" w:rsidR="00A411DD" w:rsidRDefault="00AF613C" w:rsidP="00AF613C">
      <w:r>
        <w:t xml:space="preserve">Alternatively, if the </w:t>
      </w:r>
      <w:r w:rsidR="00544D73">
        <w:t xml:space="preserve">proposed </w:t>
      </w:r>
      <w:r>
        <w:t xml:space="preserve">scheme and the draft </w:t>
      </w:r>
      <w:r w:rsidR="00A411DD">
        <w:t>legislation do proceed, we recommend:</w:t>
      </w:r>
    </w:p>
    <w:p w14:paraId="283D3D8F" w14:textId="77777777" w:rsidR="00DA10ED" w:rsidRDefault="00DA10ED" w:rsidP="00AF613C"/>
    <w:p w14:paraId="09DDA310" w14:textId="151B61BD" w:rsidR="00A411DD" w:rsidRDefault="00AF613C" w:rsidP="00AF613C">
      <w:pPr>
        <w:pStyle w:val="ListParagraph"/>
        <w:numPr>
          <w:ilvl w:val="0"/>
          <w:numId w:val="15"/>
        </w:numPr>
      </w:pPr>
      <w:r>
        <w:t xml:space="preserve">that the draft </w:t>
      </w:r>
      <w:r w:rsidR="00544D73">
        <w:t>Bill</w:t>
      </w:r>
      <w:r>
        <w:t xml:space="preserve"> provide that the Secretary may make the deductions requested only where the Secretary is satisfied that the relevant State or Territory provides for the review of social housing decisions by an independent tribunal with power t</w:t>
      </w:r>
      <w:r w:rsidR="00A411DD">
        <w:t>o make binding determinations;</w:t>
      </w:r>
    </w:p>
    <w:p w14:paraId="0DFC5F87" w14:textId="7B82B595" w:rsidR="00DD14C9" w:rsidRDefault="00DD14C9" w:rsidP="00AF613C">
      <w:pPr>
        <w:pStyle w:val="ListParagraph"/>
        <w:numPr>
          <w:ilvl w:val="0"/>
          <w:numId w:val="15"/>
        </w:numPr>
      </w:pPr>
      <w:r>
        <w:t>that cl 3 of the draft Social Security (Public Housing Tenants’ Support) Risk of Non-Payment of Amounts Rules (No 1) 2013 be deleted;</w:t>
      </w:r>
    </w:p>
    <w:p w14:paraId="4D5951D3" w14:textId="660BB05D" w:rsidR="00AF613C" w:rsidRDefault="00544D73" w:rsidP="00A411DD">
      <w:pPr>
        <w:pStyle w:val="ListParagraph"/>
        <w:numPr>
          <w:ilvl w:val="0"/>
          <w:numId w:val="15"/>
        </w:numPr>
      </w:pPr>
      <w:proofErr w:type="gramStart"/>
      <w:r>
        <w:t>that</w:t>
      </w:r>
      <w:proofErr w:type="gramEnd"/>
      <w:r>
        <w:t xml:space="preserve"> cl 7 of the draft </w:t>
      </w:r>
      <w:r w:rsidR="001E0F40">
        <w:t xml:space="preserve">Bill be amended to provide that </w:t>
      </w:r>
      <w:r w:rsidR="0085324D">
        <w:t xml:space="preserve">the total </w:t>
      </w:r>
      <w:r w:rsidR="00A2429C">
        <w:t xml:space="preserve">amount of </w:t>
      </w:r>
      <w:r w:rsidR="0085324D">
        <w:t xml:space="preserve">the deduction </w:t>
      </w:r>
      <w:r w:rsidR="00A2429C">
        <w:t>and</w:t>
      </w:r>
      <w:r w:rsidR="0085324D">
        <w:t xml:space="preserve"> rent payments and other liabilities that become due must not exceed 35 per cent of the </w:t>
      </w:r>
      <w:r w:rsidR="00E93D4E">
        <w:t xml:space="preserve">affected social security </w:t>
      </w:r>
      <w:r w:rsidR="0085324D">
        <w:t>payment</w:t>
      </w:r>
      <w:r w:rsidR="00E93D4E">
        <w:t xml:space="preserve"> or payments</w:t>
      </w:r>
      <w:r w:rsidR="0085324D">
        <w:t xml:space="preserve">. </w:t>
      </w:r>
    </w:p>
    <w:p w14:paraId="2C9EC64D" w14:textId="77777777" w:rsidR="00311579" w:rsidRPr="00C177CB" w:rsidRDefault="00311579" w:rsidP="00C177CB"/>
    <w:sectPr w:rsidR="00311579" w:rsidRPr="00C177CB" w:rsidSect="006C4478">
      <w:footerReference w:type="even" r:id="rId8"/>
      <w:footerReference w:type="default" r:id="rId9"/>
      <w:headerReference w:type="first" r:id="rId10"/>
      <w:footerReference w:type="first" r:id="rId11"/>
      <w:type w:val="continuous"/>
      <w:pgSz w:w="11899" w:h="16838"/>
      <w:pgMar w:top="1134" w:right="1418" w:bottom="1134" w:left="1418" w:header="709"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88F3C" w14:textId="77777777" w:rsidR="001F05D7" w:rsidRDefault="001F05D7">
      <w:r>
        <w:separator/>
      </w:r>
    </w:p>
  </w:endnote>
  <w:endnote w:type="continuationSeparator" w:id="0">
    <w:p w14:paraId="1EDF039C" w14:textId="77777777" w:rsidR="001F05D7" w:rsidRDefault="001F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45 Helvetica Light">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Myriad Pro">
    <w:altName w:val="Andale Mon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ixage ITC Std Book">
    <w:altName w:val="Helvetica Neue Light"/>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22EA7" w14:textId="77777777" w:rsidR="001F05D7" w:rsidRDefault="001F05D7" w:rsidP="006C4478">
    <w:pPr>
      <w:pStyle w:val="Footer"/>
      <w:framePr w:wrap="around" w:vAnchor="text" w:hAnchor="margin" w:xAlign="outside"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24A053" w14:textId="77777777" w:rsidR="001F05D7" w:rsidRDefault="001F05D7" w:rsidP="006C4478">
    <w:pPr>
      <w:pStyle w:val="Footer"/>
      <w:tabs>
        <w:tab w:val="clear" w:pos="8640"/>
        <w:tab w:val="right" w:pos="9072"/>
      </w:tabs>
      <w:ind w:right="-9"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2E2A0" w14:textId="77777777" w:rsidR="001F05D7" w:rsidRDefault="001F05D7" w:rsidP="006C4478">
    <w:pPr>
      <w:pStyle w:val="Footer"/>
      <w:framePr w:wrap="around" w:vAnchor="text" w:hAnchor="margin" w:xAlign="outside" w:y="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5E44C9">
      <w:rPr>
        <w:rStyle w:val="PageNumber"/>
        <w:noProof/>
      </w:rPr>
      <w:t>4</w:t>
    </w:r>
    <w:r>
      <w:rPr>
        <w:rStyle w:val="PageNumber"/>
      </w:rPr>
      <w:fldChar w:fldCharType="end"/>
    </w:r>
  </w:p>
  <w:p w14:paraId="16ACC6B4" w14:textId="77777777" w:rsidR="001F05D7" w:rsidRDefault="001F05D7" w:rsidP="006C4478">
    <w:pPr>
      <w:pStyle w:val="Footer"/>
      <w:tabs>
        <w:tab w:val="clear" w:pos="8640"/>
        <w:tab w:val="right" w:pos="9072"/>
      </w:tabs>
      <w:ind w:right="-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CellMar>
        <w:left w:w="0" w:type="dxa"/>
        <w:right w:w="0" w:type="dxa"/>
      </w:tblCellMar>
      <w:tblLook w:val="00A0" w:firstRow="1" w:lastRow="0" w:firstColumn="1" w:lastColumn="0" w:noHBand="0" w:noVBand="0"/>
    </w:tblPr>
    <w:tblGrid>
      <w:gridCol w:w="4531"/>
      <w:gridCol w:w="4683"/>
    </w:tblGrid>
    <w:tr w:rsidR="001F05D7" w14:paraId="7D4AA839" w14:textId="77777777">
      <w:tc>
        <w:tcPr>
          <w:tcW w:w="4531" w:type="dxa"/>
        </w:tcPr>
        <w:p w14:paraId="03E61F8A" w14:textId="77777777" w:rsidR="001F05D7" w:rsidRDefault="001F05D7" w:rsidP="006C4478">
          <w:pPr>
            <w:pStyle w:val="Footer"/>
            <w:tabs>
              <w:tab w:val="clear" w:pos="8640"/>
              <w:tab w:val="right" w:pos="9214"/>
            </w:tabs>
            <w:jc w:val="left"/>
          </w:pPr>
        </w:p>
      </w:tc>
      <w:tc>
        <w:tcPr>
          <w:tcW w:w="4683" w:type="dxa"/>
        </w:tcPr>
        <w:p w14:paraId="2E5490FB" w14:textId="77777777" w:rsidR="001F05D7" w:rsidRDefault="001F05D7" w:rsidP="006C4478">
          <w:pPr>
            <w:pStyle w:val="Footer"/>
          </w:pPr>
          <w:r>
            <w:rPr>
              <w:noProof/>
              <w:lang w:eastAsia="en-AU"/>
            </w:rPr>
            <w:drawing>
              <wp:inline distT="0" distB="0" distL="0" distR="0" wp14:anchorId="28467F2F" wp14:editId="3389FE06">
                <wp:extent cx="1525905" cy="492125"/>
                <wp:effectExtent l="25400" t="0" r="0" b="0"/>
                <wp:docPr id="2" name="Picture 2" descr="naclc-horiz-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lc-horiz-grey"/>
                        <pic:cNvPicPr>
                          <a:picLocks noChangeAspect="1" noChangeArrowheads="1"/>
                        </pic:cNvPicPr>
                      </pic:nvPicPr>
                      <pic:blipFill>
                        <a:blip r:embed="rId1"/>
                        <a:srcRect/>
                        <a:stretch>
                          <a:fillRect/>
                        </a:stretch>
                      </pic:blipFill>
                      <pic:spPr bwMode="auto">
                        <a:xfrm>
                          <a:off x="0" y="0"/>
                          <a:ext cx="1525905" cy="492125"/>
                        </a:xfrm>
                        <a:prstGeom prst="rect">
                          <a:avLst/>
                        </a:prstGeom>
                        <a:noFill/>
                        <a:ln w="9525">
                          <a:noFill/>
                          <a:miter lim="800000"/>
                          <a:headEnd/>
                          <a:tailEnd/>
                        </a:ln>
                      </pic:spPr>
                    </pic:pic>
                  </a:graphicData>
                </a:graphic>
              </wp:inline>
            </w:drawing>
          </w:r>
        </w:p>
      </w:tc>
    </w:tr>
  </w:tbl>
  <w:p w14:paraId="34249801" w14:textId="77777777" w:rsidR="001F05D7" w:rsidRPr="00E77F37" w:rsidRDefault="001F05D7" w:rsidP="006C4478">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046A5" w14:textId="77777777" w:rsidR="001F05D7" w:rsidRDefault="001F05D7">
      <w:r>
        <w:separator/>
      </w:r>
    </w:p>
  </w:footnote>
  <w:footnote w:type="continuationSeparator" w:id="0">
    <w:p w14:paraId="57580E74" w14:textId="77777777" w:rsidR="001F05D7" w:rsidRDefault="001F0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A0" w:firstRow="1" w:lastRow="0" w:firstColumn="1" w:lastColumn="0" w:noHBand="0" w:noVBand="0"/>
    </w:tblPr>
    <w:tblGrid>
      <w:gridCol w:w="4620"/>
      <w:gridCol w:w="4443"/>
    </w:tblGrid>
    <w:tr w:rsidR="001F05D7" w14:paraId="086B00F2" w14:textId="77777777" w:rsidTr="00C72441">
      <w:trPr>
        <w:trHeight w:val="1276"/>
      </w:trPr>
      <w:tc>
        <w:tcPr>
          <w:tcW w:w="4620" w:type="dxa"/>
          <w:tcBorders>
            <w:bottom w:val="nil"/>
          </w:tcBorders>
        </w:tcPr>
        <w:p w14:paraId="75730019" w14:textId="6A7D1D73" w:rsidR="001F05D7" w:rsidRDefault="001F05D7" w:rsidP="006C4478">
          <w:r>
            <w:rPr>
              <w:rFonts w:ascii="Optima" w:hAnsi="Optima"/>
              <w:noProof/>
              <w:color w:val="333333"/>
              <w:sz w:val="20"/>
              <w:lang w:eastAsia="en-AU"/>
            </w:rPr>
            <w:drawing>
              <wp:inline distT="0" distB="0" distL="0" distR="0" wp14:anchorId="3E40D9FB" wp14:editId="58F742F5">
                <wp:extent cx="2698750" cy="655955"/>
                <wp:effectExtent l="25400" t="0" r="0" b="0"/>
                <wp:docPr id="1" name="Picture 1" descr="tu-logo-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ogo-blue-print"/>
                        <pic:cNvPicPr>
                          <a:picLocks noChangeAspect="1" noChangeArrowheads="1"/>
                        </pic:cNvPicPr>
                      </pic:nvPicPr>
                      <pic:blipFill>
                        <a:blip r:embed="rId1"/>
                        <a:srcRect/>
                        <a:stretch>
                          <a:fillRect/>
                        </a:stretch>
                      </pic:blipFill>
                      <pic:spPr bwMode="auto">
                        <a:xfrm>
                          <a:off x="0" y="0"/>
                          <a:ext cx="2698750" cy="655955"/>
                        </a:xfrm>
                        <a:prstGeom prst="rect">
                          <a:avLst/>
                        </a:prstGeom>
                        <a:noFill/>
                        <a:ln w="9525">
                          <a:noFill/>
                          <a:miter lim="800000"/>
                          <a:headEnd/>
                          <a:tailEnd/>
                        </a:ln>
                      </pic:spPr>
                    </pic:pic>
                  </a:graphicData>
                </a:graphic>
              </wp:inline>
            </w:drawing>
          </w:r>
        </w:p>
      </w:tc>
      <w:tc>
        <w:tcPr>
          <w:tcW w:w="4443" w:type="dxa"/>
          <w:tcBorders>
            <w:bottom w:val="nil"/>
          </w:tcBorders>
        </w:tcPr>
        <w:p w14:paraId="57D7AF40" w14:textId="77777777" w:rsidR="001F05D7" w:rsidRPr="00A62B76" w:rsidRDefault="001F05D7" w:rsidP="006C4478">
          <w:pPr>
            <w:pStyle w:val="Contactdetails"/>
            <w:rPr>
              <w:sz w:val="20"/>
            </w:rPr>
          </w:pPr>
          <w:r>
            <w:rPr>
              <w:noProof/>
              <w:sz w:val="20"/>
              <w:lang w:eastAsia="en-AU"/>
            </w:rPr>
            <w:drawing>
              <wp:inline distT="0" distB="0" distL="0" distR="0" wp14:anchorId="20D08381" wp14:editId="7A519ED0">
                <wp:extent cx="1549400" cy="876300"/>
                <wp:effectExtent l="0" t="0" r="0" b="0"/>
                <wp:docPr id="3" name="Picture 2" descr="contact-detail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details.eps"/>
                        <pic:cNvPicPr/>
                      </pic:nvPicPr>
                      <pic:blipFill>
                        <a:blip r:embed="rId2"/>
                        <a:stretch>
                          <a:fillRect/>
                        </a:stretch>
                      </pic:blipFill>
                      <pic:spPr>
                        <a:xfrm>
                          <a:off x="0" y="0"/>
                          <a:ext cx="1549400" cy="876300"/>
                        </a:xfrm>
                        <a:prstGeom prst="rect">
                          <a:avLst/>
                        </a:prstGeom>
                      </pic:spPr>
                    </pic:pic>
                  </a:graphicData>
                </a:graphic>
              </wp:inline>
            </w:drawing>
          </w:r>
        </w:p>
      </w:tc>
    </w:tr>
  </w:tbl>
  <w:p w14:paraId="0C0FFD76" w14:textId="77777777" w:rsidR="001F05D7" w:rsidRPr="0094185A" w:rsidRDefault="001F05D7" w:rsidP="006C4478">
    <w:pPr>
      <w:pStyle w:val="Header"/>
      <w:tabs>
        <w:tab w:val="left" w:pos="1294"/>
      </w:tabs>
      <w:rPr>
        <w:color w:val="333333"/>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1E7E"/>
    <w:multiLevelType w:val="hybridMultilevel"/>
    <w:tmpl w:val="0928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F7107"/>
    <w:multiLevelType w:val="hybridMultilevel"/>
    <w:tmpl w:val="AA7AAB96"/>
    <w:lvl w:ilvl="0" w:tplc="1B225F90">
      <w:start w:val="1"/>
      <w:numFmt w:val="bullet"/>
      <w:pStyle w:val="List-bullets"/>
      <w:lvlText w:val=""/>
      <w:lvlJc w:val="left"/>
      <w:pPr>
        <w:tabs>
          <w:tab w:val="num" w:pos="340"/>
        </w:tabs>
        <w:ind w:left="340" w:hanging="340"/>
      </w:pPr>
      <w:rPr>
        <w:rFonts w:ascii="Symbol" w:hAnsi="Symbol" w:hint="default"/>
        <w:b w:val="0"/>
        <w:i w:val="0"/>
        <w:color w:val="333333"/>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8A2EA5"/>
    <w:multiLevelType w:val="hybridMultilevel"/>
    <w:tmpl w:val="40B24D86"/>
    <w:lvl w:ilvl="0" w:tplc="095C584E">
      <w:start w:val="1"/>
      <w:numFmt w:val="bullet"/>
      <w:lvlText w:val=""/>
      <w:lvlJc w:val="left"/>
      <w:pPr>
        <w:tabs>
          <w:tab w:val="num" w:pos="352"/>
        </w:tabs>
        <w:ind w:left="352" w:hanging="171"/>
      </w:pPr>
      <w:rPr>
        <w:rFonts w:ascii="Wingdings" w:hAnsi="Wingdings" w:hint="default"/>
        <w:b w:val="0"/>
        <w:i w:val="0"/>
        <w:sz w:val="20"/>
      </w:rPr>
    </w:lvl>
    <w:lvl w:ilvl="1" w:tplc="04090003">
      <w:start w:val="1"/>
      <w:numFmt w:val="bullet"/>
      <w:lvlText w:val="o"/>
      <w:lvlJc w:val="left"/>
      <w:pPr>
        <w:tabs>
          <w:tab w:val="num" w:pos="541"/>
        </w:tabs>
        <w:ind w:left="541" w:hanging="360"/>
      </w:pPr>
      <w:rPr>
        <w:rFonts w:ascii="Courier New" w:hAnsi="Courier New" w:hint="default"/>
      </w:rPr>
    </w:lvl>
    <w:lvl w:ilvl="2" w:tplc="04090005" w:tentative="1">
      <w:start w:val="1"/>
      <w:numFmt w:val="bullet"/>
      <w:lvlText w:val=""/>
      <w:lvlJc w:val="left"/>
      <w:pPr>
        <w:tabs>
          <w:tab w:val="num" w:pos="1261"/>
        </w:tabs>
        <w:ind w:left="1261" w:hanging="360"/>
      </w:pPr>
      <w:rPr>
        <w:rFonts w:ascii="Wingdings" w:hAnsi="Wingdings" w:hint="default"/>
      </w:rPr>
    </w:lvl>
    <w:lvl w:ilvl="3" w:tplc="04090001" w:tentative="1">
      <w:start w:val="1"/>
      <w:numFmt w:val="bullet"/>
      <w:lvlText w:val=""/>
      <w:lvlJc w:val="left"/>
      <w:pPr>
        <w:tabs>
          <w:tab w:val="num" w:pos="1981"/>
        </w:tabs>
        <w:ind w:left="1981" w:hanging="360"/>
      </w:pPr>
      <w:rPr>
        <w:rFonts w:ascii="Symbol" w:hAnsi="Symbol" w:hint="default"/>
      </w:rPr>
    </w:lvl>
    <w:lvl w:ilvl="4" w:tplc="04090003" w:tentative="1">
      <w:start w:val="1"/>
      <w:numFmt w:val="bullet"/>
      <w:lvlText w:val="o"/>
      <w:lvlJc w:val="left"/>
      <w:pPr>
        <w:tabs>
          <w:tab w:val="num" w:pos="2701"/>
        </w:tabs>
        <w:ind w:left="2701" w:hanging="360"/>
      </w:pPr>
      <w:rPr>
        <w:rFonts w:ascii="Courier New" w:hAnsi="Courier New" w:hint="default"/>
      </w:rPr>
    </w:lvl>
    <w:lvl w:ilvl="5" w:tplc="04090005" w:tentative="1">
      <w:start w:val="1"/>
      <w:numFmt w:val="bullet"/>
      <w:lvlText w:val=""/>
      <w:lvlJc w:val="left"/>
      <w:pPr>
        <w:tabs>
          <w:tab w:val="num" w:pos="3421"/>
        </w:tabs>
        <w:ind w:left="3421" w:hanging="360"/>
      </w:pPr>
      <w:rPr>
        <w:rFonts w:ascii="Wingdings" w:hAnsi="Wingdings" w:hint="default"/>
      </w:rPr>
    </w:lvl>
    <w:lvl w:ilvl="6" w:tplc="04090001" w:tentative="1">
      <w:start w:val="1"/>
      <w:numFmt w:val="bullet"/>
      <w:lvlText w:val=""/>
      <w:lvlJc w:val="left"/>
      <w:pPr>
        <w:tabs>
          <w:tab w:val="num" w:pos="4141"/>
        </w:tabs>
        <w:ind w:left="4141" w:hanging="360"/>
      </w:pPr>
      <w:rPr>
        <w:rFonts w:ascii="Symbol" w:hAnsi="Symbol" w:hint="default"/>
      </w:rPr>
    </w:lvl>
    <w:lvl w:ilvl="7" w:tplc="04090003" w:tentative="1">
      <w:start w:val="1"/>
      <w:numFmt w:val="bullet"/>
      <w:lvlText w:val="o"/>
      <w:lvlJc w:val="left"/>
      <w:pPr>
        <w:tabs>
          <w:tab w:val="num" w:pos="4861"/>
        </w:tabs>
        <w:ind w:left="4861" w:hanging="360"/>
      </w:pPr>
      <w:rPr>
        <w:rFonts w:ascii="Courier New" w:hAnsi="Courier New" w:hint="default"/>
      </w:rPr>
    </w:lvl>
    <w:lvl w:ilvl="8" w:tplc="04090005" w:tentative="1">
      <w:start w:val="1"/>
      <w:numFmt w:val="bullet"/>
      <w:lvlText w:val=""/>
      <w:lvlJc w:val="left"/>
      <w:pPr>
        <w:tabs>
          <w:tab w:val="num" w:pos="5581"/>
        </w:tabs>
        <w:ind w:left="5581" w:hanging="360"/>
      </w:pPr>
      <w:rPr>
        <w:rFonts w:ascii="Wingdings" w:hAnsi="Wingdings" w:hint="default"/>
      </w:rPr>
    </w:lvl>
  </w:abstractNum>
  <w:abstractNum w:abstractNumId="3">
    <w:nsid w:val="27814823"/>
    <w:multiLevelType w:val="hybridMultilevel"/>
    <w:tmpl w:val="5E708262"/>
    <w:lvl w:ilvl="0" w:tplc="07BAE92E">
      <w:start w:val="1"/>
      <w:numFmt w:val="decimal"/>
      <w:pStyle w:val="List-numbers"/>
      <w:lvlText w:val="%1."/>
      <w:lvlJc w:val="left"/>
      <w:pPr>
        <w:tabs>
          <w:tab w:val="num" w:pos="340"/>
        </w:tabs>
        <w:ind w:left="340" w:hanging="340"/>
      </w:pPr>
      <w:rPr>
        <w:rFonts w:ascii="Palatino" w:hAnsi="Palatino"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417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78D4E45"/>
    <w:multiLevelType w:val="hybridMultilevel"/>
    <w:tmpl w:val="82D218E6"/>
    <w:lvl w:ilvl="0" w:tplc="B650C1D0">
      <w:start w:val="1"/>
      <w:numFmt w:val="bullet"/>
      <w:lvlText w:val=""/>
      <w:lvlJc w:val="left"/>
      <w:pPr>
        <w:tabs>
          <w:tab w:val="num" w:pos="181"/>
        </w:tabs>
        <w:ind w:left="181" w:hanging="181"/>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D4BE5"/>
    <w:multiLevelType w:val="hybridMultilevel"/>
    <w:tmpl w:val="6EE26564"/>
    <w:lvl w:ilvl="0" w:tplc="1A407DAA">
      <w:start w:val="1"/>
      <w:numFmt w:val="decimal"/>
      <w:lvlText w:val="%1."/>
      <w:lvlJc w:val="left"/>
      <w:pPr>
        <w:tabs>
          <w:tab w:val="num" w:pos="340"/>
        </w:tabs>
        <w:ind w:left="340" w:hanging="3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29218BF"/>
    <w:multiLevelType w:val="multilevel"/>
    <w:tmpl w:val="5694FA24"/>
    <w:lvl w:ilvl="0">
      <w:start w:val="1"/>
      <w:numFmt w:val="bullet"/>
      <w:lvlText w:val=""/>
      <w:lvlJc w:val="left"/>
      <w:pPr>
        <w:tabs>
          <w:tab w:val="num" w:pos="255"/>
        </w:tabs>
        <w:ind w:left="255" w:hanging="255"/>
      </w:pPr>
      <w:rPr>
        <w:rFonts w:ascii="Symbol" w:hAnsi="Symbol" w:hint="default"/>
        <w:b w:val="0"/>
        <w:i w:val="0"/>
        <w:color w:val="333333"/>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BD003FA"/>
    <w:multiLevelType w:val="hybridMultilevel"/>
    <w:tmpl w:val="134EF886"/>
    <w:lvl w:ilvl="0" w:tplc="D2C2FA7E">
      <w:start w:val="1"/>
      <w:numFmt w:val="bullet"/>
      <w:lvlText w:val=""/>
      <w:lvlJc w:val="left"/>
      <w:pPr>
        <w:tabs>
          <w:tab w:val="num" w:pos="369"/>
        </w:tabs>
        <w:ind w:left="369" w:hanging="369"/>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5CA458FB"/>
    <w:multiLevelType w:val="hybridMultilevel"/>
    <w:tmpl w:val="05B447D4"/>
    <w:lvl w:ilvl="0" w:tplc="00010409">
      <w:start w:val="1"/>
      <w:numFmt w:val="bullet"/>
      <w:lvlText w:val=""/>
      <w:lvlJc w:val="left"/>
      <w:pPr>
        <w:tabs>
          <w:tab w:val="num" w:pos="360"/>
        </w:tabs>
        <w:ind w:left="360" w:hanging="360"/>
      </w:pPr>
      <w:rPr>
        <w:rFonts w:ascii="Symbol" w:hAnsi="Symbol" w:hint="default"/>
      </w:rPr>
    </w:lvl>
    <w:lvl w:ilvl="1" w:tplc="1E865BCE">
      <w:start w:val="1"/>
      <w:numFmt w:val="bullet"/>
      <w:lvlText w:val="–"/>
      <w:lvlJc w:val="left"/>
      <w:pPr>
        <w:ind w:left="737" w:hanging="368"/>
      </w:pPr>
      <w:rPr>
        <w:rFonts w:ascii="Palatino" w:hAnsi="Palatino"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5F493995"/>
    <w:multiLevelType w:val="multilevel"/>
    <w:tmpl w:val="8A4ABE60"/>
    <w:lvl w:ilvl="0">
      <w:start w:val="1"/>
      <w:numFmt w:val="bullet"/>
      <w:lvlText w:val=""/>
      <w:lvlJc w:val="left"/>
      <w:pPr>
        <w:tabs>
          <w:tab w:val="num" w:pos="340"/>
        </w:tabs>
        <w:ind w:left="340" w:hanging="170"/>
      </w:pPr>
      <w:rPr>
        <w:rFonts w:ascii="Symbol" w:hAnsi="Symbol" w:hint="default"/>
        <w:b w:val="0"/>
        <w:i w:val="0"/>
        <w:color w:val="333333"/>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C2D548B"/>
    <w:multiLevelType w:val="hybridMultilevel"/>
    <w:tmpl w:val="49DE4886"/>
    <w:lvl w:ilvl="0" w:tplc="3AB4824E">
      <w:start w:val="1"/>
      <w:numFmt w:val="bullet"/>
      <w:lvlText w:val="–"/>
      <w:lvlJc w:val="left"/>
      <w:pPr>
        <w:ind w:left="680" w:hanging="340"/>
      </w:pPr>
      <w:rPr>
        <w:rFonts w:ascii="Palatino" w:hAnsi="Palatino"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D76F73"/>
    <w:multiLevelType w:val="hybridMultilevel"/>
    <w:tmpl w:val="5C36FB0E"/>
    <w:lvl w:ilvl="0" w:tplc="DDBAEBCE">
      <w:start w:val="1"/>
      <w:numFmt w:val="bullet"/>
      <w:lvlText w:val="•"/>
      <w:lvlJc w:val="left"/>
      <w:pPr>
        <w:ind w:left="340" w:hanging="340"/>
      </w:pPr>
      <w:rPr>
        <w:rFonts w:ascii="45 Helvetica Light" w:hAnsi="45 Helvetica Light"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4312E8"/>
    <w:multiLevelType w:val="hybridMultilevel"/>
    <w:tmpl w:val="AFF25C3C"/>
    <w:lvl w:ilvl="0" w:tplc="447A7C8E">
      <w:start w:val="1"/>
      <w:numFmt w:val="bullet"/>
      <w:lvlText w:val=""/>
      <w:lvlJc w:val="left"/>
      <w:pPr>
        <w:tabs>
          <w:tab w:val="num" w:pos="352"/>
        </w:tabs>
        <w:ind w:left="352" w:hanging="171"/>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856B10"/>
    <w:multiLevelType w:val="hybridMultilevel"/>
    <w:tmpl w:val="29F8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6"/>
  </w:num>
  <w:num w:numId="5">
    <w:abstractNumId w:val="2"/>
  </w:num>
  <w:num w:numId="6">
    <w:abstractNumId w:val="13"/>
  </w:num>
  <w:num w:numId="7">
    <w:abstractNumId w:val="1"/>
  </w:num>
  <w:num w:numId="8">
    <w:abstractNumId w:val="11"/>
  </w:num>
  <w:num w:numId="9">
    <w:abstractNumId w:val="5"/>
  </w:num>
  <w:num w:numId="10">
    <w:abstractNumId w:val="10"/>
  </w:num>
  <w:num w:numId="11">
    <w:abstractNumId w:val="3"/>
  </w:num>
  <w:num w:numId="12">
    <w:abstractNumId w:val="4"/>
  </w:num>
  <w:num w:numId="13">
    <w:abstractNumId w:val="7"/>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cumentProtection w:edit="readOnly" w:enforcement="1" w:cryptProviderType="rsaFull" w:cryptAlgorithmClass="hash" w:cryptAlgorithmType="typeAny" w:cryptAlgorithmSid="4" w:cryptSpinCount="100000" w:hash="fXzJXbryx7dR/oJb3w4bx+Hlcdc=" w:salt="+flfnRyJwmf7XJwvHjXhd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o:colormru v:ext="edit" colors="#17276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78"/>
    <w:rsid w:val="00041F21"/>
    <w:rsid w:val="00071F30"/>
    <w:rsid w:val="0010173A"/>
    <w:rsid w:val="00130AD5"/>
    <w:rsid w:val="00145C5C"/>
    <w:rsid w:val="00175C42"/>
    <w:rsid w:val="001E06F3"/>
    <w:rsid w:val="001E0F40"/>
    <w:rsid w:val="001F05D7"/>
    <w:rsid w:val="00211D27"/>
    <w:rsid w:val="00225CDD"/>
    <w:rsid w:val="002748D4"/>
    <w:rsid w:val="002B27DF"/>
    <w:rsid w:val="00311579"/>
    <w:rsid w:val="0031568E"/>
    <w:rsid w:val="00331814"/>
    <w:rsid w:val="003343E1"/>
    <w:rsid w:val="0036728E"/>
    <w:rsid w:val="003B3EEA"/>
    <w:rsid w:val="003B5D37"/>
    <w:rsid w:val="003C18CF"/>
    <w:rsid w:val="003E1581"/>
    <w:rsid w:val="003E7C5D"/>
    <w:rsid w:val="0045789C"/>
    <w:rsid w:val="00463A96"/>
    <w:rsid w:val="004A35FD"/>
    <w:rsid w:val="004D1BFD"/>
    <w:rsid w:val="004D48E9"/>
    <w:rsid w:val="004D6DA7"/>
    <w:rsid w:val="005109A8"/>
    <w:rsid w:val="00533BB5"/>
    <w:rsid w:val="0053484D"/>
    <w:rsid w:val="00537185"/>
    <w:rsid w:val="00544D73"/>
    <w:rsid w:val="00551DF3"/>
    <w:rsid w:val="005575CC"/>
    <w:rsid w:val="005674E5"/>
    <w:rsid w:val="00590C70"/>
    <w:rsid w:val="005D0FBC"/>
    <w:rsid w:val="005E44C9"/>
    <w:rsid w:val="005E5314"/>
    <w:rsid w:val="00623ECB"/>
    <w:rsid w:val="006321E8"/>
    <w:rsid w:val="00695BD7"/>
    <w:rsid w:val="006C2EDF"/>
    <w:rsid w:val="006C4478"/>
    <w:rsid w:val="006F310F"/>
    <w:rsid w:val="00703BC3"/>
    <w:rsid w:val="00742732"/>
    <w:rsid w:val="00775EB8"/>
    <w:rsid w:val="0079215B"/>
    <w:rsid w:val="007A3BEB"/>
    <w:rsid w:val="007F037B"/>
    <w:rsid w:val="0080203A"/>
    <w:rsid w:val="008154F1"/>
    <w:rsid w:val="008220D6"/>
    <w:rsid w:val="00847CAF"/>
    <w:rsid w:val="0085324D"/>
    <w:rsid w:val="00865E82"/>
    <w:rsid w:val="008822A9"/>
    <w:rsid w:val="0088667D"/>
    <w:rsid w:val="0090688C"/>
    <w:rsid w:val="00992D77"/>
    <w:rsid w:val="009940A4"/>
    <w:rsid w:val="009B13B1"/>
    <w:rsid w:val="009F4F63"/>
    <w:rsid w:val="009F5403"/>
    <w:rsid w:val="00A05F93"/>
    <w:rsid w:val="00A22D15"/>
    <w:rsid w:val="00A2429C"/>
    <w:rsid w:val="00A411DD"/>
    <w:rsid w:val="00A51DDE"/>
    <w:rsid w:val="00A62F78"/>
    <w:rsid w:val="00AC7111"/>
    <w:rsid w:val="00AC754A"/>
    <w:rsid w:val="00AD65EC"/>
    <w:rsid w:val="00AD703B"/>
    <w:rsid w:val="00AF613C"/>
    <w:rsid w:val="00B75E25"/>
    <w:rsid w:val="00BA0116"/>
    <w:rsid w:val="00BA535C"/>
    <w:rsid w:val="00BE5E61"/>
    <w:rsid w:val="00C177CB"/>
    <w:rsid w:val="00C72441"/>
    <w:rsid w:val="00CE0613"/>
    <w:rsid w:val="00CF45C7"/>
    <w:rsid w:val="00D34179"/>
    <w:rsid w:val="00D514C1"/>
    <w:rsid w:val="00D52794"/>
    <w:rsid w:val="00D5650A"/>
    <w:rsid w:val="00DA00E3"/>
    <w:rsid w:val="00DA10ED"/>
    <w:rsid w:val="00DA56D4"/>
    <w:rsid w:val="00DC5DA7"/>
    <w:rsid w:val="00DD14C9"/>
    <w:rsid w:val="00DE0A99"/>
    <w:rsid w:val="00E163EE"/>
    <w:rsid w:val="00E37251"/>
    <w:rsid w:val="00E4662C"/>
    <w:rsid w:val="00E56329"/>
    <w:rsid w:val="00E76A55"/>
    <w:rsid w:val="00E7762B"/>
    <w:rsid w:val="00E9114E"/>
    <w:rsid w:val="00E93D4E"/>
    <w:rsid w:val="00E94032"/>
    <w:rsid w:val="00F307DB"/>
    <w:rsid w:val="00F31498"/>
    <w:rsid w:val="00F42250"/>
    <w:rsid w:val="00FA29BC"/>
    <w:rsid w:val="00FB14D7"/>
    <w:rsid w:val="00FE1D3E"/>
    <w:rsid w:val="00FF053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17276a"/>
    </o:shapedefaults>
    <o:shapelayout v:ext="edit">
      <o:idmap v:ext="edit" data="1"/>
    </o:shapelayout>
  </w:shapeDefaults>
  <w:doNotEmbedSmartTags/>
  <w:decimalSymbol w:val="."/>
  <w:listSeparator w:val=","/>
  <w14:docId w14:val="5253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style w:type="paragraph" w:default="1" w:styleId="Normal">
    <w:name w:val="Normal"/>
    <w:qFormat/>
    <w:rsid w:val="00D05040"/>
    <w:rPr>
      <w:rFonts w:ascii="Palatino" w:eastAsia="Times" w:hAnsi="Palatino"/>
      <w:sz w:val="24"/>
      <w:szCs w:val="24"/>
    </w:rPr>
  </w:style>
  <w:style w:type="paragraph" w:styleId="Heading1">
    <w:name w:val="heading 1"/>
    <w:basedOn w:val="Normal"/>
    <w:next w:val="Normal"/>
    <w:qFormat/>
    <w:rsid w:val="009553D4"/>
    <w:pPr>
      <w:keepNext/>
      <w:spacing w:after="220"/>
      <w:outlineLvl w:val="0"/>
    </w:pPr>
    <w:rPr>
      <w:rFonts w:ascii="Optima" w:hAnsi="Optima"/>
      <w:color w:val="17276A"/>
      <w:sz w:val="48"/>
    </w:rPr>
  </w:style>
  <w:style w:type="paragraph" w:styleId="Heading2">
    <w:name w:val="heading 2"/>
    <w:aliases w:val="Heading 2 - new page"/>
    <w:next w:val="Normal"/>
    <w:link w:val="Heading2Char"/>
    <w:uiPriority w:val="99"/>
    <w:qFormat/>
    <w:rsid w:val="006C4478"/>
    <w:pPr>
      <w:keepNext/>
      <w:spacing w:after="180"/>
      <w:outlineLvl w:val="1"/>
    </w:pPr>
    <w:rPr>
      <w:rFonts w:ascii="Optima" w:hAnsi="Optima"/>
      <w:noProof/>
      <w:color w:val="333333"/>
      <w:sz w:val="32"/>
      <w:szCs w:val="24"/>
      <w:lang w:val="en-US"/>
    </w:rPr>
  </w:style>
  <w:style w:type="paragraph" w:styleId="Heading3">
    <w:name w:val="heading 3"/>
    <w:basedOn w:val="Heading2"/>
    <w:next w:val="Normal"/>
    <w:link w:val="Heading3Char"/>
    <w:uiPriority w:val="99"/>
    <w:qFormat/>
    <w:rsid w:val="009553D4"/>
    <w:pPr>
      <w:outlineLvl w:val="2"/>
    </w:pPr>
    <w:rPr>
      <w:b/>
      <w:sz w:val="26"/>
    </w:rPr>
  </w:style>
  <w:style w:type="paragraph" w:styleId="Heading4">
    <w:name w:val="heading 4"/>
    <w:basedOn w:val="Heading3"/>
    <w:next w:val="Normal"/>
    <w:link w:val="Heading4Char"/>
    <w:qFormat/>
    <w:rsid w:val="009553D4"/>
    <w:pPr>
      <w:spacing w:after="0"/>
      <w:jc w:val="both"/>
      <w:outlineLvl w:val="3"/>
    </w:pPr>
    <w:rPr>
      <w:rFonts w:ascii="Myriad Pro" w:hAnsi="Myriad Pro"/>
      <w:b w:val="0"/>
      <w:i/>
      <w:sz w:val="24"/>
    </w:rPr>
  </w:style>
  <w:style w:type="paragraph" w:styleId="Heading5">
    <w:name w:val="heading 5"/>
    <w:basedOn w:val="Normal"/>
    <w:next w:val="Normal"/>
    <w:link w:val="Heading5Char"/>
    <w:qFormat/>
    <w:rsid w:val="009553D4"/>
    <w:pPr>
      <w:keepNext/>
      <w:keepLines/>
      <w:spacing w:after="180" w:line="280" w:lineRule="exact"/>
      <w:outlineLvl w:val="4"/>
    </w:pPr>
    <w:rPr>
      <w:b/>
      <w:color w:val="000000"/>
      <w:sz w:val="22"/>
      <w:szCs w:val="20"/>
    </w:rPr>
  </w:style>
  <w:style w:type="paragraph" w:styleId="Heading6">
    <w:name w:val="heading 6"/>
    <w:basedOn w:val="Normal"/>
    <w:next w:val="Normal"/>
    <w:link w:val="Heading6Char"/>
    <w:qFormat/>
    <w:rsid w:val="009553D4"/>
    <w:pPr>
      <w:keepNext/>
      <w:spacing w:after="120" w:line="280" w:lineRule="atLeast"/>
      <w:outlineLvl w:val="5"/>
    </w:pPr>
    <w:rPr>
      <w:rFonts w:ascii="Arial" w:hAnsi="Arial"/>
      <w:i/>
      <w:sz w:val="22"/>
    </w:rPr>
  </w:style>
  <w:style w:type="paragraph" w:styleId="Heading7">
    <w:name w:val="heading 7"/>
    <w:basedOn w:val="Normal"/>
    <w:next w:val="Normal"/>
    <w:link w:val="Heading7Char"/>
    <w:qFormat/>
    <w:rsid w:val="009553D4"/>
    <w:pPr>
      <w:keepNext/>
      <w:spacing w:after="120" w:line="280" w:lineRule="atLeast"/>
      <w:outlineLvl w:val="6"/>
    </w:pPr>
    <w:rPr>
      <w:rFonts w:ascii="Arial" w:hAnsi="Arial"/>
      <w:b/>
      <w:sz w:val="22"/>
    </w:rPr>
  </w:style>
  <w:style w:type="paragraph" w:styleId="Heading8">
    <w:name w:val="heading 8"/>
    <w:basedOn w:val="Normal"/>
    <w:next w:val="Normal"/>
    <w:link w:val="Heading8Char"/>
    <w:qFormat/>
    <w:rsid w:val="009553D4"/>
    <w:pPr>
      <w:keepNext/>
      <w:spacing w:after="220" w:line="280" w:lineRule="atLeast"/>
      <w:jc w:val="both"/>
      <w:outlineLvl w:val="7"/>
    </w:pPr>
    <w:rPr>
      <w:rFonts w:ascii="Arial" w:hAnsi="Arial"/>
      <w:b/>
      <w:i/>
      <w:sz w:val="22"/>
    </w:rPr>
  </w:style>
  <w:style w:type="paragraph" w:styleId="Heading9">
    <w:name w:val="heading 9"/>
    <w:basedOn w:val="Normal"/>
    <w:next w:val="Normal"/>
    <w:link w:val="Heading9Char"/>
    <w:qFormat/>
    <w:rsid w:val="009553D4"/>
    <w:pPr>
      <w:keepNext/>
      <w:spacing w:after="220" w:line="280" w:lineRule="atLeast"/>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 new page Char"/>
    <w:basedOn w:val="DefaultParagraphFont"/>
    <w:link w:val="Heading2"/>
    <w:uiPriority w:val="99"/>
    <w:locked/>
    <w:rsid w:val="006C4478"/>
    <w:rPr>
      <w:rFonts w:ascii="Optima" w:hAnsi="Optima"/>
      <w:noProof/>
      <w:color w:val="333333"/>
      <w:sz w:val="32"/>
      <w:szCs w:val="24"/>
      <w:lang w:val="en-US"/>
    </w:rPr>
  </w:style>
  <w:style w:type="character" w:customStyle="1" w:styleId="Heading3Char">
    <w:name w:val="Heading 3 Char"/>
    <w:basedOn w:val="DefaultParagraphFont"/>
    <w:link w:val="Heading3"/>
    <w:uiPriority w:val="99"/>
    <w:locked/>
    <w:rsid w:val="009553D4"/>
    <w:rPr>
      <w:rFonts w:ascii="Optima" w:hAnsi="Optima"/>
      <w:b/>
      <w:noProof/>
      <w:color w:val="333333"/>
      <w:sz w:val="26"/>
      <w:szCs w:val="24"/>
      <w:lang w:val="en-US"/>
    </w:rPr>
  </w:style>
  <w:style w:type="character" w:customStyle="1" w:styleId="Heading4Char">
    <w:name w:val="Heading 4 Char"/>
    <w:basedOn w:val="DefaultParagraphFont"/>
    <w:link w:val="Heading4"/>
    <w:rsid w:val="009553D4"/>
    <w:rPr>
      <w:rFonts w:ascii="Myriad Pro" w:hAnsi="Myriad Pro"/>
      <w:i/>
      <w:noProof/>
      <w:color w:val="333333"/>
      <w:sz w:val="24"/>
      <w:szCs w:val="24"/>
      <w:lang w:val="en-US"/>
    </w:rPr>
  </w:style>
  <w:style w:type="character" w:customStyle="1" w:styleId="Heading5Char">
    <w:name w:val="Heading 5 Char"/>
    <w:basedOn w:val="DefaultParagraphFont"/>
    <w:link w:val="Heading5"/>
    <w:rsid w:val="009553D4"/>
    <w:rPr>
      <w:rFonts w:ascii="Palatino" w:eastAsia="Times" w:hAnsi="Palatino"/>
      <w:b/>
      <w:color w:val="000000"/>
      <w:sz w:val="22"/>
    </w:rPr>
  </w:style>
  <w:style w:type="character" w:customStyle="1" w:styleId="Heading6Char">
    <w:name w:val="Heading 6 Char"/>
    <w:basedOn w:val="DefaultParagraphFont"/>
    <w:link w:val="Heading6"/>
    <w:rsid w:val="009553D4"/>
    <w:rPr>
      <w:rFonts w:ascii="Arial" w:eastAsia="Times" w:hAnsi="Arial"/>
      <w:i/>
      <w:sz w:val="22"/>
      <w:szCs w:val="24"/>
    </w:rPr>
  </w:style>
  <w:style w:type="character" w:customStyle="1" w:styleId="Heading7Char">
    <w:name w:val="Heading 7 Char"/>
    <w:basedOn w:val="DefaultParagraphFont"/>
    <w:link w:val="Heading7"/>
    <w:rsid w:val="009553D4"/>
    <w:rPr>
      <w:rFonts w:ascii="Arial" w:eastAsia="Times" w:hAnsi="Arial"/>
      <w:b/>
      <w:sz w:val="22"/>
      <w:szCs w:val="24"/>
    </w:rPr>
  </w:style>
  <w:style w:type="character" w:customStyle="1" w:styleId="Heading8Char">
    <w:name w:val="Heading 8 Char"/>
    <w:basedOn w:val="DefaultParagraphFont"/>
    <w:link w:val="Heading8"/>
    <w:rsid w:val="009553D4"/>
    <w:rPr>
      <w:rFonts w:ascii="Arial" w:eastAsia="Times" w:hAnsi="Arial"/>
      <w:b/>
      <w:i/>
      <w:sz w:val="22"/>
      <w:szCs w:val="24"/>
    </w:rPr>
  </w:style>
  <w:style w:type="character" w:customStyle="1" w:styleId="Heading9Char">
    <w:name w:val="Heading 9 Char"/>
    <w:basedOn w:val="DefaultParagraphFont"/>
    <w:link w:val="Heading9"/>
    <w:rsid w:val="009553D4"/>
    <w:rPr>
      <w:rFonts w:ascii="Arial" w:eastAsia="Times" w:hAnsi="Arial"/>
      <w:i/>
      <w:sz w:val="22"/>
      <w:szCs w:val="24"/>
    </w:rPr>
  </w:style>
  <w:style w:type="paragraph" w:styleId="Header">
    <w:name w:val="header"/>
    <w:basedOn w:val="Normal"/>
    <w:rsid w:val="000A511F"/>
    <w:rPr>
      <w:rFonts w:ascii="Optima" w:hAnsi="Optima"/>
    </w:rPr>
  </w:style>
  <w:style w:type="paragraph" w:styleId="Footer">
    <w:name w:val="footer"/>
    <w:basedOn w:val="Normal"/>
    <w:rsid w:val="000A7771"/>
    <w:pPr>
      <w:tabs>
        <w:tab w:val="center" w:pos="4320"/>
        <w:tab w:val="right" w:pos="8640"/>
      </w:tabs>
      <w:jc w:val="right"/>
    </w:pPr>
    <w:rPr>
      <w:rFonts w:ascii="Optima" w:hAnsi="Optima"/>
      <w:sz w:val="20"/>
      <w:szCs w:val="20"/>
    </w:rPr>
  </w:style>
  <w:style w:type="paragraph" w:customStyle="1" w:styleId="List-bullets">
    <w:name w:val="List - bullets"/>
    <w:basedOn w:val="Normal"/>
    <w:uiPriority w:val="99"/>
    <w:rsid w:val="00B12D04"/>
    <w:pPr>
      <w:numPr>
        <w:numId w:val="7"/>
      </w:numPr>
      <w:tabs>
        <w:tab w:val="clear" w:pos="340"/>
        <w:tab w:val="num" w:pos="255"/>
      </w:tabs>
      <w:spacing w:after="240"/>
    </w:pPr>
  </w:style>
  <w:style w:type="paragraph" w:customStyle="1" w:styleId="List-numbers">
    <w:name w:val="List - numbers"/>
    <w:basedOn w:val="Normal"/>
    <w:uiPriority w:val="99"/>
    <w:rsid w:val="00B12D04"/>
    <w:pPr>
      <w:numPr>
        <w:numId w:val="11"/>
      </w:numPr>
      <w:spacing w:after="240"/>
    </w:pPr>
  </w:style>
  <w:style w:type="character" w:styleId="PageNumber">
    <w:name w:val="page number"/>
    <w:basedOn w:val="DefaultParagraphFont"/>
    <w:rsid w:val="00F5742B"/>
    <w:rPr>
      <w:rFonts w:ascii="Mixage ITC Std Book" w:hAnsi="Mixage ITC Std Book"/>
      <w:color w:val="auto"/>
      <w:sz w:val="22"/>
    </w:rPr>
  </w:style>
  <w:style w:type="paragraph" w:styleId="TOC1">
    <w:name w:val="toc 1"/>
    <w:basedOn w:val="Normal"/>
    <w:next w:val="Normal"/>
    <w:autoRedefine/>
    <w:rsid w:val="009553D4"/>
    <w:pPr>
      <w:tabs>
        <w:tab w:val="right" w:leader="dot" w:pos="8636"/>
      </w:tabs>
      <w:spacing w:before="120"/>
    </w:pPr>
    <w:rPr>
      <w:b/>
    </w:rPr>
  </w:style>
  <w:style w:type="paragraph" w:styleId="TOC2">
    <w:name w:val="toc 2"/>
    <w:basedOn w:val="Normal"/>
    <w:next w:val="Normal"/>
    <w:autoRedefine/>
    <w:rsid w:val="009553D4"/>
  </w:style>
  <w:style w:type="paragraph" w:styleId="TOC3">
    <w:name w:val="toc 3"/>
    <w:basedOn w:val="Normal"/>
    <w:next w:val="Normal"/>
    <w:autoRedefine/>
    <w:rsid w:val="009553D4"/>
    <w:pPr>
      <w:ind w:left="567"/>
    </w:pPr>
  </w:style>
  <w:style w:type="paragraph" w:styleId="TOC4">
    <w:name w:val="toc 4"/>
    <w:basedOn w:val="Normal"/>
    <w:next w:val="Normal"/>
    <w:autoRedefine/>
    <w:rsid w:val="009553D4"/>
    <w:pPr>
      <w:ind w:left="720"/>
    </w:pPr>
    <w:rPr>
      <w:rFonts w:ascii="Times New Roman" w:hAnsi="Times New Roman"/>
    </w:rPr>
  </w:style>
  <w:style w:type="paragraph" w:styleId="TOC5">
    <w:name w:val="toc 5"/>
    <w:basedOn w:val="Normal"/>
    <w:next w:val="Normal"/>
    <w:autoRedefine/>
    <w:rsid w:val="009553D4"/>
    <w:pPr>
      <w:ind w:left="960"/>
    </w:pPr>
    <w:rPr>
      <w:rFonts w:ascii="Times New Roman" w:hAnsi="Times New Roman"/>
    </w:rPr>
  </w:style>
  <w:style w:type="paragraph" w:styleId="TOC6">
    <w:name w:val="toc 6"/>
    <w:basedOn w:val="Normal"/>
    <w:next w:val="Normal"/>
    <w:autoRedefine/>
    <w:rsid w:val="009553D4"/>
    <w:pPr>
      <w:ind w:left="1200"/>
    </w:pPr>
    <w:rPr>
      <w:rFonts w:ascii="Times New Roman" w:hAnsi="Times New Roman"/>
    </w:rPr>
  </w:style>
  <w:style w:type="paragraph" w:styleId="TOC7">
    <w:name w:val="toc 7"/>
    <w:basedOn w:val="Normal"/>
    <w:next w:val="Normal"/>
    <w:autoRedefine/>
    <w:rsid w:val="009553D4"/>
    <w:pPr>
      <w:ind w:left="1440"/>
    </w:pPr>
    <w:rPr>
      <w:rFonts w:ascii="Times New Roman" w:hAnsi="Times New Roman"/>
    </w:rPr>
  </w:style>
  <w:style w:type="paragraph" w:styleId="TOC8">
    <w:name w:val="toc 8"/>
    <w:basedOn w:val="Normal"/>
    <w:next w:val="Normal"/>
    <w:autoRedefine/>
    <w:rsid w:val="009553D4"/>
    <w:pPr>
      <w:ind w:left="1680"/>
    </w:pPr>
    <w:rPr>
      <w:rFonts w:ascii="Times New Roman" w:hAnsi="Times New Roman"/>
    </w:rPr>
  </w:style>
  <w:style w:type="paragraph" w:styleId="TOC9">
    <w:name w:val="toc 9"/>
    <w:basedOn w:val="Normal"/>
    <w:next w:val="Normal"/>
    <w:autoRedefine/>
    <w:rsid w:val="009553D4"/>
    <w:pPr>
      <w:ind w:left="1920"/>
    </w:pPr>
    <w:rPr>
      <w:rFonts w:ascii="Times New Roman" w:hAnsi="Times New Roman"/>
    </w:rPr>
  </w:style>
  <w:style w:type="paragraph" w:customStyle="1" w:styleId="Contactdetails">
    <w:name w:val="Contact details"/>
    <w:basedOn w:val="Normal"/>
    <w:uiPriority w:val="99"/>
    <w:rsid w:val="003A56D4"/>
    <w:pPr>
      <w:spacing w:after="100"/>
      <w:jc w:val="right"/>
    </w:pPr>
    <w:rPr>
      <w:rFonts w:ascii="Mixage ITC Std Book" w:eastAsia="Times New Roman" w:hAnsi="Mixage ITC Std Book"/>
      <w:color w:val="000000"/>
    </w:rPr>
  </w:style>
  <w:style w:type="table" w:styleId="TableGrid">
    <w:name w:val="Table Grid"/>
    <w:basedOn w:val="TableNormal"/>
    <w:rsid w:val="002C6F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C4478"/>
    <w:rPr>
      <w:rFonts w:ascii="Lucida Grande" w:hAnsi="Lucida Grande" w:cs="Lucida Grande"/>
      <w:sz w:val="18"/>
      <w:szCs w:val="18"/>
    </w:rPr>
  </w:style>
  <w:style w:type="character" w:customStyle="1" w:styleId="BalloonTextChar">
    <w:name w:val="Balloon Text Char"/>
    <w:basedOn w:val="DefaultParagraphFont"/>
    <w:link w:val="BalloonText"/>
    <w:rsid w:val="006C4478"/>
    <w:rPr>
      <w:rFonts w:ascii="Lucida Grande" w:eastAsia="Times" w:hAnsi="Lucida Grande" w:cs="Lucida Grande"/>
      <w:sz w:val="18"/>
      <w:szCs w:val="18"/>
    </w:rPr>
  </w:style>
  <w:style w:type="paragraph" w:styleId="ListParagraph">
    <w:name w:val="List Paragraph"/>
    <w:basedOn w:val="Normal"/>
    <w:rsid w:val="00CE0613"/>
    <w:pPr>
      <w:ind w:left="720"/>
      <w:contextualSpacing/>
    </w:pPr>
  </w:style>
  <w:style w:type="paragraph" w:customStyle="1" w:styleId="subsection">
    <w:name w:val="subsection"/>
    <w:aliases w:val="ss"/>
    <w:basedOn w:val="Normal"/>
    <w:rsid w:val="008154F1"/>
    <w:pPr>
      <w:tabs>
        <w:tab w:val="right" w:pos="1021"/>
      </w:tabs>
      <w:spacing w:before="180"/>
      <w:ind w:left="1134" w:hanging="1134"/>
    </w:pPr>
    <w:rPr>
      <w:rFonts w:ascii="Times New Roman" w:eastAsia="Times New Roman" w:hAnsi="Times New Roman"/>
      <w:sz w:val="22"/>
      <w:szCs w:val="20"/>
      <w:lang w:eastAsia="en-AU"/>
    </w:rPr>
  </w:style>
  <w:style w:type="paragraph" w:customStyle="1" w:styleId="paragraph">
    <w:name w:val="paragraph"/>
    <w:aliases w:val="a"/>
    <w:basedOn w:val="Normal"/>
    <w:rsid w:val="008154F1"/>
    <w:pPr>
      <w:tabs>
        <w:tab w:val="right" w:pos="1531"/>
      </w:tabs>
      <w:spacing w:before="40"/>
      <w:ind w:left="1644" w:hanging="1644"/>
    </w:pPr>
    <w:rPr>
      <w:rFonts w:ascii="Times New Roman" w:eastAsia="Times New Roman" w:hAnsi="Times New Roman"/>
      <w:sz w:val="22"/>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style w:type="paragraph" w:default="1" w:styleId="Normal">
    <w:name w:val="Normal"/>
    <w:qFormat/>
    <w:rsid w:val="00D05040"/>
    <w:rPr>
      <w:rFonts w:ascii="Palatino" w:eastAsia="Times" w:hAnsi="Palatino"/>
      <w:sz w:val="24"/>
      <w:szCs w:val="24"/>
    </w:rPr>
  </w:style>
  <w:style w:type="paragraph" w:styleId="Heading1">
    <w:name w:val="heading 1"/>
    <w:basedOn w:val="Normal"/>
    <w:next w:val="Normal"/>
    <w:qFormat/>
    <w:rsid w:val="009553D4"/>
    <w:pPr>
      <w:keepNext/>
      <w:spacing w:after="220"/>
      <w:outlineLvl w:val="0"/>
    </w:pPr>
    <w:rPr>
      <w:rFonts w:ascii="Optima" w:hAnsi="Optima"/>
      <w:color w:val="17276A"/>
      <w:sz w:val="48"/>
    </w:rPr>
  </w:style>
  <w:style w:type="paragraph" w:styleId="Heading2">
    <w:name w:val="heading 2"/>
    <w:aliases w:val="Heading 2 - new page"/>
    <w:next w:val="Normal"/>
    <w:link w:val="Heading2Char"/>
    <w:uiPriority w:val="99"/>
    <w:qFormat/>
    <w:rsid w:val="006C4478"/>
    <w:pPr>
      <w:keepNext/>
      <w:spacing w:after="180"/>
      <w:outlineLvl w:val="1"/>
    </w:pPr>
    <w:rPr>
      <w:rFonts w:ascii="Optima" w:hAnsi="Optima"/>
      <w:noProof/>
      <w:color w:val="333333"/>
      <w:sz w:val="32"/>
      <w:szCs w:val="24"/>
      <w:lang w:val="en-US"/>
    </w:rPr>
  </w:style>
  <w:style w:type="paragraph" w:styleId="Heading3">
    <w:name w:val="heading 3"/>
    <w:basedOn w:val="Heading2"/>
    <w:next w:val="Normal"/>
    <w:link w:val="Heading3Char"/>
    <w:uiPriority w:val="99"/>
    <w:qFormat/>
    <w:rsid w:val="009553D4"/>
    <w:pPr>
      <w:outlineLvl w:val="2"/>
    </w:pPr>
    <w:rPr>
      <w:b/>
      <w:sz w:val="26"/>
    </w:rPr>
  </w:style>
  <w:style w:type="paragraph" w:styleId="Heading4">
    <w:name w:val="heading 4"/>
    <w:basedOn w:val="Heading3"/>
    <w:next w:val="Normal"/>
    <w:link w:val="Heading4Char"/>
    <w:qFormat/>
    <w:rsid w:val="009553D4"/>
    <w:pPr>
      <w:spacing w:after="0"/>
      <w:jc w:val="both"/>
      <w:outlineLvl w:val="3"/>
    </w:pPr>
    <w:rPr>
      <w:rFonts w:ascii="Myriad Pro" w:hAnsi="Myriad Pro"/>
      <w:b w:val="0"/>
      <w:i/>
      <w:sz w:val="24"/>
    </w:rPr>
  </w:style>
  <w:style w:type="paragraph" w:styleId="Heading5">
    <w:name w:val="heading 5"/>
    <w:basedOn w:val="Normal"/>
    <w:next w:val="Normal"/>
    <w:link w:val="Heading5Char"/>
    <w:qFormat/>
    <w:rsid w:val="009553D4"/>
    <w:pPr>
      <w:keepNext/>
      <w:keepLines/>
      <w:spacing w:after="180" w:line="280" w:lineRule="exact"/>
      <w:outlineLvl w:val="4"/>
    </w:pPr>
    <w:rPr>
      <w:b/>
      <w:color w:val="000000"/>
      <w:sz w:val="22"/>
      <w:szCs w:val="20"/>
    </w:rPr>
  </w:style>
  <w:style w:type="paragraph" w:styleId="Heading6">
    <w:name w:val="heading 6"/>
    <w:basedOn w:val="Normal"/>
    <w:next w:val="Normal"/>
    <w:link w:val="Heading6Char"/>
    <w:qFormat/>
    <w:rsid w:val="009553D4"/>
    <w:pPr>
      <w:keepNext/>
      <w:spacing w:after="120" w:line="280" w:lineRule="atLeast"/>
      <w:outlineLvl w:val="5"/>
    </w:pPr>
    <w:rPr>
      <w:rFonts w:ascii="Arial" w:hAnsi="Arial"/>
      <w:i/>
      <w:sz w:val="22"/>
    </w:rPr>
  </w:style>
  <w:style w:type="paragraph" w:styleId="Heading7">
    <w:name w:val="heading 7"/>
    <w:basedOn w:val="Normal"/>
    <w:next w:val="Normal"/>
    <w:link w:val="Heading7Char"/>
    <w:qFormat/>
    <w:rsid w:val="009553D4"/>
    <w:pPr>
      <w:keepNext/>
      <w:spacing w:after="120" w:line="280" w:lineRule="atLeast"/>
      <w:outlineLvl w:val="6"/>
    </w:pPr>
    <w:rPr>
      <w:rFonts w:ascii="Arial" w:hAnsi="Arial"/>
      <w:b/>
      <w:sz w:val="22"/>
    </w:rPr>
  </w:style>
  <w:style w:type="paragraph" w:styleId="Heading8">
    <w:name w:val="heading 8"/>
    <w:basedOn w:val="Normal"/>
    <w:next w:val="Normal"/>
    <w:link w:val="Heading8Char"/>
    <w:qFormat/>
    <w:rsid w:val="009553D4"/>
    <w:pPr>
      <w:keepNext/>
      <w:spacing w:after="220" w:line="280" w:lineRule="atLeast"/>
      <w:jc w:val="both"/>
      <w:outlineLvl w:val="7"/>
    </w:pPr>
    <w:rPr>
      <w:rFonts w:ascii="Arial" w:hAnsi="Arial"/>
      <w:b/>
      <w:i/>
      <w:sz w:val="22"/>
    </w:rPr>
  </w:style>
  <w:style w:type="paragraph" w:styleId="Heading9">
    <w:name w:val="heading 9"/>
    <w:basedOn w:val="Normal"/>
    <w:next w:val="Normal"/>
    <w:link w:val="Heading9Char"/>
    <w:qFormat/>
    <w:rsid w:val="009553D4"/>
    <w:pPr>
      <w:keepNext/>
      <w:spacing w:after="220" w:line="280" w:lineRule="atLeast"/>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 new page Char"/>
    <w:basedOn w:val="DefaultParagraphFont"/>
    <w:link w:val="Heading2"/>
    <w:uiPriority w:val="99"/>
    <w:locked/>
    <w:rsid w:val="006C4478"/>
    <w:rPr>
      <w:rFonts w:ascii="Optima" w:hAnsi="Optima"/>
      <w:noProof/>
      <w:color w:val="333333"/>
      <w:sz w:val="32"/>
      <w:szCs w:val="24"/>
      <w:lang w:val="en-US"/>
    </w:rPr>
  </w:style>
  <w:style w:type="character" w:customStyle="1" w:styleId="Heading3Char">
    <w:name w:val="Heading 3 Char"/>
    <w:basedOn w:val="DefaultParagraphFont"/>
    <w:link w:val="Heading3"/>
    <w:uiPriority w:val="99"/>
    <w:locked/>
    <w:rsid w:val="009553D4"/>
    <w:rPr>
      <w:rFonts w:ascii="Optima" w:hAnsi="Optima"/>
      <w:b/>
      <w:noProof/>
      <w:color w:val="333333"/>
      <w:sz w:val="26"/>
      <w:szCs w:val="24"/>
      <w:lang w:val="en-US"/>
    </w:rPr>
  </w:style>
  <w:style w:type="character" w:customStyle="1" w:styleId="Heading4Char">
    <w:name w:val="Heading 4 Char"/>
    <w:basedOn w:val="DefaultParagraphFont"/>
    <w:link w:val="Heading4"/>
    <w:rsid w:val="009553D4"/>
    <w:rPr>
      <w:rFonts w:ascii="Myriad Pro" w:hAnsi="Myriad Pro"/>
      <w:i/>
      <w:noProof/>
      <w:color w:val="333333"/>
      <w:sz w:val="24"/>
      <w:szCs w:val="24"/>
      <w:lang w:val="en-US"/>
    </w:rPr>
  </w:style>
  <w:style w:type="character" w:customStyle="1" w:styleId="Heading5Char">
    <w:name w:val="Heading 5 Char"/>
    <w:basedOn w:val="DefaultParagraphFont"/>
    <w:link w:val="Heading5"/>
    <w:rsid w:val="009553D4"/>
    <w:rPr>
      <w:rFonts w:ascii="Palatino" w:eastAsia="Times" w:hAnsi="Palatino"/>
      <w:b/>
      <w:color w:val="000000"/>
      <w:sz w:val="22"/>
    </w:rPr>
  </w:style>
  <w:style w:type="character" w:customStyle="1" w:styleId="Heading6Char">
    <w:name w:val="Heading 6 Char"/>
    <w:basedOn w:val="DefaultParagraphFont"/>
    <w:link w:val="Heading6"/>
    <w:rsid w:val="009553D4"/>
    <w:rPr>
      <w:rFonts w:ascii="Arial" w:eastAsia="Times" w:hAnsi="Arial"/>
      <w:i/>
      <w:sz w:val="22"/>
      <w:szCs w:val="24"/>
    </w:rPr>
  </w:style>
  <w:style w:type="character" w:customStyle="1" w:styleId="Heading7Char">
    <w:name w:val="Heading 7 Char"/>
    <w:basedOn w:val="DefaultParagraphFont"/>
    <w:link w:val="Heading7"/>
    <w:rsid w:val="009553D4"/>
    <w:rPr>
      <w:rFonts w:ascii="Arial" w:eastAsia="Times" w:hAnsi="Arial"/>
      <w:b/>
      <w:sz w:val="22"/>
      <w:szCs w:val="24"/>
    </w:rPr>
  </w:style>
  <w:style w:type="character" w:customStyle="1" w:styleId="Heading8Char">
    <w:name w:val="Heading 8 Char"/>
    <w:basedOn w:val="DefaultParagraphFont"/>
    <w:link w:val="Heading8"/>
    <w:rsid w:val="009553D4"/>
    <w:rPr>
      <w:rFonts w:ascii="Arial" w:eastAsia="Times" w:hAnsi="Arial"/>
      <w:b/>
      <w:i/>
      <w:sz w:val="22"/>
      <w:szCs w:val="24"/>
    </w:rPr>
  </w:style>
  <w:style w:type="character" w:customStyle="1" w:styleId="Heading9Char">
    <w:name w:val="Heading 9 Char"/>
    <w:basedOn w:val="DefaultParagraphFont"/>
    <w:link w:val="Heading9"/>
    <w:rsid w:val="009553D4"/>
    <w:rPr>
      <w:rFonts w:ascii="Arial" w:eastAsia="Times" w:hAnsi="Arial"/>
      <w:i/>
      <w:sz w:val="22"/>
      <w:szCs w:val="24"/>
    </w:rPr>
  </w:style>
  <w:style w:type="paragraph" w:styleId="Header">
    <w:name w:val="header"/>
    <w:basedOn w:val="Normal"/>
    <w:rsid w:val="000A511F"/>
    <w:rPr>
      <w:rFonts w:ascii="Optima" w:hAnsi="Optima"/>
    </w:rPr>
  </w:style>
  <w:style w:type="paragraph" w:styleId="Footer">
    <w:name w:val="footer"/>
    <w:basedOn w:val="Normal"/>
    <w:rsid w:val="000A7771"/>
    <w:pPr>
      <w:tabs>
        <w:tab w:val="center" w:pos="4320"/>
        <w:tab w:val="right" w:pos="8640"/>
      </w:tabs>
      <w:jc w:val="right"/>
    </w:pPr>
    <w:rPr>
      <w:rFonts w:ascii="Optima" w:hAnsi="Optima"/>
      <w:sz w:val="20"/>
      <w:szCs w:val="20"/>
    </w:rPr>
  </w:style>
  <w:style w:type="paragraph" w:customStyle="1" w:styleId="List-bullets">
    <w:name w:val="List - bullets"/>
    <w:basedOn w:val="Normal"/>
    <w:uiPriority w:val="99"/>
    <w:rsid w:val="00B12D04"/>
    <w:pPr>
      <w:numPr>
        <w:numId w:val="7"/>
      </w:numPr>
      <w:tabs>
        <w:tab w:val="clear" w:pos="340"/>
        <w:tab w:val="num" w:pos="255"/>
      </w:tabs>
      <w:spacing w:after="240"/>
    </w:pPr>
  </w:style>
  <w:style w:type="paragraph" w:customStyle="1" w:styleId="List-numbers">
    <w:name w:val="List - numbers"/>
    <w:basedOn w:val="Normal"/>
    <w:uiPriority w:val="99"/>
    <w:rsid w:val="00B12D04"/>
    <w:pPr>
      <w:numPr>
        <w:numId w:val="11"/>
      </w:numPr>
      <w:spacing w:after="240"/>
    </w:pPr>
  </w:style>
  <w:style w:type="character" w:styleId="PageNumber">
    <w:name w:val="page number"/>
    <w:basedOn w:val="DefaultParagraphFont"/>
    <w:rsid w:val="00F5742B"/>
    <w:rPr>
      <w:rFonts w:ascii="Mixage ITC Std Book" w:hAnsi="Mixage ITC Std Book"/>
      <w:color w:val="auto"/>
      <w:sz w:val="22"/>
    </w:rPr>
  </w:style>
  <w:style w:type="paragraph" w:styleId="TOC1">
    <w:name w:val="toc 1"/>
    <w:basedOn w:val="Normal"/>
    <w:next w:val="Normal"/>
    <w:autoRedefine/>
    <w:rsid w:val="009553D4"/>
    <w:pPr>
      <w:tabs>
        <w:tab w:val="right" w:leader="dot" w:pos="8636"/>
      </w:tabs>
      <w:spacing w:before="120"/>
    </w:pPr>
    <w:rPr>
      <w:b/>
    </w:rPr>
  </w:style>
  <w:style w:type="paragraph" w:styleId="TOC2">
    <w:name w:val="toc 2"/>
    <w:basedOn w:val="Normal"/>
    <w:next w:val="Normal"/>
    <w:autoRedefine/>
    <w:rsid w:val="009553D4"/>
  </w:style>
  <w:style w:type="paragraph" w:styleId="TOC3">
    <w:name w:val="toc 3"/>
    <w:basedOn w:val="Normal"/>
    <w:next w:val="Normal"/>
    <w:autoRedefine/>
    <w:rsid w:val="009553D4"/>
    <w:pPr>
      <w:ind w:left="567"/>
    </w:pPr>
  </w:style>
  <w:style w:type="paragraph" w:styleId="TOC4">
    <w:name w:val="toc 4"/>
    <w:basedOn w:val="Normal"/>
    <w:next w:val="Normal"/>
    <w:autoRedefine/>
    <w:rsid w:val="009553D4"/>
    <w:pPr>
      <w:ind w:left="720"/>
    </w:pPr>
    <w:rPr>
      <w:rFonts w:ascii="Times New Roman" w:hAnsi="Times New Roman"/>
    </w:rPr>
  </w:style>
  <w:style w:type="paragraph" w:styleId="TOC5">
    <w:name w:val="toc 5"/>
    <w:basedOn w:val="Normal"/>
    <w:next w:val="Normal"/>
    <w:autoRedefine/>
    <w:rsid w:val="009553D4"/>
    <w:pPr>
      <w:ind w:left="960"/>
    </w:pPr>
    <w:rPr>
      <w:rFonts w:ascii="Times New Roman" w:hAnsi="Times New Roman"/>
    </w:rPr>
  </w:style>
  <w:style w:type="paragraph" w:styleId="TOC6">
    <w:name w:val="toc 6"/>
    <w:basedOn w:val="Normal"/>
    <w:next w:val="Normal"/>
    <w:autoRedefine/>
    <w:rsid w:val="009553D4"/>
    <w:pPr>
      <w:ind w:left="1200"/>
    </w:pPr>
    <w:rPr>
      <w:rFonts w:ascii="Times New Roman" w:hAnsi="Times New Roman"/>
    </w:rPr>
  </w:style>
  <w:style w:type="paragraph" w:styleId="TOC7">
    <w:name w:val="toc 7"/>
    <w:basedOn w:val="Normal"/>
    <w:next w:val="Normal"/>
    <w:autoRedefine/>
    <w:rsid w:val="009553D4"/>
    <w:pPr>
      <w:ind w:left="1440"/>
    </w:pPr>
    <w:rPr>
      <w:rFonts w:ascii="Times New Roman" w:hAnsi="Times New Roman"/>
    </w:rPr>
  </w:style>
  <w:style w:type="paragraph" w:styleId="TOC8">
    <w:name w:val="toc 8"/>
    <w:basedOn w:val="Normal"/>
    <w:next w:val="Normal"/>
    <w:autoRedefine/>
    <w:rsid w:val="009553D4"/>
    <w:pPr>
      <w:ind w:left="1680"/>
    </w:pPr>
    <w:rPr>
      <w:rFonts w:ascii="Times New Roman" w:hAnsi="Times New Roman"/>
    </w:rPr>
  </w:style>
  <w:style w:type="paragraph" w:styleId="TOC9">
    <w:name w:val="toc 9"/>
    <w:basedOn w:val="Normal"/>
    <w:next w:val="Normal"/>
    <w:autoRedefine/>
    <w:rsid w:val="009553D4"/>
    <w:pPr>
      <w:ind w:left="1920"/>
    </w:pPr>
    <w:rPr>
      <w:rFonts w:ascii="Times New Roman" w:hAnsi="Times New Roman"/>
    </w:rPr>
  </w:style>
  <w:style w:type="paragraph" w:customStyle="1" w:styleId="Contactdetails">
    <w:name w:val="Contact details"/>
    <w:basedOn w:val="Normal"/>
    <w:uiPriority w:val="99"/>
    <w:rsid w:val="003A56D4"/>
    <w:pPr>
      <w:spacing w:after="100"/>
      <w:jc w:val="right"/>
    </w:pPr>
    <w:rPr>
      <w:rFonts w:ascii="Mixage ITC Std Book" w:eastAsia="Times New Roman" w:hAnsi="Mixage ITC Std Book"/>
      <w:color w:val="000000"/>
    </w:rPr>
  </w:style>
  <w:style w:type="table" w:styleId="TableGrid">
    <w:name w:val="Table Grid"/>
    <w:basedOn w:val="TableNormal"/>
    <w:rsid w:val="002C6F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C4478"/>
    <w:rPr>
      <w:rFonts w:ascii="Lucida Grande" w:hAnsi="Lucida Grande" w:cs="Lucida Grande"/>
      <w:sz w:val="18"/>
      <w:szCs w:val="18"/>
    </w:rPr>
  </w:style>
  <w:style w:type="character" w:customStyle="1" w:styleId="BalloonTextChar">
    <w:name w:val="Balloon Text Char"/>
    <w:basedOn w:val="DefaultParagraphFont"/>
    <w:link w:val="BalloonText"/>
    <w:rsid w:val="006C4478"/>
    <w:rPr>
      <w:rFonts w:ascii="Lucida Grande" w:eastAsia="Times" w:hAnsi="Lucida Grande" w:cs="Lucida Grande"/>
      <w:sz w:val="18"/>
      <w:szCs w:val="18"/>
    </w:rPr>
  </w:style>
  <w:style w:type="paragraph" w:styleId="ListParagraph">
    <w:name w:val="List Paragraph"/>
    <w:basedOn w:val="Normal"/>
    <w:rsid w:val="00CE0613"/>
    <w:pPr>
      <w:ind w:left="720"/>
      <w:contextualSpacing/>
    </w:pPr>
  </w:style>
  <w:style w:type="paragraph" w:customStyle="1" w:styleId="subsection">
    <w:name w:val="subsection"/>
    <w:aliases w:val="ss"/>
    <w:basedOn w:val="Normal"/>
    <w:rsid w:val="008154F1"/>
    <w:pPr>
      <w:tabs>
        <w:tab w:val="right" w:pos="1021"/>
      </w:tabs>
      <w:spacing w:before="180"/>
      <w:ind w:left="1134" w:hanging="1134"/>
    </w:pPr>
    <w:rPr>
      <w:rFonts w:ascii="Times New Roman" w:eastAsia="Times New Roman" w:hAnsi="Times New Roman"/>
      <w:sz w:val="22"/>
      <w:szCs w:val="20"/>
      <w:lang w:eastAsia="en-AU"/>
    </w:rPr>
  </w:style>
  <w:style w:type="paragraph" w:customStyle="1" w:styleId="paragraph">
    <w:name w:val="paragraph"/>
    <w:aliases w:val="a"/>
    <w:basedOn w:val="Normal"/>
    <w:rsid w:val="008154F1"/>
    <w:pPr>
      <w:tabs>
        <w:tab w:val="right" w:pos="1531"/>
      </w:tabs>
      <w:spacing w:before="40"/>
      <w:ind w:left="1644" w:hanging="1644"/>
    </w:pPr>
    <w:rPr>
      <w:rFonts w:ascii="Times New Roman" w:eastAsia="Times New Roman" w:hAnsi="Times New Roman"/>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96893">
      <w:bodyDiv w:val="1"/>
      <w:marLeft w:val="0"/>
      <w:marRight w:val="0"/>
      <w:marTop w:val="0"/>
      <w:marBottom w:val="0"/>
      <w:divBdr>
        <w:top w:val="none" w:sz="0" w:space="0" w:color="auto"/>
        <w:left w:val="none" w:sz="0" w:space="0" w:color="auto"/>
        <w:bottom w:val="none" w:sz="0" w:space="0" w:color="auto"/>
        <w:right w:val="none" w:sz="0" w:space="0" w:color="auto"/>
      </w:divBdr>
    </w:div>
    <w:div w:id="1463843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1262</Words>
  <Characters>7197</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Residential Tenancies Act</vt:lpstr>
    </vt:vector>
  </TitlesOfParts>
  <Company>TUNSW</Company>
  <LinksUpToDate>false</LinksUpToDate>
  <CharactersWithSpaces>8443</CharactersWithSpaces>
  <SharedDoc>false</SharedDoc>
  <HLinks>
    <vt:vector size="12" baseType="variant">
      <vt:variant>
        <vt:i4>3604607</vt:i4>
      </vt:variant>
      <vt:variant>
        <vt:i4>2079</vt:i4>
      </vt:variant>
      <vt:variant>
        <vt:i4>1026</vt:i4>
      </vt:variant>
      <vt:variant>
        <vt:i4>1</vt:i4>
      </vt:variant>
      <vt:variant>
        <vt:lpwstr>tu-logo-blue-print</vt:lpwstr>
      </vt:variant>
      <vt:variant>
        <vt:lpwstr/>
      </vt:variant>
      <vt:variant>
        <vt:i4>12</vt:i4>
      </vt:variant>
      <vt:variant>
        <vt:i4>2187</vt:i4>
      </vt:variant>
      <vt:variant>
        <vt:i4>1025</vt:i4>
      </vt:variant>
      <vt:variant>
        <vt:i4>1</vt:i4>
      </vt:variant>
      <vt:variant>
        <vt:lpwstr>naclc-horiz-grey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dc:title>
  <dc:subject/>
  <dc:creator>policy09</dc:creator>
  <cp:keywords/>
  <cp:lastModifiedBy>Fahcsia</cp:lastModifiedBy>
  <cp:revision>3</cp:revision>
  <cp:lastPrinted>2011-06-01T05:08:00Z</cp:lastPrinted>
  <dcterms:created xsi:type="dcterms:W3CDTF">2013-05-24T02:07:00Z</dcterms:created>
  <dcterms:modified xsi:type="dcterms:W3CDTF">2013-05-24T05:28:00Z</dcterms:modified>
</cp:coreProperties>
</file>