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E58" w:rsidRDefault="006C3E58" w:rsidP="006456CF">
      <w:pPr>
        <w:pStyle w:val="Default"/>
        <w:tabs>
          <w:tab w:val="left" w:pos="284"/>
        </w:tabs>
        <w:spacing w:before="120" w:after="100" w:afterAutospacing="1"/>
        <w:ind w:left="284"/>
        <w:rPr>
          <w:rFonts w:asciiTheme="minorHAnsi" w:hAnsiTheme="minorHAnsi" w:cstheme="minorHAnsi"/>
        </w:rPr>
      </w:pPr>
      <w:r>
        <w:rPr>
          <w:rFonts w:asciiTheme="minorHAnsi" w:hAnsiTheme="minorHAnsi" w:cstheme="minorHAnsi"/>
          <w:noProof/>
          <w:lang w:eastAsia="en-AU"/>
        </w:rPr>
        <w:drawing>
          <wp:anchor distT="0" distB="0" distL="114300" distR="114300" simplePos="0" relativeHeight="251658240" behindDoc="1" locked="0" layoutInCell="1" allowOverlap="1" wp14:anchorId="020FB7FE" wp14:editId="30123A1B">
            <wp:simplePos x="0" y="0"/>
            <wp:positionH relativeFrom="column">
              <wp:posOffset>-914400</wp:posOffset>
            </wp:positionH>
            <wp:positionV relativeFrom="paragraph">
              <wp:posOffset>-882015</wp:posOffset>
            </wp:positionV>
            <wp:extent cx="7576820" cy="106870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8">
                      <a:extLst>
                        <a:ext uri="{28A0092B-C50C-407E-A947-70E740481C1C}">
                          <a14:useLocalDpi xmlns:a14="http://schemas.microsoft.com/office/drawing/2010/main" val="0"/>
                        </a:ext>
                      </a:extLst>
                    </a:blip>
                    <a:stretch>
                      <a:fillRect/>
                    </a:stretch>
                  </pic:blipFill>
                  <pic:spPr>
                    <a:xfrm>
                      <a:off x="0" y="0"/>
                      <a:ext cx="7576820" cy="10687050"/>
                    </a:xfrm>
                    <a:prstGeom prst="rect">
                      <a:avLst/>
                    </a:prstGeom>
                  </pic:spPr>
                </pic:pic>
              </a:graphicData>
            </a:graphic>
            <wp14:sizeRelH relativeFrom="page">
              <wp14:pctWidth>0</wp14:pctWidth>
            </wp14:sizeRelH>
            <wp14:sizeRelV relativeFrom="page">
              <wp14:pctHeight>0</wp14:pctHeight>
            </wp14:sizeRelV>
          </wp:anchor>
        </w:drawing>
      </w:r>
    </w:p>
    <w:p w:rsidR="006C3E58" w:rsidRDefault="006C3E58" w:rsidP="006456CF">
      <w:pPr>
        <w:pStyle w:val="Default"/>
        <w:tabs>
          <w:tab w:val="left" w:pos="284"/>
        </w:tabs>
        <w:spacing w:before="120" w:after="100" w:afterAutospacing="1"/>
        <w:ind w:left="284"/>
        <w:rPr>
          <w:rFonts w:asciiTheme="minorHAnsi" w:hAnsiTheme="minorHAnsi" w:cstheme="minorHAnsi"/>
        </w:rPr>
      </w:pPr>
    </w:p>
    <w:p w:rsidR="006C3E58" w:rsidRDefault="006C3E58" w:rsidP="006456CF">
      <w:pPr>
        <w:pStyle w:val="Default"/>
        <w:tabs>
          <w:tab w:val="left" w:pos="284"/>
        </w:tabs>
        <w:spacing w:before="120" w:after="100" w:afterAutospacing="1"/>
        <w:ind w:left="284"/>
        <w:rPr>
          <w:rFonts w:asciiTheme="minorHAnsi" w:hAnsiTheme="minorHAnsi" w:cstheme="minorHAnsi"/>
        </w:rPr>
      </w:pPr>
    </w:p>
    <w:p w:rsidR="006456CF" w:rsidRPr="006456CF" w:rsidRDefault="006456CF" w:rsidP="006456CF">
      <w:pPr>
        <w:pStyle w:val="Default"/>
        <w:tabs>
          <w:tab w:val="left" w:pos="284"/>
        </w:tabs>
        <w:spacing w:before="120" w:after="100" w:afterAutospacing="1"/>
        <w:ind w:left="284"/>
        <w:jc w:val="center"/>
        <w:rPr>
          <w:rFonts w:asciiTheme="minorHAnsi" w:hAnsiTheme="minorHAnsi" w:cstheme="minorHAnsi"/>
          <w:b/>
        </w:rPr>
      </w:pPr>
      <w:r w:rsidRPr="009E1D81">
        <w:rPr>
          <w:rFonts w:asciiTheme="minorHAnsi" w:hAnsiTheme="minorHAnsi" w:cstheme="minorHAnsi"/>
          <w:b/>
        </w:rPr>
        <w:t xml:space="preserve">Submission </w:t>
      </w:r>
      <w:r>
        <w:rPr>
          <w:rFonts w:asciiTheme="minorHAnsi" w:hAnsiTheme="minorHAnsi" w:cstheme="minorHAnsi"/>
          <w:b/>
        </w:rPr>
        <w:t xml:space="preserve">re: </w:t>
      </w:r>
    </w:p>
    <w:p w:rsidR="006456CF" w:rsidRPr="009E1D81" w:rsidRDefault="006456CF" w:rsidP="006456CF">
      <w:pPr>
        <w:pStyle w:val="Default"/>
        <w:tabs>
          <w:tab w:val="left" w:pos="284"/>
        </w:tabs>
        <w:spacing w:before="120" w:after="100" w:afterAutospacing="1"/>
        <w:ind w:left="284"/>
        <w:jc w:val="center"/>
        <w:rPr>
          <w:rFonts w:asciiTheme="minorHAnsi" w:hAnsiTheme="minorHAnsi" w:cstheme="minorHAnsi"/>
          <w:b/>
        </w:rPr>
      </w:pPr>
      <w:r w:rsidRPr="006456CF">
        <w:rPr>
          <w:rFonts w:asciiTheme="minorHAnsi" w:hAnsiTheme="minorHAnsi" w:cstheme="minorHAnsi"/>
          <w:b/>
        </w:rPr>
        <w:t>Public Housing Tenants’ Support Bill 2013</w:t>
      </w:r>
      <w:r>
        <w:rPr>
          <w:rFonts w:asciiTheme="minorHAnsi" w:hAnsiTheme="minorHAnsi" w:cstheme="minorHAnsi"/>
          <w:b/>
        </w:rPr>
        <w:t xml:space="preserve"> </w:t>
      </w:r>
      <w:r w:rsidRPr="006456CF">
        <w:rPr>
          <w:rFonts w:asciiTheme="minorHAnsi" w:hAnsiTheme="minorHAnsi" w:cstheme="minorHAnsi"/>
          <w:b/>
        </w:rPr>
        <w:t>Housing Payment Deduction Scheme</w:t>
      </w:r>
    </w:p>
    <w:p w:rsidR="006456CF" w:rsidRPr="00746068" w:rsidRDefault="006456CF" w:rsidP="006456CF">
      <w:pPr>
        <w:pStyle w:val="Default"/>
        <w:tabs>
          <w:tab w:val="left" w:pos="284"/>
        </w:tabs>
        <w:spacing w:before="120" w:after="100" w:afterAutospacing="1"/>
        <w:ind w:left="284"/>
        <w:rPr>
          <w:rFonts w:asciiTheme="minorHAnsi" w:hAnsiTheme="minorHAnsi" w:cstheme="minorHAnsi"/>
        </w:rPr>
      </w:pPr>
    </w:p>
    <w:p w:rsidR="00491377" w:rsidRPr="00746068" w:rsidRDefault="00491377" w:rsidP="00491377">
      <w:pPr>
        <w:tabs>
          <w:tab w:val="left" w:pos="284"/>
        </w:tabs>
        <w:spacing w:before="120" w:after="100" w:afterAutospacing="1" w:line="240" w:lineRule="auto"/>
        <w:ind w:left="284"/>
        <w:jc w:val="both"/>
        <w:rPr>
          <w:rFonts w:cstheme="minorHAnsi"/>
          <w:sz w:val="24"/>
          <w:szCs w:val="24"/>
        </w:rPr>
      </w:pPr>
      <w:r w:rsidRPr="00746068">
        <w:rPr>
          <w:rFonts w:cstheme="minorHAnsi"/>
          <w:sz w:val="24"/>
          <w:szCs w:val="24"/>
        </w:rPr>
        <w:t>The Tenants’ Union ACT (TU</w:t>
      </w:r>
      <w:r w:rsidR="005024E4">
        <w:rPr>
          <w:rFonts w:cstheme="minorHAnsi"/>
          <w:sz w:val="24"/>
          <w:szCs w:val="24"/>
        </w:rPr>
        <w:t>ACT</w:t>
      </w:r>
      <w:r w:rsidRPr="00746068">
        <w:rPr>
          <w:rFonts w:cstheme="minorHAnsi"/>
          <w:sz w:val="24"/>
          <w:szCs w:val="24"/>
        </w:rPr>
        <w:t xml:space="preserve">) is </w:t>
      </w:r>
      <w:r>
        <w:rPr>
          <w:rFonts w:cstheme="minorHAnsi"/>
          <w:sz w:val="24"/>
          <w:szCs w:val="24"/>
        </w:rPr>
        <w:t xml:space="preserve">a community legal </w:t>
      </w:r>
      <w:proofErr w:type="spellStart"/>
      <w:r>
        <w:rPr>
          <w:rFonts w:cstheme="minorHAnsi"/>
          <w:sz w:val="24"/>
          <w:szCs w:val="24"/>
        </w:rPr>
        <w:t>centre</w:t>
      </w:r>
      <w:proofErr w:type="spellEnd"/>
      <w:r>
        <w:rPr>
          <w:rFonts w:cstheme="minorHAnsi"/>
          <w:sz w:val="24"/>
          <w:szCs w:val="24"/>
        </w:rPr>
        <w:t xml:space="preserve"> funded by interest on ACT tenants’ bond and </w:t>
      </w:r>
      <w:r w:rsidRPr="00746068">
        <w:rPr>
          <w:rFonts w:cstheme="minorHAnsi"/>
          <w:sz w:val="24"/>
          <w:szCs w:val="24"/>
        </w:rPr>
        <w:t xml:space="preserve">one of the primary providers of information, advice and education to tenants and occupants in the ACT.  </w:t>
      </w:r>
    </w:p>
    <w:p w:rsidR="006456CF" w:rsidRPr="00746068" w:rsidRDefault="006456CF" w:rsidP="006456CF">
      <w:pPr>
        <w:pStyle w:val="Default"/>
        <w:tabs>
          <w:tab w:val="left" w:pos="284"/>
        </w:tabs>
        <w:spacing w:before="120" w:after="100" w:afterAutospacing="1"/>
        <w:ind w:left="284"/>
        <w:rPr>
          <w:rFonts w:asciiTheme="minorHAnsi" w:hAnsiTheme="minorHAnsi" w:cstheme="minorHAnsi"/>
          <w:i/>
          <w:iCs/>
        </w:rPr>
      </w:pPr>
      <w:r w:rsidRPr="00746068">
        <w:rPr>
          <w:rFonts w:asciiTheme="minorHAnsi" w:hAnsiTheme="minorHAnsi" w:cstheme="minorHAnsi"/>
        </w:rPr>
        <w:t xml:space="preserve">The Tenants’ Union ACT welcomes the opportunity to make a submission </w:t>
      </w:r>
      <w:r>
        <w:rPr>
          <w:rFonts w:asciiTheme="minorHAnsi" w:hAnsiTheme="minorHAnsi" w:cstheme="minorHAnsi"/>
        </w:rPr>
        <w:t>in relation to the development of policy and strongly supports consulting in this way with stakeholders.</w:t>
      </w:r>
      <w:r w:rsidR="00491377">
        <w:rPr>
          <w:rFonts w:asciiTheme="minorHAnsi" w:hAnsiTheme="minorHAnsi" w:cstheme="minorHAnsi"/>
        </w:rPr>
        <w:t xml:space="preserve">  </w:t>
      </w:r>
      <w:r w:rsidR="00491377" w:rsidRPr="00491377">
        <w:rPr>
          <w:rFonts w:asciiTheme="minorHAnsi" w:hAnsiTheme="minorHAnsi" w:cstheme="minorHAnsi"/>
        </w:rPr>
        <w:t xml:space="preserve">The consequence of </w:t>
      </w:r>
      <w:r w:rsidR="00491377">
        <w:rPr>
          <w:rFonts w:asciiTheme="minorHAnsi" w:hAnsiTheme="minorHAnsi" w:cstheme="minorHAnsi"/>
        </w:rPr>
        <w:t>our</w:t>
      </w:r>
      <w:r w:rsidR="00491377" w:rsidRPr="00491377">
        <w:rPr>
          <w:rFonts w:asciiTheme="minorHAnsi" w:hAnsiTheme="minorHAnsi" w:cstheme="minorHAnsi"/>
        </w:rPr>
        <w:t xml:space="preserve"> experience and range of services, and close links with related organisations, is extensive knowledge of tenancy and housing issues in the ACT.  While our client base is primarily private tenants and occupants, with Welfare Rights and Legal Centre undertaking the vast majority of public housing work in the ACT, we have identified issues of relevance to us, both as a member organisation and also as an organisation working to ensure there is justice and equity for all tenants in the ACT</w:t>
      </w:r>
    </w:p>
    <w:p w:rsidR="00FE27B6" w:rsidRDefault="006456CF" w:rsidP="00FE27B6">
      <w:pPr>
        <w:pStyle w:val="Default"/>
        <w:tabs>
          <w:tab w:val="left" w:pos="284"/>
        </w:tabs>
        <w:spacing w:before="120" w:after="100" w:afterAutospacing="1"/>
        <w:ind w:left="284"/>
        <w:rPr>
          <w:rFonts w:asciiTheme="minorHAnsi" w:hAnsiTheme="minorHAnsi" w:cstheme="minorHAnsi"/>
        </w:rPr>
      </w:pPr>
      <w:r>
        <w:rPr>
          <w:rFonts w:asciiTheme="minorHAnsi" w:hAnsiTheme="minorHAnsi" w:cstheme="minorHAnsi"/>
        </w:rPr>
        <w:t>This is a brief</w:t>
      </w:r>
      <w:r w:rsidRPr="00746068">
        <w:rPr>
          <w:rFonts w:asciiTheme="minorHAnsi" w:hAnsiTheme="minorHAnsi" w:cstheme="minorHAnsi"/>
        </w:rPr>
        <w:t xml:space="preserve"> submission</w:t>
      </w:r>
      <w:r w:rsidR="00FE27B6">
        <w:rPr>
          <w:rFonts w:asciiTheme="minorHAnsi" w:hAnsiTheme="minorHAnsi" w:cstheme="minorHAnsi"/>
        </w:rPr>
        <w:t xml:space="preserve"> supporting points made in the consultation meeting of 18 April.  The Tenants’ Union also endorses the submission made by Welfare Rights and Legal Centre and shares vi</w:t>
      </w:r>
      <w:r w:rsidR="005024E4">
        <w:rPr>
          <w:rFonts w:asciiTheme="minorHAnsi" w:hAnsiTheme="minorHAnsi" w:cstheme="minorHAnsi"/>
        </w:rPr>
        <w:t>ews expressed in that document.</w:t>
      </w:r>
    </w:p>
    <w:p w:rsidR="006456CF" w:rsidRPr="00746068" w:rsidRDefault="006456CF" w:rsidP="006456CF">
      <w:pPr>
        <w:pStyle w:val="Default"/>
        <w:tabs>
          <w:tab w:val="left" w:pos="284"/>
        </w:tabs>
        <w:spacing w:before="120" w:after="100" w:afterAutospacing="1"/>
        <w:ind w:left="284"/>
        <w:rPr>
          <w:rFonts w:asciiTheme="minorHAnsi" w:hAnsiTheme="minorHAnsi" w:cstheme="minorHAnsi"/>
        </w:rPr>
      </w:pPr>
      <w:r>
        <w:rPr>
          <w:rFonts w:asciiTheme="minorHAnsi" w:hAnsiTheme="minorHAnsi" w:cstheme="minorHAnsi"/>
        </w:rPr>
        <w:t>We look forward to participating further in the development process.</w:t>
      </w:r>
    </w:p>
    <w:p w:rsidR="006456CF" w:rsidRPr="00746068" w:rsidRDefault="006456CF" w:rsidP="006456CF">
      <w:pPr>
        <w:pStyle w:val="Default"/>
        <w:tabs>
          <w:tab w:val="left" w:pos="284"/>
        </w:tabs>
        <w:spacing w:before="120" w:after="100" w:afterAutospacing="1"/>
        <w:ind w:left="284"/>
        <w:rPr>
          <w:rFonts w:asciiTheme="minorHAnsi" w:hAnsiTheme="minorHAnsi" w:cstheme="minorHAnsi"/>
        </w:rPr>
      </w:pPr>
    </w:p>
    <w:p w:rsidR="006456CF" w:rsidRPr="00746068" w:rsidRDefault="006456CF" w:rsidP="006456CF">
      <w:pPr>
        <w:tabs>
          <w:tab w:val="left" w:pos="284"/>
        </w:tabs>
        <w:spacing w:before="120" w:after="100" w:afterAutospacing="1" w:line="240" w:lineRule="auto"/>
        <w:ind w:left="284"/>
        <w:rPr>
          <w:rFonts w:cstheme="minorHAnsi"/>
          <w:bCs/>
          <w:sz w:val="24"/>
          <w:szCs w:val="24"/>
        </w:rPr>
      </w:pPr>
      <w:r w:rsidRPr="00746068">
        <w:rPr>
          <w:rFonts w:cstheme="minorHAnsi"/>
          <w:bCs/>
          <w:sz w:val="24"/>
          <w:szCs w:val="24"/>
        </w:rPr>
        <w:t>Yours sincerely</w:t>
      </w:r>
    </w:p>
    <w:p w:rsidR="006456CF" w:rsidRPr="00746068" w:rsidRDefault="006456CF" w:rsidP="006456CF">
      <w:pPr>
        <w:tabs>
          <w:tab w:val="left" w:pos="284"/>
        </w:tabs>
        <w:spacing w:before="120" w:after="100" w:afterAutospacing="1" w:line="240" w:lineRule="auto"/>
        <w:ind w:left="284"/>
        <w:rPr>
          <w:rFonts w:cstheme="minorHAnsi"/>
          <w:bCs/>
          <w:sz w:val="24"/>
          <w:szCs w:val="24"/>
        </w:rPr>
      </w:pPr>
      <w:r>
        <w:rPr>
          <w:rFonts w:cstheme="minorHAnsi"/>
          <w:bCs/>
          <w:noProof/>
          <w:sz w:val="24"/>
          <w:szCs w:val="24"/>
          <w:lang w:val="en-AU" w:eastAsia="en-AU"/>
        </w:rPr>
        <w:drawing>
          <wp:inline distT="0" distB="0" distL="0" distR="0" wp14:anchorId="0978167C" wp14:editId="5F034FAA">
            <wp:extent cx="2921508" cy="809244"/>
            <wp:effectExtent l="19050" t="0" r="0" b="0"/>
            <wp:docPr id="1" name="Picture 0" descr="signatur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0001.JPG"/>
                    <pic:cNvPicPr/>
                  </pic:nvPicPr>
                  <pic:blipFill>
                    <a:blip r:embed="rId9" cstate="print"/>
                    <a:stretch>
                      <a:fillRect/>
                    </a:stretch>
                  </pic:blipFill>
                  <pic:spPr>
                    <a:xfrm>
                      <a:off x="0" y="0"/>
                      <a:ext cx="2921508" cy="809244"/>
                    </a:xfrm>
                    <a:prstGeom prst="rect">
                      <a:avLst/>
                    </a:prstGeom>
                  </pic:spPr>
                </pic:pic>
              </a:graphicData>
            </a:graphic>
          </wp:inline>
        </w:drawing>
      </w:r>
    </w:p>
    <w:p w:rsidR="006456CF" w:rsidRPr="00746068" w:rsidRDefault="006456CF" w:rsidP="006456CF">
      <w:pPr>
        <w:tabs>
          <w:tab w:val="left" w:pos="284"/>
        </w:tabs>
        <w:spacing w:before="120" w:after="100" w:afterAutospacing="1" w:line="240" w:lineRule="auto"/>
        <w:ind w:left="284"/>
        <w:rPr>
          <w:rFonts w:cstheme="minorHAnsi"/>
          <w:bCs/>
          <w:sz w:val="24"/>
          <w:szCs w:val="24"/>
        </w:rPr>
      </w:pPr>
      <w:r w:rsidRPr="00746068">
        <w:rPr>
          <w:rFonts w:cstheme="minorHAnsi"/>
          <w:bCs/>
          <w:sz w:val="24"/>
          <w:szCs w:val="24"/>
        </w:rPr>
        <w:t>Deborah Pippen</w:t>
      </w:r>
    </w:p>
    <w:p w:rsidR="006456CF" w:rsidRPr="00746068" w:rsidRDefault="006456CF" w:rsidP="006456CF">
      <w:pPr>
        <w:tabs>
          <w:tab w:val="left" w:pos="284"/>
        </w:tabs>
        <w:spacing w:before="120" w:after="100" w:afterAutospacing="1" w:line="240" w:lineRule="auto"/>
        <w:ind w:left="284"/>
        <w:rPr>
          <w:rFonts w:cstheme="minorHAnsi"/>
          <w:bCs/>
          <w:sz w:val="24"/>
          <w:szCs w:val="24"/>
        </w:rPr>
      </w:pPr>
      <w:r w:rsidRPr="00746068">
        <w:rPr>
          <w:rFonts w:cstheme="minorHAnsi"/>
          <w:bCs/>
          <w:sz w:val="24"/>
          <w:szCs w:val="24"/>
        </w:rPr>
        <w:t>Executive Officer</w:t>
      </w:r>
    </w:p>
    <w:p w:rsidR="006456CF" w:rsidRPr="00746068" w:rsidRDefault="00491377" w:rsidP="006456CF">
      <w:pPr>
        <w:tabs>
          <w:tab w:val="left" w:pos="284"/>
        </w:tabs>
        <w:spacing w:before="120" w:after="100" w:afterAutospacing="1" w:line="240" w:lineRule="auto"/>
        <w:ind w:left="284"/>
        <w:rPr>
          <w:rFonts w:cstheme="minorHAnsi"/>
          <w:bCs/>
          <w:sz w:val="24"/>
          <w:szCs w:val="24"/>
        </w:rPr>
      </w:pPr>
      <w:r>
        <w:rPr>
          <w:rFonts w:cstheme="minorHAnsi"/>
          <w:bCs/>
          <w:sz w:val="24"/>
          <w:szCs w:val="24"/>
        </w:rPr>
        <w:t>23 April 2013</w:t>
      </w:r>
    </w:p>
    <w:p w:rsidR="00AB2B42" w:rsidRDefault="00AB2B42">
      <w:pPr>
        <w:rPr>
          <w:rFonts w:cstheme="minorHAnsi"/>
          <w:b/>
          <w:sz w:val="24"/>
          <w:szCs w:val="24"/>
          <w:lang w:val="en-AU"/>
        </w:rPr>
      </w:pPr>
      <w:r>
        <w:rPr>
          <w:rFonts w:cstheme="minorHAnsi"/>
          <w:b/>
          <w:sz w:val="24"/>
          <w:szCs w:val="24"/>
        </w:rPr>
        <w:br w:type="page"/>
      </w:r>
    </w:p>
    <w:p w:rsidR="005024E4" w:rsidRPr="005024E4" w:rsidRDefault="005024E4" w:rsidP="005024E4">
      <w:pPr>
        <w:pStyle w:val="ListParagraph"/>
        <w:numPr>
          <w:ilvl w:val="0"/>
          <w:numId w:val="1"/>
        </w:numPr>
        <w:tabs>
          <w:tab w:val="clear" w:pos="360"/>
          <w:tab w:val="left" w:pos="284"/>
        </w:tabs>
        <w:spacing w:after="0" w:line="240" w:lineRule="auto"/>
        <w:ind w:hanging="786"/>
        <w:contextualSpacing w:val="0"/>
        <w:jc w:val="both"/>
        <w:rPr>
          <w:rFonts w:cstheme="minorHAnsi"/>
          <w:b/>
          <w:sz w:val="24"/>
          <w:szCs w:val="24"/>
        </w:rPr>
      </w:pPr>
      <w:r w:rsidRPr="005024E4">
        <w:rPr>
          <w:rFonts w:cstheme="minorHAnsi"/>
          <w:b/>
          <w:sz w:val="24"/>
          <w:szCs w:val="24"/>
        </w:rPr>
        <w:lastRenderedPageBreak/>
        <w:t>Introduction</w:t>
      </w:r>
    </w:p>
    <w:p w:rsidR="005024E4" w:rsidRPr="00EC0F29" w:rsidRDefault="005024E4" w:rsidP="005024E4">
      <w:pPr>
        <w:pStyle w:val="ListParagraph"/>
        <w:numPr>
          <w:ilvl w:val="1"/>
          <w:numId w:val="1"/>
        </w:numPr>
        <w:tabs>
          <w:tab w:val="left" w:pos="284"/>
        </w:tabs>
        <w:spacing w:after="0" w:line="240" w:lineRule="auto"/>
        <w:contextualSpacing w:val="0"/>
        <w:jc w:val="both"/>
        <w:rPr>
          <w:rFonts w:cstheme="minorHAnsi"/>
          <w:sz w:val="24"/>
          <w:szCs w:val="24"/>
        </w:rPr>
      </w:pPr>
      <w:r w:rsidRPr="00EC0F29">
        <w:rPr>
          <w:rFonts w:cstheme="minorHAnsi"/>
          <w:sz w:val="24"/>
          <w:szCs w:val="24"/>
        </w:rPr>
        <w:t>We note that t</w:t>
      </w:r>
      <w:r w:rsidRPr="00EC0F29">
        <w:rPr>
          <w:sz w:val="24"/>
          <w:szCs w:val="24"/>
        </w:rPr>
        <w:t>he Government states that the exposure draft is intended to:</w:t>
      </w:r>
    </w:p>
    <w:p w:rsidR="005024E4" w:rsidRPr="00EC0F29" w:rsidRDefault="005024E4" w:rsidP="005024E4">
      <w:pPr>
        <w:pStyle w:val="ListParagraph"/>
        <w:numPr>
          <w:ilvl w:val="0"/>
          <w:numId w:val="5"/>
        </w:numPr>
        <w:spacing w:after="0"/>
        <w:contextualSpacing w:val="0"/>
        <w:rPr>
          <w:sz w:val="24"/>
          <w:szCs w:val="24"/>
        </w:rPr>
      </w:pPr>
      <w:r w:rsidRPr="00EC0F29">
        <w:rPr>
          <w:sz w:val="24"/>
          <w:szCs w:val="24"/>
        </w:rPr>
        <w:t>Reduce the level of public housing arrears and debt that can be accumulated;</w:t>
      </w:r>
    </w:p>
    <w:p w:rsidR="005024E4" w:rsidRPr="00EC0F29" w:rsidRDefault="005024E4" w:rsidP="005024E4">
      <w:pPr>
        <w:pStyle w:val="ListParagraph"/>
        <w:numPr>
          <w:ilvl w:val="0"/>
          <w:numId w:val="5"/>
        </w:numPr>
        <w:rPr>
          <w:sz w:val="24"/>
          <w:szCs w:val="24"/>
        </w:rPr>
      </w:pPr>
      <w:r w:rsidRPr="00EC0F29">
        <w:rPr>
          <w:sz w:val="24"/>
          <w:szCs w:val="24"/>
        </w:rPr>
        <w:t>Reduce evictions and abandonments from public housing;</w:t>
      </w:r>
    </w:p>
    <w:p w:rsidR="005024E4" w:rsidRPr="00EC0F29" w:rsidRDefault="005024E4" w:rsidP="005024E4">
      <w:pPr>
        <w:pStyle w:val="ListParagraph"/>
        <w:numPr>
          <w:ilvl w:val="0"/>
          <w:numId w:val="5"/>
        </w:numPr>
        <w:spacing w:before="240" w:after="0"/>
        <w:rPr>
          <w:sz w:val="24"/>
          <w:szCs w:val="24"/>
        </w:rPr>
      </w:pPr>
      <w:r w:rsidRPr="00EC0F29">
        <w:rPr>
          <w:sz w:val="24"/>
          <w:szCs w:val="24"/>
        </w:rPr>
        <w:t>Make management of public housing more efficient.</w:t>
      </w:r>
    </w:p>
    <w:p w:rsidR="005024E4" w:rsidRPr="00EC0F29" w:rsidRDefault="005024E4" w:rsidP="005024E4">
      <w:pPr>
        <w:tabs>
          <w:tab w:val="left" w:pos="284"/>
        </w:tabs>
        <w:spacing w:after="0" w:line="240" w:lineRule="auto"/>
        <w:ind w:left="720"/>
        <w:jc w:val="both"/>
        <w:rPr>
          <w:rFonts w:cstheme="minorHAnsi"/>
          <w:sz w:val="24"/>
          <w:szCs w:val="24"/>
        </w:rPr>
      </w:pPr>
    </w:p>
    <w:p w:rsidR="005024E4" w:rsidRPr="00EC0F29" w:rsidRDefault="005024E4" w:rsidP="005024E4">
      <w:pPr>
        <w:pStyle w:val="ListParagraph"/>
        <w:numPr>
          <w:ilvl w:val="1"/>
          <w:numId w:val="1"/>
        </w:numPr>
        <w:tabs>
          <w:tab w:val="left" w:pos="284"/>
        </w:tabs>
        <w:spacing w:after="0" w:line="240" w:lineRule="auto"/>
        <w:contextualSpacing w:val="0"/>
        <w:jc w:val="both"/>
        <w:rPr>
          <w:rFonts w:cstheme="minorHAnsi"/>
          <w:sz w:val="24"/>
          <w:szCs w:val="24"/>
        </w:rPr>
      </w:pPr>
      <w:r w:rsidRPr="00EC0F29">
        <w:rPr>
          <w:rFonts w:cstheme="minorHAnsi"/>
          <w:sz w:val="24"/>
          <w:szCs w:val="24"/>
        </w:rPr>
        <w:t>TUACT commends the Federal Government for its commitment to preventing evictions and possible homelessness of public housing tenants.  We believe that engagement at this level goes a long way to avoiding problems that stakeholders might perceive and their clients might encounter with policies and goes a long way to ensuring that serious unintended consequences are avoided.</w:t>
      </w:r>
    </w:p>
    <w:p w:rsidR="005024E4" w:rsidRPr="00EC0F29" w:rsidRDefault="005024E4" w:rsidP="005024E4">
      <w:pPr>
        <w:pStyle w:val="ListParagraph"/>
        <w:numPr>
          <w:ilvl w:val="1"/>
          <w:numId w:val="1"/>
        </w:numPr>
        <w:tabs>
          <w:tab w:val="left" w:pos="284"/>
        </w:tabs>
        <w:spacing w:before="240" w:line="240" w:lineRule="auto"/>
        <w:contextualSpacing w:val="0"/>
        <w:jc w:val="both"/>
        <w:rPr>
          <w:rFonts w:cstheme="minorHAnsi"/>
          <w:sz w:val="24"/>
          <w:szCs w:val="24"/>
        </w:rPr>
      </w:pPr>
      <w:r w:rsidRPr="00EC0F29">
        <w:rPr>
          <w:rFonts w:cstheme="minorHAnsi"/>
          <w:sz w:val="24"/>
          <w:szCs w:val="24"/>
        </w:rPr>
        <w:t xml:space="preserve">As noted in our introductory letter, we fully endorse the submission of Welfare Rights and Legal Centre (ACT), acknowledging their vast experience with not only public housing in the ACT but Social Security legislation.  We agree with the </w:t>
      </w:r>
      <w:r w:rsidR="00BF5509" w:rsidRPr="00EC0F29">
        <w:rPr>
          <w:rFonts w:cstheme="minorHAnsi"/>
          <w:sz w:val="24"/>
          <w:szCs w:val="24"/>
        </w:rPr>
        <w:t xml:space="preserve">detailed </w:t>
      </w:r>
      <w:r w:rsidRPr="00EC0F29">
        <w:rPr>
          <w:rFonts w:cstheme="minorHAnsi"/>
          <w:sz w:val="24"/>
          <w:szCs w:val="24"/>
        </w:rPr>
        <w:t xml:space="preserve">issues raised and support the recommendations </w:t>
      </w:r>
      <w:r w:rsidR="00BF5509" w:rsidRPr="00EC0F29">
        <w:rPr>
          <w:rFonts w:cstheme="minorHAnsi"/>
          <w:sz w:val="24"/>
          <w:szCs w:val="24"/>
        </w:rPr>
        <w:t>made.  The points below highlight our main concerns.</w:t>
      </w:r>
    </w:p>
    <w:p w:rsidR="005024E4" w:rsidRPr="00EC0F29" w:rsidRDefault="005024E4" w:rsidP="005024E4">
      <w:pPr>
        <w:pStyle w:val="ListParagraph"/>
        <w:numPr>
          <w:ilvl w:val="0"/>
          <w:numId w:val="1"/>
        </w:numPr>
        <w:tabs>
          <w:tab w:val="left" w:pos="284"/>
        </w:tabs>
        <w:spacing w:before="240" w:line="240" w:lineRule="auto"/>
        <w:ind w:hanging="786"/>
        <w:contextualSpacing w:val="0"/>
        <w:jc w:val="both"/>
        <w:rPr>
          <w:rFonts w:cstheme="minorHAnsi"/>
          <w:b/>
          <w:sz w:val="24"/>
          <w:szCs w:val="24"/>
        </w:rPr>
      </w:pPr>
      <w:r w:rsidRPr="00EC0F29">
        <w:rPr>
          <w:rFonts w:ascii="Calibri" w:hAnsi="Calibri" w:cs="Calibri"/>
          <w:b/>
          <w:color w:val="000000"/>
          <w:sz w:val="24"/>
          <w:szCs w:val="24"/>
        </w:rPr>
        <w:t>Issues</w:t>
      </w:r>
    </w:p>
    <w:p w:rsidR="005024E4" w:rsidRPr="00EC0F29" w:rsidRDefault="005024E4" w:rsidP="005024E4">
      <w:pPr>
        <w:pStyle w:val="ListParagraph"/>
        <w:numPr>
          <w:ilvl w:val="1"/>
          <w:numId w:val="1"/>
        </w:numPr>
        <w:tabs>
          <w:tab w:val="left" w:pos="284"/>
        </w:tabs>
        <w:spacing w:before="240" w:line="240" w:lineRule="auto"/>
        <w:contextualSpacing w:val="0"/>
        <w:jc w:val="both"/>
        <w:rPr>
          <w:rFonts w:cstheme="minorHAnsi"/>
          <w:sz w:val="24"/>
          <w:szCs w:val="24"/>
        </w:rPr>
      </w:pPr>
      <w:r w:rsidRPr="00EC0F29">
        <w:rPr>
          <w:rFonts w:ascii="Calibri" w:hAnsi="Calibri" w:cs="Calibri"/>
          <w:color w:val="000000"/>
          <w:sz w:val="24"/>
          <w:szCs w:val="24"/>
        </w:rPr>
        <w:t>At the outset it must be clear that t</w:t>
      </w:r>
      <w:r w:rsidR="006456CF" w:rsidRPr="00EC0F29">
        <w:rPr>
          <w:rFonts w:ascii="Calibri" w:hAnsi="Calibri" w:cs="Calibri"/>
          <w:color w:val="000000"/>
          <w:sz w:val="24"/>
          <w:szCs w:val="24"/>
        </w:rPr>
        <w:t>his proposed legis</w:t>
      </w:r>
      <w:r w:rsidRPr="00EC0F29">
        <w:rPr>
          <w:rFonts w:ascii="Calibri" w:hAnsi="Calibri" w:cs="Calibri"/>
          <w:color w:val="000000"/>
          <w:sz w:val="24"/>
          <w:szCs w:val="24"/>
        </w:rPr>
        <w:t xml:space="preserve">lation is very problematic and we cannot support it.  It appears to be an expansion </w:t>
      </w:r>
      <w:r w:rsidR="006456CF" w:rsidRPr="00EC0F29">
        <w:rPr>
          <w:rFonts w:ascii="Calibri" w:hAnsi="Calibri" w:cs="Calibri"/>
          <w:color w:val="000000"/>
          <w:sz w:val="24"/>
          <w:szCs w:val="24"/>
        </w:rPr>
        <w:t>of the Federal Government’s policy on</w:t>
      </w:r>
      <w:r w:rsidR="00FE27B6" w:rsidRPr="00EC0F29">
        <w:rPr>
          <w:rFonts w:ascii="Calibri" w:hAnsi="Calibri" w:cs="Calibri"/>
          <w:color w:val="000000"/>
          <w:sz w:val="24"/>
          <w:szCs w:val="24"/>
        </w:rPr>
        <w:t xml:space="preserve"> </w:t>
      </w:r>
      <w:r w:rsidR="006456CF" w:rsidRPr="00EC0F29">
        <w:rPr>
          <w:rFonts w:ascii="Calibri" w:hAnsi="Calibri" w:cs="Calibri"/>
          <w:color w:val="000000"/>
          <w:sz w:val="24"/>
          <w:szCs w:val="24"/>
        </w:rPr>
        <w:t xml:space="preserve">Income Management, </w:t>
      </w:r>
      <w:r w:rsidRPr="00EC0F29">
        <w:rPr>
          <w:rFonts w:ascii="Calibri" w:hAnsi="Calibri" w:cs="Calibri"/>
          <w:color w:val="000000"/>
          <w:sz w:val="24"/>
          <w:szCs w:val="24"/>
        </w:rPr>
        <w:t>taking it a step further and devolving control to State and Territory Housing Autho</w:t>
      </w:r>
      <w:permStart w:id="759916001" w:edGrp="everyone"/>
      <w:permEnd w:id="759916001"/>
      <w:r w:rsidRPr="00EC0F29">
        <w:rPr>
          <w:rFonts w:ascii="Calibri" w:hAnsi="Calibri" w:cs="Calibri"/>
          <w:color w:val="000000"/>
          <w:sz w:val="24"/>
          <w:szCs w:val="24"/>
        </w:rPr>
        <w:t xml:space="preserve">rities </w:t>
      </w:r>
      <w:r w:rsidR="006456CF" w:rsidRPr="00EC0F29">
        <w:rPr>
          <w:rFonts w:ascii="Calibri" w:hAnsi="Calibri" w:cs="Calibri"/>
          <w:color w:val="000000"/>
          <w:sz w:val="24"/>
          <w:szCs w:val="24"/>
        </w:rPr>
        <w:t>over the financial affairs of</w:t>
      </w:r>
      <w:r w:rsidR="00FE27B6" w:rsidRPr="00EC0F29">
        <w:rPr>
          <w:rFonts w:ascii="Calibri" w:hAnsi="Calibri" w:cs="Calibri"/>
          <w:color w:val="000000"/>
          <w:sz w:val="24"/>
          <w:szCs w:val="24"/>
        </w:rPr>
        <w:t xml:space="preserve"> </w:t>
      </w:r>
      <w:r w:rsidR="006456CF" w:rsidRPr="00EC0F29">
        <w:rPr>
          <w:rFonts w:ascii="Calibri" w:hAnsi="Calibri" w:cs="Calibri"/>
          <w:color w:val="000000"/>
          <w:sz w:val="24"/>
          <w:szCs w:val="24"/>
        </w:rPr>
        <w:t>individual income support recipients</w:t>
      </w:r>
      <w:r w:rsidRPr="00EC0F29">
        <w:rPr>
          <w:rFonts w:ascii="Calibri" w:hAnsi="Calibri" w:cs="Calibri"/>
          <w:color w:val="000000"/>
          <w:sz w:val="24"/>
          <w:szCs w:val="24"/>
        </w:rPr>
        <w:t>.  As presented, this is to be achieved without a specific requirement for reference to or involvement with either the individual tenant or even an independent determinative body such as a court or tribunal to validate alleged debts.  This is of great concern to us.</w:t>
      </w:r>
    </w:p>
    <w:p w:rsidR="005024E4" w:rsidRPr="00EC0F29" w:rsidRDefault="005024E4" w:rsidP="005024E4">
      <w:pPr>
        <w:pStyle w:val="ListParagraph"/>
        <w:numPr>
          <w:ilvl w:val="1"/>
          <w:numId w:val="1"/>
        </w:numPr>
        <w:tabs>
          <w:tab w:val="left" w:pos="284"/>
        </w:tabs>
        <w:spacing w:before="240" w:line="240" w:lineRule="auto"/>
        <w:contextualSpacing w:val="0"/>
        <w:jc w:val="both"/>
        <w:rPr>
          <w:rFonts w:cstheme="minorHAnsi"/>
          <w:sz w:val="24"/>
          <w:szCs w:val="24"/>
        </w:rPr>
      </w:pPr>
      <w:r w:rsidRPr="00EC0F29">
        <w:rPr>
          <w:rFonts w:ascii="Calibri" w:hAnsi="Calibri" w:cs="Calibri"/>
          <w:color w:val="000000"/>
          <w:sz w:val="24"/>
          <w:szCs w:val="24"/>
        </w:rPr>
        <w:t xml:space="preserve">The punitive nature of this policy is alarming and completely fails to address the underlying goal of providing assistance to disadvantaged members of our community – that of empowering them and providing them with the tools to improve their situation and in this case successfully maintain their tenancies.  </w:t>
      </w:r>
    </w:p>
    <w:p w:rsidR="005024E4" w:rsidRPr="00EC0F29" w:rsidRDefault="005024E4" w:rsidP="005024E4">
      <w:pPr>
        <w:pStyle w:val="ListParagraph"/>
        <w:numPr>
          <w:ilvl w:val="1"/>
          <w:numId w:val="1"/>
        </w:numPr>
        <w:tabs>
          <w:tab w:val="left" w:pos="284"/>
        </w:tabs>
        <w:spacing w:before="240" w:line="240" w:lineRule="auto"/>
        <w:contextualSpacing w:val="0"/>
        <w:jc w:val="both"/>
        <w:rPr>
          <w:rFonts w:cstheme="minorHAnsi"/>
          <w:sz w:val="24"/>
          <w:szCs w:val="24"/>
        </w:rPr>
      </w:pPr>
      <w:r w:rsidRPr="00EC0F29">
        <w:rPr>
          <w:rFonts w:ascii="Calibri" w:hAnsi="Calibri" w:cs="Calibri"/>
          <w:color w:val="000000"/>
          <w:sz w:val="24"/>
          <w:szCs w:val="24"/>
        </w:rPr>
        <w:t>“Reasonable action</w:t>
      </w:r>
      <w:r w:rsidRPr="00EC0F29">
        <w:rPr>
          <w:rFonts w:ascii="Calibri" w:hAnsi="Calibri" w:cs="Calibri"/>
          <w:b/>
          <w:color w:val="000000"/>
          <w:sz w:val="24"/>
          <w:szCs w:val="24"/>
        </w:rPr>
        <w:t xml:space="preserve">” - </w:t>
      </w:r>
      <w:r w:rsidRPr="00EC0F29">
        <w:rPr>
          <w:rFonts w:ascii="Calibri" w:hAnsi="Calibri" w:cs="Calibri"/>
          <w:color w:val="000000"/>
          <w:sz w:val="24"/>
          <w:szCs w:val="24"/>
        </w:rPr>
        <w:t>The lack of a specific reference to what constitutes “reasonable action” was noted at the consultation last week and we were advised that this will be clarified because th</w:t>
      </w:r>
      <w:bookmarkStart w:id="0" w:name="_GoBack"/>
      <w:bookmarkEnd w:id="0"/>
      <w:r w:rsidRPr="00EC0F29">
        <w:rPr>
          <w:rFonts w:ascii="Calibri" w:hAnsi="Calibri" w:cs="Calibri"/>
          <w:color w:val="000000"/>
          <w:sz w:val="24"/>
          <w:szCs w:val="24"/>
        </w:rPr>
        <w:t xml:space="preserve">e intention of the Bill is that this Scheme is a last resort and that normal recovery actions would have had to have occurred.    It is our view that recovery action must be clearly defined and must include written notices and other appropriate contact with the tenant to </w:t>
      </w:r>
      <w:r w:rsidRPr="00EC0F29">
        <w:rPr>
          <w:rFonts w:cstheme="minorHAnsi"/>
          <w:sz w:val="24"/>
          <w:szCs w:val="24"/>
        </w:rPr>
        <w:t xml:space="preserve">substantiate alleged amounts, considering that this is promoted as being only a small cohort of particularly disadvantaged “at risk” tenants it would be reasonable that the bar be higher and contemplate action that addresses individual circumstances such as language difficulties, mental health issues through individual contact with tenants or even warm referrals to support services (legal and or financial).  </w:t>
      </w:r>
    </w:p>
    <w:p w:rsidR="00EC0F29" w:rsidRDefault="00EC0F29">
      <w:pPr>
        <w:rPr>
          <w:rFonts w:cstheme="minorHAnsi"/>
          <w:sz w:val="24"/>
          <w:szCs w:val="24"/>
          <w:lang w:val="en-AU"/>
        </w:rPr>
      </w:pPr>
      <w:r>
        <w:rPr>
          <w:rFonts w:cstheme="minorHAnsi"/>
          <w:sz w:val="24"/>
          <w:szCs w:val="24"/>
        </w:rPr>
        <w:br w:type="page"/>
      </w:r>
    </w:p>
    <w:p w:rsidR="00AC21E8" w:rsidRPr="00EC0F29" w:rsidRDefault="005024E4" w:rsidP="005024E4">
      <w:pPr>
        <w:pStyle w:val="ListParagraph"/>
        <w:numPr>
          <w:ilvl w:val="1"/>
          <w:numId w:val="1"/>
        </w:numPr>
        <w:tabs>
          <w:tab w:val="left" w:pos="284"/>
        </w:tabs>
        <w:spacing w:before="240" w:line="240" w:lineRule="auto"/>
        <w:contextualSpacing w:val="0"/>
        <w:jc w:val="both"/>
        <w:rPr>
          <w:rFonts w:cstheme="minorHAnsi"/>
          <w:sz w:val="24"/>
          <w:szCs w:val="24"/>
        </w:rPr>
      </w:pPr>
      <w:r w:rsidRPr="00EC0F29">
        <w:rPr>
          <w:rFonts w:cstheme="minorHAnsi"/>
          <w:sz w:val="24"/>
          <w:szCs w:val="24"/>
        </w:rPr>
        <w:lastRenderedPageBreak/>
        <w:t xml:space="preserve">Reasonable action must also include taking the matter through the relevant tenancy tribunal or court as provided by the relevant residential tenancies legislation.  </w:t>
      </w:r>
      <w:r w:rsidR="00AC21E8" w:rsidRPr="00EC0F29">
        <w:rPr>
          <w:rFonts w:cstheme="minorHAnsi"/>
          <w:sz w:val="24"/>
          <w:szCs w:val="24"/>
        </w:rPr>
        <w:t xml:space="preserve">It is only when alleged debts can be validated through this process that any action can then be taken.  </w:t>
      </w:r>
    </w:p>
    <w:p w:rsidR="006456CF" w:rsidRPr="00EC0F29" w:rsidRDefault="00AC21E8" w:rsidP="006456CF">
      <w:pPr>
        <w:pStyle w:val="ListParagraph"/>
        <w:numPr>
          <w:ilvl w:val="1"/>
          <w:numId w:val="1"/>
        </w:numPr>
        <w:tabs>
          <w:tab w:val="left" w:pos="284"/>
        </w:tabs>
        <w:autoSpaceDE w:val="0"/>
        <w:autoSpaceDN w:val="0"/>
        <w:adjustRightInd w:val="0"/>
        <w:spacing w:before="240" w:after="0" w:line="240" w:lineRule="auto"/>
        <w:contextualSpacing w:val="0"/>
        <w:jc w:val="both"/>
        <w:rPr>
          <w:rFonts w:ascii="Calibri" w:hAnsi="Calibri" w:cs="Calibri"/>
          <w:color w:val="000000"/>
          <w:sz w:val="24"/>
          <w:szCs w:val="24"/>
        </w:rPr>
      </w:pPr>
      <w:r w:rsidRPr="00EC0F29">
        <w:rPr>
          <w:rFonts w:cstheme="minorHAnsi"/>
          <w:sz w:val="24"/>
          <w:szCs w:val="24"/>
        </w:rPr>
        <w:t xml:space="preserve"> </w:t>
      </w:r>
      <w:r w:rsidR="005729E3" w:rsidRPr="00EC0F29">
        <w:rPr>
          <w:rFonts w:cstheme="minorHAnsi"/>
          <w:sz w:val="24"/>
          <w:szCs w:val="24"/>
        </w:rPr>
        <w:t xml:space="preserve">There is no references to consideration of a tenant’s individual circumstances - </w:t>
      </w:r>
      <w:r w:rsidR="005729E3" w:rsidRPr="00EC0F29">
        <w:rPr>
          <w:rFonts w:ascii="Calibri" w:hAnsi="Calibri" w:cs="Calibri"/>
          <w:color w:val="000000"/>
          <w:sz w:val="24"/>
          <w:szCs w:val="24"/>
        </w:rPr>
        <w:t>how long they have been a tenant;</w:t>
      </w:r>
      <w:r w:rsidR="006456CF" w:rsidRPr="00EC0F29">
        <w:rPr>
          <w:rFonts w:ascii="Calibri" w:hAnsi="Calibri" w:cs="Calibri"/>
          <w:color w:val="000000"/>
          <w:sz w:val="24"/>
          <w:szCs w:val="24"/>
        </w:rPr>
        <w:t xml:space="preserve"> their long term rental history</w:t>
      </w:r>
      <w:r w:rsidR="00FE27B6" w:rsidRPr="00EC0F29">
        <w:rPr>
          <w:rFonts w:ascii="Calibri" w:hAnsi="Calibri" w:cs="Calibri"/>
          <w:color w:val="000000"/>
          <w:sz w:val="24"/>
          <w:szCs w:val="24"/>
        </w:rPr>
        <w:t xml:space="preserve"> </w:t>
      </w:r>
      <w:r w:rsidR="006456CF" w:rsidRPr="00EC0F29">
        <w:rPr>
          <w:rFonts w:ascii="Calibri" w:hAnsi="Calibri" w:cs="Calibri"/>
          <w:color w:val="000000"/>
          <w:sz w:val="24"/>
          <w:szCs w:val="24"/>
        </w:rPr>
        <w:t>nor any particular current circumstances which may have affected how the arrears</w:t>
      </w:r>
      <w:r w:rsidR="005729E3" w:rsidRPr="00EC0F29">
        <w:rPr>
          <w:rFonts w:ascii="Calibri" w:hAnsi="Calibri" w:cs="Calibri"/>
          <w:color w:val="000000"/>
          <w:sz w:val="24"/>
          <w:szCs w:val="24"/>
        </w:rPr>
        <w:t xml:space="preserve"> (or other debts)</w:t>
      </w:r>
      <w:r w:rsidR="006456CF" w:rsidRPr="00EC0F29">
        <w:rPr>
          <w:rFonts w:ascii="Calibri" w:hAnsi="Calibri" w:cs="Calibri"/>
          <w:color w:val="000000"/>
          <w:sz w:val="24"/>
          <w:szCs w:val="24"/>
        </w:rPr>
        <w:t xml:space="preserve"> have come</w:t>
      </w:r>
      <w:r w:rsidR="00FE27B6" w:rsidRPr="00EC0F29">
        <w:rPr>
          <w:rFonts w:ascii="Calibri" w:hAnsi="Calibri" w:cs="Calibri"/>
          <w:color w:val="000000"/>
          <w:sz w:val="24"/>
          <w:szCs w:val="24"/>
        </w:rPr>
        <w:t xml:space="preserve"> </w:t>
      </w:r>
      <w:r w:rsidR="005729E3" w:rsidRPr="00EC0F29">
        <w:rPr>
          <w:rFonts w:ascii="Calibri" w:hAnsi="Calibri" w:cs="Calibri"/>
          <w:color w:val="000000"/>
          <w:sz w:val="24"/>
          <w:szCs w:val="24"/>
        </w:rPr>
        <w:t>about; whether there are dependent children or are the sole tenant; whether other residents are in receipt of government income; or the impact of rent rebate changes.</w:t>
      </w:r>
    </w:p>
    <w:p w:rsidR="005012A0" w:rsidRPr="00EC0F29" w:rsidRDefault="005012A0" w:rsidP="005012A0">
      <w:pPr>
        <w:pStyle w:val="ListParagraph"/>
        <w:numPr>
          <w:ilvl w:val="0"/>
          <w:numId w:val="1"/>
        </w:numPr>
        <w:tabs>
          <w:tab w:val="left" w:pos="284"/>
        </w:tabs>
        <w:autoSpaceDE w:val="0"/>
        <w:autoSpaceDN w:val="0"/>
        <w:adjustRightInd w:val="0"/>
        <w:spacing w:before="240" w:after="0" w:line="240" w:lineRule="auto"/>
        <w:contextualSpacing w:val="0"/>
        <w:jc w:val="both"/>
        <w:rPr>
          <w:rFonts w:ascii="Calibri" w:hAnsi="Calibri" w:cs="Calibri"/>
          <w:b/>
          <w:color w:val="000000"/>
          <w:sz w:val="24"/>
          <w:szCs w:val="24"/>
        </w:rPr>
      </w:pPr>
      <w:r w:rsidRPr="00EC0F29">
        <w:rPr>
          <w:rFonts w:cstheme="minorHAnsi"/>
          <w:b/>
          <w:sz w:val="24"/>
          <w:szCs w:val="24"/>
        </w:rPr>
        <w:t>Options</w:t>
      </w:r>
    </w:p>
    <w:p w:rsidR="005012A0" w:rsidRPr="00EC0F29" w:rsidRDefault="005012A0" w:rsidP="005012A0">
      <w:pPr>
        <w:pStyle w:val="ListParagraph"/>
        <w:numPr>
          <w:ilvl w:val="1"/>
          <w:numId w:val="1"/>
        </w:numPr>
        <w:tabs>
          <w:tab w:val="left" w:pos="284"/>
        </w:tabs>
        <w:autoSpaceDE w:val="0"/>
        <w:autoSpaceDN w:val="0"/>
        <w:adjustRightInd w:val="0"/>
        <w:spacing w:before="240" w:after="0" w:line="240" w:lineRule="auto"/>
        <w:contextualSpacing w:val="0"/>
        <w:jc w:val="both"/>
        <w:rPr>
          <w:rFonts w:ascii="Calibri" w:hAnsi="Calibri" w:cs="Calibri"/>
          <w:color w:val="000000"/>
          <w:sz w:val="24"/>
          <w:szCs w:val="24"/>
        </w:rPr>
      </w:pPr>
      <w:r w:rsidRPr="00EC0F29">
        <w:rPr>
          <w:rFonts w:ascii="Calibri" w:hAnsi="Calibri" w:cs="Calibri"/>
          <w:color w:val="000000"/>
          <w:sz w:val="24"/>
          <w:szCs w:val="24"/>
        </w:rPr>
        <w:t>Using resources to be directed to this scheme to review and improve Centrepay, and investigate an opt in system that could quarantine payments for a set time after an individual has had legal/</w:t>
      </w:r>
      <w:r w:rsidR="006C3E58" w:rsidRPr="00EC0F29">
        <w:rPr>
          <w:rFonts w:ascii="Calibri" w:hAnsi="Calibri" w:cs="Calibri"/>
          <w:color w:val="000000"/>
          <w:sz w:val="24"/>
          <w:szCs w:val="24"/>
        </w:rPr>
        <w:t>financial</w:t>
      </w:r>
      <w:r w:rsidRPr="00EC0F29">
        <w:rPr>
          <w:rFonts w:ascii="Calibri" w:hAnsi="Calibri" w:cs="Calibri"/>
          <w:color w:val="000000"/>
          <w:sz w:val="24"/>
          <w:szCs w:val="24"/>
        </w:rPr>
        <w:t xml:space="preserve"> advice</w:t>
      </w:r>
    </w:p>
    <w:p w:rsidR="005012A0" w:rsidRPr="00EC0F29" w:rsidRDefault="005012A0" w:rsidP="005012A0">
      <w:pPr>
        <w:pStyle w:val="ListParagraph"/>
        <w:numPr>
          <w:ilvl w:val="1"/>
          <w:numId w:val="1"/>
        </w:numPr>
        <w:tabs>
          <w:tab w:val="left" w:pos="284"/>
        </w:tabs>
        <w:autoSpaceDE w:val="0"/>
        <w:autoSpaceDN w:val="0"/>
        <w:adjustRightInd w:val="0"/>
        <w:spacing w:before="240" w:after="0" w:line="240" w:lineRule="auto"/>
        <w:contextualSpacing w:val="0"/>
        <w:jc w:val="both"/>
        <w:rPr>
          <w:rFonts w:ascii="Calibri" w:hAnsi="Calibri" w:cs="Calibri"/>
          <w:color w:val="000000"/>
          <w:sz w:val="24"/>
          <w:szCs w:val="24"/>
        </w:rPr>
      </w:pPr>
      <w:r w:rsidRPr="00EC0F29">
        <w:rPr>
          <w:rFonts w:ascii="Calibri" w:hAnsi="Calibri" w:cs="Calibri"/>
          <w:color w:val="000000"/>
          <w:sz w:val="24"/>
          <w:szCs w:val="24"/>
        </w:rPr>
        <w:t xml:space="preserve">Address the underlying problems by increasing resources to tenancy support programs including financial counselling.  Increasing the </w:t>
      </w:r>
      <w:r w:rsidR="006C3E58" w:rsidRPr="00EC0F29">
        <w:rPr>
          <w:rFonts w:ascii="Calibri" w:hAnsi="Calibri" w:cs="Calibri"/>
          <w:color w:val="000000"/>
          <w:sz w:val="24"/>
          <w:szCs w:val="24"/>
        </w:rPr>
        <w:t>focus</w:t>
      </w:r>
      <w:r w:rsidRPr="00EC0F29">
        <w:rPr>
          <w:rFonts w:ascii="Calibri" w:hAnsi="Calibri" w:cs="Calibri"/>
          <w:color w:val="000000"/>
          <w:sz w:val="24"/>
          <w:szCs w:val="24"/>
        </w:rPr>
        <w:t xml:space="preserve"> on effective </w:t>
      </w:r>
      <w:r w:rsidR="006C3E58" w:rsidRPr="00EC0F29">
        <w:rPr>
          <w:rFonts w:ascii="Calibri" w:hAnsi="Calibri" w:cs="Calibri"/>
          <w:color w:val="000000"/>
          <w:sz w:val="24"/>
          <w:szCs w:val="24"/>
        </w:rPr>
        <w:t>communication with tenants.</w:t>
      </w:r>
    </w:p>
    <w:p w:rsidR="006C3E58" w:rsidRPr="00EC0F29" w:rsidRDefault="006C3E58" w:rsidP="005012A0">
      <w:pPr>
        <w:pStyle w:val="ListParagraph"/>
        <w:numPr>
          <w:ilvl w:val="1"/>
          <w:numId w:val="1"/>
        </w:numPr>
        <w:tabs>
          <w:tab w:val="left" w:pos="284"/>
        </w:tabs>
        <w:autoSpaceDE w:val="0"/>
        <w:autoSpaceDN w:val="0"/>
        <w:adjustRightInd w:val="0"/>
        <w:spacing w:before="240" w:after="0" w:line="240" w:lineRule="auto"/>
        <w:contextualSpacing w:val="0"/>
        <w:jc w:val="both"/>
        <w:rPr>
          <w:rFonts w:ascii="Calibri" w:hAnsi="Calibri" w:cs="Calibri"/>
          <w:color w:val="000000"/>
          <w:sz w:val="24"/>
          <w:szCs w:val="24"/>
        </w:rPr>
      </w:pPr>
      <w:r w:rsidRPr="00EC0F29">
        <w:rPr>
          <w:rFonts w:ascii="Calibri" w:hAnsi="Calibri" w:cs="Calibri"/>
          <w:color w:val="000000"/>
          <w:sz w:val="24"/>
          <w:szCs w:val="24"/>
        </w:rPr>
        <w:t>We also refer you back to the Welfare Rights submission.</w:t>
      </w:r>
    </w:p>
    <w:p w:rsidR="005012A0" w:rsidRPr="005012A0" w:rsidRDefault="005012A0" w:rsidP="005012A0">
      <w:pPr>
        <w:pStyle w:val="ListParagraph"/>
        <w:tabs>
          <w:tab w:val="left" w:pos="284"/>
        </w:tabs>
        <w:autoSpaceDE w:val="0"/>
        <w:autoSpaceDN w:val="0"/>
        <w:adjustRightInd w:val="0"/>
        <w:spacing w:before="240" w:after="0" w:line="240" w:lineRule="auto"/>
        <w:ind w:left="792"/>
        <w:contextualSpacing w:val="0"/>
        <w:jc w:val="both"/>
        <w:rPr>
          <w:rFonts w:ascii="Calibri" w:hAnsi="Calibri" w:cs="Calibri"/>
          <w:color w:val="000000"/>
        </w:rPr>
      </w:pPr>
    </w:p>
    <w:p w:rsidR="00FE27B6" w:rsidRDefault="00FE27B6" w:rsidP="006456CF">
      <w:pPr>
        <w:autoSpaceDE w:val="0"/>
        <w:autoSpaceDN w:val="0"/>
        <w:adjustRightInd w:val="0"/>
        <w:spacing w:after="0" w:line="240" w:lineRule="auto"/>
        <w:rPr>
          <w:rFonts w:ascii="Calibri" w:hAnsi="Calibri" w:cs="Calibri"/>
          <w:color w:val="000000"/>
          <w:lang w:val="en-AU"/>
        </w:rPr>
      </w:pPr>
    </w:p>
    <w:sectPr w:rsidR="00FE27B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7B6" w:rsidRDefault="00FE27B6" w:rsidP="00FE27B6">
      <w:pPr>
        <w:spacing w:after="0" w:line="240" w:lineRule="auto"/>
      </w:pPr>
      <w:r>
        <w:separator/>
      </w:r>
    </w:p>
  </w:endnote>
  <w:endnote w:type="continuationSeparator" w:id="0">
    <w:p w:rsidR="00FE27B6" w:rsidRDefault="00FE27B6" w:rsidP="00FE2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635979"/>
      <w:docPartObj>
        <w:docPartGallery w:val="Page Numbers (Bottom of Page)"/>
        <w:docPartUnique/>
      </w:docPartObj>
    </w:sdtPr>
    <w:sdtEndPr/>
    <w:sdtContent>
      <w:sdt>
        <w:sdtPr>
          <w:id w:val="860082579"/>
          <w:docPartObj>
            <w:docPartGallery w:val="Page Numbers (Top of Page)"/>
            <w:docPartUnique/>
          </w:docPartObj>
        </w:sdtPr>
        <w:sdtEndPr/>
        <w:sdtContent>
          <w:p w:rsidR="00FE27B6" w:rsidRDefault="005012A0" w:rsidP="005012A0">
            <w:pPr>
              <w:pStyle w:val="Footer"/>
              <w:pBdr>
                <w:top w:val="single" w:sz="4" w:space="1" w:color="auto"/>
              </w:pBdr>
              <w:jc w:val="right"/>
            </w:pPr>
            <w:r>
              <w:t>Tenants’ Union ACT Submission re HPDS</w:t>
            </w:r>
            <w:r>
              <w:tab/>
            </w:r>
            <w:r>
              <w:tab/>
              <w:t xml:space="preserve"> </w:t>
            </w:r>
            <w:r w:rsidR="00FE27B6">
              <w:t xml:space="preserve">Page </w:t>
            </w:r>
            <w:r w:rsidR="00FE27B6">
              <w:rPr>
                <w:b/>
                <w:bCs/>
                <w:sz w:val="24"/>
                <w:szCs w:val="24"/>
              </w:rPr>
              <w:fldChar w:fldCharType="begin"/>
            </w:r>
            <w:r w:rsidR="00FE27B6">
              <w:rPr>
                <w:b/>
                <w:bCs/>
              </w:rPr>
              <w:instrText xml:space="preserve"> PAGE </w:instrText>
            </w:r>
            <w:r w:rsidR="00FE27B6">
              <w:rPr>
                <w:b/>
                <w:bCs/>
                <w:sz w:val="24"/>
                <w:szCs w:val="24"/>
              </w:rPr>
              <w:fldChar w:fldCharType="separate"/>
            </w:r>
            <w:r w:rsidR="00145EA6">
              <w:rPr>
                <w:b/>
                <w:bCs/>
                <w:noProof/>
              </w:rPr>
              <w:t>2</w:t>
            </w:r>
            <w:r w:rsidR="00FE27B6">
              <w:rPr>
                <w:b/>
                <w:bCs/>
                <w:sz w:val="24"/>
                <w:szCs w:val="24"/>
              </w:rPr>
              <w:fldChar w:fldCharType="end"/>
            </w:r>
            <w:r w:rsidR="00FE27B6">
              <w:t xml:space="preserve"> of </w:t>
            </w:r>
            <w:r w:rsidR="00FE27B6">
              <w:rPr>
                <w:b/>
                <w:bCs/>
                <w:sz w:val="24"/>
                <w:szCs w:val="24"/>
              </w:rPr>
              <w:fldChar w:fldCharType="begin"/>
            </w:r>
            <w:r w:rsidR="00FE27B6">
              <w:rPr>
                <w:b/>
                <w:bCs/>
              </w:rPr>
              <w:instrText xml:space="preserve"> NUMPAGES  </w:instrText>
            </w:r>
            <w:r w:rsidR="00FE27B6">
              <w:rPr>
                <w:b/>
                <w:bCs/>
                <w:sz w:val="24"/>
                <w:szCs w:val="24"/>
              </w:rPr>
              <w:fldChar w:fldCharType="separate"/>
            </w:r>
            <w:r w:rsidR="00145EA6">
              <w:rPr>
                <w:b/>
                <w:bCs/>
                <w:noProof/>
              </w:rPr>
              <w:t>3</w:t>
            </w:r>
            <w:r w:rsidR="00FE27B6">
              <w:rPr>
                <w:b/>
                <w:bCs/>
                <w:sz w:val="24"/>
                <w:szCs w:val="24"/>
              </w:rPr>
              <w:fldChar w:fldCharType="end"/>
            </w:r>
          </w:p>
        </w:sdtContent>
      </w:sdt>
    </w:sdtContent>
  </w:sdt>
  <w:p w:rsidR="00FE27B6" w:rsidRDefault="00FE2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7B6" w:rsidRDefault="00FE27B6" w:rsidP="00FE27B6">
      <w:pPr>
        <w:spacing w:after="0" w:line="240" w:lineRule="auto"/>
      </w:pPr>
      <w:r>
        <w:separator/>
      </w:r>
    </w:p>
  </w:footnote>
  <w:footnote w:type="continuationSeparator" w:id="0">
    <w:p w:rsidR="00FE27B6" w:rsidRDefault="00FE27B6" w:rsidP="00FE2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74385"/>
    <w:multiLevelType w:val="multilevel"/>
    <w:tmpl w:val="5D24B558"/>
    <w:lvl w:ilvl="0">
      <w:start w:val="1"/>
      <w:numFmt w:val="bullet"/>
      <w:lvlText w:val=""/>
      <w:lvlJc w:val="left"/>
      <w:pPr>
        <w:tabs>
          <w:tab w:val="num" w:pos="1080"/>
        </w:tabs>
        <w:ind w:left="1080" w:hanging="360"/>
      </w:pPr>
      <w:rPr>
        <w:rFonts w:ascii="Symbol" w:hAnsi="Symbol" w:hint="default"/>
        <w:b/>
        <w:i w:val="0"/>
        <w:sz w:val="24"/>
      </w:rPr>
    </w:lvl>
    <w:lvl w:ilvl="1">
      <w:start w:val="1"/>
      <w:numFmt w:val="decimal"/>
      <w:lvlText w:val="%1.%2."/>
      <w:lvlJc w:val="left"/>
      <w:pPr>
        <w:tabs>
          <w:tab w:val="num" w:pos="1512"/>
        </w:tabs>
        <w:ind w:left="1512" w:hanging="432"/>
      </w:pPr>
      <w:rPr>
        <w:rFonts w:asciiTheme="minorHAnsi" w:hAnsiTheme="minorHAnsi" w:cstheme="minorHAnsi" w:hint="default"/>
        <w:b/>
        <w:sz w:val="22"/>
        <w:szCs w:val="22"/>
      </w:rPr>
    </w:lvl>
    <w:lvl w:ilvl="2">
      <w:start w:val="1"/>
      <w:numFmt w:val="bullet"/>
      <w:lvlText w:val=""/>
      <w:lvlJc w:val="left"/>
      <w:pPr>
        <w:tabs>
          <w:tab w:val="num" w:pos="1944"/>
        </w:tabs>
        <w:ind w:left="1944" w:hanging="504"/>
      </w:pPr>
      <w:rPr>
        <w:rFonts w:ascii="Symbol" w:hAnsi="Symbol" w:hint="default"/>
        <w:b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1">
    <w:nsid w:val="317A5203"/>
    <w:multiLevelType w:val="multilevel"/>
    <w:tmpl w:val="ADEA7404"/>
    <w:lvl w:ilvl="0">
      <w:start w:val="1"/>
      <w:numFmt w:val="decimal"/>
      <w:lvlText w:val="%1."/>
      <w:lvlJc w:val="left"/>
      <w:pPr>
        <w:tabs>
          <w:tab w:val="num" w:pos="644"/>
        </w:tabs>
        <w:ind w:left="644" w:hanging="360"/>
      </w:pPr>
      <w:rPr>
        <w:rFonts w:hint="default"/>
        <w:b/>
        <w:i w:val="0"/>
        <w:sz w:val="24"/>
      </w:rPr>
    </w:lvl>
    <w:lvl w:ilvl="1">
      <w:start w:val="1"/>
      <w:numFmt w:val="decimal"/>
      <w:lvlText w:val="%1.%2."/>
      <w:lvlJc w:val="left"/>
      <w:pPr>
        <w:tabs>
          <w:tab w:val="num" w:pos="1076"/>
        </w:tabs>
        <w:ind w:left="1076" w:hanging="432"/>
      </w:pPr>
      <w:rPr>
        <w:rFonts w:asciiTheme="minorHAnsi" w:hAnsiTheme="minorHAnsi" w:cstheme="minorHAnsi" w:hint="default"/>
        <w:b/>
        <w:sz w:val="22"/>
        <w:szCs w:val="22"/>
      </w:rPr>
    </w:lvl>
    <w:lvl w:ilvl="2">
      <w:start w:val="1"/>
      <w:numFmt w:val="bullet"/>
      <w:lvlText w:val=""/>
      <w:lvlJc w:val="left"/>
      <w:pPr>
        <w:tabs>
          <w:tab w:val="num" w:pos="1508"/>
        </w:tabs>
        <w:ind w:left="1508" w:hanging="504"/>
      </w:pPr>
      <w:rPr>
        <w:rFonts w:ascii="Symbol" w:hAnsi="Symbol" w:hint="default"/>
        <w:b w:val="0"/>
      </w:rPr>
    </w:lvl>
    <w:lvl w:ilvl="3">
      <w:start w:val="1"/>
      <w:numFmt w:val="decimal"/>
      <w:lvlText w:val="%1.%2.%3.%4."/>
      <w:lvlJc w:val="left"/>
      <w:pPr>
        <w:tabs>
          <w:tab w:val="num" w:pos="2012"/>
        </w:tabs>
        <w:ind w:left="2012" w:hanging="648"/>
      </w:pPr>
      <w:rPr>
        <w:rFonts w:hint="default"/>
      </w:rPr>
    </w:lvl>
    <w:lvl w:ilvl="4">
      <w:start w:val="1"/>
      <w:numFmt w:val="decimal"/>
      <w:lvlText w:val="%1.%2.%3.%4.%5."/>
      <w:lvlJc w:val="left"/>
      <w:pPr>
        <w:tabs>
          <w:tab w:val="num" w:pos="2516"/>
        </w:tabs>
        <w:ind w:left="2516" w:hanging="792"/>
      </w:pPr>
      <w:rPr>
        <w:rFonts w:hint="default"/>
      </w:rPr>
    </w:lvl>
    <w:lvl w:ilvl="5">
      <w:start w:val="1"/>
      <w:numFmt w:val="decimal"/>
      <w:lvlText w:val="%1.%2.%3.%4.%5.%6."/>
      <w:lvlJc w:val="left"/>
      <w:pPr>
        <w:tabs>
          <w:tab w:val="num" w:pos="3020"/>
        </w:tabs>
        <w:ind w:left="3020" w:hanging="936"/>
      </w:pPr>
      <w:rPr>
        <w:rFonts w:hint="default"/>
      </w:rPr>
    </w:lvl>
    <w:lvl w:ilvl="6">
      <w:start w:val="1"/>
      <w:numFmt w:val="decimal"/>
      <w:lvlText w:val="%1.%2.%3.%4.%5.%6.%7."/>
      <w:lvlJc w:val="left"/>
      <w:pPr>
        <w:tabs>
          <w:tab w:val="num" w:pos="3524"/>
        </w:tabs>
        <w:ind w:left="3524" w:hanging="1080"/>
      </w:pPr>
      <w:rPr>
        <w:rFonts w:hint="default"/>
      </w:rPr>
    </w:lvl>
    <w:lvl w:ilvl="7">
      <w:start w:val="1"/>
      <w:numFmt w:val="decimal"/>
      <w:lvlText w:val="%1.%2.%3.%4.%5.%6.%7.%8."/>
      <w:lvlJc w:val="left"/>
      <w:pPr>
        <w:tabs>
          <w:tab w:val="num" w:pos="4028"/>
        </w:tabs>
        <w:ind w:left="4028" w:hanging="1224"/>
      </w:pPr>
      <w:rPr>
        <w:rFonts w:hint="default"/>
      </w:rPr>
    </w:lvl>
    <w:lvl w:ilvl="8">
      <w:start w:val="1"/>
      <w:numFmt w:val="decimal"/>
      <w:lvlText w:val="%1.%2.%3.%4.%5.%6.%7.%8.%9."/>
      <w:lvlJc w:val="left"/>
      <w:pPr>
        <w:tabs>
          <w:tab w:val="num" w:pos="4604"/>
        </w:tabs>
        <w:ind w:left="4604" w:hanging="1440"/>
      </w:pPr>
      <w:rPr>
        <w:rFonts w:hint="default"/>
      </w:rPr>
    </w:lvl>
  </w:abstractNum>
  <w:abstractNum w:abstractNumId="2">
    <w:nsid w:val="51AA23F8"/>
    <w:multiLevelType w:val="hybridMultilevel"/>
    <w:tmpl w:val="13841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B8F38AE"/>
    <w:multiLevelType w:val="multilevel"/>
    <w:tmpl w:val="89AAE2AE"/>
    <w:lvl w:ilvl="0">
      <w:start w:val="1"/>
      <w:numFmt w:val="decimal"/>
      <w:lvlText w:val="%1."/>
      <w:lvlJc w:val="left"/>
      <w:pPr>
        <w:tabs>
          <w:tab w:val="num" w:pos="360"/>
        </w:tabs>
        <w:ind w:left="360" w:hanging="360"/>
      </w:pPr>
      <w:rPr>
        <w:rFonts w:ascii="Calibri" w:hAnsi="Calibri" w:hint="default"/>
        <w:b/>
        <w:i w:val="0"/>
        <w:sz w:val="24"/>
      </w:rPr>
    </w:lvl>
    <w:lvl w:ilvl="1">
      <w:start w:val="1"/>
      <w:numFmt w:val="decimal"/>
      <w:lvlText w:val="%1.%2."/>
      <w:lvlJc w:val="left"/>
      <w:pPr>
        <w:tabs>
          <w:tab w:val="num" w:pos="792"/>
        </w:tabs>
        <w:ind w:left="792" w:hanging="432"/>
      </w:pPr>
      <w:rPr>
        <w:rFonts w:asciiTheme="minorHAnsi" w:hAnsiTheme="minorHAnsi" w:cstheme="minorHAnsi" w:hint="default"/>
        <w:b/>
        <w:sz w:val="22"/>
        <w:szCs w:val="22"/>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7AA6073C"/>
    <w:multiLevelType w:val="multilevel"/>
    <w:tmpl w:val="5D24B558"/>
    <w:lvl w:ilvl="0">
      <w:start w:val="1"/>
      <w:numFmt w:val="bullet"/>
      <w:lvlText w:val=""/>
      <w:lvlJc w:val="left"/>
      <w:pPr>
        <w:tabs>
          <w:tab w:val="num" w:pos="1080"/>
        </w:tabs>
        <w:ind w:left="1080" w:hanging="360"/>
      </w:pPr>
      <w:rPr>
        <w:rFonts w:ascii="Symbol" w:hAnsi="Symbol" w:hint="default"/>
        <w:b/>
        <w:i w:val="0"/>
        <w:sz w:val="24"/>
      </w:rPr>
    </w:lvl>
    <w:lvl w:ilvl="1">
      <w:start w:val="1"/>
      <w:numFmt w:val="decimal"/>
      <w:lvlText w:val="%1.%2."/>
      <w:lvlJc w:val="left"/>
      <w:pPr>
        <w:tabs>
          <w:tab w:val="num" w:pos="1512"/>
        </w:tabs>
        <w:ind w:left="1512" w:hanging="432"/>
      </w:pPr>
      <w:rPr>
        <w:rFonts w:asciiTheme="minorHAnsi" w:hAnsiTheme="minorHAnsi" w:cstheme="minorHAnsi" w:hint="default"/>
        <w:b/>
        <w:sz w:val="22"/>
        <w:szCs w:val="22"/>
      </w:rPr>
    </w:lvl>
    <w:lvl w:ilvl="2">
      <w:start w:val="1"/>
      <w:numFmt w:val="bullet"/>
      <w:lvlText w:val=""/>
      <w:lvlJc w:val="left"/>
      <w:pPr>
        <w:tabs>
          <w:tab w:val="num" w:pos="1944"/>
        </w:tabs>
        <w:ind w:left="1944" w:hanging="504"/>
      </w:pPr>
      <w:rPr>
        <w:rFonts w:ascii="Symbol" w:hAnsi="Symbol" w:hint="default"/>
        <w:b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MJqpEG9CjX2WeS5mCJyragZ0lM=" w:salt="vw1LvTO0KUB2fE87stUZX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CF"/>
    <w:rsid w:val="00145EA6"/>
    <w:rsid w:val="00491377"/>
    <w:rsid w:val="005012A0"/>
    <w:rsid w:val="005024E4"/>
    <w:rsid w:val="005729E3"/>
    <w:rsid w:val="006456CF"/>
    <w:rsid w:val="006C3E58"/>
    <w:rsid w:val="00807587"/>
    <w:rsid w:val="00975F3F"/>
    <w:rsid w:val="00AB2B42"/>
    <w:rsid w:val="00AC21E8"/>
    <w:rsid w:val="00BB64A7"/>
    <w:rsid w:val="00BF5509"/>
    <w:rsid w:val="00DC5981"/>
    <w:rsid w:val="00EC0F29"/>
    <w:rsid w:val="00F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56CF"/>
    <w:rPr>
      <w:color w:val="0000FF" w:themeColor="hyperlink"/>
      <w:u w:val="single"/>
    </w:rPr>
  </w:style>
  <w:style w:type="paragraph" w:customStyle="1" w:styleId="Default">
    <w:name w:val="Default"/>
    <w:rsid w:val="006456CF"/>
    <w:pPr>
      <w:autoSpaceDE w:val="0"/>
      <w:autoSpaceDN w:val="0"/>
      <w:adjustRightInd w:val="0"/>
      <w:spacing w:after="0" w:line="240" w:lineRule="auto"/>
    </w:pPr>
    <w:rPr>
      <w:rFonts w:ascii="Arial" w:hAnsi="Arial" w:cs="Arial"/>
      <w:color w:val="000000"/>
      <w:sz w:val="24"/>
      <w:szCs w:val="24"/>
      <w:lang w:val="en-AU"/>
    </w:rPr>
  </w:style>
  <w:style w:type="paragraph" w:styleId="BalloonText">
    <w:name w:val="Balloon Text"/>
    <w:basedOn w:val="Normal"/>
    <w:link w:val="BalloonTextChar"/>
    <w:uiPriority w:val="99"/>
    <w:semiHidden/>
    <w:unhideWhenUsed/>
    <w:rsid w:val="00645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6CF"/>
    <w:rPr>
      <w:rFonts w:ascii="Tahoma" w:hAnsi="Tahoma" w:cs="Tahoma"/>
      <w:sz w:val="16"/>
      <w:szCs w:val="16"/>
    </w:rPr>
  </w:style>
  <w:style w:type="paragraph" w:styleId="ListParagraph">
    <w:name w:val="List Paragraph"/>
    <w:basedOn w:val="Normal"/>
    <w:uiPriority w:val="34"/>
    <w:qFormat/>
    <w:rsid w:val="006456CF"/>
    <w:pPr>
      <w:ind w:left="720"/>
      <w:contextualSpacing/>
    </w:pPr>
    <w:rPr>
      <w:lang w:val="en-AU"/>
    </w:rPr>
  </w:style>
  <w:style w:type="paragraph" w:styleId="Header">
    <w:name w:val="header"/>
    <w:basedOn w:val="Normal"/>
    <w:link w:val="HeaderChar"/>
    <w:uiPriority w:val="99"/>
    <w:unhideWhenUsed/>
    <w:rsid w:val="00FE2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7B6"/>
  </w:style>
  <w:style w:type="paragraph" w:styleId="Footer">
    <w:name w:val="footer"/>
    <w:basedOn w:val="Normal"/>
    <w:link w:val="FooterChar"/>
    <w:uiPriority w:val="99"/>
    <w:unhideWhenUsed/>
    <w:rsid w:val="00FE2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7B6"/>
  </w:style>
  <w:style w:type="paragraph" w:styleId="NoSpacing">
    <w:name w:val="No Spacing"/>
    <w:uiPriority w:val="1"/>
    <w:qFormat/>
    <w:rsid w:val="005024E4"/>
    <w:pPr>
      <w:spacing w:after="0" w:line="240" w:lineRule="auto"/>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56CF"/>
    <w:rPr>
      <w:color w:val="0000FF" w:themeColor="hyperlink"/>
      <w:u w:val="single"/>
    </w:rPr>
  </w:style>
  <w:style w:type="paragraph" w:customStyle="1" w:styleId="Default">
    <w:name w:val="Default"/>
    <w:rsid w:val="006456CF"/>
    <w:pPr>
      <w:autoSpaceDE w:val="0"/>
      <w:autoSpaceDN w:val="0"/>
      <w:adjustRightInd w:val="0"/>
      <w:spacing w:after="0" w:line="240" w:lineRule="auto"/>
    </w:pPr>
    <w:rPr>
      <w:rFonts w:ascii="Arial" w:hAnsi="Arial" w:cs="Arial"/>
      <w:color w:val="000000"/>
      <w:sz w:val="24"/>
      <w:szCs w:val="24"/>
      <w:lang w:val="en-AU"/>
    </w:rPr>
  </w:style>
  <w:style w:type="paragraph" w:styleId="BalloonText">
    <w:name w:val="Balloon Text"/>
    <w:basedOn w:val="Normal"/>
    <w:link w:val="BalloonTextChar"/>
    <w:uiPriority w:val="99"/>
    <w:semiHidden/>
    <w:unhideWhenUsed/>
    <w:rsid w:val="00645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6CF"/>
    <w:rPr>
      <w:rFonts w:ascii="Tahoma" w:hAnsi="Tahoma" w:cs="Tahoma"/>
      <w:sz w:val="16"/>
      <w:szCs w:val="16"/>
    </w:rPr>
  </w:style>
  <w:style w:type="paragraph" w:styleId="ListParagraph">
    <w:name w:val="List Paragraph"/>
    <w:basedOn w:val="Normal"/>
    <w:uiPriority w:val="34"/>
    <w:qFormat/>
    <w:rsid w:val="006456CF"/>
    <w:pPr>
      <w:ind w:left="720"/>
      <w:contextualSpacing/>
    </w:pPr>
    <w:rPr>
      <w:lang w:val="en-AU"/>
    </w:rPr>
  </w:style>
  <w:style w:type="paragraph" w:styleId="Header">
    <w:name w:val="header"/>
    <w:basedOn w:val="Normal"/>
    <w:link w:val="HeaderChar"/>
    <w:uiPriority w:val="99"/>
    <w:unhideWhenUsed/>
    <w:rsid w:val="00FE2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7B6"/>
  </w:style>
  <w:style w:type="paragraph" w:styleId="Footer">
    <w:name w:val="footer"/>
    <w:basedOn w:val="Normal"/>
    <w:link w:val="FooterChar"/>
    <w:uiPriority w:val="99"/>
    <w:unhideWhenUsed/>
    <w:rsid w:val="00FE2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7B6"/>
  </w:style>
  <w:style w:type="paragraph" w:styleId="NoSpacing">
    <w:name w:val="No Spacing"/>
    <w:uiPriority w:val="1"/>
    <w:qFormat/>
    <w:rsid w:val="005024E4"/>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357823">
      <w:bodyDiv w:val="1"/>
      <w:marLeft w:val="0"/>
      <w:marRight w:val="0"/>
      <w:marTop w:val="0"/>
      <w:marBottom w:val="0"/>
      <w:divBdr>
        <w:top w:val="none" w:sz="0" w:space="0" w:color="auto"/>
        <w:left w:val="none" w:sz="0" w:space="0" w:color="auto"/>
        <w:bottom w:val="none" w:sz="0" w:space="0" w:color="auto"/>
        <w:right w:val="none" w:sz="0" w:space="0" w:color="auto"/>
      </w:divBdr>
      <w:divsChild>
        <w:div w:id="2036887080">
          <w:marLeft w:val="0"/>
          <w:marRight w:val="0"/>
          <w:marTop w:val="0"/>
          <w:marBottom w:val="0"/>
          <w:divBdr>
            <w:top w:val="none" w:sz="0" w:space="0" w:color="auto"/>
            <w:left w:val="none" w:sz="0" w:space="0" w:color="auto"/>
            <w:bottom w:val="none" w:sz="0" w:space="0" w:color="auto"/>
            <w:right w:val="none" w:sz="0" w:space="0" w:color="auto"/>
          </w:divBdr>
          <w:divsChild>
            <w:div w:id="1420297860">
              <w:marLeft w:val="0"/>
              <w:marRight w:val="0"/>
              <w:marTop w:val="0"/>
              <w:marBottom w:val="0"/>
              <w:divBdr>
                <w:top w:val="none" w:sz="0" w:space="0" w:color="auto"/>
                <w:left w:val="none" w:sz="0" w:space="0" w:color="auto"/>
                <w:bottom w:val="none" w:sz="0" w:space="0" w:color="auto"/>
                <w:right w:val="none" w:sz="0" w:space="0" w:color="auto"/>
              </w:divBdr>
              <w:divsChild>
                <w:div w:id="1586841023">
                  <w:marLeft w:val="0"/>
                  <w:marRight w:val="0"/>
                  <w:marTop w:val="0"/>
                  <w:marBottom w:val="0"/>
                  <w:divBdr>
                    <w:top w:val="none" w:sz="0" w:space="0" w:color="auto"/>
                    <w:left w:val="none" w:sz="0" w:space="0" w:color="auto"/>
                    <w:bottom w:val="none" w:sz="0" w:space="0" w:color="auto"/>
                    <w:right w:val="none" w:sz="0" w:space="0" w:color="auto"/>
                  </w:divBdr>
                  <w:divsChild>
                    <w:div w:id="1607425413">
                      <w:marLeft w:val="0"/>
                      <w:marRight w:val="0"/>
                      <w:marTop w:val="0"/>
                      <w:marBottom w:val="0"/>
                      <w:divBdr>
                        <w:top w:val="none" w:sz="0" w:space="0" w:color="auto"/>
                        <w:left w:val="none" w:sz="0" w:space="0" w:color="auto"/>
                        <w:bottom w:val="none" w:sz="0" w:space="0" w:color="auto"/>
                        <w:right w:val="none" w:sz="0" w:space="0" w:color="auto"/>
                      </w:divBdr>
                      <w:divsChild>
                        <w:div w:id="1916933644">
                          <w:marLeft w:val="0"/>
                          <w:marRight w:val="0"/>
                          <w:marTop w:val="0"/>
                          <w:marBottom w:val="0"/>
                          <w:divBdr>
                            <w:top w:val="none" w:sz="0" w:space="0" w:color="auto"/>
                            <w:left w:val="none" w:sz="0" w:space="0" w:color="auto"/>
                            <w:bottom w:val="none" w:sz="0" w:space="0" w:color="auto"/>
                            <w:right w:val="none" w:sz="0" w:space="0" w:color="auto"/>
                          </w:divBdr>
                          <w:divsChild>
                            <w:div w:id="1270970973">
                              <w:marLeft w:val="0"/>
                              <w:marRight w:val="0"/>
                              <w:marTop w:val="0"/>
                              <w:marBottom w:val="0"/>
                              <w:divBdr>
                                <w:top w:val="none" w:sz="0" w:space="0" w:color="auto"/>
                                <w:left w:val="none" w:sz="0" w:space="0" w:color="auto"/>
                                <w:bottom w:val="none" w:sz="0" w:space="0" w:color="auto"/>
                                <w:right w:val="none" w:sz="0" w:space="0" w:color="auto"/>
                              </w:divBdr>
                              <w:divsChild>
                                <w:div w:id="432633256">
                                  <w:marLeft w:val="0"/>
                                  <w:marRight w:val="0"/>
                                  <w:marTop w:val="0"/>
                                  <w:marBottom w:val="0"/>
                                  <w:divBdr>
                                    <w:top w:val="none" w:sz="0" w:space="0" w:color="auto"/>
                                    <w:left w:val="none" w:sz="0" w:space="0" w:color="auto"/>
                                    <w:bottom w:val="none" w:sz="0" w:space="0" w:color="auto"/>
                                    <w:right w:val="none" w:sz="0" w:space="0" w:color="auto"/>
                                  </w:divBdr>
                                  <w:divsChild>
                                    <w:div w:id="1104687398">
                                      <w:marLeft w:val="0"/>
                                      <w:marRight w:val="0"/>
                                      <w:marTop w:val="0"/>
                                      <w:marBottom w:val="0"/>
                                      <w:divBdr>
                                        <w:top w:val="none" w:sz="0" w:space="0" w:color="auto"/>
                                        <w:left w:val="none" w:sz="0" w:space="0" w:color="auto"/>
                                        <w:bottom w:val="none" w:sz="0" w:space="0" w:color="auto"/>
                                        <w:right w:val="none" w:sz="0" w:space="0" w:color="auto"/>
                                      </w:divBdr>
                                      <w:divsChild>
                                        <w:div w:id="606736410">
                                          <w:marLeft w:val="0"/>
                                          <w:marRight w:val="0"/>
                                          <w:marTop w:val="0"/>
                                          <w:marBottom w:val="0"/>
                                          <w:divBdr>
                                            <w:top w:val="none" w:sz="0" w:space="0" w:color="auto"/>
                                            <w:left w:val="none" w:sz="0" w:space="0" w:color="auto"/>
                                            <w:bottom w:val="none" w:sz="0" w:space="0" w:color="auto"/>
                                            <w:right w:val="none" w:sz="0" w:space="0" w:color="auto"/>
                                          </w:divBdr>
                                          <w:divsChild>
                                            <w:div w:id="3636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4514</Characters>
  <Application>Microsoft Office Word</Application>
  <DocSecurity>8</DocSecurity>
  <Lines>96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Fahcsia</cp:lastModifiedBy>
  <cp:revision>3</cp:revision>
  <cp:lastPrinted>2013-04-23T07:27:00Z</cp:lastPrinted>
  <dcterms:created xsi:type="dcterms:W3CDTF">2013-05-27T04:48:00Z</dcterms:created>
  <dcterms:modified xsi:type="dcterms:W3CDTF">2013-05-27T05:05:00Z</dcterms:modified>
</cp:coreProperties>
</file>