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26A" w:rsidRDefault="006F626A" w:rsidP="006F626A">
      <w:pPr>
        <w:rPr>
          <w:rFonts w:ascii="Gill Sans" w:hAnsi="Gill Sans" w:cs="Gill Sans"/>
          <w:b/>
        </w:rPr>
      </w:pPr>
      <w:permStart w:id="1282436855" w:edGrp="everyone"/>
      <w:permEnd w:id="1282436855"/>
    </w:p>
    <w:p w:rsidR="006F626A" w:rsidRDefault="006F626A" w:rsidP="006F626A">
      <w:pPr>
        <w:rPr>
          <w:rFonts w:ascii="Gill Sans" w:hAnsi="Gill Sans" w:cs="Gill Sans"/>
          <w:b/>
        </w:rPr>
      </w:pPr>
    </w:p>
    <w:p w:rsidR="006F626A" w:rsidRDefault="006F626A" w:rsidP="006F626A">
      <w:pPr>
        <w:rPr>
          <w:rFonts w:ascii="Gill Sans" w:hAnsi="Gill Sans" w:cs="Gill Sans"/>
          <w:b/>
        </w:rPr>
      </w:pPr>
    </w:p>
    <w:p w:rsidR="006F626A" w:rsidRDefault="006F626A" w:rsidP="006F626A">
      <w:pPr>
        <w:rPr>
          <w:rFonts w:ascii="Gill Sans" w:hAnsi="Gill Sans" w:cs="Gill Sans"/>
          <w:b/>
        </w:rPr>
      </w:pPr>
    </w:p>
    <w:p w:rsidR="006F626A" w:rsidRDefault="006F626A" w:rsidP="006F626A">
      <w:pPr>
        <w:rPr>
          <w:rFonts w:ascii="Gill Sans" w:hAnsi="Gill Sans" w:cs="Gill Sans"/>
          <w:b/>
        </w:rPr>
      </w:pPr>
    </w:p>
    <w:p w:rsidR="009247F5" w:rsidRDefault="009247F5" w:rsidP="00C7738E">
      <w:pPr>
        <w:jc w:val="both"/>
        <w:rPr>
          <w:rFonts w:ascii="Gill Sans" w:hAnsi="Gill Sans" w:cs="Gill Sans"/>
          <w:b/>
        </w:rPr>
      </w:pPr>
    </w:p>
    <w:p w:rsidR="009247F5" w:rsidRDefault="009247F5" w:rsidP="00C7738E">
      <w:pPr>
        <w:jc w:val="both"/>
        <w:rPr>
          <w:rFonts w:ascii="Gill Sans" w:hAnsi="Gill Sans" w:cs="Gill Sans"/>
          <w:b/>
        </w:rPr>
      </w:pPr>
    </w:p>
    <w:p w:rsidR="002B3E23" w:rsidRDefault="002B3E23" w:rsidP="00C7738E">
      <w:pPr>
        <w:jc w:val="both"/>
        <w:rPr>
          <w:rFonts w:ascii="Gill Sans" w:hAnsi="Gill Sans" w:cs="Gill Sans"/>
          <w:b/>
        </w:rPr>
      </w:pPr>
      <w:r>
        <w:rPr>
          <w:rFonts w:ascii="Gill Sans" w:hAnsi="Gill Sans"/>
          <w:noProof/>
          <w:sz w:val="28"/>
          <w:lang w:val="en-AU" w:eastAsia="en-AU"/>
        </w:rPr>
        <w:drawing>
          <wp:anchor distT="0" distB="0" distL="114300" distR="114300" simplePos="0" relativeHeight="251662336" behindDoc="1" locked="0" layoutInCell="1" allowOverlap="1">
            <wp:simplePos x="0" y="0"/>
            <wp:positionH relativeFrom="column">
              <wp:posOffset>-596265</wp:posOffset>
            </wp:positionH>
            <wp:positionV relativeFrom="paragraph">
              <wp:posOffset>-416560</wp:posOffset>
            </wp:positionV>
            <wp:extent cx="6693983" cy="2359660"/>
            <wp:effectExtent l="0" t="0" r="12065" b="2540"/>
            <wp:wrapNone/>
            <wp:docPr id="7" name="Picture 7" descr="Redfern Header #2 BW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fern Header #2 BW 7-10"/>
                    <pic:cNvPicPr>
                      <a:picLocks noChangeAspect="1" noChangeArrowheads="1"/>
                    </pic:cNvPicPr>
                  </pic:nvPicPr>
                  <pic:blipFill>
                    <a:blip r:embed="rId9"/>
                    <a:srcRect/>
                    <a:stretch>
                      <a:fillRect/>
                    </a:stretch>
                  </pic:blipFill>
                  <pic:spPr bwMode="auto">
                    <a:xfrm>
                      <a:off x="0" y="0"/>
                      <a:ext cx="6693983" cy="2359660"/>
                    </a:xfrm>
                    <a:prstGeom prst="rect">
                      <a:avLst/>
                    </a:prstGeom>
                    <a:noFill/>
                    <a:ln w="9525">
                      <a:noFill/>
                      <a:miter lim="800000"/>
                      <a:headEnd/>
                      <a:tailEnd/>
                    </a:ln>
                  </pic:spPr>
                </pic:pic>
              </a:graphicData>
            </a:graphic>
          </wp:anchor>
        </w:drawing>
      </w:r>
    </w:p>
    <w:p w:rsidR="002B3E23" w:rsidRDefault="002B3E23" w:rsidP="00C7738E">
      <w:pPr>
        <w:jc w:val="both"/>
        <w:rPr>
          <w:rFonts w:ascii="Gill Sans" w:hAnsi="Gill Sans" w:cs="Gill Sans"/>
          <w:b/>
        </w:rPr>
      </w:pPr>
    </w:p>
    <w:p w:rsidR="002B3E23" w:rsidRDefault="002B3E23" w:rsidP="00C7738E">
      <w:pPr>
        <w:jc w:val="both"/>
        <w:rPr>
          <w:rFonts w:ascii="Gill Sans" w:hAnsi="Gill Sans" w:cs="Gill Sans"/>
          <w:b/>
        </w:rPr>
      </w:pPr>
    </w:p>
    <w:p w:rsidR="002B3E23" w:rsidRDefault="002B3E23" w:rsidP="00C7738E">
      <w:pPr>
        <w:jc w:val="both"/>
        <w:rPr>
          <w:rFonts w:ascii="Gill Sans" w:hAnsi="Gill Sans" w:cs="Gill Sans"/>
          <w:b/>
        </w:rPr>
      </w:pPr>
    </w:p>
    <w:p w:rsidR="002B3E23" w:rsidRDefault="002B3E23" w:rsidP="00C7738E">
      <w:pPr>
        <w:jc w:val="both"/>
        <w:rPr>
          <w:rFonts w:ascii="Gill Sans" w:hAnsi="Gill Sans" w:cs="Gill Sans"/>
          <w:b/>
        </w:rPr>
      </w:pPr>
    </w:p>
    <w:p w:rsidR="002B3E23" w:rsidRDefault="002B3E23" w:rsidP="002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b/>
          <w:bCs/>
          <w:color w:val="000000"/>
          <w:sz w:val="27"/>
          <w:szCs w:val="27"/>
        </w:rPr>
      </w:pPr>
    </w:p>
    <w:p w:rsidR="002B3E23" w:rsidRDefault="002B3E23" w:rsidP="002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b/>
          <w:bCs/>
          <w:color w:val="000000"/>
          <w:sz w:val="27"/>
          <w:szCs w:val="27"/>
        </w:rPr>
      </w:pPr>
    </w:p>
    <w:p w:rsidR="002B3E23" w:rsidRDefault="002B3E23" w:rsidP="002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b/>
          <w:bCs/>
          <w:color w:val="000000"/>
          <w:sz w:val="27"/>
          <w:szCs w:val="27"/>
        </w:rPr>
      </w:pPr>
    </w:p>
    <w:p w:rsidR="002B3E23" w:rsidRDefault="002B3E23" w:rsidP="002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b/>
          <w:bCs/>
          <w:color w:val="000000"/>
          <w:sz w:val="27"/>
          <w:szCs w:val="27"/>
        </w:rPr>
      </w:pPr>
    </w:p>
    <w:p w:rsidR="002B3E23" w:rsidRDefault="002B3E23" w:rsidP="002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b/>
          <w:bCs/>
          <w:color w:val="000000"/>
          <w:sz w:val="27"/>
          <w:szCs w:val="27"/>
        </w:rPr>
      </w:pPr>
    </w:p>
    <w:p w:rsidR="002B3E23" w:rsidRDefault="002B3E23" w:rsidP="002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b/>
          <w:bCs/>
          <w:color w:val="000000"/>
          <w:sz w:val="27"/>
          <w:szCs w:val="27"/>
        </w:rPr>
      </w:pPr>
    </w:p>
    <w:p w:rsidR="002B3E23" w:rsidRDefault="002B3E23" w:rsidP="002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b/>
          <w:bCs/>
          <w:color w:val="000000"/>
          <w:sz w:val="27"/>
          <w:szCs w:val="27"/>
        </w:rPr>
      </w:pPr>
    </w:p>
    <w:p w:rsidR="002B3E23" w:rsidRDefault="002B3E23" w:rsidP="002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b/>
          <w:bCs/>
          <w:color w:val="000000"/>
          <w:sz w:val="27"/>
          <w:szCs w:val="27"/>
        </w:rPr>
      </w:pPr>
      <w:bookmarkStart w:id="0" w:name="_GoBack"/>
      <w:bookmarkEnd w:id="0"/>
    </w:p>
    <w:p w:rsidR="002B3E23" w:rsidRDefault="002B3E23" w:rsidP="002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b/>
          <w:bCs/>
          <w:color w:val="000000"/>
          <w:sz w:val="27"/>
          <w:szCs w:val="27"/>
        </w:rPr>
      </w:pPr>
    </w:p>
    <w:p w:rsidR="002B3E23" w:rsidRDefault="002B3E23" w:rsidP="002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b/>
          <w:bCs/>
          <w:color w:val="000000"/>
          <w:sz w:val="27"/>
          <w:szCs w:val="27"/>
        </w:rPr>
      </w:pPr>
    </w:p>
    <w:p w:rsidR="002B3E23" w:rsidRDefault="002B3E23" w:rsidP="002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b/>
          <w:bCs/>
          <w:color w:val="000000"/>
          <w:sz w:val="27"/>
          <w:szCs w:val="27"/>
        </w:rPr>
      </w:pPr>
    </w:p>
    <w:p w:rsidR="002B3E23" w:rsidRDefault="002B3E23" w:rsidP="002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b/>
          <w:bCs/>
          <w:color w:val="000000"/>
          <w:sz w:val="27"/>
          <w:szCs w:val="27"/>
        </w:rPr>
      </w:pPr>
    </w:p>
    <w:p w:rsidR="002B3E23" w:rsidRDefault="002B3E23" w:rsidP="002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w:eastAsiaTheme="minorEastAsia" w:hAnsi="Gill Sans" w:cs="Gill Sans"/>
          <w:b/>
          <w:bCs/>
          <w:color w:val="000000"/>
          <w:sz w:val="27"/>
          <w:szCs w:val="27"/>
        </w:rPr>
      </w:pPr>
    </w:p>
    <w:p w:rsidR="006C52CD" w:rsidRDefault="006C52CD" w:rsidP="006C52CD">
      <w:pPr>
        <w:jc w:val="center"/>
        <w:rPr>
          <w:rFonts w:ascii="Gill Sans" w:hAnsi="Gill Sans" w:cs="Gill Sans"/>
          <w:b/>
        </w:rPr>
      </w:pPr>
    </w:p>
    <w:p w:rsidR="006C52CD" w:rsidRPr="006C52CD" w:rsidRDefault="006C52CD" w:rsidP="006C52CD">
      <w:pPr>
        <w:jc w:val="center"/>
        <w:rPr>
          <w:rFonts w:ascii="Gill Sans" w:hAnsi="Gill Sans" w:cs="Gill Sans"/>
          <w:b/>
          <w:sz w:val="28"/>
          <w:szCs w:val="28"/>
        </w:rPr>
      </w:pPr>
      <w:r w:rsidRPr="006C52CD">
        <w:rPr>
          <w:rFonts w:ascii="Gill Sans" w:hAnsi="Gill Sans" w:cs="Gill Sans"/>
          <w:b/>
          <w:sz w:val="28"/>
          <w:szCs w:val="28"/>
        </w:rPr>
        <w:t>Submission on the Housing Payments Deduction Scheme and the dra</w:t>
      </w:r>
      <w:r>
        <w:rPr>
          <w:rFonts w:ascii="Gill Sans" w:hAnsi="Gill Sans" w:cs="Gill Sans"/>
          <w:b/>
          <w:sz w:val="28"/>
          <w:szCs w:val="28"/>
        </w:rPr>
        <w:t>f</w:t>
      </w:r>
      <w:r w:rsidRPr="006C52CD">
        <w:rPr>
          <w:rFonts w:ascii="Gill Sans" w:hAnsi="Gill Sans" w:cs="Gill Sans"/>
          <w:b/>
          <w:sz w:val="28"/>
          <w:szCs w:val="28"/>
        </w:rPr>
        <w:t>t Social Security Legislation Amendment (Public Housing Tenants’ Support) Bill 2013 including associated instruments</w:t>
      </w:r>
    </w:p>
    <w:p w:rsidR="002B3E23" w:rsidRPr="00316AF7" w:rsidRDefault="002B3E23" w:rsidP="002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b/>
          <w:bCs/>
          <w:color w:val="000000"/>
          <w:sz w:val="28"/>
          <w:szCs w:val="28"/>
        </w:rPr>
      </w:pPr>
    </w:p>
    <w:p w:rsidR="002B3E23" w:rsidRPr="00316AF7" w:rsidRDefault="002B3E23" w:rsidP="002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b/>
          <w:bCs/>
          <w:color w:val="000000"/>
          <w:sz w:val="28"/>
          <w:szCs w:val="28"/>
        </w:rPr>
      </w:pPr>
    </w:p>
    <w:p w:rsidR="002B3E23" w:rsidRPr="00316AF7" w:rsidRDefault="002B3E23" w:rsidP="002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b/>
          <w:bCs/>
          <w:color w:val="000000"/>
          <w:sz w:val="28"/>
          <w:szCs w:val="28"/>
        </w:rPr>
      </w:pPr>
    </w:p>
    <w:p w:rsidR="002B3E23" w:rsidRPr="00316AF7" w:rsidRDefault="002B3E23" w:rsidP="002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w:eastAsiaTheme="minorEastAsia" w:hAnsi="Gill Sans" w:cs="Gill Sans"/>
          <w:color w:val="000000"/>
          <w:sz w:val="28"/>
          <w:szCs w:val="28"/>
        </w:rPr>
      </w:pPr>
      <w:r w:rsidRPr="00316AF7">
        <w:rPr>
          <w:rFonts w:ascii="Gill Sans" w:eastAsiaTheme="minorEastAsia" w:hAnsi="Gill Sans" w:cs="Gill Sans"/>
          <w:b/>
          <w:bCs/>
          <w:color w:val="000000"/>
          <w:sz w:val="28"/>
          <w:szCs w:val="28"/>
        </w:rPr>
        <w:t xml:space="preserve">Submission to </w:t>
      </w:r>
      <w:r w:rsidR="006C52CD">
        <w:rPr>
          <w:rFonts w:ascii="Gill Sans" w:eastAsiaTheme="minorEastAsia" w:hAnsi="Gill Sans" w:cs="Gill Sans"/>
          <w:b/>
          <w:bCs/>
          <w:color w:val="000000"/>
          <w:sz w:val="28"/>
          <w:szCs w:val="28"/>
        </w:rPr>
        <w:t xml:space="preserve">Housing Policy Branch - Department of Families, Housing, Community Services and Indigenous Affairs </w:t>
      </w:r>
    </w:p>
    <w:p w:rsidR="002B3E23" w:rsidRDefault="002B3E23" w:rsidP="002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color w:val="000000"/>
        </w:rPr>
      </w:pPr>
    </w:p>
    <w:p w:rsidR="002B3E23" w:rsidRPr="00316AF7" w:rsidRDefault="002B3E23" w:rsidP="002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color w:val="000000"/>
          <w:sz w:val="28"/>
          <w:szCs w:val="28"/>
        </w:rPr>
      </w:pPr>
    </w:p>
    <w:p w:rsidR="002B3E23" w:rsidRPr="00316AF7" w:rsidRDefault="002B3E23" w:rsidP="002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w:eastAsiaTheme="minorEastAsia" w:hAnsi="Gill Sans" w:cs="Gill Sans"/>
          <w:color w:val="000000"/>
          <w:sz w:val="28"/>
          <w:szCs w:val="28"/>
        </w:rPr>
      </w:pPr>
      <w:proofErr w:type="spellStart"/>
      <w:r w:rsidRPr="00316AF7">
        <w:rPr>
          <w:rFonts w:ascii="Gill Sans" w:eastAsiaTheme="minorEastAsia" w:hAnsi="Gill Sans" w:cs="Gill Sans"/>
          <w:color w:val="000000"/>
          <w:sz w:val="28"/>
          <w:szCs w:val="28"/>
        </w:rPr>
        <w:t>Redfern</w:t>
      </w:r>
      <w:proofErr w:type="spellEnd"/>
      <w:r w:rsidRPr="00316AF7">
        <w:rPr>
          <w:rFonts w:ascii="Gill Sans" w:eastAsiaTheme="minorEastAsia" w:hAnsi="Gill Sans" w:cs="Gill Sans"/>
          <w:color w:val="000000"/>
          <w:sz w:val="28"/>
          <w:szCs w:val="28"/>
        </w:rPr>
        <w:t xml:space="preserve"> Legal Centre</w:t>
      </w:r>
    </w:p>
    <w:p w:rsidR="00316AF7" w:rsidRDefault="00316AF7" w:rsidP="002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w:eastAsiaTheme="minorEastAsia" w:hAnsi="Gill Sans" w:cs="Gill Sans"/>
          <w:color w:val="000000"/>
        </w:rPr>
      </w:pPr>
    </w:p>
    <w:p w:rsidR="00316AF7" w:rsidRDefault="00316AF7" w:rsidP="002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w:eastAsiaTheme="minorEastAsia" w:hAnsi="Gill Sans" w:cs="Gill Sans"/>
          <w:color w:val="000000"/>
        </w:rPr>
      </w:pPr>
    </w:p>
    <w:p w:rsidR="00316AF7" w:rsidRDefault="00316AF7" w:rsidP="002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w:eastAsiaTheme="minorEastAsia" w:hAnsi="Gill Sans" w:cs="Gill Sans"/>
          <w:color w:val="000000"/>
        </w:rPr>
      </w:pPr>
    </w:p>
    <w:p w:rsidR="002B3E23" w:rsidRDefault="002B3E23" w:rsidP="002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w:eastAsiaTheme="minorEastAsia" w:hAnsi="Gill Sans" w:cs="Gill Sans"/>
          <w:color w:val="000000"/>
        </w:rPr>
      </w:pPr>
    </w:p>
    <w:p w:rsidR="002B3E23" w:rsidRDefault="002B3E23" w:rsidP="002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w:eastAsiaTheme="minorEastAsia" w:hAnsi="Gill Sans" w:cs="Gill Sans"/>
          <w:i/>
          <w:iCs/>
          <w:color w:val="000000"/>
        </w:rPr>
      </w:pPr>
      <w:r>
        <w:rPr>
          <w:rFonts w:ascii="Gill Sans" w:eastAsiaTheme="minorEastAsia" w:hAnsi="Gill Sans" w:cs="Gill Sans"/>
          <w:i/>
          <w:iCs/>
          <w:color w:val="000000"/>
        </w:rPr>
        <w:t xml:space="preserve">AUTHORS: </w:t>
      </w:r>
      <w:r w:rsidR="006C52CD">
        <w:rPr>
          <w:rFonts w:ascii="Gill Sans" w:eastAsiaTheme="minorEastAsia" w:hAnsi="Gill Sans" w:cs="Gill Sans"/>
          <w:i/>
          <w:iCs/>
          <w:color w:val="000000"/>
        </w:rPr>
        <w:t>Natalie Bradshaw</w:t>
      </w:r>
      <w:r w:rsidR="001F29B7">
        <w:rPr>
          <w:rFonts w:ascii="Gill Sans" w:eastAsiaTheme="minorEastAsia" w:hAnsi="Gill Sans" w:cs="Gill Sans"/>
          <w:i/>
          <w:iCs/>
          <w:color w:val="000000"/>
        </w:rPr>
        <w:t>, Lindsay Ash</w:t>
      </w:r>
    </w:p>
    <w:p w:rsidR="002B3E23" w:rsidRDefault="002B3E23" w:rsidP="002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w:eastAsiaTheme="minorEastAsia" w:hAnsi="Gill Sans" w:cs="Gill Sans"/>
          <w:i/>
          <w:iCs/>
          <w:color w:val="000000"/>
        </w:rPr>
      </w:pPr>
    </w:p>
    <w:p w:rsidR="002B3E23" w:rsidRDefault="002B3E23" w:rsidP="002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w:eastAsiaTheme="minorEastAsia" w:hAnsi="Gill Sans" w:cs="Gill Sans"/>
          <w:i/>
          <w:iCs/>
          <w:color w:val="000000"/>
        </w:rPr>
      </w:pPr>
      <w:r>
        <w:rPr>
          <w:rFonts w:ascii="Gill Sans" w:eastAsiaTheme="minorEastAsia" w:hAnsi="Gill Sans" w:cs="Gill Sans"/>
          <w:i/>
          <w:iCs/>
          <w:color w:val="000000"/>
        </w:rPr>
        <w:t xml:space="preserve">DATE: </w:t>
      </w:r>
      <w:r w:rsidR="00445559">
        <w:rPr>
          <w:rFonts w:ascii="Gill Sans" w:eastAsiaTheme="minorEastAsia" w:hAnsi="Gill Sans" w:cs="Gill Sans"/>
          <w:i/>
          <w:iCs/>
          <w:color w:val="000000"/>
        </w:rPr>
        <w:t>9</w:t>
      </w:r>
      <w:r w:rsidR="0078610B">
        <w:rPr>
          <w:rFonts w:ascii="Gill Sans" w:eastAsiaTheme="minorEastAsia" w:hAnsi="Gill Sans" w:cs="Gill Sans"/>
          <w:i/>
          <w:iCs/>
          <w:color w:val="000000"/>
        </w:rPr>
        <w:t xml:space="preserve"> May 2013</w:t>
      </w:r>
    </w:p>
    <w:p w:rsidR="006C52CD" w:rsidRPr="00D9095C" w:rsidRDefault="006C52CD" w:rsidP="006C52CD">
      <w:pPr>
        <w:jc w:val="both"/>
        <w:rPr>
          <w:rFonts w:ascii="Gill Sans" w:hAnsi="Gill Sans" w:cs="Gill Sans"/>
          <w:b/>
          <w:sz w:val="26"/>
          <w:szCs w:val="26"/>
        </w:rPr>
      </w:pPr>
      <w:r w:rsidRPr="00D9095C">
        <w:rPr>
          <w:rFonts w:ascii="Gill Sans" w:hAnsi="Gill Sans" w:cs="Gill Sans"/>
          <w:b/>
          <w:sz w:val="26"/>
          <w:szCs w:val="26"/>
        </w:rPr>
        <w:lastRenderedPageBreak/>
        <w:t>Submission on the Housing Payments Deduction Scheme and the draft Social Security Legislation Amendment (Public Housing Tenants’ Support) Bill 2013 including associated instruments</w:t>
      </w:r>
    </w:p>
    <w:p w:rsidR="002B3E23" w:rsidRDefault="002B3E23" w:rsidP="00C7738E">
      <w:pPr>
        <w:jc w:val="both"/>
        <w:rPr>
          <w:rFonts w:ascii="Gill Sans" w:hAnsi="Gill Sans" w:cs="Gill Sans"/>
          <w:b/>
        </w:rPr>
      </w:pPr>
    </w:p>
    <w:p w:rsidR="005E00B9" w:rsidRDefault="005E00B9" w:rsidP="00C7738E">
      <w:pPr>
        <w:jc w:val="both"/>
        <w:rPr>
          <w:rFonts w:ascii="Gill Sans" w:hAnsi="Gill Sans" w:cs="Gill Sans"/>
          <w:b/>
        </w:rPr>
      </w:pPr>
    </w:p>
    <w:p w:rsidR="004C1C92" w:rsidRPr="006F626A" w:rsidRDefault="0078610B" w:rsidP="00C7738E">
      <w:pPr>
        <w:jc w:val="both"/>
        <w:rPr>
          <w:rFonts w:ascii="Gill Sans" w:eastAsia="ヒラギノ角ゴ Pro W3" w:hAnsi="Gill Sans" w:cs="Gill Sans"/>
          <w:b/>
          <w:color w:val="000000"/>
        </w:rPr>
      </w:pPr>
      <w:r>
        <w:rPr>
          <w:rFonts w:ascii="Gill Sans" w:hAnsi="Gill Sans" w:cs="Gill Sans"/>
          <w:b/>
        </w:rPr>
        <w:t>May 2013</w:t>
      </w:r>
    </w:p>
    <w:p w:rsidR="004C1C92" w:rsidRDefault="004C1C92" w:rsidP="00AE766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hAnsi="Gill Sans" w:cs="Gill Sans"/>
          <w:b/>
          <w:szCs w:val="24"/>
        </w:rPr>
      </w:pPr>
    </w:p>
    <w:p w:rsidR="00C7738E" w:rsidRDefault="00C7738E" w:rsidP="00AE766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hAnsi="Gill Sans" w:cs="Gill Sans"/>
          <w:b/>
          <w:szCs w:val="24"/>
        </w:rPr>
      </w:pPr>
    </w:p>
    <w:p w:rsidR="00C7738E" w:rsidRDefault="00C7738E" w:rsidP="00E346A1">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hAnsi="Gill Sans" w:cs="Gill Sans"/>
          <w:b/>
          <w:szCs w:val="24"/>
        </w:rPr>
      </w:pPr>
      <w:r>
        <w:rPr>
          <w:rFonts w:ascii="Gill Sans" w:hAnsi="Gill Sans" w:cs="Gill Sans"/>
          <w:b/>
          <w:szCs w:val="24"/>
        </w:rPr>
        <w:t>Introduction</w:t>
      </w:r>
    </w:p>
    <w:p w:rsidR="00C7738E" w:rsidRPr="007D0AFA" w:rsidRDefault="00C7738E" w:rsidP="00AE766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hAnsi="Gill Sans" w:cs="Gill Sans"/>
          <w:b/>
          <w:szCs w:val="24"/>
        </w:rPr>
      </w:pPr>
    </w:p>
    <w:p w:rsidR="004C1C92" w:rsidRDefault="004C1C92" w:rsidP="00EE76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hAnsi="Gill Sans" w:cs="Gill Sans"/>
          <w:szCs w:val="24"/>
        </w:rPr>
      </w:pPr>
      <w:proofErr w:type="spellStart"/>
      <w:r w:rsidRPr="007D0AFA">
        <w:rPr>
          <w:rFonts w:ascii="Gill Sans" w:hAnsi="Gill Sans" w:cs="Gill Sans"/>
          <w:szCs w:val="24"/>
        </w:rPr>
        <w:t>Redfern</w:t>
      </w:r>
      <w:proofErr w:type="spellEnd"/>
      <w:r w:rsidRPr="007D0AFA">
        <w:rPr>
          <w:rFonts w:ascii="Gill Sans" w:hAnsi="Gill Sans" w:cs="Gill Sans"/>
          <w:szCs w:val="24"/>
        </w:rPr>
        <w:t xml:space="preserve"> Legal Centre (RLC), established in 197</w:t>
      </w:r>
      <w:r w:rsidR="004D3F05">
        <w:rPr>
          <w:rFonts w:ascii="Gill Sans" w:hAnsi="Gill Sans" w:cs="Gill Sans"/>
          <w:szCs w:val="24"/>
        </w:rPr>
        <w:t>7</w:t>
      </w:r>
      <w:r w:rsidRPr="007D0AFA">
        <w:rPr>
          <w:rFonts w:ascii="Gill Sans" w:hAnsi="Gill Sans" w:cs="Gill Sans"/>
          <w:szCs w:val="24"/>
        </w:rPr>
        <w:t xml:space="preserve">, </w:t>
      </w:r>
      <w:r w:rsidR="00E346A1">
        <w:rPr>
          <w:rFonts w:ascii="Gill Sans" w:hAnsi="Gill Sans" w:cs="Gill Sans"/>
          <w:szCs w:val="24"/>
        </w:rPr>
        <w:t>is an independent, non</w:t>
      </w:r>
      <w:r w:rsidR="00E346A1">
        <w:rPr>
          <w:rFonts w:ascii="Gill Sans" w:hAnsi="Gill Sans" w:cs="Gill Sans"/>
          <w:szCs w:val="24"/>
        </w:rPr>
        <w:noBreakHyphen/>
      </w:r>
      <w:r w:rsidR="006C52CD">
        <w:rPr>
          <w:rFonts w:ascii="Gill Sans" w:hAnsi="Gill Sans" w:cs="Gill Sans"/>
          <w:szCs w:val="24"/>
        </w:rPr>
        <w:t xml:space="preserve">profit, community based legal organisation. We provide free legal advice to people in Botany, </w:t>
      </w:r>
      <w:proofErr w:type="spellStart"/>
      <w:r w:rsidR="006C52CD">
        <w:rPr>
          <w:rFonts w:ascii="Gill Sans" w:hAnsi="Gill Sans" w:cs="Gill Sans"/>
          <w:szCs w:val="24"/>
        </w:rPr>
        <w:t>Leichhardt</w:t>
      </w:r>
      <w:proofErr w:type="spellEnd"/>
      <w:r w:rsidR="006C52CD">
        <w:rPr>
          <w:rFonts w:ascii="Gill Sans" w:hAnsi="Gill Sans" w:cs="Gill Sans"/>
          <w:szCs w:val="24"/>
        </w:rPr>
        <w:t xml:space="preserve"> and Sydney local government areas. RLC</w:t>
      </w:r>
      <w:r w:rsidRPr="007D0AFA">
        <w:rPr>
          <w:rFonts w:ascii="Gill Sans" w:hAnsi="Gill Sans" w:cs="Gill Sans"/>
          <w:szCs w:val="24"/>
        </w:rPr>
        <w:t xml:space="preserve"> </w:t>
      </w:r>
      <w:r w:rsidR="001F29B7">
        <w:rPr>
          <w:rFonts w:ascii="Gill Sans" w:hAnsi="Gill Sans" w:cs="Gill Sans"/>
          <w:szCs w:val="24"/>
        </w:rPr>
        <w:t xml:space="preserve">has </w:t>
      </w:r>
      <w:r w:rsidRPr="007D0AFA">
        <w:rPr>
          <w:rFonts w:ascii="Gill Sans" w:hAnsi="Gill Sans" w:cs="Gill Sans"/>
          <w:szCs w:val="24"/>
        </w:rPr>
        <w:t xml:space="preserve">a </w:t>
      </w:r>
      <w:r w:rsidR="006C52CD">
        <w:rPr>
          <w:rFonts w:ascii="Gill Sans" w:hAnsi="Gill Sans" w:cs="Gill Sans"/>
          <w:szCs w:val="24"/>
        </w:rPr>
        <w:t xml:space="preserve">long </w:t>
      </w:r>
      <w:r w:rsidRPr="007D0AFA">
        <w:rPr>
          <w:rFonts w:ascii="Gill Sans" w:hAnsi="Gill Sans" w:cs="Gill Sans"/>
          <w:szCs w:val="24"/>
        </w:rPr>
        <w:t xml:space="preserve">history of providing </w:t>
      </w:r>
      <w:r w:rsidR="00F1525C">
        <w:rPr>
          <w:rFonts w:ascii="Gill Sans" w:hAnsi="Gill Sans" w:cs="Gill Sans"/>
          <w:szCs w:val="24"/>
        </w:rPr>
        <w:t xml:space="preserve">legal </w:t>
      </w:r>
      <w:r w:rsidRPr="007D0AFA">
        <w:rPr>
          <w:rFonts w:ascii="Gill Sans" w:hAnsi="Gill Sans" w:cs="Gill Sans"/>
          <w:szCs w:val="24"/>
        </w:rPr>
        <w:t xml:space="preserve">advice to tenants, </w:t>
      </w:r>
      <w:r w:rsidR="006C52CD">
        <w:rPr>
          <w:rFonts w:ascii="Gill Sans" w:hAnsi="Gill Sans" w:cs="Gill Sans"/>
          <w:szCs w:val="24"/>
        </w:rPr>
        <w:t xml:space="preserve">particularly </w:t>
      </w:r>
      <w:r w:rsidR="0083491D">
        <w:rPr>
          <w:rFonts w:ascii="Gill Sans" w:hAnsi="Gill Sans" w:cs="Gill Sans"/>
          <w:szCs w:val="24"/>
        </w:rPr>
        <w:t>public</w:t>
      </w:r>
      <w:r w:rsidR="006C52CD">
        <w:rPr>
          <w:rFonts w:ascii="Gill Sans" w:hAnsi="Gill Sans" w:cs="Gill Sans"/>
          <w:szCs w:val="24"/>
        </w:rPr>
        <w:t xml:space="preserve"> housing tenants, in the inner city area of Sydney.</w:t>
      </w:r>
      <w:r w:rsidR="00F1525C">
        <w:rPr>
          <w:rFonts w:ascii="Gill Sans" w:hAnsi="Gill Sans" w:cs="Gill Sans"/>
          <w:szCs w:val="24"/>
        </w:rPr>
        <w:t xml:space="preserve">  Since </w:t>
      </w:r>
      <w:r w:rsidRPr="007D0AFA">
        <w:rPr>
          <w:rFonts w:ascii="Gill Sans" w:hAnsi="Gill Sans" w:cs="Gill Sans"/>
          <w:szCs w:val="24"/>
        </w:rPr>
        <w:t xml:space="preserve">1995 </w:t>
      </w:r>
      <w:r w:rsidR="00F86BDD">
        <w:rPr>
          <w:rFonts w:ascii="Gill Sans" w:hAnsi="Gill Sans" w:cs="Gill Sans"/>
          <w:szCs w:val="24"/>
        </w:rPr>
        <w:t>RLC</w:t>
      </w:r>
      <w:r w:rsidRPr="007D0AFA">
        <w:rPr>
          <w:rFonts w:ascii="Gill Sans" w:hAnsi="Gill Sans" w:cs="Gill Sans"/>
          <w:szCs w:val="24"/>
        </w:rPr>
        <w:t xml:space="preserve"> has been funded by NSW Fair Trading to run the Inner Sydney Tenants</w:t>
      </w:r>
      <w:r w:rsidR="00F1525C">
        <w:rPr>
          <w:rFonts w:ascii="Gill Sans" w:hAnsi="Gill Sans" w:cs="Gill Sans"/>
          <w:szCs w:val="24"/>
        </w:rPr>
        <w:t xml:space="preserve">’ Advice and Advocacy Service. We also run a credit and debt service to assist clients struggling with financial management and debt.  </w:t>
      </w:r>
    </w:p>
    <w:p w:rsidR="009D2B30" w:rsidRDefault="009D2B30" w:rsidP="004C1C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w:hAnsi="Gill Sans" w:cs="Gill Sans"/>
          <w:szCs w:val="24"/>
        </w:rPr>
      </w:pPr>
    </w:p>
    <w:p w:rsidR="009D2B30" w:rsidRPr="006F626A" w:rsidRDefault="009D2B30" w:rsidP="00E346A1">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w:hAnsi="Gill Sans" w:cs="Gill Sans"/>
          <w:b/>
          <w:szCs w:val="24"/>
        </w:rPr>
      </w:pPr>
      <w:r w:rsidRPr="006F626A">
        <w:rPr>
          <w:rFonts w:ascii="Gill Sans" w:hAnsi="Gill Sans" w:cs="Gill Sans"/>
          <w:b/>
          <w:szCs w:val="24"/>
        </w:rPr>
        <w:t xml:space="preserve">RLC’s work </w:t>
      </w:r>
      <w:r w:rsidR="006C52CD">
        <w:rPr>
          <w:rFonts w:ascii="Gill Sans" w:hAnsi="Gill Sans" w:cs="Gill Sans"/>
          <w:b/>
          <w:szCs w:val="24"/>
        </w:rPr>
        <w:t>with tenants at risk of homelessness</w:t>
      </w:r>
      <w:r w:rsidRPr="006F626A">
        <w:rPr>
          <w:rFonts w:ascii="Gill Sans" w:hAnsi="Gill Sans" w:cs="Gill Sans"/>
          <w:b/>
          <w:szCs w:val="24"/>
        </w:rPr>
        <w:t xml:space="preserve"> </w:t>
      </w:r>
    </w:p>
    <w:p w:rsidR="009D2B30" w:rsidRPr="007D0AFA" w:rsidRDefault="009D2B30" w:rsidP="004C1C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w:hAnsi="Gill Sans" w:cs="Gill Sans"/>
          <w:szCs w:val="24"/>
        </w:rPr>
      </w:pPr>
    </w:p>
    <w:p w:rsidR="00885DE4" w:rsidRDefault="004C1C92" w:rsidP="00857CF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hAnsi="Gill Sans" w:cs="Gill Sans"/>
          <w:szCs w:val="24"/>
        </w:rPr>
      </w:pPr>
      <w:proofErr w:type="spellStart"/>
      <w:r w:rsidRPr="007D0AFA">
        <w:rPr>
          <w:rFonts w:ascii="Gill Sans" w:hAnsi="Gill Sans" w:cs="Gill Sans"/>
          <w:szCs w:val="24"/>
        </w:rPr>
        <w:t>Redfern</w:t>
      </w:r>
      <w:proofErr w:type="spellEnd"/>
      <w:r w:rsidRPr="007D0AFA">
        <w:rPr>
          <w:rFonts w:ascii="Gill Sans" w:hAnsi="Gill Sans" w:cs="Gill Sans"/>
          <w:szCs w:val="24"/>
        </w:rPr>
        <w:t xml:space="preserve"> Legal Centre has been </w:t>
      </w:r>
      <w:r w:rsidR="00F1525C">
        <w:rPr>
          <w:rFonts w:ascii="Gill Sans" w:hAnsi="Gill Sans" w:cs="Gill Sans"/>
          <w:szCs w:val="24"/>
        </w:rPr>
        <w:t xml:space="preserve">working with </w:t>
      </w:r>
      <w:r w:rsidR="00445559">
        <w:rPr>
          <w:rFonts w:ascii="Gill Sans" w:hAnsi="Gill Sans" w:cs="Gill Sans"/>
          <w:szCs w:val="24"/>
        </w:rPr>
        <w:t xml:space="preserve">and advocating </w:t>
      </w:r>
      <w:r w:rsidR="00F1525C">
        <w:rPr>
          <w:rFonts w:ascii="Gill Sans" w:hAnsi="Gill Sans" w:cs="Gill Sans"/>
          <w:szCs w:val="24"/>
        </w:rPr>
        <w:t xml:space="preserve">for tenants at risk of homelessness for </w:t>
      </w:r>
      <w:r w:rsidR="00885DE4">
        <w:rPr>
          <w:rFonts w:ascii="Gill Sans" w:hAnsi="Gill Sans" w:cs="Gill Sans"/>
          <w:szCs w:val="24"/>
        </w:rPr>
        <w:t xml:space="preserve">over </w:t>
      </w:r>
      <w:r w:rsidR="00F1525C">
        <w:rPr>
          <w:rFonts w:ascii="Gill Sans" w:hAnsi="Gill Sans" w:cs="Gill Sans"/>
          <w:szCs w:val="24"/>
        </w:rPr>
        <w:t>20 years</w:t>
      </w:r>
      <w:r w:rsidRPr="007D0AFA">
        <w:rPr>
          <w:rFonts w:ascii="Gill Sans" w:hAnsi="Gill Sans" w:cs="Gill Sans"/>
          <w:szCs w:val="24"/>
        </w:rPr>
        <w:t>.</w:t>
      </w:r>
      <w:r w:rsidR="00F1525C">
        <w:rPr>
          <w:rFonts w:ascii="Gill Sans" w:hAnsi="Gill Sans" w:cs="Gill Sans"/>
          <w:szCs w:val="24"/>
        </w:rPr>
        <w:t xml:space="preserve"> </w:t>
      </w:r>
      <w:r w:rsidR="00D9095C">
        <w:rPr>
          <w:rFonts w:ascii="Gill Sans" w:hAnsi="Gill Sans" w:cs="Gill Sans"/>
          <w:szCs w:val="24"/>
        </w:rPr>
        <w:t>Over that time we</w:t>
      </w:r>
      <w:r w:rsidR="00667689">
        <w:rPr>
          <w:rFonts w:ascii="Gill Sans" w:hAnsi="Gill Sans" w:cs="Gill Sans"/>
          <w:szCs w:val="24"/>
        </w:rPr>
        <w:t xml:space="preserve"> have </w:t>
      </w:r>
      <w:r w:rsidR="001F29B7">
        <w:rPr>
          <w:rFonts w:ascii="Gill Sans" w:hAnsi="Gill Sans" w:cs="Gill Sans"/>
          <w:szCs w:val="24"/>
        </w:rPr>
        <w:t>assisted</w:t>
      </w:r>
      <w:r w:rsidR="00667689">
        <w:rPr>
          <w:rFonts w:ascii="Gill Sans" w:hAnsi="Gill Sans" w:cs="Gill Sans"/>
          <w:szCs w:val="24"/>
        </w:rPr>
        <w:t xml:space="preserve"> a large number of tenants who have fallen into arrears to successfully negotiate </w:t>
      </w:r>
      <w:r w:rsidR="00D9095C">
        <w:rPr>
          <w:rFonts w:ascii="Gill Sans" w:hAnsi="Gill Sans" w:cs="Gill Sans"/>
          <w:szCs w:val="24"/>
        </w:rPr>
        <w:t xml:space="preserve">repayment </w:t>
      </w:r>
      <w:r w:rsidR="00445559">
        <w:rPr>
          <w:rFonts w:ascii="Gill Sans" w:hAnsi="Gill Sans" w:cs="Gill Sans"/>
          <w:szCs w:val="24"/>
        </w:rPr>
        <w:t xml:space="preserve">plans </w:t>
      </w:r>
      <w:r w:rsidR="00667689">
        <w:rPr>
          <w:rFonts w:ascii="Gill Sans" w:hAnsi="Gill Sans" w:cs="Gill Sans"/>
          <w:szCs w:val="24"/>
        </w:rPr>
        <w:t>with their landlords</w:t>
      </w:r>
      <w:r w:rsidR="00445559">
        <w:rPr>
          <w:rFonts w:ascii="Gill Sans" w:hAnsi="Gill Sans" w:cs="Gill Sans"/>
          <w:szCs w:val="24"/>
        </w:rPr>
        <w:t>,</w:t>
      </w:r>
      <w:r w:rsidR="00667689">
        <w:rPr>
          <w:rFonts w:ascii="Gill Sans" w:hAnsi="Gill Sans" w:cs="Gill Sans"/>
          <w:szCs w:val="24"/>
        </w:rPr>
        <w:t xml:space="preserve"> keeping their tenancies </w:t>
      </w:r>
      <w:r w:rsidR="00445559">
        <w:rPr>
          <w:rFonts w:ascii="Gill Sans" w:hAnsi="Gill Sans" w:cs="Gill Sans"/>
          <w:szCs w:val="24"/>
        </w:rPr>
        <w:t>on foot</w:t>
      </w:r>
      <w:r w:rsidR="00667689">
        <w:rPr>
          <w:rFonts w:ascii="Gill Sans" w:hAnsi="Gill Sans" w:cs="Gill Sans"/>
          <w:szCs w:val="24"/>
        </w:rPr>
        <w:t xml:space="preserve">. </w:t>
      </w:r>
      <w:r w:rsidR="00885DE4">
        <w:rPr>
          <w:rFonts w:ascii="Gill Sans" w:hAnsi="Gill Sans" w:cs="Gill Sans"/>
          <w:szCs w:val="24"/>
        </w:rPr>
        <w:t xml:space="preserve">We have also seen many matters where </w:t>
      </w:r>
      <w:r w:rsidR="00445559">
        <w:rPr>
          <w:rFonts w:ascii="Gill Sans" w:hAnsi="Gill Sans" w:cs="Gill Sans"/>
          <w:szCs w:val="24"/>
        </w:rPr>
        <w:t>tenants were pursued erroneously for large amounts of money for arrears and other charges that</w:t>
      </w:r>
      <w:r w:rsidR="00885DE4">
        <w:rPr>
          <w:rFonts w:ascii="Gill Sans" w:hAnsi="Gill Sans" w:cs="Gill Sans"/>
          <w:szCs w:val="24"/>
        </w:rPr>
        <w:t xml:space="preserve"> they were never liable to pay.   </w:t>
      </w:r>
    </w:p>
    <w:p w:rsidR="00885DE4" w:rsidRDefault="00885DE4" w:rsidP="00857CF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hAnsi="Gill Sans" w:cs="Gill Sans"/>
          <w:szCs w:val="24"/>
        </w:rPr>
      </w:pPr>
    </w:p>
    <w:p w:rsidR="001B650B" w:rsidRPr="00885DE4" w:rsidRDefault="00667689" w:rsidP="00857CF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hAnsi="Gill Sans" w:cs="Gill Sans"/>
          <w:szCs w:val="24"/>
        </w:rPr>
      </w:pPr>
      <w:r>
        <w:rPr>
          <w:rFonts w:ascii="Gill Sans" w:hAnsi="Gill Sans" w:cs="Gill Sans"/>
          <w:szCs w:val="24"/>
        </w:rPr>
        <w:t xml:space="preserve">Our position is that </w:t>
      </w:r>
      <w:r w:rsidR="0083491D">
        <w:rPr>
          <w:rFonts w:ascii="Gill Sans" w:hAnsi="Gill Sans" w:cs="Gill Sans"/>
          <w:szCs w:val="24"/>
        </w:rPr>
        <w:t xml:space="preserve">there are multiple causes and circumstances that might lead to a tenant falling into arrears, and that </w:t>
      </w:r>
      <w:r>
        <w:rPr>
          <w:rFonts w:ascii="Gill Sans" w:hAnsi="Gill Sans" w:cs="Gill Sans"/>
          <w:szCs w:val="24"/>
        </w:rPr>
        <w:t xml:space="preserve">sustaining a </w:t>
      </w:r>
      <w:r w:rsidR="0083491D">
        <w:rPr>
          <w:rFonts w:ascii="Gill Sans" w:hAnsi="Gill Sans" w:cs="Gill Sans"/>
          <w:szCs w:val="24"/>
        </w:rPr>
        <w:t>public housing tenancy</w:t>
      </w:r>
      <w:r>
        <w:rPr>
          <w:rFonts w:ascii="Gill Sans" w:hAnsi="Gill Sans" w:cs="Gill Sans"/>
          <w:szCs w:val="24"/>
        </w:rPr>
        <w:t xml:space="preserve"> requ</w:t>
      </w:r>
      <w:r w:rsidR="0083491D">
        <w:rPr>
          <w:rFonts w:ascii="Gill Sans" w:hAnsi="Gill Sans" w:cs="Gill Sans"/>
          <w:szCs w:val="24"/>
        </w:rPr>
        <w:t>ires an individualised, flexible approach to address those causes. Public</w:t>
      </w:r>
      <w:r w:rsidR="00D9095C">
        <w:rPr>
          <w:rFonts w:ascii="Gill Sans" w:hAnsi="Gill Sans" w:cs="Gill Sans"/>
          <w:szCs w:val="24"/>
        </w:rPr>
        <w:t xml:space="preserve"> housing tenants are particularly vulnerable and par</w:t>
      </w:r>
      <w:r w:rsidR="00D7232E">
        <w:rPr>
          <w:rFonts w:ascii="Gill Sans" w:hAnsi="Gill Sans" w:cs="Gill Sans"/>
          <w:szCs w:val="24"/>
        </w:rPr>
        <w:t>ticularly in need of support</w:t>
      </w:r>
      <w:r w:rsidR="0093252B">
        <w:rPr>
          <w:rFonts w:ascii="Gill Sans" w:hAnsi="Gill Sans" w:cs="Gill Sans"/>
          <w:szCs w:val="24"/>
        </w:rPr>
        <w:t xml:space="preserve"> in challenging</w:t>
      </w:r>
      <w:r w:rsidR="00D9629E">
        <w:rPr>
          <w:rFonts w:ascii="Gill Sans" w:hAnsi="Gill Sans" w:cs="Gill Sans"/>
          <w:szCs w:val="24"/>
        </w:rPr>
        <w:t xml:space="preserve"> or disputing</w:t>
      </w:r>
      <w:r w:rsidR="0093252B">
        <w:rPr>
          <w:rFonts w:ascii="Gill Sans" w:hAnsi="Gill Sans" w:cs="Gill Sans"/>
          <w:szCs w:val="24"/>
        </w:rPr>
        <w:t xml:space="preserve"> an alleged debt.</w:t>
      </w:r>
      <w:r w:rsidR="001F29B7">
        <w:rPr>
          <w:rFonts w:ascii="Gill Sans" w:hAnsi="Gill Sans" w:cs="Gill Sans"/>
          <w:szCs w:val="24"/>
        </w:rPr>
        <w:t xml:space="preserve"> A scheme that gives public housing tenants even less control over their rental payments and makes it even more difficult to contest their alleged liabilities</w:t>
      </w:r>
      <w:r w:rsidR="002E20BC">
        <w:rPr>
          <w:rFonts w:ascii="Gill Sans" w:hAnsi="Gill Sans" w:cs="Gill Sans"/>
          <w:szCs w:val="24"/>
        </w:rPr>
        <w:t xml:space="preserve"> is not an appropriate</w:t>
      </w:r>
      <w:r w:rsidR="00732051">
        <w:rPr>
          <w:rFonts w:ascii="Gill Sans" w:hAnsi="Gill Sans" w:cs="Gill Sans"/>
          <w:szCs w:val="24"/>
        </w:rPr>
        <w:t xml:space="preserve"> solution</w:t>
      </w:r>
      <w:r w:rsidR="00445559">
        <w:rPr>
          <w:rFonts w:ascii="Gill Sans" w:hAnsi="Gill Sans" w:cs="Gill Sans"/>
          <w:szCs w:val="24"/>
        </w:rPr>
        <w:t xml:space="preserve"> in the circumstances. The Housing Payments Deduction Scheme</w:t>
      </w:r>
      <w:r w:rsidR="00732051">
        <w:rPr>
          <w:rFonts w:ascii="Gill Sans" w:hAnsi="Gill Sans" w:cs="Gill Sans"/>
          <w:szCs w:val="24"/>
        </w:rPr>
        <w:t xml:space="preserve"> </w:t>
      </w:r>
      <w:r w:rsidR="00445559">
        <w:rPr>
          <w:rFonts w:ascii="Gill Sans" w:hAnsi="Gill Sans" w:cs="Gill Sans"/>
          <w:szCs w:val="24"/>
        </w:rPr>
        <w:t xml:space="preserve">has the potential </w:t>
      </w:r>
      <w:r w:rsidR="00691ECF">
        <w:rPr>
          <w:rFonts w:ascii="Gill Sans" w:hAnsi="Gill Sans" w:cs="Gill Sans"/>
          <w:szCs w:val="24"/>
        </w:rPr>
        <w:t xml:space="preserve">to prevent tenants from </w:t>
      </w:r>
      <w:r w:rsidR="00445559">
        <w:rPr>
          <w:rFonts w:ascii="Gill Sans" w:hAnsi="Gill Sans" w:cs="Gill Sans"/>
          <w:szCs w:val="24"/>
        </w:rPr>
        <w:t xml:space="preserve">independently </w:t>
      </w:r>
      <w:r w:rsidR="00691ECF">
        <w:rPr>
          <w:rFonts w:ascii="Gill Sans" w:hAnsi="Gill Sans" w:cs="Gill Sans"/>
          <w:szCs w:val="24"/>
        </w:rPr>
        <w:t>managing</w:t>
      </w:r>
      <w:r w:rsidR="005E3CB0">
        <w:rPr>
          <w:rFonts w:ascii="Gill Sans" w:hAnsi="Gill Sans" w:cs="Gill Sans"/>
          <w:szCs w:val="24"/>
        </w:rPr>
        <w:t xml:space="preserve"> their financial situations</w:t>
      </w:r>
      <w:r w:rsidR="00732051">
        <w:rPr>
          <w:rFonts w:ascii="Gill Sans" w:hAnsi="Gill Sans" w:cs="Gill Sans"/>
          <w:szCs w:val="24"/>
        </w:rPr>
        <w:t xml:space="preserve"> and </w:t>
      </w:r>
      <w:r w:rsidR="00831E57">
        <w:rPr>
          <w:rFonts w:ascii="Gill Sans" w:hAnsi="Gill Sans" w:cs="Gill Sans"/>
          <w:szCs w:val="24"/>
        </w:rPr>
        <w:t>t</w:t>
      </w:r>
      <w:r w:rsidR="00691ECF">
        <w:rPr>
          <w:rFonts w:ascii="Gill Sans" w:hAnsi="Gill Sans" w:cs="Gill Sans"/>
          <w:szCs w:val="24"/>
        </w:rPr>
        <w:t>aking the necessary steps to</w:t>
      </w:r>
      <w:r w:rsidR="00831E57">
        <w:rPr>
          <w:rFonts w:ascii="Gill Sans" w:hAnsi="Gill Sans" w:cs="Gill Sans"/>
          <w:szCs w:val="24"/>
        </w:rPr>
        <w:t xml:space="preserve"> </w:t>
      </w:r>
      <w:r w:rsidR="00732051">
        <w:rPr>
          <w:rFonts w:ascii="Gill Sans" w:hAnsi="Gill Sans" w:cs="Gill Sans"/>
          <w:szCs w:val="24"/>
        </w:rPr>
        <w:t xml:space="preserve">avoid the risk of </w:t>
      </w:r>
      <w:r w:rsidR="002E20BC">
        <w:rPr>
          <w:rFonts w:ascii="Gill Sans" w:hAnsi="Gill Sans" w:cs="Gill Sans"/>
          <w:szCs w:val="24"/>
        </w:rPr>
        <w:t>homelessness.</w:t>
      </w:r>
    </w:p>
    <w:p w:rsidR="001B650B" w:rsidRDefault="001B650B" w:rsidP="001B65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hAnsi="Gill Sans" w:cs="Gill Sans"/>
          <w:i/>
          <w:szCs w:val="24"/>
        </w:rPr>
      </w:pPr>
    </w:p>
    <w:p w:rsidR="00F7321A" w:rsidRDefault="00F7321A" w:rsidP="00E346A1">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hAnsi="Gill Sans" w:cs="Gill Sans"/>
          <w:b/>
          <w:szCs w:val="24"/>
        </w:rPr>
      </w:pPr>
      <w:r>
        <w:rPr>
          <w:rFonts w:ascii="Gill Sans" w:hAnsi="Gill Sans" w:cs="Gill Sans"/>
          <w:b/>
          <w:szCs w:val="24"/>
        </w:rPr>
        <w:t>Our view in summary</w:t>
      </w:r>
    </w:p>
    <w:p w:rsidR="00F7321A" w:rsidRPr="00F7321A" w:rsidRDefault="00F7321A" w:rsidP="001B65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hAnsi="Gill Sans" w:cs="Gill Sans"/>
          <w:b/>
          <w:szCs w:val="24"/>
        </w:rPr>
      </w:pPr>
    </w:p>
    <w:p w:rsidR="001B650B" w:rsidRPr="00C47843" w:rsidRDefault="00667689" w:rsidP="001B65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hAnsi="Gill Sans" w:cs="Gill Sans"/>
          <w:szCs w:val="24"/>
        </w:rPr>
      </w:pPr>
      <w:proofErr w:type="spellStart"/>
      <w:r>
        <w:rPr>
          <w:rFonts w:ascii="Gill Sans" w:hAnsi="Gill Sans" w:cs="Gill Sans"/>
          <w:szCs w:val="24"/>
        </w:rPr>
        <w:t>Redfern</w:t>
      </w:r>
      <w:proofErr w:type="spellEnd"/>
      <w:r>
        <w:rPr>
          <w:rFonts w:ascii="Gill Sans" w:hAnsi="Gill Sans" w:cs="Gill Sans"/>
          <w:szCs w:val="24"/>
        </w:rPr>
        <w:t xml:space="preserve"> Legal Centre’s submission is that the Housing Payments Deduction Scheme should </w:t>
      </w:r>
      <w:r w:rsidRPr="00F7321A">
        <w:rPr>
          <w:rFonts w:ascii="Gill Sans" w:hAnsi="Gill Sans" w:cs="Gill Sans"/>
          <w:b/>
          <w:szCs w:val="24"/>
        </w:rPr>
        <w:t>not</w:t>
      </w:r>
      <w:r>
        <w:rPr>
          <w:rFonts w:ascii="Gill Sans" w:hAnsi="Gill Sans" w:cs="Gill Sans"/>
          <w:szCs w:val="24"/>
        </w:rPr>
        <w:t xml:space="preserve"> proceed. Our submission is that the scheme is </w:t>
      </w:r>
      <w:r w:rsidR="00831E57">
        <w:rPr>
          <w:rFonts w:ascii="Gill Sans" w:hAnsi="Gill Sans" w:cs="Gill Sans"/>
          <w:szCs w:val="24"/>
        </w:rPr>
        <w:t xml:space="preserve">not </w:t>
      </w:r>
      <w:r w:rsidR="00D9095C">
        <w:rPr>
          <w:rFonts w:ascii="Gill Sans" w:hAnsi="Gill Sans" w:cs="Gill Sans"/>
          <w:szCs w:val="24"/>
        </w:rPr>
        <w:t xml:space="preserve">sufficiently flexible to provide a real solution for homelessness caused by arrears, has insufficient review mechanisms and </w:t>
      </w:r>
      <w:r w:rsidR="0083491D">
        <w:rPr>
          <w:rFonts w:ascii="Gill Sans" w:hAnsi="Gill Sans" w:cs="Gill Sans"/>
          <w:szCs w:val="24"/>
        </w:rPr>
        <w:t xml:space="preserve">poses a real risk of causing further hardship to the vulnerable people it is designed to protect. </w:t>
      </w:r>
      <w:r>
        <w:rPr>
          <w:rFonts w:ascii="Gill Sans" w:hAnsi="Gill Sans" w:cs="Gill Sans"/>
          <w:szCs w:val="24"/>
        </w:rPr>
        <w:t xml:space="preserve">  </w:t>
      </w:r>
    </w:p>
    <w:p w:rsidR="00762B60" w:rsidRDefault="00762B60" w:rsidP="004C1C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w:eastAsia="Times New Roman" w:hAnsi="Gill Sans" w:cs="Gill Sans"/>
          <w:b/>
          <w:szCs w:val="24"/>
        </w:rPr>
      </w:pPr>
    </w:p>
    <w:p w:rsidR="001F29B7" w:rsidRDefault="001F29B7" w:rsidP="004C1C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w:eastAsia="Times New Roman" w:hAnsi="Gill Sans" w:cs="Gill Sans"/>
          <w:b/>
          <w:szCs w:val="24"/>
        </w:rPr>
      </w:pPr>
    </w:p>
    <w:p w:rsidR="0083491D" w:rsidRDefault="0083491D" w:rsidP="003425AF">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w:eastAsia="Times New Roman" w:hAnsi="Gill Sans" w:cs="Gill Sans"/>
          <w:b/>
          <w:szCs w:val="24"/>
        </w:rPr>
      </w:pPr>
      <w:r>
        <w:rPr>
          <w:rFonts w:ascii="Gill Sans" w:eastAsia="Times New Roman" w:hAnsi="Gill Sans" w:cs="Gill Sans"/>
          <w:b/>
          <w:szCs w:val="24"/>
        </w:rPr>
        <w:lastRenderedPageBreak/>
        <w:t xml:space="preserve">Draft Social Security Legislation Amendment (Public Housing Tenants’ </w:t>
      </w:r>
      <w:r w:rsidR="00885DE4">
        <w:rPr>
          <w:rFonts w:ascii="Gill Sans" w:eastAsia="Times New Roman" w:hAnsi="Gill Sans" w:cs="Gill Sans"/>
          <w:b/>
          <w:szCs w:val="24"/>
        </w:rPr>
        <w:t>Support) Bill 2013</w:t>
      </w:r>
    </w:p>
    <w:p w:rsidR="00885DE4" w:rsidRPr="007D0AFA" w:rsidRDefault="00885DE4" w:rsidP="004C1C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w:hAnsi="Gill Sans" w:cs="Gill Sans"/>
          <w:szCs w:val="24"/>
        </w:rPr>
      </w:pPr>
    </w:p>
    <w:p w:rsidR="00F7321A" w:rsidRDefault="006A7F1B" w:rsidP="00CC5D64">
      <w:pPr>
        <w:jc w:val="both"/>
        <w:rPr>
          <w:rFonts w:ascii="Gill Sans" w:hAnsi="Gill Sans" w:cs="Gill Sans"/>
        </w:rPr>
      </w:pPr>
      <w:proofErr w:type="spellStart"/>
      <w:r>
        <w:rPr>
          <w:rFonts w:ascii="Gill Sans" w:hAnsi="Gill Sans" w:cs="Gill Sans"/>
        </w:rPr>
        <w:t>Redfern</w:t>
      </w:r>
      <w:proofErr w:type="spellEnd"/>
      <w:r>
        <w:rPr>
          <w:rFonts w:ascii="Gill Sans" w:hAnsi="Gill Sans" w:cs="Gill Sans"/>
        </w:rPr>
        <w:t xml:space="preserve"> Legal Centre has read the submission of the Tenants’ Union of New South Wales and supports their position and recommendations. </w:t>
      </w:r>
      <w:r w:rsidR="00885DE4">
        <w:rPr>
          <w:rFonts w:ascii="Gill Sans" w:hAnsi="Gill Sans" w:cs="Gill Sans"/>
        </w:rPr>
        <w:t xml:space="preserve">RLC opposes the power conferred in the legislation </w:t>
      </w:r>
      <w:r w:rsidR="00F7321A">
        <w:rPr>
          <w:rFonts w:ascii="Gill Sans" w:hAnsi="Gill Sans" w:cs="Gill Sans"/>
        </w:rPr>
        <w:t>to</w:t>
      </w:r>
      <w:r w:rsidR="0023675B">
        <w:rPr>
          <w:rFonts w:ascii="Gill Sans" w:hAnsi="Gill Sans" w:cs="Gill Sans"/>
        </w:rPr>
        <w:t xml:space="preserve"> a</w:t>
      </w:r>
      <w:r w:rsidR="00F7321A">
        <w:rPr>
          <w:rFonts w:ascii="Gill Sans" w:hAnsi="Gill Sans" w:cs="Gill Sans"/>
        </w:rPr>
        <w:t xml:space="preserve"> public housing l</w:t>
      </w:r>
      <w:r w:rsidR="00831E57">
        <w:rPr>
          <w:rFonts w:ascii="Gill Sans" w:hAnsi="Gill Sans" w:cs="Gill Sans"/>
        </w:rPr>
        <w:t>andlord</w:t>
      </w:r>
      <w:r w:rsidR="00F7321A">
        <w:rPr>
          <w:rFonts w:ascii="Gill Sans" w:hAnsi="Gill Sans" w:cs="Gill Sans"/>
        </w:rPr>
        <w:t xml:space="preserve"> to request deductions from tenants</w:t>
      </w:r>
      <w:r w:rsidR="00334647">
        <w:rPr>
          <w:rFonts w:ascii="Gill Sans" w:hAnsi="Gill Sans" w:cs="Gill Sans"/>
        </w:rPr>
        <w:t>’</w:t>
      </w:r>
      <w:r w:rsidR="00F7321A">
        <w:rPr>
          <w:rFonts w:ascii="Gill Sans" w:hAnsi="Gill Sans" w:cs="Gill Sans"/>
        </w:rPr>
        <w:t xml:space="preserve"> social security payments when there is an outstand</w:t>
      </w:r>
      <w:r w:rsidR="0002211F">
        <w:rPr>
          <w:rFonts w:ascii="Gill Sans" w:hAnsi="Gill Sans" w:cs="Gill Sans"/>
        </w:rPr>
        <w:t>ing liability due and payable (cl</w:t>
      </w:r>
      <w:r w:rsidR="00F7321A">
        <w:rPr>
          <w:rFonts w:ascii="Gill Sans" w:hAnsi="Gill Sans" w:cs="Gill Sans"/>
        </w:rPr>
        <w:t xml:space="preserve"> 5(1)(a))</w:t>
      </w:r>
      <w:r w:rsidR="00334647">
        <w:rPr>
          <w:rFonts w:ascii="Gill Sans" w:hAnsi="Gill Sans" w:cs="Gill Sans"/>
        </w:rPr>
        <w:t xml:space="preserve"> or even when </w:t>
      </w:r>
      <w:r w:rsidR="00831E57">
        <w:rPr>
          <w:rFonts w:ascii="Gill Sans" w:hAnsi="Gill Sans" w:cs="Gill Sans"/>
        </w:rPr>
        <w:t>the landlord considers</w:t>
      </w:r>
      <w:r w:rsidR="00D7232E">
        <w:rPr>
          <w:rFonts w:ascii="Gill Sans" w:hAnsi="Gill Sans" w:cs="Gill Sans"/>
        </w:rPr>
        <w:t xml:space="preserve"> that there is a ‘risk’ of non</w:t>
      </w:r>
      <w:r w:rsidR="00831E57">
        <w:rPr>
          <w:rFonts w:ascii="Gill Sans" w:hAnsi="Gill Sans" w:cs="Gill Sans"/>
        </w:rPr>
        <w:t>-</w:t>
      </w:r>
      <w:r w:rsidR="00334647">
        <w:rPr>
          <w:rFonts w:ascii="Gill Sans" w:hAnsi="Gill Sans" w:cs="Gill Sans"/>
        </w:rPr>
        <w:t xml:space="preserve">payment of rent or liabilities by that tenant (cl 5(1)(b)). </w:t>
      </w:r>
    </w:p>
    <w:p w:rsidR="00AB41E7" w:rsidRDefault="00AB41E7" w:rsidP="00CC5D64">
      <w:pPr>
        <w:jc w:val="both"/>
        <w:rPr>
          <w:rFonts w:ascii="Gill Sans" w:hAnsi="Gill Sans" w:cs="Gill Sans"/>
        </w:rPr>
      </w:pPr>
    </w:p>
    <w:p w:rsidR="00BC0E21" w:rsidRDefault="00F7321A" w:rsidP="007935E5">
      <w:pPr>
        <w:jc w:val="both"/>
        <w:rPr>
          <w:rFonts w:ascii="Gill Sans" w:hAnsi="Gill Sans" w:cs="Gill Sans"/>
        </w:rPr>
      </w:pPr>
      <w:r>
        <w:rPr>
          <w:rFonts w:ascii="Gill Sans" w:hAnsi="Gill Sans" w:cs="Gill Sans"/>
        </w:rPr>
        <w:t>This</w:t>
      </w:r>
      <w:r w:rsidR="00334647">
        <w:rPr>
          <w:rFonts w:ascii="Gill Sans" w:hAnsi="Gill Sans" w:cs="Gill Sans"/>
        </w:rPr>
        <w:t xml:space="preserve"> is </w:t>
      </w:r>
      <w:r w:rsidR="00BC0E21">
        <w:rPr>
          <w:rFonts w:ascii="Gill Sans" w:hAnsi="Gill Sans" w:cs="Gill Sans"/>
        </w:rPr>
        <w:t xml:space="preserve">an excessive power enabling a public housing landlord to </w:t>
      </w:r>
      <w:r w:rsidR="00D7232E">
        <w:rPr>
          <w:rFonts w:ascii="Gill Sans" w:hAnsi="Gill Sans" w:cs="Gill Sans"/>
        </w:rPr>
        <w:t>deduct from</w:t>
      </w:r>
      <w:r w:rsidR="00BC0E21">
        <w:rPr>
          <w:rFonts w:ascii="Gill Sans" w:hAnsi="Gill Sans" w:cs="Gill Sans"/>
        </w:rPr>
        <w:t xml:space="preserve"> a tenant’s income without appropriate review.</w:t>
      </w:r>
      <w:r w:rsidR="00D7232E">
        <w:rPr>
          <w:rFonts w:ascii="Gill Sans" w:hAnsi="Gill Sans" w:cs="Gill Sans"/>
        </w:rPr>
        <w:t xml:space="preserve"> </w:t>
      </w:r>
    </w:p>
    <w:p w:rsidR="00EE7627" w:rsidRDefault="00BC0E21" w:rsidP="007935E5">
      <w:pPr>
        <w:jc w:val="both"/>
        <w:rPr>
          <w:rFonts w:ascii="Gill Sans" w:hAnsi="Gill Sans" w:cs="Gill Sans"/>
        </w:rPr>
      </w:pPr>
      <w:r>
        <w:rPr>
          <w:rFonts w:ascii="Gill Sans" w:hAnsi="Gill Sans" w:cs="Gill Sans"/>
        </w:rPr>
        <w:t xml:space="preserve"> </w:t>
      </w:r>
    </w:p>
    <w:p w:rsidR="00BC0E21" w:rsidRDefault="00BC0E21" w:rsidP="007935E5">
      <w:pPr>
        <w:jc w:val="both"/>
        <w:rPr>
          <w:rFonts w:ascii="Gill Sans" w:hAnsi="Gill Sans" w:cs="Gill Sans"/>
        </w:rPr>
      </w:pPr>
      <w:r>
        <w:rPr>
          <w:rFonts w:ascii="Gill Sans" w:hAnsi="Gill Sans" w:cs="Gill Sans"/>
        </w:rPr>
        <w:t>The power</w:t>
      </w:r>
      <w:r w:rsidR="00D9629E">
        <w:rPr>
          <w:rFonts w:ascii="Gill Sans" w:hAnsi="Gill Sans" w:cs="Gill Sans"/>
        </w:rPr>
        <w:t xml:space="preserve"> is too broad because it</w:t>
      </w:r>
      <w:r>
        <w:rPr>
          <w:rFonts w:ascii="Gill Sans" w:hAnsi="Gill Sans" w:cs="Gill Sans"/>
        </w:rPr>
        <w:t>:</w:t>
      </w:r>
    </w:p>
    <w:p w:rsidR="003F24CF" w:rsidRDefault="003F24CF" w:rsidP="00BC0E21">
      <w:pPr>
        <w:pStyle w:val="ListParagraph"/>
        <w:numPr>
          <w:ilvl w:val="0"/>
          <w:numId w:val="1"/>
        </w:numPr>
        <w:jc w:val="both"/>
        <w:rPr>
          <w:rFonts w:ascii="Gill Sans" w:hAnsi="Gill Sans" w:cs="Gill Sans"/>
        </w:rPr>
      </w:pPr>
      <w:r>
        <w:rPr>
          <w:rFonts w:ascii="Gill Sans" w:hAnsi="Gill Sans" w:cs="Gill Sans"/>
        </w:rPr>
        <w:t>is based on the provider’s assessment of the tenant’s liability or risk of liability;</w:t>
      </w:r>
    </w:p>
    <w:p w:rsidR="00BC0E21" w:rsidRPr="00BC0E21" w:rsidRDefault="00BC0E21" w:rsidP="00BC0E21">
      <w:pPr>
        <w:pStyle w:val="ListParagraph"/>
        <w:numPr>
          <w:ilvl w:val="0"/>
          <w:numId w:val="1"/>
        </w:numPr>
        <w:jc w:val="both"/>
        <w:rPr>
          <w:rFonts w:ascii="Gill Sans" w:hAnsi="Gill Sans" w:cs="Gill Sans"/>
        </w:rPr>
      </w:pPr>
      <w:r w:rsidRPr="00BC0E21">
        <w:rPr>
          <w:rFonts w:ascii="Gill Sans" w:hAnsi="Gill Sans" w:cs="Gill Sans"/>
        </w:rPr>
        <w:t xml:space="preserve">does not require any determination by a court or </w:t>
      </w:r>
      <w:r>
        <w:rPr>
          <w:rFonts w:ascii="Gill Sans" w:hAnsi="Gill Sans" w:cs="Gill Sans"/>
        </w:rPr>
        <w:t xml:space="preserve">tribunal </w:t>
      </w:r>
      <w:r w:rsidR="003F24CF">
        <w:rPr>
          <w:rFonts w:ascii="Gill Sans" w:hAnsi="Gill Sans" w:cs="Gill Sans"/>
        </w:rPr>
        <w:t>to support</w:t>
      </w:r>
      <w:r>
        <w:rPr>
          <w:rFonts w:ascii="Gill Sans" w:hAnsi="Gill Sans" w:cs="Gill Sans"/>
        </w:rPr>
        <w:t xml:space="preserve"> </w:t>
      </w:r>
      <w:r w:rsidR="003F24CF">
        <w:rPr>
          <w:rFonts w:ascii="Gill Sans" w:hAnsi="Gill Sans" w:cs="Gill Sans"/>
        </w:rPr>
        <w:t>that assessment</w:t>
      </w:r>
      <w:r>
        <w:rPr>
          <w:rFonts w:ascii="Gill Sans" w:hAnsi="Gill Sans" w:cs="Gill Sans"/>
        </w:rPr>
        <w:t>;</w:t>
      </w:r>
      <w:r w:rsidR="0023675B">
        <w:rPr>
          <w:rFonts w:ascii="Gill Sans" w:hAnsi="Gill Sans" w:cs="Gill Sans"/>
        </w:rPr>
        <w:t xml:space="preserve"> and</w:t>
      </w:r>
    </w:p>
    <w:p w:rsidR="00BC0E21" w:rsidRDefault="00BC0E21" w:rsidP="00BC0E21">
      <w:pPr>
        <w:pStyle w:val="ListParagraph"/>
        <w:numPr>
          <w:ilvl w:val="0"/>
          <w:numId w:val="1"/>
        </w:numPr>
        <w:jc w:val="both"/>
        <w:rPr>
          <w:rFonts w:ascii="Gill Sans" w:hAnsi="Gill Sans" w:cs="Gill Sans"/>
        </w:rPr>
      </w:pPr>
      <w:proofErr w:type="gramStart"/>
      <w:r>
        <w:rPr>
          <w:rFonts w:ascii="Gill Sans" w:hAnsi="Gill Sans" w:cs="Gill Sans"/>
        </w:rPr>
        <w:t>puts</w:t>
      </w:r>
      <w:proofErr w:type="gramEnd"/>
      <w:r>
        <w:rPr>
          <w:rFonts w:ascii="Gill Sans" w:hAnsi="Gill Sans" w:cs="Gill Sans"/>
        </w:rPr>
        <w:t xml:space="preserve"> the onus on the tenant to </w:t>
      </w:r>
      <w:r w:rsidR="003F24CF">
        <w:rPr>
          <w:rFonts w:ascii="Gill Sans" w:hAnsi="Gill Sans" w:cs="Gill Sans"/>
        </w:rPr>
        <w:t>challenge the liability or the risk</w:t>
      </w:r>
      <w:r w:rsidR="00AE2BE1">
        <w:rPr>
          <w:rFonts w:ascii="Gill Sans" w:hAnsi="Gill Sans" w:cs="Gill Sans"/>
        </w:rPr>
        <w:t xml:space="preserve"> of liability</w:t>
      </w:r>
      <w:r w:rsidR="00BE4D3E">
        <w:rPr>
          <w:rFonts w:ascii="Gill Sans" w:hAnsi="Gill Sans" w:cs="Gill Sans"/>
        </w:rPr>
        <w:t xml:space="preserve"> to pay</w:t>
      </w:r>
      <w:r w:rsidR="003F24CF">
        <w:rPr>
          <w:rFonts w:ascii="Gill Sans" w:hAnsi="Gill Sans" w:cs="Gill Sans"/>
        </w:rPr>
        <w:t xml:space="preserve">. </w:t>
      </w:r>
    </w:p>
    <w:p w:rsidR="00294762" w:rsidRDefault="00294762" w:rsidP="006366EE">
      <w:pPr>
        <w:jc w:val="both"/>
        <w:rPr>
          <w:rFonts w:ascii="Gill Sans" w:hAnsi="Gill Sans" w:cs="Gill Sans"/>
        </w:rPr>
      </w:pPr>
    </w:p>
    <w:p w:rsidR="00294762" w:rsidRDefault="00294762" w:rsidP="006366EE">
      <w:pPr>
        <w:jc w:val="both"/>
        <w:rPr>
          <w:rFonts w:ascii="Gill Sans" w:hAnsi="Gill Sans" w:cs="Gill Sans"/>
        </w:rPr>
      </w:pPr>
      <w:r>
        <w:rPr>
          <w:rFonts w:ascii="Gill Sans" w:hAnsi="Gill Sans" w:cs="Gill Sans"/>
        </w:rPr>
        <w:t xml:space="preserve">We submit that the requirement </w:t>
      </w:r>
      <w:r w:rsidR="00891203">
        <w:rPr>
          <w:rFonts w:ascii="Gill Sans" w:hAnsi="Gill Sans" w:cs="Gill Sans"/>
        </w:rPr>
        <w:t xml:space="preserve">in cl 5(1)(a)(ii) </w:t>
      </w:r>
      <w:r>
        <w:rPr>
          <w:rFonts w:ascii="Gill Sans" w:hAnsi="Gill Sans" w:cs="Gill Sans"/>
        </w:rPr>
        <w:t xml:space="preserve">that the public housing landlord have taken ‘reasonable action’ to recover </w:t>
      </w:r>
      <w:r w:rsidR="00715C93">
        <w:rPr>
          <w:rFonts w:ascii="Gill Sans" w:hAnsi="Gill Sans" w:cs="Gill Sans"/>
        </w:rPr>
        <w:t xml:space="preserve">the amount before </w:t>
      </w:r>
      <w:r w:rsidR="00BE7446">
        <w:rPr>
          <w:rFonts w:ascii="Gill Sans" w:hAnsi="Gill Sans" w:cs="Gill Sans"/>
        </w:rPr>
        <w:t xml:space="preserve">requesting </w:t>
      </w:r>
      <w:r w:rsidR="00BF67D1">
        <w:rPr>
          <w:rFonts w:ascii="Gill Sans" w:hAnsi="Gill Sans" w:cs="Gill Sans"/>
        </w:rPr>
        <w:t xml:space="preserve">a deduction puts insufficient safeguards </w:t>
      </w:r>
      <w:r w:rsidR="00891203">
        <w:rPr>
          <w:rFonts w:ascii="Gill Sans" w:hAnsi="Gill Sans" w:cs="Gill Sans"/>
        </w:rPr>
        <w:t xml:space="preserve">in place for a tenant to dispute the charges or </w:t>
      </w:r>
      <w:r w:rsidR="006A32C4">
        <w:rPr>
          <w:rFonts w:ascii="Gill Sans" w:hAnsi="Gill Sans" w:cs="Gill Sans"/>
        </w:rPr>
        <w:t xml:space="preserve">in some cases even become aware </w:t>
      </w:r>
      <w:r w:rsidR="004B0047">
        <w:rPr>
          <w:rFonts w:ascii="Gill Sans" w:hAnsi="Gill Sans" w:cs="Gill Sans"/>
        </w:rPr>
        <w:t xml:space="preserve">of the charges before the deduction is authorised. </w:t>
      </w:r>
    </w:p>
    <w:p w:rsidR="00737DC8" w:rsidRDefault="00737DC8" w:rsidP="006366EE">
      <w:pPr>
        <w:jc w:val="both"/>
        <w:rPr>
          <w:rFonts w:ascii="Gill Sans" w:hAnsi="Gill Sans" w:cs="Gill Sans"/>
        </w:rPr>
      </w:pPr>
    </w:p>
    <w:p w:rsidR="00D20D76" w:rsidRPr="006366EE" w:rsidRDefault="0023675B" w:rsidP="006366EE">
      <w:pPr>
        <w:jc w:val="both"/>
        <w:rPr>
          <w:rFonts w:ascii="Gill Sans" w:hAnsi="Gill Sans" w:cs="Gill Sans"/>
        </w:rPr>
      </w:pPr>
      <w:r>
        <w:rPr>
          <w:rFonts w:ascii="Gill Sans" w:hAnsi="Gill Sans" w:cs="Gill Sans"/>
        </w:rPr>
        <w:t>It is our submission that</w:t>
      </w:r>
      <w:r w:rsidR="00D20D76">
        <w:rPr>
          <w:rFonts w:ascii="Gill Sans" w:hAnsi="Gill Sans" w:cs="Gill Sans"/>
        </w:rPr>
        <w:t xml:space="preserve"> </w:t>
      </w:r>
      <w:r w:rsidR="00737DC8">
        <w:rPr>
          <w:rFonts w:ascii="Gill Sans" w:hAnsi="Gill Sans" w:cs="Gill Sans"/>
        </w:rPr>
        <w:t xml:space="preserve">only requiring a public housing landlord to take </w:t>
      </w:r>
      <w:r w:rsidR="00BE7446">
        <w:rPr>
          <w:rFonts w:ascii="Gill Sans" w:hAnsi="Gill Sans" w:cs="Gill Sans"/>
        </w:rPr>
        <w:t>‘</w:t>
      </w:r>
      <w:r w:rsidR="00737DC8">
        <w:rPr>
          <w:rFonts w:ascii="Gill Sans" w:hAnsi="Gill Sans" w:cs="Gill Sans"/>
        </w:rPr>
        <w:t>reasonable action</w:t>
      </w:r>
      <w:r w:rsidR="00BE7446">
        <w:rPr>
          <w:rFonts w:ascii="Gill Sans" w:hAnsi="Gill Sans" w:cs="Gill Sans"/>
        </w:rPr>
        <w:t>’</w:t>
      </w:r>
      <w:r w:rsidR="00737DC8">
        <w:rPr>
          <w:rFonts w:ascii="Gill Sans" w:hAnsi="Gill Sans" w:cs="Gill Sans"/>
        </w:rPr>
        <w:t xml:space="preserve"> before making a request </w:t>
      </w:r>
      <w:r w:rsidR="00BE7446">
        <w:rPr>
          <w:rFonts w:ascii="Gill Sans" w:hAnsi="Gill Sans" w:cs="Gill Sans"/>
        </w:rPr>
        <w:t xml:space="preserve">does not ensure that the Scheme will be used as a last resort. </w:t>
      </w:r>
      <w:r w:rsidR="00BF67D1">
        <w:rPr>
          <w:rFonts w:ascii="Gill Sans" w:hAnsi="Gill Sans" w:cs="Gill Sans"/>
        </w:rPr>
        <w:t>There is a real risk that</w:t>
      </w:r>
      <w:r w:rsidR="00891203">
        <w:rPr>
          <w:rFonts w:ascii="Gill Sans" w:hAnsi="Gill Sans" w:cs="Gill Sans"/>
        </w:rPr>
        <w:t xml:space="preserve"> without a legislated procedure that a landlord must follow to recover the amount </w:t>
      </w:r>
      <w:r w:rsidR="004B0047">
        <w:rPr>
          <w:rFonts w:ascii="Gill Sans" w:hAnsi="Gill Sans" w:cs="Gill Sans"/>
        </w:rPr>
        <w:t>before requesting the deduction</w:t>
      </w:r>
      <w:r w:rsidR="00E72B4F">
        <w:rPr>
          <w:rFonts w:ascii="Gill Sans" w:hAnsi="Gill Sans" w:cs="Gill Sans"/>
        </w:rPr>
        <w:t>,</w:t>
      </w:r>
      <w:r w:rsidR="004B0047">
        <w:rPr>
          <w:rFonts w:ascii="Gill Sans" w:hAnsi="Gill Sans" w:cs="Gill Sans"/>
        </w:rPr>
        <w:t xml:space="preserve"> the Scheme will be used without </w:t>
      </w:r>
      <w:r w:rsidR="004717F9">
        <w:rPr>
          <w:rFonts w:ascii="Gill Sans" w:hAnsi="Gill Sans" w:cs="Gill Sans"/>
        </w:rPr>
        <w:t xml:space="preserve">appropriate measures and timeframes to allow tenants to respond. </w:t>
      </w:r>
      <w:r w:rsidR="004B0047">
        <w:rPr>
          <w:rFonts w:ascii="Gill Sans" w:hAnsi="Gill Sans" w:cs="Gill Sans"/>
        </w:rPr>
        <w:t xml:space="preserve">  </w:t>
      </w:r>
      <w:r w:rsidR="00BF67D1">
        <w:rPr>
          <w:rFonts w:ascii="Gill Sans" w:hAnsi="Gill Sans" w:cs="Gill Sans"/>
        </w:rPr>
        <w:t xml:space="preserve"> </w:t>
      </w:r>
    </w:p>
    <w:p w:rsidR="003F24CF" w:rsidRDefault="003F24CF" w:rsidP="003F24CF">
      <w:pPr>
        <w:jc w:val="both"/>
        <w:rPr>
          <w:rFonts w:ascii="Gill Sans" w:hAnsi="Gill Sans" w:cs="Gill Sans"/>
        </w:rPr>
      </w:pPr>
    </w:p>
    <w:p w:rsidR="003F24CF" w:rsidRDefault="001F29B7" w:rsidP="003F24CF">
      <w:pPr>
        <w:jc w:val="both"/>
        <w:rPr>
          <w:rFonts w:ascii="Gill Sans" w:hAnsi="Gill Sans" w:cs="Gill Sans"/>
          <w:b/>
        </w:rPr>
      </w:pPr>
      <w:r>
        <w:rPr>
          <w:rFonts w:ascii="Gill Sans" w:hAnsi="Gill Sans" w:cs="Gill Sans"/>
          <w:b/>
        </w:rPr>
        <w:t>a) Arrears and p</w:t>
      </w:r>
      <w:r w:rsidR="003F24CF">
        <w:rPr>
          <w:rFonts w:ascii="Gill Sans" w:hAnsi="Gill Sans" w:cs="Gill Sans"/>
          <w:b/>
        </w:rPr>
        <w:t>roving that an amount is payable</w:t>
      </w:r>
    </w:p>
    <w:p w:rsidR="003F24CF" w:rsidRDefault="003F24CF" w:rsidP="003F24CF">
      <w:pPr>
        <w:jc w:val="both"/>
        <w:rPr>
          <w:rFonts w:ascii="Gill Sans" w:hAnsi="Gill Sans" w:cs="Gill Sans"/>
          <w:b/>
        </w:rPr>
      </w:pPr>
    </w:p>
    <w:p w:rsidR="001F29B7" w:rsidRPr="001F29B7" w:rsidRDefault="001F29B7" w:rsidP="001F29B7">
      <w:pPr>
        <w:jc w:val="both"/>
        <w:rPr>
          <w:rFonts w:ascii="Gill Sans" w:hAnsi="Gill Sans" w:cs="Gill Sans"/>
          <w:bCs/>
          <w:lang w:val="en-AU"/>
        </w:rPr>
      </w:pPr>
      <w:r w:rsidRPr="001F29B7">
        <w:rPr>
          <w:rFonts w:ascii="Gill Sans" w:hAnsi="Gill Sans" w:cs="Gill Sans"/>
          <w:lang w:val="en-AU"/>
        </w:rPr>
        <w:t xml:space="preserve">The </w:t>
      </w:r>
      <w:r w:rsidRPr="001F29B7">
        <w:rPr>
          <w:rFonts w:ascii="Gill Sans" w:hAnsi="Gill Sans" w:cs="Gill Sans"/>
          <w:bCs/>
          <w:i/>
          <w:lang w:val="en-AU"/>
        </w:rPr>
        <w:t xml:space="preserve">Social Security (Public Housing Tenants’ Support) Minimum Amount Specification (No. 1) 2013 </w:t>
      </w:r>
      <w:r w:rsidRPr="001F29B7">
        <w:rPr>
          <w:rFonts w:ascii="Gill Sans" w:hAnsi="Gill Sans" w:cs="Gill Sans"/>
          <w:bCs/>
          <w:lang w:val="en-AU"/>
        </w:rPr>
        <w:t xml:space="preserve">specifies the minimum amount of arrears a tenant must have before a public housing landlord can request a welfare payment deduction. </w:t>
      </w:r>
    </w:p>
    <w:p w:rsidR="001F29B7" w:rsidRPr="001F29B7" w:rsidRDefault="001F29B7" w:rsidP="001F29B7">
      <w:pPr>
        <w:jc w:val="both"/>
        <w:rPr>
          <w:rFonts w:ascii="Gill Sans" w:hAnsi="Gill Sans" w:cs="Gill Sans"/>
          <w:bCs/>
          <w:lang w:val="en-AU"/>
        </w:rPr>
      </w:pPr>
    </w:p>
    <w:p w:rsidR="001F29B7" w:rsidRPr="001F29B7" w:rsidRDefault="001F29B7" w:rsidP="001F29B7">
      <w:pPr>
        <w:jc w:val="both"/>
        <w:rPr>
          <w:rFonts w:ascii="Gill Sans" w:hAnsi="Gill Sans" w:cs="Gill Sans"/>
          <w:bCs/>
          <w:lang w:val="en-AU"/>
        </w:rPr>
      </w:pPr>
      <w:r w:rsidRPr="001F29B7">
        <w:rPr>
          <w:rFonts w:ascii="Gill Sans" w:hAnsi="Gill Sans" w:cs="Gill Sans"/>
          <w:bCs/>
          <w:lang w:val="en-AU"/>
        </w:rPr>
        <w:t xml:space="preserve">They are: </w:t>
      </w:r>
    </w:p>
    <w:p w:rsidR="001F29B7" w:rsidRPr="001F29B7" w:rsidRDefault="001F29B7" w:rsidP="001F29B7">
      <w:pPr>
        <w:numPr>
          <w:ilvl w:val="0"/>
          <w:numId w:val="2"/>
        </w:numPr>
        <w:jc w:val="both"/>
        <w:rPr>
          <w:rFonts w:ascii="Gill Sans" w:hAnsi="Gill Sans" w:cs="Gill Sans"/>
          <w:bCs/>
          <w:lang w:val="en-AU"/>
        </w:rPr>
      </w:pPr>
      <w:r w:rsidRPr="001F29B7">
        <w:rPr>
          <w:rFonts w:ascii="Gill Sans" w:hAnsi="Gill Sans" w:cs="Gill Sans"/>
          <w:bCs/>
          <w:lang w:val="en-AU"/>
        </w:rPr>
        <w:t>A minimum amount of $100 that has remained due and payable for at least four weeks; or</w:t>
      </w:r>
    </w:p>
    <w:p w:rsidR="001F29B7" w:rsidRPr="001F29B7" w:rsidRDefault="001F29B7" w:rsidP="001F29B7">
      <w:pPr>
        <w:numPr>
          <w:ilvl w:val="0"/>
          <w:numId w:val="2"/>
        </w:numPr>
        <w:jc w:val="both"/>
        <w:rPr>
          <w:rFonts w:ascii="Gill Sans" w:hAnsi="Gill Sans" w:cs="Gill Sans"/>
          <w:bCs/>
          <w:lang w:val="en-AU"/>
        </w:rPr>
      </w:pPr>
      <w:r w:rsidRPr="001F29B7">
        <w:rPr>
          <w:rFonts w:ascii="Gill Sans" w:hAnsi="Gill Sans" w:cs="Gill Sans"/>
          <w:bCs/>
          <w:lang w:val="en-AU"/>
        </w:rPr>
        <w:t xml:space="preserve">$400 or more in arrears or other liability, regardless of how long the amount has been due and payable. </w:t>
      </w:r>
    </w:p>
    <w:p w:rsidR="001F29B7" w:rsidRPr="001F29B7" w:rsidRDefault="001F29B7" w:rsidP="001F29B7">
      <w:pPr>
        <w:jc w:val="both"/>
        <w:rPr>
          <w:rFonts w:ascii="Gill Sans" w:hAnsi="Gill Sans" w:cs="Gill Sans"/>
          <w:bCs/>
          <w:lang w:val="en-AU"/>
        </w:rPr>
      </w:pPr>
    </w:p>
    <w:p w:rsidR="001F29B7" w:rsidRPr="001F29B7" w:rsidRDefault="001F29B7" w:rsidP="001F29B7">
      <w:pPr>
        <w:jc w:val="both"/>
        <w:rPr>
          <w:rFonts w:ascii="Gill Sans" w:hAnsi="Gill Sans" w:cs="Gill Sans"/>
          <w:bCs/>
          <w:lang w:val="en-AU"/>
        </w:rPr>
      </w:pPr>
      <w:r w:rsidRPr="001F29B7">
        <w:rPr>
          <w:rFonts w:ascii="Gill Sans" w:hAnsi="Gill Sans" w:cs="Gill Sans"/>
          <w:bCs/>
          <w:lang w:val="en-AU"/>
        </w:rPr>
        <w:t xml:space="preserve">A public housing tenant can be exposed to sudden changes in their subsidised rent, which can result in substantial arrears. Under the </w:t>
      </w:r>
      <w:r w:rsidRPr="001F29B7">
        <w:rPr>
          <w:rFonts w:ascii="Gill Sans" w:hAnsi="Gill Sans" w:cs="Gill Sans"/>
          <w:bCs/>
          <w:i/>
          <w:lang w:val="en-AU"/>
        </w:rPr>
        <w:t xml:space="preserve">Housing </w:t>
      </w:r>
      <w:r w:rsidRPr="001F29B7">
        <w:rPr>
          <w:rFonts w:ascii="Gill Sans" w:hAnsi="Gill Sans" w:cs="Gill Sans"/>
          <w:bCs/>
          <w:i/>
          <w:lang w:val="en-AU"/>
        </w:rPr>
        <w:lastRenderedPageBreak/>
        <w:t xml:space="preserve">Act 2001 </w:t>
      </w:r>
      <w:r w:rsidRPr="001F29B7">
        <w:rPr>
          <w:rFonts w:ascii="Gill Sans" w:hAnsi="Gill Sans" w:cs="Gill Sans"/>
          <w:bCs/>
          <w:lang w:val="en-AU"/>
        </w:rPr>
        <w:t xml:space="preserve">in NSW, Housing NSW can cancel a tenant’s rent rebate retrospectively. Essentially, a tenant could be subjected to a liability sufficient to warrant a deduction under the scheme instantaneously upon the cancelling or varying of their subsidy. </w:t>
      </w:r>
    </w:p>
    <w:p w:rsidR="001F29B7" w:rsidRPr="003F24CF" w:rsidRDefault="001F29B7" w:rsidP="003F24CF">
      <w:pPr>
        <w:jc w:val="both"/>
        <w:rPr>
          <w:rFonts w:ascii="Gill Sans" w:hAnsi="Gill Sans" w:cs="Gill Sans"/>
          <w:b/>
        </w:rPr>
      </w:pPr>
    </w:p>
    <w:p w:rsidR="001D56F1" w:rsidRDefault="00FF5FAE" w:rsidP="00CC5D64">
      <w:pPr>
        <w:jc w:val="both"/>
        <w:rPr>
          <w:rFonts w:ascii="Gill Sans" w:hAnsi="Gill Sans" w:cs="Gill Sans"/>
        </w:rPr>
      </w:pPr>
      <w:r>
        <w:rPr>
          <w:rFonts w:ascii="Gill Sans" w:hAnsi="Gill Sans" w:cs="Gill Sans"/>
        </w:rPr>
        <w:t xml:space="preserve">RLC has encountered a number of cases in which </w:t>
      </w:r>
      <w:r w:rsidR="00BE4D3E">
        <w:rPr>
          <w:rFonts w:ascii="Gill Sans" w:hAnsi="Gill Sans" w:cs="Gill Sans"/>
        </w:rPr>
        <w:t xml:space="preserve">a public housing provider </w:t>
      </w:r>
      <w:r w:rsidR="00343F38">
        <w:rPr>
          <w:rFonts w:ascii="Gill Sans" w:hAnsi="Gill Sans" w:cs="Gill Sans"/>
        </w:rPr>
        <w:t xml:space="preserve">has </w:t>
      </w:r>
      <w:r w:rsidR="00BE4D3E">
        <w:rPr>
          <w:rFonts w:ascii="Gill Sans" w:hAnsi="Gill Sans" w:cs="Gill Sans"/>
        </w:rPr>
        <w:t>requested an amount</w:t>
      </w:r>
      <w:r w:rsidR="00BE4D3E" w:rsidRPr="00BE4D3E">
        <w:rPr>
          <w:rFonts w:ascii="Gill Sans" w:hAnsi="Gill Sans" w:cs="Gill Sans"/>
        </w:rPr>
        <w:t xml:space="preserve"> </w:t>
      </w:r>
      <w:r w:rsidR="00BE4D3E">
        <w:rPr>
          <w:rFonts w:ascii="Gill Sans" w:hAnsi="Gill Sans" w:cs="Gill Sans"/>
        </w:rPr>
        <w:t>from a tenant in error</w:t>
      </w:r>
      <w:r>
        <w:rPr>
          <w:rFonts w:ascii="Gill Sans" w:hAnsi="Gill Sans" w:cs="Gill Sans"/>
        </w:rPr>
        <w:t xml:space="preserve">, or </w:t>
      </w:r>
      <w:r w:rsidR="00343F38">
        <w:rPr>
          <w:rFonts w:ascii="Gill Sans" w:hAnsi="Gill Sans" w:cs="Gill Sans"/>
        </w:rPr>
        <w:t xml:space="preserve">has provided </w:t>
      </w:r>
      <w:r>
        <w:rPr>
          <w:rFonts w:ascii="Gill Sans" w:hAnsi="Gill Sans" w:cs="Gill Sans"/>
        </w:rPr>
        <w:t xml:space="preserve">insufficient information for the tenant to determine whether </w:t>
      </w:r>
      <w:r w:rsidR="00BE4D3E">
        <w:rPr>
          <w:rFonts w:ascii="Gill Sans" w:hAnsi="Gill Sans" w:cs="Gill Sans"/>
        </w:rPr>
        <w:t xml:space="preserve">or not </w:t>
      </w:r>
      <w:r>
        <w:rPr>
          <w:rFonts w:ascii="Gill Sans" w:hAnsi="Gill Sans" w:cs="Gill Sans"/>
        </w:rPr>
        <w:t xml:space="preserve">they </w:t>
      </w:r>
      <w:r w:rsidR="0002211F">
        <w:rPr>
          <w:rFonts w:ascii="Gill Sans" w:hAnsi="Gill Sans" w:cs="Gill Sans"/>
        </w:rPr>
        <w:t xml:space="preserve">owed the amount. </w:t>
      </w:r>
      <w:r>
        <w:rPr>
          <w:rFonts w:ascii="Gill Sans" w:hAnsi="Gill Sans" w:cs="Gill Sans"/>
        </w:rPr>
        <w:t xml:space="preserve">The prospect of termination, which often accompanies warning letters, is a strong incentive for tenants to </w:t>
      </w:r>
      <w:r w:rsidR="00D116B3">
        <w:rPr>
          <w:rFonts w:ascii="Gill Sans" w:hAnsi="Gill Sans" w:cs="Gill Sans"/>
        </w:rPr>
        <w:t xml:space="preserve">acquiesce to a request to pay </w:t>
      </w:r>
      <w:r>
        <w:rPr>
          <w:rFonts w:ascii="Gill Sans" w:hAnsi="Gill Sans" w:cs="Gill Sans"/>
        </w:rPr>
        <w:t>even when the charge is</w:t>
      </w:r>
      <w:r w:rsidR="00E72B4F">
        <w:rPr>
          <w:rFonts w:ascii="Gill Sans" w:hAnsi="Gill Sans" w:cs="Gill Sans"/>
        </w:rPr>
        <w:t xml:space="preserve"> disputed or</w:t>
      </w:r>
      <w:r>
        <w:rPr>
          <w:rFonts w:ascii="Gill Sans" w:hAnsi="Gill Sans" w:cs="Gill Sans"/>
        </w:rPr>
        <w:t xml:space="preserve"> unsubstantiated. </w:t>
      </w:r>
      <w:r w:rsidR="0002211F">
        <w:rPr>
          <w:rFonts w:ascii="Gill Sans" w:hAnsi="Gill Sans" w:cs="Gill Sans"/>
        </w:rPr>
        <w:t xml:space="preserve">The proposed Housing </w:t>
      </w:r>
      <w:r w:rsidR="00F03AFA">
        <w:rPr>
          <w:rFonts w:ascii="Gill Sans" w:hAnsi="Gill Sans" w:cs="Gill Sans"/>
        </w:rPr>
        <w:t>Payments Deduction Scheme will</w:t>
      </w:r>
      <w:r w:rsidR="00BE4D3E">
        <w:rPr>
          <w:rFonts w:ascii="Gill Sans" w:hAnsi="Gill Sans" w:cs="Gill Sans"/>
        </w:rPr>
        <w:t xml:space="preserve"> further disadvantage </w:t>
      </w:r>
      <w:r w:rsidR="001D56F1">
        <w:rPr>
          <w:rFonts w:ascii="Gill Sans" w:hAnsi="Gill Sans" w:cs="Gill Sans"/>
        </w:rPr>
        <w:t xml:space="preserve">tenants in this situation by permitting deductions </w:t>
      </w:r>
      <w:r w:rsidR="001A2522">
        <w:rPr>
          <w:rFonts w:ascii="Gill Sans" w:hAnsi="Gill Sans" w:cs="Gill Sans"/>
        </w:rPr>
        <w:t>when the provider considers</w:t>
      </w:r>
      <w:r w:rsidR="00E72B4F">
        <w:rPr>
          <w:rFonts w:ascii="Gill Sans" w:hAnsi="Gill Sans" w:cs="Gill Sans"/>
        </w:rPr>
        <w:t>, without having to prove,</w:t>
      </w:r>
      <w:r w:rsidR="001A2522">
        <w:rPr>
          <w:rFonts w:ascii="Gill Sans" w:hAnsi="Gill Sans" w:cs="Gill Sans"/>
        </w:rPr>
        <w:t xml:space="preserve"> that an amount is due and payable. </w:t>
      </w:r>
      <w:r w:rsidR="00E244CC">
        <w:rPr>
          <w:rFonts w:ascii="Gill Sans" w:hAnsi="Gill Sans" w:cs="Gill Sans"/>
        </w:rPr>
        <w:t xml:space="preserve"> </w:t>
      </w:r>
    </w:p>
    <w:p w:rsidR="00FF5FAE" w:rsidRDefault="00B023F6" w:rsidP="00CC5D64">
      <w:pPr>
        <w:jc w:val="both"/>
        <w:rPr>
          <w:rFonts w:ascii="Gill Sans" w:hAnsi="Gill Sans" w:cs="Gill Sans"/>
        </w:rPr>
      </w:pPr>
      <w:r>
        <w:rPr>
          <w:rFonts w:ascii="Gill Sans" w:hAnsi="Gill Sans" w:cs="Gill Sans"/>
          <w:noProof/>
        </w:rPr>
        <w:pict>
          <v:shapetype id="_x0000_t202" coordsize="21600,21600" o:spt="202" path="m,l,21600r21600,l21600,xe">
            <v:stroke joinstyle="miter"/>
            <v:path gradientshapeok="t" o:connecttype="rect"/>
          </v:shapetype>
          <v:shape id="Text Box 5" o:spid="_x0000_s1026" type="#_x0000_t202" style="position:absolute;left:0;text-align:left;margin-left:0;margin-top:20.05pt;width:413.6pt;height:36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" filled="f" strokecolor="black [3213]">
            <v:path arrowok="t"/>
            <v:textbox>
              <w:txbxContent>
                <w:p w:rsidR="00D33291" w:rsidRDefault="00D33291" w:rsidP="00D03C7A">
                  <w:pPr>
                    <w:widowControl w:val="0"/>
                    <w:autoSpaceDE w:val="0"/>
                    <w:autoSpaceDN w:val="0"/>
                    <w:adjustRightInd w:val="0"/>
                    <w:jc w:val="both"/>
                    <w:rPr>
                      <w:rFonts w:ascii="Gill Sans" w:hAnsi="Gill Sans" w:cs="Gill Sans"/>
                      <w:b/>
                    </w:rPr>
                  </w:pPr>
                  <w:r w:rsidRPr="00140F5B">
                    <w:rPr>
                      <w:rFonts w:ascii="Gill Sans" w:hAnsi="Gill Sans" w:cs="Gill Sans"/>
                      <w:b/>
                    </w:rPr>
                    <w:t>C</w:t>
                  </w:r>
                  <w:r w:rsidR="003425AF">
                    <w:rPr>
                      <w:rFonts w:ascii="Gill Sans" w:hAnsi="Gill Sans" w:cs="Gill Sans"/>
                      <w:b/>
                    </w:rPr>
                    <w:t xml:space="preserve">ase study: </w:t>
                  </w:r>
                  <w:r>
                    <w:rPr>
                      <w:rFonts w:ascii="Gill Sans" w:hAnsi="Gill Sans" w:cs="Gill Sans"/>
                      <w:b/>
                    </w:rPr>
                    <w:t>Proving that an amount is payable</w:t>
                  </w:r>
                </w:p>
                <w:p w:rsidR="00D33291" w:rsidRPr="00140F5B" w:rsidRDefault="00D33291" w:rsidP="00D03C7A">
                  <w:pPr>
                    <w:widowControl w:val="0"/>
                    <w:autoSpaceDE w:val="0"/>
                    <w:autoSpaceDN w:val="0"/>
                    <w:adjustRightInd w:val="0"/>
                    <w:jc w:val="both"/>
                    <w:rPr>
                      <w:rFonts w:ascii="Gill Sans" w:hAnsi="Gill Sans" w:cs="Gill Sans"/>
                      <w:b/>
                    </w:rPr>
                  </w:pPr>
                </w:p>
                <w:p w:rsidR="00D33291" w:rsidRDefault="00D33291" w:rsidP="00E72B4F">
                  <w:pPr>
                    <w:widowControl w:val="0"/>
                    <w:autoSpaceDE w:val="0"/>
                    <w:autoSpaceDN w:val="0"/>
                    <w:adjustRightInd w:val="0"/>
                    <w:jc w:val="both"/>
                    <w:rPr>
                      <w:rFonts w:ascii="Gill Sans" w:hAnsi="Gill Sans" w:cs="Gill Sans"/>
                    </w:rPr>
                  </w:pPr>
                  <w:r>
                    <w:rPr>
                      <w:rFonts w:ascii="Gill Sans" w:hAnsi="Gill Sans" w:cs="Gill Sans"/>
                    </w:rPr>
                    <w:t xml:space="preserve">Michael lives in a Housing NSW property in Waterloo. About 9 years ago he was charged $7,500 for repairs to his property. Michael didn’t think he was responsible for the charges, but he arranged a repayment plan that was manageable for him, $10 per fortnight on top of his usual rent. </w:t>
                  </w:r>
                </w:p>
                <w:p w:rsidR="00D33291" w:rsidRDefault="00D33291" w:rsidP="00E72B4F">
                  <w:pPr>
                    <w:widowControl w:val="0"/>
                    <w:autoSpaceDE w:val="0"/>
                    <w:autoSpaceDN w:val="0"/>
                    <w:adjustRightInd w:val="0"/>
                    <w:jc w:val="both"/>
                    <w:rPr>
                      <w:rFonts w:ascii="Gill Sans" w:hAnsi="Gill Sans" w:cs="Gill Sans"/>
                    </w:rPr>
                  </w:pPr>
                </w:p>
                <w:p w:rsidR="00D33291" w:rsidRDefault="00D33291" w:rsidP="00E72B4F">
                  <w:pPr>
                    <w:widowControl w:val="0"/>
                    <w:autoSpaceDE w:val="0"/>
                    <w:autoSpaceDN w:val="0"/>
                    <w:adjustRightInd w:val="0"/>
                    <w:jc w:val="both"/>
                    <w:rPr>
                      <w:rFonts w:ascii="Gill Sans" w:hAnsi="Gill Sans" w:cs="Gill Sans"/>
                    </w:rPr>
                  </w:pPr>
                  <w:r>
                    <w:rPr>
                      <w:rFonts w:ascii="Gill Sans" w:hAnsi="Gill Sans" w:cs="Gill Sans"/>
                    </w:rPr>
                    <w:t>Around Christmas last year he received a letter from Housing NSW that read ‘</w:t>
                  </w:r>
                  <w:r w:rsidR="00E346A1">
                    <w:rPr>
                      <w:rFonts w:ascii="Gill Sans" w:hAnsi="Gill Sans" w:cs="Gill Sans"/>
                    </w:rPr>
                    <w:t>final warning</w:t>
                  </w:r>
                  <w:r>
                    <w:rPr>
                      <w:rFonts w:ascii="Gill Sans" w:hAnsi="Gill Sans" w:cs="Gill Sans"/>
                    </w:rPr>
                    <w:t xml:space="preserve">’ and stated that he owed $1,100 for repairs. The letter contained no information about why the amount was due, and Michael couldn’t work out whether it was for the debt he was already paying off. </w:t>
                  </w:r>
                </w:p>
                <w:p w:rsidR="00D33291" w:rsidRDefault="00D33291">
                  <w:pPr>
                    <w:rPr>
                      <w:rFonts w:ascii="Gill Sans" w:hAnsi="Gill Sans" w:cs="Gill Sans"/>
                    </w:rPr>
                  </w:pPr>
                </w:p>
                <w:p w:rsidR="00D33291" w:rsidRPr="00371392" w:rsidRDefault="00D33291" w:rsidP="00726EC3">
                  <w:pPr>
                    <w:jc w:val="both"/>
                    <w:rPr>
                      <w:rFonts w:ascii="Gill Sans" w:hAnsi="Gill Sans" w:cs="Gill Sans"/>
                    </w:rPr>
                  </w:pPr>
                  <w:r>
                    <w:rPr>
                      <w:rFonts w:ascii="Gill Sans" w:hAnsi="Gill Sans" w:cs="Gill Sans"/>
                    </w:rPr>
                    <w:t>Michael later received a letter from Housing NSW saying that the original letter was sent in error. He then received</w:t>
                  </w:r>
                  <w:r w:rsidR="00E346A1">
                    <w:rPr>
                      <w:rFonts w:ascii="Gill Sans" w:hAnsi="Gill Sans" w:cs="Gill Sans"/>
                    </w:rPr>
                    <w:t xml:space="preserve"> another 4 letters over a three</w:t>
                  </w:r>
                  <w:r w:rsidR="00E346A1">
                    <w:rPr>
                      <w:rFonts w:ascii="Gill Sans" w:hAnsi="Gill Sans" w:cs="Gill Sans"/>
                    </w:rPr>
                    <w:noBreakHyphen/>
                  </w:r>
                  <w:r>
                    <w:rPr>
                      <w:rFonts w:ascii="Gill Sans" w:hAnsi="Gill Sans" w:cs="Gill Sans"/>
                    </w:rPr>
                    <w:t xml:space="preserve">month period seeking payment of the debt and threatening termination, but he was unable to get </w:t>
                  </w:r>
                  <w:r w:rsidRPr="00371392">
                    <w:rPr>
                      <w:rFonts w:ascii="Gill Sans" w:hAnsi="Gill Sans" w:cs="Gill Sans"/>
                    </w:rPr>
                    <w:t>any informatio</w:t>
                  </w:r>
                  <w:r>
                    <w:rPr>
                      <w:rFonts w:ascii="Gill Sans" w:hAnsi="Gill Sans" w:cs="Gill Sans"/>
                    </w:rPr>
                    <w:t>n from Housing NSW about what the debt</w:t>
                  </w:r>
                  <w:r w:rsidRPr="00371392">
                    <w:rPr>
                      <w:rFonts w:ascii="Gill Sans" w:hAnsi="Gill Sans" w:cs="Gill Sans"/>
                    </w:rPr>
                    <w:t xml:space="preserve"> was for.     </w:t>
                  </w:r>
                </w:p>
                <w:p w:rsidR="00D33291" w:rsidRPr="00371392" w:rsidRDefault="00D33291">
                  <w:pPr>
                    <w:rPr>
                      <w:rFonts w:ascii="Gill Sans" w:hAnsi="Gill Sans" w:cs="Gill Sans"/>
                    </w:rPr>
                  </w:pPr>
                </w:p>
                <w:p w:rsidR="00D33291" w:rsidRPr="00371392" w:rsidRDefault="00D33291" w:rsidP="00FF5FAE">
                  <w:pPr>
                    <w:jc w:val="both"/>
                    <w:rPr>
                      <w:rFonts w:ascii="Gill Sans" w:hAnsi="Gill Sans" w:cs="Gill Sans"/>
                    </w:rPr>
                  </w:pPr>
                  <w:r w:rsidRPr="00371392">
                    <w:rPr>
                      <w:rFonts w:ascii="Gill Sans" w:hAnsi="Gill Sans" w:cs="Gill Sans"/>
                    </w:rPr>
                    <w:t xml:space="preserve">When </w:t>
                  </w:r>
                  <w:r>
                    <w:rPr>
                      <w:rFonts w:ascii="Gill Sans" w:hAnsi="Gill Sans" w:cs="Gill Sans"/>
                    </w:rPr>
                    <w:t xml:space="preserve">Michael </w:t>
                  </w:r>
                  <w:r w:rsidRPr="00371392">
                    <w:rPr>
                      <w:rFonts w:ascii="Gill Sans" w:hAnsi="Gill Sans" w:cs="Gill Sans"/>
                    </w:rPr>
                    <w:t xml:space="preserve">finally got </w:t>
                  </w:r>
                  <w:r>
                    <w:rPr>
                      <w:rFonts w:ascii="Gill Sans" w:hAnsi="Gill Sans" w:cs="Gill Sans"/>
                    </w:rPr>
                    <w:t>details about the alleged debt</w:t>
                  </w:r>
                  <w:r w:rsidRPr="00371392">
                    <w:rPr>
                      <w:rFonts w:ascii="Gill Sans" w:hAnsi="Gill Sans" w:cs="Gill Sans"/>
                    </w:rPr>
                    <w:t xml:space="preserve"> it was revealed that </w:t>
                  </w:r>
                  <w:r>
                    <w:rPr>
                      <w:rFonts w:ascii="Gill Sans" w:hAnsi="Gill Sans" w:cs="Gill Sans"/>
                    </w:rPr>
                    <w:t>Housing NSW</w:t>
                  </w:r>
                  <w:r w:rsidRPr="00371392">
                    <w:rPr>
                      <w:rFonts w:ascii="Gill Sans" w:hAnsi="Gill Sans" w:cs="Gill Sans"/>
                    </w:rPr>
                    <w:t xml:space="preserve"> had no evidence of </w:t>
                  </w:r>
                  <w:r>
                    <w:rPr>
                      <w:rFonts w:ascii="Gill Sans" w:hAnsi="Gill Sans" w:cs="Gill Sans"/>
                    </w:rPr>
                    <w:t>his</w:t>
                  </w:r>
                  <w:r w:rsidRPr="00371392">
                    <w:rPr>
                      <w:rFonts w:ascii="Gill Sans" w:hAnsi="Gill Sans" w:cs="Gill Sans"/>
                    </w:rPr>
                    <w:t xml:space="preserve"> liability to pay the outst</w:t>
                  </w:r>
                  <w:r>
                    <w:rPr>
                      <w:rFonts w:ascii="Gill Sans" w:hAnsi="Gill Sans" w:cs="Gill Sans"/>
                    </w:rPr>
                    <w:t xml:space="preserve">anding amount. In fact, substantial charges for repairs had been mistakenly added onto his original debt. He was refunded a significant portion of the </w:t>
                  </w:r>
                  <w:r w:rsidR="00E346A1">
                    <w:rPr>
                      <w:rFonts w:ascii="Gill Sans" w:hAnsi="Gill Sans" w:cs="Gill Sans"/>
                    </w:rPr>
                    <w:t>instalments</w:t>
                  </w:r>
                  <w:r>
                    <w:rPr>
                      <w:rFonts w:ascii="Gill Sans" w:hAnsi="Gill Sans" w:cs="Gill Sans"/>
                    </w:rPr>
                    <w:t xml:space="preserve"> he had been making for nine years. Despite tight financial circumstances, Michael had insisted on paying the </w:t>
                  </w:r>
                  <w:r w:rsidR="00E346A1">
                    <w:rPr>
                      <w:rFonts w:ascii="Gill Sans" w:hAnsi="Gill Sans" w:cs="Gill Sans"/>
                    </w:rPr>
                    <w:t>instalments</w:t>
                  </w:r>
                  <w:r>
                    <w:rPr>
                      <w:rFonts w:ascii="Gill Sans" w:hAnsi="Gill Sans" w:cs="Gill Sans"/>
                    </w:rPr>
                    <w:t xml:space="preserve"> because he was concerned that otherwise his tenancy was at risk. </w:t>
                  </w:r>
                </w:p>
              </w:txbxContent>
            </v:textbox>
            <w10:wrap type="square"/>
          </v:shape>
        </w:pict>
      </w:r>
    </w:p>
    <w:p w:rsidR="00E72B4F" w:rsidRDefault="00E72B4F" w:rsidP="001F29B7">
      <w:pPr>
        <w:jc w:val="both"/>
        <w:rPr>
          <w:rFonts w:ascii="Gill Sans" w:hAnsi="Gill Sans" w:cs="Gill Sans"/>
        </w:rPr>
      </w:pPr>
    </w:p>
    <w:p w:rsidR="00EB77EC" w:rsidRDefault="001F29B7" w:rsidP="001F29B7">
      <w:pPr>
        <w:jc w:val="both"/>
        <w:rPr>
          <w:rFonts w:ascii="Gill Sans" w:hAnsi="Gill Sans" w:cs="Gill Sans"/>
          <w:lang w:val="en-AU"/>
        </w:rPr>
      </w:pPr>
      <w:r w:rsidRPr="001F29B7">
        <w:rPr>
          <w:rFonts w:ascii="Gill Sans" w:hAnsi="Gill Sans" w:cs="Gill Sans"/>
          <w:lang w:val="en-AU"/>
        </w:rPr>
        <w:t xml:space="preserve">In our experience, </w:t>
      </w:r>
      <w:r w:rsidR="007913A7">
        <w:rPr>
          <w:rFonts w:ascii="Gill Sans" w:hAnsi="Gill Sans" w:cs="Gill Sans"/>
          <w:lang w:val="en-AU"/>
        </w:rPr>
        <w:t xml:space="preserve">for a tenant to challenge a debt is a complex and </w:t>
      </w:r>
      <w:r w:rsidR="003425AF">
        <w:rPr>
          <w:rFonts w:ascii="Gill Sans" w:hAnsi="Gill Sans" w:cs="Gill Sans"/>
          <w:lang w:val="en-AU"/>
        </w:rPr>
        <w:t>time</w:t>
      </w:r>
      <w:r w:rsidR="003425AF">
        <w:rPr>
          <w:rFonts w:ascii="Gill Sans" w:hAnsi="Gill Sans" w:cs="Gill Sans"/>
          <w:lang w:val="en-AU"/>
        </w:rPr>
        <w:noBreakHyphen/>
      </w:r>
      <w:r w:rsidR="007913A7" w:rsidRPr="001F29B7">
        <w:rPr>
          <w:rFonts w:ascii="Gill Sans" w:hAnsi="Gill Sans" w:cs="Gill Sans"/>
          <w:lang w:val="en-AU"/>
        </w:rPr>
        <w:t>consuming</w:t>
      </w:r>
      <w:r w:rsidRPr="001F29B7">
        <w:rPr>
          <w:rFonts w:ascii="Gill Sans" w:hAnsi="Gill Sans" w:cs="Gill Sans"/>
          <w:lang w:val="en-AU"/>
        </w:rPr>
        <w:t xml:space="preserve"> process. There is no provision under the Housing Payments Deduction Scheme for an authorisation to be suspended while a review is taking place. Indeed, there is no clear procedure in the legislation for challenging a deduction. Our submission is that public housing landlords should have to prove that a debt is payable before a deduction can be authorised.</w:t>
      </w:r>
      <w:r w:rsidR="00CD39AE">
        <w:rPr>
          <w:rFonts w:ascii="Gill Sans" w:hAnsi="Gill Sans" w:cs="Gill Sans"/>
          <w:lang w:val="en-AU"/>
        </w:rPr>
        <w:t xml:space="preserve"> </w:t>
      </w:r>
    </w:p>
    <w:p w:rsidR="00EB77EC" w:rsidRDefault="00EB77EC" w:rsidP="001F29B7">
      <w:pPr>
        <w:jc w:val="both"/>
        <w:rPr>
          <w:rFonts w:ascii="Gill Sans" w:hAnsi="Gill Sans" w:cs="Gill Sans"/>
          <w:lang w:val="en-AU"/>
        </w:rPr>
      </w:pPr>
    </w:p>
    <w:p w:rsidR="001F29B7" w:rsidRPr="001F29B7" w:rsidRDefault="00CD39AE" w:rsidP="001F29B7">
      <w:pPr>
        <w:jc w:val="both"/>
        <w:rPr>
          <w:rFonts w:ascii="Gill Sans" w:hAnsi="Gill Sans" w:cs="Gill Sans"/>
          <w:lang w:val="en-AU"/>
        </w:rPr>
      </w:pPr>
      <w:r>
        <w:rPr>
          <w:rFonts w:ascii="Gill Sans" w:hAnsi="Gill Sans" w:cs="Gill Sans"/>
          <w:lang w:val="en-AU"/>
        </w:rPr>
        <w:t xml:space="preserve">The scheme gives a public housing landlord </w:t>
      </w:r>
      <w:r w:rsidR="00EB77EC">
        <w:rPr>
          <w:rFonts w:ascii="Gill Sans" w:hAnsi="Gill Sans" w:cs="Gill Sans"/>
          <w:lang w:val="en-AU"/>
        </w:rPr>
        <w:t>the</w:t>
      </w:r>
      <w:r>
        <w:rPr>
          <w:rFonts w:ascii="Gill Sans" w:hAnsi="Gill Sans" w:cs="Gill Sans"/>
          <w:lang w:val="en-AU"/>
        </w:rPr>
        <w:t xml:space="preserve"> ability to recoup a debt</w:t>
      </w:r>
      <w:r w:rsidR="001F29B7" w:rsidRPr="001F29B7">
        <w:rPr>
          <w:rFonts w:ascii="Gill Sans" w:hAnsi="Gill Sans" w:cs="Gill Sans"/>
          <w:lang w:val="en-AU"/>
        </w:rPr>
        <w:t xml:space="preserve"> </w:t>
      </w:r>
      <w:r>
        <w:rPr>
          <w:rFonts w:ascii="Gill Sans" w:hAnsi="Gill Sans" w:cs="Gill Sans"/>
          <w:lang w:val="en-AU"/>
        </w:rPr>
        <w:t xml:space="preserve">beyond that </w:t>
      </w:r>
      <w:r w:rsidR="00EB77EC">
        <w:rPr>
          <w:rFonts w:ascii="Gill Sans" w:hAnsi="Gill Sans" w:cs="Gill Sans"/>
          <w:lang w:val="en-AU"/>
        </w:rPr>
        <w:t xml:space="preserve">given to </w:t>
      </w:r>
      <w:r>
        <w:rPr>
          <w:rFonts w:ascii="Gill Sans" w:hAnsi="Gill Sans" w:cs="Gill Sans"/>
          <w:lang w:val="en-AU"/>
        </w:rPr>
        <w:t xml:space="preserve">any other creditor. To broaden this power </w:t>
      </w:r>
      <w:r w:rsidR="00EB77EC">
        <w:rPr>
          <w:rFonts w:ascii="Gill Sans" w:hAnsi="Gill Sans" w:cs="Gill Sans"/>
          <w:lang w:val="en-AU"/>
        </w:rPr>
        <w:t xml:space="preserve">to include alleged debts, without a need for Tribunal orders or consideration by other forums that address issues of procedural fairness, goes too far. </w:t>
      </w:r>
      <w:r w:rsidR="001F29B7" w:rsidRPr="001F29B7">
        <w:rPr>
          <w:rFonts w:ascii="Gill Sans" w:hAnsi="Gill Sans" w:cs="Gill Sans"/>
          <w:lang w:val="en-AU"/>
        </w:rPr>
        <w:t xml:space="preserve"> </w:t>
      </w:r>
    </w:p>
    <w:p w:rsidR="001F29B7" w:rsidRPr="001F29B7" w:rsidRDefault="001F29B7" w:rsidP="001F29B7">
      <w:pPr>
        <w:jc w:val="both"/>
        <w:rPr>
          <w:rFonts w:ascii="Gill Sans" w:hAnsi="Gill Sans" w:cs="Gill Sans"/>
          <w:lang w:val="en-AU"/>
        </w:rPr>
      </w:pPr>
    </w:p>
    <w:p w:rsidR="0023675B" w:rsidRPr="00EB77EC" w:rsidRDefault="001F29B7" w:rsidP="009247F5">
      <w:pPr>
        <w:jc w:val="both"/>
        <w:rPr>
          <w:rFonts w:ascii="Gill Sans" w:hAnsi="Gill Sans" w:cs="Gill Sans"/>
          <w:lang w:val="en-AU"/>
        </w:rPr>
      </w:pPr>
      <w:r w:rsidRPr="001F29B7">
        <w:rPr>
          <w:rFonts w:ascii="Gill Sans" w:hAnsi="Gill Sans" w:cs="Gill Sans"/>
          <w:lang w:val="en-AU"/>
        </w:rPr>
        <w:t xml:space="preserve">If the scheme goes ahead, debts for maintenance costs and arrears from a former tenancy should be excluded. These liabilities are often more contentious than current arrears and can involve large amounts going back in time, often many years. Particularly in the case of such debts, proper review mechanisms and appropriate, flexible repayment plans will better safeguard against homelessness than standardised indiscriminate welfare payment deductions. </w:t>
      </w:r>
    </w:p>
    <w:p w:rsidR="0023675B" w:rsidRDefault="0023675B" w:rsidP="009247F5">
      <w:pPr>
        <w:jc w:val="both"/>
        <w:rPr>
          <w:rFonts w:ascii="Gill Sans" w:hAnsi="Gill Sans" w:cs="Gill Sans"/>
        </w:rPr>
      </w:pPr>
    </w:p>
    <w:p w:rsidR="001F29B7" w:rsidRDefault="001F29B7" w:rsidP="001F29B7">
      <w:pPr>
        <w:jc w:val="both"/>
        <w:rPr>
          <w:rFonts w:ascii="Gill Sans" w:hAnsi="Gill Sans" w:cs="Gill Sans"/>
          <w:b/>
          <w:bCs/>
          <w:lang w:val="en-AU"/>
        </w:rPr>
      </w:pPr>
      <w:r>
        <w:rPr>
          <w:rFonts w:ascii="Gill Sans" w:hAnsi="Gill Sans" w:cs="Gill Sans"/>
          <w:b/>
          <w:bCs/>
          <w:lang w:val="en-AU"/>
        </w:rPr>
        <w:t xml:space="preserve">b) </w:t>
      </w:r>
      <w:r w:rsidRPr="001F29B7">
        <w:rPr>
          <w:rFonts w:ascii="Gill Sans" w:hAnsi="Gill Sans" w:cs="Gill Sans"/>
          <w:b/>
          <w:bCs/>
          <w:lang w:val="en-AU"/>
        </w:rPr>
        <w:t>‘A risk’</w:t>
      </w:r>
    </w:p>
    <w:p w:rsidR="001F29B7" w:rsidRPr="001F29B7" w:rsidRDefault="001F29B7" w:rsidP="001F29B7">
      <w:pPr>
        <w:jc w:val="both"/>
        <w:rPr>
          <w:rFonts w:ascii="Gill Sans" w:hAnsi="Gill Sans" w:cs="Gill Sans"/>
          <w:b/>
          <w:bCs/>
          <w:lang w:val="en-AU"/>
        </w:rPr>
      </w:pPr>
    </w:p>
    <w:p w:rsidR="001F29B7" w:rsidRPr="0023675B" w:rsidRDefault="001F29B7" w:rsidP="001F29B7">
      <w:pPr>
        <w:jc w:val="both"/>
        <w:rPr>
          <w:rFonts w:ascii="Gill Sans" w:hAnsi="Gill Sans" w:cs="Gill Sans"/>
          <w:bCs/>
          <w:lang w:val="en-AU"/>
        </w:rPr>
      </w:pPr>
      <w:r w:rsidRPr="001F29B7">
        <w:rPr>
          <w:rFonts w:ascii="Gill Sans" w:hAnsi="Gill Sans" w:cs="Gill Sans"/>
          <w:bCs/>
          <w:lang w:val="en-AU"/>
        </w:rPr>
        <w:t xml:space="preserve">RLC is particularly concerned that the scheme will allow a public housing landlord to request a deduction where the landlord considers that there is ‘a risk’ that not all of the amounts due and payable will be paid by the tenant. </w:t>
      </w:r>
      <w:r w:rsidR="0023675B">
        <w:rPr>
          <w:rFonts w:ascii="Gill Sans" w:hAnsi="Gill Sans" w:cs="Gill Sans"/>
          <w:bCs/>
          <w:lang w:val="en-AU"/>
        </w:rPr>
        <w:t xml:space="preserve">What will be relevant for determining whether a person is a risk is set out in the </w:t>
      </w:r>
      <w:r w:rsidR="0023675B">
        <w:rPr>
          <w:rFonts w:ascii="Gill Sans" w:hAnsi="Gill Sans" w:cs="Gill Sans"/>
          <w:bCs/>
          <w:i/>
          <w:lang w:val="en-AU"/>
        </w:rPr>
        <w:t xml:space="preserve">Social Security (Public Housing Tenants’ Support) Risk of Non-Payment of Amount Rules (No 1) 2013 </w:t>
      </w:r>
      <w:r w:rsidR="0023675B">
        <w:rPr>
          <w:rFonts w:ascii="Gill Sans" w:hAnsi="Gill Sans" w:cs="Gill Sans"/>
          <w:bCs/>
          <w:lang w:val="en-AU"/>
        </w:rPr>
        <w:t xml:space="preserve">section 4. </w:t>
      </w:r>
    </w:p>
    <w:p w:rsidR="001F29B7" w:rsidRPr="001F29B7" w:rsidRDefault="001F29B7" w:rsidP="001F29B7">
      <w:pPr>
        <w:jc w:val="both"/>
        <w:rPr>
          <w:rFonts w:ascii="Gill Sans" w:hAnsi="Gill Sans" w:cs="Gill Sans"/>
          <w:bCs/>
          <w:lang w:val="en-AU"/>
        </w:rPr>
      </w:pPr>
    </w:p>
    <w:p w:rsidR="001F29B7" w:rsidRDefault="001F29B7" w:rsidP="001F29B7">
      <w:pPr>
        <w:jc w:val="both"/>
        <w:rPr>
          <w:rFonts w:ascii="Gill Sans" w:hAnsi="Gill Sans" w:cs="Gill Sans"/>
          <w:bCs/>
          <w:lang w:val="en-AU"/>
        </w:rPr>
      </w:pPr>
      <w:r w:rsidRPr="001F29B7">
        <w:rPr>
          <w:rFonts w:ascii="Gill Sans" w:hAnsi="Gill Sans" w:cs="Gill Sans"/>
          <w:bCs/>
          <w:lang w:val="en-AU"/>
        </w:rPr>
        <w:t>A person who has</w:t>
      </w:r>
      <w:r>
        <w:rPr>
          <w:rFonts w:ascii="Gill Sans" w:hAnsi="Gill Sans" w:cs="Gill Sans"/>
          <w:bCs/>
          <w:lang w:val="en-AU"/>
        </w:rPr>
        <w:t>:</w:t>
      </w:r>
      <w:r w:rsidRPr="001F29B7">
        <w:rPr>
          <w:rFonts w:ascii="Gill Sans" w:hAnsi="Gill Sans" w:cs="Gill Sans"/>
          <w:bCs/>
          <w:lang w:val="en-AU"/>
        </w:rPr>
        <w:t xml:space="preserve"> </w:t>
      </w:r>
    </w:p>
    <w:p w:rsidR="001F29B7" w:rsidRPr="001F29B7" w:rsidRDefault="001F29B7" w:rsidP="001F29B7">
      <w:pPr>
        <w:jc w:val="both"/>
        <w:rPr>
          <w:rFonts w:ascii="Gill Sans" w:hAnsi="Gill Sans" w:cs="Gill Sans"/>
          <w:bCs/>
          <w:lang w:val="en-AU"/>
        </w:rPr>
      </w:pPr>
    </w:p>
    <w:p w:rsidR="001F29B7" w:rsidRPr="001F29B7" w:rsidRDefault="001F29B7" w:rsidP="001F29B7">
      <w:pPr>
        <w:numPr>
          <w:ilvl w:val="0"/>
          <w:numId w:val="2"/>
        </w:numPr>
        <w:jc w:val="both"/>
        <w:rPr>
          <w:rFonts w:ascii="Gill Sans" w:hAnsi="Gill Sans" w:cs="Gill Sans"/>
          <w:bCs/>
          <w:lang w:val="en-AU"/>
        </w:rPr>
      </w:pPr>
      <w:r w:rsidRPr="001F29B7">
        <w:rPr>
          <w:rFonts w:ascii="Gill Sans" w:hAnsi="Gill Sans" w:cs="Gill Sans"/>
          <w:bCs/>
          <w:lang w:val="en-AU"/>
        </w:rPr>
        <w:t>been evicted,</w:t>
      </w:r>
    </w:p>
    <w:p w:rsidR="001F29B7" w:rsidRPr="001F29B7" w:rsidRDefault="001F29B7" w:rsidP="001F29B7">
      <w:pPr>
        <w:numPr>
          <w:ilvl w:val="0"/>
          <w:numId w:val="2"/>
        </w:numPr>
        <w:jc w:val="both"/>
        <w:rPr>
          <w:rFonts w:ascii="Gill Sans" w:hAnsi="Gill Sans" w:cs="Gill Sans"/>
          <w:bCs/>
          <w:lang w:val="en-AU"/>
        </w:rPr>
      </w:pPr>
      <w:r w:rsidRPr="001F29B7">
        <w:rPr>
          <w:rFonts w:ascii="Gill Sans" w:hAnsi="Gill Sans" w:cs="Gill Sans"/>
          <w:bCs/>
          <w:lang w:val="en-AU"/>
        </w:rPr>
        <w:t>had a lease terminated or not renewed, or</w:t>
      </w:r>
    </w:p>
    <w:p w:rsidR="001F29B7" w:rsidRPr="001F29B7" w:rsidRDefault="001F29B7" w:rsidP="001F29B7">
      <w:pPr>
        <w:numPr>
          <w:ilvl w:val="0"/>
          <w:numId w:val="2"/>
        </w:numPr>
        <w:jc w:val="both"/>
        <w:rPr>
          <w:rFonts w:ascii="Gill Sans" w:hAnsi="Gill Sans" w:cs="Gill Sans"/>
          <w:bCs/>
          <w:lang w:val="en-AU"/>
        </w:rPr>
      </w:pPr>
      <w:r w:rsidRPr="001F29B7">
        <w:rPr>
          <w:rFonts w:ascii="Gill Sans" w:hAnsi="Gill Sans" w:cs="Gill Sans"/>
          <w:bCs/>
          <w:lang w:val="en-AU"/>
        </w:rPr>
        <w:t xml:space="preserve">abandoned a property </w:t>
      </w:r>
    </w:p>
    <w:p w:rsidR="001F29B7" w:rsidRDefault="001F29B7" w:rsidP="001F29B7">
      <w:pPr>
        <w:jc w:val="both"/>
        <w:rPr>
          <w:rFonts w:ascii="Gill Sans" w:hAnsi="Gill Sans" w:cs="Gill Sans"/>
          <w:bCs/>
          <w:lang w:val="en-AU"/>
        </w:rPr>
      </w:pPr>
    </w:p>
    <w:p w:rsidR="001F29B7" w:rsidRPr="001F29B7" w:rsidRDefault="001F29B7" w:rsidP="001F29B7">
      <w:pPr>
        <w:jc w:val="both"/>
        <w:rPr>
          <w:rFonts w:ascii="Gill Sans" w:hAnsi="Gill Sans" w:cs="Gill Sans"/>
          <w:bCs/>
          <w:lang w:val="en-AU"/>
        </w:rPr>
      </w:pPr>
      <w:proofErr w:type="gramStart"/>
      <w:r w:rsidRPr="001F29B7">
        <w:rPr>
          <w:rFonts w:ascii="Gill Sans" w:hAnsi="Gill Sans" w:cs="Gill Sans"/>
          <w:bCs/>
          <w:lang w:val="en-AU"/>
        </w:rPr>
        <w:t>with</w:t>
      </w:r>
      <w:proofErr w:type="gramEnd"/>
      <w:r w:rsidRPr="001F29B7">
        <w:rPr>
          <w:rFonts w:ascii="Gill Sans" w:hAnsi="Gill Sans" w:cs="Gill Sans"/>
          <w:bCs/>
          <w:lang w:val="en-AU"/>
        </w:rPr>
        <w:t xml:space="preserve"> arrears outstanding will satisfy the requirements of the section. </w:t>
      </w:r>
    </w:p>
    <w:p w:rsidR="001F29B7" w:rsidRPr="001F29B7" w:rsidRDefault="001F29B7" w:rsidP="001F29B7">
      <w:pPr>
        <w:jc w:val="both"/>
        <w:rPr>
          <w:rFonts w:ascii="Gill Sans" w:hAnsi="Gill Sans" w:cs="Gill Sans"/>
          <w:bCs/>
          <w:lang w:val="en-AU"/>
        </w:rPr>
      </w:pPr>
    </w:p>
    <w:p w:rsidR="001F29B7" w:rsidRPr="001F29B7" w:rsidRDefault="001F29B7" w:rsidP="001F29B7">
      <w:pPr>
        <w:jc w:val="both"/>
        <w:rPr>
          <w:rFonts w:ascii="Gill Sans" w:hAnsi="Gill Sans" w:cs="Gill Sans"/>
          <w:bCs/>
          <w:lang w:val="en-AU"/>
        </w:rPr>
      </w:pPr>
      <w:r w:rsidRPr="001F29B7">
        <w:rPr>
          <w:rFonts w:ascii="Gill Sans" w:hAnsi="Gill Sans" w:cs="Gill Sans"/>
          <w:bCs/>
          <w:lang w:val="en-AU"/>
        </w:rPr>
        <w:t xml:space="preserve">So too will a tenant who, at least three times in one year, has paid insufficient rent or paid rent more than one week late. </w:t>
      </w:r>
    </w:p>
    <w:p w:rsidR="001F29B7" w:rsidRPr="001F29B7" w:rsidRDefault="001F29B7" w:rsidP="001F29B7">
      <w:pPr>
        <w:jc w:val="both"/>
        <w:rPr>
          <w:rFonts w:ascii="Gill Sans" w:hAnsi="Gill Sans" w:cs="Gill Sans"/>
          <w:bCs/>
          <w:lang w:val="en-AU"/>
        </w:rPr>
      </w:pPr>
    </w:p>
    <w:p w:rsidR="00EB77EC" w:rsidRDefault="001F29B7" w:rsidP="001F29B7">
      <w:pPr>
        <w:jc w:val="both"/>
        <w:rPr>
          <w:rFonts w:ascii="Gill Sans" w:hAnsi="Gill Sans" w:cs="Gill Sans"/>
          <w:bCs/>
          <w:lang w:val="en-AU"/>
        </w:rPr>
      </w:pPr>
      <w:r w:rsidRPr="001F29B7">
        <w:rPr>
          <w:rFonts w:ascii="Gill Sans" w:hAnsi="Gill Sans" w:cs="Gill Sans"/>
          <w:bCs/>
          <w:lang w:val="en-AU"/>
        </w:rPr>
        <w:t xml:space="preserve">RLC submits that these factors are too broad. </w:t>
      </w:r>
    </w:p>
    <w:p w:rsidR="00EB77EC" w:rsidRDefault="00EB77EC" w:rsidP="001F29B7">
      <w:pPr>
        <w:jc w:val="both"/>
        <w:rPr>
          <w:rFonts w:ascii="Gill Sans" w:hAnsi="Gill Sans" w:cs="Gill Sans"/>
          <w:bCs/>
          <w:lang w:val="en-AU"/>
        </w:rPr>
      </w:pPr>
    </w:p>
    <w:p w:rsidR="00EB77EC" w:rsidRDefault="00EB77EC" w:rsidP="001F29B7">
      <w:pPr>
        <w:jc w:val="both"/>
        <w:rPr>
          <w:rFonts w:ascii="Gill Sans" w:hAnsi="Gill Sans" w:cs="Gill Sans"/>
          <w:bCs/>
          <w:lang w:val="en-AU"/>
        </w:rPr>
      </w:pPr>
      <w:r>
        <w:rPr>
          <w:rFonts w:ascii="Gill Sans" w:hAnsi="Gill Sans" w:cs="Gill Sans"/>
          <w:bCs/>
          <w:lang w:val="en-AU"/>
        </w:rPr>
        <w:t>Examples of cases we have assisted with that would be sufficient to trigger this section are:</w:t>
      </w:r>
    </w:p>
    <w:p w:rsidR="00EB77EC" w:rsidRDefault="00EB77EC" w:rsidP="001F29B7">
      <w:pPr>
        <w:jc w:val="both"/>
        <w:rPr>
          <w:rFonts w:ascii="Gill Sans" w:hAnsi="Gill Sans" w:cs="Gill Sans"/>
          <w:bCs/>
          <w:lang w:val="en-AU"/>
        </w:rPr>
      </w:pPr>
    </w:p>
    <w:p w:rsidR="00EB77EC" w:rsidRPr="00EB77EC" w:rsidRDefault="001F29B7" w:rsidP="00EB77EC">
      <w:pPr>
        <w:pStyle w:val="ListParagraph"/>
        <w:numPr>
          <w:ilvl w:val="0"/>
          <w:numId w:val="5"/>
        </w:numPr>
        <w:jc w:val="both"/>
        <w:rPr>
          <w:rFonts w:ascii="Gill Sans" w:hAnsi="Gill Sans" w:cs="Gill Sans"/>
          <w:bCs/>
          <w:lang w:val="en-AU"/>
        </w:rPr>
      </w:pPr>
      <w:r w:rsidRPr="00EB77EC">
        <w:rPr>
          <w:rFonts w:ascii="Gill Sans" w:hAnsi="Gill Sans" w:cs="Gill Sans"/>
          <w:bCs/>
          <w:lang w:val="en-AU"/>
        </w:rPr>
        <w:t>A tenant who fled a violent relationship and left her tenancy in the control of the perpetrator</w:t>
      </w:r>
      <w:r w:rsidR="00F25850">
        <w:rPr>
          <w:rFonts w:ascii="Gill Sans" w:hAnsi="Gill Sans" w:cs="Gill Sans"/>
          <w:bCs/>
          <w:lang w:val="en-AU"/>
        </w:rPr>
        <w:t>;</w:t>
      </w:r>
      <w:r w:rsidRPr="00EB77EC">
        <w:rPr>
          <w:rFonts w:ascii="Gill Sans" w:hAnsi="Gill Sans" w:cs="Gill Sans"/>
          <w:bCs/>
          <w:lang w:val="en-AU"/>
        </w:rPr>
        <w:t xml:space="preserve"> </w:t>
      </w:r>
    </w:p>
    <w:p w:rsidR="00EB77EC" w:rsidRDefault="001F29B7" w:rsidP="00EB77EC">
      <w:pPr>
        <w:pStyle w:val="ListParagraph"/>
        <w:numPr>
          <w:ilvl w:val="0"/>
          <w:numId w:val="5"/>
        </w:numPr>
        <w:jc w:val="both"/>
        <w:rPr>
          <w:rFonts w:ascii="Gill Sans" w:hAnsi="Gill Sans" w:cs="Gill Sans"/>
          <w:bCs/>
          <w:lang w:val="en-AU"/>
        </w:rPr>
      </w:pPr>
      <w:r w:rsidRPr="00EB77EC">
        <w:rPr>
          <w:rFonts w:ascii="Gill Sans" w:hAnsi="Gill Sans" w:cs="Gill Sans"/>
          <w:bCs/>
          <w:lang w:val="en-AU"/>
        </w:rPr>
        <w:t xml:space="preserve">A tenant with emergency </w:t>
      </w:r>
      <w:r w:rsidR="00F25850">
        <w:rPr>
          <w:rFonts w:ascii="Gill Sans" w:hAnsi="Gill Sans" w:cs="Gill Sans"/>
          <w:bCs/>
          <w:lang w:val="en-AU"/>
        </w:rPr>
        <w:t xml:space="preserve">and unexpected </w:t>
      </w:r>
      <w:r w:rsidRPr="00EB77EC">
        <w:rPr>
          <w:rFonts w:ascii="Gill Sans" w:hAnsi="Gill Sans" w:cs="Gill Sans"/>
          <w:bCs/>
          <w:lang w:val="en-AU"/>
        </w:rPr>
        <w:t>medic</w:t>
      </w:r>
      <w:r w:rsidR="00EB77EC">
        <w:rPr>
          <w:rFonts w:ascii="Gill Sans" w:hAnsi="Gill Sans" w:cs="Gill Sans"/>
          <w:bCs/>
          <w:lang w:val="en-AU"/>
        </w:rPr>
        <w:t>al costs</w:t>
      </w:r>
      <w:r w:rsidR="00F25850">
        <w:rPr>
          <w:rFonts w:ascii="Gill Sans" w:hAnsi="Gill Sans" w:cs="Gill Sans"/>
          <w:bCs/>
          <w:lang w:val="en-AU"/>
        </w:rPr>
        <w:t>;</w:t>
      </w:r>
      <w:r w:rsidRPr="00EB77EC">
        <w:rPr>
          <w:rFonts w:ascii="Gill Sans" w:hAnsi="Gill Sans" w:cs="Gill Sans"/>
          <w:bCs/>
          <w:lang w:val="en-AU"/>
        </w:rPr>
        <w:t xml:space="preserve"> </w:t>
      </w:r>
    </w:p>
    <w:p w:rsidR="00EB77EC" w:rsidRDefault="00EB77EC" w:rsidP="00EB77EC">
      <w:pPr>
        <w:pStyle w:val="ListParagraph"/>
        <w:numPr>
          <w:ilvl w:val="0"/>
          <w:numId w:val="5"/>
        </w:numPr>
        <w:jc w:val="both"/>
        <w:rPr>
          <w:rFonts w:ascii="Gill Sans" w:hAnsi="Gill Sans" w:cs="Gill Sans"/>
          <w:bCs/>
          <w:lang w:val="en-AU"/>
        </w:rPr>
      </w:pPr>
      <w:r>
        <w:rPr>
          <w:rFonts w:ascii="Gill Sans" w:hAnsi="Gill Sans" w:cs="Gill Sans"/>
          <w:bCs/>
          <w:lang w:val="en-AU"/>
        </w:rPr>
        <w:t xml:space="preserve">A </w:t>
      </w:r>
      <w:r w:rsidR="002868DB" w:rsidRPr="00EB77EC">
        <w:rPr>
          <w:rFonts w:ascii="Gill Sans" w:hAnsi="Gill Sans" w:cs="Gill Sans"/>
          <w:bCs/>
          <w:lang w:val="en-AU"/>
        </w:rPr>
        <w:t xml:space="preserve">tenant who has school costs for children </w:t>
      </w:r>
      <w:r>
        <w:rPr>
          <w:rFonts w:ascii="Gill Sans" w:hAnsi="Gill Sans" w:cs="Gill Sans"/>
          <w:bCs/>
          <w:lang w:val="en-AU"/>
        </w:rPr>
        <w:t xml:space="preserve">four </w:t>
      </w:r>
      <w:r w:rsidR="002868DB" w:rsidRPr="00EB77EC">
        <w:rPr>
          <w:rFonts w:ascii="Gill Sans" w:hAnsi="Gill Sans" w:cs="Gill Sans"/>
          <w:bCs/>
          <w:lang w:val="en-AU"/>
        </w:rPr>
        <w:t xml:space="preserve">times a year </w:t>
      </w:r>
      <w:r>
        <w:rPr>
          <w:rFonts w:ascii="Gill Sans" w:hAnsi="Gill Sans" w:cs="Gill Sans"/>
          <w:bCs/>
          <w:lang w:val="en-AU"/>
        </w:rPr>
        <w:t>and falls behind in rent to meet those costs</w:t>
      </w:r>
      <w:r w:rsidR="00F25850">
        <w:rPr>
          <w:rFonts w:ascii="Gill Sans" w:hAnsi="Gill Sans" w:cs="Gill Sans"/>
          <w:bCs/>
          <w:lang w:val="en-AU"/>
        </w:rPr>
        <w:t>; and</w:t>
      </w:r>
    </w:p>
    <w:p w:rsidR="00EB77EC" w:rsidRDefault="00EB77EC" w:rsidP="00EB77EC">
      <w:pPr>
        <w:pStyle w:val="ListParagraph"/>
        <w:numPr>
          <w:ilvl w:val="0"/>
          <w:numId w:val="5"/>
        </w:numPr>
        <w:jc w:val="both"/>
        <w:rPr>
          <w:rFonts w:ascii="Gill Sans" w:hAnsi="Gill Sans" w:cs="Gill Sans"/>
          <w:bCs/>
          <w:lang w:val="en-AU"/>
        </w:rPr>
      </w:pPr>
      <w:r>
        <w:rPr>
          <w:rFonts w:ascii="Gill Sans" w:hAnsi="Gill Sans" w:cs="Gill Sans"/>
          <w:bCs/>
          <w:lang w:val="en-AU"/>
        </w:rPr>
        <w:t>A tenant who had to pay for the</w:t>
      </w:r>
      <w:r w:rsidR="00F25850">
        <w:rPr>
          <w:rFonts w:ascii="Gill Sans" w:hAnsi="Gill Sans" w:cs="Gill Sans"/>
          <w:bCs/>
          <w:lang w:val="en-AU"/>
        </w:rPr>
        <w:t>ir</w:t>
      </w:r>
      <w:r>
        <w:rPr>
          <w:rFonts w:ascii="Gill Sans" w:hAnsi="Gill Sans" w:cs="Gill Sans"/>
          <w:bCs/>
          <w:lang w:val="en-AU"/>
        </w:rPr>
        <w:t xml:space="preserve"> parents</w:t>
      </w:r>
      <w:r w:rsidR="00F25850">
        <w:rPr>
          <w:rFonts w:ascii="Gill Sans" w:hAnsi="Gill Sans" w:cs="Gill Sans"/>
          <w:bCs/>
          <w:lang w:val="en-AU"/>
        </w:rPr>
        <w:t>’</w:t>
      </w:r>
      <w:r>
        <w:rPr>
          <w:rFonts w:ascii="Gill Sans" w:hAnsi="Gill Sans" w:cs="Gill Sans"/>
          <w:bCs/>
          <w:lang w:val="en-AU"/>
        </w:rPr>
        <w:t xml:space="preserve"> medical and funeral costs</w:t>
      </w:r>
      <w:r w:rsidR="00F25850">
        <w:rPr>
          <w:rFonts w:ascii="Gill Sans" w:hAnsi="Gill Sans" w:cs="Gill Sans"/>
          <w:bCs/>
          <w:lang w:val="en-AU"/>
        </w:rPr>
        <w:t xml:space="preserve">. </w:t>
      </w:r>
      <w:r w:rsidR="002868DB" w:rsidRPr="00EB77EC">
        <w:rPr>
          <w:rFonts w:ascii="Gill Sans" w:hAnsi="Gill Sans" w:cs="Gill Sans"/>
          <w:bCs/>
          <w:lang w:val="en-AU"/>
        </w:rPr>
        <w:t xml:space="preserve"> </w:t>
      </w:r>
    </w:p>
    <w:p w:rsidR="00EB77EC" w:rsidRPr="00EB77EC" w:rsidRDefault="00EB77EC" w:rsidP="00EB77EC">
      <w:pPr>
        <w:ind w:left="360"/>
        <w:jc w:val="both"/>
        <w:rPr>
          <w:rFonts w:ascii="Gill Sans" w:hAnsi="Gill Sans" w:cs="Gill Sans"/>
          <w:bCs/>
          <w:lang w:val="en-AU"/>
        </w:rPr>
      </w:pPr>
    </w:p>
    <w:p w:rsidR="001F29B7" w:rsidRPr="00EB77EC" w:rsidRDefault="00EB77EC" w:rsidP="00EB77EC">
      <w:pPr>
        <w:jc w:val="both"/>
        <w:rPr>
          <w:rFonts w:ascii="Gill Sans" w:hAnsi="Gill Sans" w:cs="Gill Sans"/>
          <w:bCs/>
          <w:lang w:val="en-AU"/>
        </w:rPr>
      </w:pPr>
      <w:r>
        <w:rPr>
          <w:rFonts w:ascii="Gill Sans" w:hAnsi="Gill Sans" w:cs="Gill Sans"/>
          <w:bCs/>
          <w:lang w:val="en-AU"/>
        </w:rPr>
        <w:t xml:space="preserve">These are all examples were a tenant could fall behind in rent sufficiently to meet the ‘risk’ categorisation. </w:t>
      </w:r>
      <w:r w:rsidR="001F29B7" w:rsidRPr="00EB77EC">
        <w:rPr>
          <w:rFonts w:ascii="Gill Sans" w:hAnsi="Gill Sans" w:cs="Gill Sans"/>
          <w:bCs/>
          <w:lang w:val="en-AU"/>
        </w:rPr>
        <w:t>C</w:t>
      </w:r>
      <w:r w:rsidR="002868DB" w:rsidRPr="00EB77EC">
        <w:rPr>
          <w:rFonts w:ascii="Gill Sans" w:hAnsi="Gill Sans" w:cs="Gill Sans"/>
          <w:bCs/>
          <w:lang w:val="en-AU"/>
        </w:rPr>
        <w:t>lassifying</w:t>
      </w:r>
      <w:r w:rsidR="001F29B7" w:rsidRPr="00EB77EC">
        <w:rPr>
          <w:rFonts w:ascii="Gill Sans" w:hAnsi="Gill Sans" w:cs="Gill Sans"/>
          <w:bCs/>
          <w:lang w:val="en-AU"/>
        </w:rPr>
        <w:t xml:space="preserve"> tenants as ‘a risk’ has the potential to penalise tenants who have made positive steps in their</w:t>
      </w:r>
      <w:r>
        <w:rPr>
          <w:rFonts w:ascii="Gill Sans" w:hAnsi="Gill Sans" w:cs="Gill Sans"/>
          <w:bCs/>
          <w:lang w:val="en-AU"/>
        </w:rPr>
        <w:t xml:space="preserve"> independent</w:t>
      </w:r>
      <w:r w:rsidR="001F29B7" w:rsidRPr="00EB77EC">
        <w:rPr>
          <w:rFonts w:ascii="Gill Sans" w:hAnsi="Gill Sans" w:cs="Gill Sans"/>
          <w:bCs/>
          <w:lang w:val="en-AU"/>
        </w:rPr>
        <w:t xml:space="preserve"> </w:t>
      </w:r>
      <w:r w:rsidR="001F29B7" w:rsidRPr="00EB77EC">
        <w:rPr>
          <w:rFonts w:ascii="Gill Sans" w:hAnsi="Gill Sans" w:cs="Gill Sans"/>
          <w:bCs/>
          <w:lang w:val="en-AU"/>
        </w:rPr>
        <w:lastRenderedPageBreak/>
        <w:t>financial management, or who simply have occasional unforeseen costs</w:t>
      </w:r>
      <w:r w:rsidR="002868DB" w:rsidRPr="00EB77EC">
        <w:rPr>
          <w:rFonts w:ascii="Gill Sans" w:hAnsi="Gill Sans" w:cs="Gill Sans"/>
          <w:bCs/>
          <w:lang w:val="en-AU"/>
        </w:rPr>
        <w:t xml:space="preserve"> that they try to manage</w:t>
      </w:r>
      <w:r w:rsidR="001F29B7" w:rsidRPr="00EB77EC">
        <w:rPr>
          <w:rFonts w:ascii="Gill Sans" w:hAnsi="Gill Sans" w:cs="Gill Sans"/>
          <w:bCs/>
          <w:lang w:val="en-AU"/>
        </w:rPr>
        <w:t xml:space="preserve">. </w:t>
      </w:r>
    </w:p>
    <w:p w:rsidR="001F29B7" w:rsidRDefault="001F29B7" w:rsidP="001F29B7">
      <w:pPr>
        <w:jc w:val="both"/>
        <w:rPr>
          <w:rFonts w:ascii="Gill Sans" w:hAnsi="Gill Sans" w:cs="Gill Sans"/>
          <w:bCs/>
          <w:lang w:val="en-AU"/>
        </w:rPr>
      </w:pPr>
    </w:p>
    <w:p w:rsidR="001F29B7" w:rsidRPr="001F29B7" w:rsidRDefault="001F29B7" w:rsidP="001F29B7">
      <w:pPr>
        <w:jc w:val="both"/>
        <w:rPr>
          <w:rFonts w:ascii="Gill Sans" w:hAnsi="Gill Sans" w:cs="Gill Sans"/>
          <w:bCs/>
          <w:lang w:val="en-AU"/>
        </w:rPr>
      </w:pPr>
      <w:r w:rsidRPr="001F29B7">
        <w:rPr>
          <w:rFonts w:ascii="Gill Sans" w:hAnsi="Gill Sans" w:cs="Gill Sans"/>
          <w:bCs/>
          <w:lang w:val="en-AU"/>
        </w:rPr>
        <w:t xml:space="preserve">Public housing tenants with low incomes often have difficulty meeting unexpected costs and expenses, which would only be worsened by automatic deductions from their income payments without reference to circumstances. There are any </w:t>
      </w:r>
      <w:proofErr w:type="gramStart"/>
      <w:r w:rsidRPr="001F29B7">
        <w:rPr>
          <w:rFonts w:ascii="Gill Sans" w:hAnsi="Gill Sans" w:cs="Gill Sans"/>
          <w:bCs/>
          <w:lang w:val="en-AU"/>
        </w:rPr>
        <w:t>number</w:t>
      </w:r>
      <w:proofErr w:type="gramEnd"/>
      <w:r w:rsidRPr="001F29B7">
        <w:rPr>
          <w:rFonts w:ascii="Gill Sans" w:hAnsi="Gill Sans" w:cs="Gill Sans"/>
          <w:bCs/>
          <w:lang w:val="en-AU"/>
        </w:rPr>
        <w:t xml:space="preserve"> of reasons why a tenant may have fallen into arrears, and solutions and assistance that address the root causes of a tenant’s inability to make rent payments are needed. </w:t>
      </w:r>
    </w:p>
    <w:p w:rsidR="001F29B7" w:rsidRPr="001F29B7" w:rsidRDefault="001F29B7" w:rsidP="001F29B7">
      <w:pPr>
        <w:jc w:val="both"/>
        <w:rPr>
          <w:rFonts w:ascii="Gill Sans" w:hAnsi="Gill Sans" w:cs="Gill Sans"/>
          <w:bCs/>
          <w:lang w:val="en-AU"/>
        </w:rPr>
      </w:pPr>
    </w:p>
    <w:p w:rsidR="001F29B7" w:rsidRPr="001F29B7" w:rsidRDefault="001F29B7" w:rsidP="001F29B7">
      <w:pPr>
        <w:jc w:val="both"/>
        <w:rPr>
          <w:rFonts w:ascii="Gill Sans" w:hAnsi="Gill Sans" w:cs="Gill Sans"/>
          <w:bCs/>
          <w:lang w:val="en-AU"/>
        </w:rPr>
      </w:pPr>
      <w:r w:rsidRPr="001F29B7">
        <w:rPr>
          <w:rFonts w:ascii="Gill Sans" w:hAnsi="Gill Sans" w:cs="Gill Sans"/>
          <w:bCs/>
          <w:lang w:val="en-AU"/>
        </w:rPr>
        <w:t xml:space="preserve">If the scheme is to go ahead, RLC submits that the power to request a deduction from a tenant </w:t>
      </w:r>
      <w:r w:rsidR="0023675B">
        <w:rPr>
          <w:rFonts w:ascii="Gill Sans" w:hAnsi="Gill Sans" w:cs="Gill Sans"/>
          <w:bCs/>
          <w:lang w:val="en-AU"/>
        </w:rPr>
        <w:t xml:space="preserve">who </w:t>
      </w:r>
      <w:r w:rsidRPr="001F29B7">
        <w:rPr>
          <w:rFonts w:ascii="Gill Sans" w:hAnsi="Gill Sans" w:cs="Gill Sans"/>
          <w:bCs/>
          <w:lang w:val="en-AU"/>
        </w:rPr>
        <w:t xml:space="preserve">a public housing landlord perceives is at risk should be removed. The factors listed </w:t>
      </w:r>
      <w:r w:rsidR="0023675B">
        <w:rPr>
          <w:rFonts w:ascii="Gill Sans" w:hAnsi="Gill Sans" w:cs="Gill Sans"/>
          <w:bCs/>
          <w:lang w:val="en-AU"/>
        </w:rPr>
        <w:t xml:space="preserve">in the </w:t>
      </w:r>
      <w:r w:rsidR="0023675B">
        <w:rPr>
          <w:rFonts w:ascii="Gill Sans" w:hAnsi="Gill Sans" w:cs="Gill Sans"/>
          <w:bCs/>
          <w:i/>
          <w:lang w:val="en-AU"/>
        </w:rPr>
        <w:t xml:space="preserve">Social Security (Public Housing Tenants’ Support) Risk of Non-Payment of Amount Rules (No 1) 2013 </w:t>
      </w:r>
      <w:r w:rsidRPr="001F29B7">
        <w:rPr>
          <w:rFonts w:ascii="Gill Sans" w:hAnsi="Gill Sans" w:cs="Gill Sans"/>
          <w:bCs/>
          <w:lang w:val="en-AU"/>
        </w:rPr>
        <w:t xml:space="preserve">do not necessarily indicate that a tenant is at higher risk of homelessness in the future. Instead, they grant a significant power to the landlord based on a tenant’s rental history rather than a current liability, and potentially further reduce the capacity of low income households to deal with unexpected costs. </w:t>
      </w:r>
    </w:p>
    <w:p w:rsidR="00D20D76" w:rsidRDefault="006366EE" w:rsidP="001D56F1">
      <w:pPr>
        <w:jc w:val="both"/>
        <w:rPr>
          <w:rFonts w:ascii="Gill Sans" w:hAnsi="Gill Sans" w:cs="Gill Sans"/>
        </w:rPr>
      </w:pPr>
      <w:r>
        <w:rPr>
          <w:rFonts w:ascii="Gill Sans" w:hAnsi="Gill Sans" w:cs="Gill Sans"/>
        </w:rPr>
        <w:t xml:space="preserve"> </w:t>
      </w:r>
    </w:p>
    <w:p w:rsidR="001F29B7" w:rsidRDefault="00B023F6" w:rsidP="009247F5">
      <w:pPr>
        <w:jc w:val="both"/>
        <w:rPr>
          <w:rFonts w:ascii="Gill Sans" w:hAnsi="Gill Sans" w:cs="Gill Sans"/>
          <w:b/>
        </w:rPr>
      </w:pPr>
      <w:r>
        <w:rPr>
          <w:noProof/>
        </w:rPr>
        <w:pict>
          <v:shape id="Text Box 11" o:spid="_x0000_s1027" type="#_x0000_t202" style="position:absolute;left:0;text-align:left;margin-left:0;margin-top:25.2pt;width:413.3pt;height:361.8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" filled="f" strokecolor="black [3213]">
            <v:textbox inset=",7.2pt,,7.2pt">
              <w:txbxContent>
                <w:p w:rsidR="00D33291" w:rsidRPr="00AB41E7" w:rsidRDefault="00D33291" w:rsidP="00924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b/>
                      <w:bCs/>
                      <w:color w:val="000000"/>
                    </w:rPr>
                  </w:pPr>
                  <w:r>
                    <w:rPr>
                      <w:rFonts w:ascii="Gill Sans" w:eastAsiaTheme="minorEastAsia" w:hAnsi="Gill Sans" w:cs="Gill Sans"/>
                      <w:b/>
                      <w:bCs/>
                      <w:color w:val="000000"/>
                    </w:rPr>
                    <w:t>C</w:t>
                  </w:r>
                  <w:r w:rsidR="003425AF">
                    <w:rPr>
                      <w:rFonts w:ascii="Gill Sans" w:eastAsiaTheme="minorEastAsia" w:hAnsi="Gill Sans" w:cs="Gill Sans"/>
                      <w:b/>
                      <w:bCs/>
                      <w:color w:val="000000"/>
                    </w:rPr>
                    <w:t xml:space="preserve">ase study: </w:t>
                  </w:r>
                  <w:r>
                    <w:rPr>
                      <w:rFonts w:ascii="Gill Sans" w:eastAsiaTheme="minorEastAsia" w:hAnsi="Gill Sans" w:cs="Gill Sans"/>
                      <w:b/>
                      <w:bCs/>
                      <w:color w:val="000000"/>
                    </w:rPr>
                    <w:t>What is a risk?</w:t>
                  </w:r>
                </w:p>
                <w:p w:rsidR="00D33291" w:rsidRDefault="00D33291" w:rsidP="00924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rPr>
                  </w:pPr>
                </w:p>
                <w:p w:rsidR="00D33291" w:rsidRPr="00E86E37" w:rsidRDefault="00D33291" w:rsidP="00F86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w:eastAsiaTheme="minorEastAsia" w:hAnsi="Gill Sans" w:cs="Gill Sans"/>
                      <w:bCs/>
                      <w:color w:val="000000"/>
                    </w:rPr>
                  </w:pPr>
                  <w:r w:rsidRPr="00E86E37">
                    <w:rPr>
                      <w:rFonts w:ascii="Gill Sans" w:eastAsiaTheme="minorEastAsia" w:hAnsi="Gill Sans" w:cs="Gill Sans"/>
                      <w:bCs/>
                      <w:color w:val="000000"/>
                    </w:rPr>
                    <w:t xml:space="preserve">Nadia lives with her three children in Potts Point. </w:t>
                  </w:r>
                  <w:r>
                    <w:rPr>
                      <w:rFonts w:ascii="Gill Sans" w:eastAsiaTheme="minorEastAsia" w:hAnsi="Gill Sans" w:cs="Gill Sans"/>
                      <w:bCs/>
                      <w:color w:val="000000"/>
                    </w:rPr>
                    <w:t xml:space="preserve">Her middle child suffers from an intellectual disability. Ten years ago she lived in a Housing NSW property with her partner, who was abusive towards her. Her partner took complete control of her finances and subjected her to physical and mental abuse. She was not even permitted to open her own mail. She fled the relationship and went to live with her mother. Her ex-partner continued to live in her property after she left but stopped paying rent. By the time he left the property, she had incurred a $3,000 debt. </w:t>
                  </w:r>
                </w:p>
                <w:p w:rsidR="00D33291" w:rsidRDefault="00D33291" w:rsidP="00F86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EastAsia" w:hAnsi="Arial" w:cs="Arial"/>
                      <w:b/>
                      <w:bCs/>
                      <w:color w:val="000000"/>
                    </w:rPr>
                  </w:pPr>
                </w:p>
                <w:p w:rsidR="00D33291" w:rsidRDefault="00D33291" w:rsidP="00F86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w:eastAsiaTheme="minorEastAsia" w:hAnsi="Gill Sans" w:cs="Gill Sans"/>
                      <w:bCs/>
                      <w:color w:val="000000"/>
                    </w:rPr>
                  </w:pPr>
                  <w:r>
                    <w:rPr>
                      <w:rFonts w:ascii="Gill Sans" w:eastAsiaTheme="minorEastAsia" w:hAnsi="Gill Sans" w:cs="Gill Sans"/>
                      <w:bCs/>
                      <w:color w:val="000000"/>
                    </w:rPr>
                    <w:t xml:space="preserve">Many years later Nadia wanted to move into a property on her own again, and needed space for her children, but still had an outstanding debt to Housing NSW. The debt was no longer legally enforceable, and had been cleared six years earlier, but Housing still sought to enforce it. Her situation was vastly different from when she first fled her tenancy, yet Housing NSW tried to deny her access to housing because of her rental history.   </w:t>
                  </w:r>
                </w:p>
                <w:p w:rsidR="00D33291" w:rsidRDefault="00D33291" w:rsidP="00F86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w:eastAsiaTheme="minorEastAsia" w:hAnsi="Gill Sans" w:cs="Gill Sans"/>
                      <w:bCs/>
                      <w:color w:val="000000"/>
                    </w:rPr>
                  </w:pPr>
                </w:p>
                <w:p w:rsidR="00D33291" w:rsidRDefault="00D33291" w:rsidP="00F86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w:eastAsiaTheme="minorEastAsia" w:hAnsi="Gill Sans" w:cs="Gill Sans"/>
                      <w:bCs/>
                      <w:color w:val="000000"/>
                    </w:rPr>
                  </w:pPr>
                  <w:r w:rsidRPr="00E86E37">
                    <w:rPr>
                      <w:rFonts w:ascii="Gill Sans" w:eastAsiaTheme="minorEastAsia" w:hAnsi="Gill Sans" w:cs="Gill Sans"/>
                      <w:bCs/>
                      <w:color w:val="000000"/>
                    </w:rPr>
                    <w:t xml:space="preserve">Appealing the decision to charge her the debt from her former tenancy took </w:t>
                  </w:r>
                  <w:r>
                    <w:rPr>
                      <w:rFonts w:ascii="Gill Sans" w:eastAsiaTheme="minorEastAsia" w:hAnsi="Gill Sans" w:cs="Gill Sans"/>
                      <w:bCs/>
                      <w:color w:val="000000"/>
                    </w:rPr>
                    <w:t xml:space="preserve">over ten months. During that time, Nadia was still paying off the arrears, on top of her regular rent, while caring for her three children, one of whom had a disability. This put a significant strain on her finances and her ability to independently manage her affairs for almost a year, not to mention the stress and emotional distress caused to the family during this time. </w:t>
                  </w:r>
                </w:p>
                <w:p w:rsidR="00D33291" w:rsidRDefault="00D33291" w:rsidP="009247F5">
                  <w:pPr>
                    <w:jc w:val="both"/>
                    <w:rPr>
                      <w:rFonts w:ascii="Gill Sans" w:hAnsi="Gill Sans" w:cs="Gill Sans"/>
                    </w:rPr>
                  </w:pPr>
                </w:p>
                <w:p w:rsidR="00D33291" w:rsidRPr="00497B1A" w:rsidRDefault="00D33291" w:rsidP="009247F5">
                  <w:pPr>
                    <w:jc w:val="both"/>
                    <w:rPr>
                      <w:rFonts w:ascii="Gill Sans" w:hAnsi="Gill Sans" w:cs="Gill Sans"/>
                    </w:rPr>
                  </w:pPr>
                </w:p>
              </w:txbxContent>
            </v:textbox>
            <w10:wrap type="square"/>
          </v:shape>
        </w:pict>
      </w:r>
    </w:p>
    <w:p w:rsidR="003425AF" w:rsidRDefault="003425AF">
      <w:pPr>
        <w:rPr>
          <w:rFonts w:ascii="Gill Sans" w:hAnsi="Gill Sans" w:cs="Gill Sans"/>
          <w:b/>
        </w:rPr>
      </w:pPr>
      <w:r>
        <w:rPr>
          <w:rFonts w:ascii="Gill Sans" w:hAnsi="Gill Sans" w:cs="Gill Sans"/>
          <w:b/>
        </w:rPr>
        <w:br w:type="page"/>
      </w:r>
    </w:p>
    <w:p w:rsidR="003F24CF" w:rsidRDefault="001F29B7" w:rsidP="009247F5">
      <w:pPr>
        <w:jc w:val="both"/>
        <w:rPr>
          <w:rFonts w:ascii="Gill Sans" w:hAnsi="Gill Sans" w:cs="Gill Sans"/>
          <w:b/>
        </w:rPr>
      </w:pPr>
      <w:r>
        <w:rPr>
          <w:rFonts w:ascii="Gill Sans" w:hAnsi="Gill Sans" w:cs="Gill Sans"/>
          <w:b/>
        </w:rPr>
        <w:lastRenderedPageBreak/>
        <w:t xml:space="preserve">c) </w:t>
      </w:r>
      <w:r w:rsidR="00F86826">
        <w:rPr>
          <w:rFonts w:ascii="Gill Sans" w:hAnsi="Gill Sans" w:cs="Gill Sans"/>
          <w:b/>
        </w:rPr>
        <w:t>A</w:t>
      </w:r>
      <w:r w:rsidR="003F24CF" w:rsidRPr="003F24CF">
        <w:rPr>
          <w:rFonts w:ascii="Gill Sans" w:hAnsi="Gill Sans" w:cs="Gill Sans"/>
          <w:b/>
        </w:rPr>
        <w:t xml:space="preserve">mount of deduction </w:t>
      </w:r>
    </w:p>
    <w:p w:rsidR="00FF5FAE" w:rsidRDefault="00FF5FAE" w:rsidP="009247F5">
      <w:pPr>
        <w:jc w:val="both"/>
        <w:rPr>
          <w:rFonts w:ascii="Gill Sans" w:hAnsi="Gill Sans" w:cs="Gill Sans"/>
          <w:b/>
        </w:rPr>
      </w:pPr>
    </w:p>
    <w:p w:rsidR="00FF5FAE" w:rsidRPr="0002211F" w:rsidRDefault="001D56F1" w:rsidP="009247F5">
      <w:pPr>
        <w:jc w:val="both"/>
        <w:rPr>
          <w:rFonts w:ascii="Gill Sans" w:hAnsi="Gill Sans" w:cs="Gill Sans"/>
        </w:rPr>
      </w:pPr>
      <w:r>
        <w:rPr>
          <w:rFonts w:ascii="Gill Sans" w:hAnsi="Gill Sans" w:cs="Gill Sans"/>
        </w:rPr>
        <w:t>The maximum amount of deduction</w:t>
      </w:r>
      <w:r w:rsidR="00E72B4F">
        <w:rPr>
          <w:rFonts w:ascii="Gill Sans" w:hAnsi="Gill Sans" w:cs="Gill Sans"/>
        </w:rPr>
        <w:t xml:space="preserve"> under the Scheme</w:t>
      </w:r>
      <w:r>
        <w:rPr>
          <w:rFonts w:ascii="Gill Sans" w:hAnsi="Gill Sans" w:cs="Gill Sans"/>
        </w:rPr>
        <w:t xml:space="preserve">, specified in clause 7 of the </w:t>
      </w:r>
      <w:r w:rsidR="001A2522">
        <w:rPr>
          <w:rFonts w:ascii="Gill Sans" w:hAnsi="Gill Sans" w:cs="Gill Sans"/>
        </w:rPr>
        <w:t xml:space="preserve">draft bill’s amendments to the </w:t>
      </w:r>
      <w:r w:rsidR="001A2522" w:rsidRPr="001A2522">
        <w:rPr>
          <w:rFonts w:ascii="Gill Sans" w:hAnsi="Gill Sans" w:cs="Gill Sans"/>
          <w:i/>
          <w:lang w:val="en-AU"/>
        </w:rPr>
        <w:t>Social Security (Administration) Act 1999</w:t>
      </w:r>
      <w:r>
        <w:rPr>
          <w:rFonts w:ascii="Gill Sans" w:hAnsi="Gill Sans" w:cs="Gill Sans"/>
        </w:rPr>
        <w:t xml:space="preserve">, </w:t>
      </w:r>
      <w:r w:rsidR="00E72B4F">
        <w:rPr>
          <w:rFonts w:ascii="Gill Sans" w:hAnsi="Gill Sans" w:cs="Gill Sans"/>
        </w:rPr>
        <w:t>is ‘35% of what would be the amount</w:t>
      </w:r>
      <w:r w:rsidR="00755E16">
        <w:rPr>
          <w:rFonts w:ascii="Gill Sans" w:hAnsi="Gill Sans" w:cs="Gill Sans"/>
        </w:rPr>
        <w:t xml:space="preserve"> of the payment’, being </w:t>
      </w:r>
      <w:r w:rsidR="002868DB">
        <w:rPr>
          <w:rFonts w:ascii="Gill Sans" w:hAnsi="Gill Sans" w:cs="Gill Sans"/>
        </w:rPr>
        <w:t xml:space="preserve">a divertible welfare payment covered by the Scheme. </w:t>
      </w:r>
      <w:r w:rsidR="00E72B4F">
        <w:rPr>
          <w:rFonts w:ascii="Gill Sans" w:hAnsi="Gill Sans" w:cs="Gill Sans"/>
        </w:rPr>
        <w:t xml:space="preserve">This </w:t>
      </w:r>
      <w:r>
        <w:rPr>
          <w:rFonts w:ascii="Gill Sans" w:hAnsi="Gill Sans" w:cs="Gill Sans"/>
        </w:rPr>
        <w:t xml:space="preserve">represents </w:t>
      </w:r>
      <w:r w:rsidR="001A2522">
        <w:rPr>
          <w:rFonts w:ascii="Gill Sans" w:hAnsi="Gill Sans" w:cs="Gill Sans"/>
        </w:rPr>
        <w:t xml:space="preserve">a significant proportion of the income of </w:t>
      </w:r>
      <w:r w:rsidR="0078610B">
        <w:rPr>
          <w:rFonts w:ascii="Gill Sans" w:hAnsi="Gill Sans" w:cs="Gill Sans"/>
        </w:rPr>
        <w:t xml:space="preserve">public housing tenants whose income derives </w:t>
      </w:r>
      <w:r w:rsidR="0016016C">
        <w:rPr>
          <w:rFonts w:ascii="Gill Sans" w:hAnsi="Gill Sans" w:cs="Gill Sans"/>
        </w:rPr>
        <w:t>solely from</w:t>
      </w:r>
      <w:r w:rsidR="0078610B">
        <w:rPr>
          <w:rFonts w:ascii="Gill Sans" w:hAnsi="Gill Sans" w:cs="Gill Sans"/>
        </w:rPr>
        <w:t xml:space="preserve"> government benefits. </w:t>
      </w:r>
    </w:p>
    <w:p w:rsidR="005E00B9" w:rsidRDefault="005E00B9" w:rsidP="009247F5">
      <w:pPr>
        <w:jc w:val="both"/>
        <w:rPr>
          <w:rFonts w:ascii="Gill Sans" w:hAnsi="Gill Sans" w:cs="Gill Sans"/>
        </w:rPr>
      </w:pPr>
    </w:p>
    <w:p w:rsidR="00F25850" w:rsidRDefault="00160B7E" w:rsidP="009247F5">
      <w:pPr>
        <w:jc w:val="both"/>
        <w:rPr>
          <w:rFonts w:ascii="Gill Sans" w:hAnsi="Gill Sans" w:cs="Gill Sans"/>
        </w:rPr>
      </w:pPr>
      <w:r>
        <w:rPr>
          <w:rFonts w:ascii="Gill Sans" w:hAnsi="Gill Sans" w:cs="Gill Sans"/>
        </w:rPr>
        <w:t>In studies on rental affordability, a household that</w:t>
      </w:r>
      <w:r w:rsidR="009033C9">
        <w:rPr>
          <w:rFonts w:ascii="Gill Sans" w:hAnsi="Gill Sans" w:cs="Gill Sans"/>
        </w:rPr>
        <w:t xml:space="preserve"> is in the bottom 40% of income distribution and</w:t>
      </w:r>
      <w:r>
        <w:rPr>
          <w:rFonts w:ascii="Gill Sans" w:hAnsi="Gill Sans" w:cs="Gill Sans"/>
        </w:rPr>
        <w:t xml:space="preserve"> must pay 30% of income </w:t>
      </w:r>
      <w:r w:rsidR="009033C9">
        <w:rPr>
          <w:rFonts w:ascii="Gill Sans" w:hAnsi="Gill Sans" w:cs="Gill Sans"/>
        </w:rPr>
        <w:t>or more is considered to be in housing stress.</w:t>
      </w:r>
      <w:r w:rsidR="009033C9">
        <w:rPr>
          <w:rStyle w:val="FootnoteReference"/>
          <w:rFonts w:ascii="Gill Sans" w:hAnsi="Gill Sans" w:cs="Gill Sans"/>
        </w:rPr>
        <w:footnoteReference w:id="1"/>
      </w:r>
      <w:r w:rsidR="009033C9">
        <w:rPr>
          <w:rFonts w:ascii="Gill Sans" w:hAnsi="Gill Sans" w:cs="Gill Sans"/>
        </w:rPr>
        <w:t xml:space="preserve"> </w:t>
      </w:r>
      <w:r w:rsidR="0065370E">
        <w:rPr>
          <w:rFonts w:ascii="Gill Sans" w:hAnsi="Gill Sans" w:cs="Gill Sans"/>
        </w:rPr>
        <w:t>The recent Anglicare rental affordability snapshot noted, quoting the</w:t>
      </w:r>
      <w:r w:rsidR="00067118">
        <w:rPr>
          <w:rFonts w:ascii="Gill Sans" w:hAnsi="Gill Sans" w:cs="Gill Sans"/>
        </w:rPr>
        <w:t xml:space="preserve"> findings of the </w:t>
      </w:r>
      <w:r w:rsidR="00067118" w:rsidRPr="00067118">
        <w:rPr>
          <w:rFonts w:ascii="Gill Sans" w:hAnsi="Gill Sans" w:cs="Gill Sans"/>
        </w:rPr>
        <w:t>Australian Institute of Health and Welfare (AIHW)</w:t>
      </w:r>
      <w:r w:rsidR="00831E57">
        <w:rPr>
          <w:rFonts w:ascii="Gill Sans" w:hAnsi="Gill Sans" w:cs="Gill Sans"/>
        </w:rPr>
        <w:t>,</w:t>
      </w:r>
      <w:r w:rsidR="00067118">
        <w:rPr>
          <w:rFonts w:ascii="Gill Sans" w:hAnsi="Gill Sans" w:cs="Gill Sans"/>
        </w:rPr>
        <w:t xml:space="preserve"> </w:t>
      </w:r>
      <w:r w:rsidR="0065370E">
        <w:rPr>
          <w:rFonts w:ascii="Gill Sans" w:hAnsi="Gill Sans" w:cs="Gill Sans"/>
        </w:rPr>
        <w:t xml:space="preserve">that the number of households in housing stress has increased </w:t>
      </w:r>
      <w:r w:rsidR="00067118">
        <w:rPr>
          <w:rFonts w:ascii="Gill Sans" w:hAnsi="Gill Sans" w:cs="Gill Sans"/>
        </w:rPr>
        <w:t>markedly in the 15 years to 2010.</w:t>
      </w:r>
      <w:r w:rsidR="00067118">
        <w:rPr>
          <w:rStyle w:val="FootnoteReference"/>
          <w:rFonts w:ascii="Gill Sans" w:hAnsi="Gill Sans" w:cs="Gill Sans"/>
        </w:rPr>
        <w:footnoteReference w:id="2"/>
      </w:r>
      <w:r w:rsidR="00067118">
        <w:rPr>
          <w:rFonts w:ascii="Gill Sans" w:hAnsi="Gill Sans" w:cs="Gill Sans"/>
        </w:rPr>
        <w:t xml:space="preserve"> The Anglicare study </w:t>
      </w:r>
      <w:r w:rsidR="0065370E">
        <w:rPr>
          <w:rFonts w:ascii="Gill Sans" w:hAnsi="Gill Sans" w:cs="Gill Sans"/>
        </w:rPr>
        <w:t xml:space="preserve">identified </w:t>
      </w:r>
      <w:r w:rsidR="00831E57">
        <w:rPr>
          <w:rFonts w:ascii="Gill Sans" w:hAnsi="Gill Sans" w:cs="Gill Sans"/>
        </w:rPr>
        <w:t xml:space="preserve">as </w:t>
      </w:r>
      <w:r w:rsidR="0065370E">
        <w:rPr>
          <w:rFonts w:ascii="Gill Sans" w:hAnsi="Gill Sans" w:cs="Gill Sans"/>
        </w:rPr>
        <w:t>major contr</w:t>
      </w:r>
      <w:r w:rsidR="00831E57">
        <w:rPr>
          <w:rFonts w:ascii="Gill Sans" w:hAnsi="Gill Sans" w:cs="Gill Sans"/>
        </w:rPr>
        <w:t xml:space="preserve">ibuting factor </w:t>
      </w:r>
      <w:r w:rsidR="00067118">
        <w:rPr>
          <w:rFonts w:ascii="Gill Sans" w:hAnsi="Gill Sans" w:cs="Gill Sans"/>
        </w:rPr>
        <w:t xml:space="preserve">that benefits, including Commonwealth rental assistance and the </w:t>
      </w:r>
      <w:proofErr w:type="spellStart"/>
      <w:r w:rsidR="00067118">
        <w:rPr>
          <w:rFonts w:ascii="Gill Sans" w:hAnsi="Gill Sans" w:cs="Gill Sans"/>
        </w:rPr>
        <w:t>Newstart</w:t>
      </w:r>
      <w:proofErr w:type="spellEnd"/>
      <w:r w:rsidR="00067118">
        <w:rPr>
          <w:rFonts w:ascii="Gill Sans" w:hAnsi="Gill Sans" w:cs="Gill Sans"/>
        </w:rPr>
        <w:t xml:space="preserve"> allowance, are not adequate to meet housing needs.  </w:t>
      </w:r>
    </w:p>
    <w:p w:rsidR="00F25850" w:rsidRDefault="00F25850" w:rsidP="009247F5">
      <w:pPr>
        <w:jc w:val="both"/>
        <w:rPr>
          <w:rFonts w:ascii="Gill Sans" w:hAnsi="Gill Sans" w:cs="Gill Sans"/>
        </w:rPr>
      </w:pPr>
    </w:p>
    <w:p w:rsidR="00160B7E" w:rsidRDefault="00F6231B" w:rsidP="009247F5">
      <w:pPr>
        <w:jc w:val="both"/>
        <w:rPr>
          <w:rFonts w:ascii="Gill Sans" w:hAnsi="Gill Sans" w:cs="Gill Sans"/>
        </w:rPr>
      </w:pPr>
      <w:r>
        <w:rPr>
          <w:rFonts w:ascii="Gill Sans" w:hAnsi="Gill Sans" w:cs="Gill Sans"/>
        </w:rPr>
        <w:t xml:space="preserve">Further, there has been a significant increase in the last ten years in the uptake of high cost short-term loans or payday loans. These loans are often for small amounts, with short repayment periods, and interest rates that can equate to up to 400% per annum. </w:t>
      </w:r>
      <w:r w:rsidR="00EA7B7F">
        <w:rPr>
          <w:rFonts w:ascii="Gill Sans" w:hAnsi="Gill Sans" w:cs="Gill Sans"/>
        </w:rPr>
        <w:t>Research published by the Consumer Action Law Centre</w:t>
      </w:r>
      <w:r>
        <w:rPr>
          <w:rFonts w:ascii="Gill Sans" w:hAnsi="Gill Sans" w:cs="Gill Sans"/>
        </w:rPr>
        <w:t xml:space="preserve"> indicates that 85% of high cost </w:t>
      </w:r>
      <w:r w:rsidR="006A7F1B">
        <w:rPr>
          <w:rFonts w:ascii="Gill Sans" w:hAnsi="Gill Sans" w:cs="Gill Sans"/>
        </w:rPr>
        <w:t>short-term</w:t>
      </w:r>
      <w:r>
        <w:rPr>
          <w:rFonts w:ascii="Gill Sans" w:hAnsi="Gill Sans" w:cs="Gill Sans"/>
        </w:rPr>
        <w:t xml:space="preserve"> loan borrowers earn less than $33,000 per year, and at least 20-30% of payday loan </w:t>
      </w:r>
      <w:r w:rsidR="00B91E67">
        <w:rPr>
          <w:rFonts w:ascii="Gill Sans" w:hAnsi="Gill Sans" w:cs="Gill Sans"/>
        </w:rPr>
        <w:t>borrowers</w:t>
      </w:r>
      <w:r>
        <w:rPr>
          <w:rFonts w:ascii="Gill Sans" w:hAnsi="Gill Sans" w:cs="Gill Sans"/>
        </w:rPr>
        <w:t xml:space="preserve"> are on Centrelink benefits.</w:t>
      </w:r>
      <w:r w:rsidR="00EA7B7F">
        <w:rPr>
          <w:rStyle w:val="FootnoteReference"/>
          <w:rFonts w:ascii="Gill Sans" w:hAnsi="Gill Sans" w:cs="Gill Sans"/>
        </w:rPr>
        <w:footnoteReference w:id="3"/>
      </w:r>
      <w:r>
        <w:rPr>
          <w:rFonts w:ascii="Gill Sans" w:hAnsi="Gill Sans" w:cs="Gill Sans"/>
        </w:rPr>
        <w:t xml:space="preserve"> The overwhelming purpose of the loans recorded in that survey </w:t>
      </w:r>
      <w:r w:rsidR="006A7F1B">
        <w:rPr>
          <w:rFonts w:ascii="Gill Sans" w:hAnsi="Gill Sans" w:cs="Gill Sans"/>
        </w:rPr>
        <w:t>(over 53%) wa</w:t>
      </w:r>
      <w:r>
        <w:rPr>
          <w:rFonts w:ascii="Gill Sans" w:hAnsi="Gill Sans" w:cs="Gill Sans"/>
        </w:rPr>
        <w:t xml:space="preserve">s to meet everyday expenses and to pay bills. </w:t>
      </w:r>
      <w:r w:rsidR="00D33291">
        <w:rPr>
          <w:rFonts w:ascii="Gill Sans" w:hAnsi="Gill Sans" w:cs="Gill Sans"/>
        </w:rPr>
        <w:t>Short-term</w:t>
      </w:r>
      <w:r w:rsidR="006A7F1B">
        <w:rPr>
          <w:rFonts w:ascii="Gill Sans" w:hAnsi="Gill Sans" w:cs="Gill Sans"/>
        </w:rPr>
        <w:t xml:space="preserve"> high cost loans are both an indication of and a contributor to extreme financial stress. </w:t>
      </w:r>
      <w:r w:rsidR="006365F6">
        <w:rPr>
          <w:rFonts w:ascii="Gill Sans" w:hAnsi="Gill Sans" w:cs="Gill Sans"/>
        </w:rPr>
        <w:t xml:space="preserve">These marginalised lenders are often excluded from mainstream lending, which has more robust protections in place. </w:t>
      </w:r>
      <w:r w:rsidR="006A7F1B">
        <w:rPr>
          <w:rFonts w:ascii="Gill Sans" w:hAnsi="Gill Sans" w:cs="Gill Sans"/>
        </w:rPr>
        <w:t xml:space="preserve">Allowing deductions from statutory income to meet arrears has the potential to push even more low-income earners towards unsustainable high-cost loans. </w:t>
      </w:r>
    </w:p>
    <w:p w:rsidR="00067118" w:rsidRDefault="00067118" w:rsidP="009247F5">
      <w:pPr>
        <w:jc w:val="both"/>
        <w:rPr>
          <w:rFonts w:ascii="Gill Sans" w:hAnsi="Gill Sans" w:cs="Gill Sans"/>
        </w:rPr>
      </w:pPr>
    </w:p>
    <w:p w:rsidR="00067118" w:rsidRDefault="00F6231B" w:rsidP="009247F5">
      <w:pPr>
        <w:jc w:val="both"/>
        <w:rPr>
          <w:rFonts w:ascii="Gill Sans" w:hAnsi="Gill Sans" w:cs="Gill Sans"/>
        </w:rPr>
      </w:pPr>
      <w:r>
        <w:rPr>
          <w:rFonts w:ascii="Gill Sans" w:hAnsi="Gill Sans" w:cs="Gill Sans"/>
        </w:rPr>
        <w:t>A</w:t>
      </w:r>
      <w:r w:rsidR="00067118">
        <w:rPr>
          <w:rFonts w:ascii="Gill Sans" w:hAnsi="Gill Sans" w:cs="Gill Sans"/>
        </w:rPr>
        <w:t>uthorising a public housing landlord to request a deduction from a welfare payment will not address the systemic causes of tenants’ inability to consistently meet rent payments</w:t>
      </w:r>
      <w:r w:rsidR="006D0679">
        <w:rPr>
          <w:rFonts w:ascii="Gill Sans" w:hAnsi="Gill Sans" w:cs="Gill Sans"/>
        </w:rPr>
        <w:t>.</w:t>
      </w:r>
      <w:r w:rsidR="00067118">
        <w:rPr>
          <w:rFonts w:ascii="Gill Sans" w:hAnsi="Gill Sans" w:cs="Gill Sans"/>
        </w:rPr>
        <w:t xml:space="preserve"> </w:t>
      </w:r>
      <w:r w:rsidR="00487C09">
        <w:rPr>
          <w:rFonts w:ascii="Gill Sans" w:hAnsi="Gill Sans" w:cs="Gill Sans"/>
        </w:rPr>
        <w:t>R</w:t>
      </w:r>
      <w:r w:rsidR="00067118">
        <w:rPr>
          <w:rFonts w:ascii="Gill Sans" w:hAnsi="Gill Sans" w:cs="Gill Sans"/>
        </w:rPr>
        <w:t xml:space="preserve">LC has seen a large number of </w:t>
      </w:r>
      <w:r w:rsidR="006D0679">
        <w:rPr>
          <w:rFonts w:ascii="Gill Sans" w:hAnsi="Gill Sans" w:cs="Gill Sans"/>
        </w:rPr>
        <w:t>clients who are struggling to meet rental payments who need individualised support and assistance to identify strategies to meet their rental liabilities. The Housing Payments Deduction Sche</w:t>
      </w:r>
      <w:r w:rsidR="006D0679" w:rsidRPr="00D61985">
        <w:rPr>
          <w:rFonts w:ascii="Gill Sans" w:hAnsi="Gill Sans" w:cs="Gill Sans"/>
        </w:rPr>
        <w:t>me</w:t>
      </w:r>
      <w:r w:rsidR="006D0679">
        <w:rPr>
          <w:rFonts w:ascii="Gill Sans" w:hAnsi="Gill Sans" w:cs="Gill Sans"/>
        </w:rPr>
        <w:t xml:space="preserve"> </w:t>
      </w:r>
      <w:r w:rsidR="00D61985">
        <w:rPr>
          <w:rFonts w:ascii="Gill Sans" w:hAnsi="Gill Sans" w:cs="Gill Sans"/>
        </w:rPr>
        <w:t xml:space="preserve">would put further pressures on tenants already struggling to meet basic needs through welfare payments, without due regard to the individual circumstances and needs that may have put the household into arrears.  </w:t>
      </w:r>
    </w:p>
    <w:p w:rsidR="002868DB" w:rsidRDefault="002868DB" w:rsidP="009247F5">
      <w:pPr>
        <w:jc w:val="both"/>
        <w:rPr>
          <w:rFonts w:ascii="Gill Sans" w:hAnsi="Gill Sans" w:cs="Gill Sans"/>
        </w:rPr>
      </w:pPr>
    </w:p>
    <w:p w:rsidR="00067118" w:rsidRDefault="006366EE" w:rsidP="009247F5">
      <w:pPr>
        <w:jc w:val="both"/>
        <w:rPr>
          <w:rFonts w:ascii="Gill Sans" w:hAnsi="Gill Sans" w:cs="Gill Sans"/>
        </w:rPr>
      </w:pPr>
      <w:r>
        <w:rPr>
          <w:rFonts w:ascii="Gill Sans" w:hAnsi="Gill Sans" w:cs="Gill Sans"/>
        </w:rPr>
        <w:t xml:space="preserve">If the scheme is to go ahead, RLC submits that the maximum amount of the deduction should be decreased so that </w:t>
      </w:r>
      <w:r w:rsidR="00160B7E">
        <w:rPr>
          <w:rFonts w:ascii="Gill Sans" w:hAnsi="Gill Sans" w:cs="Gill Sans"/>
        </w:rPr>
        <w:t xml:space="preserve">the potential of the Scheme to push tenants into </w:t>
      </w:r>
      <w:r w:rsidR="009033C9">
        <w:rPr>
          <w:rFonts w:ascii="Gill Sans" w:hAnsi="Gill Sans" w:cs="Gill Sans"/>
        </w:rPr>
        <w:t>housing</w:t>
      </w:r>
      <w:r w:rsidR="00160B7E">
        <w:rPr>
          <w:rFonts w:ascii="Gill Sans" w:hAnsi="Gill Sans" w:cs="Gill Sans"/>
        </w:rPr>
        <w:t xml:space="preserve"> stress is </w:t>
      </w:r>
      <w:r w:rsidR="00831E57">
        <w:rPr>
          <w:rFonts w:ascii="Gill Sans" w:hAnsi="Gill Sans" w:cs="Gill Sans"/>
        </w:rPr>
        <w:t>lessened</w:t>
      </w:r>
      <w:r w:rsidR="00160B7E">
        <w:rPr>
          <w:rFonts w:ascii="Gill Sans" w:hAnsi="Gill Sans" w:cs="Gill Sans"/>
        </w:rPr>
        <w:t xml:space="preserve">. The Scheme should recognise the difficulty </w:t>
      </w:r>
      <w:r w:rsidR="006D0679">
        <w:rPr>
          <w:rFonts w:ascii="Gill Sans" w:hAnsi="Gill Sans" w:cs="Gill Sans"/>
        </w:rPr>
        <w:t>that public</w:t>
      </w:r>
      <w:r w:rsidR="00D61985">
        <w:rPr>
          <w:rFonts w:ascii="Gill Sans" w:hAnsi="Gill Sans" w:cs="Gill Sans"/>
        </w:rPr>
        <w:t xml:space="preserve"> housing </w:t>
      </w:r>
      <w:r w:rsidR="006D0679">
        <w:rPr>
          <w:rFonts w:ascii="Gill Sans" w:hAnsi="Gill Sans" w:cs="Gill Sans"/>
        </w:rPr>
        <w:t>tenants face in meeting</w:t>
      </w:r>
      <w:r w:rsidR="00D61985">
        <w:rPr>
          <w:rFonts w:ascii="Gill Sans" w:hAnsi="Gill Sans" w:cs="Gill Sans"/>
        </w:rPr>
        <w:t xml:space="preserve"> their rent payment obligations</w:t>
      </w:r>
      <w:r w:rsidR="00831E57">
        <w:rPr>
          <w:rFonts w:ascii="Gill Sans" w:hAnsi="Gill Sans" w:cs="Gill Sans"/>
        </w:rPr>
        <w:t>, and not impose a standard that will further disadvantage those on the lowest incomes</w:t>
      </w:r>
      <w:r w:rsidR="00D61985">
        <w:rPr>
          <w:rFonts w:ascii="Gill Sans" w:hAnsi="Gill Sans" w:cs="Gill Sans"/>
        </w:rPr>
        <w:t xml:space="preserve">. </w:t>
      </w:r>
    </w:p>
    <w:p w:rsidR="006D0679" w:rsidRDefault="006D0679" w:rsidP="009247F5">
      <w:pPr>
        <w:jc w:val="both"/>
        <w:rPr>
          <w:rFonts w:ascii="Gill Sans" w:hAnsi="Gill Sans" w:cs="Gill Sans"/>
        </w:rPr>
      </w:pPr>
    </w:p>
    <w:p w:rsidR="006366EE" w:rsidRPr="0078610B" w:rsidRDefault="00067118" w:rsidP="009247F5">
      <w:pPr>
        <w:jc w:val="both"/>
        <w:rPr>
          <w:rFonts w:ascii="Gill Sans" w:hAnsi="Gill Sans" w:cs="Gill Sans"/>
        </w:rPr>
      </w:pPr>
      <w:r>
        <w:rPr>
          <w:rFonts w:ascii="Gill Sans" w:hAnsi="Gill Sans" w:cs="Gill Sans"/>
        </w:rPr>
        <w:t>RLC supports the exemption of lump sum</w:t>
      </w:r>
      <w:r w:rsidR="006D0679">
        <w:rPr>
          <w:rFonts w:ascii="Gill Sans" w:hAnsi="Gill Sans" w:cs="Gill Sans"/>
        </w:rPr>
        <w:t>, short-term</w:t>
      </w:r>
      <w:r>
        <w:rPr>
          <w:rFonts w:ascii="Gill Sans" w:hAnsi="Gill Sans" w:cs="Gill Sans"/>
        </w:rPr>
        <w:t xml:space="preserve"> </w:t>
      </w:r>
      <w:r w:rsidR="006D0679">
        <w:rPr>
          <w:rFonts w:ascii="Gill Sans" w:hAnsi="Gill Sans" w:cs="Gill Sans"/>
        </w:rPr>
        <w:t xml:space="preserve">and supplement </w:t>
      </w:r>
      <w:r>
        <w:rPr>
          <w:rFonts w:ascii="Gill Sans" w:hAnsi="Gill Sans" w:cs="Gill Sans"/>
        </w:rPr>
        <w:t xml:space="preserve">payments </w:t>
      </w:r>
      <w:r w:rsidR="006D0679">
        <w:rPr>
          <w:rFonts w:ascii="Gill Sans" w:hAnsi="Gill Sans" w:cs="Gill Sans"/>
        </w:rPr>
        <w:t xml:space="preserve">from the Scheme. </w:t>
      </w:r>
      <w:r>
        <w:rPr>
          <w:rFonts w:ascii="Gill Sans" w:hAnsi="Gill Sans" w:cs="Gill Sans"/>
        </w:rPr>
        <w:t xml:space="preserve"> </w:t>
      </w:r>
      <w:r w:rsidR="006366EE">
        <w:rPr>
          <w:rFonts w:ascii="Gill Sans" w:hAnsi="Gill Sans" w:cs="Gill Sans"/>
        </w:rPr>
        <w:t xml:space="preserve"> </w:t>
      </w:r>
    </w:p>
    <w:p w:rsidR="0078610B" w:rsidRPr="0078610B" w:rsidRDefault="0078610B" w:rsidP="00924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b/>
          <w:bCs/>
          <w:color w:val="000000"/>
        </w:rPr>
      </w:pPr>
    </w:p>
    <w:p w:rsidR="0078610B" w:rsidRPr="0078610B" w:rsidRDefault="001F29B7" w:rsidP="00924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b/>
          <w:bCs/>
          <w:color w:val="000000"/>
        </w:rPr>
      </w:pPr>
      <w:r>
        <w:rPr>
          <w:rFonts w:ascii="Gill Sans" w:eastAsiaTheme="minorEastAsia" w:hAnsi="Gill Sans" w:cs="Gill Sans"/>
          <w:b/>
          <w:bCs/>
          <w:color w:val="000000"/>
        </w:rPr>
        <w:t xml:space="preserve">d) </w:t>
      </w:r>
      <w:r w:rsidR="0078610B" w:rsidRPr="0078610B">
        <w:rPr>
          <w:rFonts w:ascii="Gill Sans" w:eastAsiaTheme="minorEastAsia" w:hAnsi="Gill Sans" w:cs="Gill Sans"/>
          <w:b/>
          <w:bCs/>
          <w:color w:val="000000"/>
        </w:rPr>
        <w:t>Mechanisms for review</w:t>
      </w:r>
    </w:p>
    <w:p w:rsidR="009D2B30" w:rsidRDefault="009D2B30" w:rsidP="00151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eastAsia="Times New Roman" w:hAnsi="Gill Sans" w:cs="Gill Sans"/>
          <w:szCs w:val="24"/>
        </w:rPr>
      </w:pPr>
    </w:p>
    <w:p w:rsidR="00D61985" w:rsidRDefault="0078610B" w:rsidP="00151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eastAsia="Times New Roman" w:hAnsi="Gill Sans" w:cs="Gill Sans"/>
          <w:szCs w:val="24"/>
        </w:rPr>
      </w:pPr>
      <w:r>
        <w:rPr>
          <w:rFonts w:ascii="Gill Sans" w:eastAsia="Times New Roman" w:hAnsi="Gill Sans" w:cs="Gill Sans"/>
          <w:szCs w:val="24"/>
        </w:rPr>
        <w:t xml:space="preserve">RLC </w:t>
      </w:r>
      <w:r w:rsidR="006D0679">
        <w:rPr>
          <w:rFonts w:ascii="Gill Sans" w:eastAsia="Times New Roman" w:hAnsi="Gill Sans" w:cs="Gill Sans"/>
          <w:szCs w:val="24"/>
        </w:rPr>
        <w:t xml:space="preserve">submits that if the scheme is to go ahead, </w:t>
      </w:r>
      <w:r w:rsidR="00E76BA8">
        <w:rPr>
          <w:rFonts w:ascii="Gill Sans" w:eastAsia="Times New Roman" w:hAnsi="Gill Sans" w:cs="Gill Sans"/>
          <w:szCs w:val="24"/>
        </w:rPr>
        <w:t xml:space="preserve">CTTT orders should be sought for money owed. In the alternative, </w:t>
      </w:r>
      <w:r w:rsidR="006D0679">
        <w:rPr>
          <w:rFonts w:ascii="Gill Sans" w:eastAsia="Times New Roman" w:hAnsi="Gill Sans" w:cs="Gill Sans"/>
          <w:szCs w:val="24"/>
        </w:rPr>
        <w:t xml:space="preserve">processes </w:t>
      </w:r>
      <w:r w:rsidR="00D61985">
        <w:rPr>
          <w:rFonts w:ascii="Gill Sans" w:eastAsia="Times New Roman" w:hAnsi="Gill Sans" w:cs="Gill Sans"/>
          <w:szCs w:val="24"/>
        </w:rPr>
        <w:t>must be put in place that specify:</w:t>
      </w:r>
    </w:p>
    <w:p w:rsidR="00D61985" w:rsidRDefault="00D61985" w:rsidP="00151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eastAsia="Times New Roman" w:hAnsi="Gill Sans" w:cs="Gill Sans"/>
          <w:szCs w:val="24"/>
        </w:rPr>
      </w:pPr>
    </w:p>
    <w:p w:rsidR="00D61985" w:rsidRDefault="00D61985" w:rsidP="00D61985">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eastAsia="Times New Roman" w:hAnsi="Gill Sans" w:cs="Gill Sans"/>
          <w:szCs w:val="24"/>
        </w:rPr>
      </w:pPr>
      <w:r>
        <w:rPr>
          <w:rFonts w:ascii="Gill Sans" w:eastAsia="Times New Roman" w:hAnsi="Gill Sans" w:cs="Gill Sans"/>
          <w:szCs w:val="24"/>
        </w:rPr>
        <w:t>The minimum steps a public housing provider must go through before requesting a deduction, which should include at least:</w:t>
      </w:r>
    </w:p>
    <w:p w:rsidR="009F62E5" w:rsidRDefault="009F62E5" w:rsidP="009F62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eastAsia="Times New Roman" w:hAnsi="Gill Sans" w:cs="Gill Sans"/>
          <w:szCs w:val="24"/>
        </w:rPr>
      </w:pPr>
    </w:p>
    <w:p w:rsidR="00D61985" w:rsidRDefault="00D61985" w:rsidP="00D61985">
      <w:pPr>
        <w:pStyle w:val="Body"/>
        <w:numPr>
          <w:ilvl w:val="1"/>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eastAsia="Times New Roman" w:hAnsi="Gill Sans" w:cs="Gill Sans"/>
          <w:szCs w:val="24"/>
        </w:rPr>
      </w:pPr>
      <w:r>
        <w:rPr>
          <w:rFonts w:ascii="Gill Sans" w:eastAsia="Times New Roman" w:hAnsi="Gill Sans" w:cs="Gill Sans"/>
          <w:szCs w:val="24"/>
        </w:rPr>
        <w:t>A letter of demand</w:t>
      </w:r>
      <w:r w:rsidR="00E76BA8">
        <w:rPr>
          <w:rFonts w:ascii="Gill Sans" w:eastAsia="Times New Roman" w:hAnsi="Gill Sans" w:cs="Gill Sans"/>
          <w:szCs w:val="24"/>
        </w:rPr>
        <w:t xml:space="preserve"> with particulars</w:t>
      </w:r>
      <w:r>
        <w:rPr>
          <w:rFonts w:ascii="Gill Sans" w:eastAsia="Times New Roman" w:hAnsi="Gill Sans" w:cs="Gill Sans"/>
          <w:szCs w:val="24"/>
        </w:rPr>
        <w:t>, and</w:t>
      </w:r>
    </w:p>
    <w:p w:rsidR="00D61985" w:rsidRDefault="00D61985" w:rsidP="00D61985">
      <w:pPr>
        <w:pStyle w:val="Body"/>
        <w:numPr>
          <w:ilvl w:val="1"/>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eastAsia="Times New Roman" w:hAnsi="Gill Sans" w:cs="Gill Sans"/>
          <w:szCs w:val="24"/>
        </w:rPr>
      </w:pPr>
      <w:r>
        <w:rPr>
          <w:rFonts w:ascii="Gill Sans" w:eastAsia="Times New Roman" w:hAnsi="Gill Sans" w:cs="Gill Sans"/>
          <w:szCs w:val="24"/>
        </w:rPr>
        <w:t xml:space="preserve">A mandatory interview with the client. </w:t>
      </w:r>
    </w:p>
    <w:p w:rsidR="00D61985" w:rsidRDefault="00D61985" w:rsidP="00D619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eastAsia="Times New Roman" w:hAnsi="Gill Sans" w:cs="Gill Sans"/>
          <w:szCs w:val="24"/>
        </w:rPr>
      </w:pPr>
    </w:p>
    <w:p w:rsidR="00D61985" w:rsidRDefault="00D61985" w:rsidP="00D61985">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eastAsia="Times New Roman" w:hAnsi="Gill Sans" w:cs="Gill Sans"/>
          <w:szCs w:val="24"/>
        </w:rPr>
      </w:pPr>
      <w:r>
        <w:rPr>
          <w:rFonts w:ascii="Gill Sans" w:eastAsia="Times New Roman" w:hAnsi="Gill Sans" w:cs="Gill Sans"/>
          <w:szCs w:val="24"/>
        </w:rPr>
        <w:t xml:space="preserve">The proof of the debt or liability that must be put to the client, and a reasonable minimum period </w:t>
      </w:r>
      <w:r w:rsidR="009F62E5">
        <w:rPr>
          <w:rFonts w:ascii="Gill Sans" w:eastAsia="Times New Roman" w:hAnsi="Gill Sans" w:cs="Gill Sans"/>
          <w:szCs w:val="24"/>
        </w:rPr>
        <w:t xml:space="preserve">for them to respond. </w:t>
      </w:r>
    </w:p>
    <w:p w:rsidR="009F62E5" w:rsidRDefault="009F62E5" w:rsidP="009F62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eastAsia="Times New Roman" w:hAnsi="Gill Sans" w:cs="Gill Sans"/>
          <w:szCs w:val="24"/>
        </w:rPr>
      </w:pPr>
    </w:p>
    <w:p w:rsidR="0078610B" w:rsidRDefault="009F62E5" w:rsidP="009F62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eastAsia="Times New Roman" w:hAnsi="Gill Sans" w:cs="Gill Sans"/>
          <w:szCs w:val="24"/>
        </w:rPr>
      </w:pPr>
      <w:r>
        <w:rPr>
          <w:rFonts w:ascii="Gill Sans" w:eastAsia="Times New Roman" w:hAnsi="Gill Sans" w:cs="Gill Sans"/>
          <w:szCs w:val="24"/>
        </w:rPr>
        <w:t xml:space="preserve">Authorising a deduction directly from someone’s income is a serious step and it should be accompanied by </w:t>
      </w:r>
      <w:r w:rsidR="005A7120">
        <w:rPr>
          <w:rFonts w:ascii="Gill Sans" w:eastAsia="Times New Roman" w:hAnsi="Gill Sans" w:cs="Gill Sans"/>
          <w:szCs w:val="24"/>
        </w:rPr>
        <w:t xml:space="preserve">extra procedures on top of those in place for a tenant to appeal the decision of a public housing provider. </w:t>
      </w:r>
      <w:r w:rsidR="001B0E08">
        <w:rPr>
          <w:rFonts w:ascii="Gill Sans" w:eastAsia="Times New Roman" w:hAnsi="Gill Sans" w:cs="Gill Sans"/>
          <w:szCs w:val="24"/>
        </w:rPr>
        <w:t xml:space="preserve">The </w:t>
      </w:r>
      <w:r w:rsidR="00E76BA8">
        <w:rPr>
          <w:rFonts w:ascii="Gill Sans" w:eastAsia="Times New Roman" w:hAnsi="Gill Sans" w:cs="Gill Sans"/>
          <w:szCs w:val="24"/>
        </w:rPr>
        <w:t>considerations put forward to enable</w:t>
      </w:r>
      <w:r w:rsidR="001B0E08">
        <w:rPr>
          <w:rFonts w:ascii="Gill Sans" w:eastAsia="Times New Roman" w:hAnsi="Gill Sans" w:cs="Gill Sans"/>
          <w:szCs w:val="24"/>
        </w:rPr>
        <w:t xml:space="preserve"> a public housing provider </w:t>
      </w:r>
      <w:r w:rsidR="00E76BA8">
        <w:rPr>
          <w:rFonts w:ascii="Gill Sans" w:eastAsia="Times New Roman" w:hAnsi="Gill Sans" w:cs="Gill Sans"/>
          <w:szCs w:val="24"/>
        </w:rPr>
        <w:t xml:space="preserve">to request </w:t>
      </w:r>
      <w:r w:rsidR="001B0E08">
        <w:rPr>
          <w:rFonts w:ascii="Gill Sans" w:eastAsia="Times New Roman" w:hAnsi="Gill Sans" w:cs="Gill Sans"/>
          <w:szCs w:val="24"/>
        </w:rPr>
        <w:t xml:space="preserve">a deduction should not outweigh a tenant’s right to know what </w:t>
      </w:r>
      <w:r w:rsidR="00E76BA8">
        <w:rPr>
          <w:rFonts w:ascii="Gill Sans" w:eastAsia="Times New Roman" w:hAnsi="Gill Sans" w:cs="Gill Sans"/>
          <w:szCs w:val="24"/>
        </w:rPr>
        <w:t>debt they are allegedly liable for</w:t>
      </w:r>
      <w:r w:rsidR="001B0E08">
        <w:rPr>
          <w:rFonts w:ascii="Gill Sans" w:eastAsia="Times New Roman" w:hAnsi="Gill Sans" w:cs="Gill Sans"/>
          <w:szCs w:val="24"/>
        </w:rPr>
        <w:t xml:space="preserve"> and </w:t>
      </w:r>
      <w:r w:rsidR="00732051">
        <w:rPr>
          <w:rFonts w:ascii="Gill Sans" w:eastAsia="Times New Roman" w:hAnsi="Gill Sans" w:cs="Gill Sans"/>
          <w:szCs w:val="24"/>
        </w:rPr>
        <w:t xml:space="preserve">to </w:t>
      </w:r>
      <w:r w:rsidR="001B0E08">
        <w:rPr>
          <w:rFonts w:ascii="Gill Sans" w:eastAsia="Times New Roman" w:hAnsi="Gill Sans" w:cs="Gill Sans"/>
          <w:szCs w:val="24"/>
        </w:rPr>
        <w:t xml:space="preserve">have the </w:t>
      </w:r>
      <w:r w:rsidR="00732051">
        <w:rPr>
          <w:rFonts w:ascii="Gill Sans" w:eastAsia="Times New Roman" w:hAnsi="Gill Sans" w:cs="Gill Sans"/>
          <w:szCs w:val="24"/>
        </w:rPr>
        <w:t xml:space="preserve">opportunity to respond. </w:t>
      </w:r>
    </w:p>
    <w:p w:rsidR="0078610B" w:rsidRDefault="0078610B" w:rsidP="00151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eastAsia="Times New Roman" w:hAnsi="Gill Sans" w:cs="Gill Sans"/>
          <w:szCs w:val="24"/>
        </w:rPr>
      </w:pPr>
    </w:p>
    <w:p w:rsidR="0078610B" w:rsidRDefault="0078610B" w:rsidP="00151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eastAsia="Times New Roman" w:hAnsi="Gill Sans" w:cs="Gill Sans"/>
          <w:szCs w:val="24"/>
        </w:rPr>
      </w:pPr>
      <w:r>
        <w:rPr>
          <w:rFonts w:ascii="Gill Sans" w:eastAsia="Times New Roman" w:hAnsi="Gill Sans" w:cs="Gill Sans"/>
          <w:szCs w:val="24"/>
        </w:rPr>
        <w:t xml:space="preserve">This legislation has the potential to affect the most marginalised and disadvantaged tenants in public housing. These tenants are the ones who will most </w:t>
      </w:r>
      <w:proofErr w:type="gramStart"/>
      <w:r>
        <w:rPr>
          <w:rFonts w:ascii="Gill Sans" w:eastAsia="Times New Roman" w:hAnsi="Gill Sans" w:cs="Gill Sans"/>
          <w:szCs w:val="24"/>
        </w:rPr>
        <w:t>struggle</w:t>
      </w:r>
      <w:proofErr w:type="gramEnd"/>
      <w:r>
        <w:rPr>
          <w:rFonts w:ascii="Gill Sans" w:eastAsia="Times New Roman" w:hAnsi="Gill Sans" w:cs="Gill Sans"/>
          <w:szCs w:val="24"/>
        </w:rPr>
        <w:t xml:space="preserve"> to use review mechanisms and to challenge the assertion that they owe </w:t>
      </w:r>
      <w:r w:rsidR="00160B7E">
        <w:rPr>
          <w:rFonts w:ascii="Gill Sans" w:eastAsia="Times New Roman" w:hAnsi="Gill Sans" w:cs="Gill Sans"/>
          <w:szCs w:val="24"/>
        </w:rPr>
        <w:t xml:space="preserve">rent arrears or other </w:t>
      </w:r>
      <w:r w:rsidR="00E76BA8">
        <w:rPr>
          <w:rFonts w:ascii="Gill Sans" w:eastAsia="Times New Roman" w:hAnsi="Gill Sans" w:cs="Gill Sans"/>
          <w:szCs w:val="24"/>
        </w:rPr>
        <w:t>charges</w:t>
      </w:r>
      <w:r w:rsidR="00160B7E">
        <w:rPr>
          <w:rFonts w:ascii="Gill Sans" w:eastAsia="Times New Roman" w:hAnsi="Gill Sans" w:cs="Gill Sans"/>
          <w:szCs w:val="24"/>
        </w:rPr>
        <w:t xml:space="preserve">. </w:t>
      </w:r>
    </w:p>
    <w:p w:rsidR="00160B7E" w:rsidRDefault="00160B7E" w:rsidP="00151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eastAsia="Times New Roman" w:hAnsi="Gill Sans" w:cs="Gill Sans"/>
          <w:szCs w:val="24"/>
        </w:rPr>
      </w:pPr>
    </w:p>
    <w:p w:rsidR="0078610B" w:rsidRDefault="0078610B" w:rsidP="00151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eastAsia="Times New Roman" w:hAnsi="Gill Sans" w:cs="Gill Sans"/>
          <w:szCs w:val="24"/>
        </w:rPr>
      </w:pPr>
      <w:r>
        <w:rPr>
          <w:rFonts w:ascii="Gill Sans" w:eastAsia="Times New Roman" w:hAnsi="Gill Sans" w:cs="Gill Sans"/>
          <w:szCs w:val="24"/>
        </w:rPr>
        <w:t>In attempting to save tenancies, potentially forcing vulnerable people to either</w:t>
      </w:r>
      <w:r w:rsidR="00160B7E">
        <w:rPr>
          <w:rFonts w:ascii="Gill Sans" w:eastAsia="Times New Roman" w:hAnsi="Gill Sans" w:cs="Gill Sans"/>
          <w:szCs w:val="24"/>
        </w:rPr>
        <w:t xml:space="preserve"> accept that </w:t>
      </w:r>
      <w:r w:rsidR="006D0679">
        <w:rPr>
          <w:rFonts w:ascii="Gill Sans" w:eastAsia="Times New Roman" w:hAnsi="Gill Sans" w:cs="Gill Sans"/>
          <w:szCs w:val="24"/>
        </w:rPr>
        <w:t xml:space="preserve">a </w:t>
      </w:r>
      <w:r w:rsidR="00E76BA8">
        <w:rPr>
          <w:rFonts w:ascii="Gill Sans" w:eastAsia="Times New Roman" w:hAnsi="Gill Sans" w:cs="Gill Sans"/>
          <w:szCs w:val="24"/>
        </w:rPr>
        <w:t>debt</w:t>
      </w:r>
      <w:r w:rsidR="006D0679">
        <w:rPr>
          <w:rFonts w:ascii="Gill Sans" w:eastAsia="Times New Roman" w:hAnsi="Gill Sans" w:cs="Gill Sans"/>
          <w:szCs w:val="24"/>
        </w:rPr>
        <w:t xml:space="preserve"> is payable, or to engage in a possibly lengthy review of the validity of the authorisation is unduly onerous and unfair. </w:t>
      </w:r>
      <w:r>
        <w:rPr>
          <w:rFonts w:ascii="Gill Sans" w:eastAsia="Times New Roman" w:hAnsi="Gill Sans" w:cs="Gill Sans"/>
          <w:szCs w:val="24"/>
        </w:rPr>
        <w:t xml:space="preserve"> </w:t>
      </w:r>
    </w:p>
    <w:p w:rsidR="001F29B7" w:rsidRDefault="001F29B7" w:rsidP="00151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eastAsia="Times New Roman" w:hAnsi="Gill Sans" w:cs="Gill Sans"/>
          <w:szCs w:val="24"/>
        </w:rPr>
      </w:pPr>
    </w:p>
    <w:p w:rsidR="001F29B7" w:rsidRDefault="001F29B7" w:rsidP="003425AF">
      <w:pPr>
        <w:pStyle w:val="Body"/>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eastAsia="Times New Roman" w:hAnsi="Gill Sans" w:cs="Gill Sans"/>
          <w:b/>
          <w:szCs w:val="24"/>
        </w:rPr>
      </w:pPr>
      <w:r>
        <w:rPr>
          <w:rFonts w:ascii="Gill Sans" w:eastAsia="Times New Roman" w:hAnsi="Gill Sans" w:cs="Gill Sans"/>
          <w:b/>
          <w:szCs w:val="24"/>
        </w:rPr>
        <w:t>Recommendations</w:t>
      </w:r>
    </w:p>
    <w:p w:rsidR="001F29B7" w:rsidRDefault="001F29B7" w:rsidP="00151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eastAsia="Times New Roman" w:hAnsi="Gill Sans" w:cs="Gill Sans"/>
          <w:b/>
          <w:szCs w:val="24"/>
        </w:rPr>
      </w:pPr>
    </w:p>
    <w:p w:rsidR="001F29B7" w:rsidRPr="001F29B7" w:rsidRDefault="001F29B7" w:rsidP="001F29B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w:hAnsi="Gill Sans" w:cs="Gill Sans"/>
          <w:lang w:val="en-AU"/>
        </w:rPr>
      </w:pPr>
      <w:r>
        <w:rPr>
          <w:rFonts w:ascii="Gill Sans" w:hAnsi="Gill Sans" w:cs="Gill Sans"/>
          <w:lang w:val="en-AU"/>
        </w:rPr>
        <w:t xml:space="preserve">RLC’s </w:t>
      </w:r>
      <w:r w:rsidRPr="001F29B7">
        <w:rPr>
          <w:rFonts w:ascii="Gill Sans" w:hAnsi="Gill Sans" w:cs="Gill Sans"/>
          <w:lang w:val="en-AU"/>
        </w:rPr>
        <w:t xml:space="preserve">recommendations on the Housing Payments Deduction Scheme are: </w:t>
      </w:r>
    </w:p>
    <w:p w:rsidR="001F29B7" w:rsidRPr="001F29B7" w:rsidRDefault="001F29B7" w:rsidP="001F29B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w:hAnsi="Gill Sans" w:cs="Gill Sans"/>
          <w:lang w:val="en-AU"/>
        </w:rPr>
      </w:pPr>
    </w:p>
    <w:p w:rsidR="001F29B7" w:rsidRPr="001F29B7" w:rsidRDefault="001F29B7" w:rsidP="001F29B7">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w:hAnsi="Gill Sans" w:cs="Gill Sans"/>
          <w:lang w:val="en-AU"/>
        </w:rPr>
      </w:pPr>
      <w:r w:rsidRPr="001F29B7">
        <w:rPr>
          <w:rFonts w:ascii="Gill Sans" w:hAnsi="Gill Sans" w:cs="Gill Sans"/>
          <w:lang w:val="en-AU"/>
        </w:rPr>
        <w:t xml:space="preserve">That the proposed Housing Payments Deduction Scheme not </w:t>
      </w:r>
      <w:proofErr w:type="gramStart"/>
      <w:r w:rsidRPr="001F29B7">
        <w:rPr>
          <w:rFonts w:ascii="Gill Sans" w:hAnsi="Gill Sans" w:cs="Gill Sans"/>
          <w:lang w:val="en-AU"/>
        </w:rPr>
        <w:t>go</w:t>
      </w:r>
      <w:proofErr w:type="gramEnd"/>
      <w:r w:rsidRPr="001F29B7">
        <w:rPr>
          <w:rFonts w:ascii="Gill Sans" w:hAnsi="Gill Sans" w:cs="Gill Sans"/>
          <w:lang w:val="en-AU"/>
        </w:rPr>
        <w:t xml:space="preserve"> ahead. That the resources to be devoted to the scheme go towards preventative social measures that actually “tackl</w:t>
      </w:r>
      <w:r w:rsidR="003425AF">
        <w:rPr>
          <w:rFonts w:ascii="Gill Sans" w:hAnsi="Gill Sans" w:cs="Gill Sans"/>
          <w:lang w:val="en-AU"/>
        </w:rPr>
        <w:t xml:space="preserve">e </w:t>
      </w:r>
      <w:r w:rsidRPr="001F29B7">
        <w:rPr>
          <w:rFonts w:ascii="Gill Sans" w:hAnsi="Gill Sans" w:cs="Gill Sans"/>
          <w:lang w:val="en-AU"/>
        </w:rPr>
        <w:t xml:space="preserve">the structural drivers </w:t>
      </w:r>
      <w:r w:rsidRPr="001F29B7">
        <w:rPr>
          <w:rFonts w:ascii="Gill Sans" w:hAnsi="Gill Sans" w:cs="Gill Sans"/>
          <w:lang w:val="en-AU"/>
        </w:rPr>
        <w:lastRenderedPageBreak/>
        <w:t>of homelessness”</w:t>
      </w:r>
      <w:r w:rsidRPr="001F29B7">
        <w:rPr>
          <w:rFonts w:ascii="Gill Sans" w:hAnsi="Gill Sans" w:cs="Gill Sans"/>
          <w:vertAlign w:val="superscript"/>
          <w:lang w:val="en-AU"/>
        </w:rPr>
        <w:footnoteReference w:id="4"/>
      </w:r>
      <w:r w:rsidRPr="001F29B7">
        <w:rPr>
          <w:rFonts w:ascii="Gill Sans" w:hAnsi="Gill Sans" w:cs="Gill Sans"/>
          <w:lang w:val="en-AU"/>
        </w:rPr>
        <w:t xml:space="preserve">, including support towards tenancy services and welfare rights advice services. </w:t>
      </w:r>
    </w:p>
    <w:p w:rsidR="001F29B7" w:rsidRPr="001F29B7" w:rsidRDefault="001F29B7" w:rsidP="001F29B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w:hAnsi="Gill Sans" w:cs="Gill Sans"/>
          <w:lang w:val="en-AU"/>
        </w:rPr>
      </w:pPr>
    </w:p>
    <w:p w:rsidR="001F29B7" w:rsidRPr="001F29B7" w:rsidRDefault="001F29B7" w:rsidP="001F29B7">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w:hAnsi="Gill Sans" w:cs="Gill Sans"/>
          <w:lang w:val="en-AU"/>
        </w:rPr>
      </w:pPr>
      <w:r w:rsidRPr="001F29B7">
        <w:rPr>
          <w:rFonts w:ascii="Gill Sans" w:hAnsi="Gill Sans" w:cs="Gill Sans"/>
          <w:lang w:val="en-AU"/>
        </w:rPr>
        <w:t>If the scheme is to go ahead:</w:t>
      </w:r>
    </w:p>
    <w:p w:rsidR="001F29B7" w:rsidRPr="001F29B7" w:rsidRDefault="001F29B7" w:rsidP="001F29B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w:hAnsi="Gill Sans" w:cs="Gill Sans"/>
          <w:lang w:val="en-AU"/>
        </w:rPr>
      </w:pPr>
    </w:p>
    <w:p w:rsidR="00E76BA8" w:rsidRDefault="001F29B7" w:rsidP="001F29B7">
      <w:pPr>
        <w:pStyle w:val="Body"/>
        <w:numPr>
          <w:ilvl w:val="1"/>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w:hAnsi="Gill Sans" w:cs="Gill Sans"/>
          <w:lang w:val="en-AU"/>
        </w:rPr>
      </w:pPr>
      <w:r w:rsidRPr="001F29B7">
        <w:rPr>
          <w:rFonts w:ascii="Gill Sans" w:hAnsi="Gill Sans" w:cs="Gill Sans"/>
          <w:lang w:val="en-AU"/>
        </w:rPr>
        <w:t xml:space="preserve">That </w:t>
      </w:r>
      <w:r w:rsidR="00E76BA8">
        <w:rPr>
          <w:rFonts w:ascii="Gill Sans" w:hAnsi="Gill Sans" w:cs="Gill Sans"/>
          <w:lang w:val="en-AU"/>
        </w:rPr>
        <w:t>CTTT orders must be obtained before a deduction is authorised;</w:t>
      </w:r>
    </w:p>
    <w:p w:rsidR="00E76BA8" w:rsidRDefault="00E76BA8" w:rsidP="00E76B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40"/>
        <w:rPr>
          <w:rFonts w:ascii="Gill Sans" w:hAnsi="Gill Sans" w:cs="Gill Sans"/>
          <w:lang w:val="en-AU"/>
        </w:rPr>
      </w:pPr>
      <w:r>
        <w:rPr>
          <w:rFonts w:ascii="Gill Sans" w:hAnsi="Gill Sans" w:cs="Gill Sans"/>
          <w:lang w:val="en-AU"/>
        </w:rPr>
        <w:t xml:space="preserve"> </w:t>
      </w:r>
    </w:p>
    <w:p w:rsidR="00E76BA8" w:rsidRDefault="00E76BA8" w:rsidP="001F29B7">
      <w:pPr>
        <w:pStyle w:val="Body"/>
        <w:numPr>
          <w:ilvl w:val="1"/>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w:hAnsi="Gill Sans" w:cs="Gill Sans"/>
          <w:lang w:val="en-AU"/>
        </w:rPr>
      </w:pPr>
      <w:r>
        <w:rPr>
          <w:rFonts w:ascii="Gill Sans" w:hAnsi="Gill Sans" w:cs="Gill Sans"/>
          <w:lang w:val="en-AU"/>
        </w:rPr>
        <w:t xml:space="preserve">Alternatively, that </w:t>
      </w:r>
      <w:r w:rsidR="001F29B7" w:rsidRPr="001F29B7">
        <w:rPr>
          <w:rFonts w:ascii="Gill Sans" w:hAnsi="Gill Sans" w:cs="Gill Sans"/>
          <w:lang w:val="en-AU"/>
        </w:rPr>
        <w:t>the legislation specify the ‘reasonable’ measures that a public housing landlord must take before requesting a deduction, at minimum</w:t>
      </w:r>
      <w:r>
        <w:rPr>
          <w:rFonts w:ascii="Gill Sans" w:hAnsi="Gill Sans" w:cs="Gill Sans"/>
          <w:lang w:val="en-AU"/>
        </w:rPr>
        <w:t>:</w:t>
      </w:r>
    </w:p>
    <w:p w:rsidR="00E76BA8" w:rsidRDefault="00E76BA8" w:rsidP="00E76B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w:hAnsi="Gill Sans" w:cs="Gill Sans"/>
          <w:lang w:val="en-AU"/>
        </w:rPr>
      </w:pPr>
    </w:p>
    <w:p w:rsidR="00E76BA8" w:rsidRDefault="00E76BA8" w:rsidP="00E76BA8">
      <w:pPr>
        <w:pStyle w:val="Body"/>
        <w:numPr>
          <w:ilvl w:val="2"/>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w:hAnsi="Gill Sans" w:cs="Gill Sans"/>
          <w:lang w:val="en-AU"/>
        </w:rPr>
      </w:pPr>
      <w:r>
        <w:rPr>
          <w:rFonts w:ascii="Gill Sans" w:hAnsi="Gill Sans" w:cs="Gill Sans"/>
          <w:lang w:val="en-AU"/>
        </w:rPr>
        <w:t>a letter of demand;</w:t>
      </w:r>
    </w:p>
    <w:p w:rsidR="001F29B7" w:rsidRDefault="001F29B7" w:rsidP="00E76BA8">
      <w:pPr>
        <w:pStyle w:val="Body"/>
        <w:numPr>
          <w:ilvl w:val="2"/>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w:hAnsi="Gill Sans" w:cs="Gill Sans"/>
          <w:lang w:val="en-AU"/>
        </w:rPr>
      </w:pPr>
      <w:r w:rsidRPr="001F29B7">
        <w:rPr>
          <w:rFonts w:ascii="Gill Sans" w:hAnsi="Gill Sans" w:cs="Gill Sans"/>
          <w:lang w:val="en-AU"/>
        </w:rPr>
        <w:t>an interview with the tenant;</w:t>
      </w:r>
    </w:p>
    <w:p w:rsidR="00E76BA8" w:rsidRPr="001F29B7" w:rsidRDefault="00E76BA8" w:rsidP="00E76BA8">
      <w:pPr>
        <w:pStyle w:val="Body"/>
        <w:numPr>
          <w:ilvl w:val="2"/>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w:hAnsi="Gill Sans" w:cs="Gill Sans"/>
          <w:lang w:val="en-AU"/>
        </w:rPr>
      </w:pPr>
      <w:proofErr w:type="gramStart"/>
      <w:r>
        <w:rPr>
          <w:rFonts w:ascii="Gill Sans" w:hAnsi="Gill Sans" w:cs="Gill Sans"/>
          <w:lang w:val="en-AU"/>
        </w:rPr>
        <w:t>a</w:t>
      </w:r>
      <w:proofErr w:type="gramEnd"/>
      <w:r>
        <w:rPr>
          <w:rFonts w:ascii="Gill Sans" w:hAnsi="Gill Sans" w:cs="Gill Sans"/>
          <w:lang w:val="en-AU"/>
        </w:rPr>
        <w:t xml:space="preserve"> minimum period for the tenant to respond.</w:t>
      </w:r>
    </w:p>
    <w:p w:rsidR="001F29B7" w:rsidRPr="001F29B7" w:rsidRDefault="001F29B7" w:rsidP="001F29B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w:hAnsi="Gill Sans" w:cs="Gill Sans"/>
          <w:lang w:val="en-AU"/>
        </w:rPr>
      </w:pPr>
    </w:p>
    <w:p w:rsidR="001F29B7" w:rsidRPr="001F29B7" w:rsidRDefault="001F29B7" w:rsidP="001F29B7">
      <w:pPr>
        <w:pStyle w:val="Body"/>
        <w:numPr>
          <w:ilvl w:val="1"/>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w:hAnsi="Gill Sans" w:cs="Gill Sans"/>
          <w:lang w:val="en-AU"/>
        </w:rPr>
      </w:pPr>
      <w:r w:rsidRPr="001F29B7">
        <w:rPr>
          <w:rFonts w:ascii="Gill Sans" w:hAnsi="Gill Sans" w:cs="Gill Sans"/>
          <w:lang w:val="en-AU"/>
        </w:rPr>
        <w:t>That the amount of arrears or debt that must accumulate before a deduction can be requested be increased;</w:t>
      </w:r>
    </w:p>
    <w:p w:rsidR="001F29B7" w:rsidRPr="001F29B7" w:rsidRDefault="001F29B7" w:rsidP="001F29B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w:hAnsi="Gill Sans" w:cs="Gill Sans"/>
          <w:lang w:val="en-AU"/>
        </w:rPr>
      </w:pPr>
    </w:p>
    <w:p w:rsidR="001F29B7" w:rsidRPr="001F29B7" w:rsidRDefault="001F29B7" w:rsidP="001F29B7">
      <w:pPr>
        <w:pStyle w:val="Body"/>
        <w:numPr>
          <w:ilvl w:val="1"/>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w:hAnsi="Gill Sans" w:cs="Gill Sans"/>
          <w:lang w:val="en-AU"/>
        </w:rPr>
      </w:pPr>
      <w:r w:rsidRPr="001F29B7">
        <w:rPr>
          <w:rFonts w:ascii="Gill Sans" w:hAnsi="Gill Sans" w:cs="Gill Sans"/>
          <w:lang w:val="en-AU"/>
        </w:rPr>
        <w:t xml:space="preserve">That debts from former tenancies be excluded, so that tenants at risk of homelessness can deal with the immediate issue of retaining their tenancies; </w:t>
      </w:r>
    </w:p>
    <w:p w:rsidR="001F29B7" w:rsidRPr="001F29B7" w:rsidRDefault="001F29B7" w:rsidP="001F29B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w:hAnsi="Gill Sans" w:cs="Gill Sans"/>
          <w:lang w:val="en-AU"/>
        </w:rPr>
      </w:pPr>
    </w:p>
    <w:p w:rsidR="001F29B7" w:rsidRPr="001F29B7" w:rsidRDefault="001F29B7" w:rsidP="001F29B7">
      <w:pPr>
        <w:pStyle w:val="Body"/>
        <w:numPr>
          <w:ilvl w:val="1"/>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w:hAnsi="Gill Sans" w:cs="Gill Sans"/>
          <w:lang w:val="en-AU"/>
        </w:rPr>
      </w:pPr>
      <w:r w:rsidRPr="001F29B7">
        <w:rPr>
          <w:rFonts w:ascii="Gill Sans" w:hAnsi="Gill Sans" w:cs="Gill Sans"/>
          <w:lang w:val="en-AU"/>
        </w:rPr>
        <w:t xml:space="preserve">That debts for </w:t>
      </w:r>
      <w:r w:rsidR="009C33DF">
        <w:rPr>
          <w:rFonts w:ascii="Gill Sans" w:hAnsi="Gill Sans" w:cs="Gill Sans"/>
          <w:lang w:val="en-AU"/>
        </w:rPr>
        <w:t>repairs</w:t>
      </w:r>
      <w:r w:rsidRPr="001F29B7">
        <w:rPr>
          <w:rFonts w:ascii="Gill Sans" w:hAnsi="Gill Sans" w:cs="Gill Sans"/>
          <w:lang w:val="en-AU"/>
        </w:rPr>
        <w:t xml:space="preserve"> costs be excluded from the scheme;</w:t>
      </w:r>
    </w:p>
    <w:p w:rsidR="001F29B7" w:rsidRPr="001F29B7" w:rsidRDefault="001F29B7" w:rsidP="001F29B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hAnsi="Gill Sans" w:cs="Gill Sans"/>
          <w:lang w:val="en-AU"/>
        </w:rPr>
      </w:pPr>
    </w:p>
    <w:p w:rsidR="001F29B7" w:rsidRPr="001F29B7" w:rsidRDefault="001F29B7" w:rsidP="001F29B7">
      <w:pPr>
        <w:pStyle w:val="Body"/>
        <w:numPr>
          <w:ilvl w:val="1"/>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w:hAnsi="Gill Sans" w:cs="Gill Sans"/>
          <w:lang w:val="en-AU"/>
        </w:rPr>
      </w:pPr>
      <w:r w:rsidRPr="001F29B7">
        <w:rPr>
          <w:rFonts w:ascii="Gill Sans" w:hAnsi="Gill Sans" w:cs="Gill Sans"/>
          <w:lang w:val="en-AU"/>
        </w:rPr>
        <w:t>That cl 5(1)(b) be deleted, so that a public housing landlord is not able to request a deduction when there is a ‘risk’ that amounts that become due and payable will be paid;</w:t>
      </w:r>
    </w:p>
    <w:p w:rsidR="001F29B7" w:rsidRPr="001F29B7" w:rsidRDefault="001F29B7" w:rsidP="001F29B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w:hAnsi="Gill Sans" w:cs="Gill Sans"/>
          <w:lang w:val="en-AU"/>
        </w:rPr>
      </w:pPr>
    </w:p>
    <w:p w:rsidR="001F29B7" w:rsidRPr="001F29B7" w:rsidRDefault="001F29B7" w:rsidP="001F29B7">
      <w:pPr>
        <w:pStyle w:val="Body"/>
        <w:numPr>
          <w:ilvl w:val="1"/>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w:hAnsi="Gill Sans" w:cs="Gill Sans"/>
          <w:lang w:val="en-AU"/>
        </w:rPr>
      </w:pPr>
      <w:r w:rsidRPr="001F29B7">
        <w:rPr>
          <w:rFonts w:ascii="Gill Sans" w:hAnsi="Gill Sans" w:cs="Gill Sans"/>
          <w:lang w:val="en-AU"/>
        </w:rPr>
        <w:t xml:space="preserve">Alternatively, if cl 5(1)(b) remains, that the criteria in the </w:t>
      </w:r>
      <w:r w:rsidRPr="001F29B7">
        <w:rPr>
          <w:rFonts w:ascii="Gill Sans" w:hAnsi="Gill Sans" w:cs="Gill Sans"/>
          <w:i/>
          <w:lang w:val="en-AU"/>
        </w:rPr>
        <w:t xml:space="preserve">Social Security (Public Housing Tenants’ Support) Risk of Non-Payment of Amounts Rules </w:t>
      </w:r>
      <w:r w:rsidRPr="001F29B7">
        <w:rPr>
          <w:rFonts w:ascii="Gill Sans" w:hAnsi="Gill Sans" w:cs="Gill Sans"/>
          <w:lang w:val="en-AU"/>
        </w:rPr>
        <w:t>be amend</w:t>
      </w:r>
      <w:r w:rsidR="00D61985">
        <w:rPr>
          <w:rFonts w:ascii="Gill Sans" w:hAnsi="Gill Sans" w:cs="Gill Sans"/>
          <w:lang w:val="en-AU"/>
        </w:rPr>
        <w:t>ed so that the threshold for a ‘</w:t>
      </w:r>
      <w:r w:rsidR="009033C9">
        <w:rPr>
          <w:rFonts w:ascii="Gill Sans" w:hAnsi="Gill Sans" w:cs="Gill Sans"/>
          <w:lang w:val="en-AU"/>
        </w:rPr>
        <w:t xml:space="preserve">risk’ assessment is higher. </w:t>
      </w:r>
    </w:p>
    <w:p w:rsidR="001F29B7" w:rsidRPr="001F29B7" w:rsidRDefault="001F29B7" w:rsidP="00151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eastAsia="Times New Roman" w:hAnsi="Gill Sans" w:cs="Gill Sans"/>
          <w:szCs w:val="24"/>
        </w:rPr>
      </w:pPr>
    </w:p>
    <w:p w:rsidR="004E33B3" w:rsidRPr="007D0AFA" w:rsidRDefault="004E33B3" w:rsidP="003425AF">
      <w:pPr>
        <w:pStyle w:val="Body"/>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w:eastAsia="Times New Roman" w:hAnsi="Gill Sans" w:cs="Gill Sans"/>
          <w:b/>
          <w:szCs w:val="24"/>
        </w:rPr>
      </w:pPr>
      <w:r w:rsidRPr="007D0AFA">
        <w:rPr>
          <w:rFonts w:ascii="Gill Sans" w:eastAsia="Times New Roman" w:hAnsi="Gill Sans" w:cs="Gill Sans"/>
          <w:b/>
          <w:szCs w:val="24"/>
        </w:rPr>
        <w:t>Conclusion</w:t>
      </w:r>
    </w:p>
    <w:p w:rsidR="00CC1421" w:rsidRPr="007D0AFA" w:rsidRDefault="00CC1421" w:rsidP="004C1C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w:hAnsi="Gill Sans" w:cs="Gill Sans"/>
          <w:szCs w:val="24"/>
        </w:rPr>
      </w:pPr>
    </w:p>
    <w:p w:rsidR="001D56F1" w:rsidRPr="00C47843" w:rsidRDefault="001D56F1" w:rsidP="001D56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hAnsi="Gill Sans" w:cs="Gill Sans"/>
          <w:szCs w:val="24"/>
        </w:rPr>
      </w:pPr>
      <w:proofErr w:type="spellStart"/>
      <w:r>
        <w:rPr>
          <w:rFonts w:ascii="Gill Sans" w:hAnsi="Gill Sans" w:cs="Gill Sans"/>
          <w:szCs w:val="24"/>
        </w:rPr>
        <w:t>Redfern</w:t>
      </w:r>
      <w:proofErr w:type="spellEnd"/>
      <w:r>
        <w:rPr>
          <w:rFonts w:ascii="Gill Sans" w:hAnsi="Gill Sans" w:cs="Gill Sans"/>
          <w:szCs w:val="24"/>
        </w:rPr>
        <w:t xml:space="preserve"> Legal Centre’s submission is that the Housing Payments Deduction Scheme should </w:t>
      </w:r>
      <w:r w:rsidRPr="00F7321A">
        <w:rPr>
          <w:rFonts w:ascii="Gill Sans" w:hAnsi="Gill Sans" w:cs="Gill Sans"/>
          <w:b/>
          <w:szCs w:val="24"/>
        </w:rPr>
        <w:t>not</w:t>
      </w:r>
      <w:r>
        <w:rPr>
          <w:rFonts w:ascii="Gill Sans" w:hAnsi="Gill Sans" w:cs="Gill Sans"/>
          <w:szCs w:val="24"/>
        </w:rPr>
        <w:t xml:space="preserve"> proceed. Our submission is that the scheme is insufficiently flexible to provide a real solution for homelessness caused by arrears, has insufficient review mechanisms and poses a real risk of causing further hardship to the vulnerable people it is designed to protect.   </w:t>
      </w:r>
    </w:p>
    <w:p w:rsidR="004C1C92" w:rsidRPr="007D0AFA" w:rsidRDefault="004C1C92" w:rsidP="004C1C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w:hAnsi="Gill Sans" w:cs="Gill Sans"/>
          <w:szCs w:val="24"/>
        </w:rPr>
      </w:pPr>
    </w:p>
    <w:p w:rsidR="004C1C92" w:rsidRPr="007D0AFA" w:rsidRDefault="004C1C92" w:rsidP="004C1C92">
      <w:pPr>
        <w:rPr>
          <w:rFonts w:ascii="Gill Sans" w:hAnsi="Gill Sans" w:cs="Gill Sans"/>
        </w:rPr>
      </w:pPr>
    </w:p>
    <w:p w:rsidR="004C1C92" w:rsidRPr="007D0AFA" w:rsidRDefault="004C1C92" w:rsidP="004C1C92">
      <w:pPr>
        <w:rPr>
          <w:rFonts w:ascii="Gill Sans" w:hAnsi="Gill Sans" w:cs="Gill Sans"/>
        </w:rPr>
      </w:pPr>
    </w:p>
    <w:sectPr w:rsidR="004C1C92" w:rsidRPr="007D0AFA" w:rsidSect="00AB41E7">
      <w:footerReference w:type="even" r:id="rId10"/>
      <w:footerReference w:type="defaul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291" w:rsidRDefault="00D33291" w:rsidP="00D90E9B">
      <w:r>
        <w:separator/>
      </w:r>
    </w:p>
  </w:endnote>
  <w:endnote w:type="continuationSeparator" w:id="0">
    <w:p w:rsidR="00D33291" w:rsidRDefault="00D33291" w:rsidP="00D9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w:altName w:val="Arial"/>
    <w:charset w:val="00"/>
    <w:family w:val="auto"/>
    <w:pitch w:val="variable"/>
    <w:sig w:usb0="00000000" w:usb1="00000000" w:usb2="00000000" w:usb3="00000000" w:csb0="000001F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91" w:rsidRDefault="00D81BDC" w:rsidP="00AB41E7">
    <w:pPr>
      <w:pStyle w:val="Footer"/>
      <w:framePr w:wrap="around" w:vAnchor="text" w:hAnchor="margin" w:xAlign="right" w:y="1"/>
      <w:rPr>
        <w:rStyle w:val="PageNumber"/>
      </w:rPr>
    </w:pPr>
    <w:r>
      <w:rPr>
        <w:rStyle w:val="PageNumber"/>
      </w:rPr>
      <w:fldChar w:fldCharType="begin"/>
    </w:r>
    <w:r w:rsidR="00D33291">
      <w:rPr>
        <w:rStyle w:val="PageNumber"/>
      </w:rPr>
      <w:instrText xml:space="preserve">PAGE  </w:instrText>
    </w:r>
    <w:r>
      <w:rPr>
        <w:rStyle w:val="PageNumber"/>
      </w:rPr>
      <w:fldChar w:fldCharType="end"/>
    </w:r>
  </w:p>
  <w:p w:rsidR="00D33291" w:rsidRDefault="00D81BDC" w:rsidP="00AB41E7">
    <w:pPr>
      <w:pStyle w:val="Footer"/>
      <w:framePr w:wrap="around" w:vAnchor="text" w:hAnchor="margin" w:xAlign="right" w:y="1"/>
      <w:ind w:right="360"/>
      <w:rPr>
        <w:rStyle w:val="PageNumber"/>
      </w:rPr>
    </w:pPr>
    <w:r>
      <w:rPr>
        <w:rStyle w:val="PageNumber"/>
      </w:rPr>
      <w:fldChar w:fldCharType="begin"/>
    </w:r>
    <w:r w:rsidR="00D33291">
      <w:rPr>
        <w:rStyle w:val="PageNumber"/>
      </w:rPr>
      <w:instrText xml:space="preserve">PAGE  </w:instrText>
    </w:r>
    <w:r>
      <w:rPr>
        <w:rStyle w:val="PageNumber"/>
      </w:rPr>
      <w:fldChar w:fldCharType="end"/>
    </w:r>
  </w:p>
  <w:p w:rsidR="00D33291" w:rsidRDefault="00D33291" w:rsidP="00AB4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91" w:rsidRDefault="00D33291" w:rsidP="00AB41E7">
    <w:pPr>
      <w:pStyle w:val="Footer"/>
      <w:framePr w:wrap="around" w:vAnchor="text" w:hAnchor="margin" w:xAlign="right" w:y="1"/>
      <w:rPr>
        <w:rStyle w:val="PageNumber"/>
      </w:rPr>
    </w:pPr>
  </w:p>
  <w:p w:rsidR="00D33291" w:rsidRDefault="00D33291" w:rsidP="006C52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291" w:rsidRDefault="00D33291" w:rsidP="00D90E9B">
      <w:r>
        <w:separator/>
      </w:r>
    </w:p>
  </w:footnote>
  <w:footnote w:type="continuationSeparator" w:id="0">
    <w:p w:rsidR="00D33291" w:rsidRDefault="00D33291" w:rsidP="00D90E9B">
      <w:r>
        <w:continuationSeparator/>
      </w:r>
    </w:p>
  </w:footnote>
  <w:footnote w:id="1">
    <w:p w:rsidR="00D33291" w:rsidRPr="009033C9" w:rsidRDefault="00D33291" w:rsidP="009033C9">
      <w:pPr>
        <w:pStyle w:val="FootnoteText"/>
        <w:rPr>
          <w:rFonts w:ascii="Gill Sans" w:hAnsi="Gill Sans" w:cs="Gill Sans"/>
          <w:b/>
          <w:bCs/>
          <w:sz w:val="20"/>
          <w:szCs w:val="20"/>
        </w:rPr>
      </w:pPr>
      <w:r w:rsidRPr="009033C9">
        <w:rPr>
          <w:rStyle w:val="FootnoteReference"/>
          <w:rFonts w:ascii="Gill Sans" w:hAnsi="Gill Sans" w:cs="Gill Sans"/>
          <w:sz w:val="20"/>
          <w:szCs w:val="20"/>
        </w:rPr>
        <w:footnoteRef/>
      </w:r>
      <w:r w:rsidRPr="009033C9">
        <w:rPr>
          <w:rFonts w:ascii="Gill Sans" w:hAnsi="Gill Sans" w:cs="Gill Sans"/>
          <w:sz w:val="20"/>
          <w:szCs w:val="20"/>
        </w:rPr>
        <w:t xml:space="preserve"> </w:t>
      </w:r>
      <w:r w:rsidRPr="009033C9">
        <w:rPr>
          <w:rFonts w:ascii="Gill Sans" w:eastAsiaTheme="minorEastAsia" w:hAnsi="Gill Sans" w:cs="Gill Sans"/>
          <w:color w:val="313131"/>
          <w:sz w:val="20"/>
          <w:szCs w:val="20"/>
        </w:rPr>
        <w:t xml:space="preserve">Anglicare Australia, 2013, </w:t>
      </w:r>
      <w:r w:rsidRPr="009033C9">
        <w:rPr>
          <w:rFonts w:ascii="Gill Sans" w:eastAsiaTheme="minorEastAsia" w:hAnsi="Gill Sans" w:cs="Gill Sans"/>
          <w:i/>
          <w:iCs/>
          <w:color w:val="313131"/>
          <w:sz w:val="20"/>
          <w:szCs w:val="20"/>
        </w:rPr>
        <w:t>Anglicare Australia Rental Affordability Snapshot</w:t>
      </w:r>
      <w:r w:rsidRPr="009033C9">
        <w:rPr>
          <w:rFonts w:ascii="Gill Sans" w:eastAsiaTheme="minorEastAsia" w:hAnsi="Gill Sans" w:cs="Gill Sans"/>
          <w:color w:val="313131"/>
          <w:sz w:val="20"/>
          <w:szCs w:val="20"/>
        </w:rPr>
        <w:t>, Canberra, p 8; Australian Bureau of Statistics, 2001, Measuring Wellbeing: Frameworks for Australian Social Statistics, 2001, Canberra, cat No. 4160.0; Harding, A., Phillips, B., &amp; Kelly,</w:t>
      </w:r>
      <w:r>
        <w:rPr>
          <w:rFonts w:ascii="Gill Sans" w:eastAsiaTheme="minorEastAsia" w:hAnsi="Gill Sans" w:cs="Gill Sans"/>
          <w:color w:val="313131"/>
          <w:sz w:val="20"/>
          <w:szCs w:val="20"/>
        </w:rPr>
        <w:t xml:space="preserve"> </w:t>
      </w:r>
      <w:r w:rsidRPr="009033C9">
        <w:rPr>
          <w:rFonts w:ascii="Gill Sans" w:eastAsiaTheme="minorEastAsia" w:hAnsi="Gill Sans" w:cs="Gill Sans"/>
          <w:color w:val="313131"/>
          <w:sz w:val="20"/>
          <w:szCs w:val="20"/>
        </w:rPr>
        <w:t xml:space="preserve">S </w:t>
      </w:r>
      <w:r w:rsidRPr="009033C9">
        <w:rPr>
          <w:rFonts w:ascii="Gill Sans" w:eastAsiaTheme="minorEastAsia" w:hAnsi="Gill Sans" w:cs="Gill Sans"/>
          <w:i/>
          <w:iCs/>
          <w:color w:val="313131"/>
          <w:sz w:val="20"/>
          <w:szCs w:val="20"/>
        </w:rPr>
        <w:t>Trends in Housing Stress</w:t>
      </w:r>
      <w:r w:rsidRPr="009033C9">
        <w:rPr>
          <w:rFonts w:ascii="Gill Sans" w:eastAsiaTheme="minorEastAsia" w:hAnsi="Gill Sans" w:cs="Gill Sans"/>
          <w:color w:val="313131"/>
          <w:sz w:val="20"/>
          <w:szCs w:val="20"/>
        </w:rPr>
        <w:t xml:space="preserve">, NATSEM, Paper Presented at the National Summit on Housing Affordability, Canberra 2004. </w:t>
      </w:r>
    </w:p>
  </w:footnote>
  <w:footnote w:id="2">
    <w:p w:rsidR="00D33291" w:rsidRPr="00EA7B7F" w:rsidRDefault="00D33291">
      <w:pPr>
        <w:pStyle w:val="FootnoteText"/>
        <w:rPr>
          <w:rFonts w:ascii="Gill Sans" w:hAnsi="Gill Sans" w:cs="Gill Sans"/>
          <w:sz w:val="20"/>
          <w:szCs w:val="20"/>
        </w:rPr>
      </w:pPr>
      <w:r>
        <w:rPr>
          <w:rStyle w:val="FootnoteReference"/>
        </w:rPr>
        <w:footnoteRef/>
      </w:r>
      <w:r>
        <w:t xml:space="preserve"> </w:t>
      </w:r>
      <w:r w:rsidRPr="00067118">
        <w:rPr>
          <w:rFonts w:ascii="Gill Sans" w:eastAsiaTheme="minorEastAsia" w:hAnsi="Gill Sans" w:cs="Gill Sans"/>
          <w:color w:val="313131"/>
          <w:sz w:val="20"/>
          <w:szCs w:val="20"/>
        </w:rPr>
        <w:t xml:space="preserve">Anglicare Australia, 2013, </w:t>
      </w:r>
      <w:r w:rsidRPr="00067118">
        <w:rPr>
          <w:rFonts w:ascii="Gill Sans" w:eastAsiaTheme="minorEastAsia" w:hAnsi="Gill Sans" w:cs="Gill Sans"/>
          <w:i/>
          <w:iCs/>
          <w:color w:val="313131"/>
          <w:sz w:val="20"/>
          <w:szCs w:val="20"/>
        </w:rPr>
        <w:t>Anglicare Australia Rental Affordability Snapshot</w:t>
      </w:r>
      <w:r w:rsidRPr="00067118">
        <w:rPr>
          <w:rFonts w:ascii="Gill Sans" w:eastAsiaTheme="minorEastAsia" w:hAnsi="Gill Sans" w:cs="Gill Sans"/>
          <w:color w:val="313131"/>
          <w:sz w:val="20"/>
          <w:szCs w:val="20"/>
        </w:rPr>
        <w:t>, Canberra, p 17; AIHW (</w:t>
      </w:r>
      <w:r w:rsidRPr="00EA7B7F">
        <w:rPr>
          <w:rFonts w:ascii="Gill Sans" w:eastAsiaTheme="minorEastAsia" w:hAnsi="Gill Sans" w:cs="Gill Sans"/>
          <w:color w:val="313131"/>
          <w:sz w:val="20"/>
          <w:szCs w:val="20"/>
        </w:rPr>
        <w:t xml:space="preserve">2011), </w:t>
      </w:r>
      <w:r w:rsidRPr="00EA7B7F">
        <w:rPr>
          <w:rFonts w:ascii="Gill Sans" w:eastAsiaTheme="minorEastAsia" w:hAnsi="Gill Sans" w:cs="Gill Sans"/>
          <w:i/>
          <w:iCs/>
          <w:color w:val="313131"/>
          <w:sz w:val="20"/>
          <w:szCs w:val="20"/>
        </w:rPr>
        <w:t>Australia's Welfare 2011</w:t>
      </w:r>
      <w:r w:rsidRPr="00EA7B7F">
        <w:rPr>
          <w:rFonts w:ascii="Gill Sans" w:eastAsiaTheme="minorEastAsia" w:hAnsi="Gill Sans" w:cs="Gill Sans"/>
          <w:color w:val="313131"/>
          <w:sz w:val="20"/>
          <w:szCs w:val="20"/>
        </w:rPr>
        <w:t xml:space="preserve">. Cat. </w:t>
      </w:r>
      <w:proofErr w:type="gramStart"/>
      <w:r w:rsidRPr="00EA7B7F">
        <w:rPr>
          <w:rFonts w:ascii="Gill Sans" w:eastAsiaTheme="minorEastAsia" w:hAnsi="Gill Sans" w:cs="Gill Sans"/>
          <w:color w:val="313131"/>
          <w:sz w:val="20"/>
          <w:szCs w:val="20"/>
        </w:rPr>
        <w:t>no</w:t>
      </w:r>
      <w:proofErr w:type="gramEnd"/>
      <w:r w:rsidRPr="00EA7B7F">
        <w:rPr>
          <w:rFonts w:ascii="Gill Sans" w:eastAsiaTheme="minorEastAsia" w:hAnsi="Gill Sans" w:cs="Gill Sans"/>
          <w:color w:val="313131"/>
          <w:sz w:val="20"/>
          <w:szCs w:val="20"/>
        </w:rPr>
        <w:t>. AUS 142. Canberra: AIHW</w:t>
      </w:r>
    </w:p>
  </w:footnote>
  <w:footnote w:id="3">
    <w:p w:rsidR="00D33291" w:rsidRDefault="00D33291">
      <w:pPr>
        <w:pStyle w:val="FootnoteText"/>
      </w:pPr>
      <w:r w:rsidRPr="00EA7B7F">
        <w:rPr>
          <w:rStyle w:val="FootnoteReference"/>
          <w:rFonts w:ascii="Gill Sans" w:hAnsi="Gill Sans" w:cs="Gill Sans"/>
          <w:sz w:val="20"/>
          <w:szCs w:val="20"/>
        </w:rPr>
        <w:footnoteRef/>
      </w:r>
      <w:r w:rsidRPr="00EA7B7F">
        <w:rPr>
          <w:rFonts w:ascii="Gill Sans" w:hAnsi="Gill Sans" w:cs="Gill Sans"/>
          <w:sz w:val="20"/>
          <w:szCs w:val="20"/>
        </w:rPr>
        <w:t xml:space="preserve"> Consumer Action Law Centre ‘Payday Loans: Helping Hand or Quicksand?’ Examining the growth of high-cost-short-term lending in Australia, 2002-2010’, published September 2010.</w:t>
      </w:r>
      <w:r>
        <w:t xml:space="preserve">  </w:t>
      </w:r>
    </w:p>
  </w:footnote>
  <w:footnote w:id="4">
    <w:p w:rsidR="00D33291" w:rsidRPr="006D0679" w:rsidRDefault="00D33291" w:rsidP="006D0679">
      <w:pPr>
        <w:pStyle w:val="FootnoteText"/>
        <w:rPr>
          <w:rFonts w:ascii="Gill Sans" w:hAnsi="Gill Sans" w:cs="Gill Sans"/>
          <w:b/>
          <w:bCs/>
          <w:sz w:val="20"/>
          <w:szCs w:val="20"/>
          <w:lang w:val="en-AU"/>
        </w:rPr>
      </w:pPr>
      <w:r w:rsidRPr="006D0679">
        <w:rPr>
          <w:rStyle w:val="FootnoteReference"/>
          <w:rFonts w:ascii="Gill Sans" w:hAnsi="Gill Sans" w:cs="Gill Sans"/>
          <w:sz w:val="20"/>
          <w:szCs w:val="20"/>
        </w:rPr>
        <w:footnoteRef/>
      </w:r>
      <w:r w:rsidRPr="006D0679">
        <w:rPr>
          <w:rFonts w:ascii="Gill Sans" w:hAnsi="Gill Sans" w:cs="Gill Sans"/>
          <w:sz w:val="20"/>
          <w:szCs w:val="20"/>
        </w:rPr>
        <w:t xml:space="preserve"> </w:t>
      </w:r>
      <w:r w:rsidRPr="006D0679">
        <w:rPr>
          <w:rFonts w:ascii="Gill Sans" w:hAnsi="Gill Sans" w:cs="Gill Sans"/>
          <w:bCs/>
          <w:sz w:val="20"/>
          <w:szCs w:val="20"/>
          <w:lang w:val="en-AU"/>
        </w:rPr>
        <w:t>The Road Home - The Australian Government White Paper on Homelessness, 2008.</w:t>
      </w:r>
    </w:p>
    <w:p w:rsidR="00D33291" w:rsidRDefault="00D33291" w:rsidP="001F29B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0BA4"/>
    <w:multiLevelType w:val="hybridMultilevel"/>
    <w:tmpl w:val="714CD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CAF77C0"/>
    <w:multiLevelType w:val="hybridMultilevel"/>
    <w:tmpl w:val="EA461098"/>
    <w:lvl w:ilvl="0" w:tplc="2990DA4A">
      <w:start w:val="29"/>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70EE0"/>
    <w:multiLevelType w:val="hybridMultilevel"/>
    <w:tmpl w:val="6058A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954839"/>
    <w:multiLevelType w:val="hybridMultilevel"/>
    <w:tmpl w:val="01BC0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BD080C"/>
    <w:multiLevelType w:val="hybridMultilevel"/>
    <w:tmpl w:val="E2486C3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BC91072"/>
    <w:multiLevelType w:val="hybridMultilevel"/>
    <w:tmpl w:val="F2624A2E"/>
    <w:lvl w:ilvl="0" w:tplc="46885B88">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ocumentProtection w:edit="readOnly" w:enforcement="1" w:cryptProviderType="rsaFull" w:cryptAlgorithmClass="hash" w:cryptAlgorithmType="typeAny" w:cryptAlgorithmSid="4" w:cryptSpinCount="100000" w:hash="LjGoRqlxrrZnSMM1bdkXmKzB3xg=" w:salt="uBdq3P8Z44xVHbfvRtyjUA=="/>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4C1C92"/>
    <w:rsid w:val="000143B2"/>
    <w:rsid w:val="0002211F"/>
    <w:rsid w:val="00032436"/>
    <w:rsid w:val="00067118"/>
    <w:rsid w:val="00080A02"/>
    <w:rsid w:val="00084D46"/>
    <w:rsid w:val="000C2E58"/>
    <w:rsid w:val="000F1BFB"/>
    <w:rsid w:val="000F7939"/>
    <w:rsid w:val="00140F5B"/>
    <w:rsid w:val="001512E8"/>
    <w:rsid w:val="0016016C"/>
    <w:rsid w:val="00160B7E"/>
    <w:rsid w:val="00190FF2"/>
    <w:rsid w:val="001A2522"/>
    <w:rsid w:val="001B0E08"/>
    <w:rsid w:val="001B6318"/>
    <w:rsid w:val="001B650B"/>
    <w:rsid w:val="001D56F1"/>
    <w:rsid w:val="001F29B7"/>
    <w:rsid w:val="001F4221"/>
    <w:rsid w:val="0022354C"/>
    <w:rsid w:val="0023675B"/>
    <w:rsid w:val="00267969"/>
    <w:rsid w:val="002868DB"/>
    <w:rsid w:val="00294762"/>
    <w:rsid w:val="002B3E23"/>
    <w:rsid w:val="002B7C94"/>
    <w:rsid w:val="002E20BC"/>
    <w:rsid w:val="00316AF7"/>
    <w:rsid w:val="00334647"/>
    <w:rsid w:val="003425AF"/>
    <w:rsid w:val="00343F38"/>
    <w:rsid w:val="00371392"/>
    <w:rsid w:val="00386BCC"/>
    <w:rsid w:val="00391E93"/>
    <w:rsid w:val="003B03D1"/>
    <w:rsid w:val="003B403D"/>
    <w:rsid w:val="003D5004"/>
    <w:rsid w:val="003F24CF"/>
    <w:rsid w:val="003F5569"/>
    <w:rsid w:val="00445559"/>
    <w:rsid w:val="004717F9"/>
    <w:rsid w:val="00475293"/>
    <w:rsid w:val="00487C09"/>
    <w:rsid w:val="00495EC4"/>
    <w:rsid w:val="004B0047"/>
    <w:rsid w:val="004C1C92"/>
    <w:rsid w:val="004D3F05"/>
    <w:rsid w:val="004E33B3"/>
    <w:rsid w:val="005241CA"/>
    <w:rsid w:val="005343CF"/>
    <w:rsid w:val="00586B21"/>
    <w:rsid w:val="005A7120"/>
    <w:rsid w:val="005C5E5C"/>
    <w:rsid w:val="005E00B9"/>
    <w:rsid w:val="005E3CB0"/>
    <w:rsid w:val="0060621F"/>
    <w:rsid w:val="00614E05"/>
    <w:rsid w:val="0061707A"/>
    <w:rsid w:val="006365F6"/>
    <w:rsid w:val="006366EE"/>
    <w:rsid w:val="0064211C"/>
    <w:rsid w:val="0065370E"/>
    <w:rsid w:val="00667689"/>
    <w:rsid w:val="00691196"/>
    <w:rsid w:val="00691ECF"/>
    <w:rsid w:val="006A32C4"/>
    <w:rsid w:val="006A7F1B"/>
    <w:rsid w:val="006B42A7"/>
    <w:rsid w:val="006B5124"/>
    <w:rsid w:val="006B58CC"/>
    <w:rsid w:val="006C52CD"/>
    <w:rsid w:val="006D0679"/>
    <w:rsid w:val="006F626A"/>
    <w:rsid w:val="00706D15"/>
    <w:rsid w:val="00715C93"/>
    <w:rsid w:val="00726EC3"/>
    <w:rsid w:val="00732051"/>
    <w:rsid w:val="0073736B"/>
    <w:rsid w:val="00737DC8"/>
    <w:rsid w:val="00755E16"/>
    <w:rsid w:val="00762B60"/>
    <w:rsid w:val="0078610B"/>
    <w:rsid w:val="00790F4E"/>
    <w:rsid w:val="007913A7"/>
    <w:rsid w:val="007935E5"/>
    <w:rsid w:val="007D0AFA"/>
    <w:rsid w:val="00831E57"/>
    <w:rsid w:val="0083491D"/>
    <w:rsid w:val="00857CFB"/>
    <w:rsid w:val="00885DE4"/>
    <w:rsid w:val="00891203"/>
    <w:rsid w:val="008E39D8"/>
    <w:rsid w:val="009033C9"/>
    <w:rsid w:val="009247F5"/>
    <w:rsid w:val="0093252B"/>
    <w:rsid w:val="00940834"/>
    <w:rsid w:val="00986A76"/>
    <w:rsid w:val="009B72F1"/>
    <w:rsid w:val="009C33DF"/>
    <w:rsid w:val="009D2B30"/>
    <w:rsid w:val="009F62E5"/>
    <w:rsid w:val="00A50EE6"/>
    <w:rsid w:val="00A9441D"/>
    <w:rsid w:val="00AB41E7"/>
    <w:rsid w:val="00AE2BE1"/>
    <w:rsid w:val="00AE766D"/>
    <w:rsid w:val="00B023F6"/>
    <w:rsid w:val="00B33856"/>
    <w:rsid w:val="00B3629F"/>
    <w:rsid w:val="00B615FB"/>
    <w:rsid w:val="00B91E67"/>
    <w:rsid w:val="00BC0E21"/>
    <w:rsid w:val="00BE4D3E"/>
    <w:rsid w:val="00BE7446"/>
    <w:rsid w:val="00BF143B"/>
    <w:rsid w:val="00BF54D6"/>
    <w:rsid w:val="00BF67D1"/>
    <w:rsid w:val="00C14237"/>
    <w:rsid w:val="00C4112A"/>
    <w:rsid w:val="00C70B77"/>
    <w:rsid w:val="00C7738E"/>
    <w:rsid w:val="00C85A71"/>
    <w:rsid w:val="00C95912"/>
    <w:rsid w:val="00CC1421"/>
    <w:rsid w:val="00CC5D64"/>
    <w:rsid w:val="00CD39AE"/>
    <w:rsid w:val="00D03C7A"/>
    <w:rsid w:val="00D116B3"/>
    <w:rsid w:val="00D20D76"/>
    <w:rsid w:val="00D33291"/>
    <w:rsid w:val="00D61985"/>
    <w:rsid w:val="00D7232E"/>
    <w:rsid w:val="00D81BDC"/>
    <w:rsid w:val="00D9095C"/>
    <w:rsid w:val="00D90E9B"/>
    <w:rsid w:val="00D9629E"/>
    <w:rsid w:val="00DB5B33"/>
    <w:rsid w:val="00DC3A48"/>
    <w:rsid w:val="00E00C5A"/>
    <w:rsid w:val="00E1585A"/>
    <w:rsid w:val="00E17BEA"/>
    <w:rsid w:val="00E2343D"/>
    <w:rsid w:val="00E244CC"/>
    <w:rsid w:val="00E346A1"/>
    <w:rsid w:val="00E72B4F"/>
    <w:rsid w:val="00E7669A"/>
    <w:rsid w:val="00E76BA8"/>
    <w:rsid w:val="00E86E37"/>
    <w:rsid w:val="00EA7B7F"/>
    <w:rsid w:val="00EB77EC"/>
    <w:rsid w:val="00ED300B"/>
    <w:rsid w:val="00EE28E0"/>
    <w:rsid w:val="00EE7627"/>
    <w:rsid w:val="00F03AFA"/>
    <w:rsid w:val="00F1525C"/>
    <w:rsid w:val="00F25850"/>
    <w:rsid w:val="00F6231B"/>
    <w:rsid w:val="00F7321A"/>
    <w:rsid w:val="00F86826"/>
    <w:rsid w:val="00F86BDD"/>
    <w:rsid w:val="00FD7D97"/>
    <w:rsid w:val="00FF5FAE"/>
    <w:rsid w:val="00FF7D4F"/>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C92"/>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6D067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C1421"/>
    <w:pPr>
      <w:spacing w:before="100" w:beforeAutospacing="1" w:after="100" w:afterAutospacing="1"/>
      <w:outlineLvl w:val="1"/>
    </w:pPr>
    <w:rPr>
      <w:rFonts w:ascii="Times" w:eastAsiaTheme="minorEastAsia" w:hAnsi="Times" w:cstheme="minorBidi"/>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91E93"/>
    <w:rPr>
      <w:rFonts w:ascii="Lucida Grande" w:hAnsi="Lucida Grande"/>
      <w:sz w:val="18"/>
      <w:szCs w:val="18"/>
    </w:rPr>
  </w:style>
  <w:style w:type="character" w:customStyle="1" w:styleId="BalloonTextChar">
    <w:name w:val="Balloon Text Char"/>
    <w:basedOn w:val="DefaultParagraphFont"/>
    <w:uiPriority w:val="99"/>
    <w:semiHidden/>
    <w:rsid w:val="00030FF4"/>
    <w:rPr>
      <w:rFonts w:ascii="Lucida Grande" w:hAnsi="Lucida Grande"/>
      <w:sz w:val="18"/>
      <w:szCs w:val="18"/>
    </w:rPr>
  </w:style>
  <w:style w:type="paragraph" w:customStyle="1" w:styleId="Body">
    <w:name w:val="Body"/>
    <w:rsid w:val="004C1C92"/>
    <w:rPr>
      <w:rFonts w:ascii="Helvetica" w:eastAsia="ヒラギノ角ゴ Pro W3" w:hAnsi="Helvetica" w:cs="Times New Roman"/>
      <w:color w:val="000000"/>
      <w:szCs w:val="20"/>
      <w:lang w:val="en-US"/>
    </w:rPr>
  </w:style>
  <w:style w:type="paragraph" w:customStyle="1" w:styleId="Textparagraph">
    <w:name w:val="Text paragraph"/>
    <w:basedOn w:val="Normal"/>
    <w:rsid w:val="006B58CC"/>
    <w:pPr>
      <w:spacing w:before="160" w:after="160" w:line="290" w:lineRule="exact"/>
    </w:pPr>
    <w:rPr>
      <w:rFonts w:ascii="Arial" w:hAnsi="Arial" w:cs="Arial"/>
      <w:color w:val="000000"/>
    </w:rPr>
  </w:style>
  <w:style w:type="character" w:customStyle="1" w:styleId="Heading2Char">
    <w:name w:val="Heading 2 Char"/>
    <w:basedOn w:val="DefaultParagraphFont"/>
    <w:link w:val="Heading2"/>
    <w:uiPriority w:val="9"/>
    <w:rsid w:val="00CC1421"/>
    <w:rPr>
      <w:rFonts w:ascii="Times" w:hAnsi="Times"/>
      <w:b/>
      <w:bCs/>
      <w:sz w:val="36"/>
      <w:szCs w:val="36"/>
    </w:rPr>
  </w:style>
  <w:style w:type="character" w:styleId="Emphasis">
    <w:name w:val="Emphasis"/>
    <w:basedOn w:val="DefaultParagraphFont"/>
    <w:uiPriority w:val="20"/>
    <w:qFormat/>
    <w:rsid w:val="00CC1421"/>
    <w:rPr>
      <w:i/>
      <w:iCs/>
    </w:rPr>
  </w:style>
  <w:style w:type="paragraph" w:styleId="FootnoteText">
    <w:name w:val="footnote text"/>
    <w:basedOn w:val="Normal"/>
    <w:link w:val="FootnoteTextChar"/>
    <w:uiPriority w:val="99"/>
    <w:unhideWhenUsed/>
    <w:rsid w:val="00D90E9B"/>
  </w:style>
  <w:style w:type="character" w:customStyle="1" w:styleId="FootnoteTextChar">
    <w:name w:val="Footnote Text Char"/>
    <w:basedOn w:val="DefaultParagraphFont"/>
    <w:link w:val="FootnoteText"/>
    <w:uiPriority w:val="99"/>
    <w:rsid w:val="00D90E9B"/>
    <w:rPr>
      <w:rFonts w:ascii="Times New Roman" w:eastAsia="Times New Roman" w:hAnsi="Times New Roman" w:cs="Times New Roman"/>
      <w:lang w:val="en-US"/>
    </w:rPr>
  </w:style>
  <w:style w:type="character" w:styleId="FootnoteReference">
    <w:name w:val="footnote reference"/>
    <w:basedOn w:val="DefaultParagraphFont"/>
    <w:uiPriority w:val="99"/>
    <w:unhideWhenUsed/>
    <w:rsid w:val="00D90E9B"/>
    <w:rPr>
      <w:vertAlign w:val="superscript"/>
    </w:rPr>
  </w:style>
  <w:style w:type="paragraph" w:customStyle="1" w:styleId="CoverHeading">
    <w:name w:val="Cover Heading"/>
    <w:basedOn w:val="Normal"/>
    <w:autoRedefine/>
    <w:rsid w:val="00D90E9B"/>
    <w:pPr>
      <w:framePr w:w="9000" w:h="3600" w:hSpace="180" w:wrap="around" w:vAnchor="page" w:hAnchor="text" w:x="261" w:y="4324"/>
      <w:shd w:val="solid" w:color="FFFFFF" w:fill="FFFFFF"/>
      <w:jc w:val="right"/>
    </w:pPr>
    <w:rPr>
      <w:rFonts w:ascii="Arial" w:hAnsi="Arial"/>
      <w:color w:val="002664"/>
      <w:sz w:val="56"/>
      <w:lang w:val="en-AU"/>
    </w:rPr>
  </w:style>
  <w:style w:type="paragraph" w:customStyle="1" w:styleId="CoverSubheading">
    <w:name w:val="Cover Subheading"/>
    <w:basedOn w:val="Normal"/>
    <w:autoRedefine/>
    <w:rsid w:val="00D90E9B"/>
    <w:pPr>
      <w:framePr w:w="9000" w:h="3600" w:hSpace="180" w:wrap="around" w:vAnchor="page" w:hAnchor="text" w:x="261" w:y="4324"/>
      <w:shd w:val="solid" w:color="FFFFFF" w:fill="FFFFFF"/>
      <w:spacing w:before="240"/>
      <w:jc w:val="right"/>
    </w:pPr>
    <w:rPr>
      <w:rFonts w:ascii="Arial" w:hAnsi="Arial"/>
      <w:color w:val="002664"/>
      <w:sz w:val="48"/>
      <w:lang w:val="en-AU"/>
    </w:rPr>
  </w:style>
  <w:style w:type="character" w:styleId="HTMLCite">
    <w:name w:val="HTML Cite"/>
    <w:basedOn w:val="DefaultParagraphFont"/>
    <w:uiPriority w:val="99"/>
    <w:semiHidden/>
    <w:unhideWhenUsed/>
    <w:rsid w:val="00B33856"/>
    <w:rPr>
      <w:i/>
      <w:iCs/>
    </w:rPr>
  </w:style>
  <w:style w:type="character" w:customStyle="1" w:styleId="BalloonTextChar1">
    <w:name w:val="Balloon Text Char1"/>
    <w:basedOn w:val="DefaultParagraphFont"/>
    <w:link w:val="BalloonText"/>
    <w:uiPriority w:val="99"/>
    <w:semiHidden/>
    <w:rsid w:val="00391E93"/>
    <w:rPr>
      <w:rFonts w:ascii="Lucida Grande" w:eastAsia="Times New Roman" w:hAnsi="Lucida Grande" w:cs="Times New Roman"/>
      <w:sz w:val="18"/>
      <w:szCs w:val="18"/>
      <w:lang w:val="en-US"/>
    </w:rPr>
  </w:style>
  <w:style w:type="character" w:styleId="Hyperlink">
    <w:name w:val="Hyperlink"/>
    <w:basedOn w:val="DefaultParagraphFont"/>
    <w:uiPriority w:val="99"/>
    <w:unhideWhenUsed/>
    <w:rsid w:val="000143B2"/>
    <w:rPr>
      <w:color w:val="0000FF" w:themeColor="hyperlink"/>
      <w:u w:val="single"/>
    </w:rPr>
  </w:style>
  <w:style w:type="paragraph" w:styleId="Footer">
    <w:name w:val="footer"/>
    <w:basedOn w:val="Normal"/>
    <w:link w:val="FooterChar"/>
    <w:uiPriority w:val="99"/>
    <w:unhideWhenUsed/>
    <w:rsid w:val="00AB41E7"/>
    <w:pPr>
      <w:tabs>
        <w:tab w:val="center" w:pos="4320"/>
        <w:tab w:val="right" w:pos="8640"/>
      </w:tabs>
    </w:pPr>
  </w:style>
  <w:style w:type="character" w:customStyle="1" w:styleId="FooterChar">
    <w:name w:val="Footer Char"/>
    <w:basedOn w:val="DefaultParagraphFont"/>
    <w:link w:val="Footer"/>
    <w:uiPriority w:val="99"/>
    <w:rsid w:val="00AB41E7"/>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AB41E7"/>
  </w:style>
  <w:style w:type="paragraph" w:styleId="Header">
    <w:name w:val="header"/>
    <w:basedOn w:val="Normal"/>
    <w:link w:val="HeaderChar"/>
    <w:uiPriority w:val="99"/>
    <w:unhideWhenUsed/>
    <w:rsid w:val="00AB41E7"/>
    <w:pPr>
      <w:tabs>
        <w:tab w:val="center" w:pos="4320"/>
        <w:tab w:val="right" w:pos="8640"/>
      </w:tabs>
    </w:pPr>
  </w:style>
  <w:style w:type="character" w:customStyle="1" w:styleId="HeaderChar">
    <w:name w:val="Header Char"/>
    <w:basedOn w:val="DefaultParagraphFont"/>
    <w:link w:val="Header"/>
    <w:uiPriority w:val="99"/>
    <w:rsid w:val="00AB41E7"/>
    <w:rPr>
      <w:rFonts w:ascii="Times New Roman" w:eastAsia="Times New Roman" w:hAnsi="Times New Roman" w:cs="Times New Roman"/>
      <w:lang w:val="en-US"/>
    </w:rPr>
  </w:style>
  <w:style w:type="paragraph" w:styleId="ListParagraph">
    <w:name w:val="List Paragraph"/>
    <w:basedOn w:val="Normal"/>
    <w:uiPriority w:val="34"/>
    <w:qFormat/>
    <w:rsid w:val="00BC0E21"/>
    <w:pPr>
      <w:ind w:left="720"/>
      <w:contextualSpacing/>
    </w:pPr>
  </w:style>
  <w:style w:type="character" w:customStyle="1" w:styleId="Heading1Char">
    <w:name w:val="Heading 1 Char"/>
    <w:basedOn w:val="DefaultParagraphFont"/>
    <w:link w:val="Heading1"/>
    <w:uiPriority w:val="9"/>
    <w:rsid w:val="006D0679"/>
    <w:rPr>
      <w:rFonts w:asciiTheme="majorHAnsi" w:eastAsiaTheme="majorEastAsia" w:hAnsiTheme="majorHAnsi" w:cstheme="majorBidi"/>
      <w:b/>
      <w:bCs/>
      <w:color w:val="345A8A" w:themeColor="accent1" w:themeShade="B5"/>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C92"/>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6D067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C1421"/>
    <w:pPr>
      <w:spacing w:before="100" w:beforeAutospacing="1" w:after="100" w:afterAutospacing="1"/>
      <w:outlineLvl w:val="1"/>
    </w:pPr>
    <w:rPr>
      <w:rFonts w:ascii="Times" w:eastAsiaTheme="minorEastAsia" w:hAnsi="Times" w:cstheme="minorBidi"/>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91E93"/>
    <w:rPr>
      <w:rFonts w:ascii="Lucida Grande" w:hAnsi="Lucida Grande"/>
      <w:sz w:val="18"/>
      <w:szCs w:val="18"/>
    </w:rPr>
  </w:style>
  <w:style w:type="character" w:customStyle="1" w:styleId="BalloonTextChar">
    <w:name w:val="Balloon Text Char"/>
    <w:basedOn w:val="DefaultParagraphFont"/>
    <w:uiPriority w:val="99"/>
    <w:semiHidden/>
    <w:rsid w:val="00030FF4"/>
    <w:rPr>
      <w:rFonts w:ascii="Lucida Grande" w:hAnsi="Lucida Grande"/>
      <w:sz w:val="18"/>
      <w:szCs w:val="18"/>
    </w:rPr>
  </w:style>
  <w:style w:type="paragraph" w:customStyle="1" w:styleId="Body">
    <w:name w:val="Body"/>
    <w:rsid w:val="004C1C92"/>
    <w:rPr>
      <w:rFonts w:ascii="Helvetica" w:eastAsia="ヒラギノ角ゴ Pro W3" w:hAnsi="Helvetica" w:cs="Times New Roman"/>
      <w:color w:val="000000"/>
      <w:szCs w:val="20"/>
      <w:lang w:val="en-US"/>
    </w:rPr>
  </w:style>
  <w:style w:type="paragraph" w:customStyle="1" w:styleId="Textparagraph">
    <w:name w:val="Text paragraph"/>
    <w:basedOn w:val="Normal"/>
    <w:rsid w:val="006B58CC"/>
    <w:pPr>
      <w:spacing w:before="160" w:after="160" w:line="290" w:lineRule="exact"/>
    </w:pPr>
    <w:rPr>
      <w:rFonts w:ascii="Arial" w:hAnsi="Arial" w:cs="Arial"/>
      <w:color w:val="000000"/>
    </w:rPr>
  </w:style>
  <w:style w:type="character" w:customStyle="1" w:styleId="Heading2Char">
    <w:name w:val="Heading 2 Char"/>
    <w:basedOn w:val="DefaultParagraphFont"/>
    <w:link w:val="Heading2"/>
    <w:uiPriority w:val="9"/>
    <w:rsid w:val="00CC1421"/>
    <w:rPr>
      <w:rFonts w:ascii="Times" w:hAnsi="Times"/>
      <w:b/>
      <w:bCs/>
      <w:sz w:val="36"/>
      <w:szCs w:val="36"/>
    </w:rPr>
  </w:style>
  <w:style w:type="character" w:styleId="Emphasis">
    <w:name w:val="Emphasis"/>
    <w:basedOn w:val="DefaultParagraphFont"/>
    <w:uiPriority w:val="20"/>
    <w:qFormat/>
    <w:rsid w:val="00CC1421"/>
    <w:rPr>
      <w:i/>
      <w:iCs/>
    </w:rPr>
  </w:style>
  <w:style w:type="paragraph" w:styleId="FootnoteText">
    <w:name w:val="footnote text"/>
    <w:basedOn w:val="Normal"/>
    <w:link w:val="FootnoteTextChar"/>
    <w:uiPriority w:val="99"/>
    <w:unhideWhenUsed/>
    <w:rsid w:val="00D90E9B"/>
  </w:style>
  <w:style w:type="character" w:customStyle="1" w:styleId="FootnoteTextChar">
    <w:name w:val="Footnote Text Char"/>
    <w:basedOn w:val="DefaultParagraphFont"/>
    <w:link w:val="FootnoteText"/>
    <w:uiPriority w:val="99"/>
    <w:rsid w:val="00D90E9B"/>
    <w:rPr>
      <w:rFonts w:ascii="Times New Roman" w:eastAsia="Times New Roman" w:hAnsi="Times New Roman" w:cs="Times New Roman"/>
      <w:lang w:val="en-US"/>
    </w:rPr>
  </w:style>
  <w:style w:type="character" w:styleId="FootnoteReference">
    <w:name w:val="footnote reference"/>
    <w:basedOn w:val="DefaultParagraphFont"/>
    <w:uiPriority w:val="99"/>
    <w:unhideWhenUsed/>
    <w:rsid w:val="00D90E9B"/>
    <w:rPr>
      <w:vertAlign w:val="superscript"/>
    </w:rPr>
  </w:style>
  <w:style w:type="paragraph" w:customStyle="1" w:styleId="CoverHeading">
    <w:name w:val="Cover Heading"/>
    <w:basedOn w:val="Normal"/>
    <w:autoRedefine/>
    <w:rsid w:val="00D90E9B"/>
    <w:pPr>
      <w:framePr w:w="9000" w:h="3600" w:hSpace="180" w:wrap="around" w:vAnchor="page" w:hAnchor="text" w:x="261" w:y="4324"/>
      <w:shd w:val="solid" w:color="FFFFFF" w:fill="FFFFFF"/>
      <w:jc w:val="right"/>
    </w:pPr>
    <w:rPr>
      <w:rFonts w:ascii="Arial" w:hAnsi="Arial"/>
      <w:color w:val="002664"/>
      <w:sz w:val="56"/>
      <w:lang w:val="en-AU"/>
    </w:rPr>
  </w:style>
  <w:style w:type="paragraph" w:customStyle="1" w:styleId="CoverSubheading">
    <w:name w:val="Cover Subheading"/>
    <w:basedOn w:val="Normal"/>
    <w:autoRedefine/>
    <w:rsid w:val="00D90E9B"/>
    <w:pPr>
      <w:framePr w:w="9000" w:h="3600" w:hSpace="180" w:wrap="around" w:vAnchor="page" w:hAnchor="text" w:x="261" w:y="4324"/>
      <w:shd w:val="solid" w:color="FFFFFF" w:fill="FFFFFF"/>
      <w:spacing w:before="240"/>
      <w:jc w:val="right"/>
    </w:pPr>
    <w:rPr>
      <w:rFonts w:ascii="Arial" w:hAnsi="Arial"/>
      <w:color w:val="002664"/>
      <w:sz w:val="48"/>
      <w:lang w:val="en-AU"/>
    </w:rPr>
  </w:style>
  <w:style w:type="character" w:styleId="HTMLCite">
    <w:name w:val="HTML Cite"/>
    <w:basedOn w:val="DefaultParagraphFont"/>
    <w:uiPriority w:val="99"/>
    <w:semiHidden/>
    <w:unhideWhenUsed/>
    <w:rsid w:val="00B33856"/>
    <w:rPr>
      <w:i/>
      <w:iCs/>
    </w:rPr>
  </w:style>
  <w:style w:type="character" w:customStyle="1" w:styleId="BalloonTextChar1">
    <w:name w:val="Balloon Text Char1"/>
    <w:basedOn w:val="DefaultParagraphFont"/>
    <w:link w:val="BalloonText"/>
    <w:uiPriority w:val="99"/>
    <w:semiHidden/>
    <w:rsid w:val="00391E93"/>
    <w:rPr>
      <w:rFonts w:ascii="Lucida Grande" w:eastAsia="Times New Roman" w:hAnsi="Lucida Grande" w:cs="Times New Roman"/>
      <w:sz w:val="18"/>
      <w:szCs w:val="18"/>
      <w:lang w:val="en-US"/>
    </w:rPr>
  </w:style>
  <w:style w:type="character" w:styleId="Hyperlink">
    <w:name w:val="Hyperlink"/>
    <w:basedOn w:val="DefaultParagraphFont"/>
    <w:uiPriority w:val="99"/>
    <w:unhideWhenUsed/>
    <w:rsid w:val="000143B2"/>
    <w:rPr>
      <w:color w:val="0000FF" w:themeColor="hyperlink"/>
      <w:u w:val="single"/>
    </w:rPr>
  </w:style>
  <w:style w:type="paragraph" w:styleId="Footer">
    <w:name w:val="footer"/>
    <w:basedOn w:val="Normal"/>
    <w:link w:val="FooterChar"/>
    <w:uiPriority w:val="99"/>
    <w:unhideWhenUsed/>
    <w:rsid w:val="00AB41E7"/>
    <w:pPr>
      <w:tabs>
        <w:tab w:val="center" w:pos="4320"/>
        <w:tab w:val="right" w:pos="8640"/>
      </w:tabs>
    </w:pPr>
  </w:style>
  <w:style w:type="character" w:customStyle="1" w:styleId="FooterChar">
    <w:name w:val="Footer Char"/>
    <w:basedOn w:val="DefaultParagraphFont"/>
    <w:link w:val="Footer"/>
    <w:uiPriority w:val="99"/>
    <w:rsid w:val="00AB41E7"/>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AB41E7"/>
  </w:style>
  <w:style w:type="paragraph" w:styleId="Header">
    <w:name w:val="header"/>
    <w:basedOn w:val="Normal"/>
    <w:link w:val="HeaderChar"/>
    <w:uiPriority w:val="99"/>
    <w:unhideWhenUsed/>
    <w:rsid w:val="00AB41E7"/>
    <w:pPr>
      <w:tabs>
        <w:tab w:val="center" w:pos="4320"/>
        <w:tab w:val="right" w:pos="8640"/>
      </w:tabs>
    </w:pPr>
  </w:style>
  <w:style w:type="character" w:customStyle="1" w:styleId="HeaderChar">
    <w:name w:val="Header Char"/>
    <w:basedOn w:val="DefaultParagraphFont"/>
    <w:link w:val="Header"/>
    <w:uiPriority w:val="99"/>
    <w:rsid w:val="00AB41E7"/>
    <w:rPr>
      <w:rFonts w:ascii="Times New Roman" w:eastAsia="Times New Roman" w:hAnsi="Times New Roman" w:cs="Times New Roman"/>
      <w:lang w:val="en-US"/>
    </w:rPr>
  </w:style>
  <w:style w:type="paragraph" w:styleId="ListParagraph">
    <w:name w:val="List Paragraph"/>
    <w:basedOn w:val="Normal"/>
    <w:uiPriority w:val="34"/>
    <w:qFormat/>
    <w:rsid w:val="00BC0E21"/>
    <w:pPr>
      <w:ind w:left="720"/>
      <w:contextualSpacing/>
    </w:pPr>
  </w:style>
  <w:style w:type="character" w:customStyle="1" w:styleId="Heading1Char">
    <w:name w:val="Heading 1 Char"/>
    <w:basedOn w:val="DefaultParagraphFont"/>
    <w:link w:val="Heading1"/>
    <w:uiPriority w:val="9"/>
    <w:rsid w:val="006D0679"/>
    <w:rPr>
      <w:rFonts w:asciiTheme="majorHAnsi" w:eastAsiaTheme="majorEastAsia" w:hAnsiTheme="majorHAnsi" w:cstheme="majorBidi"/>
      <w:b/>
      <w:bCs/>
      <w:color w:val="345A8A" w:themeColor="accent1" w:themeShade="B5"/>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271900">
      <w:bodyDiv w:val="1"/>
      <w:marLeft w:val="0"/>
      <w:marRight w:val="0"/>
      <w:marTop w:val="0"/>
      <w:marBottom w:val="0"/>
      <w:divBdr>
        <w:top w:val="none" w:sz="0" w:space="0" w:color="auto"/>
        <w:left w:val="none" w:sz="0" w:space="0" w:color="auto"/>
        <w:bottom w:val="none" w:sz="0" w:space="0" w:color="auto"/>
        <w:right w:val="none" w:sz="0" w:space="0" w:color="auto"/>
      </w:divBdr>
    </w:div>
    <w:div w:id="638220398">
      <w:bodyDiv w:val="1"/>
      <w:marLeft w:val="0"/>
      <w:marRight w:val="0"/>
      <w:marTop w:val="0"/>
      <w:marBottom w:val="0"/>
      <w:divBdr>
        <w:top w:val="none" w:sz="0" w:space="0" w:color="auto"/>
        <w:left w:val="none" w:sz="0" w:space="0" w:color="auto"/>
        <w:bottom w:val="none" w:sz="0" w:space="0" w:color="auto"/>
        <w:right w:val="none" w:sz="0" w:space="0" w:color="auto"/>
      </w:divBdr>
    </w:div>
    <w:div w:id="659234319">
      <w:bodyDiv w:val="1"/>
      <w:marLeft w:val="0"/>
      <w:marRight w:val="0"/>
      <w:marTop w:val="0"/>
      <w:marBottom w:val="0"/>
      <w:divBdr>
        <w:top w:val="none" w:sz="0" w:space="0" w:color="auto"/>
        <w:left w:val="none" w:sz="0" w:space="0" w:color="auto"/>
        <w:bottom w:val="none" w:sz="0" w:space="0" w:color="auto"/>
        <w:right w:val="none" w:sz="0" w:space="0" w:color="auto"/>
      </w:divBdr>
      <w:divsChild>
        <w:div w:id="1719738054">
          <w:marLeft w:val="0"/>
          <w:marRight w:val="0"/>
          <w:marTop w:val="0"/>
          <w:marBottom w:val="0"/>
          <w:divBdr>
            <w:top w:val="none" w:sz="0" w:space="0" w:color="auto"/>
            <w:left w:val="none" w:sz="0" w:space="0" w:color="auto"/>
            <w:bottom w:val="none" w:sz="0" w:space="0" w:color="auto"/>
            <w:right w:val="none" w:sz="0" w:space="0" w:color="auto"/>
          </w:divBdr>
        </w:div>
        <w:div w:id="458957691">
          <w:marLeft w:val="0"/>
          <w:marRight w:val="0"/>
          <w:marTop w:val="0"/>
          <w:marBottom w:val="0"/>
          <w:divBdr>
            <w:top w:val="none" w:sz="0" w:space="0" w:color="auto"/>
            <w:left w:val="none" w:sz="0" w:space="0" w:color="auto"/>
            <w:bottom w:val="none" w:sz="0" w:space="0" w:color="auto"/>
            <w:right w:val="none" w:sz="0" w:space="0" w:color="auto"/>
          </w:divBdr>
        </w:div>
        <w:div w:id="1196819556">
          <w:marLeft w:val="0"/>
          <w:marRight w:val="0"/>
          <w:marTop w:val="0"/>
          <w:marBottom w:val="0"/>
          <w:divBdr>
            <w:top w:val="none" w:sz="0" w:space="0" w:color="auto"/>
            <w:left w:val="none" w:sz="0" w:space="0" w:color="auto"/>
            <w:bottom w:val="none" w:sz="0" w:space="0" w:color="auto"/>
            <w:right w:val="none" w:sz="0" w:space="0" w:color="auto"/>
          </w:divBdr>
        </w:div>
        <w:div w:id="2111120568">
          <w:marLeft w:val="0"/>
          <w:marRight w:val="0"/>
          <w:marTop w:val="0"/>
          <w:marBottom w:val="0"/>
          <w:divBdr>
            <w:top w:val="none" w:sz="0" w:space="0" w:color="auto"/>
            <w:left w:val="none" w:sz="0" w:space="0" w:color="auto"/>
            <w:bottom w:val="none" w:sz="0" w:space="0" w:color="auto"/>
            <w:right w:val="none" w:sz="0" w:space="0" w:color="auto"/>
          </w:divBdr>
        </w:div>
        <w:div w:id="682131174">
          <w:marLeft w:val="0"/>
          <w:marRight w:val="0"/>
          <w:marTop w:val="0"/>
          <w:marBottom w:val="0"/>
          <w:divBdr>
            <w:top w:val="none" w:sz="0" w:space="0" w:color="auto"/>
            <w:left w:val="none" w:sz="0" w:space="0" w:color="auto"/>
            <w:bottom w:val="none" w:sz="0" w:space="0" w:color="auto"/>
            <w:right w:val="none" w:sz="0" w:space="0" w:color="auto"/>
          </w:divBdr>
        </w:div>
        <w:div w:id="1590962366">
          <w:marLeft w:val="0"/>
          <w:marRight w:val="0"/>
          <w:marTop w:val="0"/>
          <w:marBottom w:val="0"/>
          <w:divBdr>
            <w:top w:val="none" w:sz="0" w:space="0" w:color="auto"/>
            <w:left w:val="none" w:sz="0" w:space="0" w:color="auto"/>
            <w:bottom w:val="none" w:sz="0" w:space="0" w:color="auto"/>
            <w:right w:val="none" w:sz="0" w:space="0" w:color="auto"/>
          </w:divBdr>
        </w:div>
      </w:divsChild>
    </w:div>
    <w:div w:id="747534566">
      <w:bodyDiv w:val="1"/>
      <w:marLeft w:val="0"/>
      <w:marRight w:val="0"/>
      <w:marTop w:val="0"/>
      <w:marBottom w:val="0"/>
      <w:divBdr>
        <w:top w:val="none" w:sz="0" w:space="0" w:color="auto"/>
        <w:left w:val="none" w:sz="0" w:space="0" w:color="auto"/>
        <w:bottom w:val="none" w:sz="0" w:space="0" w:color="auto"/>
        <w:right w:val="none" w:sz="0" w:space="0" w:color="auto"/>
      </w:divBdr>
    </w:div>
    <w:div w:id="1134248434">
      <w:bodyDiv w:val="1"/>
      <w:marLeft w:val="0"/>
      <w:marRight w:val="0"/>
      <w:marTop w:val="0"/>
      <w:marBottom w:val="0"/>
      <w:divBdr>
        <w:top w:val="none" w:sz="0" w:space="0" w:color="auto"/>
        <w:left w:val="none" w:sz="0" w:space="0" w:color="auto"/>
        <w:bottom w:val="none" w:sz="0" w:space="0" w:color="auto"/>
        <w:right w:val="none" w:sz="0" w:space="0" w:color="auto"/>
      </w:divBdr>
    </w:div>
    <w:div w:id="2107726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BB55B-F3FA-48D7-893D-18128241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2420</Words>
  <Characters>13797</Characters>
  <Application>Microsoft Office Word</Application>
  <DocSecurity>8</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Bradshaw</dc:creator>
  <cp:keywords/>
  <dc:description/>
  <cp:lastModifiedBy>Fahcsia</cp:lastModifiedBy>
  <cp:revision>3</cp:revision>
  <cp:lastPrinted>2013-05-06T01:57:00Z</cp:lastPrinted>
  <dcterms:created xsi:type="dcterms:W3CDTF">2013-05-24T01:40:00Z</dcterms:created>
  <dcterms:modified xsi:type="dcterms:W3CDTF">2013-05-24T05:26:00Z</dcterms:modified>
</cp:coreProperties>
</file>