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E15" w:rsidRPr="0074752B" w:rsidRDefault="00B35164" w:rsidP="00AF0A49">
      <w:pPr>
        <w:rPr>
          <w:rFonts w:ascii="Arial" w:hAnsi="Arial" w:cs="Arial"/>
          <w:sz w:val="20"/>
        </w:rPr>
      </w:pPr>
      <w:r w:rsidRPr="0074752B">
        <w:rPr>
          <w:rFonts w:ascii="Arial" w:hAnsi="Arial" w:cs="Arial"/>
          <w:sz w:val="20"/>
        </w:rPr>
        <w:t>2</w:t>
      </w:r>
      <w:bookmarkStart w:id="0" w:name="_GoBack"/>
      <w:bookmarkEnd w:id="0"/>
      <w:permStart w:id="1490773290" w:edGrp="everyone"/>
      <w:permEnd w:id="1490773290"/>
      <w:r w:rsidRPr="0074752B">
        <w:rPr>
          <w:rFonts w:ascii="Arial" w:hAnsi="Arial" w:cs="Arial"/>
          <w:sz w:val="20"/>
        </w:rPr>
        <w:t>3 April 2013</w:t>
      </w:r>
    </w:p>
    <w:p w:rsidR="00834E15" w:rsidRPr="0074752B" w:rsidRDefault="00834E15" w:rsidP="00AF0A49">
      <w:pPr>
        <w:rPr>
          <w:rFonts w:ascii="Arial" w:hAnsi="Arial" w:cs="Arial"/>
          <w:sz w:val="20"/>
        </w:rPr>
      </w:pPr>
    </w:p>
    <w:p w:rsidR="00EB0BC7" w:rsidRPr="0074752B" w:rsidRDefault="00EB0BC7" w:rsidP="004A666E">
      <w:pPr>
        <w:rPr>
          <w:rFonts w:ascii="Arial" w:hAnsi="Arial" w:cs="Arial"/>
          <w:sz w:val="20"/>
        </w:rPr>
      </w:pPr>
    </w:p>
    <w:p w:rsidR="00834E15" w:rsidRPr="0074752B" w:rsidRDefault="00B35164" w:rsidP="004A666E">
      <w:pPr>
        <w:rPr>
          <w:rFonts w:ascii="Arial" w:hAnsi="Arial" w:cs="Arial"/>
          <w:sz w:val="20"/>
        </w:rPr>
      </w:pPr>
      <w:r w:rsidRPr="0074752B">
        <w:rPr>
          <w:rFonts w:ascii="Arial" w:hAnsi="Arial" w:cs="Arial"/>
          <w:sz w:val="20"/>
        </w:rPr>
        <w:t xml:space="preserve">Housing Payment Deduction Scheme Consultation </w:t>
      </w:r>
    </w:p>
    <w:p w:rsidR="00B35164" w:rsidRPr="0074752B" w:rsidRDefault="00B35164" w:rsidP="004A666E">
      <w:pPr>
        <w:rPr>
          <w:rFonts w:ascii="Arial" w:hAnsi="Arial" w:cs="Arial"/>
          <w:sz w:val="20"/>
        </w:rPr>
      </w:pPr>
      <w:r w:rsidRPr="0074752B">
        <w:rPr>
          <w:rFonts w:ascii="Arial" w:hAnsi="Arial" w:cs="Arial"/>
          <w:sz w:val="20"/>
        </w:rPr>
        <w:t>Housing Policy Branch (MSH 3)</w:t>
      </w:r>
    </w:p>
    <w:p w:rsidR="00B35164" w:rsidRPr="0074752B" w:rsidRDefault="00B35164" w:rsidP="004A666E">
      <w:pPr>
        <w:rPr>
          <w:rFonts w:ascii="Arial" w:hAnsi="Arial" w:cs="Arial"/>
          <w:sz w:val="20"/>
        </w:rPr>
      </w:pPr>
      <w:r w:rsidRPr="0074752B">
        <w:rPr>
          <w:rFonts w:ascii="Arial" w:hAnsi="Arial" w:cs="Arial"/>
          <w:sz w:val="20"/>
        </w:rPr>
        <w:t xml:space="preserve">Department of Families, Housing, Community Services and Indigenous Affairs </w:t>
      </w:r>
    </w:p>
    <w:p w:rsidR="00B35164" w:rsidRPr="0074752B" w:rsidRDefault="00B35164" w:rsidP="004A666E">
      <w:pPr>
        <w:rPr>
          <w:rFonts w:ascii="Arial" w:hAnsi="Arial" w:cs="Arial"/>
          <w:sz w:val="20"/>
        </w:rPr>
      </w:pPr>
      <w:r w:rsidRPr="0074752B">
        <w:rPr>
          <w:rFonts w:ascii="Arial" w:hAnsi="Arial" w:cs="Arial"/>
          <w:sz w:val="20"/>
        </w:rPr>
        <w:t>PO Box 7576</w:t>
      </w:r>
    </w:p>
    <w:p w:rsidR="00B35164" w:rsidRPr="0074752B" w:rsidRDefault="00B35164" w:rsidP="004A666E">
      <w:pPr>
        <w:rPr>
          <w:rFonts w:ascii="Arial" w:hAnsi="Arial" w:cs="Arial"/>
          <w:sz w:val="20"/>
        </w:rPr>
      </w:pPr>
      <w:r w:rsidRPr="0074752B">
        <w:rPr>
          <w:rFonts w:ascii="Arial" w:hAnsi="Arial" w:cs="Arial"/>
          <w:sz w:val="20"/>
        </w:rPr>
        <w:t xml:space="preserve">CANBERRA BUSINESS CENTRE  ACT  2610 </w:t>
      </w:r>
    </w:p>
    <w:p w:rsidR="00834E15" w:rsidRPr="0074752B" w:rsidRDefault="00834E15" w:rsidP="00AF0A49">
      <w:pPr>
        <w:rPr>
          <w:rFonts w:ascii="Arial" w:hAnsi="Arial" w:cs="Arial"/>
          <w:sz w:val="20"/>
        </w:rPr>
      </w:pPr>
      <w:r w:rsidRPr="0074752B">
        <w:rPr>
          <w:rFonts w:ascii="Arial" w:hAnsi="Arial" w:cs="Arial"/>
          <w:sz w:val="20"/>
        </w:rPr>
        <w:t xml:space="preserve">  </w:t>
      </w:r>
    </w:p>
    <w:p w:rsidR="00834E15" w:rsidRPr="0074752B" w:rsidRDefault="00834E15" w:rsidP="00834E15">
      <w:pPr>
        <w:rPr>
          <w:rFonts w:ascii="Arial" w:hAnsi="Arial" w:cs="Arial"/>
          <w:sz w:val="20"/>
        </w:rPr>
      </w:pPr>
      <w:r w:rsidRPr="0074752B">
        <w:rPr>
          <w:rFonts w:ascii="Arial" w:hAnsi="Arial" w:cs="Arial"/>
          <w:sz w:val="20"/>
        </w:rPr>
        <w:t xml:space="preserve">Dear </w:t>
      </w:r>
      <w:r w:rsidR="008D7C30" w:rsidRPr="0074752B">
        <w:rPr>
          <w:rFonts w:ascii="Arial" w:hAnsi="Arial" w:cs="Arial"/>
          <w:sz w:val="20"/>
        </w:rPr>
        <w:t xml:space="preserve">Minister Macklin </w:t>
      </w:r>
    </w:p>
    <w:p w:rsidR="001810E9" w:rsidRPr="0074752B" w:rsidRDefault="001810E9" w:rsidP="00834E15">
      <w:pPr>
        <w:rPr>
          <w:rFonts w:ascii="Arial" w:hAnsi="Arial" w:cs="Arial"/>
          <w:sz w:val="20"/>
        </w:rPr>
      </w:pPr>
    </w:p>
    <w:p w:rsidR="00417961" w:rsidRPr="0074752B" w:rsidRDefault="00B35164" w:rsidP="009E784F">
      <w:pPr>
        <w:rPr>
          <w:rFonts w:ascii="Arial" w:hAnsi="Arial" w:cs="Arial"/>
          <w:b/>
          <w:szCs w:val="22"/>
        </w:rPr>
      </w:pPr>
      <w:r w:rsidRPr="0074752B">
        <w:rPr>
          <w:rFonts w:ascii="Arial" w:hAnsi="Arial" w:cs="Arial"/>
          <w:b/>
          <w:szCs w:val="22"/>
        </w:rPr>
        <w:t xml:space="preserve">Housing Payment Deduction Scheme </w:t>
      </w:r>
    </w:p>
    <w:p w:rsidR="009E784F" w:rsidRPr="0074752B" w:rsidRDefault="009E784F" w:rsidP="009E784F">
      <w:pPr>
        <w:rPr>
          <w:rFonts w:ascii="Arial" w:hAnsi="Arial" w:cs="Arial"/>
          <w:b/>
          <w:sz w:val="20"/>
        </w:rPr>
      </w:pPr>
    </w:p>
    <w:p w:rsidR="00B35164" w:rsidRPr="0074752B" w:rsidRDefault="00D402D3" w:rsidP="00D402D3">
      <w:pPr>
        <w:rPr>
          <w:rFonts w:ascii="Arial" w:hAnsi="Arial" w:cs="Arial"/>
          <w:sz w:val="20"/>
        </w:rPr>
      </w:pPr>
      <w:r w:rsidRPr="0074752B">
        <w:rPr>
          <w:rFonts w:ascii="Arial" w:hAnsi="Arial" w:cs="Arial"/>
          <w:sz w:val="20"/>
        </w:rPr>
        <w:t xml:space="preserve">We refer to the </w:t>
      </w:r>
      <w:r w:rsidR="00B35164" w:rsidRPr="0074752B">
        <w:rPr>
          <w:rFonts w:ascii="Arial" w:hAnsi="Arial" w:cs="Arial"/>
          <w:sz w:val="20"/>
        </w:rPr>
        <w:t>Exposure Draft of the Social Security Legislation Amendment (Public Housing Tenants’ Support) Bill 2013 (</w:t>
      </w:r>
      <w:r w:rsidR="00B35164" w:rsidRPr="0074752B">
        <w:rPr>
          <w:rFonts w:ascii="Arial" w:hAnsi="Arial" w:cs="Arial"/>
          <w:b/>
          <w:sz w:val="20"/>
        </w:rPr>
        <w:t>Exposure Draft</w:t>
      </w:r>
      <w:r w:rsidR="00B35164" w:rsidRPr="0074752B">
        <w:rPr>
          <w:rFonts w:ascii="Arial" w:hAnsi="Arial" w:cs="Arial"/>
          <w:sz w:val="20"/>
        </w:rPr>
        <w:t>)</w:t>
      </w:r>
      <w:r w:rsidR="00C4187A" w:rsidRPr="0074752B">
        <w:rPr>
          <w:rFonts w:ascii="Arial" w:hAnsi="Arial" w:cs="Arial"/>
          <w:sz w:val="20"/>
        </w:rPr>
        <w:t xml:space="preserve"> and to the Housing Payment Deduction Scheme (</w:t>
      </w:r>
      <w:r w:rsidR="00C4187A" w:rsidRPr="0074752B">
        <w:rPr>
          <w:rFonts w:ascii="Arial" w:hAnsi="Arial" w:cs="Arial"/>
          <w:b/>
          <w:sz w:val="20"/>
        </w:rPr>
        <w:t>Deduction Scheme</w:t>
      </w:r>
      <w:r w:rsidR="00C4187A" w:rsidRPr="0074752B">
        <w:rPr>
          <w:rFonts w:ascii="Arial" w:hAnsi="Arial" w:cs="Arial"/>
          <w:sz w:val="20"/>
        </w:rPr>
        <w:t>)</w:t>
      </w:r>
      <w:r w:rsidR="00B35164" w:rsidRPr="0074752B">
        <w:rPr>
          <w:rFonts w:ascii="Arial" w:hAnsi="Arial" w:cs="Arial"/>
          <w:sz w:val="20"/>
        </w:rPr>
        <w:t>.</w:t>
      </w:r>
    </w:p>
    <w:p w:rsidR="00960AEC" w:rsidRPr="0074752B" w:rsidRDefault="00B35164" w:rsidP="00D402D3">
      <w:pPr>
        <w:rPr>
          <w:rFonts w:ascii="Arial" w:hAnsi="Arial" w:cs="Arial"/>
          <w:sz w:val="20"/>
        </w:rPr>
      </w:pPr>
      <w:r w:rsidRPr="0074752B">
        <w:rPr>
          <w:rFonts w:ascii="Arial" w:hAnsi="Arial" w:cs="Arial"/>
          <w:sz w:val="20"/>
        </w:rPr>
        <w:t xml:space="preserve"> </w:t>
      </w:r>
    </w:p>
    <w:p w:rsidR="00F53711" w:rsidRPr="0074752B" w:rsidRDefault="00EB0BC7" w:rsidP="00D402D3">
      <w:pPr>
        <w:rPr>
          <w:rFonts w:ascii="Arial" w:hAnsi="Arial" w:cs="Arial"/>
          <w:sz w:val="20"/>
        </w:rPr>
      </w:pPr>
      <w:r w:rsidRPr="0074752B">
        <w:rPr>
          <w:rFonts w:ascii="Arial" w:hAnsi="Arial" w:cs="Arial"/>
          <w:sz w:val="20"/>
        </w:rPr>
        <w:t xml:space="preserve">As an organisation </w:t>
      </w:r>
      <w:r w:rsidR="00C3705A" w:rsidRPr="0074752B">
        <w:rPr>
          <w:rFonts w:ascii="Arial" w:hAnsi="Arial" w:cs="Arial"/>
          <w:sz w:val="20"/>
        </w:rPr>
        <w:t>that provides</w:t>
      </w:r>
      <w:r w:rsidRPr="0074752B">
        <w:rPr>
          <w:rFonts w:ascii="Arial" w:hAnsi="Arial" w:cs="Arial"/>
          <w:sz w:val="20"/>
        </w:rPr>
        <w:t xml:space="preserve"> </w:t>
      </w:r>
      <w:r w:rsidR="00172975" w:rsidRPr="0074752B">
        <w:rPr>
          <w:rFonts w:ascii="Arial" w:hAnsi="Arial" w:cs="Arial"/>
          <w:sz w:val="20"/>
        </w:rPr>
        <w:t xml:space="preserve">free </w:t>
      </w:r>
      <w:r w:rsidRPr="0074752B">
        <w:rPr>
          <w:rFonts w:ascii="Arial" w:hAnsi="Arial" w:cs="Arial"/>
          <w:sz w:val="20"/>
        </w:rPr>
        <w:t>legal services that aim to prevent eviction into homelessness, the PILCH Homeless Persons’ Legal Clinic (</w:t>
      </w:r>
      <w:r w:rsidRPr="0074752B">
        <w:rPr>
          <w:rFonts w:ascii="Arial" w:hAnsi="Arial" w:cs="Arial"/>
          <w:b/>
          <w:sz w:val="20"/>
        </w:rPr>
        <w:t>HPLC</w:t>
      </w:r>
      <w:r w:rsidRPr="0074752B">
        <w:rPr>
          <w:rFonts w:ascii="Arial" w:hAnsi="Arial" w:cs="Arial"/>
          <w:sz w:val="20"/>
        </w:rPr>
        <w:t>)</w:t>
      </w:r>
      <w:r w:rsidRPr="0074752B">
        <w:rPr>
          <w:rStyle w:val="FootnoteReference"/>
          <w:rFonts w:ascii="Arial" w:hAnsi="Arial" w:cs="Arial"/>
          <w:sz w:val="20"/>
        </w:rPr>
        <w:footnoteReference w:id="1"/>
      </w:r>
      <w:r w:rsidRPr="0074752B">
        <w:rPr>
          <w:rFonts w:ascii="Arial" w:hAnsi="Arial" w:cs="Arial"/>
          <w:sz w:val="20"/>
        </w:rPr>
        <w:t xml:space="preserve"> would welcome a scheme that </w:t>
      </w:r>
      <w:r w:rsidR="00F53711" w:rsidRPr="0074752B">
        <w:rPr>
          <w:rFonts w:ascii="Arial" w:hAnsi="Arial" w:cs="Arial"/>
          <w:sz w:val="20"/>
        </w:rPr>
        <w:t>aims to ‘prevent build-up of arrears and possible eviction from public housing’</w:t>
      </w:r>
      <w:r w:rsidR="002D73BF" w:rsidRPr="0074752B">
        <w:rPr>
          <w:rFonts w:ascii="Arial" w:hAnsi="Arial" w:cs="Arial"/>
          <w:sz w:val="20"/>
        </w:rPr>
        <w:t>.  In its current form, however, the</w:t>
      </w:r>
      <w:r w:rsidR="00F53711" w:rsidRPr="0074752B">
        <w:rPr>
          <w:rFonts w:ascii="Arial" w:hAnsi="Arial" w:cs="Arial"/>
          <w:sz w:val="20"/>
        </w:rPr>
        <w:t xml:space="preserve"> Deduc</w:t>
      </w:r>
      <w:r w:rsidR="002D73BF" w:rsidRPr="0074752B">
        <w:rPr>
          <w:rFonts w:ascii="Arial" w:hAnsi="Arial" w:cs="Arial"/>
          <w:sz w:val="20"/>
        </w:rPr>
        <w:t xml:space="preserve">tion Scheme </w:t>
      </w:r>
      <w:r w:rsidR="00C3705A" w:rsidRPr="0074752B">
        <w:rPr>
          <w:rFonts w:ascii="Arial" w:hAnsi="Arial" w:cs="Arial"/>
          <w:sz w:val="20"/>
        </w:rPr>
        <w:t>operate</w:t>
      </w:r>
      <w:r w:rsidR="00172975" w:rsidRPr="0074752B">
        <w:rPr>
          <w:rFonts w:ascii="Arial" w:hAnsi="Arial" w:cs="Arial"/>
          <w:sz w:val="20"/>
        </w:rPr>
        <w:t>s</w:t>
      </w:r>
      <w:r w:rsidR="00C3705A" w:rsidRPr="0074752B">
        <w:rPr>
          <w:rFonts w:ascii="Arial" w:hAnsi="Arial" w:cs="Arial"/>
          <w:sz w:val="20"/>
        </w:rPr>
        <w:t xml:space="preserve"> </w:t>
      </w:r>
      <w:r w:rsidR="002D73BF" w:rsidRPr="0074752B">
        <w:rPr>
          <w:rFonts w:ascii="Arial" w:hAnsi="Arial" w:cs="Arial"/>
          <w:sz w:val="20"/>
        </w:rPr>
        <w:t xml:space="preserve">much </w:t>
      </w:r>
      <w:r w:rsidR="00C3705A" w:rsidRPr="0074752B">
        <w:rPr>
          <w:rFonts w:ascii="Arial" w:hAnsi="Arial" w:cs="Arial"/>
          <w:sz w:val="20"/>
        </w:rPr>
        <w:t xml:space="preserve">more </w:t>
      </w:r>
      <w:r w:rsidR="002D73BF" w:rsidRPr="0074752B">
        <w:rPr>
          <w:rFonts w:ascii="Arial" w:hAnsi="Arial" w:cs="Arial"/>
          <w:sz w:val="20"/>
        </w:rPr>
        <w:t>broad</w:t>
      </w:r>
      <w:r w:rsidR="00C3705A" w:rsidRPr="0074752B">
        <w:rPr>
          <w:rFonts w:ascii="Arial" w:hAnsi="Arial" w:cs="Arial"/>
          <w:sz w:val="20"/>
        </w:rPr>
        <w:t>ly</w:t>
      </w:r>
      <w:r w:rsidR="002D73BF" w:rsidRPr="0074752B">
        <w:rPr>
          <w:rFonts w:ascii="Arial" w:hAnsi="Arial" w:cs="Arial"/>
          <w:sz w:val="20"/>
        </w:rPr>
        <w:t xml:space="preserve"> than</w:t>
      </w:r>
      <w:r w:rsidR="00F53711" w:rsidRPr="0074752B">
        <w:rPr>
          <w:rFonts w:ascii="Arial" w:hAnsi="Arial" w:cs="Arial"/>
          <w:sz w:val="20"/>
        </w:rPr>
        <w:t xml:space="preserve"> </w:t>
      </w:r>
      <w:r w:rsidR="00172975" w:rsidRPr="0074752B">
        <w:rPr>
          <w:rFonts w:ascii="Arial" w:hAnsi="Arial" w:cs="Arial"/>
          <w:sz w:val="20"/>
        </w:rPr>
        <w:t xml:space="preserve">just </w:t>
      </w:r>
      <w:r w:rsidR="00F53711" w:rsidRPr="0074752B">
        <w:rPr>
          <w:rFonts w:ascii="Arial" w:hAnsi="Arial" w:cs="Arial"/>
          <w:sz w:val="20"/>
        </w:rPr>
        <w:t xml:space="preserve">intervening early to prevent the escalation of public housing tenants’ rental arrears.  </w:t>
      </w:r>
    </w:p>
    <w:p w:rsidR="00F53711" w:rsidRPr="0074752B" w:rsidRDefault="00F53711" w:rsidP="00D402D3">
      <w:pPr>
        <w:rPr>
          <w:rFonts w:ascii="Arial" w:hAnsi="Arial" w:cs="Arial"/>
          <w:sz w:val="20"/>
        </w:rPr>
      </w:pPr>
    </w:p>
    <w:p w:rsidR="00960AEC" w:rsidRPr="0074752B" w:rsidRDefault="00EB0BC7" w:rsidP="00D402D3">
      <w:pPr>
        <w:rPr>
          <w:rFonts w:ascii="Arial" w:hAnsi="Arial" w:cs="Arial"/>
          <w:sz w:val="20"/>
        </w:rPr>
      </w:pPr>
      <w:r w:rsidRPr="0074752B">
        <w:rPr>
          <w:rFonts w:ascii="Arial" w:hAnsi="Arial" w:cs="Arial"/>
          <w:sz w:val="20"/>
        </w:rPr>
        <w:t xml:space="preserve">The HPLC does not support the Deduction Scheme in its current form.  Our </w:t>
      </w:r>
      <w:r w:rsidR="00383C4F" w:rsidRPr="0074752B">
        <w:rPr>
          <w:rFonts w:ascii="Arial" w:hAnsi="Arial" w:cs="Arial"/>
          <w:sz w:val="20"/>
        </w:rPr>
        <w:t>seven</w:t>
      </w:r>
      <w:r w:rsidR="0032630F" w:rsidRPr="0074752B">
        <w:rPr>
          <w:rFonts w:ascii="Arial" w:hAnsi="Arial" w:cs="Arial"/>
          <w:sz w:val="20"/>
        </w:rPr>
        <w:t xml:space="preserve"> </w:t>
      </w:r>
      <w:r w:rsidRPr="0074752B">
        <w:rPr>
          <w:rFonts w:ascii="Arial" w:hAnsi="Arial" w:cs="Arial"/>
          <w:sz w:val="20"/>
        </w:rPr>
        <w:t>key comments in relation to the Exposure Draft and the</w:t>
      </w:r>
      <w:r w:rsidR="00960AEC" w:rsidRPr="0074752B">
        <w:rPr>
          <w:rFonts w:ascii="Arial" w:hAnsi="Arial" w:cs="Arial"/>
          <w:sz w:val="20"/>
        </w:rPr>
        <w:t xml:space="preserve"> Deduction Scheme are summarised below: </w:t>
      </w:r>
    </w:p>
    <w:p w:rsidR="00CF14E6" w:rsidRPr="0074752B" w:rsidRDefault="00CF14E6" w:rsidP="00CF14E6">
      <w:pPr>
        <w:shd w:val="clear" w:color="auto" w:fill="FFFFFF" w:themeFill="background1"/>
        <w:rPr>
          <w:rFonts w:ascii="Arial" w:hAnsi="Arial" w:cs="Arial"/>
          <w:sz w:val="20"/>
          <w:highlight w:val="yellow"/>
        </w:rPr>
      </w:pPr>
    </w:p>
    <w:p w:rsidR="00CF14E6" w:rsidRPr="0074752B" w:rsidRDefault="004079EE" w:rsidP="005D274B">
      <w:pPr>
        <w:pStyle w:val="ListParagraph"/>
        <w:numPr>
          <w:ilvl w:val="0"/>
          <w:numId w:val="28"/>
        </w:numPr>
        <w:shd w:val="clear" w:color="auto" w:fill="FFFFFF" w:themeFill="background1"/>
        <w:rPr>
          <w:rFonts w:ascii="Arial" w:hAnsi="Arial" w:cs="Arial"/>
          <w:sz w:val="20"/>
        </w:rPr>
      </w:pPr>
      <w:r w:rsidRPr="0074752B">
        <w:rPr>
          <w:rFonts w:ascii="Arial" w:hAnsi="Arial" w:cs="Arial"/>
          <w:b/>
          <w:sz w:val="20"/>
        </w:rPr>
        <w:t>The Deduction Scheme goes to</w:t>
      </w:r>
      <w:r w:rsidR="00F43FBA" w:rsidRPr="0074752B">
        <w:rPr>
          <w:rFonts w:ascii="Arial" w:hAnsi="Arial" w:cs="Arial"/>
          <w:b/>
          <w:sz w:val="20"/>
        </w:rPr>
        <w:t>o</w:t>
      </w:r>
      <w:r w:rsidRPr="0074752B">
        <w:rPr>
          <w:rFonts w:ascii="Arial" w:hAnsi="Arial" w:cs="Arial"/>
          <w:b/>
          <w:sz w:val="20"/>
        </w:rPr>
        <w:t xml:space="preserve"> far</w:t>
      </w:r>
      <w:r w:rsidR="005D274B" w:rsidRPr="0074752B">
        <w:rPr>
          <w:rFonts w:ascii="Arial" w:hAnsi="Arial" w:cs="Arial"/>
          <w:sz w:val="20"/>
        </w:rPr>
        <w:t xml:space="preserve"> – </w:t>
      </w:r>
      <w:r w:rsidR="00CF14E6" w:rsidRPr="0074752B">
        <w:rPr>
          <w:rFonts w:ascii="Arial" w:hAnsi="Arial" w:cs="Arial"/>
          <w:sz w:val="20"/>
        </w:rPr>
        <w:t xml:space="preserve">As the Deduction Scheme recognises, early intervention is critical to tenants being able to address their arrears and avoid eviction into homelessness.  </w:t>
      </w:r>
      <w:r w:rsidR="00183334" w:rsidRPr="0074752B">
        <w:rPr>
          <w:rFonts w:ascii="Arial" w:hAnsi="Arial" w:cs="Arial"/>
          <w:sz w:val="20"/>
        </w:rPr>
        <w:t>However,</w:t>
      </w:r>
      <w:r w:rsidR="00CF14E6" w:rsidRPr="0074752B">
        <w:rPr>
          <w:rFonts w:ascii="Arial" w:hAnsi="Arial" w:cs="Arial"/>
          <w:sz w:val="20"/>
        </w:rPr>
        <w:t xml:space="preserve"> the Deduction Scheme and the Exposure Draft go much further than compulsorily deducting tenants’ rent to prevent eviction for arrears.</w:t>
      </w:r>
    </w:p>
    <w:p w:rsidR="00CF14E6" w:rsidRPr="0074752B" w:rsidRDefault="00CF14E6" w:rsidP="00CF14E6">
      <w:pPr>
        <w:pStyle w:val="ListParagraph"/>
        <w:shd w:val="clear" w:color="auto" w:fill="FFFFFF" w:themeFill="background1"/>
        <w:rPr>
          <w:rFonts w:ascii="Arial" w:hAnsi="Arial" w:cs="Arial"/>
          <w:sz w:val="20"/>
        </w:rPr>
      </w:pPr>
    </w:p>
    <w:p w:rsidR="0032630F" w:rsidRPr="0074752B" w:rsidRDefault="005D274B" w:rsidP="005D274B">
      <w:pPr>
        <w:pStyle w:val="ListParagraph"/>
        <w:numPr>
          <w:ilvl w:val="0"/>
          <w:numId w:val="28"/>
        </w:numPr>
        <w:rPr>
          <w:rFonts w:ascii="Arial" w:hAnsi="Arial" w:cs="Arial"/>
          <w:sz w:val="20"/>
        </w:rPr>
      </w:pPr>
      <w:r w:rsidRPr="0074752B">
        <w:rPr>
          <w:rFonts w:ascii="Arial" w:hAnsi="Arial" w:cs="Arial"/>
          <w:b/>
          <w:sz w:val="20"/>
        </w:rPr>
        <w:t>Maintenance and other debts included</w:t>
      </w:r>
      <w:r w:rsidRPr="0074752B">
        <w:rPr>
          <w:rFonts w:ascii="Arial" w:hAnsi="Arial" w:cs="Arial"/>
          <w:sz w:val="20"/>
        </w:rPr>
        <w:t xml:space="preserve"> – </w:t>
      </w:r>
      <w:r w:rsidR="00183334" w:rsidRPr="0074752B">
        <w:rPr>
          <w:rFonts w:ascii="Arial" w:hAnsi="Arial" w:cs="Arial"/>
          <w:sz w:val="20"/>
        </w:rPr>
        <w:t xml:space="preserve">The Deduction Scheme refers to </w:t>
      </w:r>
      <w:r w:rsidR="0032630F" w:rsidRPr="0074752B">
        <w:rPr>
          <w:rFonts w:ascii="Arial" w:hAnsi="Arial" w:cs="Arial"/>
          <w:sz w:val="20"/>
        </w:rPr>
        <w:t xml:space="preserve">money owing to the public housing lessor ‘by way of rent or otherwise’ </w:t>
      </w:r>
      <w:r w:rsidR="00183334" w:rsidRPr="0074752B">
        <w:rPr>
          <w:rFonts w:ascii="Arial" w:hAnsi="Arial" w:cs="Arial"/>
          <w:sz w:val="20"/>
        </w:rPr>
        <w:t xml:space="preserve">and therefore </w:t>
      </w:r>
      <w:r w:rsidR="0032630F" w:rsidRPr="0074752B">
        <w:rPr>
          <w:rFonts w:ascii="Arial" w:hAnsi="Arial" w:cs="Arial"/>
          <w:sz w:val="20"/>
        </w:rPr>
        <w:t>includes a range of payments that are not arrears and do not necessarily place a public housing tenant’s tenancy at risk</w:t>
      </w:r>
      <w:r w:rsidR="007515DA" w:rsidRPr="0074752B">
        <w:rPr>
          <w:rFonts w:ascii="Arial" w:hAnsi="Arial" w:cs="Arial"/>
          <w:sz w:val="20"/>
        </w:rPr>
        <w:t xml:space="preserve"> (for example,</w:t>
      </w:r>
      <w:r w:rsidR="0032630F" w:rsidRPr="0074752B">
        <w:rPr>
          <w:rFonts w:ascii="Arial" w:hAnsi="Arial" w:cs="Arial"/>
          <w:sz w:val="20"/>
        </w:rPr>
        <w:t xml:space="preserve"> maintenance, repairs or arrears </w:t>
      </w:r>
      <w:r w:rsidR="007515DA" w:rsidRPr="0074752B">
        <w:rPr>
          <w:rFonts w:ascii="Arial" w:hAnsi="Arial" w:cs="Arial"/>
          <w:sz w:val="20"/>
        </w:rPr>
        <w:t xml:space="preserve">debts for </w:t>
      </w:r>
      <w:r w:rsidR="0032630F" w:rsidRPr="0074752B">
        <w:rPr>
          <w:rFonts w:ascii="Arial" w:hAnsi="Arial" w:cs="Arial"/>
          <w:sz w:val="20"/>
        </w:rPr>
        <w:t>a previous public housing property</w:t>
      </w:r>
      <w:r w:rsidR="007515DA" w:rsidRPr="0074752B">
        <w:rPr>
          <w:rFonts w:ascii="Arial" w:hAnsi="Arial" w:cs="Arial"/>
          <w:sz w:val="20"/>
        </w:rPr>
        <w:t>)</w:t>
      </w:r>
      <w:r w:rsidR="0032630F" w:rsidRPr="0074752B">
        <w:rPr>
          <w:rFonts w:ascii="Arial" w:hAnsi="Arial" w:cs="Arial"/>
          <w:sz w:val="20"/>
        </w:rPr>
        <w:t>.</w:t>
      </w:r>
      <w:r w:rsidR="00383C4F" w:rsidRPr="0074752B">
        <w:rPr>
          <w:rStyle w:val="FootnoteReference"/>
          <w:rFonts w:ascii="Arial" w:hAnsi="Arial" w:cs="Arial"/>
          <w:sz w:val="20"/>
        </w:rPr>
        <w:footnoteReference w:id="2"/>
      </w:r>
      <w:r w:rsidR="0032630F" w:rsidRPr="0074752B">
        <w:rPr>
          <w:rFonts w:ascii="Arial" w:hAnsi="Arial" w:cs="Arial"/>
          <w:sz w:val="20"/>
        </w:rPr>
        <w:t xml:space="preserve"> </w:t>
      </w:r>
      <w:r w:rsidR="00383C4F" w:rsidRPr="0074752B">
        <w:rPr>
          <w:rFonts w:ascii="Arial" w:hAnsi="Arial" w:cs="Arial"/>
          <w:sz w:val="20"/>
        </w:rPr>
        <w:t xml:space="preserve"> </w:t>
      </w:r>
      <w:r w:rsidR="0032630F" w:rsidRPr="0074752B">
        <w:rPr>
          <w:rFonts w:ascii="Arial" w:hAnsi="Arial" w:cs="Arial"/>
          <w:sz w:val="20"/>
        </w:rPr>
        <w:t xml:space="preserve">The HPLC objects to the inclusion of any amounts other than arrears for a tenant’s current property </w:t>
      </w:r>
      <w:r w:rsidR="007515DA" w:rsidRPr="0074752B">
        <w:rPr>
          <w:rFonts w:ascii="Arial" w:hAnsi="Arial" w:cs="Arial"/>
          <w:sz w:val="20"/>
        </w:rPr>
        <w:t>i</w:t>
      </w:r>
      <w:r w:rsidR="0032630F" w:rsidRPr="0074752B">
        <w:rPr>
          <w:rFonts w:ascii="Arial" w:hAnsi="Arial" w:cs="Arial"/>
          <w:sz w:val="20"/>
        </w:rPr>
        <w:t xml:space="preserve">n the Deduction Scheme. </w:t>
      </w:r>
    </w:p>
    <w:p w:rsidR="0032630F" w:rsidRPr="0074752B" w:rsidRDefault="0032630F" w:rsidP="0032630F">
      <w:pPr>
        <w:pStyle w:val="ListParagraph"/>
        <w:rPr>
          <w:rFonts w:ascii="Arial" w:hAnsi="Arial" w:cs="Arial"/>
          <w:b/>
          <w:sz w:val="20"/>
        </w:rPr>
      </w:pPr>
    </w:p>
    <w:p w:rsidR="0032630F" w:rsidRPr="0074752B" w:rsidRDefault="005D274B" w:rsidP="005D274B">
      <w:pPr>
        <w:pStyle w:val="ListParagraph"/>
        <w:numPr>
          <w:ilvl w:val="0"/>
          <w:numId w:val="28"/>
        </w:numPr>
        <w:rPr>
          <w:rFonts w:ascii="Arial" w:hAnsi="Arial" w:cs="Arial"/>
          <w:sz w:val="20"/>
        </w:rPr>
      </w:pPr>
      <w:r w:rsidRPr="0074752B">
        <w:rPr>
          <w:rFonts w:ascii="Arial" w:hAnsi="Arial" w:cs="Arial"/>
          <w:b/>
          <w:sz w:val="20"/>
        </w:rPr>
        <w:t>‘At risk of non-payment’</w:t>
      </w:r>
      <w:r w:rsidRPr="0074752B">
        <w:rPr>
          <w:rFonts w:ascii="Arial" w:hAnsi="Arial" w:cs="Arial"/>
          <w:sz w:val="20"/>
        </w:rPr>
        <w:t xml:space="preserve"> – </w:t>
      </w:r>
      <w:r w:rsidR="00DA4335" w:rsidRPr="0074752B">
        <w:rPr>
          <w:rFonts w:ascii="Arial" w:hAnsi="Arial" w:cs="Arial"/>
          <w:sz w:val="20"/>
        </w:rPr>
        <w:t xml:space="preserve">The definition of ‘at risk of </w:t>
      </w:r>
      <w:r w:rsidRPr="0074752B">
        <w:rPr>
          <w:rFonts w:ascii="Arial" w:hAnsi="Arial" w:cs="Arial"/>
          <w:sz w:val="20"/>
        </w:rPr>
        <w:t>non-payment</w:t>
      </w:r>
      <w:r w:rsidR="00DA4335" w:rsidRPr="0074752B">
        <w:rPr>
          <w:rFonts w:ascii="Arial" w:hAnsi="Arial" w:cs="Arial"/>
          <w:sz w:val="20"/>
        </w:rPr>
        <w:t>’ is extremely broad.  A person or family’s inability to keep up with rent or a maintenance debt for a previous tenancy should not be a reason to automatically limit that person or family’s financial independence in a new public housing tenancy.</w:t>
      </w:r>
      <w:r w:rsidR="0032630F" w:rsidRPr="0074752B">
        <w:rPr>
          <w:rFonts w:ascii="Arial" w:hAnsi="Arial" w:cs="Arial"/>
          <w:sz w:val="20"/>
        </w:rPr>
        <w:t xml:space="preserve">  </w:t>
      </w:r>
    </w:p>
    <w:p w:rsidR="0032630F" w:rsidRPr="0074752B" w:rsidRDefault="0032630F" w:rsidP="0032630F">
      <w:pPr>
        <w:pStyle w:val="ListParagraph"/>
        <w:rPr>
          <w:rFonts w:ascii="Arial" w:hAnsi="Arial" w:cs="Arial"/>
          <w:sz w:val="20"/>
        </w:rPr>
      </w:pPr>
    </w:p>
    <w:p w:rsidR="00CF14E6" w:rsidRPr="0074752B" w:rsidRDefault="00C27D12" w:rsidP="00C27D12">
      <w:pPr>
        <w:pStyle w:val="ListParagraph"/>
        <w:numPr>
          <w:ilvl w:val="0"/>
          <w:numId w:val="28"/>
        </w:numPr>
        <w:rPr>
          <w:rFonts w:ascii="Arial" w:hAnsi="Arial" w:cs="Arial"/>
          <w:sz w:val="20"/>
        </w:rPr>
      </w:pPr>
      <w:r w:rsidRPr="0074752B">
        <w:rPr>
          <w:rFonts w:ascii="Arial" w:hAnsi="Arial" w:cs="Arial"/>
          <w:b/>
          <w:sz w:val="20"/>
        </w:rPr>
        <w:t>Public housing</w:t>
      </w:r>
      <w:r w:rsidR="005D274B" w:rsidRPr="0074752B">
        <w:rPr>
          <w:rFonts w:ascii="Arial" w:hAnsi="Arial" w:cs="Arial"/>
          <w:b/>
          <w:sz w:val="20"/>
        </w:rPr>
        <w:t xml:space="preserve"> authority must take ‘reasonable action’</w:t>
      </w:r>
      <w:r w:rsidR="005D274B" w:rsidRPr="0074752B">
        <w:rPr>
          <w:rFonts w:ascii="Arial" w:hAnsi="Arial" w:cs="Arial"/>
          <w:sz w:val="20"/>
        </w:rPr>
        <w:t xml:space="preserve"> – </w:t>
      </w:r>
      <w:r w:rsidRPr="0074752B">
        <w:rPr>
          <w:rFonts w:ascii="Arial" w:hAnsi="Arial" w:cs="Arial"/>
          <w:sz w:val="20"/>
        </w:rPr>
        <w:t>A public housing authority must take ‘reasonable action’ to recover an outstanding amount from a tenant before requesting compulsory deductions</w:t>
      </w:r>
      <w:r w:rsidR="00883EC1" w:rsidRPr="0074752B">
        <w:rPr>
          <w:rFonts w:ascii="Arial" w:hAnsi="Arial" w:cs="Arial"/>
          <w:sz w:val="20"/>
        </w:rPr>
        <w:t>, but there is no</w:t>
      </w:r>
      <w:r w:rsidRPr="0074752B">
        <w:rPr>
          <w:rFonts w:ascii="Arial" w:hAnsi="Arial" w:cs="Arial"/>
          <w:sz w:val="20"/>
        </w:rPr>
        <w:t xml:space="preserve"> indication of what might constitute ‘reasonable action’.  Such guidance is extremely important if the Deduction Scheme is genuinely intended to be a last resort.  </w:t>
      </w:r>
      <w:r w:rsidR="00C122FF" w:rsidRPr="0074752B">
        <w:rPr>
          <w:rFonts w:ascii="Arial" w:hAnsi="Arial" w:cs="Arial"/>
          <w:sz w:val="20"/>
        </w:rPr>
        <w:t xml:space="preserve">With no guidance as to what constitutes ‘reasonable action’, there is no onus on public housing authorities to speak directly with tenants, link tenants to services or explore less restrictive means of addressing a tenant’s arrears.  </w:t>
      </w:r>
    </w:p>
    <w:p w:rsidR="00CF14E6" w:rsidRPr="0074752B" w:rsidRDefault="00CF14E6" w:rsidP="00CF14E6">
      <w:pPr>
        <w:shd w:val="clear" w:color="auto" w:fill="FFFFFF" w:themeFill="background1"/>
        <w:rPr>
          <w:rFonts w:ascii="Arial" w:hAnsi="Arial" w:cs="Arial"/>
          <w:sz w:val="20"/>
          <w:highlight w:val="yellow"/>
        </w:rPr>
      </w:pPr>
    </w:p>
    <w:p w:rsidR="00CF14E6" w:rsidRPr="0074752B" w:rsidRDefault="005D274B" w:rsidP="005D274B">
      <w:pPr>
        <w:pStyle w:val="ListParagraph"/>
        <w:numPr>
          <w:ilvl w:val="0"/>
          <w:numId w:val="28"/>
        </w:numPr>
        <w:shd w:val="clear" w:color="auto" w:fill="FFFFFF" w:themeFill="background1"/>
        <w:rPr>
          <w:rFonts w:ascii="Arial" w:hAnsi="Arial" w:cs="Arial"/>
          <w:sz w:val="20"/>
        </w:rPr>
      </w:pPr>
      <w:r w:rsidRPr="0074752B">
        <w:rPr>
          <w:rFonts w:ascii="Arial" w:hAnsi="Arial" w:cs="Arial"/>
          <w:b/>
          <w:sz w:val="20"/>
        </w:rPr>
        <w:lastRenderedPageBreak/>
        <w:t>Lack of procedural fairness</w:t>
      </w:r>
      <w:r w:rsidRPr="0074752B">
        <w:rPr>
          <w:rFonts w:ascii="Arial" w:hAnsi="Arial" w:cs="Arial"/>
          <w:sz w:val="20"/>
        </w:rPr>
        <w:t xml:space="preserve"> – </w:t>
      </w:r>
      <w:r w:rsidR="00C27D12" w:rsidRPr="0074752B">
        <w:rPr>
          <w:rFonts w:ascii="Arial" w:hAnsi="Arial" w:cs="Arial"/>
          <w:sz w:val="20"/>
        </w:rPr>
        <w:t>Tenants are not currently notified before the decision is made to include them in the Deduction Scheme.  Tenants must be</w:t>
      </w:r>
      <w:r w:rsidR="00CF14E6" w:rsidRPr="0074752B">
        <w:rPr>
          <w:rFonts w:ascii="Arial" w:hAnsi="Arial" w:cs="Arial"/>
          <w:sz w:val="20"/>
        </w:rPr>
        <w:t xml:space="preserve"> afford</w:t>
      </w:r>
      <w:r w:rsidR="00C27D12" w:rsidRPr="0074752B">
        <w:rPr>
          <w:rFonts w:ascii="Arial" w:hAnsi="Arial" w:cs="Arial"/>
          <w:sz w:val="20"/>
        </w:rPr>
        <w:t>ed</w:t>
      </w:r>
      <w:r w:rsidR="00CF14E6" w:rsidRPr="0074752B">
        <w:rPr>
          <w:rFonts w:ascii="Arial" w:hAnsi="Arial" w:cs="Arial"/>
          <w:sz w:val="20"/>
        </w:rPr>
        <w:t xml:space="preserve"> procedural fairness (including a chance to reply) before making a decision to compulsorily divert their income toward public housing costs.  </w:t>
      </w:r>
    </w:p>
    <w:p w:rsidR="00CF14E6" w:rsidRPr="0074752B" w:rsidRDefault="00CF14E6" w:rsidP="00CF14E6">
      <w:pPr>
        <w:shd w:val="clear" w:color="auto" w:fill="FFFFFF" w:themeFill="background1"/>
        <w:rPr>
          <w:rFonts w:ascii="Arial" w:hAnsi="Arial" w:cs="Arial"/>
          <w:sz w:val="20"/>
          <w:highlight w:val="yellow"/>
        </w:rPr>
      </w:pPr>
    </w:p>
    <w:p w:rsidR="00CF14E6" w:rsidRPr="0074752B" w:rsidRDefault="005D274B" w:rsidP="005D274B">
      <w:pPr>
        <w:pStyle w:val="ListParagraph"/>
        <w:numPr>
          <w:ilvl w:val="0"/>
          <w:numId w:val="28"/>
        </w:numPr>
        <w:shd w:val="clear" w:color="auto" w:fill="FFFFFF" w:themeFill="background1"/>
        <w:rPr>
          <w:rFonts w:ascii="Arial" w:hAnsi="Arial" w:cs="Arial"/>
          <w:sz w:val="20"/>
        </w:rPr>
      </w:pPr>
      <w:r w:rsidRPr="0074752B">
        <w:rPr>
          <w:rFonts w:ascii="Arial" w:hAnsi="Arial" w:cs="Arial"/>
          <w:b/>
          <w:sz w:val="20"/>
        </w:rPr>
        <w:t>Housing stress puts tenancies at risk</w:t>
      </w:r>
      <w:r w:rsidRPr="0074752B">
        <w:rPr>
          <w:rFonts w:ascii="Arial" w:hAnsi="Arial" w:cs="Arial"/>
          <w:sz w:val="20"/>
        </w:rPr>
        <w:t xml:space="preserve"> – </w:t>
      </w:r>
      <w:r w:rsidR="0032630F" w:rsidRPr="0074752B">
        <w:rPr>
          <w:rFonts w:ascii="Arial" w:hAnsi="Arial" w:cs="Arial"/>
          <w:sz w:val="20"/>
        </w:rPr>
        <w:t>It</w:t>
      </w:r>
      <w:r w:rsidR="00CF14E6" w:rsidRPr="0074752B">
        <w:rPr>
          <w:rFonts w:ascii="Arial" w:hAnsi="Arial" w:cs="Arial"/>
          <w:sz w:val="20"/>
        </w:rPr>
        <w:t xml:space="preserve"> is poor public policy to impose financial obligations on public housing tenants at a level (i.e. up to 35% of a household’s income) which is recognised as placing tenants under housing stress, creating a risk of tenancy failure and limiting households’ ability to meet basic living expenses.   </w:t>
      </w:r>
    </w:p>
    <w:p w:rsidR="00CF14E6" w:rsidRPr="0074752B" w:rsidRDefault="00CF14E6" w:rsidP="00CF14E6">
      <w:pPr>
        <w:shd w:val="clear" w:color="auto" w:fill="FFFFFF" w:themeFill="background1"/>
        <w:rPr>
          <w:rFonts w:ascii="Arial" w:hAnsi="Arial" w:cs="Arial"/>
          <w:sz w:val="20"/>
          <w:highlight w:val="yellow"/>
        </w:rPr>
      </w:pPr>
    </w:p>
    <w:p w:rsidR="00783B93" w:rsidRPr="0074752B" w:rsidRDefault="005D274B" w:rsidP="00D402D3">
      <w:pPr>
        <w:pStyle w:val="ListParagraph"/>
        <w:numPr>
          <w:ilvl w:val="0"/>
          <w:numId w:val="28"/>
        </w:numPr>
        <w:shd w:val="clear" w:color="auto" w:fill="FFFFFF" w:themeFill="background1"/>
        <w:rPr>
          <w:rFonts w:ascii="Arial" w:hAnsi="Arial" w:cs="Arial"/>
          <w:sz w:val="20"/>
        </w:rPr>
      </w:pPr>
      <w:r w:rsidRPr="0074752B">
        <w:rPr>
          <w:rFonts w:ascii="Arial" w:hAnsi="Arial" w:cs="Arial"/>
          <w:b/>
          <w:sz w:val="20"/>
        </w:rPr>
        <w:t>Implementation by Centrelink</w:t>
      </w:r>
      <w:r w:rsidRPr="0074752B">
        <w:rPr>
          <w:rFonts w:ascii="Arial" w:hAnsi="Arial" w:cs="Arial"/>
          <w:sz w:val="20"/>
        </w:rPr>
        <w:t xml:space="preserve"> – </w:t>
      </w:r>
      <w:r w:rsidR="00883EC1" w:rsidRPr="0074752B">
        <w:rPr>
          <w:rFonts w:ascii="Arial" w:hAnsi="Arial" w:cs="Arial"/>
          <w:sz w:val="20"/>
        </w:rPr>
        <w:t>An</w:t>
      </w:r>
      <w:r w:rsidR="00CF14E6" w:rsidRPr="0074752B">
        <w:rPr>
          <w:rFonts w:ascii="Arial" w:hAnsi="Arial" w:cs="Arial"/>
          <w:sz w:val="20"/>
        </w:rPr>
        <w:t xml:space="preserve"> injection of support, training and resources would be required for Centrelink to implement the Deduction Scheme in an effective way so that administrative issues did not present a risk of eviction for tenants.     </w:t>
      </w:r>
    </w:p>
    <w:p w:rsidR="0032630F" w:rsidRPr="0074752B" w:rsidRDefault="0032630F" w:rsidP="00D402D3">
      <w:pPr>
        <w:rPr>
          <w:rFonts w:ascii="Arial" w:hAnsi="Arial" w:cs="Arial"/>
          <w:sz w:val="20"/>
        </w:rPr>
      </w:pPr>
    </w:p>
    <w:p w:rsidR="00EB0BC7" w:rsidRPr="0074752B" w:rsidRDefault="00EB0BC7" w:rsidP="00CF14E6">
      <w:pPr>
        <w:rPr>
          <w:rFonts w:ascii="Arial" w:hAnsi="Arial" w:cs="Arial"/>
          <w:sz w:val="20"/>
        </w:rPr>
      </w:pPr>
      <w:r w:rsidRPr="0074752B">
        <w:rPr>
          <w:rFonts w:ascii="Arial" w:hAnsi="Arial" w:cs="Arial"/>
          <w:sz w:val="20"/>
        </w:rPr>
        <w:t xml:space="preserve">The HPLC also notes our concern about the scope of consultation in relation to the Exposure Draft and the Deduction Scheme.  Limiting </w:t>
      </w:r>
      <w:r w:rsidR="001B789E" w:rsidRPr="0074752B">
        <w:rPr>
          <w:rFonts w:ascii="Arial" w:hAnsi="Arial" w:cs="Arial"/>
          <w:sz w:val="20"/>
        </w:rPr>
        <w:t xml:space="preserve">the length of </w:t>
      </w:r>
      <w:r w:rsidRPr="0074752B">
        <w:rPr>
          <w:rFonts w:ascii="Arial" w:hAnsi="Arial" w:cs="Arial"/>
          <w:sz w:val="20"/>
        </w:rPr>
        <w:t xml:space="preserve">submissions and providing such a short period for comment significantly constrains the Government’s access to meaningful feedback.  Given the magnitude of the consequences for thousands of public housing tenants, the scope of consultation is inadequate. </w:t>
      </w:r>
    </w:p>
    <w:p w:rsidR="00C305AD" w:rsidRPr="0074752B" w:rsidRDefault="00C305AD" w:rsidP="007C79C8">
      <w:pPr>
        <w:rPr>
          <w:rFonts w:ascii="Arial" w:hAnsi="Arial" w:cs="Arial"/>
          <w:sz w:val="20"/>
        </w:rPr>
      </w:pPr>
    </w:p>
    <w:p w:rsidR="00AA0292" w:rsidRPr="0074752B" w:rsidRDefault="00AA0292" w:rsidP="00AA0292">
      <w:pPr>
        <w:rPr>
          <w:rFonts w:ascii="Arial" w:hAnsi="Arial" w:cs="Arial"/>
          <w:sz w:val="20"/>
        </w:rPr>
      </w:pPr>
    </w:p>
    <w:p w:rsidR="000832F7" w:rsidRPr="0074752B" w:rsidRDefault="000832F7" w:rsidP="000832F7">
      <w:pPr>
        <w:rPr>
          <w:rFonts w:ascii="Arial" w:hAnsi="Arial" w:cs="Arial"/>
          <w:b/>
          <w:sz w:val="20"/>
        </w:rPr>
      </w:pPr>
      <w:r w:rsidRPr="0074752B">
        <w:rPr>
          <w:rFonts w:ascii="Arial" w:hAnsi="Arial" w:cs="Arial"/>
          <w:b/>
          <w:szCs w:val="22"/>
        </w:rPr>
        <w:t xml:space="preserve">Eviction for arrears </w:t>
      </w:r>
    </w:p>
    <w:p w:rsidR="000832F7" w:rsidRPr="0074752B" w:rsidRDefault="000832F7" w:rsidP="000832F7">
      <w:pPr>
        <w:rPr>
          <w:rFonts w:ascii="Arial" w:hAnsi="Arial" w:cs="Arial"/>
          <w:sz w:val="20"/>
        </w:rPr>
      </w:pPr>
    </w:p>
    <w:p w:rsidR="00783B93" w:rsidRPr="0074752B" w:rsidRDefault="00783B93" w:rsidP="00783B93">
      <w:pPr>
        <w:rPr>
          <w:rFonts w:ascii="Arial" w:hAnsi="Arial" w:cs="Arial"/>
          <w:sz w:val="20"/>
        </w:rPr>
      </w:pPr>
      <w:r w:rsidRPr="0074752B">
        <w:rPr>
          <w:rFonts w:ascii="Arial" w:hAnsi="Arial" w:cs="Arial"/>
          <w:sz w:val="20"/>
        </w:rPr>
        <w:t xml:space="preserve">Through our work as an organisation that provides pro bono legal services to Victorians experiencing or at risk of homelessness, the HPLC knows that eviction from public housing almost inevitably results in homelessness for vulnerable tenants. </w:t>
      </w:r>
    </w:p>
    <w:p w:rsidR="00783B93" w:rsidRPr="0074752B" w:rsidRDefault="00783B93" w:rsidP="00783B93">
      <w:pPr>
        <w:rPr>
          <w:rFonts w:ascii="Arial" w:hAnsi="Arial" w:cs="Arial"/>
          <w:sz w:val="20"/>
        </w:rPr>
      </w:pPr>
    </w:p>
    <w:p w:rsidR="00783B93" w:rsidRPr="0074752B" w:rsidRDefault="00783B93" w:rsidP="00783B93">
      <w:pPr>
        <w:rPr>
          <w:rFonts w:ascii="Arial" w:hAnsi="Arial" w:cs="Arial"/>
          <w:sz w:val="20"/>
        </w:rPr>
      </w:pPr>
      <w:r w:rsidRPr="0074752B">
        <w:rPr>
          <w:rFonts w:ascii="Arial" w:hAnsi="Arial" w:cs="Arial"/>
          <w:sz w:val="20"/>
        </w:rPr>
        <w:t>In the last 12 months, the HPLC has assisted 48 tenants facing eviction for arrears</w:t>
      </w:r>
      <w:r w:rsidR="00F66F8E" w:rsidRPr="0074752B">
        <w:rPr>
          <w:rFonts w:ascii="Arial" w:hAnsi="Arial" w:cs="Arial"/>
          <w:sz w:val="20"/>
        </w:rPr>
        <w:t xml:space="preserve"> (across public, community and </w:t>
      </w:r>
      <w:r w:rsidR="00166B3F" w:rsidRPr="0074752B">
        <w:rPr>
          <w:rFonts w:ascii="Arial" w:hAnsi="Arial" w:cs="Arial"/>
          <w:sz w:val="20"/>
        </w:rPr>
        <w:t>private</w:t>
      </w:r>
      <w:r w:rsidR="00F66F8E" w:rsidRPr="0074752B">
        <w:rPr>
          <w:rFonts w:ascii="Arial" w:hAnsi="Arial" w:cs="Arial"/>
          <w:sz w:val="20"/>
        </w:rPr>
        <w:t xml:space="preserve"> housing)</w:t>
      </w:r>
      <w:r w:rsidRPr="0074752B">
        <w:rPr>
          <w:rFonts w:ascii="Arial" w:hAnsi="Arial" w:cs="Arial"/>
          <w:sz w:val="20"/>
        </w:rPr>
        <w:t>.   Arrears are the single largest cause of tenancy problems for tenants that the HPLC assist</w:t>
      </w:r>
      <w:r w:rsidR="00F66F8E" w:rsidRPr="0074752B">
        <w:rPr>
          <w:rFonts w:ascii="Arial" w:hAnsi="Arial" w:cs="Arial"/>
          <w:sz w:val="20"/>
        </w:rPr>
        <w:t>s (27% of the tenancy matters the HPLC</w:t>
      </w:r>
      <w:r w:rsidRPr="0074752B">
        <w:rPr>
          <w:rFonts w:ascii="Arial" w:hAnsi="Arial" w:cs="Arial"/>
          <w:sz w:val="20"/>
        </w:rPr>
        <w:t xml:space="preserve"> assisted clients with in the last 12 months relate</w:t>
      </w:r>
      <w:r w:rsidR="00F66F8E" w:rsidRPr="0074752B">
        <w:rPr>
          <w:rFonts w:ascii="Arial" w:hAnsi="Arial" w:cs="Arial"/>
          <w:sz w:val="20"/>
        </w:rPr>
        <w:t>d</w:t>
      </w:r>
      <w:r w:rsidRPr="0074752B">
        <w:rPr>
          <w:rFonts w:ascii="Arial" w:hAnsi="Arial" w:cs="Arial"/>
          <w:sz w:val="20"/>
        </w:rPr>
        <w:t xml:space="preserve"> to eviction for arrears). </w:t>
      </w:r>
    </w:p>
    <w:p w:rsidR="00783B93" w:rsidRPr="0074752B" w:rsidRDefault="00783B93" w:rsidP="00783B93">
      <w:pPr>
        <w:rPr>
          <w:rFonts w:ascii="Arial" w:hAnsi="Arial" w:cs="Arial"/>
          <w:sz w:val="20"/>
        </w:rPr>
      </w:pPr>
    </w:p>
    <w:p w:rsidR="00783B93" w:rsidRPr="0074752B" w:rsidRDefault="00783B93" w:rsidP="00783B93">
      <w:pPr>
        <w:rPr>
          <w:rFonts w:ascii="Arial" w:hAnsi="Arial" w:cs="Arial"/>
          <w:sz w:val="20"/>
        </w:rPr>
      </w:pPr>
      <w:r w:rsidRPr="0074752B">
        <w:rPr>
          <w:rFonts w:ascii="Arial" w:hAnsi="Arial" w:cs="Arial"/>
          <w:sz w:val="20"/>
        </w:rPr>
        <w:t>In many cases, the HPLC can assist clients to avoid eviction through legal advice, advocacy and representation at the Victorian Civil and Administrative Tribunal (</w:t>
      </w:r>
      <w:r w:rsidRPr="0074752B">
        <w:rPr>
          <w:rFonts w:ascii="Arial" w:hAnsi="Arial" w:cs="Arial"/>
          <w:b/>
          <w:sz w:val="20"/>
        </w:rPr>
        <w:t>VCAT</w:t>
      </w:r>
      <w:r w:rsidRPr="0074752B">
        <w:rPr>
          <w:rFonts w:ascii="Arial" w:hAnsi="Arial" w:cs="Arial"/>
          <w:sz w:val="20"/>
        </w:rPr>
        <w:t xml:space="preserve">).  </w:t>
      </w:r>
    </w:p>
    <w:p w:rsidR="00783B93" w:rsidRPr="0074752B" w:rsidRDefault="00783B93" w:rsidP="00166B3F">
      <w:pPr>
        <w:rPr>
          <w:rFonts w:ascii="Arial" w:hAnsi="Arial" w:cs="Arial"/>
          <w:sz w:val="20"/>
        </w:rPr>
      </w:pPr>
    </w:p>
    <w:p w:rsidR="00783B93" w:rsidRPr="0074752B" w:rsidRDefault="00166B3F" w:rsidP="00166B3F">
      <w:pPr>
        <w:rPr>
          <w:rFonts w:ascii="Arial" w:hAnsi="Arial" w:cs="Arial"/>
          <w:sz w:val="20"/>
        </w:rPr>
      </w:pPr>
      <w:r w:rsidRPr="0074752B">
        <w:rPr>
          <w:rFonts w:ascii="Arial" w:hAnsi="Arial" w:cs="Arial"/>
          <w:sz w:val="20"/>
        </w:rPr>
        <w:t>As the Deduction Scheme recognises, early intervention is critical to tenants being able to address their arrears and avoid eviction into homelessness.  The HPLC is concerned, however, that the Deduction Scheme and the Exposure Draft go much further than compulsorily deducting tenants’ rent to prevent eviction for arrears.</w:t>
      </w:r>
    </w:p>
    <w:p w:rsidR="00166B3F" w:rsidRPr="0074752B" w:rsidRDefault="00166B3F" w:rsidP="00166B3F">
      <w:pPr>
        <w:rPr>
          <w:rFonts w:ascii="Arial" w:hAnsi="Arial" w:cs="Arial"/>
          <w:sz w:val="20"/>
        </w:rPr>
      </w:pPr>
    </w:p>
    <w:p w:rsidR="00783B93" w:rsidRPr="0074752B" w:rsidRDefault="00783B93" w:rsidP="00783B93">
      <w:pPr>
        <w:rPr>
          <w:rFonts w:ascii="Arial" w:hAnsi="Arial" w:cs="Arial"/>
          <w:sz w:val="20"/>
        </w:rPr>
      </w:pPr>
      <w:r w:rsidRPr="0074752B">
        <w:rPr>
          <w:rFonts w:ascii="Arial" w:hAnsi="Arial" w:cs="Arial"/>
          <w:sz w:val="20"/>
        </w:rPr>
        <w:t xml:space="preserve">Our concerns with the current Deduction Scheme, which are informed by our expertise and experience as a </w:t>
      </w:r>
      <w:r w:rsidR="00311A97" w:rsidRPr="0074752B">
        <w:rPr>
          <w:rFonts w:ascii="Arial" w:hAnsi="Arial" w:cs="Arial"/>
          <w:sz w:val="20"/>
        </w:rPr>
        <w:t>legal service specialising in homelessness prevention, are set out below</w:t>
      </w:r>
      <w:r w:rsidRPr="0074752B">
        <w:rPr>
          <w:rFonts w:ascii="Arial" w:hAnsi="Arial" w:cs="Arial"/>
          <w:sz w:val="20"/>
        </w:rPr>
        <w:t xml:space="preserve">.    </w:t>
      </w:r>
    </w:p>
    <w:p w:rsidR="000832F7" w:rsidRPr="0074752B" w:rsidRDefault="000832F7" w:rsidP="00AA0292">
      <w:pPr>
        <w:rPr>
          <w:rFonts w:ascii="Arial" w:hAnsi="Arial" w:cs="Arial"/>
          <w:sz w:val="20"/>
        </w:rPr>
      </w:pPr>
      <w:r w:rsidRPr="0074752B">
        <w:rPr>
          <w:rFonts w:ascii="Arial" w:hAnsi="Arial" w:cs="Arial"/>
          <w:sz w:val="20"/>
        </w:rPr>
        <w:t xml:space="preserve"> </w:t>
      </w:r>
    </w:p>
    <w:p w:rsidR="000832F7" w:rsidRPr="0074752B" w:rsidRDefault="000832F7" w:rsidP="00AA0292">
      <w:pPr>
        <w:rPr>
          <w:rFonts w:ascii="Arial" w:hAnsi="Arial" w:cs="Arial"/>
          <w:sz w:val="20"/>
        </w:rPr>
      </w:pPr>
    </w:p>
    <w:p w:rsidR="00471C18" w:rsidRPr="0074752B" w:rsidRDefault="00471C18" w:rsidP="00AA0292">
      <w:pPr>
        <w:rPr>
          <w:rFonts w:ascii="Arial" w:hAnsi="Arial" w:cs="Arial"/>
          <w:b/>
          <w:szCs w:val="22"/>
        </w:rPr>
      </w:pPr>
      <w:r w:rsidRPr="0074752B">
        <w:rPr>
          <w:rFonts w:ascii="Arial" w:hAnsi="Arial" w:cs="Arial"/>
          <w:b/>
          <w:szCs w:val="22"/>
        </w:rPr>
        <w:t xml:space="preserve">Operation of the Deduction Scheme </w:t>
      </w:r>
      <w:r w:rsidR="00783B93" w:rsidRPr="0074752B">
        <w:rPr>
          <w:rFonts w:ascii="Arial" w:hAnsi="Arial" w:cs="Arial"/>
          <w:b/>
          <w:szCs w:val="22"/>
        </w:rPr>
        <w:t xml:space="preserve">under the Exposure Draft </w:t>
      </w:r>
    </w:p>
    <w:p w:rsidR="00471C18" w:rsidRPr="0074752B" w:rsidRDefault="00471C18" w:rsidP="00AA0292">
      <w:pPr>
        <w:rPr>
          <w:rFonts w:ascii="Arial" w:hAnsi="Arial" w:cs="Arial"/>
          <w:sz w:val="20"/>
        </w:rPr>
      </w:pPr>
    </w:p>
    <w:p w:rsidR="00B9178C" w:rsidRPr="0074752B" w:rsidRDefault="00B9178C" w:rsidP="00AA0292">
      <w:pPr>
        <w:rPr>
          <w:rFonts w:ascii="Arial" w:hAnsi="Arial" w:cs="Arial"/>
          <w:sz w:val="20"/>
        </w:rPr>
      </w:pPr>
      <w:r w:rsidRPr="0074752B">
        <w:rPr>
          <w:rFonts w:ascii="Arial" w:hAnsi="Arial" w:cs="Arial"/>
          <w:sz w:val="20"/>
        </w:rPr>
        <w:t xml:space="preserve">Schedule 1 to the Exposure Draft is set out in two parts: </w:t>
      </w:r>
    </w:p>
    <w:p w:rsidR="00B9178C" w:rsidRPr="0074752B" w:rsidRDefault="00B9178C" w:rsidP="00AA0292">
      <w:pPr>
        <w:rPr>
          <w:rFonts w:ascii="Arial" w:hAnsi="Arial" w:cs="Arial"/>
          <w:sz w:val="20"/>
        </w:rPr>
      </w:pPr>
    </w:p>
    <w:p w:rsidR="00D1090E" w:rsidRPr="0074752B" w:rsidRDefault="00B9178C" w:rsidP="00D1090E">
      <w:pPr>
        <w:numPr>
          <w:ilvl w:val="0"/>
          <w:numId w:val="11"/>
        </w:numPr>
        <w:rPr>
          <w:rFonts w:ascii="Arial" w:hAnsi="Arial" w:cs="Arial"/>
          <w:sz w:val="20"/>
        </w:rPr>
      </w:pPr>
      <w:r w:rsidRPr="0074752B">
        <w:rPr>
          <w:rFonts w:ascii="Arial" w:hAnsi="Arial" w:cs="Arial"/>
          <w:sz w:val="20"/>
        </w:rPr>
        <w:t xml:space="preserve">Part 1 – draft amendments to the </w:t>
      </w:r>
      <w:r w:rsidRPr="0074752B">
        <w:rPr>
          <w:rFonts w:ascii="Arial" w:hAnsi="Arial" w:cs="Arial"/>
          <w:i/>
          <w:sz w:val="20"/>
        </w:rPr>
        <w:t xml:space="preserve">Social Security (Administration) Act </w:t>
      </w:r>
      <w:r w:rsidRPr="0074752B">
        <w:rPr>
          <w:rFonts w:ascii="Arial" w:hAnsi="Arial" w:cs="Arial"/>
          <w:sz w:val="20"/>
        </w:rPr>
        <w:t>1999 (Cth)</w:t>
      </w:r>
      <w:r w:rsidR="00D1090E" w:rsidRPr="0074752B">
        <w:rPr>
          <w:rFonts w:ascii="Arial" w:hAnsi="Arial" w:cs="Arial"/>
          <w:sz w:val="20"/>
        </w:rPr>
        <w:t xml:space="preserve"> (the main change being the insertion of a new Schedule 6, which introduces the Deduction Scheme)</w:t>
      </w:r>
      <w:r w:rsidRPr="0074752B">
        <w:rPr>
          <w:rFonts w:ascii="Arial" w:hAnsi="Arial" w:cs="Arial"/>
          <w:sz w:val="20"/>
        </w:rPr>
        <w:t xml:space="preserve">; </w:t>
      </w:r>
      <w:r w:rsidR="00D1090E" w:rsidRPr="0074752B">
        <w:rPr>
          <w:rFonts w:ascii="Arial" w:hAnsi="Arial" w:cs="Arial"/>
          <w:sz w:val="20"/>
        </w:rPr>
        <w:t>and</w:t>
      </w:r>
    </w:p>
    <w:p w:rsidR="00B9178C" w:rsidRPr="0074752B" w:rsidRDefault="00D1090E" w:rsidP="00D1090E">
      <w:pPr>
        <w:ind w:left="454"/>
        <w:rPr>
          <w:rFonts w:ascii="Arial" w:hAnsi="Arial" w:cs="Arial"/>
          <w:sz w:val="20"/>
        </w:rPr>
      </w:pPr>
      <w:r w:rsidRPr="0074752B">
        <w:rPr>
          <w:rFonts w:ascii="Arial" w:hAnsi="Arial" w:cs="Arial"/>
          <w:sz w:val="20"/>
        </w:rPr>
        <w:t xml:space="preserve"> </w:t>
      </w:r>
    </w:p>
    <w:p w:rsidR="00B9178C" w:rsidRPr="0074752B" w:rsidRDefault="00B9178C" w:rsidP="00D1090E">
      <w:pPr>
        <w:numPr>
          <w:ilvl w:val="0"/>
          <w:numId w:val="11"/>
        </w:numPr>
        <w:rPr>
          <w:rFonts w:ascii="Arial" w:hAnsi="Arial" w:cs="Arial"/>
          <w:sz w:val="20"/>
        </w:rPr>
      </w:pPr>
      <w:r w:rsidRPr="0074752B">
        <w:rPr>
          <w:rFonts w:ascii="Arial" w:hAnsi="Arial" w:cs="Arial"/>
          <w:sz w:val="20"/>
        </w:rPr>
        <w:t xml:space="preserve">Part 2 – draft amendments to </w:t>
      </w:r>
      <w:r w:rsidR="00D1090E" w:rsidRPr="0074752B">
        <w:rPr>
          <w:rFonts w:ascii="Arial" w:hAnsi="Arial" w:cs="Arial"/>
          <w:i/>
          <w:sz w:val="20"/>
        </w:rPr>
        <w:t>A New Tax System (Family Assistance) (Administration) Act</w:t>
      </w:r>
      <w:r w:rsidR="00D1090E" w:rsidRPr="0074752B">
        <w:rPr>
          <w:rFonts w:ascii="Arial" w:hAnsi="Arial" w:cs="Arial"/>
          <w:sz w:val="20"/>
        </w:rPr>
        <w:t xml:space="preserve"> 1999 (Cth) (the main change being the insertion of a new Schedule 1, which introduces the Deduction Scheme). </w:t>
      </w:r>
      <w:r w:rsidRPr="0074752B">
        <w:rPr>
          <w:rFonts w:ascii="Arial" w:hAnsi="Arial" w:cs="Arial"/>
          <w:sz w:val="20"/>
        </w:rPr>
        <w:t xml:space="preserve"> </w:t>
      </w:r>
    </w:p>
    <w:p w:rsidR="00D1090E" w:rsidRPr="0074752B" w:rsidRDefault="00D1090E" w:rsidP="00AA0292">
      <w:pPr>
        <w:rPr>
          <w:rFonts w:ascii="Arial" w:hAnsi="Arial" w:cs="Arial"/>
          <w:sz w:val="20"/>
        </w:rPr>
      </w:pPr>
    </w:p>
    <w:p w:rsidR="00DC2610" w:rsidRPr="0074752B" w:rsidRDefault="00DC2610" w:rsidP="00AA0292">
      <w:pPr>
        <w:rPr>
          <w:rFonts w:ascii="Arial" w:hAnsi="Arial" w:cs="Arial"/>
          <w:sz w:val="20"/>
        </w:rPr>
      </w:pPr>
      <w:r w:rsidRPr="0074752B">
        <w:rPr>
          <w:rFonts w:ascii="Arial" w:hAnsi="Arial" w:cs="Arial"/>
          <w:sz w:val="20"/>
        </w:rPr>
        <w:t xml:space="preserve">Important operative provisions of the Deduction Scheme are set out in </w:t>
      </w:r>
      <w:r w:rsidR="00E10B30" w:rsidRPr="0074752B">
        <w:rPr>
          <w:rFonts w:ascii="Arial" w:hAnsi="Arial" w:cs="Arial"/>
          <w:sz w:val="20"/>
        </w:rPr>
        <w:t xml:space="preserve">six </w:t>
      </w:r>
      <w:r w:rsidRPr="0074752B">
        <w:rPr>
          <w:rFonts w:ascii="Arial" w:hAnsi="Arial" w:cs="Arial"/>
          <w:sz w:val="20"/>
        </w:rPr>
        <w:t>legislative instruments</w:t>
      </w:r>
      <w:r w:rsidR="00E10B30" w:rsidRPr="0074752B">
        <w:rPr>
          <w:rFonts w:ascii="Arial" w:hAnsi="Arial" w:cs="Arial"/>
          <w:sz w:val="20"/>
        </w:rPr>
        <w:t xml:space="preserve"> under the </w:t>
      </w:r>
      <w:r w:rsidR="00E10B30" w:rsidRPr="0074752B">
        <w:rPr>
          <w:rFonts w:ascii="Arial" w:hAnsi="Arial" w:cs="Arial"/>
          <w:i/>
          <w:sz w:val="20"/>
        </w:rPr>
        <w:t>Legislative Instruments Act</w:t>
      </w:r>
      <w:r w:rsidR="00E10B30" w:rsidRPr="0074752B">
        <w:rPr>
          <w:rFonts w:ascii="Arial" w:hAnsi="Arial" w:cs="Arial"/>
          <w:sz w:val="20"/>
        </w:rPr>
        <w:t xml:space="preserve"> 2003 (Cth)</w:t>
      </w:r>
      <w:r w:rsidR="0072688C" w:rsidRPr="0074752B">
        <w:rPr>
          <w:rFonts w:ascii="Arial" w:hAnsi="Arial" w:cs="Arial"/>
          <w:sz w:val="20"/>
        </w:rPr>
        <w:t xml:space="preserve"> rather than in the Exposure Draft itself</w:t>
      </w:r>
      <w:r w:rsidRPr="0074752B">
        <w:rPr>
          <w:rFonts w:ascii="Arial" w:hAnsi="Arial" w:cs="Arial"/>
          <w:sz w:val="20"/>
        </w:rPr>
        <w:t xml:space="preserve">. </w:t>
      </w:r>
    </w:p>
    <w:p w:rsidR="00DC2610" w:rsidRPr="0074752B" w:rsidRDefault="00DC2610" w:rsidP="00AA0292">
      <w:pPr>
        <w:rPr>
          <w:rFonts w:ascii="Arial" w:hAnsi="Arial" w:cs="Arial"/>
          <w:sz w:val="20"/>
        </w:rPr>
      </w:pPr>
    </w:p>
    <w:p w:rsidR="00471C18" w:rsidRPr="0074752B" w:rsidRDefault="00D1090E" w:rsidP="00AA0292">
      <w:pPr>
        <w:rPr>
          <w:rFonts w:ascii="Arial" w:hAnsi="Arial" w:cs="Arial"/>
          <w:sz w:val="20"/>
        </w:rPr>
      </w:pPr>
      <w:r w:rsidRPr="0074752B">
        <w:rPr>
          <w:rFonts w:ascii="Arial" w:hAnsi="Arial" w:cs="Arial"/>
          <w:sz w:val="20"/>
        </w:rPr>
        <w:t>In summary, t</w:t>
      </w:r>
      <w:r w:rsidR="00471C18" w:rsidRPr="0074752B">
        <w:rPr>
          <w:rFonts w:ascii="Arial" w:hAnsi="Arial" w:cs="Arial"/>
          <w:sz w:val="20"/>
        </w:rPr>
        <w:t xml:space="preserve">he Exposure Draft provides that a public housing lessor can request the Secretary to make a deduction from a </w:t>
      </w:r>
      <w:r w:rsidR="00461E21" w:rsidRPr="0074752B">
        <w:rPr>
          <w:rFonts w:ascii="Arial" w:hAnsi="Arial" w:cs="Arial"/>
          <w:sz w:val="20"/>
        </w:rPr>
        <w:t xml:space="preserve">public housing tenant’s </w:t>
      </w:r>
      <w:r w:rsidR="0072688C" w:rsidRPr="0074752B">
        <w:rPr>
          <w:rFonts w:ascii="Arial" w:hAnsi="Arial" w:cs="Arial"/>
          <w:sz w:val="20"/>
        </w:rPr>
        <w:t>Centrelink income support</w:t>
      </w:r>
      <w:r w:rsidR="00461E21" w:rsidRPr="0074752B">
        <w:rPr>
          <w:rFonts w:ascii="Arial" w:hAnsi="Arial" w:cs="Arial"/>
          <w:sz w:val="20"/>
        </w:rPr>
        <w:t xml:space="preserve"> (</w:t>
      </w:r>
      <w:r w:rsidRPr="0074752B">
        <w:rPr>
          <w:rFonts w:ascii="Arial" w:hAnsi="Arial" w:cs="Arial"/>
          <w:sz w:val="20"/>
        </w:rPr>
        <w:t xml:space="preserve">if it is classified as a </w:t>
      </w:r>
      <w:r w:rsidR="00461E21" w:rsidRPr="0074752B">
        <w:rPr>
          <w:rFonts w:ascii="Arial" w:hAnsi="Arial" w:cs="Arial"/>
          <w:sz w:val="20"/>
        </w:rPr>
        <w:t>‘</w:t>
      </w:r>
      <w:r w:rsidR="00471C18" w:rsidRPr="0074752B">
        <w:rPr>
          <w:rFonts w:ascii="Arial" w:hAnsi="Arial" w:cs="Arial"/>
          <w:sz w:val="20"/>
        </w:rPr>
        <w:t>divertible welfare payment</w:t>
      </w:r>
      <w:r w:rsidR="00461E21" w:rsidRPr="0074752B">
        <w:rPr>
          <w:rFonts w:ascii="Arial" w:hAnsi="Arial" w:cs="Arial"/>
          <w:sz w:val="20"/>
        </w:rPr>
        <w:t>’</w:t>
      </w:r>
      <w:r w:rsidR="00043139" w:rsidRPr="0074752B">
        <w:rPr>
          <w:rStyle w:val="FootnoteReference"/>
          <w:rFonts w:ascii="Arial" w:hAnsi="Arial" w:cs="Arial"/>
          <w:sz w:val="20"/>
        </w:rPr>
        <w:footnoteReference w:id="3"/>
      </w:r>
      <w:r w:rsidR="0072688C" w:rsidRPr="0074752B">
        <w:rPr>
          <w:rFonts w:ascii="Arial" w:hAnsi="Arial" w:cs="Arial"/>
          <w:sz w:val="20"/>
        </w:rPr>
        <w:t xml:space="preserve"> or is a Family Tax Benefit</w:t>
      </w:r>
      <w:r w:rsidR="00461E21" w:rsidRPr="0074752B">
        <w:rPr>
          <w:rFonts w:ascii="Arial" w:hAnsi="Arial" w:cs="Arial"/>
          <w:sz w:val="20"/>
        </w:rPr>
        <w:t>)</w:t>
      </w:r>
      <w:r w:rsidR="00471C18" w:rsidRPr="0074752B">
        <w:rPr>
          <w:rFonts w:ascii="Arial" w:hAnsi="Arial" w:cs="Arial"/>
          <w:sz w:val="20"/>
        </w:rPr>
        <w:t xml:space="preserve"> if: </w:t>
      </w:r>
    </w:p>
    <w:p w:rsidR="00471C18" w:rsidRPr="0074752B" w:rsidRDefault="00471C18" w:rsidP="00AA0292">
      <w:pPr>
        <w:rPr>
          <w:rFonts w:ascii="Arial" w:hAnsi="Arial" w:cs="Arial"/>
          <w:sz w:val="20"/>
        </w:rPr>
      </w:pPr>
    </w:p>
    <w:p w:rsidR="00471C18" w:rsidRPr="0074752B" w:rsidRDefault="00471C18" w:rsidP="00471C18">
      <w:pPr>
        <w:numPr>
          <w:ilvl w:val="0"/>
          <w:numId w:val="11"/>
        </w:numPr>
        <w:rPr>
          <w:rFonts w:ascii="Arial" w:hAnsi="Arial" w:cs="Arial"/>
          <w:sz w:val="20"/>
        </w:rPr>
      </w:pPr>
      <w:r w:rsidRPr="0074752B">
        <w:rPr>
          <w:rFonts w:ascii="Arial" w:hAnsi="Arial" w:cs="Arial"/>
          <w:sz w:val="20"/>
        </w:rPr>
        <w:t>an amount exceeding the ‘minimum amount’ is due and payable by the tenant to the public housing l</w:t>
      </w:r>
      <w:r w:rsidR="00B9178C" w:rsidRPr="0074752B">
        <w:rPr>
          <w:rFonts w:ascii="Arial" w:hAnsi="Arial" w:cs="Arial"/>
          <w:sz w:val="20"/>
        </w:rPr>
        <w:t>essor and the lessor has taken ‘</w:t>
      </w:r>
      <w:r w:rsidRPr="0074752B">
        <w:rPr>
          <w:rFonts w:ascii="Arial" w:hAnsi="Arial" w:cs="Arial"/>
          <w:sz w:val="20"/>
        </w:rPr>
        <w:t>reasonable action</w:t>
      </w:r>
      <w:r w:rsidR="00B9178C" w:rsidRPr="0074752B">
        <w:rPr>
          <w:rFonts w:ascii="Arial" w:hAnsi="Arial" w:cs="Arial"/>
          <w:sz w:val="20"/>
        </w:rPr>
        <w:t>’</w:t>
      </w:r>
      <w:r w:rsidRPr="0074752B">
        <w:rPr>
          <w:rFonts w:ascii="Arial" w:hAnsi="Arial" w:cs="Arial"/>
          <w:sz w:val="20"/>
        </w:rPr>
        <w:t xml:space="preserve"> to recover the amount from the tenant (</w:t>
      </w:r>
      <w:r w:rsidRPr="0074752B">
        <w:rPr>
          <w:rFonts w:ascii="Arial" w:hAnsi="Arial" w:cs="Arial"/>
          <w:b/>
          <w:sz w:val="20"/>
        </w:rPr>
        <w:t>Minimum Amount Owing</w:t>
      </w:r>
      <w:r w:rsidRPr="0074752B">
        <w:rPr>
          <w:rFonts w:ascii="Arial" w:hAnsi="Arial" w:cs="Arial"/>
          <w:sz w:val="20"/>
        </w:rPr>
        <w:t>)</w:t>
      </w:r>
      <w:r w:rsidR="00DC2610" w:rsidRPr="0074752B">
        <w:rPr>
          <w:rFonts w:ascii="Arial" w:hAnsi="Arial" w:cs="Arial"/>
          <w:sz w:val="20"/>
        </w:rPr>
        <w:t>. The Minimum Amount Owing is defined in the Draft Social Security (Public Housing Tenants’ Support) Minimum Amount Specification (No. 1) 2013</w:t>
      </w:r>
      <w:r w:rsidR="001804A6" w:rsidRPr="0074752B">
        <w:rPr>
          <w:rFonts w:ascii="Arial" w:hAnsi="Arial" w:cs="Arial"/>
          <w:sz w:val="20"/>
        </w:rPr>
        <w:t xml:space="preserve"> (see below)</w:t>
      </w:r>
      <w:r w:rsidRPr="0074752B">
        <w:rPr>
          <w:rFonts w:ascii="Arial" w:hAnsi="Arial" w:cs="Arial"/>
          <w:sz w:val="20"/>
        </w:rPr>
        <w:t xml:space="preserve">; or </w:t>
      </w:r>
    </w:p>
    <w:p w:rsidR="00D1090E" w:rsidRPr="0074752B" w:rsidRDefault="00D1090E" w:rsidP="00D1090E">
      <w:pPr>
        <w:ind w:left="454"/>
        <w:rPr>
          <w:rFonts w:ascii="Arial" w:hAnsi="Arial" w:cs="Arial"/>
          <w:sz w:val="20"/>
        </w:rPr>
      </w:pPr>
    </w:p>
    <w:p w:rsidR="00471C18" w:rsidRPr="0074752B" w:rsidRDefault="00471C18" w:rsidP="00471C18">
      <w:pPr>
        <w:numPr>
          <w:ilvl w:val="0"/>
          <w:numId w:val="11"/>
        </w:numPr>
        <w:rPr>
          <w:rFonts w:ascii="Arial" w:hAnsi="Arial" w:cs="Arial"/>
          <w:sz w:val="20"/>
        </w:rPr>
      </w:pPr>
      <w:r w:rsidRPr="0074752B">
        <w:rPr>
          <w:rFonts w:ascii="Arial" w:hAnsi="Arial" w:cs="Arial"/>
          <w:sz w:val="20"/>
        </w:rPr>
        <w:t>‘there is a risk that not all of the amounts that became or become due and payable by the person to the lessor under the lease before the time of the divertible welfare payment will have been paid by that time’ (</w:t>
      </w:r>
      <w:r w:rsidRPr="0074752B">
        <w:rPr>
          <w:rFonts w:ascii="Arial" w:hAnsi="Arial" w:cs="Arial"/>
          <w:b/>
          <w:sz w:val="20"/>
        </w:rPr>
        <w:t xml:space="preserve">Risk of </w:t>
      </w:r>
      <w:r w:rsidR="0072688C" w:rsidRPr="0074752B">
        <w:rPr>
          <w:rFonts w:ascii="Arial" w:hAnsi="Arial" w:cs="Arial"/>
          <w:b/>
          <w:sz w:val="20"/>
        </w:rPr>
        <w:t>Non-Payment</w:t>
      </w:r>
      <w:r w:rsidRPr="0074752B">
        <w:rPr>
          <w:rFonts w:ascii="Arial" w:hAnsi="Arial" w:cs="Arial"/>
          <w:sz w:val="20"/>
        </w:rPr>
        <w:t xml:space="preserve">).  </w:t>
      </w:r>
      <w:r w:rsidR="00DC2610" w:rsidRPr="0074752B">
        <w:rPr>
          <w:rFonts w:ascii="Arial" w:hAnsi="Arial" w:cs="Arial"/>
          <w:sz w:val="20"/>
        </w:rPr>
        <w:t xml:space="preserve"> </w:t>
      </w:r>
      <w:r w:rsidR="00351585" w:rsidRPr="0074752B">
        <w:rPr>
          <w:rFonts w:ascii="Arial" w:hAnsi="Arial" w:cs="Arial"/>
          <w:sz w:val="20"/>
        </w:rPr>
        <w:t>What constitutes a</w:t>
      </w:r>
      <w:r w:rsidR="00DC2610" w:rsidRPr="0074752B">
        <w:rPr>
          <w:rFonts w:ascii="Arial" w:hAnsi="Arial" w:cs="Arial"/>
          <w:sz w:val="20"/>
        </w:rPr>
        <w:t xml:space="preserve"> Risk of </w:t>
      </w:r>
      <w:r w:rsidR="0072688C" w:rsidRPr="0074752B">
        <w:rPr>
          <w:rFonts w:ascii="Arial" w:hAnsi="Arial" w:cs="Arial"/>
          <w:sz w:val="20"/>
        </w:rPr>
        <w:t>Non-Payment</w:t>
      </w:r>
      <w:r w:rsidR="00DC2610" w:rsidRPr="0074752B">
        <w:rPr>
          <w:rFonts w:ascii="Arial" w:hAnsi="Arial" w:cs="Arial"/>
          <w:sz w:val="20"/>
        </w:rPr>
        <w:t xml:space="preserve"> </w:t>
      </w:r>
      <w:r w:rsidR="00351585" w:rsidRPr="0074752B">
        <w:rPr>
          <w:rFonts w:ascii="Arial" w:hAnsi="Arial" w:cs="Arial"/>
          <w:sz w:val="20"/>
        </w:rPr>
        <w:t>is</w:t>
      </w:r>
      <w:r w:rsidR="00DC2610" w:rsidRPr="0074752B">
        <w:rPr>
          <w:rFonts w:ascii="Arial" w:hAnsi="Arial" w:cs="Arial"/>
          <w:sz w:val="20"/>
        </w:rPr>
        <w:t xml:space="preserve"> defined in the Draft Social Security (Public Housing Support) Risk of Non-Payment of Amounts Rules (No. 1) 2013</w:t>
      </w:r>
      <w:r w:rsidR="001804A6" w:rsidRPr="0074752B">
        <w:rPr>
          <w:rFonts w:ascii="Arial" w:hAnsi="Arial" w:cs="Arial"/>
          <w:sz w:val="20"/>
        </w:rPr>
        <w:t xml:space="preserve"> (see below)</w:t>
      </w:r>
      <w:r w:rsidR="00DC2610" w:rsidRPr="0074752B">
        <w:rPr>
          <w:rFonts w:ascii="Arial" w:hAnsi="Arial" w:cs="Arial"/>
          <w:sz w:val="20"/>
        </w:rPr>
        <w:t>.</w:t>
      </w:r>
    </w:p>
    <w:p w:rsidR="00461E21" w:rsidRPr="0074752B" w:rsidRDefault="00461E21" w:rsidP="00AA0292">
      <w:pPr>
        <w:rPr>
          <w:rFonts w:ascii="Arial" w:hAnsi="Arial" w:cs="Arial"/>
          <w:sz w:val="20"/>
        </w:rPr>
      </w:pPr>
    </w:p>
    <w:p w:rsidR="00471C18" w:rsidRPr="0074752B" w:rsidRDefault="00471C18" w:rsidP="00AA0292">
      <w:pPr>
        <w:rPr>
          <w:rFonts w:ascii="Arial" w:hAnsi="Arial" w:cs="Arial"/>
          <w:sz w:val="20"/>
        </w:rPr>
      </w:pPr>
      <w:r w:rsidRPr="0074752B">
        <w:rPr>
          <w:rFonts w:ascii="Arial" w:hAnsi="Arial" w:cs="Arial"/>
          <w:sz w:val="20"/>
        </w:rPr>
        <w:t xml:space="preserve">Except in limited circumstances (for example, where a person is already subject to compulsory income management), the Secretary </w:t>
      </w:r>
      <w:r w:rsidR="00351585" w:rsidRPr="0074752B">
        <w:rPr>
          <w:rFonts w:ascii="Arial" w:hAnsi="Arial" w:cs="Arial"/>
          <w:sz w:val="20"/>
        </w:rPr>
        <w:t>may</w:t>
      </w:r>
      <w:r w:rsidRPr="0074752B">
        <w:rPr>
          <w:rFonts w:ascii="Arial" w:hAnsi="Arial" w:cs="Arial"/>
          <w:sz w:val="20"/>
        </w:rPr>
        <w:t xml:space="preserve"> </w:t>
      </w:r>
      <w:r w:rsidR="00461E21" w:rsidRPr="0074752B">
        <w:rPr>
          <w:rFonts w:ascii="Arial" w:hAnsi="Arial" w:cs="Arial"/>
          <w:sz w:val="20"/>
        </w:rPr>
        <w:t xml:space="preserve">make a </w:t>
      </w:r>
      <w:r w:rsidR="00351585" w:rsidRPr="0074752B">
        <w:rPr>
          <w:rFonts w:ascii="Arial" w:hAnsi="Arial" w:cs="Arial"/>
          <w:sz w:val="20"/>
        </w:rPr>
        <w:t xml:space="preserve">compulsory </w:t>
      </w:r>
      <w:r w:rsidR="00461E21" w:rsidRPr="0074752B">
        <w:rPr>
          <w:rFonts w:ascii="Arial" w:hAnsi="Arial" w:cs="Arial"/>
          <w:sz w:val="20"/>
        </w:rPr>
        <w:t xml:space="preserve">deduction from the tenant’s Centrelink benefit in accordance with the public housing lessor’s request. </w:t>
      </w:r>
    </w:p>
    <w:p w:rsidR="00461E21" w:rsidRPr="0074752B" w:rsidRDefault="00461E21" w:rsidP="00AA0292">
      <w:pPr>
        <w:rPr>
          <w:rFonts w:ascii="Arial" w:hAnsi="Arial" w:cs="Arial"/>
          <w:sz w:val="20"/>
        </w:rPr>
      </w:pPr>
    </w:p>
    <w:p w:rsidR="000832F7" w:rsidRPr="0074752B" w:rsidRDefault="00461E21" w:rsidP="00AA0292">
      <w:pPr>
        <w:rPr>
          <w:rFonts w:ascii="Arial" w:hAnsi="Arial" w:cs="Arial"/>
          <w:sz w:val="20"/>
        </w:rPr>
      </w:pPr>
      <w:r w:rsidRPr="0074752B">
        <w:rPr>
          <w:rFonts w:ascii="Arial" w:hAnsi="Arial" w:cs="Arial"/>
          <w:sz w:val="20"/>
        </w:rPr>
        <w:t xml:space="preserve">These provisions, and the HPLC’s concerns with them, are discussed below.  </w:t>
      </w:r>
    </w:p>
    <w:p w:rsidR="00471C18" w:rsidRPr="0074752B" w:rsidRDefault="00471C18" w:rsidP="00AA0292">
      <w:pPr>
        <w:rPr>
          <w:rFonts w:ascii="Arial" w:hAnsi="Arial" w:cs="Arial"/>
          <w:b/>
          <w:sz w:val="20"/>
        </w:rPr>
      </w:pPr>
    </w:p>
    <w:p w:rsidR="00471C18" w:rsidRPr="0074752B" w:rsidRDefault="00461E21" w:rsidP="00471C18">
      <w:pPr>
        <w:rPr>
          <w:rFonts w:ascii="Arial" w:hAnsi="Arial" w:cs="Arial"/>
          <w:b/>
          <w:szCs w:val="22"/>
        </w:rPr>
      </w:pPr>
      <w:r w:rsidRPr="0074752B">
        <w:rPr>
          <w:rFonts w:ascii="Arial" w:hAnsi="Arial" w:cs="Arial"/>
          <w:b/>
          <w:szCs w:val="22"/>
        </w:rPr>
        <w:t xml:space="preserve">Minimum Amount Owing </w:t>
      </w:r>
      <w:r w:rsidR="001A620E" w:rsidRPr="0074752B">
        <w:rPr>
          <w:rFonts w:ascii="Arial" w:hAnsi="Arial" w:cs="Arial"/>
          <w:b/>
          <w:szCs w:val="22"/>
        </w:rPr>
        <w:t>–</w:t>
      </w:r>
      <w:r w:rsidR="00D72096" w:rsidRPr="0074752B">
        <w:rPr>
          <w:rFonts w:ascii="Arial" w:hAnsi="Arial" w:cs="Arial"/>
          <w:b/>
          <w:szCs w:val="22"/>
        </w:rPr>
        <w:t xml:space="preserve"> </w:t>
      </w:r>
      <w:r w:rsidR="001A620E" w:rsidRPr="0074752B">
        <w:rPr>
          <w:rFonts w:ascii="Arial" w:hAnsi="Arial" w:cs="Arial"/>
          <w:b/>
          <w:szCs w:val="22"/>
        </w:rPr>
        <w:t xml:space="preserve">broader than rent arrears </w:t>
      </w:r>
    </w:p>
    <w:p w:rsidR="00461E21" w:rsidRPr="0074752B" w:rsidRDefault="00461E21" w:rsidP="00471C18">
      <w:pPr>
        <w:rPr>
          <w:rFonts w:ascii="Arial" w:hAnsi="Arial" w:cs="Arial"/>
          <w:sz w:val="20"/>
        </w:rPr>
      </w:pPr>
    </w:p>
    <w:p w:rsidR="001A620E" w:rsidRPr="0074752B" w:rsidRDefault="001A620E" w:rsidP="00471C18">
      <w:pPr>
        <w:rPr>
          <w:rFonts w:ascii="Arial" w:hAnsi="Arial" w:cs="Arial"/>
          <w:sz w:val="20"/>
        </w:rPr>
      </w:pPr>
      <w:r w:rsidRPr="0074752B">
        <w:rPr>
          <w:rFonts w:ascii="Arial" w:hAnsi="Arial" w:cs="Arial"/>
          <w:sz w:val="20"/>
        </w:rPr>
        <w:t xml:space="preserve">The Minimum Amount Owing </w:t>
      </w:r>
      <w:r w:rsidR="0072688C" w:rsidRPr="0074752B">
        <w:rPr>
          <w:rFonts w:ascii="Arial" w:hAnsi="Arial" w:cs="Arial"/>
          <w:sz w:val="20"/>
        </w:rPr>
        <w:t xml:space="preserve">to </w:t>
      </w:r>
      <w:r w:rsidR="00DF2B67" w:rsidRPr="0074752B">
        <w:rPr>
          <w:rFonts w:ascii="Arial" w:hAnsi="Arial" w:cs="Arial"/>
          <w:sz w:val="20"/>
        </w:rPr>
        <w:t>justify</w:t>
      </w:r>
      <w:r w:rsidRPr="0074752B">
        <w:rPr>
          <w:rFonts w:ascii="Arial" w:hAnsi="Arial" w:cs="Arial"/>
          <w:sz w:val="20"/>
        </w:rPr>
        <w:t xml:space="preserve"> a public housing lessor </w:t>
      </w:r>
      <w:r w:rsidR="0072688C" w:rsidRPr="0074752B">
        <w:rPr>
          <w:rFonts w:ascii="Arial" w:hAnsi="Arial" w:cs="Arial"/>
          <w:sz w:val="20"/>
        </w:rPr>
        <w:t>requesting</w:t>
      </w:r>
      <w:r w:rsidRPr="0074752B">
        <w:rPr>
          <w:rFonts w:ascii="Arial" w:hAnsi="Arial" w:cs="Arial"/>
          <w:sz w:val="20"/>
        </w:rPr>
        <w:t xml:space="preserve"> a compulsory deduction </w:t>
      </w:r>
      <w:r w:rsidR="0097686E" w:rsidRPr="0074752B">
        <w:rPr>
          <w:rFonts w:ascii="Arial" w:hAnsi="Arial" w:cs="Arial"/>
          <w:sz w:val="20"/>
        </w:rPr>
        <w:t>is</w:t>
      </w:r>
      <w:r w:rsidRPr="0074752B">
        <w:rPr>
          <w:rFonts w:ascii="Arial" w:hAnsi="Arial" w:cs="Arial"/>
          <w:sz w:val="20"/>
        </w:rPr>
        <w:t xml:space="preserve"> defined </w:t>
      </w:r>
      <w:r w:rsidR="00DF2B67" w:rsidRPr="0074752B">
        <w:rPr>
          <w:rFonts w:ascii="Arial" w:hAnsi="Arial" w:cs="Arial"/>
          <w:sz w:val="20"/>
        </w:rPr>
        <w:t xml:space="preserve">under the Draft Social Security (Public Housing Tenants’ Support) Minimum Amount Specification (No. 1) 2013 </w:t>
      </w:r>
      <w:r w:rsidRPr="0074752B">
        <w:rPr>
          <w:rFonts w:ascii="Arial" w:hAnsi="Arial" w:cs="Arial"/>
          <w:sz w:val="20"/>
        </w:rPr>
        <w:t xml:space="preserve">as: </w:t>
      </w:r>
    </w:p>
    <w:p w:rsidR="001A620E" w:rsidRPr="0074752B" w:rsidRDefault="001A620E" w:rsidP="001A620E">
      <w:pPr>
        <w:ind w:left="454"/>
        <w:rPr>
          <w:rFonts w:ascii="Arial" w:hAnsi="Arial" w:cs="Arial"/>
          <w:sz w:val="20"/>
        </w:rPr>
      </w:pPr>
    </w:p>
    <w:p w:rsidR="001A620E" w:rsidRPr="0074752B" w:rsidRDefault="001A620E" w:rsidP="001A620E">
      <w:pPr>
        <w:numPr>
          <w:ilvl w:val="0"/>
          <w:numId w:val="11"/>
        </w:numPr>
        <w:rPr>
          <w:rFonts w:ascii="Arial" w:hAnsi="Arial" w:cs="Arial"/>
          <w:sz w:val="20"/>
        </w:rPr>
      </w:pPr>
      <w:r w:rsidRPr="0074752B">
        <w:rPr>
          <w:rFonts w:ascii="Arial" w:hAnsi="Arial" w:cs="Arial"/>
          <w:sz w:val="20"/>
        </w:rPr>
        <w:t xml:space="preserve">$100 (whether owing by way of rent or otherwise) if that amount has remained due and payable for at least four weeks; or </w:t>
      </w:r>
    </w:p>
    <w:p w:rsidR="001804A6" w:rsidRPr="0074752B" w:rsidRDefault="001804A6" w:rsidP="001804A6">
      <w:pPr>
        <w:rPr>
          <w:rFonts w:ascii="Arial" w:hAnsi="Arial" w:cs="Arial"/>
          <w:sz w:val="20"/>
        </w:rPr>
      </w:pPr>
    </w:p>
    <w:p w:rsidR="001A620E" w:rsidRPr="0074752B" w:rsidRDefault="0097686E" w:rsidP="001A620E">
      <w:pPr>
        <w:numPr>
          <w:ilvl w:val="0"/>
          <w:numId w:val="11"/>
        </w:numPr>
        <w:rPr>
          <w:rFonts w:ascii="Arial" w:hAnsi="Arial" w:cs="Arial"/>
          <w:sz w:val="20"/>
        </w:rPr>
      </w:pPr>
      <w:r w:rsidRPr="0074752B">
        <w:rPr>
          <w:rFonts w:ascii="Arial" w:hAnsi="Arial" w:cs="Arial"/>
          <w:sz w:val="20"/>
        </w:rPr>
        <w:t>i</w:t>
      </w:r>
      <w:r w:rsidR="001A620E" w:rsidRPr="0074752B">
        <w:rPr>
          <w:rFonts w:ascii="Arial" w:hAnsi="Arial" w:cs="Arial"/>
          <w:sz w:val="20"/>
        </w:rPr>
        <w:t xml:space="preserve">f the amount has not been due and payable for at least four weeks, $400 (whether owing by way of rent or otherwise). </w:t>
      </w:r>
    </w:p>
    <w:p w:rsidR="001A620E" w:rsidRPr="0074752B" w:rsidRDefault="001A620E" w:rsidP="001A620E">
      <w:pPr>
        <w:rPr>
          <w:rFonts w:ascii="Arial" w:hAnsi="Arial" w:cs="Arial"/>
          <w:sz w:val="20"/>
        </w:rPr>
      </w:pPr>
    </w:p>
    <w:p w:rsidR="001A620E" w:rsidRPr="0074752B" w:rsidRDefault="001A620E" w:rsidP="001A620E">
      <w:pPr>
        <w:rPr>
          <w:rFonts w:ascii="Arial" w:hAnsi="Arial" w:cs="Arial"/>
          <w:sz w:val="20"/>
        </w:rPr>
      </w:pPr>
      <w:r w:rsidRPr="0074752B">
        <w:rPr>
          <w:rFonts w:ascii="Arial" w:hAnsi="Arial" w:cs="Arial"/>
          <w:sz w:val="20"/>
        </w:rPr>
        <w:t xml:space="preserve">It is </w:t>
      </w:r>
      <w:r w:rsidR="00295AC6" w:rsidRPr="0074752B">
        <w:rPr>
          <w:rFonts w:ascii="Arial" w:hAnsi="Arial" w:cs="Arial"/>
          <w:sz w:val="20"/>
        </w:rPr>
        <w:t xml:space="preserve">not </w:t>
      </w:r>
      <w:r w:rsidRPr="0074752B">
        <w:rPr>
          <w:rFonts w:ascii="Arial" w:hAnsi="Arial" w:cs="Arial"/>
          <w:sz w:val="20"/>
        </w:rPr>
        <w:t xml:space="preserve">accurate to imply that the amount being compulsorily deducted under the Deduction Scheme will be limited to arrears for current tenancies and </w:t>
      </w:r>
      <w:r w:rsidR="0072688C" w:rsidRPr="0074752B">
        <w:rPr>
          <w:rFonts w:ascii="Arial" w:hAnsi="Arial" w:cs="Arial"/>
          <w:sz w:val="20"/>
        </w:rPr>
        <w:t xml:space="preserve">accordingly </w:t>
      </w:r>
      <w:r w:rsidR="0097686E" w:rsidRPr="0074752B">
        <w:rPr>
          <w:rFonts w:ascii="Arial" w:hAnsi="Arial" w:cs="Arial"/>
          <w:sz w:val="20"/>
        </w:rPr>
        <w:t>that the</w:t>
      </w:r>
      <w:r w:rsidRPr="0074752B">
        <w:rPr>
          <w:rFonts w:ascii="Arial" w:hAnsi="Arial" w:cs="Arial"/>
          <w:sz w:val="20"/>
        </w:rPr>
        <w:t xml:space="preserve"> paramount aim of </w:t>
      </w:r>
      <w:r w:rsidR="0097686E" w:rsidRPr="0074752B">
        <w:rPr>
          <w:rFonts w:ascii="Arial" w:hAnsi="Arial" w:cs="Arial"/>
          <w:sz w:val="20"/>
        </w:rPr>
        <w:t xml:space="preserve">the Deduction Scheme is </w:t>
      </w:r>
      <w:r w:rsidRPr="0074752B">
        <w:rPr>
          <w:rFonts w:ascii="Arial" w:hAnsi="Arial" w:cs="Arial"/>
          <w:sz w:val="20"/>
        </w:rPr>
        <w:t xml:space="preserve">sustaining tenancies. </w:t>
      </w:r>
      <w:r w:rsidR="0097686E" w:rsidRPr="0074752B">
        <w:rPr>
          <w:rFonts w:ascii="Arial" w:hAnsi="Arial" w:cs="Arial"/>
          <w:sz w:val="20"/>
        </w:rPr>
        <w:t xml:space="preserve"> The Deduction Scheme’s reference to money owing to the public housing lessor ‘by way of rent or otherwise’ includes a range of payments that </w:t>
      </w:r>
      <w:r w:rsidR="00295AC6" w:rsidRPr="0074752B">
        <w:rPr>
          <w:rFonts w:ascii="Arial" w:hAnsi="Arial" w:cs="Arial"/>
          <w:sz w:val="20"/>
        </w:rPr>
        <w:t xml:space="preserve">are not arrears and </w:t>
      </w:r>
      <w:r w:rsidR="0097686E" w:rsidRPr="0074752B">
        <w:rPr>
          <w:rFonts w:ascii="Arial" w:hAnsi="Arial" w:cs="Arial"/>
          <w:sz w:val="20"/>
        </w:rPr>
        <w:t xml:space="preserve">do not </w:t>
      </w:r>
      <w:r w:rsidR="00295AC6" w:rsidRPr="0074752B">
        <w:rPr>
          <w:rFonts w:ascii="Arial" w:hAnsi="Arial" w:cs="Arial"/>
          <w:sz w:val="20"/>
        </w:rPr>
        <w:t xml:space="preserve">necessarily </w:t>
      </w:r>
      <w:r w:rsidR="0097686E" w:rsidRPr="0074752B">
        <w:rPr>
          <w:rFonts w:ascii="Arial" w:hAnsi="Arial" w:cs="Arial"/>
          <w:sz w:val="20"/>
        </w:rPr>
        <w:t xml:space="preserve">place a public housing tenant’s tenancy at risk. </w:t>
      </w:r>
    </w:p>
    <w:p w:rsidR="0097686E" w:rsidRPr="0074752B" w:rsidRDefault="0097686E" w:rsidP="001A620E">
      <w:pPr>
        <w:rPr>
          <w:rFonts w:ascii="Arial" w:hAnsi="Arial" w:cs="Arial"/>
          <w:sz w:val="20"/>
        </w:rPr>
      </w:pPr>
    </w:p>
    <w:p w:rsidR="0097686E" w:rsidRPr="0074752B" w:rsidRDefault="0097686E" w:rsidP="001A620E">
      <w:pPr>
        <w:rPr>
          <w:rFonts w:ascii="Arial" w:hAnsi="Arial" w:cs="Arial"/>
          <w:sz w:val="20"/>
        </w:rPr>
      </w:pPr>
      <w:r w:rsidRPr="0074752B">
        <w:rPr>
          <w:rFonts w:ascii="Arial" w:hAnsi="Arial" w:cs="Arial"/>
          <w:sz w:val="20"/>
        </w:rPr>
        <w:t xml:space="preserve">For example, a person may have a debt for maintenance, repairs or arrears </w:t>
      </w:r>
      <w:r w:rsidR="008E2274">
        <w:rPr>
          <w:rFonts w:ascii="Arial" w:hAnsi="Arial" w:cs="Arial"/>
          <w:sz w:val="20"/>
        </w:rPr>
        <w:t>for</w:t>
      </w:r>
      <w:r w:rsidRPr="0074752B">
        <w:rPr>
          <w:rFonts w:ascii="Arial" w:hAnsi="Arial" w:cs="Arial"/>
          <w:sz w:val="20"/>
        </w:rPr>
        <w:t xml:space="preserve"> a previous public hou</w:t>
      </w:r>
      <w:r w:rsidR="00295AC6" w:rsidRPr="0074752B">
        <w:rPr>
          <w:rFonts w:ascii="Arial" w:hAnsi="Arial" w:cs="Arial"/>
          <w:sz w:val="20"/>
        </w:rPr>
        <w:t>sing property.</w:t>
      </w:r>
      <w:r w:rsidR="00F72F9D" w:rsidRPr="0074752B">
        <w:rPr>
          <w:rStyle w:val="FootnoteReference"/>
          <w:rFonts w:ascii="Arial" w:hAnsi="Arial" w:cs="Arial"/>
          <w:sz w:val="20"/>
        </w:rPr>
        <w:footnoteReference w:id="4"/>
      </w:r>
      <w:r w:rsidR="00295AC6" w:rsidRPr="0074752B">
        <w:rPr>
          <w:rFonts w:ascii="Arial" w:hAnsi="Arial" w:cs="Arial"/>
          <w:sz w:val="20"/>
        </w:rPr>
        <w:t xml:space="preserve"> </w:t>
      </w:r>
    </w:p>
    <w:p w:rsidR="001A620E" w:rsidRPr="0074752B" w:rsidRDefault="001A620E" w:rsidP="001A620E">
      <w:pPr>
        <w:rPr>
          <w:rFonts w:ascii="Arial" w:hAnsi="Arial" w:cs="Arial"/>
          <w:sz w:val="20"/>
        </w:rPr>
      </w:pPr>
    </w:p>
    <w:p w:rsidR="000832F7" w:rsidRPr="0074752B" w:rsidRDefault="001A620E" w:rsidP="001A620E">
      <w:pPr>
        <w:rPr>
          <w:rFonts w:ascii="Arial" w:hAnsi="Arial" w:cs="Arial"/>
          <w:sz w:val="20"/>
        </w:rPr>
      </w:pPr>
      <w:r w:rsidRPr="0074752B">
        <w:rPr>
          <w:rFonts w:ascii="Arial" w:hAnsi="Arial" w:cs="Arial"/>
          <w:sz w:val="20"/>
        </w:rPr>
        <w:t xml:space="preserve">In the HPLC’s experience, the Director of Housing in Victoria </w:t>
      </w:r>
      <w:r w:rsidR="002D73BF" w:rsidRPr="0074752B">
        <w:rPr>
          <w:rFonts w:ascii="Arial" w:hAnsi="Arial" w:cs="Arial"/>
          <w:sz w:val="20"/>
        </w:rPr>
        <w:t>(</w:t>
      </w:r>
      <w:r w:rsidR="002D73BF" w:rsidRPr="0074752B">
        <w:rPr>
          <w:rFonts w:ascii="Arial" w:hAnsi="Arial" w:cs="Arial"/>
          <w:b/>
          <w:sz w:val="20"/>
        </w:rPr>
        <w:t>DOH</w:t>
      </w:r>
      <w:r w:rsidR="002D73BF" w:rsidRPr="0074752B">
        <w:rPr>
          <w:rFonts w:ascii="Arial" w:hAnsi="Arial" w:cs="Arial"/>
          <w:sz w:val="20"/>
        </w:rPr>
        <w:t xml:space="preserve">) </w:t>
      </w:r>
      <w:r w:rsidRPr="0074752B">
        <w:rPr>
          <w:rFonts w:ascii="Arial" w:hAnsi="Arial" w:cs="Arial"/>
          <w:sz w:val="20"/>
        </w:rPr>
        <w:t xml:space="preserve">has </w:t>
      </w:r>
      <w:r w:rsidR="0072688C" w:rsidRPr="0074752B">
        <w:rPr>
          <w:rFonts w:ascii="Arial" w:hAnsi="Arial" w:cs="Arial"/>
          <w:sz w:val="20"/>
        </w:rPr>
        <w:t>flawed</w:t>
      </w:r>
      <w:r w:rsidRPr="0074752B">
        <w:rPr>
          <w:rFonts w:ascii="Arial" w:hAnsi="Arial" w:cs="Arial"/>
          <w:sz w:val="20"/>
        </w:rPr>
        <w:t xml:space="preserve"> policies and practices for calculating and seeking repayment of alleged debts for maintenance and repairs.  </w:t>
      </w:r>
      <w:r w:rsidR="0072688C" w:rsidRPr="0074752B">
        <w:rPr>
          <w:rFonts w:ascii="Arial" w:hAnsi="Arial" w:cs="Arial"/>
          <w:sz w:val="20"/>
        </w:rPr>
        <w:t>L</w:t>
      </w:r>
      <w:r w:rsidR="000832F7" w:rsidRPr="0074752B">
        <w:rPr>
          <w:rFonts w:ascii="Arial" w:hAnsi="Arial" w:cs="Arial"/>
          <w:sz w:val="20"/>
        </w:rPr>
        <w:t xml:space="preserve">egal advice and advocacy </w:t>
      </w:r>
      <w:r w:rsidR="0072688C" w:rsidRPr="0074752B">
        <w:rPr>
          <w:rFonts w:ascii="Arial" w:hAnsi="Arial" w:cs="Arial"/>
          <w:sz w:val="20"/>
        </w:rPr>
        <w:t xml:space="preserve">by the HPLC and other free legal services </w:t>
      </w:r>
      <w:r w:rsidR="000832F7" w:rsidRPr="0074752B">
        <w:rPr>
          <w:rFonts w:ascii="Arial" w:hAnsi="Arial" w:cs="Arial"/>
          <w:sz w:val="20"/>
        </w:rPr>
        <w:t xml:space="preserve">frequently results in the amount payable by the tenant being significantly reduced </w:t>
      </w:r>
      <w:r w:rsidR="0072688C" w:rsidRPr="0074752B">
        <w:rPr>
          <w:rFonts w:ascii="Arial" w:hAnsi="Arial" w:cs="Arial"/>
          <w:sz w:val="20"/>
        </w:rPr>
        <w:t xml:space="preserve">from the amount initially claimed by the DOH </w:t>
      </w:r>
      <w:r w:rsidR="000832F7" w:rsidRPr="0074752B">
        <w:rPr>
          <w:rFonts w:ascii="Arial" w:hAnsi="Arial" w:cs="Arial"/>
          <w:sz w:val="20"/>
        </w:rPr>
        <w:t xml:space="preserve">(in one case by approximately $10,000).  In the absence of representation, </w:t>
      </w:r>
      <w:r w:rsidR="00295AC6" w:rsidRPr="0074752B">
        <w:rPr>
          <w:rFonts w:ascii="Arial" w:hAnsi="Arial" w:cs="Arial"/>
          <w:sz w:val="20"/>
        </w:rPr>
        <w:t xml:space="preserve">it is </w:t>
      </w:r>
      <w:r w:rsidR="00295AC6" w:rsidRPr="0074752B">
        <w:rPr>
          <w:rFonts w:ascii="Arial" w:hAnsi="Arial" w:cs="Arial"/>
          <w:sz w:val="20"/>
        </w:rPr>
        <w:lastRenderedPageBreak/>
        <w:t xml:space="preserve">common for the DOH to </w:t>
      </w:r>
      <w:r w:rsidR="000832F7" w:rsidRPr="0074752B">
        <w:rPr>
          <w:rFonts w:ascii="Arial" w:hAnsi="Arial" w:cs="Arial"/>
          <w:sz w:val="20"/>
        </w:rPr>
        <w:t xml:space="preserve">make ‘ambit’ claims for compensation, which include amounts attributable to fair wear and tear and damage that the tenant was not responsible for under </w:t>
      </w:r>
      <w:r w:rsidR="00295AC6" w:rsidRPr="0074752B">
        <w:rPr>
          <w:rFonts w:ascii="Arial" w:hAnsi="Arial" w:cs="Arial"/>
          <w:sz w:val="20"/>
        </w:rPr>
        <w:t xml:space="preserve">the DOH’s </w:t>
      </w:r>
      <w:r w:rsidR="0072688C" w:rsidRPr="0074752B">
        <w:rPr>
          <w:rFonts w:ascii="Arial" w:hAnsi="Arial" w:cs="Arial"/>
          <w:sz w:val="20"/>
        </w:rPr>
        <w:t xml:space="preserve">internal </w:t>
      </w:r>
      <w:r w:rsidR="00295AC6" w:rsidRPr="0074752B">
        <w:rPr>
          <w:rFonts w:ascii="Arial" w:hAnsi="Arial" w:cs="Arial"/>
          <w:sz w:val="20"/>
        </w:rPr>
        <w:t>policies (because the damage was caused by, for example, family violence or criminal actions of a third party).</w:t>
      </w:r>
      <w:r w:rsidR="00295AC6" w:rsidRPr="0074752B">
        <w:rPr>
          <w:rStyle w:val="FootnoteReference"/>
          <w:rFonts w:ascii="Arial" w:hAnsi="Arial" w:cs="Arial"/>
          <w:sz w:val="20"/>
        </w:rPr>
        <w:footnoteReference w:id="5"/>
      </w:r>
      <w:r w:rsidR="00295AC6" w:rsidRPr="0074752B">
        <w:rPr>
          <w:rFonts w:ascii="Arial" w:hAnsi="Arial" w:cs="Arial"/>
          <w:sz w:val="20"/>
        </w:rPr>
        <w:t xml:space="preserve"> </w:t>
      </w:r>
    </w:p>
    <w:p w:rsidR="00295AC6" w:rsidRPr="0074752B" w:rsidRDefault="00295AC6" w:rsidP="001A620E">
      <w:pPr>
        <w:rPr>
          <w:rFonts w:ascii="Arial" w:hAnsi="Arial" w:cs="Arial"/>
          <w:sz w:val="20"/>
        </w:rPr>
      </w:pPr>
    </w:p>
    <w:p w:rsidR="001A620E" w:rsidRPr="0074752B" w:rsidRDefault="001A620E" w:rsidP="001A620E">
      <w:pPr>
        <w:rPr>
          <w:rFonts w:ascii="Arial" w:hAnsi="Arial" w:cs="Arial"/>
          <w:sz w:val="20"/>
        </w:rPr>
      </w:pPr>
      <w:r w:rsidRPr="0074752B">
        <w:rPr>
          <w:rFonts w:ascii="Arial" w:hAnsi="Arial" w:cs="Arial"/>
          <w:sz w:val="20"/>
        </w:rPr>
        <w:t xml:space="preserve">The current Deduction Scheme provides that tenants would be compulsorily signed up to repayment of these debts with little or no accountability from public housing authorities. </w:t>
      </w:r>
    </w:p>
    <w:p w:rsidR="006747B4" w:rsidRPr="0074752B" w:rsidRDefault="006747B4" w:rsidP="001A620E">
      <w:pPr>
        <w:rPr>
          <w:rFonts w:ascii="Arial" w:hAnsi="Arial" w:cs="Arial"/>
          <w:sz w:val="20"/>
        </w:rPr>
      </w:pPr>
    </w:p>
    <w:p w:rsidR="006747B4" w:rsidRPr="0074752B" w:rsidRDefault="006747B4" w:rsidP="001A620E">
      <w:pPr>
        <w:rPr>
          <w:rFonts w:ascii="Arial" w:hAnsi="Arial" w:cs="Arial"/>
          <w:sz w:val="20"/>
        </w:rPr>
      </w:pPr>
      <w:r w:rsidRPr="0074752B">
        <w:rPr>
          <w:rFonts w:ascii="Arial" w:hAnsi="Arial" w:cs="Arial"/>
          <w:sz w:val="20"/>
        </w:rPr>
        <w:t>While the HPLC does not deny the importance of repaying legitimate debts to public housing authorities, it is not accurate to imply that these debts jeopar</w:t>
      </w:r>
      <w:r w:rsidR="00EB5AD6" w:rsidRPr="0074752B">
        <w:rPr>
          <w:rFonts w:ascii="Arial" w:hAnsi="Arial" w:cs="Arial"/>
          <w:sz w:val="20"/>
        </w:rPr>
        <w:t xml:space="preserve">dise a tenant’s current tenancy.  Repairs and maintenance debts are pursued through separate compensation claims and are not related to eviction for arrears.  </w:t>
      </w:r>
      <w:r w:rsidRPr="0074752B">
        <w:rPr>
          <w:rFonts w:ascii="Arial" w:hAnsi="Arial" w:cs="Arial"/>
          <w:sz w:val="20"/>
        </w:rPr>
        <w:t xml:space="preserve">    </w:t>
      </w:r>
    </w:p>
    <w:p w:rsidR="001A620E" w:rsidRPr="0074752B" w:rsidRDefault="001A620E" w:rsidP="001A620E">
      <w:pPr>
        <w:rPr>
          <w:rFonts w:ascii="Arial" w:hAnsi="Arial" w:cs="Arial"/>
          <w:sz w:val="20"/>
        </w:rPr>
      </w:pPr>
    </w:p>
    <w:p w:rsidR="001A620E" w:rsidRPr="0074752B" w:rsidRDefault="001A620E" w:rsidP="001804A6">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74752B">
        <w:rPr>
          <w:rFonts w:ascii="Arial" w:hAnsi="Arial" w:cs="Arial"/>
          <w:sz w:val="20"/>
        </w:rPr>
        <w:t xml:space="preserve">The HPLC objects to the inclusion of any amounts other than arrears for </w:t>
      </w:r>
      <w:r w:rsidR="002D1D8F" w:rsidRPr="0074752B">
        <w:rPr>
          <w:rFonts w:ascii="Arial" w:hAnsi="Arial" w:cs="Arial"/>
          <w:sz w:val="20"/>
        </w:rPr>
        <w:t>a</w:t>
      </w:r>
      <w:r w:rsidRPr="0074752B">
        <w:rPr>
          <w:rFonts w:ascii="Arial" w:hAnsi="Arial" w:cs="Arial"/>
          <w:sz w:val="20"/>
        </w:rPr>
        <w:t xml:space="preserve"> tenant’s </w:t>
      </w:r>
      <w:r w:rsidR="002D1D8F" w:rsidRPr="0074752B">
        <w:rPr>
          <w:rFonts w:ascii="Arial" w:hAnsi="Arial" w:cs="Arial"/>
          <w:sz w:val="20"/>
        </w:rPr>
        <w:t>current</w:t>
      </w:r>
      <w:r w:rsidR="007515DA" w:rsidRPr="0074752B">
        <w:rPr>
          <w:rFonts w:ascii="Arial" w:hAnsi="Arial" w:cs="Arial"/>
          <w:sz w:val="20"/>
        </w:rPr>
        <w:t xml:space="preserve"> property </w:t>
      </w:r>
      <w:r w:rsidRPr="0074752B">
        <w:rPr>
          <w:rFonts w:ascii="Arial" w:hAnsi="Arial" w:cs="Arial"/>
          <w:sz w:val="20"/>
        </w:rPr>
        <w:t xml:space="preserve">in the Deduction Scheme. </w:t>
      </w:r>
    </w:p>
    <w:p w:rsidR="00471C18" w:rsidRPr="0074752B" w:rsidRDefault="00471C18" w:rsidP="00AA0292">
      <w:pPr>
        <w:rPr>
          <w:rFonts w:ascii="Arial" w:hAnsi="Arial" w:cs="Arial"/>
          <w:sz w:val="20"/>
        </w:rPr>
      </w:pPr>
    </w:p>
    <w:p w:rsidR="00471C18" w:rsidRPr="0074752B" w:rsidRDefault="00471C18" w:rsidP="00AA0292">
      <w:pPr>
        <w:rPr>
          <w:rFonts w:ascii="Arial" w:hAnsi="Arial" w:cs="Arial"/>
          <w:b/>
          <w:sz w:val="20"/>
        </w:rPr>
      </w:pPr>
    </w:p>
    <w:p w:rsidR="00C4187A" w:rsidRPr="0074752B" w:rsidRDefault="008D7C30" w:rsidP="00AA0292">
      <w:pPr>
        <w:rPr>
          <w:rFonts w:ascii="Arial" w:hAnsi="Arial" w:cs="Arial"/>
          <w:b/>
          <w:szCs w:val="22"/>
        </w:rPr>
      </w:pPr>
      <w:r w:rsidRPr="0074752B">
        <w:rPr>
          <w:rFonts w:ascii="Arial" w:hAnsi="Arial" w:cs="Arial"/>
          <w:b/>
          <w:szCs w:val="22"/>
        </w:rPr>
        <w:t xml:space="preserve">Risk of </w:t>
      </w:r>
      <w:r w:rsidR="0072688C" w:rsidRPr="0074752B">
        <w:rPr>
          <w:rFonts w:ascii="Arial" w:hAnsi="Arial" w:cs="Arial"/>
          <w:b/>
          <w:szCs w:val="22"/>
        </w:rPr>
        <w:t>Non-</w:t>
      </w:r>
      <w:r w:rsidR="00F53711" w:rsidRPr="0074752B">
        <w:rPr>
          <w:rFonts w:ascii="Arial" w:hAnsi="Arial" w:cs="Arial"/>
          <w:b/>
          <w:szCs w:val="22"/>
        </w:rPr>
        <w:t xml:space="preserve">Payment </w:t>
      </w:r>
    </w:p>
    <w:p w:rsidR="00C4187A" w:rsidRPr="0074752B" w:rsidRDefault="00C4187A" w:rsidP="00AA0292">
      <w:pPr>
        <w:rPr>
          <w:rFonts w:ascii="Arial" w:hAnsi="Arial" w:cs="Arial"/>
          <w:b/>
          <w:sz w:val="20"/>
        </w:rPr>
      </w:pPr>
    </w:p>
    <w:p w:rsidR="00A2195B" w:rsidRPr="0074752B" w:rsidRDefault="00C4187A" w:rsidP="00AA0292">
      <w:pPr>
        <w:rPr>
          <w:rFonts w:ascii="Arial" w:hAnsi="Arial" w:cs="Arial"/>
          <w:sz w:val="20"/>
        </w:rPr>
      </w:pPr>
      <w:r w:rsidRPr="0074752B">
        <w:rPr>
          <w:rFonts w:ascii="Arial" w:hAnsi="Arial" w:cs="Arial"/>
          <w:sz w:val="20"/>
        </w:rPr>
        <w:t xml:space="preserve">The HPLC has serious concerns about the way in which the Exposure Draft defines </w:t>
      </w:r>
      <w:r w:rsidR="00C21EA5" w:rsidRPr="0074752B">
        <w:rPr>
          <w:rFonts w:ascii="Arial" w:hAnsi="Arial" w:cs="Arial"/>
          <w:sz w:val="20"/>
        </w:rPr>
        <w:t>‘</w:t>
      </w:r>
      <w:r w:rsidRPr="0074752B">
        <w:rPr>
          <w:rFonts w:ascii="Arial" w:hAnsi="Arial" w:cs="Arial"/>
          <w:sz w:val="20"/>
        </w:rPr>
        <w:t>at risk of arrears</w:t>
      </w:r>
      <w:r w:rsidR="00C21EA5" w:rsidRPr="0074752B">
        <w:rPr>
          <w:rFonts w:ascii="Arial" w:hAnsi="Arial" w:cs="Arial"/>
          <w:sz w:val="20"/>
        </w:rPr>
        <w:t>’</w:t>
      </w:r>
      <w:r w:rsidR="008D7C30" w:rsidRPr="0074752B">
        <w:rPr>
          <w:rFonts w:ascii="Arial" w:hAnsi="Arial" w:cs="Arial"/>
          <w:sz w:val="20"/>
        </w:rPr>
        <w:t>.  The Draft Social Security (Public Housing Support) Risk of Non-Payment of Amounts Rules</w:t>
      </w:r>
      <w:r w:rsidR="004044DE">
        <w:rPr>
          <w:rFonts w:ascii="Arial" w:hAnsi="Arial" w:cs="Arial"/>
          <w:sz w:val="20"/>
        </w:rPr>
        <w:t xml:space="preserve"> (No. 1) 2013 currently provide</w:t>
      </w:r>
      <w:r w:rsidR="008D7C30" w:rsidRPr="0074752B">
        <w:rPr>
          <w:rFonts w:ascii="Arial" w:hAnsi="Arial" w:cs="Arial"/>
          <w:sz w:val="20"/>
        </w:rPr>
        <w:t xml:space="preserve"> that ‘there is a risk that not all of the amounts that became or become due and payable by the person to the public housing lessor under the lease will be paid</w:t>
      </w:r>
      <w:r w:rsidR="00C21EA5" w:rsidRPr="0074752B">
        <w:rPr>
          <w:rFonts w:ascii="Arial" w:hAnsi="Arial" w:cs="Arial"/>
          <w:sz w:val="20"/>
        </w:rPr>
        <w:t>’</w:t>
      </w:r>
      <w:r w:rsidR="008D7C30" w:rsidRPr="0074752B">
        <w:rPr>
          <w:rFonts w:ascii="Arial" w:hAnsi="Arial" w:cs="Arial"/>
          <w:sz w:val="20"/>
        </w:rPr>
        <w:t xml:space="preserve"> where: </w:t>
      </w:r>
    </w:p>
    <w:p w:rsidR="00A2195B" w:rsidRPr="0074752B" w:rsidRDefault="00A2195B" w:rsidP="00AA0292">
      <w:pPr>
        <w:rPr>
          <w:rFonts w:ascii="Arial" w:hAnsi="Arial" w:cs="Arial"/>
          <w:sz w:val="20"/>
        </w:rPr>
      </w:pPr>
    </w:p>
    <w:p w:rsidR="00A2195B" w:rsidRPr="0074752B" w:rsidRDefault="00A2195B" w:rsidP="00A2195B">
      <w:pPr>
        <w:numPr>
          <w:ilvl w:val="0"/>
          <w:numId w:val="11"/>
        </w:numPr>
        <w:rPr>
          <w:rFonts w:ascii="Arial" w:hAnsi="Arial" w:cs="Arial"/>
          <w:sz w:val="20"/>
        </w:rPr>
      </w:pPr>
      <w:r w:rsidRPr="0074752B">
        <w:rPr>
          <w:rFonts w:ascii="Arial" w:hAnsi="Arial" w:cs="Arial"/>
          <w:sz w:val="20"/>
        </w:rPr>
        <w:t>a person has</w:t>
      </w:r>
      <w:r w:rsidR="008D7C30" w:rsidRPr="0074752B">
        <w:rPr>
          <w:rFonts w:ascii="Arial" w:hAnsi="Arial" w:cs="Arial"/>
          <w:sz w:val="20"/>
        </w:rPr>
        <w:t xml:space="preserve"> previously</w:t>
      </w:r>
      <w:r w:rsidRPr="0074752B">
        <w:rPr>
          <w:rFonts w:ascii="Arial" w:hAnsi="Arial" w:cs="Arial"/>
          <w:sz w:val="20"/>
        </w:rPr>
        <w:t>: been evicted; had a lease cancelled, terminated or not renewed; or abandoned the relevant property ‘with an amount due under a residential lease remaining unpaid’</w:t>
      </w:r>
      <w:r w:rsidR="00E00825" w:rsidRPr="0074752B">
        <w:rPr>
          <w:rFonts w:ascii="Arial" w:hAnsi="Arial" w:cs="Arial"/>
          <w:sz w:val="20"/>
        </w:rPr>
        <w:t xml:space="preserve"> (</w:t>
      </w:r>
      <w:r w:rsidR="00E00825" w:rsidRPr="0074752B">
        <w:rPr>
          <w:rFonts w:ascii="Arial" w:hAnsi="Arial" w:cs="Arial"/>
          <w:b/>
          <w:sz w:val="20"/>
        </w:rPr>
        <w:t>Past Tenancy Provision</w:t>
      </w:r>
      <w:r w:rsidR="00E00825" w:rsidRPr="0074752B">
        <w:rPr>
          <w:rFonts w:ascii="Arial" w:hAnsi="Arial" w:cs="Arial"/>
          <w:sz w:val="20"/>
        </w:rPr>
        <w:t>)</w:t>
      </w:r>
      <w:r w:rsidRPr="0074752B">
        <w:rPr>
          <w:rFonts w:ascii="Arial" w:hAnsi="Arial" w:cs="Arial"/>
          <w:sz w:val="20"/>
        </w:rPr>
        <w:t xml:space="preserve">; </w:t>
      </w:r>
      <w:r w:rsidR="00166B3F" w:rsidRPr="0074752B">
        <w:rPr>
          <w:rFonts w:ascii="Arial" w:hAnsi="Arial" w:cs="Arial"/>
          <w:sz w:val="20"/>
        </w:rPr>
        <w:t>or</w:t>
      </w:r>
      <w:r w:rsidRPr="0074752B">
        <w:rPr>
          <w:rFonts w:ascii="Arial" w:hAnsi="Arial" w:cs="Arial"/>
          <w:sz w:val="20"/>
        </w:rPr>
        <w:t xml:space="preserve"> </w:t>
      </w:r>
    </w:p>
    <w:p w:rsidR="00A2195B" w:rsidRPr="0074752B" w:rsidRDefault="00A2195B" w:rsidP="00A2195B">
      <w:pPr>
        <w:ind w:left="454"/>
        <w:rPr>
          <w:rFonts w:ascii="Arial" w:hAnsi="Arial" w:cs="Arial"/>
          <w:sz w:val="20"/>
        </w:rPr>
      </w:pPr>
    </w:p>
    <w:p w:rsidR="00A2195B" w:rsidRPr="0074752B" w:rsidRDefault="00A2195B" w:rsidP="00A2195B">
      <w:pPr>
        <w:numPr>
          <w:ilvl w:val="0"/>
          <w:numId w:val="11"/>
        </w:numPr>
        <w:rPr>
          <w:rFonts w:ascii="Arial" w:hAnsi="Arial" w:cs="Arial"/>
          <w:sz w:val="20"/>
        </w:rPr>
      </w:pPr>
      <w:r w:rsidRPr="0074752B">
        <w:rPr>
          <w:rFonts w:ascii="Arial" w:hAnsi="Arial" w:cs="Arial"/>
          <w:sz w:val="20"/>
        </w:rPr>
        <w:t xml:space="preserve">on three or more occasions in the previous year, a person has paid their rent more than one week late or paid insufficient rent to meet the rent due.  </w:t>
      </w:r>
    </w:p>
    <w:p w:rsidR="00E00825" w:rsidRPr="0074752B" w:rsidRDefault="00E00825" w:rsidP="001446E2">
      <w:pPr>
        <w:rPr>
          <w:rFonts w:ascii="Arial" w:hAnsi="Arial" w:cs="Arial"/>
          <w:sz w:val="20"/>
        </w:rPr>
      </w:pPr>
    </w:p>
    <w:p w:rsidR="00E00825" w:rsidRPr="0074752B" w:rsidRDefault="00E00825" w:rsidP="001446E2">
      <w:pPr>
        <w:rPr>
          <w:rFonts w:ascii="Arial" w:hAnsi="Arial" w:cs="Arial"/>
          <w:sz w:val="20"/>
        </w:rPr>
      </w:pPr>
      <w:r w:rsidRPr="0074752B">
        <w:rPr>
          <w:rFonts w:ascii="Arial" w:hAnsi="Arial" w:cs="Arial"/>
          <w:sz w:val="20"/>
        </w:rPr>
        <w:t>As currently drafted, t</w:t>
      </w:r>
      <w:r w:rsidR="00A2195B" w:rsidRPr="0074752B">
        <w:rPr>
          <w:rFonts w:ascii="Arial" w:hAnsi="Arial" w:cs="Arial"/>
          <w:sz w:val="20"/>
        </w:rPr>
        <w:t>his</w:t>
      </w:r>
      <w:r w:rsidR="00960AEC" w:rsidRPr="0074752B">
        <w:rPr>
          <w:rFonts w:ascii="Arial" w:hAnsi="Arial" w:cs="Arial"/>
          <w:sz w:val="20"/>
        </w:rPr>
        <w:t xml:space="preserve"> is an extremely broad definition.  </w:t>
      </w:r>
      <w:r w:rsidR="009F1C17" w:rsidRPr="0074752B">
        <w:rPr>
          <w:rFonts w:ascii="Arial" w:hAnsi="Arial" w:cs="Arial"/>
          <w:sz w:val="20"/>
        </w:rPr>
        <w:t>On the present drafting, i</w:t>
      </w:r>
      <w:r w:rsidR="003E4C24" w:rsidRPr="0074752B">
        <w:rPr>
          <w:rFonts w:ascii="Arial" w:hAnsi="Arial" w:cs="Arial"/>
          <w:sz w:val="20"/>
        </w:rPr>
        <w:t>t</w:t>
      </w:r>
      <w:r w:rsidRPr="0074752B">
        <w:rPr>
          <w:rFonts w:ascii="Arial" w:hAnsi="Arial" w:cs="Arial"/>
          <w:sz w:val="20"/>
        </w:rPr>
        <w:t xml:space="preserve"> is not clear that the Past Tenancy Provision applies only to previous tenancies with the public housing lessor.  </w:t>
      </w:r>
    </w:p>
    <w:p w:rsidR="00E00825" w:rsidRPr="0074752B" w:rsidRDefault="00E00825" w:rsidP="001446E2">
      <w:pPr>
        <w:rPr>
          <w:rFonts w:ascii="Arial" w:hAnsi="Arial" w:cs="Arial"/>
          <w:sz w:val="20"/>
        </w:rPr>
      </w:pPr>
    </w:p>
    <w:p w:rsidR="001446E2" w:rsidRPr="0074752B" w:rsidRDefault="00AB4E45" w:rsidP="001446E2">
      <w:pPr>
        <w:rPr>
          <w:rFonts w:ascii="Arial" w:hAnsi="Arial" w:cs="Arial"/>
          <w:sz w:val="20"/>
        </w:rPr>
      </w:pPr>
      <w:r w:rsidRPr="0074752B">
        <w:rPr>
          <w:rFonts w:ascii="Arial" w:hAnsi="Arial" w:cs="Arial"/>
          <w:sz w:val="20"/>
        </w:rPr>
        <w:t>This is clearly problematic</w:t>
      </w:r>
      <w:r w:rsidR="00E00825" w:rsidRPr="0074752B">
        <w:rPr>
          <w:rFonts w:ascii="Arial" w:hAnsi="Arial" w:cs="Arial"/>
          <w:sz w:val="20"/>
        </w:rPr>
        <w:t xml:space="preserve"> given that the</w:t>
      </w:r>
      <w:r w:rsidR="00960AEC" w:rsidRPr="0074752B">
        <w:rPr>
          <w:rFonts w:ascii="Arial" w:hAnsi="Arial" w:cs="Arial"/>
          <w:sz w:val="20"/>
        </w:rPr>
        <w:t xml:space="preserve"> reason tenants turn to the public housing system is because they are unable to sustain tenancies in the private rental market. </w:t>
      </w:r>
      <w:r w:rsidRPr="0074752B">
        <w:rPr>
          <w:rFonts w:ascii="Arial" w:hAnsi="Arial" w:cs="Arial"/>
          <w:sz w:val="20"/>
        </w:rPr>
        <w:t>Accordingly</w:t>
      </w:r>
      <w:r w:rsidR="001446E2" w:rsidRPr="0074752B">
        <w:rPr>
          <w:rFonts w:ascii="Arial" w:hAnsi="Arial" w:cs="Arial"/>
          <w:sz w:val="20"/>
        </w:rPr>
        <w:t xml:space="preserve">, many tenants will have been evicted or </w:t>
      </w:r>
      <w:r w:rsidR="00E00825" w:rsidRPr="0074752B">
        <w:rPr>
          <w:rFonts w:ascii="Arial" w:hAnsi="Arial" w:cs="Arial"/>
          <w:sz w:val="20"/>
        </w:rPr>
        <w:t xml:space="preserve">will </w:t>
      </w:r>
      <w:r w:rsidR="008D7C30" w:rsidRPr="0074752B">
        <w:rPr>
          <w:rFonts w:ascii="Arial" w:hAnsi="Arial" w:cs="Arial"/>
          <w:sz w:val="20"/>
        </w:rPr>
        <w:t xml:space="preserve">have </w:t>
      </w:r>
      <w:r w:rsidR="001446E2" w:rsidRPr="0074752B">
        <w:rPr>
          <w:rFonts w:ascii="Arial" w:hAnsi="Arial" w:cs="Arial"/>
          <w:sz w:val="20"/>
        </w:rPr>
        <w:t xml:space="preserve">left a previous property with an amount </w:t>
      </w:r>
      <w:r w:rsidR="009F1C17" w:rsidRPr="0074752B">
        <w:rPr>
          <w:rFonts w:ascii="Arial" w:hAnsi="Arial" w:cs="Arial"/>
          <w:sz w:val="20"/>
        </w:rPr>
        <w:t>‘remaining</w:t>
      </w:r>
      <w:r w:rsidR="001446E2" w:rsidRPr="0074752B">
        <w:rPr>
          <w:rFonts w:ascii="Arial" w:hAnsi="Arial" w:cs="Arial"/>
          <w:sz w:val="20"/>
        </w:rPr>
        <w:t xml:space="preserve"> unpaid</w:t>
      </w:r>
      <w:r w:rsidR="009F1C17" w:rsidRPr="0074752B">
        <w:rPr>
          <w:rFonts w:ascii="Arial" w:hAnsi="Arial" w:cs="Arial"/>
          <w:sz w:val="20"/>
        </w:rPr>
        <w:t>’</w:t>
      </w:r>
      <w:r w:rsidRPr="0074752B">
        <w:rPr>
          <w:rFonts w:ascii="Arial" w:hAnsi="Arial" w:cs="Arial"/>
          <w:sz w:val="20"/>
        </w:rPr>
        <w:t xml:space="preserve"> and will therefore fall within </w:t>
      </w:r>
      <w:r w:rsidR="003E4C24" w:rsidRPr="0074752B">
        <w:rPr>
          <w:rFonts w:ascii="Arial" w:hAnsi="Arial" w:cs="Arial"/>
          <w:sz w:val="20"/>
        </w:rPr>
        <w:t>the Deduction Scheme</w:t>
      </w:r>
      <w:r w:rsidR="001446E2" w:rsidRPr="0074752B">
        <w:rPr>
          <w:rFonts w:ascii="Arial" w:hAnsi="Arial" w:cs="Arial"/>
          <w:sz w:val="20"/>
        </w:rPr>
        <w:t xml:space="preserve">.    </w:t>
      </w:r>
    </w:p>
    <w:p w:rsidR="001446E2" w:rsidRPr="0074752B" w:rsidRDefault="001446E2" w:rsidP="001446E2">
      <w:pPr>
        <w:rPr>
          <w:rFonts w:ascii="Arial" w:hAnsi="Arial" w:cs="Arial"/>
          <w:sz w:val="20"/>
        </w:rPr>
      </w:pPr>
    </w:p>
    <w:p w:rsidR="001446E2" w:rsidRPr="0074752B" w:rsidRDefault="009F1C17" w:rsidP="001446E2">
      <w:pPr>
        <w:rPr>
          <w:rFonts w:ascii="Arial" w:hAnsi="Arial" w:cs="Arial"/>
          <w:sz w:val="20"/>
        </w:rPr>
      </w:pPr>
      <w:r w:rsidRPr="0074752B">
        <w:rPr>
          <w:rFonts w:ascii="Arial" w:hAnsi="Arial" w:cs="Arial"/>
          <w:sz w:val="20"/>
        </w:rPr>
        <w:t>E</w:t>
      </w:r>
      <w:r w:rsidR="00E00825" w:rsidRPr="0074752B">
        <w:rPr>
          <w:rFonts w:ascii="Arial" w:hAnsi="Arial" w:cs="Arial"/>
          <w:sz w:val="20"/>
        </w:rPr>
        <w:t xml:space="preserve">ven if this </w:t>
      </w:r>
      <w:r w:rsidRPr="0074752B">
        <w:rPr>
          <w:rFonts w:ascii="Arial" w:hAnsi="Arial" w:cs="Arial"/>
          <w:sz w:val="20"/>
        </w:rPr>
        <w:t>catch-all</w:t>
      </w:r>
      <w:r w:rsidR="00E00825" w:rsidRPr="0074752B">
        <w:rPr>
          <w:rFonts w:ascii="Arial" w:hAnsi="Arial" w:cs="Arial"/>
          <w:sz w:val="20"/>
        </w:rPr>
        <w:t xml:space="preserve"> is </w:t>
      </w:r>
      <w:r w:rsidRPr="0074752B">
        <w:rPr>
          <w:rFonts w:ascii="Arial" w:hAnsi="Arial" w:cs="Arial"/>
          <w:sz w:val="20"/>
        </w:rPr>
        <w:t>limited</w:t>
      </w:r>
      <w:r w:rsidR="00E00825" w:rsidRPr="0074752B">
        <w:rPr>
          <w:rFonts w:ascii="Arial" w:hAnsi="Arial" w:cs="Arial"/>
          <w:sz w:val="20"/>
        </w:rPr>
        <w:t xml:space="preserve">, the HPLC’s position is that </w:t>
      </w:r>
      <w:r w:rsidR="00114BD8" w:rsidRPr="0074752B">
        <w:rPr>
          <w:rFonts w:ascii="Arial" w:hAnsi="Arial" w:cs="Arial"/>
          <w:sz w:val="20"/>
        </w:rPr>
        <w:t>a person or family’s</w:t>
      </w:r>
      <w:r w:rsidR="001446E2" w:rsidRPr="0074752B">
        <w:rPr>
          <w:rFonts w:ascii="Arial" w:hAnsi="Arial" w:cs="Arial"/>
          <w:sz w:val="20"/>
        </w:rPr>
        <w:t xml:space="preserve"> inability to keep up with rent </w:t>
      </w:r>
      <w:r w:rsidR="00E00825" w:rsidRPr="0074752B">
        <w:rPr>
          <w:rFonts w:ascii="Arial" w:hAnsi="Arial" w:cs="Arial"/>
          <w:sz w:val="20"/>
        </w:rPr>
        <w:t xml:space="preserve">or a maintenance debt for a previous tenancy </w:t>
      </w:r>
      <w:r w:rsidR="00114BD8" w:rsidRPr="0074752B">
        <w:rPr>
          <w:rFonts w:ascii="Arial" w:hAnsi="Arial" w:cs="Arial"/>
          <w:sz w:val="20"/>
        </w:rPr>
        <w:t>should not be a</w:t>
      </w:r>
      <w:r w:rsidR="001446E2" w:rsidRPr="0074752B">
        <w:rPr>
          <w:rFonts w:ascii="Arial" w:hAnsi="Arial" w:cs="Arial"/>
          <w:sz w:val="20"/>
        </w:rPr>
        <w:t xml:space="preserve"> reason to</w:t>
      </w:r>
      <w:r w:rsidR="00DA4335" w:rsidRPr="0074752B">
        <w:rPr>
          <w:rFonts w:ascii="Arial" w:hAnsi="Arial" w:cs="Arial"/>
          <w:sz w:val="20"/>
        </w:rPr>
        <w:t xml:space="preserve"> automatically</w:t>
      </w:r>
      <w:r w:rsidR="001446E2" w:rsidRPr="0074752B">
        <w:rPr>
          <w:rFonts w:ascii="Arial" w:hAnsi="Arial" w:cs="Arial"/>
          <w:sz w:val="20"/>
        </w:rPr>
        <w:t xml:space="preserve"> limit </w:t>
      </w:r>
      <w:r w:rsidR="00114BD8" w:rsidRPr="0074752B">
        <w:rPr>
          <w:rFonts w:ascii="Arial" w:hAnsi="Arial" w:cs="Arial"/>
          <w:sz w:val="20"/>
        </w:rPr>
        <w:t>that person or family’s</w:t>
      </w:r>
      <w:r w:rsidR="001446E2" w:rsidRPr="0074752B">
        <w:rPr>
          <w:rFonts w:ascii="Arial" w:hAnsi="Arial" w:cs="Arial"/>
          <w:sz w:val="20"/>
        </w:rPr>
        <w:t xml:space="preserve"> financial independence in a new public housing tenancy.   </w:t>
      </w:r>
    </w:p>
    <w:p w:rsidR="00960AEC" w:rsidRPr="0074752B" w:rsidRDefault="001446E2" w:rsidP="00AA0292">
      <w:pPr>
        <w:rPr>
          <w:rFonts w:ascii="Arial" w:hAnsi="Arial" w:cs="Arial"/>
          <w:sz w:val="20"/>
        </w:rPr>
      </w:pPr>
      <w:r w:rsidRPr="0074752B">
        <w:rPr>
          <w:rFonts w:ascii="Arial" w:hAnsi="Arial" w:cs="Arial"/>
          <w:sz w:val="20"/>
        </w:rPr>
        <w:t xml:space="preserve"> </w:t>
      </w:r>
    </w:p>
    <w:p w:rsidR="00C4187A" w:rsidRPr="0074752B" w:rsidRDefault="00960AEC" w:rsidP="00AA0292">
      <w:pPr>
        <w:rPr>
          <w:rFonts w:ascii="Arial" w:hAnsi="Arial" w:cs="Arial"/>
          <w:sz w:val="20"/>
        </w:rPr>
      </w:pPr>
      <w:r w:rsidRPr="0074752B">
        <w:rPr>
          <w:rFonts w:ascii="Arial" w:hAnsi="Arial" w:cs="Arial"/>
          <w:sz w:val="20"/>
        </w:rPr>
        <w:t>We also note that victims of family violence</w:t>
      </w:r>
      <w:r w:rsidR="001446E2" w:rsidRPr="0074752B">
        <w:rPr>
          <w:rFonts w:ascii="Arial" w:hAnsi="Arial" w:cs="Arial"/>
          <w:sz w:val="20"/>
        </w:rPr>
        <w:t xml:space="preserve"> are likely to be disproportionately affected by the Deduction Scheme</w:t>
      </w:r>
      <w:r w:rsidR="00E00825" w:rsidRPr="0074752B">
        <w:rPr>
          <w:rFonts w:ascii="Arial" w:hAnsi="Arial" w:cs="Arial"/>
          <w:sz w:val="20"/>
        </w:rPr>
        <w:t xml:space="preserve"> in its current form</w:t>
      </w:r>
      <w:r w:rsidR="001446E2" w:rsidRPr="0074752B">
        <w:rPr>
          <w:rFonts w:ascii="Arial" w:hAnsi="Arial" w:cs="Arial"/>
          <w:sz w:val="20"/>
        </w:rPr>
        <w:t xml:space="preserve">.  People dealing with family violence </w:t>
      </w:r>
      <w:r w:rsidRPr="0074752B">
        <w:rPr>
          <w:rFonts w:ascii="Arial" w:hAnsi="Arial" w:cs="Arial"/>
          <w:sz w:val="20"/>
        </w:rPr>
        <w:t xml:space="preserve">are often required to flee tenancies to escape a violent partner.  These </w:t>
      </w:r>
      <w:r w:rsidR="001446E2" w:rsidRPr="0074752B">
        <w:rPr>
          <w:rFonts w:ascii="Arial" w:hAnsi="Arial" w:cs="Arial"/>
          <w:sz w:val="20"/>
        </w:rPr>
        <w:t xml:space="preserve">victims, many of whom have children, will then be punished for this when accessing public housing.  </w:t>
      </w:r>
      <w:r w:rsidR="009F1C17" w:rsidRPr="0074752B">
        <w:rPr>
          <w:rFonts w:ascii="Arial" w:hAnsi="Arial" w:cs="Arial"/>
          <w:sz w:val="20"/>
        </w:rPr>
        <w:t xml:space="preserve"> </w:t>
      </w:r>
      <w:r w:rsidR="00A2195B" w:rsidRPr="0074752B">
        <w:rPr>
          <w:rFonts w:ascii="Arial" w:hAnsi="Arial" w:cs="Arial"/>
          <w:sz w:val="20"/>
        </w:rPr>
        <w:t xml:space="preserve"> </w:t>
      </w:r>
      <w:r w:rsidR="00C4187A" w:rsidRPr="0074752B">
        <w:rPr>
          <w:rFonts w:ascii="Arial" w:hAnsi="Arial" w:cs="Arial"/>
          <w:sz w:val="20"/>
        </w:rPr>
        <w:t xml:space="preserve"> </w:t>
      </w:r>
    </w:p>
    <w:p w:rsidR="00C4187A" w:rsidRPr="0074752B" w:rsidRDefault="00C4187A" w:rsidP="00AA0292">
      <w:pPr>
        <w:rPr>
          <w:rFonts w:ascii="Arial" w:hAnsi="Arial" w:cs="Arial"/>
          <w:sz w:val="20"/>
        </w:rPr>
      </w:pPr>
    </w:p>
    <w:p w:rsidR="00C4187A" w:rsidRPr="0074752B" w:rsidRDefault="002D1D8F" w:rsidP="001804A6">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74752B">
        <w:rPr>
          <w:rFonts w:ascii="Arial" w:hAnsi="Arial" w:cs="Arial"/>
          <w:sz w:val="20"/>
        </w:rPr>
        <w:t>The HPLC</w:t>
      </w:r>
      <w:r w:rsidR="00C4187A" w:rsidRPr="0074752B">
        <w:rPr>
          <w:rFonts w:ascii="Arial" w:hAnsi="Arial" w:cs="Arial"/>
          <w:sz w:val="20"/>
        </w:rPr>
        <w:t xml:space="preserve"> submit</w:t>
      </w:r>
      <w:r w:rsidRPr="0074752B">
        <w:rPr>
          <w:rFonts w:ascii="Arial" w:hAnsi="Arial" w:cs="Arial"/>
          <w:sz w:val="20"/>
        </w:rPr>
        <w:t>s</w:t>
      </w:r>
      <w:r w:rsidR="00C4187A" w:rsidRPr="0074752B">
        <w:rPr>
          <w:rFonts w:ascii="Arial" w:hAnsi="Arial" w:cs="Arial"/>
          <w:sz w:val="20"/>
        </w:rPr>
        <w:t xml:space="preserve"> that </w:t>
      </w:r>
      <w:r w:rsidR="00166B3F" w:rsidRPr="0074752B">
        <w:rPr>
          <w:rFonts w:ascii="Arial" w:hAnsi="Arial" w:cs="Arial"/>
          <w:sz w:val="20"/>
        </w:rPr>
        <w:t xml:space="preserve">any compulsory income deductions should be strictly limited </w:t>
      </w:r>
      <w:r w:rsidR="00C4187A" w:rsidRPr="0074752B">
        <w:rPr>
          <w:rFonts w:ascii="Arial" w:hAnsi="Arial" w:cs="Arial"/>
          <w:sz w:val="20"/>
        </w:rPr>
        <w:t xml:space="preserve">to </w:t>
      </w:r>
      <w:r w:rsidR="00E00825" w:rsidRPr="0074752B">
        <w:rPr>
          <w:rFonts w:ascii="Arial" w:hAnsi="Arial" w:cs="Arial"/>
          <w:sz w:val="20"/>
        </w:rPr>
        <w:t xml:space="preserve">an identified risk of arrears in relation to </w:t>
      </w:r>
      <w:r w:rsidR="00166B3F" w:rsidRPr="0074752B">
        <w:rPr>
          <w:rFonts w:ascii="Arial" w:hAnsi="Arial" w:cs="Arial"/>
          <w:sz w:val="20"/>
        </w:rPr>
        <w:t>a person’s</w:t>
      </w:r>
      <w:r w:rsidR="00C4187A" w:rsidRPr="0074752B">
        <w:rPr>
          <w:rFonts w:ascii="Arial" w:hAnsi="Arial" w:cs="Arial"/>
          <w:sz w:val="20"/>
        </w:rPr>
        <w:t xml:space="preserve"> current tenancy.  </w:t>
      </w:r>
    </w:p>
    <w:p w:rsidR="00C4187A" w:rsidRPr="0074752B" w:rsidRDefault="00C4187A" w:rsidP="00AA0292">
      <w:pPr>
        <w:rPr>
          <w:rFonts w:ascii="Arial" w:hAnsi="Arial" w:cs="Arial"/>
          <w:b/>
          <w:sz w:val="20"/>
        </w:rPr>
      </w:pPr>
    </w:p>
    <w:p w:rsidR="002D73BF" w:rsidRPr="0074752B" w:rsidRDefault="002D73BF" w:rsidP="00AA0292">
      <w:pPr>
        <w:rPr>
          <w:rFonts w:ascii="Arial" w:hAnsi="Arial" w:cs="Arial"/>
          <w:b/>
          <w:szCs w:val="22"/>
        </w:rPr>
      </w:pPr>
      <w:r w:rsidRPr="0074752B">
        <w:rPr>
          <w:rFonts w:ascii="Arial" w:hAnsi="Arial" w:cs="Arial"/>
          <w:b/>
          <w:szCs w:val="22"/>
        </w:rPr>
        <w:t xml:space="preserve">‘Reasonable action’ to recover the amount owing </w:t>
      </w:r>
    </w:p>
    <w:p w:rsidR="002D73BF" w:rsidRPr="0074752B" w:rsidRDefault="002D73BF" w:rsidP="00AA0292">
      <w:pPr>
        <w:rPr>
          <w:rFonts w:ascii="Arial" w:hAnsi="Arial" w:cs="Arial"/>
          <w:b/>
          <w:sz w:val="20"/>
        </w:rPr>
      </w:pPr>
    </w:p>
    <w:p w:rsidR="00484405" w:rsidRPr="0074752B" w:rsidRDefault="00484405" w:rsidP="00484405">
      <w:pPr>
        <w:rPr>
          <w:rFonts w:ascii="Arial" w:hAnsi="Arial" w:cs="Arial"/>
          <w:sz w:val="20"/>
        </w:rPr>
      </w:pPr>
      <w:r w:rsidRPr="0074752B">
        <w:rPr>
          <w:rFonts w:ascii="Arial" w:hAnsi="Arial" w:cs="Arial"/>
          <w:sz w:val="20"/>
        </w:rPr>
        <w:lastRenderedPageBreak/>
        <w:t xml:space="preserve">Under the Exposure Draft, a tenant’s income can be compulsorily deducted if the Minimum Amount Owing (as defined under the legislative instruments and discussed above) is due and the public housing authority has taken ‘reasonable action’ to recover the amount from the tenant. </w:t>
      </w:r>
    </w:p>
    <w:p w:rsidR="00484405" w:rsidRPr="0074752B" w:rsidRDefault="00484405" w:rsidP="00484405">
      <w:pPr>
        <w:rPr>
          <w:rFonts w:ascii="Arial" w:hAnsi="Arial" w:cs="Arial"/>
          <w:sz w:val="20"/>
        </w:rPr>
      </w:pPr>
    </w:p>
    <w:p w:rsidR="00484405" w:rsidRPr="0074752B" w:rsidRDefault="00484405" w:rsidP="00484405">
      <w:pPr>
        <w:rPr>
          <w:rFonts w:ascii="Arial" w:hAnsi="Arial" w:cs="Arial"/>
          <w:sz w:val="20"/>
        </w:rPr>
      </w:pPr>
      <w:r w:rsidRPr="0074752B">
        <w:rPr>
          <w:rFonts w:ascii="Arial" w:hAnsi="Arial" w:cs="Arial"/>
          <w:sz w:val="20"/>
        </w:rPr>
        <w:t xml:space="preserve">There is, however, no indication </w:t>
      </w:r>
      <w:r w:rsidR="009F1C17" w:rsidRPr="0074752B">
        <w:rPr>
          <w:rFonts w:ascii="Arial" w:hAnsi="Arial" w:cs="Arial"/>
          <w:sz w:val="20"/>
        </w:rPr>
        <w:t>of</w:t>
      </w:r>
      <w:r w:rsidRPr="0074752B">
        <w:rPr>
          <w:rFonts w:ascii="Arial" w:hAnsi="Arial" w:cs="Arial"/>
          <w:sz w:val="20"/>
        </w:rPr>
        <w:t xml:space="preserve"> what might constitute ‘reasonable action’ to recover the amount from the tenant.</w:t>
      </w:r>
    </w:p>
    <w:p w:rsidR="00484405" w:rsidRPr="0074752B" w:rsidRDefault="00484405" w:rsidP="00484405">
      <w:pPr>
        <w:rPr>
          <w:rFonts w:ascii="Arial" w:hAnsi="Arial" w:cs="Arial"/>
          <w:sz w:val="20"/>
        </w:rPr>
      </w:pPr>
    </w:p>
    <w:p w:rsidR="0090759D" w:rsidRPr="0074752B" w:rsidRDefault="00484405" w:rsidP="0090759D">
      <w:pPr>
        <w:rPr>
          <w:rFonts w:ascii="Arial" w:hAnsi="Arial" w:cs="Arial"/>
          <w:sz w:val="20"/>
        </w:rPr>
      </w:pPr>
      <w:r w:rsidRPr="0074752B">
        <w:rPr>
          <w:rFonts w:ascii="Arial" w:hAnsi="Arial" w:cs="Arial"/>
          <w:sz w:val="20"/>
        </w:rPr>
        <w:t xml:space="preserve">This is extremely important if the Deduction Scheme is genuinely intended to be a last resort.  </w:t>
      </w:r>
    </w:p>
    <w:p w:rsidR="0090759D" w:rsidRPr="0074752B" w:rsidRDefault="0090759D" w:rsidP="0090759D">
      <w:pPr>
        <w:rPr>
          <w:rFonts w:ascii="Arial" w:hAnsi="Arial" w:cs="Arial"/>
          <w:sz w:val="20"/>
        </w:rPr>
      </w:pPr>
    </w:p>
    <w:p w:rsidR="003E4C24" w:rsidRPr="0074752B" w:rsidRDefault="003E4C24" w:rsidP="0090759D">
      <w:pPr>
        <w:rPr>
          <w:rFonts w:ascii="Arial" w:hAnsi="Arial" w:cs="Arial"/>
          <w:sz w:val="20"/>
        </w:rPr>
      </w:pPr>
      <w:r w:rsidRPr="0074752B">
        <w:rPr>
          <w:rFonts w:ascii="Arial" w:hAnsi="Arial" w:cs="Arial"/>
          <w:sz w:val="20"/>
        </w:rPr>
        <w:t xml:space="preserve">The Government’s commentary on the Deduction Scheme refers to the Government’s commitment to introducing compulsory rent payments under the </w:t>
      </w:r>
      <w:r w:rsidR="0090759D" w:rsidRPr="0074752B">
        <w:rPr>
          <w:rFonts w:ascii="Arial" w:hAnsi="Arial" w:cs="Arial"/>
          <w:sz w:val="20"/>
        </w:rPr>
        <w:t xml:space="preserve">White Paper on Homelessness, </w:t>
      </w:r>
      <w:r w:rsidR="0090759D" w:rsidRPr="0074752B">
        <w:rPr>
          <w:rFonts w:ascii="Arial" w:hAnsi="Arial" w:cs="Arial"/>
          <w:i/>
          <w:sz w:val="20"/>
        </w:rPr>
        <w:t>The Road Home: A National Approach to Reducing Homelessness</w:t>
      </w:r>
      <w:r w:rsidR="0090759D" w:rsidRPr="0074752B">
        <w:rPr>
          <w:rFonts w:ascii="Arial" w:hAnsi="Arial" w:cs="Arial"/>
          <w:sz w:val="20"/>
        </w:rPr>
        <w:t xml:space="preserve"> (</w:t>
      </w:r>
      <w:r w:rsidR="0090759D" w:rsidRPr="0074752B">
        <w:rPr>
          <w:rFonts w:ascii="Arial" w:hAnsi="Arial" w:cs="Arial"/>
          <w:b/>
          <w:sz w:val="20"/>
        </w:rPr>
        <w:t>White Paper</w:t>
      </w:r>
      <w:r w:rsidR="0090759D" w:rsidRPr="0074752B">
        <w:rPr>
          <w:rFonts w:ascii="Arial" w:hAnsi="Arial" w:cs="Arial"/>
          <w:sz w:val="20"/>
        </w:rPr>
        <w:t>)</w:t>
      </w:r>
      <w:r w:rsidRPr="0074752B">
        <w:rPr>
          <w:rFonts w:ascii="Arial" w:hAnsi="Arial" w:cs="Arial"/>
          <w:sz w:val="20"/>
        </w:rPr>
        <w:t>.  The White Paper</w:t>
      </w:r>
      <w:r w:rsidR="0090759D" w:rsidRPr="0074752B">
        <w:rPr>
          <w:rFonts w:ascii="Arial" w:hAnsi="Arial" w:cs="Arial"/>
          <w:sz w:val="20"/>
        </w:rPr>
        <w:t xml:space="preserve"> state</w:t>
      </w:r>
      <w:r w:rsidRPr="0074752B">
        <w:rPr>
          <w:rFonts w:ascii="Arial" w:hAnsi="Arial" w:cs="Arial"/>
          <w:sz w:val="20"/>
        </w:rPr>
        <w:t>s</w:t>
      </w:r>
      <w:r w:rsidR="0090759D" w:rsidRPr="0074752B">
        <w:rPr>
          <w:rFonts w:ascii="Arial" w:hAnsi="Arial" w:cs="Arial"/>
          <w:sz w:val="20"/>
        </w:rPr>
        <w:t xml:space="preserve"> that: ‘The Australian Government will work with states and territories to introduce compulsory rent payments from Centrelink payments for tenants in public housing at risk of eviction due to non payment of rent’.</w:t>
      </w:r>
      <w:r w:rsidR="004233CF" w:rsidRPr="0074752B">
        <w:rPr>
          <w:rStyle w:val="FootnoteReference"/>
          <w:rFonts w:ascii="Arial" w:hAnsi="Arial" w:cs="Arial"/>
          <w:sz w:val="20"/>
        </w:rPr>
        <w:footnoteReference w:id="6"/>
      </w:r>
      <w:r w:rsidR="0090759D" w:rsidRPr="0074752B">
        <w:rPr>
          <w:rFonts w:ascii="Arial" w:hAnsi="Arial" w:cs="Arial"/>
          <w:sz w:val="20"/>
        </w:rPr>
        <w:t xml:space="preserve"> </w:t>
      </w:r>
      <w:r w:rsidRPr="0074752B">
        <w:rPr>
          <w:rFonts w:ascii="Arial" w:hAnsi="Arial" w:cs="Arial"/>
          <w:sz w:val="20"/>
        </w:rPr>
        <w:t xml:space="preserve"> </w:t>
      </w:r>
    </w:p>
    <w:p w:rsidR="003E4C24" w:rsidRPr="0074752B" w:rsidRDefault="003E4C24" w:rsidP="0090759D">
      <w:pPr>
        <w:rPr>
          <w:rFonts w:ascii="Arial" w:hAnsi="Arial" w:cs="Arial"/>
          <w:sz w:val="20"/>
        </w:rPr>
      </w:pPr>
    </w:p>
    <w:p w:rsidR="0090759D" w:rsidRPr="0074752B" w:rsidRDefault="003E4C24" w:rsidP="0090759D">
      <w:pPr>
        <w:rPr>
          <w:rFonts w:ascii="Arial" w:hAnsi="Arial" w:cs="Arial"/>
          <w:sz w:val="20"/>
        </w:rPr>
      </w:pPr>
      <w:r w:rsidRPr="0074752B">
        <w:rPr>
          <w:rFonts w:ascii="Arial" w:hAnsi="Arial" w:cs="Arial"/>
          <w:sz w:val="20"/>
        </w:rPr>
        <w:t xml:space="preserve">Firstly, as discussed above, the Deduction </w:t>
      </w:r>
      <w:r w:rsidR="00B11A82" w:rsidRPr="0074752B">
        <w:rPr>
          <w:rFonts w:ascii="Arial" w:hAnsi="Arial" w:cs="Arial"/>
          <w:sz w:val="20"/>
        </w:rPr>
        <w:t>Scheme is much broader than the</w:t>
      </w:r>
      <w:r w:rsidRPr="0074752B">
        <w:rPr>
          <w:rFonts w:ascii="Arial" w:hAnsi="Arial" w:cs="Arial"/>
          <w:sz w:val="20"/>
        </w:rPr>
        <w:t xml:space="preserve"> commitment </w:t>
      </w:r>
      <w:r w:rsidR="00B11A82" w:rsidRPr="0074752B">
        <w:rPr>
          <w:rFonts w:ascii="Arial" w:hAnsi="Arial" w:cs="Arial"/>
          <w:sz w:val="20"/>
        </w:rPr>
        <w:t xml:space="preserve">in the White Paper </w:t>
      </w:r>
      <w:r w:rsidRPr="0074752B">
        <w:rPr>
          <w:rFonts w:ascii="Arial" w:hAnsi="Arial" w:cs="Arial"/>
          <w:sz w:val="20"/>
        </w:rPr>
        <w:t>(i.e. it spans beyond rent and goes further than tenants</w:t>
      </w:r>
      <w:r w:rsidR="004079EE" w:rsidRPr="0074752B">
        <w:rPr>
          <w:rFonts w:ascii="Arial" w:hAnsi="Arial" w:cs="Arial"/>
          <w:sz w:val="20"/>
        </w:rPr>
        <w:t xml:space="preserve"> at risk of eviction due to non-</w:t>
      </w:r>
      <w:r w:rsidRPr="0074752B">
        <w:rPr>
          <w:rFonts w:ascii="Arial" w:hAnsi="Arial" w:cs="Arial"/>
          <w:sz w:val="20"/>
        </w:rPr>
        <w:t>payment of rent).  Secondly, t</w:t>
      </w:r>
      <w:r w:rsidR="0090759D" w:rsidRPr="0074752B">
        <w:rPr>
          <w:rFonts w:ascii="Arial" w:hAnsi="Arial" w:cs="Arial"/>
          <w:sz w:val="20"/>
        </w:rPr>
        <w:t xml:space="preserve">he Exposure Draft does not recognise </w:t>
      </w:r>
      <w:r w:rsidRPr="0074752B">
        <w:rPr>
          <w:rFonts w:ascii="Arial" w:hAnsi="Arial" w:cs="Arial"/>
          <w:sz w:val="20"/>
        </w:rPr>
        <w:t xml:space="preserve">that </w:t>
      </w:r>
      <w:r w:rsidR="0090759D" w:rsidRPr="0074752B">
        <w:rPr>
          <w:rFonts w:ascii="Arial" w:hAnsi="Arial" w:cs="Arial"/>
          <w:sz w:val="20"/>
        </w:rPr>
        <w:t xml:space="preserve">the White Paper made this </w:t>
      </w:r>
      <w:r w:rsidR="00B11A82" w:rsidRPr="0074752B">
        <w:rPr>
          <w:rFonts w:ascii="Arial" w:hAnsi="Arial" w:cs="Arial"/>
          <w:sz w:val="20"/>
        </w:rPr>
        <w:t>commitment</w:t>
      </w:r>
      <w:r w:rsidR="0090759D" w:rsidRPr="0074752B">
        <w:rPr>
          <w:rFonts w:ascii="Arial" w:hAnsi="Arial" w:cs="Arial"/>
          <w:sz w:val="20"/>
        </w:rPr>
        <w:t xml:space="preserve"> as part of a suite of </w:t>
      </w:r>
      <w:r w:rsidR="00B11A82" w:rsidRPr="0074752B">
        <w:rPr>
          <w:rFonts w:ascii="Arial" w:hAnsi="Arial" w:cs="Arial"/>
          <w:sz w:val="20"/>
        </w:rPr>
        <w:t>recommendations</w:t>
      </w:r>
      <w:r w:rsidR="0090759D" w:rsidRPr="0074752B">
        <w:rPr>
          <w:rFonts w:ascii="Arial" w:hAnsi="Arial" w:cs="Arial"/>
          <w:sz w:val="20"/>
        </w:rPr>
        <w:t xml:space="preserve"> aimed at preventing homelessness.  It is not clear that the concomitant changes are being delivered </w:t>
      </w:r>
      <w:r w:rsidR="00B11A82" w:rsidRPr="0074752B">
        <w:rPr>
          <w:rFonts w:ascii="Arial" w:hAnsi="Arial" w:cs="Arial"/>
          <w:sz w:val="20"/>
        </w:rPr>
        <w:t xml:space="preserve">with the Deduction Scheme </w:t>
      </w:r>
      <w:r w:rsidR="0090759D" w:rsidRPr="0074752B">
        <w:rPr>
          <w:rFonts w:ascii="Arial" w:hAnsi="Arial" w:cs="Arial"/>
          <w:sz w:val="20"/>
        </w:rPr>
        <w:t xml:space="preserve">and the HPLC is strongly of the view that compulsory acquisition of housing payments alone will not prevent homelessness. </w:t>
      </w:r>
    </w:p>
    <w:p w:rsidR="0090759D" w:rsidRPr="0074752B" w:rsidRDefault="0090759D" w:rsidP="0090759D">
      <w:pPr>
        <w:rPr>
          <w:rFonts w:ascii="Arial" w:hAnsi="Arial" w:cs="Arial"/>
          <w:sz w:val="20"/>
        </w:rPr>
      </w:pPr>
    </w:p>
    <w:p w:rsidR="0090759D" w:rsidRPr="0074752B" w:rsidRDefault="0090759D" w:rsidP="00006F5D">
      <w:pPr>
        <w:rPr>
          <w:rFonts w:ascii="Arial" w:hAnsi="Arial" w:cs="Arial"/>
          <w:sz w:val="20"/>
        </w:rPr>
      </w:pPr>
      <w:r w:rsidRPr="0074752B">
        <w:rPr>
          <w:rFonts w:ascii="Arial" w:hAnsi="Arial" w:cs="Arial"/>
          <w:sz w:val="20"/>
        </w:rPr>
        <w:t xml:space="preserve">In particular, the White Paper </w:t>
      </w:r>
      <w:r w:rsidR="00B11A82" w:rsidRPr="0074752B">
        <w:rPr>
          <w:rFonts w:ascii="Arial" w:hAnsi="Arial" w:cs="Arial"/>
          <w:sz w:val="20"/>
        </w:rPr>
        <w:t>stated:</w:t>
      </w:r>
      <w:r w:rsidR="00006F5D" w:rsidRPr="0074752B">
        <w:rPr>
          <w:rFonts w:ascii="Arial" w:hAnsi="Arial" w:cs="Arial"/>
          <w:sz w:val="20"/>
        </w:rPr>
        <w:t xml:space="preserve"> ‘[s]uccessful tenancy support programs have been implemented for social housing tenants in some states to prevent evictions that lead to homelessness’.  The White Paper refers to the programs that ‘identify people who are in the early stages of rental arrears … At-risk tenants are contacted face to face by a specialist worker, who can help to develop a plan of action and refer tenants to other services, such as financial counsellors, mental health services, education and parenting programs’.</w:t>
      </w:r>
      <w:r w:rsidR="00006F5D" w:rsidRPr="0074752B">
        <w:rPr>
          <w:rStyle w:val="FootnoteReference"/>
          <w:rFonts w:ascii="Arial" w:hAnsi="Arial" w:cs="Arial"/>
          <w:sz w:val="20"/>
        </w:rPr>
        <w:footnoteReference w:id="7"/>
      </w:r>
    </w:p>
    <w:p w:rsidR="00006F5D" w:rsidRPr="0074752B" w:rsidRDefault="00006F5D" w:rsidP="00006F5D">
      <w:pPr>
        <w:rPr>
          <w:rFonts w:ascii="Arial" w:hAnsi="Arial" w:cs="Arial"/>
          <w:sz w:val="20"/>
        </w:rPr>
      </w:pPr>
    </w:p>
    <w:p w:rsidR="00006F5D" w:rsidRPr="0074752B" w:rsidRDefault="00006F5D" w:rsidP="00006F5D">
      <w:pPr>
        <w:rPr>
          <w:rFonts w:ascii="Arial" w:hAnsi="Arial" w:cs="Arial"/>
          <w:sz w:val="20"/>
        </w:rPr>
      </w:pPr>
      <w:r w:rsidRPr="0074752B">
        <w:rPr>
          <w:rFonts w:ascii="Arial" w:hAnsi="Arial" w:cs="Arial"/>
          <w:sz w:val="20"/>
        </w:rPr>
        <w:t>In Victoria, programs aimed at early intervention, such as the Social Housing Advocacy and Support Program (</w:t>
      </w:r>
      <w:r w:rsidRPr="0074752B">
        <w:rPr>
          <w:rFonts w:ascii="Arial" w:hAnsi="Arial" w:cs="Arial"/>
          <w:b/>
          <w:sz w:val="20"/>
        </w:rPr>
        <w:t>SHASP</w:t>
      </w:r>
      <w:r w:rsidRPr="0074752B">
        <w:rPr>
          <w:rFonts w:ascii="Arial" w:hAnsi="Arial" w:cs="Arial"/>
          <w:sz w:val="20"/>
        </w:rPr>
        <w:t xml:space="preserve">), are being </w:t>
      </w:r>
      <w:r w:rsidR="001B789E" w:rsidRPr="0074752B">
        <w:rPr>
          <w:rFonts w:ascii="Arial" w:hAnsi="Arial" w:cs="Arial"/>
          <w:sz w:val="20"/>
        </w:rPr>
        <w:t>reduced</w:t>
      </w:r>
      <w:r w:rsidRPr="0074752B">
        <w:rPr>
          <w:rFonts w:ascii="Arial" w:hAnsi="Arial" w:cs="Arial"/>
          <w:sz w:val="20"/>
        </w:rPr>
        <w:t xml:space="preserve"> rather than strengthened.  In this environment, there is a significant risk that the Deduction Scheme will be the first rather than last resort. </w:t>
      </w:r>
    </w:p>
    <w:p w:rsidR="00006F5D" w:rsidRPr="0074752B" w:rsidRDefault="00006F5D" w:rsidP="00006F5D">
      <w:pPr>
        <w:rPr>
          <w:rFonts w:ascii="Arial" w:hAnsi="Arial" w:cs="Arial"/>
          <w:sz w:val="20"/>
        </w:rPr>
      </w:pPr>
    </w:p>
    <w:p w:rsidR="00006F5D" w:rsidRPr="0074752B" w:rsidRDefault="00006F5D" w:rsidP="00006F5D">
      <w:pPr>
        <w:rPr>
          <w:rFonts w:ascii="Arial" w:hAnsi="Arial" w:cs="Arial"/>
          <w:sz w:val="20"/>
        </w:rPr>
      </w:pPr>
      <w:r w:rsidRPr="0074752B">
        <w:rPr>
          <w:rFonts w:ascii="Arial" w:hAnsi="Arial" w:cs="Arial"/>
          <w:sz w:val="20"/>
        </w:rPr>
        <w:t xml:space="preserve">With no guidance as to what constitutes ‘reasonable action’, there is no onus on public housing authorities to speak directly with tenants, link tenants to services or explore less restrictive means of addressing a tenant’s arrears.  </w:t>
      </w:r>
    </w:p>
    <w:p w:rsidR="0090759D" w:rsidRPr="0074752B" w:rsidRDefault="0090759D" w:rsidP="0090759D">
      <w:pPr>
        <w:rPr>
          <w:rFonts w:ascii="Arial" w:hAnsi="Arial" w:cs="Arial"/>
          <w:sz w:val="20"/>
        </w:rPr>
      </w:pPr>
    </w:p>
    <w:p w:rsidR="00E84DB1" w:rsidRPr="0074752B" w:rsidRDefault="00006F5D" w:rsidP="001804A6">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74752B">
        <w:rPr>
          <w:rFonts w:ascii="Arial" w:hAnsi="Arial" w:cs="Arial"/>
          <w:sz w:val="20"/>
        </w:rPr>
        <w:t xml:space="preserve">The HPLC recommends that there are a set of required steps </w:t>
      </w:r>
      <w:r w:rsidR="00BE20B0" w:rsidRPr="0074752B">
        <w:rPr>
          <w:rFonts w:ascii="Arial" w:hAnsi="Arial" w:cs="Arial"/>
          <w:sz w:val="20"/>
        </w:rPr>
        <w:t xml:space="preserve">that constitute ‘reasonable action’, which </w:t>
      </w:r>
      <w:r w:rsidRPr="0074752B">
        <w:rPr>
          <w:rFonts w:ascii="Arial" w:hAnsi="Arial" w:cs="Arial"/>
          <w:sz w:val="20"/>
        </w:rPr>
        <w:t xml:space="preserve">must be taken by a public housing lessor before requesting that a tenant is subjected to the Deduction Scheme.  </w:t>
      </w:r>
    </w:p>
    <w:p w:rsidR="00006F5D" w:rsidRPr="0074752B" w:rsidRDefault="00006F5D" w:rsidP="00AA0292">
      <w:pPr>
        <w:rPr>
          <w:rFonts w:ascii="Arial" w:hAnsi="Arial" w:cs="Arial"/>
          <w:b/>
          <w:sz w:val="20"/>
        </w:rPr>
      </w:pPr>
    </w:p>
    <w:p w:rsidR="00F53711" w:rsidRPr="0074752B" w:rsidRDefault="000832F7" w:rsidP="00AA0292">
      <w:pPr>
        <w:rPr>
          <w:rFonts w:ascii="Arial" w:hAnsi="Arial" w:cs="Arial"/>
          <w:b/>
          <w:szCs w:val="22"/>
        </w:rPr>
      </w:pPr>
      <w:r w:rsidRPr="0074752B">
        <w:rPr>
          <w:rFonts w:ascii="Arial" w:hAnsi="Arial" w:cs="Arial"/>
          <w:b/>
          <w:szCs w:val="22"/>
        </w:rPr>
        <w:t xml:space="preserve">Procedural fairness – tenants’ right to respond </w:t>
      </w:r>
    </w:p>
    <w:p w:rsidR="000832F7" w:rsidRPr="0074752B" w:rsidRDefault="000832F7" w:rsidP="00AA0292">
      <w:pPr>
        <w:rPr>
          <w:rFonts w:ascii="Arial" w:hAnsi="Arial" w:cs="Arial"/>
          <w:b/>
          <w:sz w:val="20"/>
        </w:rPr>
      </w:pPr>
    </w:p>
    <w:p w:rsidR="00F53711" w:rsidRPr="0074752B" w:rsidRDefault="004233CF" w:rsidP="00AA0292">
      <w:pPr>
        <w:rPr>
          <w:rFonts w:ascii="Arial" w:hAnsi="Arial" w:cs="Arial"/>
          <w:sz w:val="20"/>
        </w:rPr>
      </w:pPr>
      <w:r w:rsidRPr="0074752B">
        <w:rPr>
          <w:rFonts w:ascii="Arial" w:hAnsi="Arial" w:cs="Arial"/>
          <w:sz w:val="20"/>
        </w:rPr>
        <w:t>As discussed above</w:t>
      </w:r>
      <w:r w:rsidR="0024091F" w:rsidRPr="0074752B">
        <w:rPr>
          <w:rFonts w:ascii="Arial" w:hAnsi="Arial" w:cs="Arial"/>
          <w:sz w:val="20"/>
        </w:rPr>
        <w:t xml:space="preserve">, the Exposure Draft provides that the public housing lessor can make a request for a deduction from a person’s Centrelink benefit or Family Tax Benefit if it forms the view that there is the Minimum Amount Owing and the public housing lessor has taken reasonable action to recover the amount; or there is a Risk of </w:t>
      </w:r>
      <w:r w:rsidR="0072688C" w:rsidRPr="0074752B">
        <w:rPr>
          <w:rFonts w:ascii="Arial" w:hAnsi="Arial" w:cs="Arial"/>
          <w:sz w:val="20"/>
        </w:rPr>
        <w:t>Non-Payment</w:t>
      </w:r>
      <w:r w:rsidR="0024091F" w:rsidRPr="0074752B">
        <w:rPr>
          <w:rFonts w:ascii="Arial" w:hAnsi="Arial" w:cs="Arial"/>
          <w:sz w:val="20"/>
        </w:rPr>
        <w:t xml:space="preserve">. </w:t>
      </w:r>
    </w:p>
    <w:p w:rsidR="0024091F" w:rsidRPr="0074752B" w:rsidRDefault="0024091F" w:rsidP="00AA0292">
      <w:pPr>
        <w:rPr>
          <w:rFonts w:ascii="Arial" w:hAnsi="Arial" w:cs="Arial"/>
          <w:sz w:val="20"/>
        </w:rPr>
      </w:pPr>
    </w:p>
    <w:p w:rsidR="000732BE" w:rsidRPr="0074752B" w:rsidRDefault="0024091F" w:rsidP="00AA0292">
      <w:pPr>
        <w:rPr>
          <w:rFonts w:ascii="Arial" w:hAnsi="Arial" w:cs="Arial"/>
          <w:sz w:val="20"/>
        </w:rPr>
      </w:pPr>
      <w:r w:rsidRPr="0074752B">
        <w:rPr>
          <w:rFonts w:ascii="Arial" w:hAnsi="Arial" w:cs="Arial"/>
          <w:sz w:val="20"/>
        </w:rPr>
        <w:t xml:space="preserve">The </w:t>
      </w:r>
      <w:r w:rsidR="001B789E" w:rsidRPr="0074752B">
        <w:rPr>
          <w:rFonts w:ascii="Arial" w:hAnsi="Arial" w:cs="Arial"/>
          <w:sz w:val="20"/>
        </w:rPr>
        <w:t xml:space="preserve">section in the Exposure Draft titled ‘content of the request’ provides that the </w:t>
      </w:r>
      <w:r w:rsidRPr="0074752B">
        <w:rPr>
          <w:rFonts w:ascii="Arial" w:hAnsi="Arial" w:cs="Arial"/>
          <w:sz w:val="20"/>
        </w:rPr>
        <w:t>public housing lessor’s request must specify the maximum amount to be deducted</w:t>
      </w:r>
      <w:r w:rsidR="000732BE" w:rsidRPr="0074752B">
        <w:rPr>
          <w:rFonts w:ascii="Arial" w:hAnsi="Arial" w:cs="Arial"/>
          <w:sz w:val="20"/>
        </w:rPr>
        <w:t xml:space="preserve">.  The amount requested must not be more than the amount claimed </w:t>
      </w:r>
      <w:r w:rsidR="001B789E" w:rsidRPr="0074752B">
        <w:rPr>
          <w:rFonts w:ascii="Arial" w:hAnsi="Arial" w:cs="Arial"/>
          <w:sz w:val="20"/>
        </w:rPr>
        <w:t xml:space="preserve">to be owed </w:t>
      </w:r>
      <w:r w:rsidR="000732BE" w:rsidRPr="0074752B">
        <w:rPr>
          <w:rFonts w:ascii="Arial" w:hAnsi="Arial" w:cs="Arial"/>
          <w:sz w:val="20"/>
        </w:rPr>
        <w:t>(for rent ‘or otherwise’) or more than the amount that the public housing lessor thinks is ‘at risk of not being paid’ (</w:t>
      </w:r>
      <w:r w:rsidR="000732BE" w:rsidRPr="0074752B">
        <w:rPr>
          <w:rFonts w:ascii="Arial" w:hAnsi="Arial" w:cs="Arial"/>
          <w:b/>
          <w:sz w:val="20"/>
        </w:rPr>
        <w:t>Requested Deduction</w:t>
      </w:r>
      <w:r w:rsidR="000732BE" w:rsidRPr="0074752B">
        <w:rPr>
          <w:rFonts w:ascii="Arial" w:hAnsi="Arial" w:cs="Arial"/>
          <w:sz w:val="20"/>
        </w:rPr>
        <w:t>).</w:t>
      </w:r>
      <w:r w:rsidR="004233CF" w:rsidRPr="0074752B">
        <w:rPr>
          <w:rFonts w:ascii="Arial" w:hAnsi="Arial" w:cs="Arial"/>
          <w:sz w:val="20"/>
        </w:rPr>
        <w:t xml:space="preserve">  No other content is identified as being required in the request. </w:t>
      </w:r>
      <w:r w:rsidR="000732BE" w:rsidRPr="0074752B">
        <w:rPr>
          <w:rFonts w:ascii="Arial" w:hAnsi="Arial" w:cs="Arial"/>
          <w:sz w:val="20"/>
        </w:rPr>
        <w:t xml:space="preserve">  </w:t>
      </w:r>
    </w:p>
    <w:p w:rsidR="000732BE" w:rsidRPr="0074752B" w:rsidRDefault="000732BE" w:rsidP="00AA0292">
      <w:pPr>
        <w:rPr>
          <w:rFonts w:ascii="Arial" w:hAnsi="Arial" w:cs="Arial"/>
          <w:sz w:val="20"/>
        </w:rPr>
      </w:pPr>
      <w:r w:rsidRPr="0074752B">
        <w:rPr>
          <w:rFonts w:ascii="Arial" w:hAnsi="Arial" w:cs="Arial"/>
          <w:sz w:val="20"/>
        </w:rPr>
        <w:lastRenderedPageBreak/>
        <w:br/>
        <w:t xml:space="preserve">The Secretary may make the Requested Deduction </w:t>
      </w:r>
      <w:r w:rsidR="001B789E" w:rsidRPr="0074752B">
        <w:rPr>
          <w:rFonts w:ascii="Arial" w:hAnsi="Arial" w:cs="Arial"/>
          <w:sz w:val="20"/>
        </w:rPr>
        <w:t xml:space="preserve">if the </w:t>
      </w:r>
      <w:r w:rsidRPr="0074752B">
        <w:rPr>
          <w:rFonts w:ascii="Arial" w:hAnsi="Arial" w:cs="Arial"/>
          <w:sz w:val="20"/>
        </w:rPr>
        <w:t xml:space="preserve">Secretary is satisfied </w:t>
      </w:r>
      <w:r w:rsidR="001B789E" w:rsidRPr="0074752B">
        <w:rPr>
          <w:rFonts w:ascii="Arial" w:hAnsi="Arial" w:cs="Arial"/>
          <w:sz w:val="20"/>
        </w:rPr>
        <w:t xml:space="preserve">a request </w:t>
      </w:r>
      <w:r w:rsidRPr="0074752B">
        <w:rPr>
          <w:rFonts w:ascii="Arial" w:hAnsi="Arial" w:cs="Arial"/>
          <w:sz w:val="20"/>
        </w:rPr>
        <w:t xml:space="preserve">has been made and is in force.  </w:t>
      </w:r>
    </w:p>
    <w:p w:rsidR="000732BE" w:rsidRPr="0074752B" w:rsidRDefault="000732BE" w:rsidP="00AA0292">
      <w:pPr>
        <w:rPr>
          <w:rFonts w:ascii="Arial" w:hAnsi="Arial" w:cs="Arial"/>
          <w:sz w:val="20"/>
        </w:rPr>
      </w:pPr>
    </w:p>
    <w:p w:rsidR="004938A4" w:rsidRPr="0074752B" w:rsidRDefault="000732BE" w:rsidP="004938A4">
      <w:pPr>
        <w:rPr>
          <w:rFonts w:ascii="Arial" w:hAnsi="Arial" w:cs="Arial"/>
          <w:sz w:val="20"/>
        </w:rPr>
      </w:pPr>
      <w:r w:rsidRPr="0074752B">
        <w:rPr>
          <w:rFonts w:ascii="Arial" w:hAnsi="Arial" w:cs="Arial"/>
          <w:sz w:val="20"/>
        </w:rPr>
        <w:t>There are limited circumstances in which the Secretary must not make the Requested Deduction, including</w:t>
      </w:r>
      <w:r w:rsidR="00B743F9" w:rsidRPr="0074752B">
        <w:rPr>
          <w:rFonts w:ascii="Arial" w:hAnsi="Arial" w:cs="Arial"/>
          <w:sz w:val="20"/>
        </w:rPr>
        <w:t xml:space="preserve"> where the tenant</w:t>
      </w:r>
      <w:r w:rsidR="00570FE0" w:rsidRPr="0074752B">
        <w:rPr>
          <w:rFonts w:ascii="Arial" w:hAnsi="Arial" w:cs="Arial"/>
          <w:sz w:val="20"/>
        </w:rPr>
        <w:t xml:space="preserve"> is</w:t>
      </w:r>
      <w:r w:rsidR="004938A4" w:rsidRPr="0074752B">
        <w:rPr>
          <w:rFonts w:ascii="Arial" w:hAnsi="Arial" w:cs="Arial"/>
          <w:sz w:val="20"/>
        </w:rPr>
        <w:t xml:space="preserve"> </w:t>
      </w:r>
      <w:r w:rsidRPr="0074752B">
        <w:rPr>
          <w:rFonts w:ascii="Arial" w:hAnsi="Arial" w:cs="Arial"/>
          <w:sz w:val="20"/>
        </w:rPr>
        <w:t xml:space="preserve">subject to compulsory income management; </w:t>
      </w:r>
      <w:r w:rsidR="004938A4" w:rsidRPr="0074752B">
        <w:rPr>
          <w:rFonts w:ascii="Arial" w:hAnsi="Arial" w:cs="Arial"/>
          <w:sz w:val="20"/>
        </w:rPr>
        <w:t xml:space="preserve">or </w:t>
      </w:r>
      <w:r w:rsidR="00AE4212" w:rsidRPr="0074752B">
        <w:rPr>
          <w:rFonts w:ascii="Arial" w:hAnsi="Arial" w:cs="Arial"/>
          <w:sz w:val="20"/>
        </w:rPr>
        <w:t xml:space="preserve">is </w:t>
      </w:r>
      <w:r w:rsidR="00570FE0" w:rsidRPr="0074752B">
        <w:rPr>
          <w:rFonts w:ascii="Arial" w:hAnsi="Arial" w:cs="Arial"/>
          <w:sz w:val="20"/>
        </w:rPr>
        <w:t xml:space="preserve">a </w:t>
      </w:r>
      <w:r w:rsidRPr="0074752B">
        <w:rPr>
          <w:rFonts w:ascii="Arial" w:hAnsi="Arial" w:cs="Arial"/>
          <w:sz w:val="20"/>
        </w:rPr>
        <w:t xml:space="preserve">person </w:t>
      </w:r>
      <w:r w:rsidR="00B743F9" w:rsidRPr="0074752B">
        <w:rPr>
          <w:rFonts w:ascii="Arial" w:hAnsi="Arial" w:cs="Arial"/>
          <w:sz w:val="20"/>
        </w:rPr>
        <w:t xml:space="preserve">covered by a determination </w:t>
      </w:r>
      <w:r w:rsidR="004938A4" w:rsidRPr="0074752B">
        <w:rPr>
          <w:rFonts w:ascii="Arial" w:hAnsi="Arial" w:cs="Arial"/>
          <w:sz w:val="20"/>
        </w:rPr>
        <w:t xml:space="preserve">in a legislative instrument </w:t>
      </w:r>
      <w:r w:rsidR="00B743F9" w:rsidRPr="0074752B">
        <w:rPr>
          <w:rFonts w:ascii="Arial" w:hAnsi="Arial" w:cs="Arial"/>
          <w:sz w:val="20"/>
        </w:rPr>
        <w:t>by the Minister that ‘de</w:t>
      </w:r>
      <w:r w:rsidR="004938A4" w:rsidRPr="0074752B">
        <w:rPr>
          <w:rFonts w:ascii="Arial" w:hAnsi="Arial" w:cs="Arial"/>
          <w:sz w:val="20"/>
        </w:rPr>
        <w:t xml:space="preserve">ductions must not be made’ from amounts </w:t>
      </w:r>
      <w:r w:rsidR="00B743F9" w:rsidRPr="0074752B">
        <w:rPr>
          <w:rFonts w:ascii="Arial" w:hAnsi="Arial" w:cs="Arial"/>
          <w:sz w:val="20"/>
        </w:rPr>
        <w:t>‘payable to specified persons’.</w:t>
      </w:r>
      <w:r w:rsidR="00B743F9" w:rsidRPr="0074752B">
        <w:rPr>
          <w:rStyle w:val="FootnoteReference"/>
          <w:rFonts w:ascii="Arial" w:hAnsi="Arial" w:cs="Arial"/>
          <w:sz w:val="20"/>
        </w:rPr>
        <w:footnoteReference w:id="8"/>
      </w:r>
      <w:r w:rsidR="004938A4" w:rsidRPr="0074752B">
        <w:rPr>
          <w:rFonts w:ascii="Arial" w:hAnsi="Arial" w:cs="Arial"/>
          <w:sz w:val="20"/>
        </w:rPr>
        <w:t xml:space="preserve">  There does not yet seem to be a legislative instrument that identifies these ‘specified persons’. </w:t>
      </w:r>
    </w:p>
    <w:p w:rsidR="00AE4212" w:rsidRPr="0074752B" w:rsidRDefault="00AE4212" w:rsidP="00AE4212">
      <w:pPr>
        <w:rPr>
          <w:rFonts w:ascii="Arial" w:hAnsi="Arial" w:cs="Arial"/>
          <w:sz w:val="20"/>
        </w:rPr>
      </w:pPr>
    </w:p>
    <w:p w:rsidR="004938A4" w:rsidRPr="0074752B" w:rsidRDefault="00AE4212" w:rsidP="004938A4">
      <w:pPr>
        <w:rPr>
          <w:rFonts w:ascii="Arial" w:hAnsi="Arial" w:cs="Arial"/>
          <w:sz w:val="20"/>
        </w:rPr>
      </w:pPr>
      <w:r w:rsidRPr="0074752B">
        <w:rPr>
          <w:rFonts w:ascii="Arial" w:hAnsi="Arial" w:cs="Arial"/>
          <w:sz w:val="20"/>
        </w:rPr>
        <w:t xml:space="preserve">If the Requested Deduction is not made, the Secretary must notify the </w:t>
      </w:r>
      <w:r w:rsidR="004233CF" w:rsidRPr="0074752B">
        <w:rPr>
          <w:rFonts w:ascii="Arial" w:hAnsi="Arial" w:cs="Arial"/>
          <w:sz w:val="20"/>
        </w:rPr>
        <w:t xml:space="preserve">public housing </w:t>
      </w:r>
      <w:r w:rsidRPr="0074752B">
        <w:rPr>
          <w:rFonts w:ascii="Arial" w:hAnsi="Arial" w:cs="Arial"/>
          <w:sz w:val="20"/>
        </w:rPr>
        <w:t xml:space="preserve">lessor. </w:t>
      </w:r>
    </w:p>
    <w:p w:rsidR="00AE4212" w:rsidRPr="0074752B" w:rsidRDefault="00AE4212" w:rsidP="00AE4212">
      <w:pPr>
        <w:rPr>
          <w:rFonts w:ascii="Arial" w:hAnsi="Arial" w:cs="Arial"/>
          <w:sz w:val="20"/>
        </w:rPr>
      </w:pPr>
    </w:p>
    <w:p w:rsidR="005E2CBA" w:rsidRPr="0074752B" w:rsidRDefault="004938A4" w:rsidP="00AE4212">
      <w:pPr>
        <w:rPr>
          <w:rFonts w:ascii="Arial" w:hAnsi="Arial" w:cs="Arial"/>
          <w:sz w:val="20"/>
        </w:rPr>
      </w:pPr>
      <w:r w:rsidRPr="0074752B">
        <w:rPr>
          <w:rFonts w:ascii="Arial" w:hAnsi="Arial" w:cs="Arial"/>
          <w:sz w:val="20"/>
        </w:rPr>
        <w:t xml:space="preserve">In short, </w:t>
      </w:r>
      <w:r w:rsidR="00AE4212" w:rsidRPr="0074752B">
        <w:rPr>
          <w:rFonts w:ascii="Arial" w:hAnsi="Arial" w:cs="Arial"/>
          <w:sz w:val="20"/>
        </w:rPr>
        <w:t xml:space="preserve">the circumstances in which a compulsory deduction can be requested are very broad and the circumstances in which it will be refused are very limited. </w:t>
      </w:r>
    </w:p>
    <w:p w:rsidR="005E2CBA" w:rsidRPr="0074752B" w:rsidRDefault="005E2CBA" w:rsidP="00AA0292">
      <w:pPr>
        <w:rPr>
          <w:rFonts w:ascii="Arial" w:hAnsi="Arial" w:cs="Arial"/>
          <w:sz w:val="20"/>
        </w:rPr>
      </w:pPr>
    </w:p>
    <w:p w:rsidR="005E2CBA" w:rsidRPr="0074752B" w:rsidRDefault="001B789E" w:rsidP="00AA0292">
      <w:pPr>
        <w:rPr>
          <w:rFonts w:ascii="Arial" w:hAnsi="Arial" w:cs="Arial"/>
          <w:sz w:val="20"/>
        </w:rPr>
      </w:pPr>
      <w:r w:rsidRPr="0074752B">
        <w:rPr>
          <w:rFonts w:ascii="Arial" w:hAnsi="Arial" w:cs="Arial"/>
          <w:sz w:val="20"/>
        </w:rPr>
        <w:t>At no point</w:t>
      </w:r>
      <w:r w:rsidR="005E2CBA" w:rsidRPr="0074752B">
        <w:rPr>
          <w:rFonts w:ascii="Arial" w:hAnsi="Arial" w:cs="Arial"/>
          <w:sz w:val="20"/>
        </w:rPr>
        <w:t xml:space="preserve"> is the Secretary required to put the Requested Deduction to the tenant.  At no point does the tenant have the opportunity to </w:t>
      </w:r>
      <w:r w:rsidRPr="0074752B">
        <w:rPr>
          <w:rFonts w:ascii="Arial" w:hAnsi="Arial" w:cs="Arial"/>
          <w:sz w:val="20"/>
        </w:rPr>
        <w:t>provide a possible explanation of</w:t>
      </w:r>
      <w:r w:rsidR="005E2CBA" w:rsidRPr="0074752B">
        <w:rPr>
          <w:rFonts w:ascii="Arial" w:hAnsi="Arial" w:cs="Arial"/>
          <w:sz w:val="20"/>
        </w:rPr>
        <w:t xml:space="preserve"> why they are not at risk of </w:t>
      </w:r>
      <w:r w:rsidR="004233CF" w:rsidRPr="0074752B">
        <w:rPr>
          <w:rFonts w:ascii="Arial" w:hAnsi="Arial" w:cs="Arial"/>
          <w:sz w:val="20"/>
        </w:rPr>
        <w:t>non-payment</w:t>
      </w:r>
      <w:r w:rsidR="005E2CBA" w:rsidRPr="0074752B">
        <w:rPr>
          <w:rFonts w:ascii="Arial" w:hAnsi="Arial" w:cs="Arial"/>
          <w:sz w:val="20"/>
        </w:rPr>
        <w:t xml:space="preserve"> or why they should not be subject to the Deduction Scheme. </w:t>
      </w:r>
    </w:p>
    <w:p w:rsidR="005E2CBA" w:rsidRPr="0074752B" w:rsidRDefault="005E2CBA" w:rsidP="00AA0292">
      <w:pPr>
        <w:rPr>
          <w:rFonts w:ascii="Arial" w:hAnsi="Arial" w:cs="Arial"/>
          <w:sz w:val="20"/>
        </w:rPr>
      </w:pPr>
    </w:p>
    <w:p w:rsidR="005E2CBA" w:rsidRPr="0074752B" w:rsidRDefault="005E2CBA" w:rsidP="00AA0292">
      <w:pPr>
        <w:rPr>
          <w:rFonts w:ascii="Arial" w:hAnsi="Arial" w:cs="Arial"/>
          <w:sz w:val="20"/>
        </w:rPr>
      </w:pPr>
      <w:r w:rsidRPr="0074752B">
        <w:rPr>
          <w:rFonts w:ascii="Arial" w:hAnsi="Arial" w:cs="Arial"/>
          <w:sz w:val="20"/>
        </w:rPr>
        <w:t xml:space="preserve">This absence of procedural fairness means that tenants are at </w:t>
      </w:r>
      <w:r w:rsidR="00AE4212" w:rsidRPr="0074752B">
        <w:rPr>
          <w:rFonts w:ascii="Arial" w:hAnsi="Arial" w:cs="Arial"/>
          <w:sz w:val="20"/>
        </w:rPr>
        <w:t xml:space="preserve">significant </w:t>
      </w:r>
      <w:r w:rsidRPr="0074752B">
        <w:rPr>
          <w:rFonts w:ascii="Arial" w:hAnsi="Arial" w:cs="Arial"/>
          <w:sz w:val="20"/>
        </w:rPr>
        <w:t xml:space="preserve">risk of having the Deduction Scheme imposed arbitrarily or inappropriately.  </w:t>
      </w:r>
    </w:p>
    <w:p w:rsidR="005E2CBA" w:rsidRPr="0074752B" w:rsidRDefault="005E2CBA" w:rsidP="00AA0292">
      <w:pPr>
        <w:rPr>
          <w:rFonts w:ascii="Arial" w:hAnsi="Arial" w:cs="Arial"/>
          <w:sz w:val="20"/>
        </w:rPr>
      </w:pPr>
    </w:p>
    <w:p w:rsidR="00043139" w:rsidRPr="0074752B" w:rsidRDefault="00043139" w:rsidP="00AA0292">
      <w:pPr>
        <w:rPr>
          <w:rFonts w:ascii="Arial" w:hAnsi="Arial" w:cs="Arial"/>
          <w:sz w:val="20"/>
        </w:rPr>
      </w:pPr>
      <w:r w:rsidRPr="0074752B">
        <w:rPr>
          <w:rFonts w:ascii="Arial" w:hAnsi="Arial" w:cs="Arial"/>
          <w:sz w:val="20"/>
        </w:rPr>
        <w:t>The</w:t>
      </w:r>
      <w:r w:rsidR="005E2CBA" w:rsidRPr="0074752B">
        <w:rPr>
          <w:rFonts w:ascii="Arial" w:hAnsi="Arial" w:cs="Arial"/>
          <w:sz w:val="20"/>
        </w:rPr>
        <w:t xml:space="preserve"> </w:t>
      </w:r>
      <w:r w:rsidRPr="0074752B">
        <w:rPr>
          <w:rFonts w:ascii="Arial" w:hAnsi="Arial" w:cs="Arial"/>
          <w:sz w:val="20"/>
        </w:rPr>
        <w:t xml:space="preserve">limited appeal right is not a substitute for affording procedural fairness to tenants before the decision is made to compulsorily deduct their income for public housing costs. </w:t>
      </w:r>
    </w:p>
    <w:p w:rsidR="00043139" w:rsidRPr="0074752B" w:rsidRDefault="00043139" w:rsidP="00AA0292">
      <w:pPr>
        <w:rPr>
          <w:rFonts w:ascii="Arial" w:hAnsi="Arial" w:cs="Arial"/>
          <w:sz w:val="20"/>
        </w:rPr>
      </w:pPr>
    </w:p>
    <w:p w:rsidR="00AE4212" w:rsidRPr="0074752B" w:rsidRDefault="00AE4212" w:rsidP="00AE4212">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74752B">
        <w:rPr>
          <w:rFonts w:ascii="Arial" w:hAnsi="Arial" w:cs="Arial"/>
          <w:sz w:val="20"/>
        </w:rPr>
        <w:t xml:space="preserve">The HPLC encourages the Government to afford public tenants procedural fairness (including a chance to reply) before making a decision to compulsorily divert their income toward public housing costs.  </w:t>
      </w:r>
    </w:p>
    <w:p w:rsidR="00D32AC1" w:rsidRPr="0074752B" w:rsidRDefault="00D32AC1" w:rsidP="00AA0292">
      <w:pPr>
        <w:rPr>
          <w:rFonts w:ascii="Arial" w:hAnsi="Arial" w:cs="Arial"/>
          <w:b/>
          <w:sz w:val="20"/>
        </w:rPr>
      </w:pPr>
    </w:p>
    <w:p w:rsidR="00AA0292" w:rsidRPr="0074752B" w:rsidRDefault="00C3705A" w:rsidP="00AA0292">
      <w:pPr>
        <w:rPr>
          <w:rFonts w:ascii="Arial" w:hAnsi="Arial" w:cs="Arial"/>
          <w:b/>
          <w:szCs w:val="22"/>
        </w:rPr>
      </w:pPr>
      <w:r w:rsidRPr="0074752B">
        <w:rPr>
          <w:rFonts w:ascii="Arial" w:hAnsi="Arial" w:cs="Arial"/>
          <w:b/>
          <w:szCs w:val="22"/>
        </w:rPr>
        <w:t xml:space="preserve">Housing stress puts tenancies at risk </w:t>
      </w:r>
      <w:r w:rsidR="00AA0292" w:rsidRPr="0074752B">
        <w:rPr>
          <w:rFonts w:ascii="Arial" w:hAnsi="Arial" w:cs="Arial"/>
          <w:b/>
          <w:szCs w:val="22"/>
        </w:rPr>
        <w:t xml:space="preserve"> </w:t>
      </w:r>
    </w:p>
    <w:p w:rsidR="00C3705A" w:rsidRPr="0074752B" w:rsidRDefault="00C3705A" w:rsidP="00AA0292">
      <w:pPr>
        <w:rPr>
          <w:rFonts w:ascii="Arial" w:hAnsi="Arial" w:cs="Arial"/>
          <w:sz w:val="20"/>
        </w:rPr>
      </w:pPr>
    </w:p>
    <w:p w:rsidR="004079EE" w:rsidRPr="0074752B" w:rsidRDefault="004079EE" w:rsidP="004079EE">
      <w:pPr>
        <w:rPr>
          <w:rFonts w:ascii="Arial" w:hAnsi="Arial" w:cs="Arial"/>
          <w:sz w:val="20"/>
        </w:rPr>
      </w:pPr>
      <w:r w:rsidRPr="0074752B">
        <w:rPr>
          <w:rFonts w:ascii="Arial" w:hAnsi="Arial" w:cs="Arial"/>
          <w:sz w:val="20"/>
        </w:rPr>
        <w:t>In Victoria, 86% of public housing households rely on Centrelink as their primary source of income.</w:t>
      </w:r>
      <w:r w:rsidRPr="0074752B">
        <w:rPr>
          <w:rStyle w:val="FootnoteReference"/>
          <w:rFonts w:ascii="Arial" w:hAnsi="Arial" w:cs="Arial"/>
          <w:sz w:val="20"/>
        </w:rPr>
        <w:footnoteReference w:id="9"/>
      </w:r>
      <w:r w:rsidRPr="0074752B">
        <w:rPr>
          <w:rFonts w:ascii="Arial" w:hAnsi="Arial" w:cs="Arial"/>
          <w:sz w:val="20"/>
        </w:rPr>
        <w:t xml:space="preserve">  </w:t>
      </w:r>
    </w:p>
    <w:p w:rsidR="004079EE" w:rsidRPr="0074752B" w:rsidRDefault="004079EE" w:rsidP="004079EE">
      <w:pPr>
        <w:rPr>
          <w:rFonts w:ascii="Arial" w:hAnsi="Arial" w:cs="Arial"/>
          <w:sz w:val="20"/>
        </w:rPr>
      </w:pPr>
    </w:p>
    <w:p w:rsidR="004079EE" w:rsidRPr="0074752B" w:rsidRDefault="004079EE" w:rsidP="004079EE">
      <w:pPr>
        <w:rPr>
          <w:rFonts w:ascii="Arial" w:hAnsi="Arial" w:cs="Arial"/>
          <w:sz w:val="20"/>
        </w:rPr>
      </w:pPr>
      <w:r w:rsidRPr="0074752B">
        <w:rPr>
          <w:rFonts w:ascii="Arial" w:hAnsi="Arial" w:cs="Arial"/>
          <w:sz w:val="20"/>
        </w:rPr>
        <w:t>The Australian Council of Social Service (</w:t>
      </w:r>
      <w:r w:rsidRPr="0074752B">
        <w:rPr>
          <w:rFonts w:ascii="Arial" w:hAnsi="Arial" w:cs="Arial"/>
          <w:b/>
          <w:sz w:val="20"/>
        </w:rPr>
        <w:t>ACOSS</w:t>
      </w:r>
      <w:r w:rsidRPr="0074752B">
        <w:rPr>
          <w:rFonts w:ascii="Arial" w:hAnsi="Arial" w:cs="Arial"/>
          <w:sz w:val="20"/>
        </w:rPr>
        <w:t>) has identified low levels of income from social security payments as a major factor in increasing poverty,</w:t>
      </w:r>
      <w:r w:rsidRPr="0074752B">
        <w:rPr>
          <w:rStyle w:val="FootnoteReference"/>
          <w:rFonts w:ascii="Arial" w:hAnsi="Arial" w:cs="Arial"/>
          <w:sz w:val="20"/>
        </w:rPr>
        <w:footnoteReference w:id="10"/>
      </w:r>
      <w:r w:rsidRPr="0074752B">
        <w:rPr>
          <w:rFonts w:ascii="Arial" w:hAnsi="Arial" w:cs="Arial"/>
          <w:sz w:val="20"/>
        </w:rPr>
        <w:t xml:space="preserve"> and has long called for payments to be increased (particularly allowances, which have not increased in real terms since the early 1990s).</w:t>
      </w:r>
      <w:r w:rsidRPr="0074752B">
        <w:rPr>
          <w:rStyle w:val="FootnoteReference"/>
          <w:rFonts w:ascii="Arial" w:hAnsi="Arial" w:cs="Arial"/>
          <w:sz w:val="20"/>
        </w:rPr>
        <w:footnoteReference w:id="11"/>
      </w:r>
      <w:r w:rsidRPr="0074752B">
        <w:rPr>
          <w:rFonts w:ascii="Arial" w:hAnsi="Arial" w:cs="Arial"/>
          <w:sz w:val="20"/>
        </w:rPr>
        <w:t xml:space="preserve">   ACOSS further identifies: </w:t>
      </w:r>
    </w:p>
    <w:p w:rsidR="004079EE" w:rsidRPr="0074752B" w:rsidRDefault="004079EE" w:rsidP="004079EE">
      <w:pPr>
        <w:rPr>
          <w:rFonts w:ascii="Arial" w:hAnsi="Arial" w:cs="Arial"/>
          <w:sz w:val="20"/>
        </w:rPr>
      </w:pPr>
    </w:p>
    <w:p w:rsidR="004079EE" w:rsidRPr="0074752B" w:rsidRDefault="004079EE" w:rsidP="004079EE">
      <w:pPr>
        <w:ind w:left="720"/>
        <w:rPr>
          <w:rFonts w:ascii="Arial" w:hAnsi="Arial" w:cs="Arial"/>
          <w:sz w:val="20"/>
        </w:rPr>
      </w:pPr>
      <w:r w:rsidRPr="0074752B">
        <w:rPr>
          <w:rFonts w:ascii="Arial" w:hAnsi="Arial" w:cs="Arial"/>
          <w:sz w:val="18"/>
          <w:szCs w:val="18"/>
        </w:rPr>
        <w:t>The maximum single rate of Newstart Allowance in December 2012 was just $246 per week. The payment for unemployed young people living independently of their parents is $201 per week. As the recent Senate inquiry into the adequacy of Allowance payments confirmed, this is not enough to meet the most basic essential costs such as housing, food, clothing and importantly, basic job search costs</w:t>
      </w:r>
      <w:r w:rsidRPr="0074752B">
        <w:rPr>
          <w:rFonts w:ascii="Arial" w:hAnsi="Arial" w:cs="Arial"/>
          <w:sz w:val="20"/>
        </w:rPr>
        <w:t>.</w:t>
      </w:r>
      <w:r w:rsidRPr="0074752B">
        <w:rPr>
          <w:rStyle w:val="FootnoteReference"/>
          <w:rFonts w:ascii="Arial" w:hAnsi="Arial" w:cs="Arial"/>
          <w:sz w:val="20"/>
        </w:rPr>
        <w:footnoteReference w:id="12"/>
      </w:r>
    </w:p>
    <w:p w:rsidR="004079EE" w:rsidRPr="0074752B" w:rsidRDefault="004079EE" w:rsidP="00AA0292">
      <w:pPr>
        <w:rPr>
          <w:rFonts w:ascii="Arial" w:hAnsi="Arial" w:cs="Arial"/>
          <w:sz w:val="20"/>
        </w:rPr>
      </w:pPr>
    </w:p>
    <w:p w:rsidR="00F43FBA" w:rsidRPr="0074752B" w:rsidRDefault="00F43FBA" w:rsidP="00F43FBA">
      <w:pPr>
        <w:rPr>
          <w:rFonts w:ascii="Arial" w:hAnsi="Arial" w:cs="Arial"/>
          <w:sz w:val="20"/>
        </w:rPr>
      </w:pPr>
      <w:r w:rsidRPr="0074752B">
        <w:rPr>
          <w:rFonts w:ascii="Arial" w:hAnsi="Arial" w:cs="Arial"/>
          <w:sz w:val="20"/>
        </w:rPr>
        <w:t xml:space="preserve">The HPLC submits that it is important that Government keeps these levels of financial hardship in mind when developing the Deduction Scheme.  Essentially, income support payments leave tenants with very little room to move.  For tenants who are subjected to the Deduction Scheme, they will not have any ability to deal with emergency or unexpected expenses such as costs related to children or school, emergency car repairs or medical needs.  </w:t>
      </w:r>
    </w:p>
    <w:p w:rsidR="00F43FBA" w:rsidRPr="0074752B" w:rsidRDefault="00F43FBA" w:rsidP="00AA0292">
      <w:pPr>
        <w:rPr>
          <w:rFonts w:ascii="Arial" w:hAnsi="Arial" w:cs="Arial"/>
          <w:sz w:val="20"/>
        </w:rPr>
      </w:pPr>
    </w:p>
    <w:p w:rsidR="00294C1C" w:rsidRPr="0074752B" w:rsidRDefault="00B41225" w:rsidP="00AA0292">
      <w:pPr>
        <w:rPr>
          <w:rFonts w:ascii="Arial" w:hAnsi="Arial" w:cs="Arial"/>
          <w:sz w:val="20"/>
        </w:rPr>
      </w:pPr>
      <w:r w:rsidRPr="0074752B">
        <w:rPr>
          <w:rFonts w:ascii="Arial" w:hAnsi="Arial" w:cs="Arial"/>
          <w:sz w:val="20"/>
        </w:rPr>
        <w:t xml:space="preserve">The amount that can be deducted from a tenant’s income under the Deduction Scheme cannot exceed 35% of their income support payment.  The Exposure Draft and the Draft Social Security and Family Assistance (Public Housing Tenants’ Support) Disregarded Provisions Specification (No. 1) 2013 exclude certain payments from the </w:t>
      </w:r>
      <w:r w:rsidR="00BD6B90" w:rsidRPr="0074752B">
        <w:rPr>
          <w:rFonts w:ascii="Arial" w:hAnsi="Arial" w:cs="Arial"/>
          <w:sz w:val="20"/>
        </w:rPr>
        <w:t xml:space="preserve">base </w:t>
      </w:r>
      <w:r w:rsidRPr="0074752B">
        <w:rPr>
          <w:rFonts w:ascii="Arial" w:hAnsi="Arial" w:cs="Arial"/>
          <w:sz w:val="20"/>
        </w:rPr>
        <w:t xml:space="preserve">amount </w:t>
      </w:r>
      <w:r w:rsidR="00294C1C" w:rsidRPr="0074752B">
        <w:rPr>
          <w:rFonts w:ascii="Arial" w:hAnsi="Arial" w:cs="Arial"/>
          <w:sz w:val="20"/>
        </w:rPr>
        <w:t xml:space="preserve">used to calculate the 35% cap (for example, pension supplements; remote area allowance; pharmaceutical allowance; and supplements for clean energy, program of work, language, literacy and numeracy and youth disability).   </w:t>
      </w:r>
    </w:p>
    <w:p w:rsidR="00294C1C" w:rsidRPr="0074752B" w:rsidRDefault="00294C1C" w:rsidP="00AA0292">
      <w:pPr>
        <w:rPr>
          <w:rFonts w:ascii="Arial" w:hAnsi="Arial" w:cs="Arial"/>
          <w:sz w:val="20"/>
        </w:rPr>
      </w:pPr>
    </w:p>
    <w:p w:rsidR="00B41225" w:rsidRPr="0074752B" w:rsidRDefault="00BD6B90" w:rsidP="005B25C3">
      <w:pPr>
        <w:rPr>
          <w:rFonts w:ascii="Arial" w:hAnsi="Arial" w:cs="Arial"/>
          <w:sz w:val="20"/>
        </w:rPr>
      </w:pPr>
      <w:r w:rsidRPr="0074752B">
        <w:rPr>
          <w:rFonts w:ascii="Arial" w:hAnsi="Arial" w:cs="Arial"/>
          <w:sz w:val="20"/>
        </w:rPr>
        <w:t>T</w:t>
      </w:r>
      <w:r w:rsidR="00294C1C" w:rsidRPr="0074752B">
        <w:rPr>
          <w:rFonts w:ascii="Arial" w:hAnsi="Arial" w:cs="Arial"/>
          <w:sz w:val="20"/>
        </w:rPr>
        <w:t xml:space="preserve">he HPLC points out that the accepted definition of ‘housing stress’ is </w:t>
      </w:r>
      <w:r w:rsidRPr="0074752B">
        <w:rPr>
          <w:rFonts w:ascii="Arial" w:hAnsi="Arial" w:cs="Arial"/>
          <w:sz w:val="20"/>
        </w:rPr>
        <w:t xml:space="preserve">that </w:t>
      </w:r>
      <w:r w:rsidR="005B25C3" w:rsidRPr="0074752B">
        <w:rPr>
          <w:rFonts w:ascii="Arial" w:hAnsi="Arial" w:cs="Arial"/>
          <w:sz w:val="20"/>
        </w:rPr>
        <w:t>a household spend</w:t>
      </w:r>
      <w:r w:rsidRPr="0074752B">
        <w:rPr>
          <w:rFonts w:ascii="Arial" w:hAnsi="Arial" w:cs="Arial"/>
          <w:sz w:val="20"/>
        </w:rPr>
        <w:t>s</w:t>
      </w:r>
      <w:r w:rsidR="005B25C3" w:rsidRPr="0074752B">
        <w:rPr>
          <w:rFonts w:ascii="Arial" w:hAnsi="Arial" w:cs="Arial"/>
          <w:sz w:val="20"/>
        </w:rPr>
        <w:t xml:space="preserve"> more than 30% of their income on housing costs.</w:t>
      </w:r>
      <w:r w:rsidR="00294C1C" w:rsidRPr="0074752B">
        <w:rPr>
          <w:rStyle w:val="FootnoteReference"/>
          <w:rFonts w:ascii="Arial" w:hAnsi="Arial" w:cs="Arial"/>
          <w:sz w:val="20"/>
        </w:rPr>
        <w:footnoteReference w:id="13"/>
      </w:r>
    </w:p>
    <w:p w:rsidR="00B41225" w:rsidRPr="0074752B" w:rsidRDefault="00B41225" w:rsidP="00AA0292">
      <w:pPr>
        <w:rPr>
          <w:rFonts w:ascii="Arial" w:hAnsi="Arial" w:cs="Arial"/>
          <w:sz w:val="20"/>
        </w:rPr>
      </w:pPr>
    </w:p>
    <w:p w:rsidR="004421C5" w:rsidRPr="0074752B" w:rsidRDefault="005B25C3" w:rsidP="00AA0292">
      <w:pPr>
        <w:rPr>
          <w:rFonts w:ascii="Arial" w:hAnsi="Arial" w:cs="Arial"/>
          <w:sz w:val="20"/>
        </w:rPr>
      </w:pPr>
      <w:r w:rsidRPr="0074752B">
        <w:rPr>
          <w:rFonts w:ascii="Arial" w:hAnsi="Arial" w:cs="Arial"/>
          <w:sz w:val="20"/>
        </w:rPr>
        <w:t xml:space="preserve">By setting the cap at 35% of a person’s income, the Government </w:t>
      </w:r>
      <w:r w:rsidR="00BD6B90" w:rsidRPr="0074752B">
        <w:rPr>
          <w:rFonts w:ascii="Arial" w:hAnsi="Arial" w:cs="Arial"/>
          <w:sz w:val="20"/>
        </w:rPr>
        <w:t xml:space="preserve">will put </w:t>
      </w:r>
      <w:r w:rsidRPr="0074752B">
        <w:rPr>
          <w:rFonts w:ascii="Arial" w:hAnsi="Arial" w:cs="Arial"/>
          <w:sz w:val="20"/>
        </w:rPr>
        <w:t>low income families</w:t>
      </w:r>
      <w:r w:rsidR="004421C5" w:rsidRPr="0074752B">
        <w:rPr>
          <w:rFonts w:ascii="Arial" w:hAnsi="Arial" w:cs="Arial"/>
          <w:sz w:val="20"/>
        </w:rPr>
        <w:t xml:space="preserve"> in housing stress.  The Australian Institute of Health and Welfare </w:t>
      </w:r>
      <w:r w:rsidR="00BD6B90" w:rsidRPr="0074752B">
        <w:rPr>
          <w:rFonts w:ascii="Arial" w:hAnsi="Arial" w:cs="Arial"/>
          <w:sz w:val="20"/>
        </w:rPr>
        <w:t>identifies the risks of this approach</w:t>
      </w:r>
      <w:r w:rsidR="004421C5" w:rsidRPr="0074752B">
        <w:rPr>
          <w:rFonts w:ascii="Arial" w:hAnsi="Arial" w:cs="Arial"/>
          <w:sz w:val="20"/>
        </w:rPr>
        <w:t xml:space="preserve">: </w:t>
      </w:r>
    </w:p>
    <w:p w:rsidR="004421C5" w:rsidRPr="0074752B" w:rsidRDefault="004421C5" w:rsidP="00AA0292">
      <w:pPr>
        <w:rPr>
          <w:rFonts w:ascii="Arial" w:hAnsi="Arial" w:cs="Arial"/>
          <w:sz w:val="20"/>
        </w:rPr>
      </w:pPr>
    </w:p>
    <w:p w:rsidR="004421C5" w:rsidRPr="0074752B" w:rsidRDefault="004421C5" w:rsidP="004421C5">
      <w:pPr>
        <w:ind w:left="720"/>
        <w:rPr>
          <w:rFonts w:ascii="Arial" w:hAnsi="Arial" w:cs="Arial"/>
          <w:sz w:val="20"/>
        </w:rPr>
      </w:pPr>
      <w:r w:rsidRPr="0074752B">
        <w:rPr>
          <w:rFonts w:ascii="Arial" w:hAnsi="Arial" w:cs="Arial"/>
          <w:sz w:val="18"/>
          <w:szCs w:val="18"/>
        </w:rPr>
        <w:t xml:space="preserve">Households experiencing socioeconomic disadvantage, particularly those in housing stress </w:t>
      </w:r>
      <w:r w:rsidR="00B64527" w:rsidRPr="0074752B">
        <w:rPr>
          <w:rFonts w:ascii="Arial" w:hAnsi="Arial" w:cs="Arial"/>
          <w:sz w:val="18"/>
          <w:szCs w:val="18"/>
        </w:rPr>
        <w:t xml:space="preserve">(that is, spending </w:t>
      </w:r>
      <w:r w:rsidRPr="0074752B">
        <w:rPr>
          <w:rFonts w:ascii="Arial" w:hAnsi="Arial" w:cs="Arial"/>
          <w:sz w:val="18"/>
          <w:szCs w:val="18"/>
        </w:rPr>
        <w:t>more than 30% of their household income on housing costs) are less likely than other Australian households to sustain their housing situation if the affordability of their housing deteriorates. Low-income households (those whose income is in the bottom two-fifths of the population) in housing stress are of particular concern, as the burden of high housing costs reduces their ability to meet their other living expenses</w:t>
      </w:r>
      <w:r w:rsidRPr="0074752B">
        <w:rPr>
          <w:rFonts w:ascii="Arial" w:hAnsi="Arial" w:cs="Arial"/>
          <w:sz w:val="20"/>
        </w:rPr>
        <w:t>.</w:t>
      </w:r>
      <w:r w:rsidRPr="0074752B">
        <w:rPr>
          <w:rStyle w:val="FootnoteReference"/>
          <w:rFonts w:ascii="Arial" w:hAnsi="Arial" w:cs="Arial"/>
          <w:sz w:val="20"/>
        </w:rPr>
        <w:footnoteReference w:id="14"/>
      </w:r>
    </w:p>
    <w:p w:rsidR="004421C5" w:rsidRPr="0074752B" w:rsidRDefault="004421C5" w:rsidP="004421C5">
      <w:pPr>
        <w:ind w:left="720"/>
        <w:rPr>
          <w:rFonts w:ascii="Arial" w:hAnsi="Arial" w:cs="Arial"/>
          <w:sz w:val="20"/>
        </w:rPr>
      </w:pPr>
    </w:p>
    <w:p w:rsidR="004421C5" w:rsidRPr="0074752B" w:rsidRDefault="00B64527" w:rsidP="004421C5">
      <w:pPr>
        <w:rPr>
          <w:rFonts w:ascii="Arial" w:hAnsi="Arial" w:cs="Arial"/>
          <w:sz w:val="20"/>
        </w:rPr>
      </w:pPr>
      <w:r w:rsidRPr="0074752B">
        <w:rPr>
          <w:rFonts w:ascii="Arial" w:hAnsi="Arial" w:cs="Arial"/>
          <w:sz w:val="20"/>
        </w:rPr>
        <w:t xml:space="preserve">If public housing households’ already limited incomes are put under </w:t>
      </w:r>
      <w:r w:rsidR="004421C5" w:rsidRPr="0074752B">
        <w:rPr>
          <w:rFonts w:ascii="Arial" w:hAnsi="Arial" w:cs="Arial"/>
          <w:sz w:val="20"/>
        </w:rPr>
        <w:t>further pressure, there is a risk that</w:t>
      </w:r>
      <w:r w:rsidR="00C749E3" w:rsidRPr="0074752B">
        <w:rPr>
          <w:rFonts w:ascii="Arial" w:hAnsi="Arial" w:cs="Arial"/>
          <w:sz w:val="20"/>
        </w:rPr>
        <w:t xml:space="preserve"> </w:t>
      </w:r>
      <w:r w:rsidRPr="0074752B">
        <w:rPr>
          <w:rFonts w:ascii="Arial" w:hAnsi="Arial" w:cs="Arial"/>
          <w:sz w:val="20"/>
        </w:rPr>
        <w:t xml:space="preserve">these </w:t>
      </w:r>
      <w:r w:rsidR="00C749E3" w:rsidRPr="0074752B">
        <w:rPr>
          <w:rFonts w:ascii="Arial" w:hAnsi="Arial" w:cs="Arial"/>
          <w:sz w:val="20"/>
        </w:rPr>
        <w:t>households will be</w:t>
      </w:r>
      <w:r w:rsidR="004421C5" w:rsidRPr="0074752B">
        <w:rPr>
          <w:rFonts w:ascii="Arial" w:hAnsi="Arial" w:cs="Arial"/>
          <w:sz w:val="20"/>
        </w:rPr>
        <w:t xml:space="preserve">: </w:t>
      </w:r>
    </w:p>
    <w:p w:rsidR="004421C5" w:rsidRPr="0074752B" w:rsidRDefault="004421C5" w:rsidP="004421C5">
      <w:pPr>
        <w:rPr>
          <w:rFonts w:ascii="Arial" w:hAnsi="Arial" w:cs="Arial"/>
          <w:sz w:val="20"/>
        </w:rPr>
      </w:pPr>
    </w:p>
    <w:p w:rsidR="004421C5" w:rsidRPr="0074752B" w:rsidRDefault="004421C5" w:rsidP="00C749E3">
      <w:pPr>
        <w:numPr>
          <w:ilvl w:val="0"/>
          <w:numId w:val="11"/>
        </w:numPr>
        <w:rPr>
          <w:rFonts w:ascii="Arial" w:hAnsi="Arial" w:cs="Arial"/>
          <w:sz w:val="20"/>
        </w:rPr>
      </w:pPr>
      <w:r w:rsidRPr="0074752B">
        <w:rPr>
          <w:rFonts w:ascii="Arial" w:hAnsi="Arial" w:cs="Arial"/>
          <w:sz w:val="20"/>
        </w:rPr>
        <w:t xml:space="preserve">unable to meet their living expenses; and </w:t>
      </w:r>
    </w:p>
    <w:p w:rsidR="00C749E3" w:rsidRPr="0074752B" w:rsidRDefault="00C749E3" w:rsidP="00C749E3">
      <w:pPr>
        <w:ind w:left="454"/>
        <w:rPr>
          <w:rFonts w:ascii="Arial" w:hAnsi="Arial" w:cs="Arial"/>
          <w:sz w:val="20"/>
        </w:rPr>
      </w:pPr>
    </w:p>
    <w:p w:rsidR="004421C5" w:rsidRPr="0074752B" w:rsidRDefault="004421C5" w:rsidP="00C749E3">
      <w:pPr>
        <w:numPr>
          <w:ilvl w:val="0"/>
          <w:numId w:val="11"/>
        </w:numPr>
        <w:rPr>
          <w:rFonts w:ascii="Arial" w:hAnsi="Arial" w:cs="Arial"/>
          <w:sz w:val="20"/>
        </w:rPr>
      </w:pPr>
      <w:r w:rsidRPr="0074752B">
        <w:rPr>
          <w:rFonts w:ascii="Arial" w:hAnsi="Arial" w:cs="Arial"/>
          <w:sz w:val="20"/>
        </w:rPr>
        <w:t xml:space="preserve">less likely to sustain their housing. </w:t>
      </w:r>
    </w:p>
    <w:p w:rsidR="004421C5" w:rsidRPr="0074752B" w:rsidRDefault="004421C5" w:rsidP="004421C5">
      <w:pPr>
        <w:rPr>
          <w:rFonts w:ascii="Arial" w:hAnsi="Arial" w:cs="Arial"/>
          <w:sz w:val="20"/>
        </w:rPr>
      </w:pPr>
    </w:p>
    <w:p w:rsidR="004421C5" w:rsidRPr="0074752B" w:rsidRDefault="004421C5" w:rsidP="004421C5">
      <w:pPr>
        <w:rPr>
          <w:rFonts w:ascii="Arial" w:hAnsi="Arial" w:cs="Arial"/>
          <w:sz w:val="20"/>
        </w:rPr>
      </w:pPr>
      <w:r w:rsidRPr="0074752B">
        <w:rPr>
          <w:rFonts w:ascii="Arial" w:hAnsi="Arial" w:cs="Arial"/>
          <w:sz w:val="20"/>
        </w:rPr>
        <w:t xml:space="preserve">This is contrary to the stated aims of the Deduction Scheme.  </w:t>
      </w:r>
    </w:p>
    <w:p w:rsidR="004421C5" w:rsidRPr="0074752B" w:rsidRDefault="004421C5" w:rsidP="004421C5">
      <w:pPr>
        <w:rPr>
          <w:rFonts w:ascii="Arial" w:hAnsi="Arial" w:cs="Arial"/>
          <w:sz w:val="20"/>
        </w:rPr>
      </w:pPr>
    </w:p>
    <w:p w:rsidR="00C749E3" w:rsidRPr="0074752B" w:rsidRDefault="00C749E3" w:rsidP="00C749E3">
      <w:pPr>
        <w:rPr>
          <w:rFonts w:ascii="Arial" w:hAnsi="Arial" w:cs="Arial"/>
          <w:sz w:val="20"/>
        </w:rPr>
      </w:pPr>
      <w:r w:rsidRPr="0074752B">
        <w:rPr>
          <w:rFonts w:ascii="Arial" w:hAnsi="Arial" w:cs="Arial"/>
          <w:sz w:val="20"/>
        </w:rPr>
        <w:t>By way of example, we have included the fortnightly budget for a client who is living in public housing</w:t>
      </w:r>
      <w:r w:rsidR="00BD6B90" w:rsidRPr="0074752B">
        <w:rPr>
          <w:rFonts w:ascii="Arial" w:hAnsi="Arial" w:cs="Arial"/>
          <w:sz w:val="20"/>
        </w:rPr>
        <w:t xml:space="preserve"> in Victoria</w:t>
      </w:r>
      <w:r w:rsidRPr="0074752B">
        <w:rPr>
          <w:rFonts w:ascii="Arial" w:hAnsi="Arial" w:cs="Arial"/>
          <w:sz w:val="20"/>
        </w:rPr>
        <w:t xml:space="preserve">.  In addition to struggling with his mental health, Joseph developed a back injury in 2010, which meant that he was no longer able to work.  From that point, he was reliant on Newstart Allowance as his sole source of income.  An outline of Joseph’s fortnightly expenses is set out below: </w:t>
      </w:r>
    </w:p>
    <w:p w:rsidR="00C749E3" w:rsidRPr="0074752B" w:rsidRDefault="00C749E3" w:rsidP="00C749E3">
      <w:pPr>
        <w:rPr>
          <w:rFonts w:ascii="Arial" w:hAnsi="Arial" w:cs="Arial"/>
          <w:sz w:val="20"/>
        </w:rPr>
      </w:pPr>
    </w:p>
    <w:tbl>
      <w:tblPr>
        <w:tblW w:w="0" w:type="auto"/>
        <w:tblInd w:w="108" w:type="dxa"/>
        <w:tblBorders>
          <w:top w:val="single" w:sz="4" w:space="0" w:color="808080"/>
          <w:left w:val="single" w:sz="4" w:space="0" w:color="808080"/>
          <w:bottom w:val="single" w:sz="4" w:space="0" w:color="808080"/>
          <w:right w:val="single" w:sz="4" w:space="0" w:color="808080"/>
        </w:tblBorders>
        <w:tblLook w:val="01E0" w:firstRow="1" w:lastRow="1" w:firstColumn="1" w:lastColumn="1" w:noHBand="0" w:noVBand="0"/>
      </w:tblPr>
      <w:tblGrid>
        <w:gridCol w:w="5873"/>
        <w:gridCol w:w="4759"/>
      </w:tblGrid>
      <w:tr w:rsidR="00C749E3" w:rsidRPr="0074752B" w:rsidTr="008E2274">
        <w:trPr>
          <w:trHeight w:val="227"/>
        </w:trPr>
        <w:tc>
          <w:tcPr>
            <w:tcW w:w="5873" w:type="dxa"/>
            <w:tcBorders>
              <w:top w:val="single" w:sz="4" w:space="0" w:color="808080"/>
              <w:bottom w:val="single" w:sz="4" w:space="0" w:color="auto"/>
              <w:right w:val="single" w:sz="4" w:space="0" w:color="auto"/>
            </w:tcBorders>
            <w:shd w:val="solid" w:color="177ECB" w:fill="auto"/>
            <w:vAlign w:val="center"/>
          </w:tcPr>
          <w:p w:rsidR="00C749E3" w:rsidRPr="0074752B" w:rsidRDefault="00C749E3" w:rsidP="00505670">
            <w:pPr>
              <w:pStyle w:val="TableHeadingWhite"/>
              <w:ind w:left="0"/>
              <w:rPr>
                <w:rFonts w:ascii="Arial" w:hAnsi="Arial" w:cs="Arial"/>
                <w:sz w:val="20"/>
                <w:szCs w:val="20"/>
              </w:rPr>
            </w:pPr>
            <w:r w:rsidRPr="0074752B">
              <w:rPr>
                <w:rFonts w:ascii="Arial" w:hAnsi="Arial" w:cs="Arial"/>
                <w:sz w:val="20"/>
                <w:szCs w:val="20"/>
              </w:rPr>
              <w:t>Expense</w:t>
            </w:r>
          </w:p>
        </w:tc>
        <w:tc>
          <w:tcPr>
            <w:tcW w:w="4759" w:type="dxa"/>
            <w:tcBorders>
              <w:top w:val="single" w:sz="4" w:space="0" w:color="808080"/>
              <w:left w:val="single" w:sz="4" w:space="0" w:color="auto"/>
              <w:bottom w:val="single" w:sz="4" w:space="0" w:color="auto"/>
            </w:tcBorders>
            <w:shd w:val="solid" w:color="177ECB" w:fill="auto"/>
          </w:tcPr>
          <w:p w:rsidR="00C749E3" w:rsidRPr="0074752B" w:rsidRDefault="00C749E3" w:rsidP="00505670">
            <w:pPr>
              <w:pStyle w:val="TableHeadingWhite"/>
              <w:ind w:left="0"/>
              <w:rPr>
                <w:rFonts w:ascii="Arial" w:hAnsi="Arial" w:cs="Arial"/>
                <w:sz w:val="20"/>
                <w:szCs w:val="20"/>
              </w:rPr>
            </w:pPr>
            <w:r w:rsidRPr="0074752B">
              <w:rPr>
                <w:rFonts w:ascii="Arial" w:hAnsi="Arial" w:cs="Arial"/>
                <w:sz w:val="20"/>
                <w:szCs w:val="20"/>
              </w:rPr>
              <w:t>Amount per fortnight</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Rent</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$115</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 xml:space="preserve">Groceries and food </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$140</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 xml:space="preserve">Personal mobile phone (capped) </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$15</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 xml:space="preserve">Petrol </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$60</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 xml:space="preserve">Electricity </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 xml:space="preserve">$30 </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Gas</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$20</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Water</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sz w:val="20"/>
              </w:rPr>
            </w:pPr>
            <w:r w:rsidRPr="0074752B">
              <w:rPr>
                <w:rFonts w:ascii="Arial" w:hAnsi="Arial" w:cs="Arial"/>
                <w:sz w:val="20"/>
              </w:rPr>
              <w:t>$10</w:t>
            </w:r>
          </w:p>
        </w:tc>
      </w:tr>
      <w:tr w:rsidR="00C749E3" w:rsidRPr="0074752B" w:rsidTr="008E2274">
        <w:trPr>
          <w:trHeight w:val="227"/>
        </w:trPr>
        <w:tc>
          <w:tcPr>
            <w:tcW w:w="5873"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b/>
                <w:sz w:val="20"/>
              </w:rPr>
            </w:pPr>
            <w:r w:rsidRPr="0074752B">
              <w:rPr>
                <w:rFonts w:ascii="Arial" w:hAnsi="Arial" w:cs="Arial"/>
                <w:b/>
                <w:sz w:val="20"/>
              </w:rPr>
              <w:t>TOTAL</w:t>
            </w:r>
          </w:p>
        </w:tc>
        <w:tc>
          <w:tcPr>
            <w:tcW w:w="4759" w:type="dxa"/>
            <w:tcBorders>
              <w:top w:val="single" w:sz="4" w:space="0" w:color="auto"/>
              <w:left w:val="single" w:sz="4" w:space="0" w:color="auto"/>
              <w:bottom w:val="single" w:sz="4" w:space="0" w:color="auto"/>
              <w:right w:val="single" w:sz="4" w:space="0" w:color="auto"/>
            </w:tcBorders>
          </w:tcPr>
          <w:p w:rsidR="00C749E3" w:rsidRPr="0074752B" w:rsidRDefault="00C749E3" w:rsidP="00C749E3">
            <w:pPr>
              <w:rPr>
                <w:rFonts w:ascii="Arial" w:hAnsi="Arial" w:cs="Arial"/>
                <w:b/>
                <w:sz w:val="20"/>
              </w:rPr>
            </w:pPr>
            <w:r w:rsidRPr="0074752B">
              <w:rPr>
                <w:rFonts w:ascii="Arial" w:hAnsi="Arial" w:cs="Arial"/>
                <w:b/>
                <w:sz w:val="20"/>
              </w:rPr>
              <w:t>$390</w:t>
            </w:r>
          </w:p>
        </w:tc>
      </w:tr>
    </w:tbl>
    <w:p w:rsidR="00C749E3" w:rsidRPr="0074752B" w:rsidRDefault="00C749E3" w:rsidP="00C749E3">
      <w:pPr>
        <w:rPr>
          <w:rFonts w:ascii="Arial" w:hAnsi="Arial" w:cs="Arial"/>
          <w:sz w:val="20"/>
        </w:rPr>
      </w:pPr>
    </w:p>
    <w:p w:rsidR="00505670" w:rsidRPr="0074752B" w:rsidRDefault="00C749E3" w:rsidP="00C749E3">
      <w:pPr>
        <w:rPr>
          <w:rFonts w:ascii="Arial" w:hAnsi="Arial" w:cs="Arial"/>
          <w:sz w:val="20"/>
        </w:rPr>
      </w:pPr>
      <w:r w:rsidRPr="0074752B">
        <w:rPr>
          <w:rFonts w:ascii="Arial" w:hAnsi="Arial" w:cs="Arial"/>
          <w:sz w:val="20"/>
        </w:rPr>
        <w:t xml:space="preserve">Joseph receives $486 in Newstart per fortnight.  As the above budget shows, this leaves him with approximately $96 per fortnight for any other expenses (including clothing, healthcare and medication for his mental health condition, which costs approximately $5.50 per script).  </w:t>
      </w:r>
    </w:p>
    <w:p w:rsidR="00C749E3" w:rsidRPr="0074752B" w:rsidRDefault="00C749E3" w:rsidP="00C749E3">
      <w:pPr>
        <w:rPr>
          <w:rFonts w:ascii="Arial" w:hAnsi="Arial" w:cs="Arial"/>
          <w:sz w:val="20"/>
        </w:rPr>
      </w:pPr>
      <w:r w:rsidRPr="0074752B">
        <w:rPr>
          <w:rFonts w:ascii="Arial" w:hAnsi="Arial" w:cs="Arial"/>
          <w:sz w:val="20"/>
        </w:rPr>
        <w:t xml:space="preserve">       </w:t>
      </w:r>
    </w:p>
    <w:p w:rsidR="00B64527" w:rsidRPr="0074752B" w:rsidRDefault="00B64527" w:rsidP="00C749E3">
      <w:pPr>
        <w:rPr>
          <w:rFonts w:ascii="Arial" w:hAnsi="Arial" w:cs="Arial"/>
          <w:sz w:val="20"/>
        </w:rPr>
      </w:pPr>
      <w:r w:rsidRPr="0074752B">
        <w:rPr>
          <w:rFonts w:ascii="Arial" w:hAnsi="Arial" w:cs="Arial"/>
          <w:sz w:val="20"/>
        </w:rPr>
        <w:lastRenderedPageBreak/>
        <w:t xml:space="preserve">If up to 35% of Joseph’s income was </w:t>
      </w:r>
      <w:r w:rsidR="007631C1" w:rsidRPr="0074752B">
        <w:rPr>
          <w:rFonts w:ascii="Arial" w:hAnsi="Arial" w:cs="Arial"/>
          <w:sz w:val="20"/>
        </w:rPr>
        <w:t>deducted</w:t>
      </w:r>
      <w:r w:rsidRPr="0074752B">
        <w:rPr>
          <w:rFonts w:ascii="Arial" w:hAnsi="Arial" w:cs="Arial"/>
          <w:sz w:val="20"/>
        </w:rPr>
        <w:t xml:space="preserve"> to pay housing costs, his rent of $115 would increase to ‘rent and other housing costs’ of up to $170.  This would add $55 to Joseph’s already extremely tight budget, leaving him with $40 per fortnight for any unexpected expenses.  </w:t>
      </w:r>
    </w:p>
    <w:p w:rsidR="007631C1" w:rsidRPr="0074752B" w:rsidRDefault="007631C1" w:rsidP="00C749E3">
      <w:pPr>
        <w:rPr>
          <w:rFonts w:ascii="Arial" w:hAnsi="Arial" w:cs="Arial"/>
          <w:sz w:val="20"/>
        </w:rPr>
      </w:pPr>
    </w:p>
    <w:p w:rsidR="00B64527" w:rsidRPr="0074752B" w:rsidRDefault="007631C1" w:rsidP="00E50395">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74752B">
        <w:rPr>
          <w:rFonts w:ascii="Arial" w:hAnsi="Arial" w:cs="Arial"/>
          <w:sz w:val="20"/>
        </w:rPr>
        <w:t xml:space="preserve">The HPLC suggests that it is poor public policy to impose financial obligations on public housing tenants at a level (i.e. up to 35% of a household’s income) which is recognised as placing tenants </w:t>
      </w:r>
      <w:r w:rsidR="00E11C71" w:rsidRPr="0074752B">
        <w:rPr>
          <w:rFonts w:ascii="Arial" w:hAnsi="Arial" w:cs="Arial"/>
          <w:sz w:val="20"/>
        </w:rPr>
        <w:t xml:space="preserve">under housing stress, creating a </w:t>
      </w:r>
      <w:r w:rsidRPr="0074752B">
        <w:rPr>
          <w:rFonts w:ascii="Arial" w:hAnsi="Arial" w:cs="Arial"/>
          <w:sz w:val="20"/>
        </w:rPr>
        <w:t xml:space="preserve">risk of tenancy failure and </w:t>
      </w:r>
      <w:r w:rsidR="00796DF6">
        <w:rPr>
          <w:rFonts w:ascii="Arial" w:hAnsi="Arial" w:cs="Arial"/>
          <w:sz w:val="20"/>
        </w:rPr>
        <w:t>s</w:t>
      </w:r>
      <w:r w:rsidR="00E11C71" w:rsidRPr="0074752B">
        <w:rPr>
          <w:rFonts w:ascii="Arial" w:hAnsi="Arial" w:cs="Arial"/>
          <w:sz w:val="20"/>
        </w:rPr>
        <w:t xml:space="preserve"> households’ ability</w:t>
      </w:r>
      <w:r w:rsidRPr="0074752B">
        <w:rPr>
          <w:rFonts w:ascii="Arial" w:hAnsi="Arial" w:cs="Arial"/>
          <w:sz w:val="20"/>
        </w:rPr>
        <w:t xml:space="preserve"> to meet basic living expenses.   </w:t>
      </w:r>
    </w:p>
    <w:p w:rsidR="00C3705A" w:rsidRPr="0074752B" w:rsidRDefault="00C3705A" w:rsidP="00C749E3">
      <w:pPr>
        <w:rPr>
          <w:rFonts w:ascii="Arial" w:hAnsi="Arial" w:cs="Arial"/>
          <w:sz w:val="20"/>
          <w:highlight w:val="yellow"/>
        </w:rPr>
      </w:pPr>
    </w:p>
    <w:p w:rsidR="00670E51" w:rsidRPr="0074752B" w:rsidRDefault="00670E51" w:rsidP="00670E51">
      <w:pPr>
        <w:rPr>
          <w:rFonts w:ascii="Arial" w:hAnsi="Arial" w:cs="Arial"/>
          <w:sz w:val="20"/>
        </w:rPr>
      </w:pPr>
    </w:p>
    <w:p w:rsidR="00670E51" w:rsidRPr="0074752B" w:rsidRDefault="00670E51" w:rsidP="00670E51">
      <w:pPr>
        <w:rPr>
          <w:rFonts w:ascii="Arial" w:hAnsi="Arial" w:cs="Arial"/>
          <w:b/>
          <w:szCs w:val="22"/>
        </w:rPr>
      </w:pPr>
      <w:r w:rsidRPr="0074752B">
        <w:rPr>
          <w:rFonts w:ascii="Arial" w:hAnsi="Arial" w:cs="Arial"/>
          <w:b/>
          <w:szCs w:val="22"/>
        </w:rPr>
        <w:t xml:space="preserve">Implementation – concerns regarding Centrelink </w:t>
      </w:r>
    </w:p>
    <w:p w:rsidR="00670E51" w:rsidRPr="0074752B" w:rsidRDefault="00670E51" w:rsidP="00670E51">
      <w:pPr>
        <w:rPr>
          <w:rFonts w:ascii="Arial" w:hAnsi="Arial" w:cs="Arial"/>
          <w:sz w:val="20"/>
        </w:rPr>
      </w:pPr>
    </w:p>
    <w:p w:rsidR="00124B77" w:rsidRPr="0074752B" w:rsidRDefault="00124B77" w:rsidP="00124B77">
      <w:pPr>
        <w:rPr>
          <w:rFonts w:ascii="Arial" w:hAnsi="Arial" w:cs="Arial"/>
          <w:sz w:val="20"/>
        </w:rPr>
      </w:pPr>
      <w:r w:rsidRPr="0074752B">
        <w:rPr>
          <w:rFonts w:ascii="Arial" w:hAnsi="Arial" w:cs="Arial"/>
          <w:sz w:val="20"/>
        </w:rPr>
        <w:t xml:space="preserve">The HPLC currently assists numerous tenants presenting with arrears </w:t>
      </w:r>
      <w:r w:rsidR="003E569F" w:rsidRPr="0074752B">
        <w:rPr>
          <w:rFonts w:ascii="Arial" w:hAnsi="Arial" w:cs="Arial"/>
          <w:sz w:val="20"/>
        </w:rPr>
        <w:t>problems</w:t>
      </w:r>
      <w:r w:rsidRPr="0074752B">
        <w:rPr>
          <w:rFonts w:ascii="Arial" w:hAnsi="Arial" w:cs="Arial"/>
          <w:sz w:val="20"/>
        </w:rPr>
        <w:t xml:space="preserve"> because of administrative issues with Centrelink and Centrepay i.e. in some cases Centrelink is the cause of the arrears</w:t>
      </w:r>
      <w:r w:rsidR="00AD733F" w:rsidRPr="0074752B">
        <w:rPr>
          <w:rFonts w:ascii="Arial" w:hAnsi="Arial" w:cs="Arial"/>
          <w:sz w:val="20"/>
        </w:rPr>
        <w:t xml:space="preserve"> rather than the solution</w:t>
      </w:r>
      <w:r w:rsidRPr="0074752B">
        <w:rPr>
          <w:rFonts w:ascii="Arial" w:hAnsi="Arial" w:cs="Arial"/>
          <w:sz w:val="20"/>
        </w:rPr>
        <w:t xml:space="preserve">.   </w:t>
      </w:r>
    </w:p>
    <w:p w:rsidR="00124B77" w:rsidRPr="0074752B" w:rsidRDefault="00124B77" w:rsidP="00124B77">
      <w:pPr>
        <w:rPr>
          <w:rFonts w:ascii="Arial" w:hAnsi="Arial" w:cs="Arial"/>
          <w:sz w:val="20"/>
        </w:rPr>
      </w:pPr>
    </w:p>
    <w:p w:rsidR="00124B77" w:rsidRPr="0074752B" w:rsidRDefault="00AA0292" w:rsidP="00124B77">
      <w:pPr>
        <w:rPr>
          <w:rFonts w:ascii="Arial" w:hAnsi="Arial" w:cs="Arial"/>
          <w:sz w:val="20"/>
        </w:rPr>
      </w:pPr>
      <w:r w:rsidRPr="0074752B">
        <w:rPr>
          <w:rFonts w:ascii="Arial" w:hAnsi="Arial" w:cs="Arial"/>
          <w:sz w:val="20"/>
        </w:rPr>
        <w:t xml:space="preserve">It is not clear </w:t>
      </w:r>
      <w:r w:rsidR="00AD733F" w:rsidRPr="0074752B">
        <w:rPr>
          <w:rFonts w:ascii="Arial" w:hAnsi="Arial" w:cs="Arial"/>
          <w:sz w:val="20"/>
        </w:rPr>
        <w:t>that</w:t>
      </w:r>
      <w:r w:rsidRPr="0074752B">
        <w:rPr>
          <w:rFonts w:ascii="Arial" w:hAnsi="Arial" w:cs="Arial"/>
          <w:sz w:val="20"/>
        </w:rPr>
        <w:t xml:space="preserve"> Centrelink will be able to im</w:t>
      </w:r>
      <w:r w:rsidR="00124B77" w:rsidRPr="0074752B">
        <w:rPr>
          <w:rFonts w:ascii="Arial" w:hAnsi="Arial" w:cs="Arial"/>
          <w:sz w:val="20"/>
        </w:rPr>
        <w:t xml:space="preserve">plement </w:t>
      </w:r>
      <w:r w:rsidR="00AD733F" w:rsidRPr="0074752B">
        <w:rPr>
          <w:rFonts w:ascii="Arial" w:hAnsi="Arial" w:cs="Arial"/>
          <w:sz w:val="20"/>
        </w:rPr>
        <w:t>the Deduction Scheme</w:t>
      </w:r>
      <w:r w:rsidR="00124B77" w:rsidRPr="0074752B">
        <w:rPr>
          <w:rFonts w:ascii="Arial" w:hAnsi="Arial" w:cs="Arial"/>
          <w:sz w:val="20"/>
        </w:rPr>
        <w:t xml:space="preserve"> effectively in a way that diminishes rather than exacerbates the risk of eviction for public housing tenants. </w:t>
      </w:r>
    </w:p>
    <w:p w:rsidR="00124B77" w:rsidRPr="0074752B" w:rsidRDefault="00124B77" w:rsidP="00124B77">
      <w:pPr>
        <w:rPr>
          <w:rFonts w:ascii="Arial" w:hAnsi="Arial" w:cs="Arial"/>
          <w:sz w:val="20"/>
        </w:rPr>
      </w:pPr>
    </w:p>
    <w:p w:rsidR="00AA0292" w:rsidRPr="0074752B" w:rsidRDefault="00124B77" w:rsidP="00124B77">
      <w:pPr>
        <w:pBdr>
          <w:top w:val="single" w:sz="4" w:space="1" w:color="auto"/>
          <w:left w:val="single" w:sz="4" w:space="4" w:color="auto"/>
          <w:bottom w:val="single" w:sz="4" w:space="1" w:color="auto"/>
          <w:right w:val="single" w:sz="4" w:space="4" w:color="auto"/>
        </w:pBdr>
        <w:shd w:val="pct10" w:color="auto" w:fill="auto"/>
        <w:rPr>
          <w:rFonts w:ascii="Arial" w:hAnsi="Arial" w:cs="Arial"/>
          <w:sz w:val="20"/>
        </w:rPr>
      </w:pPr>
      <w:r w:rsidRPr="0074752B">
        <w:rPr>
          <w:rFonts w:ascii="Arial" w:hAnsi="Arial" w:cs="Arial"/>
          <w:sz w:val="20"/>
        </w:rPr>
        <w:t xml:space="preserve">The HPLC recommends that </w:t>
      </w:r>
      <w:r w:rsidR="008E2274">
        <w:rPr>
          <w:rFonts w:ascii="Arial" w:hAnsi="Arial" w:cs="Arial"/>
          <w:sz w:val="20"/>
        </w:rPr>
        <w:t xml:space="preserve">the </w:t>
      </w:r>
      <w:r w:rsidRPr="0074752B">
        <w:rPr>
          <w:rFonts w:ascii="Arial" w:hAnsi="Arial" w:cs="Arial"/>
          <w:sz w:val="20"/>
        </w:rPr>
        <w:t xml:space="preserve">Government considers the injection of support, training and resources </w:t>
      </w:r>
      <w:r w:rsidR="0087359F" w:rsidRPr="0074752B">
        <w:rPr>
          <w:rFonts w:ascii="Arial" w:hAnsi="Arial" w:cs="Arial"/>
          <w:sz w:val="20"/>
        </w:rPr>
        <w:t xml:space="preserve">that </w:t>
      </w:r>
      <w:r w:rsidRPr="0074752B">
        <w:rPr>
          <w:rFonts w:ascii="Arial" w:hAnsi="Arial" w:cs="Arial"/>
          <w:sz w:val="20"/>
        </w:rPr>
        <w:t xml:space="preserve">would be required for Centrelink to implement the Deduction Scheme in an effective way so that administrative issues did not present a risk of eviction for tenants.   </w:t>
      </w:r>
      <w:r w:rsidR="00AA0292" w:rsidRPr="0074752B">
        <w:rPr>
          <w:rFonts w:ascii="Arial" w:hAnsi="Arial" w:cs="Arial"/>
          <w:sz w:val="20"/>
        </w:rPr>
        <w:t xml:space="preserve">  </w:t>
      </w:r>
    </w:p>
    <w:p w:rsidR="00783B93" w:rsidRPr="0074752B" w:rsidRDefault="00783B93" w:rsidP="009E784F">
      <w:pPr>
        <w:rPr>
          <w:rFonts w:ascii="Arial" w:hAnsi="Arial" w:cs="Arial"/>
          <w:b/>
          <w:sz w:val="20"/>
        </w:rPr>
      </w:pPr>
    </w:p>
    <w:p w:rsidR="0068118E" w:rsidRPr="0074752B" w:rsidRDefault="0068118E" w:rsidP="00834E15">
      <w:pPr>
        <w:rPr>
          <w:rFonts w:ascii="Arial" w:hAnsi="Arial" w:cs="Arial"/>
          <w:sz w:val="20"/>
        </w:rPr>
      </w:pPr>
    </w:p>
    <w:p w:rsidR="007C064B" w:rsidRDefault="007C064B" w:rsidP="00124B77">
      <w:pPr>
        <w:rPr>
          <w:rFonts w:ascii="Arial" w:hAnsi="Arial" w:cs="Arial"/>
          <w:b/>
          <w:szCs w:val="22"/>
        </w:rPr>
      </w:pPr>
    </w:p>
    <w:p w:rsidR="007C064B" w:rsidRDefault="007C064B" w:rsidP="00124B77">
      <w:pPr>
        <w:rPr>
          <w:rFonts w:ascii="Arial" w:hAnsi="Arial" w:cs="Arial"/>
          <w:b/>
          <w:szCs w:val="22"/>
        </w:rPr>
      </w:pPr>
    </w:p>
    <w:p w:rsidR="007C064B" w:rsidRDefault="007C064B" w:rsidP="00124B77">
      <w:pPr>
        <w:rPr>
          <w:rFonts w:ascii="Arial" w:hAnsi="Arial" w:cs="Arial"/>
          <w:b/>
          <w:szCs w:val="22"/>
        </w:rPr>
      </w:pPr>
    </w:p>
    <w:p w:rsidR="001D1775" w:rsidRPr="0074752B" w:rsidRDefault="001D1775" w:rsidP="00124B77">
      <w:pPr>
        <w:rPr>
          <w:rFonts w:ascii="Arial" w:hAnsi="Arial" w:cs="Arial"/>
          <w:b/>
          <w:szCs w:val="22"/>
        </w:rPr>
      </w:pPr>
      <w:r w:rsidRPr="0074752B">
        <w:rPr>
          <w:rFonts w:ascii="Arial" w:hAnsi="Arial" w:cs="Arial"/>
          <w:b/>
          <w:szCs w:val="22"/>
        </w:rPr>
        <w:t>Conclusion</w:t>
      </w:r>
    </w:p>
    <w:p w:rsidR="00832FDB" w:rsidRPr="0074752B" w:rsidRDefault="00832FDB" w:rsidP="00832FDB">
      <w:pPr>
        <w:rPr>
          <w:rFonts w:ascii="Arial" w:hAnsi="Arial" w:cs="Arial"/>
          <w:sz w:val="20"/>
        </w:rPr>
      </w:pPr>
    </w:p>
    <w:p w:rsidR="00462D9C" w:rsidRPr="0074752B" w:rsidRDefault="004047EE" w:rsidP="00832FDB">
      <w:pPr>
        <w:rPr>
          <w:rFonts w:ascii="Arial" w:hAnsi="Arial" w:cs="Arial"/>
          <w:sz w:val="20"/>
        </w:rPr>
      </w:pPr>
      <w:r w:rsidRPr="0074752B">
        <w:rPr>
          <w:rFonts w:ascii="Arial" w:hAnsi="Arial" w:cs="Arial"/>
          <w:sz w:val="20"/>
        </w:rPr>
        <w:t xml:space="preserve">In summary, in its current form, </w:t>
      </w:r>
      <w:r w:rsidR="009D2816" w:rsidRPr="0074752B">
        <w:rPr>
          <w:rFonts w:ascii="Arial" w:hAnsi="Arial" w:cs="Arial"/>
          <w:sz w:val="20"/>
        </w:rPr>
        <w:t>the HPLC</w:t>
      </w:r>
      <w:r w:rsidRPr="0074752B">
        <w:rPr>
          <w:rFonts w:ascii="Arial" w:hAnsi="Arial" w:cs="Arial"/>
          <w:sz w:val="20"/>
        </w:rPr>
        <w:t xml:space="preserve"> </w:t>
      </w:r>
      <w:r w:rsidR="009D2816" w:rsidRPr="0074752B">
        <w:rPr>
          <w:rFonts w:ascii="Arial" w:hAnsi="Arial" w:cs="Arial"/>
          <w:sz w:val="20"/>
        </w:rPr>
        <w:t xml:space="preserve">does </w:t>
      </w:r>
      <w:r w:rsidRPr="0074752B">
        <w:rPr>
          <w:rFonts w:ascii="Arial" w:hAnsi="Arial" w:cs="Arial"/>
          <w:sz w:val="20"/>
        </w:rPr>
        <w:t xml:space="preserve">not support the </w:t>
      </w:r>
      <w:r w:rsidR="00B24EF4" w:rsidRPr="0074752B">
        <w:rPr>
          <w:rFonts w:ascii="Arial" w:hAnsi="Arial" w:cs="Arial"/>
          <w:sz w:val="20"/>
        </w:rPr>
        <w:t xml:space="preserve">Exposure Draft or the </w:t>
      </w:r>
      <w:r w:rsidRPr="0074752B">
        <w:rPr>
          <w:rFonts w:ascii="Arial" w:hAnsi="Arial" w:cs="Arial"/>
          <w:sz w:val="20"/>
        </w:rPr>
        <w:t>Deduction Scheme.</w:t>
      </w:r>
      <w:r w:rsidR="00B24EF4" w:rsidRPr="0074752B">
        <w:rPr>
          <w:rFonts w:ascii="Arial" w:hAnsi="Arial" w:cs="Arial"/>
          <w:sz w:val="20"/>
        </w:rPr>
        <w:t xml:space="preserve">  For a mechanism that has such wide potential consequences for a significant number of public housing tenants, further consultation and consideration is required to avoid the risks we have identified in this submission.  </w:t>
      </w:r>
    </w:p>
    <w:p w:rsidR="00832FDB" w:rsidRPr="0074752B" w:rsidRDefault="00832FDB" w:rsidP="00832FDB">
      <w:pPr>
        <w:rPr>
          <w:rFonts w:ascii="Arial" w:hAnsi="Arial" w:cs="Arial"/>
          <w:sz w:val="20"/>
        </w:rPr>
      </w:pPr>
    </w:p>
    <w:p w:rsidR="00B24EF4" w:rsidRPr="0074752B" w:rsidRDefault="00796DF6" w:rsidP="00832FDB">
      <w:pPr>
        <w:rPr>
          <w:rFonts w:ascii="Arial" w:hAnsi="Arial" w:cs="Arial"/>
          <w:sz w:val="20"/>
        </w:rPr>
      </w:pPr>
      <w:proofErr w:type="gramStart"/>
      <w:r>
        <w:rPr>
          <w:rFonts w:ascii="Arial" w:hAnsi="Arial" w:cs="Arial"/>
          <w:sz w:val="20"/>
        </w:rPr>
        <w:t>a</w:t>
      </w:r>
      <w:proofErr w:type="gramEnd"/>
    </w:p>
    <w:p w:rsidR="004079EE" w:rsidRPr="0074752B" w:rsidRDefault="004079EE" w:rsidP="00832FDB">
      <w:pPr>
        <w:rPr>
          <w:rFonts w:ascii="Arial" w:hAnsi="Arial" w:cs="Arial"/>
          <w:sz w:val="20"/>
        </w:rPr>
      </w:pPr>
    </w:p>
    <w:p w:rsidR="00462D9C" w:rsidRPr="0074752B" w:rsidRDefault="00462D9C" w:rsidP="00832FDB">
      <w:pPr>
        <w:rPr>
          <w:rFonts w:ascii="Arial" w:hAnsi="Arial" w:cs="Arial"/>
          <w:sz w:val="20"/>
        </w:rPr>
      </w:pPr>
      <w:r w:rsidRPr="0074752B">
        <w:rPr>
          <w:rFonts w:ascii="Arial" w:hAnsi="Arial" w:cs="Arial"/>
          <w:sz w:val="20"/>
        </w:rPr>
        <w:t xml:space="preserve">We would welcome the opportunity to discuss the Exposure Draft </w:t>
      </w:r>
      <w:r w:rsidR="00B24EF4" w:rsidRPr="0074752B">
        <w:rPr>
          <w:rFonts w:ascii="Arial" w:hAnsi="Arial" w:cs="Arial"/>
          <w:sz w:val="20"/>
        </w:rPr>
        <w:t xml:space="preserve">and the Deduction Scheme </w:t>
      </w:r>
      <w:r w:rsidRPr="0074752B">
        <w:rPr>
          <w:rFonts w:ascii="Arial" w:hAnsi="Arial" w:cs="Arial"/>
          <w:sz w:val="20"/>
        </w:rPr>
        <w:t xml:space="preserve">with you.  </w:t>
      </w:r>
    </w:p>
    <w:p w:rsidR="00832FDB" w:rsidRPr="0074752B" w:rsidRDefault="00832FDB" w:rsidP="00832FDB">
      <w:pPr>
        <w:rPr>
          <w:rFonts w:ascii="Arial" w:hAnsi="Arial" w:cs="Arial"/>
          <w:sz w:val="20"/>
        </w:rPr>
      </w:pPr>
    </w:p>
    <w:p w:rsidR="001D1775" w:rsidRPr="0074752B" w:rsidRDefault="001D1775" w:rsidP="00832FDB">
      <w:pPr>
        <w:rPr>
          <w:rFonts w:ascii="Arial" w:hAnsi="Arial" w:cs="Arial"/>
          <w:sz w:val="20"/>
        </w:rPr>
      </w:pPr>
      <w:r w:rsidRPr="0074752B">
        <w:rPr>
          <w:rFonts w:ascii="Arial" w:hAnsi="Arial" w:cs="Arial"/>
          <w:sz w:val="20"/>
        </w:rPr>
        <w:t>Please contact Lucy Adams</w:t>
      </w:r>
      <w:r w:rsidR="0066200E" w:rsidRPr="0074752B">
        <w:rPr>
          <w:rFonts w:ascii="Arial" w:hAnsi="Arial" w:cs="Arial"/>
          <w:sz w:val="20"/>
        </w:rPr>
        <w:t xml:space="preserve"> on (03) 8636 4409</w:t>
      </w:r>
      <w:r w:rsidRPr="0074752B">
        <w:rPr>
          <w:rFonts w:ascii="Arial" w:hAnsi="Arial" w:cs="Arial"/>
          <w:sz w:val="20"/>
        </w:rPr>
        <w:t xml:space="preserve"> if you would like </w:t>
      </w:r>
      <w:r w:rsidR="00CF14E6" w:rsidRPr="0074752B">
        <w:rPr>
          <w:rFonts w:ascii="Arial" w:hAnsi="Arial" w:cs="Arial"/>
          <w:sz w:val="20"/>
        </w:rPr>
        <w:t xml:space="preserve">to </w:t>
      </w:r>
      <w:r w:rsidR="0074752B">
        <w:rPr>
          <w:rFonts w:ascii="Arial" w:hAnsi="Arial" w:cs="Arial"/>
          <w:sz w:val="20"/>
        </w:rPr>
        <w:t>discuss the content of this submission</w:t>
      </w:r>
      <w:r w:rsidR="008114B1" w:rsidRPr="0074752B">
        <w:rPr>
          <w:rFonts w:ascii="Arial" w:hAnsi="Arial" w:cs="Arial"/>
          <w:sz w:val="20"/>
        </w:rPr>
        <w:t xml:space="preserve">.  </w:t>
      </w:r>
      <w:r w:rsidRPr="0074752B">
        <w:rPr>
          <w:rFonts w:ascii="Arial" w:hAnsi="Arial" w:cs="Arial"/>
          <w:sz w:val="20"/>
        </w:rPr>
        <w:t xml:space="preserve">   </w:t>
      </w:r>
    </w:p>
    <w:p w:rsidR="00832FDB" w:rsidRPr="0074752B" w:rsidRDefault="00832FDB" w:rsidP="00832FDB">
      <w:pPr>
        <w:rPr>
          <w:rFonts w:ascii="Arial" w:hAnsi="Arial" w:cs="Arial"/>
          <w:sz w:val="20"/>
        </w:rPr>
      </w:pPr>
    </w:p>
    <w:p w:rsidR="001D1775" w:rsidRPr="0074752B" w:rsidRDefault="001D1775" w:rsidP="00832FDB">
      <w:pPr>
        <w:rPr>
          <w:rFonts w:ascii="Arial" w:hAnsi="Arial" w:cs="Arial"/>
          <w:sz w:val="20"/>
        </w:rPr>
      </w:pPr>
      <w:r w:rsidRPr="0074752B">
        <w:rPr>
          <w:rFonts w:ascii="Arial" w:hAnsi="Arial" w:cs="Arial"/>
          <w:sz w:val="20"/>
        </w:rPr>
        <w:t>Yours sincerely</w:t>
      </w:r>
    </w:p>
    <w:p w:rsidR="00BC486E" w:rsidRPr="0074752B" w:rsidRDefault="00BC486E" w:rsidP="009004ED">
      <w:pPr>
        <w:rPr>
          <w:rFonts w:ascii="Arial" w:hAnsi="Arial" w:cs="Arial"/>
          <w:sz w:val="20"/>
        </w:rPr>
      </w:pPr>
    </w:p>
    <w:p w:rsidR="00BC486E" w:rsidRPr="0074752B" w:rsidRDefault="00BC486E" w:rsidP="009004ED">
      <w:pPr>
        <w:rPr>
          <w:rFonts w:ascii="Arial" w:hAnsi="Arial" w:cs="Arial"/>
          <w:sz w:val="20"/>
        </w:rPr>
      </w:pPr>
    </w:p>
    <w:p w:rsidR="00BC486E" w:rsidRPr="0074752B" w:rsidRDefault="00BC486E" w:rsidP="009004ED">
      <w:pPr>
        <w:rPr>
          <w:rFonts w:ascii="Arial" w:hAnsi="Arial" w:cs="Arial"/>
          <w:sz w:val="20"/>
        </w:rPr>
      </w:pPr>
    </w:p>
    <w:tbl>
      <w:tblPr>
        <w:tblW w:w="9204" w:type="dxa"/>
        <w:tblLook w:val="01E0" w:firstRow="1" w:lastRow="1" w:firstColumn="1" w:lastColumn="1" w:noHBand="0" w:noVBand="0"/>
      </w:tblPr>
      <w:tblGrid>
        <w:gridCol w:w="4602"/>
        <w:gridCol w:w="4602"/>
      </w:tblGrid>
      <w:tr w:rsidR="006B45DD" w:rsidRPr="0074752B">
        <w:tc>
          <w:tcPr>
            <w:tcW w:w="4602" w:type="dxa"/>
          </w:tcPr>
          <w:p w:rsidR="006B45DD" w:rsidRPr="0074752B" w:rsidRDefault="008B1A95" w:rsidP="0091792E">
            <w:pPr>
              <w:spacing w:after="120" w:line="270" w:lineRule="atLeast"/>
              <w:rPr>
                <w:rFonts w:ascii="Arial" w:hAnsi="Arial" w:cs="Arial"/>
                <w:noProof/>
                <w:sz w:val="20"/>
              </w:rPr>
            </w:pPr>
            <w:r w:rsidRPr="0074752B">
              <w:rPr>
                <w:rFonts w:ascii="Arial" w:hAnsi="Arial" w:cs="Arial"/>
                <w:noProof/>
                <w:sz w:val="20"/>
              </w:rPr>
              <w:drawing>
                <wp:inline distT="0" distB="0" distL="0" distR="0">
                  <wp:extent cx="2427785" cy="733425"/>
                  <wp:effectExtent l="19050" t="0" r="0" b="0"/>
                  <wp:docPr id="1" name="Picture 1" descr="Z:\SHARED\HPLC\Homeless Persons' Legal Clinic\1. Administration\staff signatures\Chris Pov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HPLC\Homeless Persons' Legal Clinic\1. Administration\staff signatures\Chris Povey.bmp"/>
                          <pic:cNvPicPr>
                            <a:picLocks noChangeAspect="1" noChangeArrowheads="1"/>
                          </pic:cNvPicPr>
                        </pic:nvPicPr>
                        <pic:blipFill>
                          <a:blip r:embed="rId9" cstate="print"/>
                          <a:srcRect/>
                          <a:stretch>
                            <a:fillRect/>
                          </a:stretch>
                        </pic:blipFill>
                        <pic:spPr bwMode="auto">
                          <a:xfrm>
                            <a:off x="0" y="0"/>
                            <a:ext cx="2433939" cy="735284"/>
                          </a:xfrm>
                          <a:prstGeom prst="rect">
                            <a:avLst/>
                          </a:prstGeom>
                          <a:noFill/>
                          <a:ln w="9525">
                            <a:noFill/>
                            <a:miter lim="800000"/>
                            <a:headEnd/>
                            <a:tailEnd/>
                          </a:ln>
                        </pic:spPr>
                      </pic:pic>
                    </a:graphicData>
                  </a:graphic>
                </wp:inline>
              </w:drawing>
            </w:r>
          </w:p>
        </w:tc>
        <w:tc>
          <w:tcPr>
            <w:tcW w:w="4602" w:type="dxa"/>
            <w:vAlign w:val="bottom"/>
          </w:tcPr>
          <w:p w:rsidR="006B45DD" w:rsidRPr="0074752B" w:rsidRDefault="00E054FC" w:rsidP="0091792E">
            <w:pPr>
              <w:spacing w:after="120" w:line="270" w:lineRule="atLeast"/>
              <w:rPr>
                <w:rFonts w:ascii="Arial" w:hAnsi="Arial" w:cs="Arial"/>
                <w:noProof/>
                <w:sz w:val="20"/>
              </w:rPr>
            </w:pPr>
            <w:r w:rsidRPr="0074752B">
              <w:rPr>
                <w:rFonts w:ascii="Arial" w:hAnsi="Arial" w:cs="Arial"/>
                <w:noProof/>
                <w:sz w:val="20"/>
              </w:rPr>
              <w:drawing>
                <wp:inline distT="0" distB="0" distL="0" distR="0">
                  <wp:extent cx="1838325" cy="729730"/>
                  <wp:effectExtent l="19050" t="0" r="9525" b="0"/>
                  <wp:docPr id="2" name="Picture 2" descr="Lucy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y Adams"/>
                          <pic:cNvPicPr>
                            <a:picLocks noChangeAspect="1" noChangeArrowheads="1"/>
                          </pic:cNvPicPr>
                        </pic:nvPicPr>
                        <pic:blipFill>
                          <a:blip r:embed="rId10" cstate="print"/>
                          <a:srcRect/>
                          <a:stretch>
                            <a:fillRect/>
                          </a:stretch>
                        </pic:blipFill>
                        <pic:spPr bwMode="auto">
                          <a:xfrm>
                            <a:off x="0" y="0"/>
                            <a:ext cx="1838325" cy="729730"/>
                          </a:xfrm>
                          <a:prstGeom prst="rect">
                            <a:avLst/>
                          </a:prstGeom>
                          <a:noFill/>
                          <a:ln w="9525">
                            <a:noFill/>
                            <a:miter lim="800000"/>
                            <a:headEnd/>
                            <a:tailEnd/>
                          </a:ln>
                        </pic:spPr>
                      </pic:pic>
                    </a:graphicData>
                  </a:graphic>
                </wp:inline>
              </w:drawing>
            </w:r>
          </w:p>
        </w:tc>
      </w:tr>
      <w:tr w:rsidR="006B45DD" w:rsidRPr="0074752B">
        <w:tc>
          <w:tcPr>
            <w:tcW w:w="4602" w:type="dxa"/>
          </w:tcPr>
          <w:p w:rsidR="006B45DD" w:rsidRPr="0074752B" w:rsidRDefault="004047EE" w:rsidP="004047EE">
            <w:pPr>
              <w:spacing w:after="120" w:line="270" w:lineRule="atLeast"/>
              <w:rPr>
                <w:rFonts w:ascii="Arial" w:hAnsi="Arial" w:cs="Arial"/>
                <w:noProof/>
                <w:sz w:val="20"/>
              </w:rPr>
            </w:pPr>
            <w:r w:rsidRPr="0074752B">
              <w:rPr>
                <w:rFonts w:ascii="Arial" w:hAnsi="Arial" w:cs="Arial"/>
                <w:b/>
                <w:noProof/>
                <w:sz w:val="20"/>
              </w:rPr>
              <w:t>Chris Povey</w:t>
            </w:r>
            <w:r w:rsidR="006B45DD" w:rsidRPr="0074752B">
              <w:rPr>
                <w:rFonts w:ascii="Arial" w:hAnsi="Arial" w:cs="Arial"/>
                <w:b/>
                <w:noProof/>
                <w:sz w:val="20"/>
              </w:rPr>
              <w:t xml:space="preserve"> </w:t>
            </w:r>
            <w:r w:rsidR="006B45DD" w:rsidRPr="0074752B">
              <w:rPr>
                <w:rFonts w:ascii="Arial" w:hAnsi="Arial" w:cs="Arial"/>
                <w:b/>
                <w:noProof/>
                <w:sz w:val="20"/>
              </w:rPr>
              <w:br/>
            </w:r>
            <w:r w:rsidR="006B45DD" w:rsidRPr="0074752B">
              <w:rPr>
                <w:rFonts w:ascii="Arial" w:hAnsi="Arial" w:cs="Arial"/>
                <w:noProof/>
                <w:sz w:val="20"/>
              </w:rPr>
              <w:t xml:space="preserve">Manager and Principal Lawyer </w:t>
            </w:r>
            <w:r w:rsidR="006B45DD" w:rsidRPr="0074752B">
              <w:rPr>
                <w:rFonts w:ascii="Arial" w:hAnsi="Arial" w:cs="Arial"/>
                <w:noProof/>
                <w:sz w:val="20"/>
              </w:rPr>
              <w:br/>
              <w:t>PILCH Homeless Persons’ Legal Clinic</w:t>
            </w:r>
          </w:p>
        </w:tc>
        <w:tc>
          <w:tcPr>
            <w:tcW w:w="4602" w:type="dxa"/>
          </w:tcPr>
          <w:p w:rsidR="006B45DD" w:rsidRPr="0074752B" w:rsidRDefault="006B45DD" w:rsidP="0091792E">
            <w:pPr>
              <w:spacing w:after="120" w:line="270" w:lineRule="atLeast"/>
              <w:rPr>
                <w:rFonts w:ascii="Arial" w:hAnsi="Arial" w:cs="Arial"/>
                <w:b/>
                <w:bCs/>
                <w:noProof/>
                <w:sz w:val="20"/>
              </w:rPr>
            </w:pPr>
            <w:r w:rsidRPr="0074752B">
              <w:rPr>
                <w:rFonts w:ascii="Arial" w:hAnsi="Arial" w:cs="Arial"/>
                <w:b/>
                <w:bCs/>
                <w:noProof/>
                <w:sz w:val="20"/>
              </w:rPr>
              <w:t>Lucy Adams</w:t>
            </w:r>
            <w:r w:rsidRPr="0074752B">
              <w:rPr>
                <w:rFonts w:ascii="Arial" w:hAnsi="Arial" w:cs="Arial"/>
                <w:b/>
                <w:bCs/>
                <w:noProof/>
                <w:sz w:val="20"/>
              </w:rPr>
              <w:br/>
            </w:r>
            <w:r w:rsidR="00783B93" w:rsidRPr="0074752B">
              <w:rPr>
                <w:rFonts w:ascii="Arial" w:hAnsi="Arial" w:cs="Arial"/>
                <w:noProof/>
                <w:sz w:val="20"/>
              </w:rPr>
              <w:t xml:space="preserve">Senior </w:t>
            </w:r>
            <w:r w:rsidRPr="0074752B">
              <w:rPr>
                <w:rFonts w:ascii="Arial" w:hAnsi="Arial" w:cs="Arial"/>
                <w:noProof/>
                <w:sz w:val="20"/>
              </w:rPr>
              <w:t>Lawyer</w:t>
            </w:r>
            <w:r w:rsidRPr="0074752B">
              <w:rPr>
                <w:rFonts w:ascii="Arial" w:hAnsi="Arial" w:cs="Arial"/>
                <w:noProof/>
                <w:sz w:val="20"/>
              </w:rPr>
              <w:br/>
              <w:t>PILCH Homeless Persons’ Legal Clinic</w:t>
            </w:r>
          </w:p>
        </w:tc>
      </w:tr>
    </w:tbl>
    <w:p w:rsidR="001D1775" w:rsidRPr="0074752B" w:rsidRDefault="001D1775" w:rsidP="00AF0A49">
      <w:pPr>
        <w:rPr>
          <w:rFonts w:ascii="Arial" w:hAnsi="Arial" w:cs="Arial"/>
          <w:sz w:val="20"/>
        </w:rPr>
      </w:pPr>
    </w:p>
    <w:p w:rsidR="006747B4" w:rsidRPr="0074752B" w:rsidRDefault="006747B4" w:rsidP="001D1775">
      <w:pPr>
        <w:spacing w:after="120" w:line="270" w:lineRule="atLeast"/>
        <w:rPr>
          <w:rFonts w:ascii="Arial" w:hAnsi="Arial" w:cs="Arial"/>
          <w:sz w:val="20"/>
        </w:rPr>
      </w:pPr>
    </w:p>
    <w:p w:rsidR="001D1775" w:rsidRPr="0074752B" w:rsidRDefault="001D1775" w:rsidP="001D1775">
      <w:pPr>
        <w:spacing w:after="120" w:line="270" w:lineRule="atLeast"/>
        <w:rPr>
          <w:rFonts w:ascii="Arial" w:hAnsi="Arial" w:cs="Arial"/>
          <w:b/>
          <w:szCs w:val="22"/>
        </w:rPr>
      </w:pPr>
      <w:r w:rsidRPr="0074752B">
        <w:rPr>
          <w:rFonts w:ascii="Arial" w:hAnsi="Arial" w:cs="Arial"/>
          <w:sz w:val="20"/>
        </w:rPr>
        <w:br w:type="page"/>
      </w:r>
      <w:r w:rsidRPr="0074752B">
        <w:rPr>
          <w:rFonts w:ascii="Arial" w:hAnsi="Arial" w:cs="Arial"/>
          <w:b/>
          <w:szCs w:val="22"/>
        </w:rPr>
        <w:lastRenderedPageBreak/>
        <w:t xml:space="preserve">Annexure  – About the PILCH Homeless Persons’ Legal Clinic </w:t>
      </w:r>
    </w:p>
    <w:p w:rsidR="001D1775" w:rsidRPr="0074752B" w:rsidRDefault="001D1775" w:rsidP="001D1775">
      <w:pPr>
        <w:spacing w:after="120" w:line="270" w:lineRule="atLeast"/>
        <w:rPr>
          <w:rFonts w:ascii="Arial" w:hAnsi="Arial" w:cs="Arial"/>
          <w:sz w:val="20"/>
        </w:rPr>
      </w:pPr>
      <w:r w:rsidRPr="0074752B">
        <w:rPr>
          <w:rFonts w:ascii="Arial" w:hAnsi="Arial" w:cs="Arial"/>
          <w:sz w:val="20"/>
        </w:rPr>
        <w:t>The Public Interest Law Clearing House (Vic) Inc (</w:t>
      </w:r>
      <w:r w:rsidRPr="0074752B">
        <w:rPr>
          <w:rFonts w:ascii="Arial" w:hAnsi="Arial" w:cs="Arial"/>
          <w:b/>
          <w:sz w:val="20"/>
        </w:rPr>
        <w:t>PILCH</w:t>
      </w:r>
      <w:r w:rsidRPr="0074752B">
        <w:rPr>
          <w:rFonts w:ascii="Arial" w:hAnsi="Arial" w:cs="Arial"/>
          <w:sz w:val="20"/>
        </w:rPr>
        <w:t>) is a leading Victorian, not-for-profit organisation.  It is committed to furthering the public interest, improving access to justice and protecting human rights by facilitating the provision of pro bono legal services and undertaking law reform, policy work and legal education.  In carrying out its mission, PILCH seeks to:</w:t>
      </w:r>
    </w:p>
    <w:p w:rsidR="001D1775" w:rsidRPr="0074752B" w:rsidRDefault="001D1775" w:rsidP="001D1775">
      <w:pPr>
        <w:numPr>
          <w:ilvl w:val="2"/>
          <w:numId w:val="9"/>
        </w:numPr>
        <w:tabs>
          <w:tab w:val="clear" w:pos="2320"/>
          <w:tab w:val="num" w:pos="567"/>
        </w:tabs>
        <w:spacing w:after="120" w:line="270" w:lineRule="atLeast"/>
        <w:ind w:left="567" w:hanging="567"/>
        <w:rPr>
          <w:rFonts w:ascii="Arial" w:hAnsi="Arial" w:cs="Arial"/>
          <w:sz w:val="20"/>
        </w:rPr>
      </w:pPr>
      <w:r w:rsidRPr="0074752B">
        <w:rPr>
          <w:rFonts w:ascii="Arial" w:hAnsi="Arial" w:cs="Arial"/>
          <w:sz w:val="20"/>
        </w:rPr>
        <w:t>address disadvantage and marginalisation in the community;</w:t>
      </w:r>
    </w:p>
    <w:p w:rsidR="001D1775" w:rsidRPr="0074752B" w:rsidRDefault="001D1775" w:rsidP="001D1775">
      <w:pPr>
        <w:numPr>
          <w:ilvl w:val="2"/>
          <w:numId w:val="9"/>
        </w:numPr>
        <w:tabs>
          <w:tab w:val="clear" w:pos="2320"/>
          <w:tab w:val="num" w:pos="567"/>
        </w:tabs>
        <w:spacing w:after="120" w:line="270" w:lineRule="atLeast"/>
        <w:ind w:left="567" w:hanging="567"/>
        <w:rPr>
          <w:rFonts w:ascii="Arial" w:hAnsi="Arial" w:cs="Arial"/>
          <w:sz w:val="20"/>
        </w:rPr>
      </w:pPr>
      <w:r w:rsidRPr="0074752B">
        <w:rPr>
          <w:rFonts w:ascii="Arial" w:hAnsi="Arial" w:cs="Arial"/>
          <w:sz w:val="20"/>
        </w:rPr>
        <w:t xml:space="preserve">effect structural change to address injustice; </w:t>
      </w:r>
    </w:p>
    <w:p w:rsidR="001D1775" w:rsidRPr="0074752B" w:rsidRDefault="001D1775" w:rsidP="001D1775">
      <w:pPr>
        <w:numPr>
          <w:ilvl w:val="2"/>
          <w:numId w:val="9"/>
        </w:numPr>
        <w:tabs>
          <w:tab w:val="clear" w:pos="2320"/>
          <w:tab w:val="num" w:pos="567"/>
        </w:tabs>
        <w:spacing w:after="120" w:line="270" w:lineRule="atLeast"/>
        <w:ind w:left="567" w:hanging="567"/>
        <w:rPr>
          <w:rFonts w:ascii="Arial" w:hAnsi="Arial" w:cs="Arial"/>
          <w:sz w:val="20"/>
        </w:rPr>
      </w:pPr>
      <w:r w:rsidRPr="0074752B">
        <w:rPr>
          <w:rFonts w:ascii="Arial" w:hAnsi="Arial" w:cs="Arial"/>
          <w:sz w:val="20"/>
        </w:rPr>
        <w:t>foster a strong pro bono culture in Victoria; and</w:t>
      </w:r>
    </w:p>
    <w:p w:rsidR="001D1775" w:rsidRPr="0074752B" w:rsidRDefault="001D1775" w:rsidP="001D1775">
      <w:pPr>
        <w:numPr>
          <w:ilvl w:val="2"/>
          <w:numId w:val="9"/>
        </w:numPr>
        <w:tabs>
          <w:tab w:val="clear" w:pos="2320"/>
          <w:tab w:val="num" w:pos="567"/>
        </w:tabs>
        <w:spacing w:after="120" w:line="270" w:lineRule="atLeast"/>
        <w:ind w:left="567" w:hanging="567"/>
        <w:rPr>
          <w:rFonts w:ascii="Arial" w:hAnsi="Arial" w:cs="Arial"/>
          <w:sz w:val="20"/>
        </w:rPr>
      </w:pPr>
      <w:r w:rsidRPr="0074752B">
        <w:rPr>
          <w:rFonts w:ascii="Arial" w:hAnsi="Arial" w:cs="Arial"/>
          <w:sz w:val="20"/>
        </w:rPr>
        <w:t xml:space="preserve">increase the pro bono capacity of the legal profession. </w:t>
      </w:r>
    </w:p>
    <w:p w:rsidR="00783B93" w:rsidRPr="0074752B" w:rsidRDefault="001D1775" w:rsidP="001D1775">
      <w:pPr>
        <w:spacing w:after="120" w:line="270" w:lineRule="atLeast"/>
        <w:rPr>
          <w:rFonts w:ascii="Arial" w:hAnsi="Arial" w:cs="Arial"/>
          <w:sz w:val="20"/>
        </w:rPr>
      </w:pPr>
      <w:r w:rsidRPr="0074752B">
        <w:rPr>
          <w:rFonts w:ascii="Arial" w:hAnsi="Arial" w:cs="Arial"/>
          <w:sz w:val="20"/>
        </w:rPr>
        <w:t>The HPLC is a project of PILCH.  It is a specialist legal service that provides free legal assistance and advocacy to people who are homeless or at risk of homelessness</w:t>
      </w:r>
      <w:r w:rsidR="00783B93" w:rsidRPr="0074752B">
        <w:rPr>
          <w:rFonts w:ascii="Arial" w:hAnsi="Arial" w:cs="Arial"/>
          <w:sz w:val="20"/>
        </w:rPr>
        <w:t>.</w:t>
      </w:r>
      <w:r w:rsidRPr="0074752B">
        <w:rPr>
          <w:rFonts w:ascii="Arial" w:hAnsi="Arial" w:cs="Arial"/>
          <w:sz w:val="20"/>
        </w:rPr>
        <w:t xml:space="preserve"> </w:t>
      </w:r>
    </w:p>
    <w:p w:rsidR="00783B93" w:rsidRPr="0074752B" w:rsidRDefault="00783B93" w:rsidP="00783B93">
      <w:pPr>
        <w:rPr>
          <w:rFonts w:ascii="Arial" w:hAnsi="Arial" w:cs="Arial"/>
          <w:sz w:val="20"/>
        </w:rPr>
      </w:pPr>
      <w:r w:rsidRPr="0074752B">
        <w:rPr>
          <w:rFonts w:ascii="Arial" w:hAnsi="Arial" w:cs="Arial"/>
          <w:sz w:val="20"/>
        </w:rPr>
        <w:t xml:space="preserve">Free legal services are offered by the HPLC on a weekly basis at </w:t>
      </w:r>
      <w:r w:rsidR="00CF14E6" w:rsidRPr="0074752B">
        <w:rPr>
          <w:rFonts w:ascii="Arial" w:hAnsi="Arial" w:cs="Arial"/>
          <w:sz w:val="20"/>
        </w:rPr>
        <w:t>eight</w:t>
      </w:r>
      <w:r w:rsidRPr="0074752B">
        <w:rPr>
          <w:rFonts w:ascii="Arial" w:hAnsi="Arial" w:cs="Arial"/>
          <w:sz w:val="20"/>
        </w:rPr>
        <w:t xml:space="preserve"> outreach locations that are already accessed by people experiencing homelessness, including crisis accommodation centres and social and family services.</w:t>
      </w:r>
      <w:r w:rsidRPr="0074752B">
        <w:rPr>
          <w:rStyle w:val="FootnoteReference"/>
          <w:rFonts w:ascii="Arial" w:hAnsi="Arial" w:cs="Arial"/>
          <w:sz w:val="20"/>
        </w:rPr>
        <w:footnoteReference w:id="15"/>
      </w:r>
      <w:r w:rsidRPr="0074752B">
        <w:rPr>
          <w:rFonts w:ascii="Arial" w:hAnsi="Arial" w:cs="Arial"/>
          <w:sz w:val="20"/>
        </w:rPr>
        <w:t xml:space="preserve">  </w:t>
      </w:r>
    </w:p>
    <w:p w:rsidR="00783B93" w:rsidRPr="0074752B" w:rsidRDefault="00783B93" w:rsidP="00783B93">
      <w:pPr>
        <w:rPr>
          <w:rFonts w:ascii="Arial" w:hAnsi="Arial" w:cs="Arial"/>
          <w:sz w:val="20"/>
        </w:rPr>
      </w:pPr>
    </w:p>
    <w:p w:rsidR="001D1775" w:rsidRPr="0074752B" w:rsidRDefault="001D1775" w:rsidP="001D1775">
      <w:pPr>
        <w:spacing w:after="120" w:line="270" w:lineRule="atLeast"/>
        <w:rPr>
          <w:rFonts w:ascii="Arial" w:hAnsi="Arial" w:cs="Arial"/>
          <w:sz w:val="20"/>
        </w:rPr>
      </w:pPr>
      <w:r w:rsidRPr="0074752B">
        <w:rPr>
          <w:rFonts w:ascii="Arial" w:hAnsi="Arial" w:cs="Arial"/>
          <w:sz w:val="20"/>
        </w:rPr>
        <w:t xml:space="preserve">Since its establishment in 2001, the HPLC has provided assistance to over 5000 people experiencing or at risk of homelessness.  </w:t>
      </w:r>
    </w:p>
    <w:p w:rsidR="00783B93" w:rsidRPr="0074752B" w:rsidRDefault="00783B93" w:rsidP="00783B93">
      <w:pPr>
        <w:rPr>
          <w:rFonts w:ascii="Arial" w:hAnsi="Arial" w:cs="Arial"/>
          <w:sz w:val="20"/>
        </w:rPr>
      </w:pPr>
      <w:r w:rsidRPr="0074752B">
        <w:rPr>
          <w:rFonts w:ascii="Arial" w:hAnsi="Arial" w:cs="Arial"/>
          <w:sz w:val="20"/>
        </w:rPr>
        <w:t xml:space="preserve">In addition to providing legal services, the HPLC undertakes a range of law reform and public policy activities. These activities are intended to identify and seek to change laws and policies that impact in a disproportionate or discriminatory way on people experiencing homelessness. </w:t>
      </w:r>
    </w:p>
    <w:p w:rsidR="00783B93" w:rsidRPr="0074752B" w:rsidRDefault="00783B93" w:rsidP="00783B93">
      <w:pPr>
        <w:rPr>
          <w:rFonts w:ascii="Arial" w:hAnsi="Arial" w:cs="Arial"/>
          <w:sz w:val="20"/>
        </w:rPr>
      </w:pPr>
    </w:p>
    <w:p w:rsidR="00783B93" w:rsidRPr="0074752B" w:rsidRDefault="00783B93" w:rsidP="00783B93">
      <w:pPr>
        <w:rPr>
          <w:rFonts w:ascii="Arial" w:hAnsi="Arial" w:cs="Arial"/>
          <w:sz w:val="20"/>
        </w:rPr>
      </w:pPr>
      <w:r w:rsidRPr="0074752B">
        <w:rPr>
          <w:rFonts w:ascii="Arial" w:hAnsi="Arial" w:cs="Arial"/>
          <w:sz w:val="20"/>
        </w:rPr>
        <w:t>The HPLC also conducts a range of capacity building activities, including community legal education and consumer participation activities.</w:t>
      </w:r>
    </w:p>
    <w:p w:rsidR="00783B93" w:rsidRPr="0074752B" w:rsidRDefault="00783B93" w:rsidP="00783B93">
      <w:pPr>
        <w:rPr>
          <w:rFonts w:ascii="Arial" w:hAnsi="Arial" w:cs="Arial"/>
          <w:sz w:val="20"/>
        </w:rPr>
      </w:pPr>
    </w:p>
    <w:p w:rsidR="00F3062C" w:rsidRPr="0074752B" w:rsidRDefault="00783B93" w:rsidP="00783B93">
      <w:pPr>
        <w:rPr>
          <w:rFonts w:ascii="Arial" w:hAnsi="Arial" w:cs="Arial"/>
          <w:sz w:val="20"/>
        </w:rPr>
      </w:pPr>
      <w:r w:rsidRPr="0074752B">
        <w:rPr>
          <w:rFonts w:ascii="Arial" w:hAnsi="Arial" w:cs="Arial"/>
          <w:sz w:val="20"/>
        </w:rPr>
        <w:t>In 2005, the HPLC received the national Human Rights Law Award conferred by the Human Rights and Equal Opportunity Commission in recognition of its contribution to social justice and human rights. In 2009 it received a Melbourne Award for contribution to community in the City of Melbourne.</w:t>
      </w:r>
    </w:p>
    <w:sectPr w:rsidR="00F3062C" w:rsidRPr="0074752B" w:rsidSect="00124B77">
      <w:headerReference w:type="even" r:id="rId11"/>
      <w:headerReference w:type="default" r:id="rId12"/>
      <w:footerReference w:type="even" r:id="rId13"/>
      <w:footerReference w:type="default" r:id="rId14"/>
      <w:headerReference w:type="first" r:id="rId15"/>
      <w:footerReference w:type="first" r:id="rId16"/>
      <w:pgSz w:w="11906" w:h="16838" w:code="9"/>
      <w:pgMar w:top="2381" w:right="567" w:bottom="1701" w:left="794" w:header="448" w:footer="346"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4DE" w:rsidRDefault="004044DE">
      <w:r>
        <w:separator/>
      </w:r>
    </w:p>
  </w:endnote>
  <w:endnote w:type="continuationSeparator" w:id="0">
    <w:p w:rsidR="004044DE" w:rsidRDefault="00404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4DE" w:rsidRDefault="004044DE" w:rsidP="009179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44DE" w:rsidRDefault="004044DE" w:rsidP="00F540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4DE" w:rsidRPr="00166B3F" w:rsidRDefault="004044DE" w:rsidP="00F5400B">
    <w:pPr>
      <w:pStyle w:val="Footer"/>
      <w:framePr w:wrap="around" w:vAnchor="text" w:hAnchor="page" w:x="11062" w:y="-398"/>
      <w:rPr>
        <w:rStyle w:val="PageNumber"/>
        <w:rFonts w:ascii="Arial" w:hAnsi="Arial" w:cs="Arial"/>
        <w:sz w:val="16"/>
        <w:szCs w:val="16"/>
      </w:rPr>
    </w:pPr>
    <w:r w:rsidRPr="00166B3F">
      <w:rPr>
        <w:rStyle w:val="PageNumber"/>
        <w:rFonts w:ascii="Arial" w:hAnsi="Arial" w:cs="Arial"/>
        <w:sz w:val="16"/>
        <w:szCs w:val="16"/>
      </w:rPr>
      <w:fldChar w:fldCharType="begin"/>
    </w:r>
    <w:r w:rsidRPr="00166B3F">
      <w:rPr>
        <w:rStyle w:val="PageNumber"/>
        <w:rFonts w:ascii="Arial" w:hAnsi="Arial" w:cs="Arial"/>
        <w:sz w:val="16"/>
        <w:szCs w:val="16"/>
      </w:rPr>
      <w:instrText xml:space="preserve">PAGE  </w:instrText>
    </w:r>
    <w:r w:rsidRPr="00166B3F">
      <w:rPr>
        <w:rStyle w:val="PageNumber"/>
        <w:rFonts w:ascii="Arial" w:hAnsi="Arial" w:cs="Arial"/>
        <w:sz w:val="16"/>
        <w:szCs w:val="16"/>
      </w:rPr>
      <w:fldChar w:fldCharType="separate"/>
    </w:r>
    <w:r w:rsidR="00796DF6">
      <w:rPr>
        <w:rStyle w:val="PageNumber"/>
        <w:rFonts w:ascii="Arial" w:hAnsi="Arial" w:cs="Arial"/>
        <w:noProof/>
        <w:sz w:val="16"/>
        <w:szCs w:val="16"/>
      </w:rPr>
      <w:t>1</w:t>
    </w:r>
    <w:r w:rsidRPr="00166B3F">
      <w:rPr>
        <w:rStyle w:val="PageNumber"/>
        <w:rFonts w:ascii="Arial" w:hAnsi="Arial" w:cs="Arial"/>
        <w:sz w:val="16"/>
        <w:szCs w:val="16"/>
      </w:rPr>
      <w:fldChar w:fldCharType="end"/>
    </w:r>
  </w:p>
  <w:p w:rsidR="004044DE" w:rsidRDefault="004D1C2A" w:rsidP="00AF1DAE">
    <w:pPr>
      <w:pStyle w:val="Footer"/>
      <w:tabs>
        <w:tab w:val="center" w:pos="5092"/>
      </w:tabs>
      <w:ind w:right="360"/>
    </w:pPr>
    <w:r>
      <w:rPr>
        <w:noProof/>
      </w:rPr>
      <w:drawing>
        <wp:inline distT="0" distB="0" distL="0" distR="0" wp14:anchorId="69335221" wp14:editId="70E2BDFC">
          <wp:extent cx="6696075" cy="13176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696075" cy="131762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C2A" w:rsidRDefault="004D1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4DE" w:rsidRDefault="004044DE">
      <w:r>
        <w:separator/>
      </w:r>
    </w:p>
  </w:footnote>
  <w:footnote w:type="continuationSeparator" w:id="0">
    <w:p w:rsidR="004044DE" w:rsidRDefault="004044DE">
      <w:r>
        <w:continuationSeparator/>
      </w:r>
    </w:p>
  </w:footnote>
  <w:footnote w:id="1">
    <w:p w:rsidR="004044DE" w:rsidRPr="0074752B" w:rsidRDefault="004044DE" w:rsidP="00EB0BC7">
      <w:pPr>
        <w:pStyle w:val="FootnoteText"/>
        <w:rPr>
          <w:rFonts w:ascii="Arial" w:hAnsi="Arial" w:cs="Arial"/>
          <w:sz w:val="16"/>
          <w:szCs w:val="16"/>
        </w:rPr>
      </w:pPr>
      <w:r w:rsidRPr="0074752B">
        <w:rPr>
          <w:rStyle w:val="FootnoteReference"/>
          <w:rFonts w:ascii="Arial" w:hAnsi="Arial" w:cs="Arial"/>
          <w:sz w:val="16"/>
          <w:szCs w:val="16"/>
        </w:rPr>
        <w:footnoteRef/>
      </w:r>
      <w:r w:rsidRPr="0074752B">
        <w:rPr>
          <w:rFonts w:ascii="Arial" w:hAnsi="Arial" w:cs="Arial"/>
          <w:sz w:val="16"/>
          <w:szCs w:val="16"/>
        </w:rPr>
        <w:t xml:space="preserve"> Information regarding the HPLC is annexed to this submission.</w:t>
      </w:r>
    </w:p>
  </w:footnote>
  <w:footnote w:id="2">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Where these amounts are required to be paid as part of the tenant’s current lease (see draft para 5(1) of Schedule 6 of the </w:t>
      </w:r>
      <w:r w:rsidRPr="0074752B">
        <w:rPr>
          <w:rFonts w:ascii="Arial" w:hAnsi="Arial" w:cs="Arial"/>
          <w:i/>
          <w:sz w:val="16"/>
          <w:szCs w:val="16"/>
        </w:rPr>
        <w:t>Social Security (Administration) Act</w:t>
      </w:r>
      <w:r w:rsidRPr="0074752B">
        <w:rPr>
          <w:rFonts w:ascii="Arial" w:hAnsi="Arial" w:cs="Arial"/>
          <w:sz w:val="16"/>
          <w:szCs w:val="16"/>
        </w:rPr>
        <w:t xml:space="preserve"> 1999 (Cth); draft para 4(1) of Schedule 1 of </w:t>
      </w:r>
      <w:r w:rsidRPr="0074752B">
        <w:rPr>
          <w:rFonts w:ascii="Arial" w:hAnsi="Arial" w:cs="Arial"/>
          <w:i/>
          <w:sz w:val="16"/>
          <w:szCs w:val="16"/>
        </w:rPr>
        <w:t>A New Tax System (Family Assistance) (Administration) Act</w:t>
      </w:r>
      <w:r w:rsidRPr="0074752B">
        <w:rPr>
          <w:rFonts w:ascii="Arial" w:hAnsi="Arial" w:cs="Arial"/>
          <w:sz w:val="16"/>
          <w:szCs w:val="16"/>
        </w:rPr>
        <w:t xml:space="preserve"> 1999 (Cth); and Department of Families, Housing, Community Services and Indigenous Affairs, </w:t>
      </w:r>
      <w:r w:rsidRPr="0074752B">
        <w:rPr>
          <w:rFonts w:ascii="Arial" w:hAnsi="Arial" w:cs="Arial"/>
          <w:i/>
          <w:sz w:val="16"/>
          <w:szCs w:val="16"/>
        </w:rPr>
        <w:t>Fact Sheet 3: Operating the Housing  Payment Deduction Scheme</w:t>
      </w:r>
      <w:r w:rsidRPr="0074752B">
        <w:rPr>
          <w:rFonts w:ascii="Arial" w:hAnsi="Arial" w:cs="Arial"/>
          <w:sz w:val="16"/>
          <w:szCs w:val="16"/>
        </w:rPr>
        <w:t xml:space="preserve"> (April 2013)).  </w:t>
      </w:r>
    </w:p>
  </w:footnote>
  <w:footnote w:id="3">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w:t>
      </w:r>
      <w:r w:rsidRPr="0074752B">
        <w:rPr>
          <w:rFonts w:ascii="Arial" w:hAnsi="Arial" w:cs="Arial"/>
          <w:sz w:val="16"/>
          <w:szCs w:val="16"/>
          <w:lang w:val="en-US"/>
        </w:rPr>
        <w:t>The Draft Social Security (Public Housing Tenants’ Support) Divertible Welfare Payments Specification (No. 1) 2013 defines ‘divertible welfare payments’ to include: widow allowance; youth allowance; austudy payment; newstart allowance; sickness allowance; special benefit; partner allowance; pension PP (partnered); age pension; disability support pension; wife pension; career payment; pension PP (single); bereave</w:t>
      </w:r>
      <w:r>
        <w:rPr>
          <w:rFonts w:ascii="Arial" w:hAnsi="Arial" w:cs="Arial"/>
          <w:sz w:val="16"/>
          <w:szCs w:val="16"/>
          <w:lang w:val="en-US"/>
        </w:rPr>
        <w:t>ment allowance; widow B pension</w:t>
      </w:r>
      <w:r w:rsidRPr="0074752B">
        <w:rPr>
          <w:rFonts w:ascii="Arial" w:hAnsi="Arial" w:cs="Arial"/>
          <w:sz w:val="16"/>
          <w:szCs w:val="16"/>
          <w:lang w:val="en-US"/>
        </w:rPr>
        <w:t xml:space="preserve">; double orphan pension; and ABSTUDY. </w:t>
      </w:r>
    </w:p>
  </w:footnote>
  <w:footnote w:id="4">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Where these amounts are required to be paid as part of the tenant’s current lease (see draft para 5(1) of Schedule 6 of the </w:t>
      </w:r>
      <w:r w:rsidRPr="0074752B">
        <w:rPr>
          <w:rFonts w:ascii="Arial" w:hAnsi="Arial" w:cs="Arial"/>
          <w:i/>
          <w:sz w:val="16"/>
          <w:szCs w:val="16"/>
        </w:rPr>
        <w:t>Social Security (Administration) Act</w:t>
      </w:r>
      <w:r w:rsidRPr="0074752B">
        <w:rPr>
          <w:rFonts w:ascii="Arial" w:hAnsi="Arial" w:cs="Arial"/>
          <w:sz w:val="16"/>
          <w:szCs w:val="16"/>
        </w:rPr>
        <w:t xml:space="preserve"> 1999 (Cth); draft para 4(1) of Schedule 1 of </w:t>
      </w:r>
      <w:r w:rsidRPr="0074752B">
        <w:rPr>
          <w:rFonts w:ascii="Arial" w:hAnsi="Arial" w:cs="Arial"/>
          <w:i/>
          <w:sz w:val="16"/>
          <w:szCs w:val="16"/>
        </w:rPr>
        <w:t>A New Tax System (Family Assistance) (Administration) Act</w:t>
      </w:r>
      <w:r w:rsidRPr="0074752B">
        <w:rPr>
          <w:rFonts w:ascii="Arial" w:hAnsi="Arial" w:cs="Arial"/>
          <w:sz w:val="16"/>
          <w:szCs w:val="16"/>
        </w:rPr>
        <w:t xml:space="preserve"> 1999 (Cth); and Department of Families, Housing, Community Services and Indigenous Affairs, </w:t>
      </w:r>
      <w:r w:rsidRPr="0074752B">
        <w:rPr>
          <w:rFonts w:ascii="Arial" w:hAnsi="Arial" w:cs="Arial"/>
          <w:i/>
          <w:sz w:val="16"/>
          <w:szCs w:val="16"/>
        </w:rPr>
        <w:t>Fact Sheet 3: Operating the Housing  Payment Deduction Scheme</w:t>
      </w:r>
      <w:r w:rsidRPr="0074752B">
        <w:rPr>
          <w:rFonts w:ascii="Arial" w:hAnsi="Arial" w:cs="Arial"/>
          <w:sz w:val="16"/>
          <w:szCs w:val="16"/>
        </w:rPr>
        <w:t xml:space="preserve"> (April 2013)).</w:t>
      </w:r>
    </w:p>
  </w:footnote>
  <w:footnote w:id="5">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Department of Human Services Victoria, </w:t>
      </w:r>
      <w:r w:rsidRPr="0074752B">
        <w:rPr>
          <w:rFonts w:ascii="Arial" w:hAnsi="Arial" w:cs="Arial"/>
          <w:i/>
          <w:sz w:val="16"/>
          <w:szCs w:val="16"/>
        </w:rPr>
        <w:t>Maintenance Manual: Tenant Property Damage</w:t>
      </w:r>
      <w:r w:rsidRPr="0074752B">
        <w:rPr>
          <w:rFonts w:ascii="Arial" w:hAnsi="Arial" w:cs="Arial"/>
          <w:sz w:val="16"/>
          <w:szCs w:val="16"/>
        </w:rPr>
        <w:t xml:space="preserve"> (October 2012) ch 5.1.3 (available at: </w:t>
      </w:r>
      <w:hyperlink r:id="rId1" w:history="1">
        <w:r w:rsidRPr="0074752B">
          <w:rPr>
            <w:rStyle w:val="Hyperlink"/>
            <w:rFonts w:ascii="Arial" w:hAnsi="Arial" w:cs="Arial"/>
            <w:sz w:val="16"/>
            <w:szCs w:val="16"/>
          </w:rPr>
          <w:t>http://www.dhs.vic.gov.au/about-the-department/documents-and-resources/policies,-guidelines-and-legislation/maintenance-manual</w:t>
        </w:r>
      </w:hyperlink>
      <w:r w:rsidRPr="0074752B">
        <w:rPr>
          <w:rFonts w:ascii="Arial" w:hAnsi="Arial" w:cs="Arial"/>
          <w:sz w:val="16"/>
          <w:szCs w:val="16"/>
        </w:rPr>
        <w:t xml:space="preserve">). </w:t>
      </w:r>
    </w:p>
  </w:footnote>
  <w:footnote w:id="6">
    <w:p w:rsidR="004044DE" w:rsidRPr="0074752B" w:rsidRDefault="004044DE" w:rsidP="00D263E5">
      <w:pPr>
        <w:pStyle w:val="FootnoteText"/>
        <w:rPr>
          <w:rFonts w:ascii="Arial" w:hAnsi="Arial" w:cs="Arial"/>
          <w:sz w:val="16"/>
          <w:szCs w:val="16"/>
        </w:rPr>
      </w:pPr>
      <w:r w:rsidRPr="0074752B">
        <w:rPr>
          <w:rStyle w:val="FootnoteReference"/>
          <w:rFonts w:ascii="Arial" w:hAnsi="Arial" w:cs="Arial"/>
          <w:sz w:val="16"/>
          <w:szCs w:val="16"/>
        </w:rPr>
        <w:footnoteRef/>
      </w:r>
      <w:r w:rsidRPr="0074752B">
        <w:rPr>
          <w:rFonts w:ascii="Arial" w:hAnsi="Arial" w:cs="Arial"/>
          <w:sz w:val="16"/>
          <w:szCs w:val="16"/>
        </w:rPr>
        <w:t xml:space="preserve"> Homelessness Taskforce, Department of Families, Housing, Community Services and Indigenous Affairs, </w:t>
      </w:r>
      <w:r w:rsidRPr="0074752B">
        <w:rPr>
          <w:rFonts w:ascii="Arial" w:hAnsi="Arial" w:cs="Arial"/>
          <w:i/>
          <w:sz w:val="16"/>
          <w:szCs w:val="16"/>
        </w:rPr>
        <w:t>The Road Home: A National Approach to Reducing Homelessness</w:t>
      </w:r>
      <w:r w:rsidRPr="0074752B">
        <w:rPr>
          <w:rFonts w:ascii="Arial" w:hAnsi="Arial" w:cs="Arial"/>
          <w:sz w:val="16"/>
          <w:szCs w:val="16"/>
        </w:rPr>
        <w:t xml:space="preserve"> (2008) (</w:t>
      </w:r>
      <w:r w:rsidRPr="0074752B">
        <w:rPr>
          <w:rFonts w:ascii="Arial" w:hAnsi="Arial" w:cs="Arial"/>
          <w:b/>
          <w:sz w:val="16"/>
          <w:szCs w:val="16"/>
        </w:rPr>
        <w:t>White Paper</w:t>
      </w:r>
      <w:r w:rsidRPr="0074752B">
        <w:rPr>
          <w:rFonts w:ascii="Arial" w:hAnsi="Arial" w:cs="Arial"/>
          <w:sz w:val="16"/>
          <w:szCs w:val="16"/>
        </w:rPr>
        <w:t>) 25.</w:t>
      </w:r>
    </w:p>
  </w:footnote>
  <w:footnote w:id="7">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Ibid.</w:t>
      </w:r>
    </w:p>
  </w:footnote>
  <w:footnote w:id="8">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Draft </w:t>
      </w:r>
      <w:r w:rsidRPr="0074752B">
        <w:rPr>
          <w:rFonts w:ascii="Arial" w:hAnsi="Arial" w:cs="Arial"/>
          <w:sz w:val="16"/>
          <w:szCs w:val="16"/>
          <w:lang w:val="en-US"/>
        </w:rPr>
        <w:t xml:space="preserve">para 6(3) of Schedule 6 in the </w:t>
      </w:r>
      <w:r w:rsidRPr="0074752B">
        <w:rPr>
          <w:rFonts w:ascii="Arial" w:hAnsi="Arial" w:cs="Arial"/>
          <w:i/>
          <w:sz w:val="16"/>
          <w:szCs w:val="16"/>
          <w:lang w:val="en-US"/>
        </w:rPr>
        <w:t>Social Security (Administration) Act</w:t>
      </w:r>
      <w:r w:rsidRPr="0074752B">
        <w:rPr>
          <w:rFonts w:ascii="Arial" w:hAnsi="Arial" w:cs="Arial"/>
          <w:sz w:val="16"/>
          <w:szCs w:val="16"/>
          <w:lang w:val="en-US"/>
        </w:rPr>
        <w:t xml:space="preserve"> 1999 (Cth) and draft para 5(2)(ii) of Schedule 1 to the </w:t>
      </w:r>
      <w:r w:rsidRPr="0074752B">
        <w:rPr>
          <w:rFonts w:ascii="Arial" w:hAnsi="Arial" w:cs="Arial"/>
          <w:i/>
          <w:sz w:val="16"/>
          <w:szCs w:val="16"/>
          <w:lang w:val="en-US"/>
        </w:rPr>
        <w:t>A New Tax System (Family Assistance) (Administration) Act</w:t>
      </w:r>
      <w:r w:rsidRPr="0074752B">
        <w:rPr>
          <w:rFonts w:ascii="Arial" w:hAnsi="Arial" w:cs="Arial"/>
          <w:sz w:val="16"/>
          <w:szCs w:val="16"/>
          <w:lang w:val="en-US"/>
        </w:rPr>
        <w:t xml:space="preserve"> 1999 (Cth).  </w:t>
      </w:r>
    </w:p>
  </w:footnote>
  <w:footnote w:id="9">
    <w:p w:rsidR="004044DE" w:rsidRPr="0074752B" w:rsidRDefault="004044DE" w:rsidP="004079E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See </w:t>
      </w:r>
      <w:r w:rsidRPr="0074752B">
        <w:rPr>
          <w:rFonts w:ascii="Arial" w:hAnsi="Arial" w:cs="Arial"/>
          <w:sz w:val="16"/>
          <w:szCs w:val="16"/>
          <w:lang w:val="en-US"/>
        </w:rPr>
        <w:t>State Government of Victoria, ‘</w:t>
      </w:r>
      <w:r w:rsidRPr="0074752B">
        <w:rPr>
          <w:rFonts w:ascii="Arial" w:hAnsi="Arial" w:cs="Arial"/>
          <w:i/>
          <w:sz w:val="16"/>
          <w:szCs w:val="16"/>
          <w:lang w:val="en-US"/>
        </w:rPr>
        <w:t>Pathways to a Fair and Sustainable Social Housing System’ Public Consultation Discussion Paper</w:t>
      </w:r>
      <w:r w:rsidRPr="0074752B">
        <w:rPr>
          <w:rFonts w:ascii="Arial" w:hAnsi="Arial" w:cs="Arial"/>
          <w:sz w:val="16"/>
          <w:szCs w:val="16"/>
          <w:lang w:val="en-US"/>
        </w:rPr>
        <w:t xml:space="preserve"> (April 2012) </w:t>
      </w:r>
      <w:r w:rsidRPr="0074752B">
        <w:rPr>
          <w:rFonts w:ascii="Arial" w:hAnsi="Arial" w:cs="Arial"/>
          <w:sz w:val="16"/>
          <w:szCs w:val="16"/>
        </w:rPr>
        <w:t>6</w:t>
      </w:r>
      <w:r w:rsidRPr="0074752B">
        <w:rPr>
          <w:rFonts w:ascii="Arial" w:hAnsi="Arial" w:cs="Arial"/>
          <w:sz w:val="16"/>
          <w:szCs w:val="16"/>
          <w:lang w:val="en-US"/>
        </w:rPr>
        <w:t xml:space="preserve"> (</w:t>
      </w:r>
      <w:r w:rsidRPr="0074752B">
        <w:rPr>
          <w:rFonts w:ascii="Arial" w:hAnsi="Arial" w:cs="Arial"/>
          <w:b/>
          <w:sz w:val="16"/>
          <w:szCs w:val="16"/>
          <w:lang w:val="en-US"/>
        </w:rPr>
        <w:t>Consultation Paper</w:t>
      </w:r>
      <w:r w:rsidRPr="0074752B">
        <w:rPr>
          <w:rFonts w:ascii="Arial" w:hAnsi="Arial" w:cs="Arial"/>
          <w:sz w:val="16"/>
          <w:szCs w:val="16"/>
          <w:lang w:val="en-US"/>
        </w:rPr>
        <w:t>)</w:t>
      </w:r>
      <w:r w:rsidRPr="0074752B">
        <w:rPr>
          <w:rFonts w:ascii="Arial" w:hAnsi="Arial" w:cs="Arial"/>
          <w:sz w:val="16"/>
          <w:szCs w:val="16"/>
        </w:rPr>
        <w:t>.</w:t>
      </w:r>
    </w:p>
  </w:footnote>
  <w:footnote w:id="10">
    <w:p w:rsidR="004044DE" w:rsidRPr="0074752B" w:rsidRDefault="004044DE" w:rsidP="004079EE">
      <w:pPr>
        <w:pStyle w:val="EndnoteText"/>
        <w:rPr>
          <w:rFonts w:ascii="Arial" w:hAnsi="Arial" w:cs="Arial"/>
          <w:sz w:val="16"/>
          <w:szCs w:val="16"/>
        </w:rPr>
      </w:pPr>
      <w:r w:rsidRPr="0074752B">
        <w:rPr>
          <w:rStyle w:val="FootnoteReference"/>
          <w:rFonts w:ascii="Arial" w:hAnsi="Arial" w:cs="Arial"/>
          <w:sz w:val="16"/>
          <w:szCs w:val="16"/>
        </w:rPr>
        <w:footnoteRef/>
      </w:r>
      <w:r w:rsidRPr="0074752B">
        <w:rPr>
          <w:rFonts w:ascii="Arial" w:hAnsi="Arial" w:cs="Arial"/>
          <w:sz w:val="16"/>
          <w:szCs w:val="16"/>
        </w:rPr>
        <w:t xml:space="preserve"> Australian Council of Social Service, </w:t>
      </w:r>
      <w:r w:rsidRPr="0074752B">
        <w:rPr>
          <w:rFonts w:ascii="Arial" w:hAnsi="Arial" w:cs="Arial"/>
          <w:i/>
          <w:sz w:val="16"/>
          <w:szCs w:val="16"/>
        </w:rPr>
        <w:t xml:space="preserve">Poverty Report: October 2011 Update </w:t>
      </w:r>
      <w:r w:rsidRPr="0074752B">
        <w:rPr>
          <w:rFonts w:ascii="Arial" w:hAnsi="Arial" w:cs="Arial"/>
          <w:sz w:val="16"/>
          <w:szCs w:val="16"/>
        </w:rPr>
        <w:t>(2011) 8</w:t>
      </w:r>
      <w:r w:rsidRPr="0074752B">
        <w:rPr>
          <w:rFonts w:ascii="Arial" w:hAnsi="Arial" w:cs="Arial"/>
          <w:i/>
          <w:sz w:val="16"/>
          <w:szCs w:val="16"/>
        </w:rPr>
        <w:t>–</w:t>
      </w:r>
      <w:r w:rsidRPr="0074752B">
        <w:rPr>
          <w:rFonts w:ascii="Arial" w:hAnsi="Arial" w:cs="Arial"/>
          <w:sz w:val="16"/>
          <w:szCs w:val="16"/>
        </w:rPr>
        <w:t>11.</w:t>
      </w:r>
    </w:p>
  </w:footnote>
  <w:footnote w:id="11">
    <w:p w:rsidR="004044DE" w:rsidRPr="0074752B" w:rsidRDefault="004044DE" w:rsidP="004079EE">
      <w:pPr>
        <w:pStyle w:val="FootnoteText"/>
        <w:rPr>
          <w:rFonts w:ascii="Arial" w:hAnsi="Arial" w:cs="Arial"/>
          <w:i/>
          <w:sz w:val="16"/>
          <w:szCs w:val="16"/>
        </w:rPr>
      </w:pPr>
      <w:r w:rsidRPr="0074752B">
        <w:rPr>
          <w:rStyle w:val="FootnoteReference"/>
          <w:rFonts w:ascii="Arial" w:hAnsi="Arial" w:cs="Arial"/>
          <w:sz w:val="16"/>
          <w:szCs w:val="16"/>
        </w:rPr>
        <w:footnoteRef/>
      </w:r>
      <w:r w:rsidRPr="0074752B">
        <w:rPr>
          <w:rFonts w:ascii="Arial" w:hAnsi="Arial" w:cs="Arial"/>
          <w:sz w:val="16"/>
          <w:szCs w:val="16"/>
        </w:rPr>
        <w:t xml:space="preserve"> Australian Council of Social Service, </w:t>
      </w:r>
      <w:r>
        <w:rPr>
          <w:rFonts w:ascii="Arial" w:hAnsi="Arial" w:cs="Arial"/>
          <w:i/>
          <w:sz w:val="16"/>
          <w:szCs w:val="16"/>
        </w:rPr>
        <w:t>2013</w:t>
      </w:r>
      <w:r w:rsidRPr="0074752B">
        <w:rPr>
          <w:rFonts w:ascii="Arial" w:hAnsi="Arial" w:cs="Arial"/>
          <w:i/>
          <w:sz w:val="16"/>
          <w:szCs w:val="16"/>
        </w:rPr>
        <w:t xml:space="preserve">–2014 Budget Priority Statement </w:t>
      </w:r>
      <w:r w:rsidRPr="0074752B">
        <w:rPr>
          <w:rFonts w:ascii="Arial" w:hAnsi="Arial" w:cs="Arial"/>
          <w:sz w:val="16"/>
          <w:szCs w:val="16"/>
        </w:rPr>
        <w:t>(2013) 28.</w:t>
      </w:r>
    </w:p>
  </w:footnote>
  <w:footnote w:id="12">
    <w:p w:rsidR="004044DE" w:rsidRPr="0074752B" w:rsidRDefault="004044DE" w:rsidP="004079E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w:t>
      </w:r>
      <w:r w:rsidRPr="0074752B">
        <w:rPr>
          <w:rFonts w:ascii="Arial" w:hAnsi="Arial" w:cs="Arial"/>
          <w:sz w:val="16"/>
          <w:szCs w:val="16"/>
          <w:lang w:val="en-US"/>
        </w:rPr>
        <w:t xml:space="preserve">Ibid. </w:t>
      </w:r>
    </w:p>
  </w:footnote>
  <w:footnote w:id="13">
    <w:p w:rsidR="004044DE" w:rsidRPr="0074752B" w:rsidRDefault="004044DE" w:rsidP="00294C1C">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See, eg, Australian Institute of Health and Welfare, </w:t>
      </w:r>
      <w:r w:rsidRPr="0074752B">
        <w:rPr>
          <w:rFonts w:ascii="Arial" w:hAnsi="Arial" w:cs="Arial"/>
          <w:i/>
          <w:sz w:val="16"/>
          <w:szCs w:val="16"/>
        </w:rPr>
        <w:t>Housing Assistance in Australia</w:t>
      </w:r>
      <w:r w:rsidRPr="0074752B">
        <w:rPr>
          <w:rFonts w:ascii="Arial" w:hAnsi="Arial" w:cs="Arial"/>
          <w:sz w:val="16"/>
          <w:szCs w:val="16"/>
        </w:rPr>
        <w:t xml:space="preserve"> (2012). </w:t>
      </w:r>
    </w:p>
    <w:p w:rsidR="004044DE" w:rsidRPr="0074752B" w:rsidRDefault="004044DE" w:rsidP="00294C1C">
      <w:pPr>
        <w:pStyle w:val="FootnoteText"/>
        <w:rPr>
          <w:rFonts w:ascii="Arial" w:hAnsi="Arial" w:cs="Arial"/>
          <w:sz w:val="16"/>
          <w:szCs w:val="16"/>
          <w:lang w:val="en-US"/>
        </w:rPr>
      </w:pPr>
    </w:p>
  </w:footnote>
  <w:footnote w:id="14">
    <w:p w:rsidR="004044DE" w:rsidRPr="0074752B" w:rsidRDefault="004044DE">
      <w:pPr>
        <w:pStyle w:val="FootnoteText"/>
        <w:rPr>
          <w:rFonts w:ascii="Arial" w:hAnsi="Arial" w:cs="Arial"/>
          <w:sz w:val="16"/>
          <w:szCs w:val="16"/>
          <w:lang w:val="en-US"/>
        </w:rPr>
      </w:pPr>
      <w:r w:rsidRPr="0074752B">
        <w:rPr>
          <w:rStyle w:val="FootnoteReference"/>
          <w:rFonts w:ascii="Arial" w:hAnsi="Arial" w:cs="Arial"/>
          <w:sz w:val="16"/>
          <w:szCs w:val="16"/>
        </w:rPr>
        <w:footnoteRef/>
      </w:r>
      <w:r w:rsidRPr="0074752B">
        <w:rPr>
          <w:rFonts w:ascii="Arial" w:hAnsi="Arial" w:cs="Arial"/>
          <w:sz w:val="16"/>
          <w:szCs w:val="16"/>
        </w:rPr>
        <w:t xml:space="preserve"> Ibid 1. </w:t>
      </w:r>
    </w:p>
  </w:footnote>
  <w:footnote w:id="15">
    <w:p w:rsidR="004044DE" w:rsidRPr="0074752B" w:rsidRDefault="004044DE" w:rsidP="00783B93">
      <w:pPr>
        <w:rPr>
          <w:rFonts w:ascii="Arial" w:hAnsi="Arial" w:cs="Arial"/>
          <w:sz w:val="16"/>
          <w:szCs w:val="16"/>
        </w:rPr>
      </w:pPr>
      <w:r w:rsidRPr="0074752B">
        <w:rPr>
          <w:rStyle w:val="FootnoteReference"/>
          <w:rFonts w:ascii="Arial" w:hAnsi="Arial" w:cs="Arial"/>
          <w:sz w:val="16"/>
          <w:szCs w:val="16"/>
        </w:rPr>
        <w:footnoteRef/>
      </w:r>
      <w:r w:rsidRPr="0074752B">
        <w:rPr>
          <w:rFonts w:ascii="Arial" w:hAnsi="Arial" w:cs="Arial"/>
          <w:sz w:val="16"/>
          <w:szCs w:val="16"/>
        </w:rPr>
        <w:t xml:space="preserve"> Host agencies include Melbourne Citymission, Ozanam House, Flagstaff Crisis Accommodation, VACRO, HomeGround Housing Services, Northside Geelong, Central City Community Health Centre and Salvation Army St Kilda Crisis Contact Centre. Legal services are provided at our host agencies by volunteer lawyers from law firms: Allens Linklaters, Clayton Utz, Corrs Chambers Westgarth, DLA Piper, Herbert Smith Freehills, King &amp; Wood Mallesons, Minter Ellison and Harwood Andrews.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4DE" w:rsidRDefault="00796DF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9pt;z-index:-251658752;mso-position-horizontal:center;mso-position-horizontal-relative:margin;mso-position-vertical:center;mso-position-vertical-relative:margin" o:allowincell="f">
          <v:imagedata r:id="rId1" o:title="Blk_lhead_HPL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4DE" w:rsidRDefault="004D1C2A" w:rsidP="00F1706A">
    <w:pPr>
      <w:pStyle w:val="Header"/>
    </w:pPr>
    <w:r>
      <w:rPr>
        <w:noProof/>
      </w:rPr>
      <w:drawing>
        <wp:inline distT="0" distB="0" distL="0" distR="0">
          <wp:extent cx="6696075" cy="13176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696075" cy="13176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4DE" w:rsidRDefault="00796DF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9pt;z-index:-251659776;mso-position-horizontal:center;mso-position-horizontal-relative:margin;mso-position-vertical:center;mso-position-vertical-relative:margin" o:allowincell="f">
          <v:imagedata r:id="rId1" o:title="Blk_lhead_HPL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85D"/>
    <w:multiLevelType w:val="hybridMultilevel"/>
    <w:tmpl w:val="BD22326A"/>
    <w:lvl w:ilvl="0" w:tplc="C85C302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DE00C6"/>
    <w:multiLevelType w:val="hybridMultilevel"/>
    <w:tmpl w:val="AA8E76B6"/>
    <w:lvl w:ilvl="0" w:tplc="E96C5E0C">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C276D9"/>
    <w:multiLevelType w:val="hybridMultilevel"/>
    <w:tmpl w:val="7C36C2CC"/>
    <w:lvl w:ilvl="0" w:tplc="88361506">
      <w:numFmt w:val="bullet"/>
      <w:lvlText w:val="-"/>
      <w:lvlJc w:val="left"/>
      <w:pPr>
        <w:tabs>
          <w:tab w:val="num" w:pos="780"/>
        </w:tabs>
        <w:ind w:left="780" w:hanging="360"/>
      </w:pPr>
      <w:rPr>
        <w:rFonts w:ascii="Arial" w:eastAsia="Times New Roman" w:hAnsi="Arial" w:cs="Aria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
    <w:nsid w:val="04654C21"/>
    <w:multiLevelType w:val="hybridMultilevel"/>
    <w:tmpl w:val="9C304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880FFC"/>
    <w:multiLevelType w:val="hybridMultilevel"/>
    <w:tmpl w:val="BF92F6EE"/>
    <w:lvl w:ilvl="0" w:tplc="A8A2B8CE">
      <w:start w:val="1"/>
      <w:numFmt w:val="bullet"/>
      <w:lvlText w:val="-"/>
      <w:lvlJc w:val="left"/>
      <w:pPr>
        <w:tabs>
          <w:tab w:val="num" w:pos="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0D77D5"/>
    <w:multiLevelType w:val="hybridMultilevel"/>
    <w:tmpl w:val="FAEE1D84"/>
    <w:lvl w:ilvl="0" w:tplc="0C090001">
      <w:start w:val="1"/>
      <w:numFmt w:val="bullet"/>
      <w:lvlText w:val=""/>
      <w:lvlJc w:val="left"/>
      <w:pPr>
        <w:ind w:left="720" w:hanging="360"/>
      </w:pPr>
      <w:rPr>
        <w:rFonts w:ascii="Symbol" w:hAnsi="Symbol" w:hint="default"/>
      </w:rPr>
    </w:lvl>
    <w:lvl w:ilvl="1" w:tplc="A8A2B8CE">
      <w:start w:val="1"/>
      <w:numFmt w:val="bullet"/>
      <w:lvlText w:val="-"/>
      <w:lvlJc w:val="left"/>
      <w:pPr>
        <w:tabs>
          <w:tab w:val="num" w:pos="0"/>
        </w:tabs>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FA634D"/>
    <w:multiLevelType w:val="hybridMultilevel"/>
    <w:tmpl w:val="91C84D12"/>
    <w:lvl w:ilvl="0" w:tplc="C85C302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E85E5F"/>
    <w:multiLevelType w:val="hybridMultilevel"/>
    <w:tmpl w:val="726035D0"/>
    <w:lvl w:ilvl="0" w:tplc="C85C302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775C1B"/>
    <w:multiLevelType w:val="hybridMultilevel"/>
    <w:tmpl w:val="07CA11EE"/>
    <w:lvl w:ilvl="0" w:tplc="284EB5A2">
      <w:start w:val="1"/>
      <w:numFmt w:val="decimal"/>
      <w:lvlText w:val="%1."/>
      <w:lvlJc w:val="left"/>
      <w:pPr>
        <w:tabs>
          <w:tab w:val="num" w:pos="720"/>
        </w:tabs>
        <w:ind w:left="720" w:hanging="360"/>
      </w:pPr>
      <w:rPr>
        <w:b/>
        <w:sz w:val="22"/>
        <w:szCs w:val="22"/>
      </w:rPr>
    </w:lvl>
    <w:lvl w:ilvl="1" w:tplc="3F6ED7A0">
      <w:start w:val="1"/>
      <w:numFmt w:val="lowerLetter"/>
      <w:lvlText w:val="%2)"/>
      <w:lvlJc w:val="left"/>
      <w:pPr>
        <w:tabs>
          <w:tab w:val="num" w:pos="794"/>
        </w:tabs>
        <w:ind w:left="794" w:hanging="794"/>
      </w:pPr>
      <w:rPr>
        <w:rFonts w:ascii="Arial" w:hAnsi="Arial" w:hint="default"/>
        <w:sz w:val="20"/>
        <w:szCs w:val="20"/>
      </w:rPr>
    </w:lvl>
    <w:lvl w:ilvl="2" w:tplc="BEF086DA">
      <w:start w:val="1"/>
      <w:numFmt w:val="bullet"/>
      <w:lvlText w:val=""/>
      <w:lvlJc w:val="left"/>
      <w:pPr>
        <w:tabs>
          <w:tab w:val="num" w:pos="2320"/>
        </w:tabs>
        <w:ind w:left="2320" w:hanging="340"/>
      </w:pPr>
      <w:rPr>
        <w:rFonts w:ascii="Symbol" w:hAnsi="Symbol" w:hint="default"/>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304D30"/>
    <w:multiLevelType w:val="hybridMultilevel"/>
    <w:tmpl w:val="D14272AA"/>
    <w:lvl w:ilvl="0" w:tplc="AEFA304A">
      <w:numFmt w:val="bullet"/>
      <w:lvlText w:val="•"/>
      <w:lvlJc w:val="left"/>
      <w:pPr>
        <w:ind w:left="1080" w:hanging="720"/>
      </w:pPr>
      <w:rPr>
        <w:rFonts w:ascii="Arial" w:eastAsia="Times New Roman" w:hAnsi="Arial" w:cs="Arial" w:hint="default"/>
      </w:rPr>
    </w:lvl>
    <w:lvl w:ilvl="1" w:tplc="59F44AE2">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46A55"/>
    <w:multiLevelType w:val="hybridMultilevel"/>
    <w:tmpl w:val="3740FABC"/>
    <w:lvl w:ilvl="0" w:tplc="C85C302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280FA4"/>
    <w:multiLevelType w:val="hybridMultilevel"/>
    <w:tmpl w:val="47144894"/>
    <w:lvl w:ilvl="0" w:tplc="88361506">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67762ED"/>
    <w:multiLevelType w:val="hybridMultilevel"/>
    <w:tmpl w:val="CE5C1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175DBE"/>
    <w:multiLevelType w:val="multilevel"/>
    <w:tmpl w:val="E3F4C5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34F0C45"/>
    <w:multiLevelType w:val="hybridMultilevel"/>
    <w:tmpl w:val="E3F4C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0A3186"/>
    <w:multiLevelType w:val="hybridMultilevel"/>
    <w:tmpl w:val="58BA5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C02E7F"/>
    <w:multiLevelType w:val="hybridMultilevel"/>
    <w:tmpl w:val="0F720C1E"/>
    <w:lvl w:ilvl="0" w:tplc="A8A2B8CE">
      <w:start w:val="1"/>
      <w:numFmt w:val="bullet"/>
      <w:lvlText w:val="-"/>
      <w:lvlJc w:val="left"/>
      <w:pPr>
        <w:tabs>
          <w:tab w:val="num" w:pos="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18423B"/>
    <w:multiLevelType w:val="hybridMultilevel"/>
    <w:tmpl w:val="1ED41334"/>
    <w:lvl w:ilvl="0" w:tplc="2B0AA40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D44BF5"/>
    <w:multiLevelType w:val="hybridMultilevel"/>
    <w:tmpl w:val="77683B1E"/>
    <w:lvl w:ilvl="0" w:tplc="C85C302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461A3E"/>
    <w:multiLevelType w:val="hybridMultilevel"/>
    <w:tmpl w:val="46BAC994"/>
    <w:lvl w:ilvl="0" w:tplc="A13AAB3A">
      <w:start w:val="1"/>
      <w:numFmt w:val="bullet"/>
      <w:pStyle w:val="Bulletpoint1"/>
      <w:lvlText w:val="►"/>
      <w:lvlJc w:val="left"/>
      <w:pPr>
        <w:tabs>
          <w:tab w:val="num" w:pos="680"/>
        </w:tabs>
        <w:ind w:left="680" w:hanging="396"/>
      </w:pPr>
      <w:rPr>
        <w:rFonts w:ascii="Arial" w:hAnsi="Arial" w:hint="default"/>
        <w:color w:val="177EC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53C0466A"/>
    <w:multiLevelType w:val="hybridMultilevel"/>
    <w:tmpl w:val="4A224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F4C1EEC"/>
    <w:multiLevelType w:val="hybridMultilevel"/>
    <w:tmpl w:val="00AE601E"/>
    <w:lvl w:ilvl="0" w:tplc="88361506">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6A808C2"/>
    <w:multiLevelType w:val="hybridMultilevel"/>
    <w:tmpl w:val="485C86C0"/>
    <w:lvl w:ilvl="0" w:tplc="C85C302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8A30ACA"/>
    <w:multiLevelType w:val="hybridMultilevel"/>
    <w:tmpl w:val="268E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F613281"/>
    <w:multiLevelType w:val="hybridMultilevel"/>
    <w:tmpl w:val="73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DA280D"/>
    <w:multiLevelType w:val="hybridMultilevel"/>
    <w:tmpl w:val="8ADA523A"/>
    <w:lvl w:ilvl="0" w:tplc="2B0AA402">
      <w:start w:val="1"/>
      <w:numFmt w:val="bullet"/>
      <w:lvlText w:val="-"/>
      <w:lvlJc w:val="left"/>
      <w:pPr>
        <w:tabs>
          <w:tab w:val="num" w:pos="454"/>
        </w:tabs>
        <w:ind w:left="454" w:hanging="45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AD4F8A"/>
    <w:multiLevelType w:val="hybridMultilevel"/>
    <w:tmpl w:val="3664E8DC"/>
    <w:lvl w:ilvl="0" w:tplc="2B0AA40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B85DD5"/>
    <w:multiLevelType w:val="hybridMultilevel"/>
    <w:tmpl w:val="FFD8CF98"/>
    <w:lvl w:ilvl="0" w:tplc="2B0AA40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1"/>
  </w:num>
  <w:num w:numId="4">
    <w:abstractNumId w:val="21"/>
  </w:num>
  <w:num w:numId="5">
    <w:abstractNumId w:val="2"/>
  </w:num>
  <w:num w:numId="6">
    <w:abstractNumId w:val="3"/>
  </w:num>
  <w:num w:numId="7">
    <w:abstractNumId w:val="18"/>
  </w:num>
  <w:num w:numId="8">
    <w:abstractNumId w:val="10"/>
  </w:num>
  <w:num w:numId="9">
    <w:abstractNumId w:val="8"/>
  </w:num>
  <w:num w:numId="10">
    <w:abstractNumId w:val="19"/>
  </w:num>
  <w:num w:numId="11">
    <w:abstractNumId w:val="0"/>
  </w:num>
  <w:num w:numId="12">
    <w:abstractNumId w:val="12"/>
  </w:num>
  <w:num w:numId="13">
    <w:abstractNumId w:val="23"/>
  </w:num>
  <w:num w:numId="14">
    <w:abstractNumId w:val="14"/>
  </w:num>
  <w:num w:numId="15">
    <w:abstractNumId w:val="6"/>
  </w:num>
  <w:num w:numId="16">
    <w:abstractNumId w:val="7"/>
  </w:num>
  <w:num w:numId="17">
    <w:abstractNumId w:val="22"/>
  </w:num>
  <w:num w:numId="18">
    <w:abstractNumId w:val="13"/>
  </w:num>
  <w:num w:numId="19">
    <w:abstractNumId w:val="5"/>
  </w:num>
  <w:num w:numId="20">
    <w:abstractNumId w:val="4"/>
  </w:num>
  <w:num w:numId="21">
    <w:abstractNumId w:val="16"/>
  </w:num>
  <w:num w:numId="22">
    <w:abstractNumId w:val="24"/>
  </w:num>
  <w:num w:numId="23">
    <w:abstractNumId w:val="9"/>
  </w:num>
  <w:num w:numId="24">
    <w:abstractNumId w:val="25"/>
  </w:num>
  <w:num w:numId="25">
    <w:abstractNumId w:val="17"/>
  </w:num>
  <w:num w:numId="26">
    <w:abstractNumId w:val="27"/>
  </w:num>
  <w:num w:numId="27">
    <w:abstractNumId w:val="2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oBevgXw7kJfzNA9AIidMvArACd0=" w:salt="Jso2Pl1rEF6tUCIKrrRlqw=="/>
  <w:defaultTabStop w:val="720"/>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998"/>
    <w:rsid w:val="00000D85"/>
    <w:rsid w:val="00004FA9"/>
    <w:rsid w:val="00005F73"/>
    <w:rsid w:val="00006F5D"/>
    <w:rsid w:val="0002341B"/>
    <w:rsid w:val="000242CF"/>
    <w:rsid w:val="000252F3"/>
    <w:rsid w:val="00026A99"/>
    <w:rsid w:val="00030123"/>
    <w:rsid w:val="00030C38"/>
    <w:rsid w:val="00031900"/>
    <w:rsid w:val="00043139"/>
    <w:rsid w:val="00050B3D"/>
    <w:rsid w:val="00060823"/>
    <w:rsid w:val="00062476"/>
    <w:rsid w:val="00063629"/>
    <w:rsid w:val="0007109B"/>
    <w:rsid w:val="000732BE"/>
    <w:rsid w:val="0007456E"/>
    <w:rsid w:val="0007552C"/>
    <w:rsid w:val="00077188"/>
    <w:rsid w:val="00083222"/>
    <w:rsid w:val="000832F7"/>
    <w:rsid w:val="00086786"/>
    <w:rsid w:val="00087895"/>
    <w:rsid w:val="000918D9"/>
    <w:rsid w:val="000A2EB5"/>
    <w:rsid w:val="000A385B"/>
    <w:rsid w:val="000A49F4"/>
    <w:rsid w:val="000C3619"/>
    <w:rsid w:val="000C5222"/>
    <w:rsid w:val="000D4A0C"/>
    <w:rsid w:val="000D7848"/>
    <w:rsid w:val="000F1C3D"/>
    <w:rsid w:val="000F2146"/>
    <w:rsid w:val="000F3C50"/>
    <w:rsid w:val="000F54F3"/>
    <w:rsid w:val="0010532C"/>
    <w:rsid w:val="00110320"/>
    <w:rsid w:val="00114BD8"/>
    <w:rsid w:val="00114C72"/>
    <w:rsid w:val="001235FC"/>
    <w:rsid w:val="00123D20"/>
    <w:rsid w:val="00124B77"/>
    <w:rsid w:val="00125938"/>
    <w:rsid w:val="0013341D"/>
    <w:rsid w:val="00142EDB"/>
    <w:rsid w:val="0014417E"/>
    <w:rsid w:val="001446E2"/>
    <w:rsid w:val="0016523F"/>
    <w:rsid w:val="00166B3F"/>
    <w:rsid w:val="00172975"/>
    <w:rsid w:val="00174615"/>
    <w:rsid w:val="001766A6"/>
    <w:rsid w:val="001804A6"/>
    <w:rsid w:val="001810E9"/>
    <w:rsid w:val="00183334"/>
    <w:rsid w:val="0019085C"/>
    <w:rsid w:val="00193974"/>
    <w:rsid w:val="001A2411"/>
    <w:rsid w:val="001A4BDA"/>
    <w:rsid w:val="001A620E"/>
    <w:rsid w:val="001B789E"/>
    <w:rsid w:val="001B7A39"/>
    <w:rsid w:val="001C3D25"/>
    <w:rsid w:val="001C5AC2"/>
    <w:rsid w:val="001C6DDF"/>
    <w:rsid w:val="001C7782"/>
    <w:rsid w:val="001D1775"/>
    <w:rsid w:val="001E7F59"/>
    <w:rsid w:val="001F3CDE"/>
    <w:rsid w:val="001F4154"/>
    <w:rsid w:val="0020123E"/>
    <w:rsid w:val="00203808"/>
    <w:rsid w:val="00203FA2"/>
    <w:rsid w:val="00226F08"/>
    <w:rsid w:val="00235530"/>
    <w:rsid w:val="0024091F"/>
    <w:rsid w:val="002471C8"/>
    <w:rsid w:val="00254524"/>
    <w:rsid w:val="00257B43"/>
    <w:rsid w:val="00262C42"/>
    <w:rsid w:val="002714D7"/>
    <w:rsid w:val="00274A5B"/>
    <w:rsid w:val="00284213"/>
    <w:rsid w:val="00284253"/>
    <w:rsid w:val="00294C1C"/>
    <w:rsid w:val="00295AC6"/>
    <w:rsid w:val="002A71B2"/>
    <w:rsid w:val="002A731C"/>
    <w:rsid w:val="002C3959"/>
    <w:rsid w:val="002C4BA7"/>
    <w:rsid w:val="002C573C"/>
    <w:rsid w:val="002D1D8F"/>
    <w:rsid w:val="002D73BF"/>
    <w:rsid w:val="002F45EF"/>
    <w:rsid w:val="00311A97"/>
    <w:rsid w:val="00314061"/>
    <w:rsid w:val="0032630F"/>
    <w:rsid w:val="003378B5"/>
    <w:rsid w:val="00340B38"/>
    <w:rsid w:val="0034349F"/>
    <w:rsid w:val="00345887"/>
    <w:rsid w:val="00350F19"/>
    <w:rsid w:val="00351585"/>
    <w:rsid w:val="00351F6B"/>
    <w:rsid w:val="0035526A"/>
    <w:rsid w:val="00360053"/>
    <w:rsid w:val="00361426"/>
    <w:rsid w:val="00362476"/>
    <w:rsid w:val="00367998"/>
    <w:rsid w:val="003749B6"/>
    <w:rsid w:val="00375C5D"/>
    <w:rsid w:val="00376CBE"/>
    <w:rsid w:val="003808D4"/>
    <w:rsid w:val="00383C4F"/>
    <w:rsid w:val="00397693"/>
    <w:rsid w:val="003978C6"/>
    <w:rsid w:val="003A77D4"/>
    <w:rsid w:val="003B68D5"/>
    <w:rsid w:val="003B790E"/>
    <w:rsid w:val="003C04B7"/>
    <w:rsid w:val="003C1576"/>
    <w:rsid w:val="003D4E55"/>
    <w:rsid w:val="003E0E35"/>
    <w:rsid w:val="003E4C24"/>
    <w:rsid w:val="003E569F"/>
    <w:rsid w:val="003F128D"/>
    <w:rsid w:val="004044DE"/>
    <w:rsid w:val="004047EE"/>
    <w:rsid w:val="004079EE"/>
    <w:rsid w:val="00415966"/>
    <w:rsid w:val="00417961"/>
    <w:rsid w:val="00422D03"/>
    <w:rsid w:val="004233CF"/>
    <w:rsid w:val="00426FD8"/>
    <w:rsid w:val="0043062D"/>
    <w:rsid w:val="004421C5"/>
    <w:rsid w:val="00461E21"/>
    <w:rsid w:val="00462A60"/>
    <w:rsid w:val="00462D9C"/>
    <w:rsid w:val="00463786"/>
    <w:rsid w:val="00471C18"/>
    <w:rsid w:val="00475B41"/>
    <w:rsid w:val="00482ADE"/>
    <w:rsid w:val="00484405"/>
    <w:rsid w:val="004938A4"/>
    <w:rsid w:val="00493AAD"/>
    <w:rsid w:val="004A3B62"/>
    <w:rsid w:val="004A666E"/>
    <w:rsid w:val="004A7341"/>
    <w:rsid w:val="004B06D6"/>
    <w:rsid w:val="004B28A8"/>
    <w:rsid w:val="004B65C0"/>
    <w:rsid w:val="004B7217"/>
    <w:rsid w:val="004C0207"/>
    <w:rsid w:val="004C1C8A"/>
    <w:rsid w:val="004C1FF4"/>
    <w:rsid w:val="004C21C7"/>
    <w:rsid w:val="004C4B8B"/>
    <w:rsid w:val="004C5BB8"/>
    <w:rsid w:val="004D121C"/>
    <w:rsid w:val="004D1C2A"/>
    <w:rsid w:val="004D5E5B"/>
    <w:rsid w:val="004D65C9"/>
    <w:rsid w:val="005010B4"/>
    <w:rsid w:val="00505670"/>
    <w:rsid w:val="00507C73"/>
    <w:rsid w:val="00512B40"/>
    <w:rsid w:val="00512EA0"/>
    <w:rsid w:val="005166D6"/>
    <w:rsid w:val="00520ED2"/>
    <w:rsid w:val="00525851"/>
    <w:rsid w:val="00525B4A"/>
    <w:rsid w:val="00544164"/>
    <w:rsid w:val="00545EBC"/>
    <w:rsid w:val="005472A8"/>
    <w:rsid w:val="005550F8"/>
    <w:rsid w:val="00555AF9"/>
    <w:rsid w:val="005700EF"/>
    <w:rsid w:val="005705FF"/>
    <w:rsid w:val="00570FE0"/>
    <w:rsid w:val="00577910"/>
    <w:rsid w:val="00577B5E"/>
    <w:rsid w:val="0058174F"/>
    <w:rsid w:val="00586B39"/>
    <w:rsid w:val="00591A3F"/>
    <w:rsid w:val="00595F0D"/>
    <w:rsid w:val="005976CF"/>
    <w:rsid w:val="005A2AAE"/>
    <w:rsid w:val="005A60DC"/>
    <w:rsid w:val="005B16C3"/>
    <w:rsid w:val="005B25C3"/>
    <w:rsid w:val="005B535E"/>
    <w:rsid w:val="005B6447"/>
    <w:rsid w:val="005B6E10"/>
    <w:rsid w:val="005C4132"/>
    <w:rsid w:val="005C5F9B"/>
    <w:rsid w:val="005D274B"/>
    <w:rsid w:val="005D302C"/>
    <w:rsid w:val="005D5D08"/>
    <w:rsid w:val="005E1D84"/>
    <w:rsid w:val="005E2CBA"/>
    <w:rsid w:val="005F3032"/>
    <w:rsid w:val="005F33FA"/>
    <w:rsid w:val="00604134"/>
    <w:rsid w:val="00604B83"/>
    <w:rsid w:val="00614B14"/>
    <w:rsid w:val="006167A9"/>
    <w:rsid w:val="00643BCE"/>
    <w:rsid w:val="00644952"/>
    <w:rsid w:val="0064711E"/>
    <w:rsid w:val="006509FB"/>
    <w:rsid w:val="0066185B"/>
    <w:rsid w:val="0066200E"/>
    <w:rsid w:val="00665988"/>
    <w:rsid w:val="00666C20"/>
    <w:rsid w:val="00670110"/>
    <w:rsid w:val="00670E51"/>
    <w:rsid w:val="0067234C"/>
    <w:rsid w:val="006747B4"/>
    <w:rsid w:val="00677DFE"/>
    <w:rsid w:val="0068118E"/>
    <w:rsid w:val="006819E3"/>
    <w:rsid w:val="00681D2C"/>
    <w:rsid w:val="00682EAD"/>
    <w:rsid w:val="00687127"/>
    <w:rsid w:val="00690570"/>
    <w:rsid w:val="006A3D0E"/>
    <w:rsid w:val="006A489D"/>
    <w:rsid w:val="006A5047"/>
    <w:rsid w:val="006B45DD"/>
    <w:rsid w:val="006C7172"/>
    <w:rsid w:val="006D0E98"/>
    <w:rsid w:val="006D39AD"/>
    <w:rsid w:val="006E0F68"/>
    <w:rsid w:val="006E51EC"/>
    <w:rsid w:val="006E603C"/>
    <w:rsid w:val="006E66DA"/>
    <w:rsid w:val="006F05DB"/>
    <w:rsid w:val="006F2543"/>
    <w:rsid w:val="006F5AEE"/>
    <w:rsid w:val="006F76B1"/>
    <w:rsid w:val="00710D86"/>
    <w:rsid w:val="00714141"/>
    <w:rsid w:val="007244EB"/>
    <w:rsid w:val="007255CE"/>
    <w:rsid w:val="0072688C"/>
    <w:rsid w:val="00727910"/>
    <w:rsid w:val="00727F98"/>
    <w:rsid w:val="00737307"/>
    <w:rsid w:val="0073771B"/>
    <w:rsid w:val="0074086E"/>
    <w:rsid w:val="00740CFD"/>
    <w:rsid w:val="0074752B"/>
    <w:rsid w:val="007515DA"/>
    <w:rsid w:val="00756520"/>
    <w:rsid w:val="00756C58"/>
    <w:rsid w:val="00756FB4"/>
    <w:rsid w:val="007631C1"/>
    <w:rsid w:val="007678A1"/>
    <w:rsid w:val="00772CA9"/>
    <w:rsid w:val="00775D68"/>
    <w:rsid w:val="00783B93"/>
    <w:rsid w:val="00784291"/>
    <w:rsid w:val="00791AA5"/>
    <w:rsid w:val="00791DA5"/>
    <w:rsid w:val="007940D3"/>
    <w:rsid w:val="00794273"/>
    <w:rsid w:val="00796DF6"/>
    <w:rsid w:val="007A2504"/>
    <w:rsid w:val="007A2881"/>
    <w:rsid w:val="007A7831"/>
    <w:rsid w:val="007B3B65"/>
    <w:rsid w:val="007B3F3E"/>
    <w:rsid w:val="007B3FA1"/>
    <w:rsid w:val="007B4C55"/>
    <w:rsid w:val="007B5B72"/>
    <w:rsid w:val="007B701B"/>
    <w:rsid w:val="007C064B"/>
    <w:rsid w:val="007C79C8"/>
    <w:rsid w:val="007D5A14"/>
    <w:rsid w:val="007D754E"/>
    <w:rsid w:val="007E38E2"/>
    <w:rsid w:val="007F7B76"/>
    <w:rsid w:val="00805B40"/>
    <w:rsid w:val="0081004E"/>
    <w:rsid w:val="008114B1"/>
    <w:rsid w:val="00822BB1"/>
    <w:rsid w:val="008241E2"/>
    <w:rsid w:val="00832FDB"/>
    <w:rsid w:val="00833461"/>
    <w:rsid w:val="00834E15"/>
    <w:rsid w:val="00835027"/>
    <w:rsid w:val="00836598"/>
    <w:rsid w:val="00837D8B"/>
    <w:rsid w:val="00855A0B"/>
    <w:rsid w:val="00860DA9"/>
    <w:rsid w:val="00864CF7"/>
    <w:rsid w:val="0087359F"/>
    <w:rsid w:val="00881BFA"/>
    <w:rsid w:val="00883EC1"/>
    <w:rsid w:val="0089453F"/>
    <w:rsid w:val="008974D5"/>
    <w:rsid w:val="008A1F0E"/>
    <w:rsid w:val="008B1A95"/>
    <w:rsid w:val="008B5233"/>
    <w:rsid w:val="008B5499"/>
    <w:rsid w:val="008B6429"/>
    <w:rsid w:val="008C01B6"/>
    <w:rsid w:val="008C36C3"/>
    <w:rsid w:val="008C61AE"/>
    <w:rsid w:val="008C68C3"/>
    <w:rsid w:val="008D004D"/>
    <w:rsid w:val="008D7C30"/>
    <w:rsid w:val="008E2274"/>
    <w:rsid w:val="008E45BA"/>
    <w:rsid w:val="008E5D5F"/>
    <w:rsid w:val="008F0200"/>
    <w:rsid w:val="009004ED"/>
    <w:rsid w:val="00900884"/>
    <w:rsid w:val="0090759D"/>
    <w:rsid w:val="009158F5"/>
    <w:rsid w:val="0091792E"/>
    <w:rsid w:val="00922BCE"/>
    <w:rsid w:val="009230CC"/>
    <w:rsid w:val="009258FE"/>
    <w:rsid w:val="00934E95"/>
    <w:rsid w:val="00935DC5"/>
    <w:rsid w:val="00940449"/>
    <w:rsid w:val="00953896"/>
    <w:rsid w:val="00960AEC"/>
    <w:rsid w:val="00966515"/>
    <w:rsid w:val="00966B8D"/>
    <w:rsid w:val="00973192"/>
    <w:rsid w:val="00974E32"/>
    <w:rsid w:val="0097686E"/>
    <w:rsid w:val="00976F83"/>
    <w:rsid w:val="00977BFB"/>
    <w:rsid w:val="00977E18"/>
    <w:rsid w:val="00981E68"/>
    <w:rsid w:val="00984D76"/>
    <w:rsid w:val="009866F4"/>
    <w:rsid w:val="00996FC0"/>
    <w:rsid w:val="009A5F40"/>
    <w:rsid w:val="009B1CA1"/>
    <w:rsid w:val="009D2816"/>
    <w:rsid w:val="009E6D4D"/>
    <w:rsid w:val="009E784F"/>
    <w:rsid w:val="009F10B5"/>
    <w:rsid w:val="009F1206"/>
    <w:rsid w:val="009F1C17"/>
    <w:rsid w:val="009F297E"/>
    <w:rsid w:val="009F569D"/>
    <w:rsid w:val="00A018A8"/>
    <w:rsid w:val="00A02F70"/>
    <w:rsid w:val="00A06BCD"/>
    <w:rsid w:val="00A120D4"/>
    <w:rsid w:val="00A15ED2"/>
    <w:rsid w:val="00A2120E"/>
    <w:rsid w:val="00A2195B"/>
    <w:rsid w:val="00A25F38"/>
    <w:rsid w:val="00A315A4"/>
    <w:rsid w:val="00A34FE9"/>
    <w:rsid w:val="00A35EF5"/>
    <w:rsid w:val="00A44CBA"/>
    <w:rsid w:val="00A47CBB"/>
    <w:rsid w:val="00A55335"/>
    <w:rsid w:val="00A57271"/>
    <w:rsid w:val="00A622DF"/>
    <w:rsid w:val="00A661D4"/>
    <w:rsid w:val="00A701A0"/>
    <w:rsid w:val="00A74BEA"/>
    <w:rsid w:val="00AA0292"/>
    <w:rsid w:val="00AA3D82"/>
    <w:rsid w:val="00AA6894"/>
    <w:rsid w:val="00AB1BB4"/>
    <w:rsid w:val="00AB1FF7"/>
    <w:rsid w:val="00AB4E45"/>
    <w:rsid w:val="00AC14C8"/>
    <w:rsid w:val="00AC1900"/>
    <w:rsid w:val="00AC422D"/>
    <w:rsid w:val="00AC5083"/>
    <w:rsid w:val="00AD1C15"/>
    <w:rsid w:val="00AD1D12"/>
    <w:rsid w:val="00AD733F"/>
    <w:rsid w:val="00AE4212"/>
    <w:rsid w:val="00AE7DCA"/>
    <w:rsid w:val="00AF0A49"/>
    <w:rsid w:val="00AF1DAE"/>
    <w:rsid w:val="00AF2B55"/>
    <w:rsid w:val="00AF3B82"/>
    <w:rsid w:val="00AF79EB"/>
    <w:rsid w:val="00B11A82"/>
    <w:rsid w:val="00B232AA"/>
    <w:rsid w:val="00B24EF4"/>
    <w:rsid w:val="00B309B3"/>
    <w:rsid w:val="00B35164"/>
    <w:rsid w:val="00B37979"/>
    <w:rsid w:val="00B41225"/>
    <w:rsid w:val="00B41F63"/>
    <w:rsid w:val="00B4233B"/>
    <w:rsid w:val="00B46DF3"/>
    <w:rsid w:val="00B4785E"/>
    <w:rsid w:val="00B50495"/>
    <w:rsid w:val="00B53FDE"/>
    <w:rsid w:val="00B575AA"/>
    <w:rsid w:val="00B6075B"/>
    <w:rsid w:val="00B639E3"/>
    <w:rsid w:val="00B64527"/>
    <w:rsid w:val="00B73305"/>
    <w:rsid w:val="00B743F9"/>
    <w:rsid w:val="00B9178C"/>
    <w:rsid w:val="00B93297"/>
    <w:rsid w:val="00B9382E"/>
    <w:rsid w:val="00B972D4"/>
    <w:rsid w:val="00B97DB2"/>
    <w:rsid w:val="00BA02FB"/>
    <w:rsid w:val="00BA17C4"/>
    <w:rsid w:val="00BA2CDD"/>
    <w:rsid w:val="00BA63BE"/>
    <w:rsid w:val="00BC2DDF"/>
    <w:rsid w:val="00BC486E"/>
    <w:rsid w:val="00BC4FC1"/>
    <w:rsid w:val="00BD53B8"/>
    <w:rsid w:val="00BD6B90"/>
    <w:rsid w:val="00BE20B0"/>
    <w:rsid w:val="00BE2229"/>
    <w:rsid w:val="00BE5F95"/>
    <w:rsid w:val="00BE77C5"/>
    <w:rsid w:val="00BE7A69"/>
    <w:rsid w:val="00BF758C"/>
    <w:rsid w:val="00C02107"/>
    <w:rsid w:val="00C023E5"/>
    <w:rsid w:val="00C032D4"/>
    <w:rsid w:val="00C11AE9"/>
    <w:rsid w:val="00C122FF"/>
    <w:rsid w:val="00C1253B"/>
    <w:rsid w:val="00C14C1E"/>
    <w:rsid w:val="00C17F7F"/>
    <w:rsid w:val="00C21929"/>
    <w:rsid w:val="00C21C80"/>
    <w:rsid w:val="00C21EA5"/>
    <w:rsid w:val="00C224F1"/>
    <w:rsid w:val="00C260C0"/>
    <w:rsid w:val="00C27D12"/>
    <w:rsid w:val="00C305AD"/>
    <w:rsid w:val="00C33F5A"/>
    <w:rsid w:val="00C3705A"/>
    <w:rsid w:val="00C40BB4"/>
    <w:rsid w:val="00C40ECB"/>
    <w:rsid w:val="00C4187A"/>
    <w:rsid w:val="00C42815"/>
    <w:rsid w:val="00C44968"/>
    <w:rsid w:val="00C44ED5"/>
    <w:rsid w:val="00C46869"/>
    <w:rsid w:val="00C508B1"/>
    <w:rsid w:val="00C64529"/>
    <w:rsid w:val="00C749E3"/>
    <w:rsid w:val="00C76F1A"/>
    <w:rsid w:val="00C86850"/>
    <w:rsid w:val="00C93271"/>
    <w:rsid w:val="00C958AB"/>
    <w:rsid w:val="00CA0454"/>
    <w:rsid w:val="00CA63B9"/>
    <w:rsid w:val="00CC0558"/>
    <w:rsid w:val="00CD0844"/>
    <w:rsid w:val="00CD123D"/>
    <w:rsid w:val="00CD4C1A"/>
    <w:rsid w:val="00CE274C"/>
    <w:rsid w:val="00CE33AA"/>
    <w:rsid w:val="00CF14E6"/>
    <w:rsid w:val="00D00EF0"/>
    <w:rsid w:val="00D1090E"/>
    <w:rsid w:val="00D15E14"/>
    <w:rsid w:val="00D263E5"/>
    <w:rsid w:val="00D273BF"/>
    <w:rsid w:val="00D32AC1"/>
    <w:rsid w:val="00D402D3"/>
    <w:rsid w:val="00D41FE5"/>
    <w:rsid w:val="00D427D9"/>
    <w:rsid w:val="00D42D79"/>
    <w:rsid w:val="00D455CF"/>
    <w:rsid w:val="00D47002"/>
    <w:rsid w:val="00D576C3"/>
    <w:rsid w:val="00D615B8"/>
    <w:rsid w:val="00D675AB"/>
    <w:rsid w:val="00D72096"/>
    <w:rsid w:val="00D74CEB"/>
    <w:rsid w:val="00D87D82"/>
    <w:rsid w:val="00DA4335"/>
    <w:rsid w:val="00DA6C50"/>
    <w:rsid w:val="00DA6C97"/>
    <w:rsid w:val="00DB03ED"/>
    <w:rsid w:val="00DB3DC2"/>
    <w:rsid w:val="00DB40C5"/>
    <w:rsid w:val="00DC2610"/>
    <w:rsid w:val="00DC4320"/>
    <w:rsid w:val="00DE0598"/>
    <w:rsid w:val="00DE1622"/>
    <w:rsid w:val="00DE2F49"/>
    <w:rsid w:val="00DE4571"/>
    <w:rsid w:val="00DE79E4"/>
    <w:rsid w:val="00DE7C15"/>
    <w:rsid w:val="00DF2B67"/>
    <w:rsid w:val="00DF3E7D"/>
    <w:rsid w:val="00E00825"/>
    <w:rsid w:val="00E054FC"/>
    <w:rsid w:val="00E054FD"/>
    <w:rsid w:val="00E0681D"/>
    <w:rsid w:val="00E10B30"/>
    <w:rsid w:val="00E11C71"/>
    <w:rsid w:val="00E1474C"/>
    <w:rsid w:val="00E17708"/>
    <w:rsid w:val="00E23DE0"/>
    <w:rsid w:val="00E2509F"/>
    <w:rsid w:val="00E27C99"/>
    <w:rsid w:val="00E422CE"/>
    <w:rsid w:val="00E46D00"/>
    <w:rsid w:val="00E50395"/>
    <w:rsid w:val="00E55B5A"/>
    <w:rsid w:val="00E71E9A"/>
    <w:rsid w:val="00E73B85"/>
    <w:rsid w:val="00E80823"/>
    <w:rsid w:val="00E80AA4"/>
    <w:rsid w:val="00E816F1"/>
    <w:rsid w:val="00E833BC"/>
    <w:rsid w:val="00E84470"/>
    <w:rsid w:val="00E84DB1"/>
    <w:rsid w:val="00E857B0"/>
    <w:rsid w:val="00E85F8E"/>
    <w:rsid w:val="00E900F5"/>
    <w:rsid w:val="00E90344"/>
    <w:rsid w:val="00E92469"/>
    <w:rsid w:val="00EA0E2F"/>
    <w:rsid w:val="00EA77AD"/>
    <w:rsid w:val="00EA7CA6"/>
    <w:rsid w:val="00EB0BC7"/>
    <w:rsid w:val="00EB39CB"/>
    <w:rsid w:val="00EB5AD6"/>
    <w:rsid w:val="00EC52BA"/>
    <w:rsid w:val="00EC7BBD"/>
    <w:rsid w:val="00ED33DA"/>
    <w:rsid w:val="00ED3AD0"/>
    <w:rsid w:val="00EE7D36"/>
    <w:rsid w:val="00EE7FC7"/>
    <w:rsid w:val="00EF02BD"/>
    <w:rsid w:val="00EF4903"/>
    <w:rsid w:val="00EF7FB9"/>
    <w:rsid w:val="00F03E18"/>
    <w:rsid w:val="00F07091"/>
    <w:rsid w:val="00F10A88"/>
    <w:rsid w:val="00F11141"/>
    <w:rsid w:val="00F1706A"/>
    <w:rsid w:val="00F2237D"/>
    <w:rsid w:val="00F3062C"/>
    <w:rsid w:val="00F32499"/>
    <w:rsid w:val="00F3335F"/>
    <w:rsid w:val="00F43FBA"/>
    <w:rsid w:val="00F44DD1"/>
    <w:rsid w:val="00F45882"/>
    <w:rsid w:val="00F53711"/>
    <w:rsid w:val="00F53763"/>
    <w:rsid w:val="00F5400B"/>
    <w:rsid w:val="00F57121"/>
    <w:rsid w:val="00F60CFC"/>
    <w:rsid w:val="00F62A2B"/>
    <w:rsid w:val="00F63570"/>
    <w:rsid w:val="00F65D40"/>
    <w:rsid w:val="00F66F8E"/>
    <w:rsid w:val="00F67A08"/>
    <w:rsid w:val="00F67F32"/>
    <w:rsid w:val="00F72F9D"/>
    <w:rsid w:val="00F741DF"/>
    <w:rsid w:val="00F77B47"/>
    <w:rsid w:val="00F77C01"/>
    <w:rsid w:val="00F84D54"/>
    <w:rsid w:val="00F86A1E"/>
    <w:rsid w:val="00F86B69"/>
    <w:rsid w:val="00FB2A38"/>
    <w:rsid w:val="00FB5D51"/>
    <w:rsid w:val="00FC1B21"/>
    <w:rsid w:val="00FC5643"/>
    <w:rsid w:val="00FC62A2"/>
    <w:rsid w:val="00FD02AE"/>
    <w:rsid w:val="00FD198C"/>
    <w:rsid w:val="00FD27B8"/>
    <w:rsid w:val="00FE7079"/>
    <w:rsid w:val="00FE7525"/>
    <w:rsid w:val="00FF5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630F"/>
    <w:rPr>
      <w:sz w:val="22"/>
      <w:lang w:val="en-AU" w:eastAsia="en-AU"/>
    </w:rPr>
  </w:style>
  <w:style w:type="paragraph" w:styleId="Heading4">
    <w:name w:val="heading 4"/>
    <w:basedOn w:val="Normal"/>
    <w:next w:val="Normal"/>
    <w:link w:val="Heading4Char"/>
    <w:semiHidden/>
    <w:unhideWhenUsed/>
    <w:qFormat/>
    <w:rsid w:val="00C749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706A"/>
    <w:pPr>
      <w:tabs>
        <w:tab w:val="center" w:pos="4320"/>
        <w:tab w:val="right" w:pos="8640"/>
      </w:tabs>
    </w:pPr>
  </w:style>
  <w:style w:type="paragraph" w:styleId="Footer">
    <w:name w:val="footer"/>
    <w:basedOn w:val="Normal"/>
    <w:rsid w:val="00F1706A"/>
    <w:pPr>
      <w:tabs>
        <w:tab w:val="center" w:pos="4320"/>
        <w:tab w:val="right" w:pos="8640"/>
      </w:tabs>
    </w:pPr>
  </w:style>
  <w:style w:type="paragraph" w:styleId="BalloonText">
    <w:name w:val="Balloon Text"/>
    <w:basedOn w:val="Normal"/>
    <w:semiHidden/>
    <w:rsid w:val="00F32499"/>
    <w:rPr>
      <w:rFonts w:ascii="Tahoma" w:hAnsi="Tahoma" w:cs="Tahoma"/>
      <w:sz w:val="16"/>
      <w:szCs w:val="16"/>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single space Char,single space,Footnote refere"/>
    <w:basedOn w:val="Normal"/>
    <w:link w:val="FootnoteTextChar"/>
    <w:rsid w:val="00D427D9"/>
    <w:rPr>
      <w:sz w:val="20"/>
    </w:rPr>
  </w:style>
  <w:style w:type="character" w:styleId="FootnoteReference">
    <w:name w:val="footnote reference"/>
    <w:aliases w:val="Footnotes refss"/>
    <w:rsid w:val="00D427D9"/>
    <w:rPr>
      <w:vertAlign w:val="superscript"/>
    </w:rPr>
  </w:style>
  <w:style w:type="paragraph" w:styleId="NormalWeb">
    <w:name w:val="Normal (Web)"/>
    <w:basedOn w:val="Normal"/>
    <w:rsid w:val="00577B5E"/>
    <w:pPr>
      <w:spacing w:before="100" w:beforeAutospacing="1" w:after="100" w:afterAutospacing="1"/>
    </w:pPr>
    <w:rPr>
      <w:sz w:val="24"/>
      <w:szCs w:val="24"/>
      <w:lang w:val="en-US" w:eastAsia="en-US"/>
    </w:rPr>
  </w:style>
  <w:style w:type="character" w:styleId="Hyperlink">
    <w:name w:val="Hyperlink"/>
    <w:rsid w:val="00C40ECB"/>
    <w:rPr>
      <w:color w:val="0000FF"/>
      <w:u w:val="single"/>
    </w:rPr>
  </w:style>
  <w:style w:type="table" w:styleId="TableGrid">
    <w:name w:val="Table Grid"/>
    <w:basedOn w:val="TableNormal"/>
    <w:rsid w:val="008B5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5400B"/>
  </w:style>
  <w:style w:type="paragraph" w:styleId="PlainText">
    <w:name w:val="Plain Text"/>
    <w:basedOn w:val="Normal"/>
    <w:rsid w:val="00DE1622"/>
    <w:rPr>
      <w:rFonts w:ascii="Courier New" w:hAnsi="Courier New" w:cs="Courier New"/>
      <w:sz w:val="20"/>
      <w:lang w:val="en-US" w:eastAsia="en-US"/>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single space Char Char"/>
    <w:link w:val="FootnoteText"/>
    <w:semiHidden/>
    <w:locked/>
    <w:rsid w:val="00F10A88"/>
    <w:rPr>
      <w:lang w:val="en-AU" w:eastAsia="en-AU" w:bidi="ar-SA"/>
    </w:rPr>
  </w:style>
  <w:style w:type="paragraph" w:customStyle="1" w:styleId="Bulletpoint1">
    <w:name w:val="Bullet point 1"/>
    <w:basedOn w:val="Normal"/>
    <w:link w:val="Bulletpoint1Char"/>
    <w:rsid w:val="00F10A88"/>
    <w:pPr>
      <w:numPr>
        <w:numId w:val="10"/>
      </w:numPr>
      <w:spacing w:before="60" w:after="60" w:line="312" w:lineRule="auto"/>
    </w:pPr>
    <w:rPr>
      <w:rFonts w:ascii="Arial" w:hAnsi="Arial"/>
      <w:sz w:val="20"/>
    </w:rPr>
  </w:style>
  <w:style w:type="character" w:customStyle="1" w:styleId="Bulletpoint1Char">
    <w:name w:val="Bullet point 1 Char"/>
    <w:link w:val="Bulletpoint1"/>
    <w:locked/>
    <w:rsid w:val="00F10A88"/>
    <w:rPr>
      <w:rFonts w:ascii="Arial" w:hAnsi="Arial"/>
      <w:lang w:val="en-AU" w:eastAsia="en-AU" w:bidi="ar-SA"/>
    </w:rPr>
  </w:style>
  <w:style w:type="paragraph" w:styleId="ListParagraph">
    <w:name w:val="List Paragraph"/>
    <w:basedOn w:val="Normal"/>
    <w:uiPriority w:val="34"/>
    <w:qFormat/>
    <w:rsid w:val="001C6DDF"/>
    <w:pPr>
      <w:ind w:left="720"/>
    </w:pPr>
  </w:style>
  <w:style w:type="character" w:styleId="CommentReference">
    <w:name w:val="annotation reference"/>
    <w:basedOn w:val="DefaultParagraphFont"/>
    <w:semiHidden/>
    <w:rsid w:val="005C4132"/>
    <w:rPr>
      <w:sz w:val="16"/>
      <w:szCs w:val="16"/>
    </w:rPr>
  </w:style>
  <w:style w:type="paragraph" w:styleId="CommentText">
    <w:name w:val="annotation text"/>
    <w:basedOn w:val="Normal"/>
    <w:semiHidden/>
    <w:rsid w:val="005C4132"/>
    <w:rPr>
      <w:sz w:val="20"/>
    </w:rPr>
  </w:style>
  <w:style w:type="paragraph" w:styleId="CommentSubject">
    <w:name w:val="annotation subject"/>
    <w:basedOn w:val="CommentText"/>
    <w:next w:val="CommentText"/>
    <w:semiHidden/>
    <w:rsid w:val="005C4132"/>
    <w:rPr>
      <w:b/>
      <w:bCs/>
    </w:rPr>
  </w:style>
  <w:style w:type="character" w:customStyle="1" w:styleId="FootnoteTextChar1">
    <w:name w:val="Footnote Text Char1"/>
    <w:aliases w:val="Footnote Text Char Char Char Char Char Char Char Char1,Footnote Text Char Char Char Char Char Char Char2,Footnote Text Char Char Char Char Char Char Char Char Char Char Char Char Char Char Char Char Char Char1,single space Char Char1"/>
    <w:locked/>
    <w:rsid w:val="00C749E3"/>
    <w:rPr>
      <w:rFonts w:ascii="Arial" w:hAnsi="Arial"/>
      <w:sz w:val="20"/>
      <w:lang w:eastAsia="en-AU"/>
    </w:rPr>
  </w:style>
  <w:style w:type="paragraph" w:customStyle="1" w:styleId="TableHeadingWhite">
    <w:name w:val="Table Heading White"/>
    <w:basedOn w:val="Heading4"/>
    <w:rsid w:val="00C749E3"/>
    <w:pPr>
      <w:keepNext w:val="0"/>
      <w:keepLines w:val="0"/>
      <w:tabs>
        <w:tab w:val="left" w:pos="960"/>
        <w:tab w:val="left" w:pos="2041"/>
      </w:tabs>
      <w:suppressAutoHyphens/>
      <w:spacing w:before="60" w:after="60" w:line="240" w:lineRule="exact"/>
      <w:ind w:left="256" w:right="176"/>
    </w:pPr>
    <w:rPr>
      <w:rFonts w:ascii="Arial Bold" w:eastAsia="Times New Roman" w:hAnsi="Arial Bold" w:cs="Times New Roman"/>
      <w:bCs w:val="0"/>
      <w:i w:val="0"/>
      <w:iCs w:val="0"/>
      <w:color w:val="FFFFFF"/>
      <w:sz w:val="24"/>
      <w:szCs w:val="24"/>
      <w:lang w:eastAsia="en-US"/>
    </w:rPr>
  </w:style>
  <w:style w:type="character" w:customStyle="1" w:styleId="Heading4Char">
    <w:name w:val="Heading 4 Char"/>
    <w:basedOn w:val="DefaultParagraphFont"/>
    <w:link w:val="Heading4"/>
    <w:semiHidden/>
    <w:rsid w:val="00C749E3"/>
    <w:rPr>
      <w:rFonts w:asciiTheme="majorHAnsi" w:eastAsiaTheme="majorEastAsia" w:hAnsiTheme="majorHAnsi" w:cstheme="majorBidi"/>
      <w:b/>
      <w:bCs/>
      <w:i/>
      <w:iCs/>
      <w:color w:val="4F81BD" w:themeColor="accent1"/>
      <w:sz w:val="22"/>
      <w:lang w:val="en-AU" w:eastAsia="en-AU"/>
    </w:rPr>
  </w:style>
  <w:style w:type="paragraph" w:styleId="EndnoteText">
    <w:name w:val="endnote text"/>
    <w:basedOn w:val="Normal"/>
    <w:link w:val="EndnoteTextChar"/>
    <w:uiPriority w:val="99"/>
    <w:rsid w:val="00BC2DDF"/>
    <w:rPr>
      <w:rFonts w:ascii="Calibri" w:eastAsia="Calibri" w:hAnsi="Calibri"/>
      <w:sz w:val="20"/>
      <w:lang w:eastAsia="en-US"/>
    </w:rPr>
  </w:style>
  <w:style w:type="character" w:customStyle="1" w:styleId="EndnoteTextChar">
    <w:name w:val="Endnote Text Char"/>
    <w:basedOn w:val="DefaultParagraphFont"/>
    <w:link w:val="EndnoteText"/>
    <w:uiPriority w:val="99"/>
    <w:rsid w:val="00BC2DDF"/>
    <w:rPr>
      <w:rFonts w:ascii="Calibri" w:eastAsia="Calibri" w:hAnsi="Calibri"/>
      <w:lang w:val="en-AU"/>
    </w:rPr>
  </w:style>
  <w:style w:type="character" w:styleId="EndnoteReference">
    <w:name w:val="endnote reference"/>
    <w:basedOn w:val="DefaultParagraphFont"/>
    <w:uiPriority w:val="99"/>
    <w:rsid w:val="00BC2DDF"/>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630F"/>
    <w:rPr>
      <w:sz w:val="22"/>
      <w:lang w:val="en-AU" w:eastAsia="en-AU"/>
    </w:rPr>
  </w:style>
  <w:style w:type="paragraph" w:styleId="Heading4">
    <w:name w:val="heading 4"/>
    <w:basedOn w:val="Normal"/>
    <w:next w:val="Normal"/>
    <w:link w:val="Heading4Char"/>
    <w:semiHidden/>
    <w:unhideWhenUsed/>
    <w:qFormat/>
    <w:rsid w:val="00C749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706A"/>
    <w:pPr>
      <w:tabs>
        <w:tab w:val="center" w:pos="4320"/>
        <w:tab w:val="right" w:pos="8640"/>
      </w:tabs>
    </w:pPr>
  </w:style>
  <w:style w:type="paragraph" w:styleId="Footer">
    <w:name w:val="footer"/>
    <w:basedOn w:val="Normal"/>
    <w:rsid w:val="00F1706A"/>
    <w:pPr>
      <w:tabs>
        <w:tab w:val="center" w:pos="4320"/>
        <w:tab w:val="right" w:pos="8640"/>
      </w:tabs>
    </w:pPr>
  </w:style>
  <w:style w:type="paragraph" w:styleId="BalloonText">
    <w:name w:val="Balloon Text"/>
    <w:basedOn w:val="Normal"/>
    <w:semiHidden/>
    <w:rsid w:val="00F32499"/>
    <w:rPr>
      <w:rFonts w:ascii="Tahoma" w:hAnsi="Tahoma" w:cs="Tahoma"/>
      <w:sz w:val="16"/>
      <w:szCs w:val="16"/>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single space Char,single space,Footnote refere"/>
    <w:basedOn w:val="Normal"/>
    <w:link w:val="FootnoteTextChar"/>
    <w:rsid w:val="00D427D9"/>
    <w:rPr>
      <w:sz w:val="20"/>
    </w:rPr>
  </w:style>
  <w:style w:type="character" w:styleId="FootnoteReference">
    <w:name w:val="footnote reference"/>
    <w:aliases w:val="Footnotes refss"/>
    <w:rsid w:val="00D427D9"/>
    <w:rPr>
      <w:vertAlign w:val="superscript"/>
    </w:rPr>
  </w:style>
  <w:style w:type="paragraph" w:styleId="NormalWeb">
    <w:name w:val="Normal (Web)"/>
    <w:basedOn w:val="Normal"/>
    <w:rsid w:val="00577B5E"/>
    <w:pPr>
      <w:spacing w:before="100" w:beforeAutospacing="1" w:after="100" w:afterAutospacing="1"/>
    </w:pPr>
    <w:rPr>
      <w:sz w:val="24"/>
      <w:szCs w:val="24"/>
      <w:lang w:val="en-US" w:eastAsia="en-US"/>
    </w:rPr>
  </w:style>
  <w:style w:type="character" w:styleId="Hyperlink">
    <w:name w:val="Hyperlink"/>
    <w:rsid w:val="00C40ECB"/>
    <w:rPr>
      <w:color w:val="0000FF"/>
      <w:u w:val="single"/>
    </w:rPr>
  </w:style>
  <w:style w:type="table" w:styleId="TableGrid">
    <w:name w:val="Table Grid"/>
    <w:basedOn w:val="TableNormal"/>
    <w:rsid w:val="008B54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5400B"/>
  </w:style>
  <w:style w:type="paragraph" w:styleId="PlainText">
    <w:name w:val="Plain Text"/>
    <w:basedOn w:val="Normal"/>
    <w:rsid w:val="00DE1622"/>
    <w:rPr>
      <w:rFonts w:ascii="Courier New" w:hAnsi="Courier New" w:cs="Courier New"/>
      <w:sz w:val="20"/>
      <w:lang w:val="en-US" w:eastAsia="en-US"/>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single space Char Char"/>
    <w:link w:val="FootnoteText"/>
    <w:semiHidden/>
    <w:locked/>
    <w:rsid w:val="00F10A88"/>
    <w:rPr>
      <w:lang w:val="en-AU" w:eastAsia="en-AU" w:bidi="ar-SA"/>
    </w:rPr>
  </w:style>
  <w:style w:type="paragraph" w:customStyle="1" w:styleId="Bulletpoint1">
    <w:name w:val="Bullet point 1"/>
    <w:basedOn w:val="Normal"/>
    <w:link w:val="Bulletpoint1Char"/>
    <w:rsid w:val="00F10A88"/>
    <w:pPr>
      <w:numPr>
        <w:numId w:val="10"/>
      </w:numPr>
      <w:spacing w:before="60" w:after="60" w:line="312" w:lineRule="auto"/>
    </w:pPr>
    <w:rPr>
      <w:rFonts w:ascii="Arial" w:hAnsi="Arial"/>
      <w:sz w:val="20"/>
    </w:rPr>
  </w:style>
  <w:style w:type="character" w:customStyle="1" w:styleId="Bulletpoint1Char">
    <w:name w:val="Bullet point 1 Char"/>
    <w:link w:val="Bulletpoint1"/>
    <w:locked/>
    <w:rsid w:val="00F10A88"/>
    <w:rPr>
      <w:rFonts w:ascii="Arial" w:hAnsi="Arial"/>
      <w:lang w:val="en-AU" w:eastAsia="en-AU" w:bidi="ar-SA"/>
    </w:rPr>
  </w:style>
  <w:style w:type="paragraph" w:styleId="ListParagraph">
    <w:name w:val="List Paragraph"/>
    <w:basedOn w:val="Normal"/>
    <w:uiPriority w:val="34"/>
    <w:qFormat/>
    <w:rsid w:val="001C6DDF"/>
    <w:pPr>
      <w:ind w:left="720"/>
    </w:pPr>
  </w:style>
  <w:style w:type="character" w:styleId="CommentReference">
    <w:name w:val="annotation reference"/>
    <w:basedOn w:val="DefaultParagraphFont"/>
    <w:semiHidden/>
    <w:rsid w:val="005C4132"/>
    <w:rPr>
      <w:sz w:val="16"/>
      <w:szCs w:val="16"/>
    </w:rPr>
  </w:style>
  <w:style w:type="paragraph" w:styleId="CommentText">
    <w:name w:val="annotation text"/>
    <w:basedOn w:val="Normal"/>
    <w:semiHidden/>
    <w:rsid w:val="005C4132"/>
    <w:rPr>
      <w:sz w:val="20"/>
    </w:rPr>
  </w:style>
  <w:style w:type="paragraph" w:styleId="CommentSubject">
    <w:name w:val="annotation subject"/>
    <w:basedOn w:val="CommentText"/>
    <w:next w:val="CommentText"/>
    <w:semiHidden/>
    <w:rsid w:val="005C4132"/>
    <w:rPr>
      <w:b/>
      <w:bCs/>
    </w:rPr>
  </w:style>
  <w:style w:type="character" w:customStyle="1" w:styleId="FootnoteTextChar1">
    <w:name w:val="Footnote Text Char1"/>
    <w:aliases w:val="Footnote Text Char Char Char Char Char Char Char Char1,Footnote Text Char Char Char Char Char Char Char2,Footnote Text Char Char Char Char Char Char Char Char Char Char Char Char Char Char Char Char Char Char1,single space Char Char1"/>
    <w:locked/>
    <w:rsid w:val="00C749E3"/>
    <w:rPr>
      <w:rFonts w:ascii="Arial" w:hAnsi="Arial"/>
      <w:sz w:val="20"/>
      <w:lang w:eastAsia="en-AU"/>
    </w:rPr>
  </w:style>
  <w:style w:type="paragraph" w:customStyle="1" w:styleId="TableHeadingWhite">
    <w:name w:val="Table Heading White"/>
    <w:basedOn w:val="Heading4"/>
    <w:rsid w:val="00C749E3"/>
    <w:pPr>
      <w:keepNext w:val="0"/>
      <w:keepLines w:val="0"/>
      <w:tabs>
        <w:tab w:val="left" w:pos="960"/>
        <w:tab w:val="left" w:pos="2041"/>
      </w:tabs>
      <w:suppressAutoHyphens/>
      <w:spacing w:before="60" w:after="60" w:line="240" w:lineRule="exact"/>
      <w:ind w:left="256" w:right="176"/>
    </w:pPr>
    <w:rPr>
      <w:rFonts w:ascii="Arial Bold" w:eastAsia="Times New Roman" w:hAnsi="Arial Bold" w:cs="Times New Roman"/>
      <w:bCs w:val="0"/>
      <w:i w:val="0"/>
      <w:iCs w:val="0"/>
      <w:color w:val="FFFFFF"/>
      <w:sz w:val="24"/>
      <w:szCs w:val="24"/>
      <w:lang w:eastAsia="en-US"/>
    </w:rPr>
  </w:style>
  <w:style w:type="character" w:customStyle="1" w:styleId="Heading4Char">
    <w:name w:val="Heading 4 Char"/>
    <w:basedOn w:val="DefaultParagraphFont"/>
    <w:link w:val="Heading4"/>
    <w:semiHidden/>
    <w:rsid w:val="00C749E3"/>
    <w:rPr>
      <w:rFonts w:asciiTheme="majorHAnsi" w:eastAsiaTheme="majorEastAsia" w:hAnsiTheme="majorHAnsi" w:cstheme="majorBidi"/>
      <w:b/>
      <w:bCs/>
      <w:i/>
      <w:iCs/>
      <w:color w:val="4F81BD" w:themeColor="accent1"/>
      <w:sz w:val="22"/>
      <w:lang w:val="en-AU" w:eastAsia="en-AU"/>
    </w:rPr>
  </w:style>
  <w:style w:type="paragraph" w:styleId="EndnoteText">
    <w:name w:val="endnote text"/>
    <w:basedOn w:val="Normal"/>
    <w:link w:val="EndnoteTextChar"/>
    <w:uiPriority w:val="99"/>
    <w:rsid w:val="00BC2DDF"/>
    <w:rPr>
      <w:rFonts w:ascii="Calibri" w:eastAsia="Calibri" w:hAnsi="Calibri"/>
      <w:sz w:val="20"/>
      <w:lang w:eastAsia="en-US"/>
    </w:rPr>
  </w:style>
  <w:style w:type="character" w:customStyle="1" w:styleId="EndnoteTextChar">
    <w:name w:val="Endnote Text Char"/>
    <w:basedOn w:val="DefaultParagraphFont"/>
    <w:link w:val="EndnoteText"/>
    <w:uiPriority w:val="99"/>
    <w:rsid w:val="00BC2DDF"/>
    <w:rPr>
      <w:rFonts w:ascii="Calibri" w:eastAsia="Calibri" w:hAnsi="Calibri"/>
      <w:lang w:val="en-AU"/>
    </w:rPr>
  </w:style>
  <w:style w:type="character" w:styleId="EndnoteReference">
    <w:name w:val="endnote reference"/>
    <w:basedOn w:val="DefaultParagraphFont"/>
    <w:uiPriority w:val="99"/>
    <w:rsid w:val="00BC2DDF"/>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0006">
      <w:bodyDiv w:val="1"/>
      <w:marLeft w:val="0"/>
      <w:marRight w:val="0"/>
      <w:marTop w:val="0"/>
      <w:marBottom w:val="0"/>
      <w:divBdr>
        <w:top w:val="none" w:sz="0" w:space="0" w:color="auto"/>
        <w:left w:val="none" w:sz="0" w:space="0" w:color="auto"/>
        <w:bottom w:val="none" w:sz="0" w:space="0" w:color="auto"/>
        <w:right w:val="none" w:sz="0" w:space="0" w:color="auto"/>
      </w:divBdr>
    </w:div>
    <w:div w:id="930162891">
      <w:bodyDiv w:val="1"/>
      <w:marLeft w:val="0"/>
      <w:marRight w:val="0"/>
      <w:marTop w:val="0"/>
      <w:marBottom w:val="0"/>
      <w:divBdr>
        <w:top w:val="none" w:sz="0" w:space="0" w:color="auto"/>
        <w:left w:val="none" w:sz="0" w:space="0" w:color="auto"/>
        <w:bottom w:val="none" w:sz="0" w:space="0" w:color="auto"/>
        <w:right w:val="none" w:sz="0" w:space="0" w:color="auto"/>
      </w:divBdr>
    </w:div>
    <w:div w:id="1021274262">
      <w:bodyDiv w:val="1"/>
      <w:marLeft w:val="0"/>
      <w:marRight w:val="0"/>
      <w:marTop w:val="0"/>
      <w:marBottom w:val="0"/>
      <w:divBdr>
        <w:top w:val="none" w:sz="0" w:space="0" w:color="auto"/>
        <w:left w:val="none" w:sz="0" w:space="0" w:color="auto"/>
        <w:bottom w:val="none" w:sz="0" w:space="0" w:color="auto"/>
        <w:right w:val="none" w:sz="0" w:space="0" w:color="auto"/>
      </w:divBdr>
    </w:div>
    <w:div w:id="1169247679">
      <w:bodyDiv w:val="1"/>
      <w:marLeft w:val="0"/>
      <w:marRight w:val="0"/>
      <w:marTop w:val="0"/>
      <w:marBottom w:val="0"/>
      <w:divBdr>
        <w:top w:val="none" w:sz="0" w:space="0" w:color="auto"/>
        <w:left w:val="none" w:sz="0" w:space="0" w:color="auto"/>
        <w:bottom w:val="none" w:sz="0" w:space="0" w:color="auto"/>
        <w:right w:val="none" w:sz="0" w:space="0" w:color="auto"/>
      </w:divBdr>
    </w:div>
    <w:div w:id="1181166658">
      <w:bodyDiv w:val="1"/>
      <w:marLeft w:val="0"/>
      <w:marRight w:val="0"/>
      <w:marTop w:val="0"/>
      <w:marBottom w:val="0"/>
      <w:divBdr>
        <w:top w:val="none" w:sz="0" w:space="0" w:color="auto"/>
        <w:left w:val="none" w:sz="0" w:space="0" w:color="auto"/>
        <w:bottom w:val="none" w:sz="0" w:space="0" w:color="auto"/>
        <w:right w:val="none" w:sz="0" w:space="0" w:color="auto"/>
      </w:divBdr>
    </w:div>
    <w:div w:id="1445225800">
      <w:bodyDiv w:val="1"/>
      <w:marLeft w:val="0"/>
      <w:marRight w:val="0"/>
      <w:marTop w:val="0"/>
      <w:marBottom w:val="0"/>
      <w:divBdr>
        <w:top w:val="none" w:sz="0" w:space="0" w:color="auto"/>
        <w:left w:val="none" w:sz="0" w:space="0" w:color="auto"/>
        <w:bottom w:val="none" w:sz="0" w:space="0" w:color="auto"/>
        <w:right w:val="none" w:sz="0" w:space="0" w:color="auto"/>
      </w:divBdr>
    </w:div>
    <w:div w:id="1502349082">
      <w:bodyDiv w:val="1"/>
      <w:marLeft w:val="0"/>
      <w:marRight w:val="0"/>
      <w:marTop w:val="0"/>
      <w:marBottom w:val="0"/>
      <w:divBdr>
        <w:top w:val="none" w:sz="0" w:space="0" w:color="auto"/>
        <w:left w:val="none" w:sz="0" w:space="0" w:color="auto"/>
        <w:bottom w:val="none" w:sz="0" w:space="0" w:color="auto"/>
        <w:right w:val="none" w:sz="0" w:space="0" w:color="auto"/>
      </w:divBdr>
      <w:divsChild>
        <w:div w:id="858398538">
          <w:marLeft w:val="0"/>
          <w:marRight w:val="0"/>
          <w:marTop w:val="0"/>
          <w:marBottom w:val="0"/>
          <w:divBdr>
            <w:top w:val="none" w:sz="0" w:space="0" w:color="auto"/>
            <w:left w:val="none" w:sz="0" w:space="0" w:color="auto"/>
            <w:bottom w:val="none" w:sz="0" w:space="0" w:color="auto"/>
            <w:right w:val="none" w:sz="0" w:space="0" w:color="auto"/>
          </w:divBdr>
          <w:divsChild>
            <w:div w:id="1097672618">
              <w:marLeft w:val="0"/>
              <w:marRight w:val="0"/>
              <w:marTop w:val="0"/>
              <w:marBottom w:val="0"/>
              <w:divBdr>
                <w:top w:val="none" w:sz="0" w:space="0" w:color="auto"/>
                <w:left w:val="none" w:sz="0" w:space="0" w:color="auto"/>
                <w:bottom w:val="none" w:sz="0" w:space="0" w:color="auto"/>
                <w:right w:val="none" w:sz="0" w:space="0" w:color="auto"/>
              </w:divBdr>
              <w:divsChild>
                <w:div w:id="904947818">
                  <w:marLeft w:val="0"/>
                  <w:marRight w:val="0"/>
                  <w:marTop w:val="0"/>
                  <w:marBottom w:val="0"/>
                  <w:divBdr>
                    <w:top w:val="none" w:sz="0" w:space="0" w:color="auto"/>
                    <w:left w:val="none" w:sz="0" w:space="0" w:color="auto"/>
                    <w:bottom w:val="none" w:sz="0" w:space="0" w:color="auto"/>
                    <w:right w:val="none" w:sz="0" w:space="0" w:color="auto"/>
                  </w:divBdr>
                  <w:divsChild>
                    <w:div w:id="2097508575">
                      <w:marLeft w:val="0"/>
                      <w:marRight w:val="0"/>
                      <w:marTop w:val="0"/>
                      <w:marBottom w:val="0"/>
                      <w:divBdr>
                        <w:top w:val="none" w:sz="0" w:space="0" w:color="auto"/>
                        <w:left w:val="none" w:sz="0" w:space="0" w:color="auto"/>
                        <w:bottom w:val="none" w:sz="0" w:space="0" w:color="auto"/>
                        <w:right w:val="none" w:sz="0" w:space="0" w:color="auto"/>
                      </w:divBdr>
                      <w:divsChild>
                        <w:div w:id="1975410134">
                          <w:marLeft w:val="0"/>
                          <w:marRight w:val="0"/>
                          <w:marTop w:val="0"/>
                          <w:marBottom w:val="0"/>
                          <w:divBdr>
                            <w:top w:val="none" w:sz="0" w:space="0" w:color="auto"/>
                            <w:left w:val="none" w:sz="0" w:space="0" w:color="auto"/>
                            <w:bottom w:val="none" w:sz="0" w:space="0" w:color="auto"/>
                            <w:right w:val="none" w:sz="0" w:space="0" w:color="auto"/>
                          </w:divBdr>
                          <w:divsChild>
                            <w:div w:id="5806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820990">
      <w:bodyDiv w:val="1"/>
      <w:marLeft w:val="0"/>
      <w:marRight w:val="0"/>
      <w:marTop w:val="0"/>
      <w:marBottom w:val="0"/>
      <w:divBdr>
        <w:top w:val="none" w:sz="0" w:space="0" w:color="auto"/>
        <w:left w:val="none" w:sz="0" w:space="0" w:color="auto"/>
        <w:bottom w:val="none" w:sz="0" w:space="0" w:color="auto"/>
        <w:right w:val="none" w:sz="0" w:space="0" w:color="auto"/>
      </w:divBdr>
    </w:div>
    <w:div w:id="1620716657">
      <w:bodyDiv w:val="1"/>
      <w:marLeft w:val="0"/>
      <w:marRight w:val="0"/>
      <w:marTop w:val="0"/>
      <w:marBottom w:val="0"/>
      <w:divBdr>
        <w:top w:val="none" w:sz="0" w:space="0" w:color="auto"/>
        <w:left w:val="none" w:sz="0" w:space="0" w:color="auto"/>
        <w:bottom w:val="none" w:sz="0" w:space="0" w:color="auto"/>
        <w:right w:val="none" w:sz="0" w:space="0" w:color="auto"/>
      </w:divBdr>
    </w:div>
    <w:div w:id="1740589759">
      <w:bodyDiv w:val="1"/>
      <w:marLeft w:val="0"/>
      <w:marRight w:val="0"/>
      <w:marTop w:val="0"/>
      <w:marBottom w:val="0"/>
      <w:divBdr>
        <w:top w:val="none" w:sz="0" w:space="0" w:color="auto"/>
        <w:left w:val="none" w:sz="0" w:space="0" w:color="auto"/>
        <w:bottom w:val="none" w:sz="0" w:space="0" w:color="auto"/>
        <w:right w:val="none" w:sz="0" w:space="0" w:color="auto"/>
      </w:divBdr>
    </w:div>
    <w:div w:id="203229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dhs.vic.gov.au/about-the-department/documents-and-resources/policies,-guidelines-and-legislation/maintenance-manu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766C5-560F-4002-AD99-2AD2D299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3961</Words>
  <Characters>21418</Characters>
  <Application>Microsoft Office Word</Application>
  <DocSecurity>8</DocSecurity>
  <Lines>509</Lines>
  <Paragraphs>291</Paragraphs>
  <ScaleCrop>false</ScaleCrop>
  <HeadingPairs>
    <vt:vector size="2" baseType="variant">
      <vt:variant>
        <vt:lpstr>Title</vt:lpstr>
      </vt:variant>
      <vt:variant>
        <vt:i4>1</vt:i4>
      </vt:variant>
    </vt:vector>
  </HeadingPairs>
  <TitlesOfParts>
    <vt:vector size="1" baseType="lpstr">
      <vt:lpstr>Principal Registrar</vt:lpstr>
    </vt:vector>
  </TitlesOfParts>
  <Company>Microsoft</Company>
  <LinksUpToDate>false</LinksUpToDate>
  <CharactersWithSpaces>25088</CharactersWithSpaces>
  <SharedDoc>false</SharedDoc>
  <HLinks>
    <vt:vector size="6" baseType="variant">
      <vt:variant>
        <vt:i4>4194333</vt:i4>
      </vt:variant>
      <vt:variant>
        <vt:i4>12</vt:i4>
      </vt:variant>
      <vt:variant>
        <vt:i4>0</vt:i4>
      </vt:variant>
      <vt:variant>
        <vt:i4>5</vt:i4>
      </vt:variant>
      <vt:variant>
        <vt:lpwstr>http://premier.vic.gov.au/media-centre/media-releases/1689-june-quarter-public-housing-waiting-list-data.html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Registrar</dc:title>
  <dc:creator>lucyadams</dc:creator>
  <cp:lastModifiedBy>Fahcsia</cp:lastModifiedBy>
  <cp:revision>3</cp:revision>
  <cp:lastPrinted>2013-04-23T07:15:00Z</cp:lastPrinted>
  <dcterms:created xsi:type="dcterms:W3CDTF">2013-05-26T23:43:00Z</dcterms:created>
  <dcterms:modified xsi:type="dcterms:W3CDTF">2013-05-26T23:44:00Z</dcterms:modified>
  <cp:contentStatus/>
</cp:coreProperties>
</file>