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E6" w:rsidRPr="008273E6" w:rsidRDefault="008273E6" w:rsidP="008273E6"/>
    <w:p w:rsidR="008273E6" w:rsidRPr="008273E6" w:rsidRDefault="008273E6" w:rsidP="008273E6">
      <w:r w:rsidRPr="008273E6">
        <w:rPr>
          <w:noProof/>
          <w:lang w:eastAsia="en-AU"/>
        </w:rPr>
        <w:drawing>
          <wp:inline distT="0" distB="0" distL="0" distR="0">
            <wp:extent cx="1333500" cy="1057275"/>
            <wp:effectExtent l="19050" t="0" r="0" b="0"/>
            <wp:docPr id="7" name="Picture 1" descr="logo only no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ly no wording"/>
                    <pic:cNvPicPr>
                      <a:picLocks noChangeAspect="1" noChangeArrowheads="1"/>
                    </pic:cNvPicPr>
                  </pic:nvPicPr>
                  <pic:blipFill>
                    <a:blip r:embed="rId9" cstate="print"/>
                    <a:srcRect/>
                    <a:stretch>
                      <a:fillRect/>
                    </a:stretch>
                  </pic:blipFill>
                  <pic:spPr bwMode="auto">
                    <a:xfrm>
                      <a:off x="0" y="0"/>
                      <a:ext cx="1333500" cy="1057275"/>
                    </a:xfrm>
                    <a:prstGeom prst="rect">
                      <a:avLst/>
                    </a:prstGeom>
                    <a:noFill/>
                    <a:ln w="9525">
                      <a:noFill/>
                      <a:miter lim="800000"/>
                      <a:headEnd/>
                      <a:tailEnd/>
                    </a:ln>
                  </pic:spPr>
                </pic:pic>
              </a:graphicData>
            </a:graphic>
          </wp:inline>
        </w:drawing>
      </w:r>
      <w:r w:rsidRPr="008273E6">
        <w:rPr>
          <w:noProof/>
          <w:lang w:eastAsia="en-AU"/>
        </w:rPr>
        <w:drawing>
          <wp:inline distT="0" distB="0" distL="0" distR="0">
            <wp:extent cx="3600450" cy="895350"/>
            <wp:effectExtent l="19050" t="0" r="0" b="0"/>
            <wp:docPr id="8" name="Picture 4" descr="HA name &amp; tag lin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 name &amp; tag line copy"/>
                    <pic:cNvPicPr>
                      <a:picLocks noChangeAspect="1" noChangeArrowheads="1"/>
                    </pic:cNvPicPr>
                  </pic:nvPicPr>
                  <pic:blipFill>
                    <a:blip r:embed="rId10" cstate="print"/>
                    <a:srcRect/>
                    <a:stretch>
                      <a:fillRect/>
                    </a:stretch>
                  </pic:blipFill>
                  <pic:spPr bwMode="auto">
                    <a:xfrm>
                      <a:off x="0" y="0"/>
                      <a:ext cx="3600450" cy="895350"/>
                    </a:xfrm>
                    <a:prstGeom prst="rect">
                      <a:avLst/>
                    </a:prstGeom>
                    <a:noFill/>
                    <a:ln w="9525">
                      <a:noFill/>
                      <a:miter lim="800000"/>
                      <a:headEnd/>
                      <a:tailEnd/>
                    </a:ln>
                  </pic:spPr>
                </pic:pic>
              </a:graphicData>
            </a:graphic>
          </wp:inline>
        </w:drawing>
      </w:r>
    </w:p>
    <w:p w:rsidR="008273E6" w:rsidRDefault="008273E6" w:rsidP="008273E6"/>
    <w:p w:rsidR="00F63916" w:rsidRPr="008273E6" w:rsidRDefault="00F63916" w:rsidP="008273E6"/>
    <w:p w:rsidR="00F63916" w:rsidRDefault="00F63916" w:rsidP="008273E6">
      <w:pPr>
        <w:pStyle w:val="Heading1"/>
        <w:jc w:val="center"/>
        <w:rPr>
          <w:rFonts w:asciiTheme="minorHAnsi" w:hAnsiTheme="minorHAnsi"/>
          <w:sz w:val="40"/>
          <w:szCs w:val="40"/>
        </w:rPr>
      </w:pPr>
    </w:p>
    <w:p w:rsidR="00F63916" w:rsidRDefault="00F63916" w:rsidP="008273E6">
      <w:pPr>
        <w:pStyle w:val="Heading1"/>
        <w:jc w:val="center"/>
        <w:rPr>
          <w:rFonts w:asciiTheme="minorHAnsi" w:hAnsiTheme="minorHAnsi"/>
          <w:sz w:val="40"/>
          <w:szCs w:val="40"/>
        </w:rPr>
      </w:pPr>
    </w:p>
    <w:p w:rsidR="004E1D90" w:rsidRPr="003A33C1" w:rsidRDefault="008273E6" w:rsidP="008273E6">
      <w:pPr>
        <w:pStyle w:val="Heading1"/>
        <w:jc w:val="center"/>
        <w:rPr>
          <w:rFonts w:asciiTheme="minorHAnsi" w:hAnsiTheme="minorHAnsi"/>
          <w:color w:val="00194C"/>
          <w:sz w:val="40"/>
          <w:szCs w:val="40"/>
        </w:rPr>
      </w:pPr>
      <w:r w:rsidRPr="003A33C1">
        <w:rPr>
          <w:rFonts w:asciiTheme="minorHAnsi" w:hAnsiTheme="minorHAnsi"/>
          <w:color w:val="00194C"/>
          <w:sz w:val="40"/>
          <w:szCs w:val="40"/>
        </w:rPr>
        <w:t xml:space="preserve">Submission </w:t>
      </w:r>
      <w:r w:rsidR="00005B9F" w:rsidRPr="003A33C1">
        <w:rPr>
          <w:rFonts w:asciiTheme="minorHAnsi" w:hAnsiTheme="minorHAnsi"/>
          <w:color w:val="00194C"/>
          <w:sz w:val="40"/>
          <w:szCs w:val="40"/>
        </w:rPr>
        <w:t>o</w:t>
      </w:r>
      <w:r w:rsidR="004E1D90" w:rsidRPr="003A33C1">
        <w:rPr>
          <w:rFonts w:asciiTheme="minorHAnsi" w:hAnsiTheme="minorHAnsi"/>
          <w:color w:val="00194C"/>
          <w:sz w:val="40"/>
          <w:szCs w:val="40"/>
        </w:rPr>
        <w:t>n the proposed</w:t>
      </w:r>
    </w:p>
    <w:p w:rsidR="008273E6" w:rsidRPr="003A33C1" w:rsidRDefault="00005B9F" w:rsidP="008273E6">
      <w:pPr>
        <w:pStyle w:val="Heading1"/>
        <w:jc w:val="center"/>
        <w:rPr>
          <w:rFonts w:asciiTheme="minorHAnsi" w:hAnsiTheme="minorHAnsi"/>
          <w:color w:val="00194C"/>
          <w:sz w:val="40"/>
          <w:szCs w:val="40"/>
        </w:rPr>
      </w:pPr>
      <w:r w:rsidRPr="003A33C1">
        <w:rPr>
          <w:rFonts w:asciiTheme="minorHAnsi" w:hAnsiTheme="minorHAnsi"/>
          <w:color w:val="00194C"/>
          <w:sz w:val="40"/>
          <w:szCs w:val="40"/>
        </w:rPr>
        <w:t>‘Housing</w:t>
      </w:r>
      <w:r w:rsidR="004E1D90" w:rsidRPr="003A33C1">
        <w:rPr>
          <w:rFonts w:asciiTheme="minorHAnsi" w:hAnsiTheme="minorHAnsi"/>
          <w:color w:val="00194C"/>
          <w:sz w:val="40"/>
          <w:szCs w:val="40"/>
        </w:rPr>
        <w:t xml:space="preserve"> Payment Deduction</w:t>
      </w:r>
      <w:r w:rsidRPr="003A33C1">
        <w:rPr>
          <w:rFonts w:asciiTheme="minorHAnsi" w:hAnsiTheme="minorHAnsi"/>
          <w:color w:val="00194C"/>
          <w:sz w:val="40"/>
          <w:szCs w:val="40"/>
        </w:rPr>
        <w:t xml:space="preserve"> Scheme’</w:t>
      </w:r>
      <w:r w:rsidR="008273E6" w:rsidRPr="003A33C1">
        <w:rPr>
          <w:rFonts w:asciiTheme="minorHAnsi" w:hAnsiTheme="minorHAnsi"/>
          <w:color w:val="00194C"/>
          <w:sz w:val="40"/>
          <w:szCs w:val="40"/>
        </w:rPr>
        <w:t xml:space="preserve">  </w:t>
      </w:r>
    </w:p>
    <w:p w:rsidR="008273E6" w:rsidRPr="008273E6" w:rsidRDefault="008273E6" w:rsidP="008273E6">
      <w:pPr>
        <w:pStyle w:val="Heading1"/>
        <w:jc w:val="center"/>
        <w:rPr>
          <w:rFonts w:asciiTheme="minorHAnsi" w:hAnsiTheme="minorHAnsi"/>
          <w:sz w:val="40"/>
          <w:szCs w:val="40"/>
        </w:rPr>
      </w:pPr>
    </w:p>
    <w:p w:rsidR="008273E6" w:rsidRPr="008273E6" w:rsidRDefault="008273E6" w:rsidP="008273E6">
      <w:pPr>
        <w:pStyle w:val="Heading1"/>
        <w:jc w:val="center"/>
        <w:rPr>
          <w:rFonts w:asciiTheme="minorHAnsi" w:hAnsiTheme="minorHAnsi"/>
          <w:sz w:val="40"/>
          <w:szCs w:val="40"/>
        </w:rPr>
      </w:pPr>
    </w:p>
    <w:p w:rsidR="008273E6" w:rsidRPr="008273E6" w:rsidRDefault="008273E6" w:rsidP="008273E6">
      <w:pPr>
        <w:pStyle w:val="Heading1"/>
        <w:jc w:val="center"/>
        <w:rPr>
          <w:rFonts w:asciiTheme="minorHAnsi" w:hAnsiTheme="minorHAnsi"/>
          <w:sz w:val="40"/>
          <w:szCs w:val="40"/>
        </w:rPr>
      </w:pPr>
    </w:p>
    <w:p w:rsidR="008273E6" w:rsidRPr="003A33C1" w:rsidRDefault="008273E6" w:rsidP="008273E6">
      <w:pPr>
        <w:pStyle w:val="Heading1"/>
        <w:jc w:val="center"/>
        <w:rPr>
          <w:rFonts w:asciiTheme="minorHAnsi" w:hAnsiTheme="minorHAnsi"/>
          <w:color w:val="00194C"/>
          <w:sz w:val="40"/>
          <w:szCs w:val="40"/>
        </w:rPr>
      </w:pPr>
    </w:p>
    <w:p w:rsidR="008273E6" w:rsidRPr="003A33C1" w:rsidRDefault="008273E6" w:rsidP="008273E6">
      <w:pPr>
        <w:pStyle w:val="Heading1"/>
        <w:jc w:val="center"/>
        <w:rPr>
          <w:rFonts w:asciiTheme="minorHAnsi" w:hAnsiTheme="minorHAnsi"/>
          <w:color w:val="00194C"/>
          <w:sz w:val="40"/>
          <w:szCs w:val="40"/>
        </w:rPr>
      </w:pPr>
    </w:p>
    <w:p w:rsidR="008273E6" w:rsidRPr="003A33C1" w:rsidRDefault="008273E6" w:rsidP="008273E6">
      <w:pPr>
        <w:pStyle w:val="Heading1"/>
        <w:jc w:val="center"/>
        <w:rPr>
          <w:rFonts w:asciiTheme="minorHAnsi" w:hAnsiTheme="minorHAnsi"/>
          <w:color w:val="00194C"/>
          <w:sz w:val="40"/>
          <w:szCs w:val="40"/>
        </w:rPr>
      </w:pPr>
    </w:p>
    <w:p w:rsidR="008273E6" w:rsidRPr="003A33C1" w:rsidRDefault="008273E6" w:rsidP="008273E6">
      <w:pPr>
        <w:pStyle w:val="Heading1"/>
        <w:jc w:val="right"/>
        <w:rPr>
          <w:rFonts w:asciiTheme="minorHAnsi" w:hAnsiTheme="minorHAnsi"/>
          <w:color w:val="00194C"/>
          <w:sz w:val="28"/>
          <w:szCs w:val="40"/>
        </w:rPr>
      </w:pPr>
      <w:r w:rsidRPr="003A33C1">
        <w:rPr>
          <w:rFonts w:asciiTheme="minorHAnsi" w:hAnsiTheme="minorHAnsi"/>
          <w:color w:val="00194C"/>
          <w:sz w:val="28"/>
          <w:szCs w:val="40"/>
        </w:rPr>
        <w:t>April 2013</w:t>
      </w:r>
    </w:p>
    <w:p w:rsidR="008273E6" w:rsidRPr="003A33C1" w:rsidRDefault="008273E6" w:rsidP="008273E6">
      <w:pPr>
        <w:pStyle w:val="Heading1"/>
        <w:jc w:val="right"/>
        <w:rPr>
          <w:rFonts w:asciiTheme="minorHAnsi" w:hAnsiTheme="minorHAnsi"/>
          <w:b w:val="0"/>
          <w:color w:val="00194C"/>
          <w:sz w:val="24"/>
          <w:szCs w:val="24"/>
        </w:rPr>
      </w:pPr>
      <w:r w:rsidRPr="003A33C1">
        <w:rPr>
          <w:rFonts w:asciiTheme="minorHAnsi" w:hAnsiTheme="minorHAnsi"/>
          <w:i/>
          <w:color w:val="00194C"/>
          <w:sz w:val="24"/>
          <w:szCs w:val="24"/>
        </w:rPr>
        <w:t xml:space="preserve">Contact: </w:t>
      </w:r>
      <w:r w:rsidRPr="003A33C1">
        <w:rPr>
          <w:rFonts w:asciiTheme="minorHAnsi" w:hAnsiTheme="minorHAnsi"/>
          <w:b w:val="0"/>
          <w:color w:val="00194C"/>
          <w:sz w:val="24"/>
          <w:szCs w:val="24"/>
        </w:rPr>
        <w:br/>
        <w:t>Jennifer Clarke</w:t>
      </w:r>
      <w:r w:rsidR="00F63916" w:rsidRPr="003A33C1">
        <w:rPr>
          <w:rFonts w:asciiTheme="minorHAnsi" w:hAnsiTheme="minorHAnsi"/>
          <w:b w:val="0"/>
          <w:color w:val="00194C"/>
          <w:sz w:val="24"/>
          <w:szCs w:val="24"/>
        </w:rPr>
        <w:t xml:space="preserve"> </w:t>
      </w:r>
      <w:r w:rsidRPr="003A33C1">
        <w:rPr>
          <w:rFonts w:asciiTheme="minorHAnsi" w:hAnsiTheme="minorHAnsi"/>
          <w:b w:val="0"/>
          <w:color w:val="00194C"/>
          <w:sz w:val="24"/>
          <w:szCs w:val="24"/>
        </w:rPr>
        <w:br/>
        <w:t>Ph: 02 6247 7744</w:t>
      </w:r>
      <w:r w:rsidRPr="003A33C1">
        <w:rPr>
          <w:rFonts w:asciiTheme="minorHAnsi" w:hAnsiTheme="minorHAnsi"/>
          <w:b w:val="0"/>
          <w:color w:val="00194C"/>
          <w:sz w:val="24"/>
          <w:szCs w:val="24"/>
        </w:rPr>
        <w:br/>
        <w:t>policy@homelessnessaustralia.org.au</w:t>
      </w:r>
    </w:p>
    <w:p w:rsidR="006D6BB1" w:rsidRPr="003A33C1" w:rsidRDefault="006D6BB1">
      <w:pPr>
        <w:rPr>
          <w:b/>
          <w:color w:val="00194C"/>
          <w:sz w:val="26"/>
          <w:szCs w:val="26"/>
        </w:rPr>
        <w:sectPr w:rsidR="006D6BB1" w:rsidRPr="003A33C1" w:rsidSect="00D92933">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pPr>
    </w:p>
    <w:p w:rsidR="008273E6" w:rsidRPr="008273E6" w:rsidRDefault="008273E6">
      <w:pPr>
        <w:rPr>
          <w:b/>
          <w:sz w:val="26"/>
          <w:szCs w:val="26"/>
        </w:rPr>
      </w:pPr>
    </w:p>
    <w:p w:rsidR="00184B7A" w:rsidRPr="00DC6CAC" w:rsidRDefault="00184B7A" w:rsidP="00184B7A">
      <w:pPr>
        <w:pStyle w:val="Heading1"/>
        <w:rPr>
          <w:rFonts w:asciiTheme="minorHAnsi" w:hAnsiTheme="minorHAnsi"/>
          <w:color w:val="00194C"/>
          <w:sz w:val="40"/>
          <w:szCs w:val="40"/>
        </w:rPr>
      </w:pPr>
      <w:r w:rsidRPr="00DC6CAC">
        <w:rPr>
          <w:rFonts w:asciiTheme="minorHAnsi" w:hAnsiTheme="minorHAnsi"/>
          <w:color w:val="00194C"/>
          <w:sz w:val="40"/>
          <w:szCs w:val="40"/>
        </w:rPr>
        <w:t>Homelessness Australia: submission on the proposed</w:t>
      </w:r>
    </w:p>
    <w:p w:rsidR="00184B7A" w:rsidRPr="00DC6CAC" w:rsidRDefault="00184B7A" w:rsidP="00184B7A">
      <w:pPr>
        <w:pStyle w:val="Heading1"/>
        <w:jc w:val="center"/>
        <w:rPr>
          <w:rFonts w:asciiTheme="minorHAnsi" w:hAnsiTheme="minorHAnsi"/>
          <w:color w:val="00194C"/>
          <w:sz w:val="40"/>
          <w:szCs w:val="40"/>
        </w:rPr>
      </w:pPr>
      <w:r w:rsidRPr="00DC6CAC">
        <w:rPr>
          <w:rFonts w:asciiTheme="minorHAnsi" w:hAnsiTheme="minorHAnsi"/>
          <w:color w:val="00194C"/>
          <w:sz w:val="40"/>
          <w:szCs w:val="40"/>
        </w:rPr>
        <w:t xml:space="preserve">‘Housing Payment Deduction Scheme’  </w:t>
      </w:r>
    </w:p>
    <w:p w:rsidR="004D5A83" w:rsidRPr="00DC6CAC" w:rsidRDefault="004D5A83">
      <w:pPr>
        <w:rPr>
          <w:b/>
          <w:i/>
          <w:color w:val="00194C"/>
        </w:rPr>
      </w:pPr>
      <w:r w:rsidRPr="00DC6CAC">
        <w:rPr>
          <w:b/>
          <w:i/>
          <w:color w:val="00194C"/>
        </w:rPr>
        <w:t>Background</w:t>
      </w:r>
    </w:p>
    <w:p w:rsidR="0097189E" w:rsidRPr="00DC6CAC" w:rsidRDefault="008273E6" w:rsidP="00F9421F">
      <w:pPr>
        <w:spacing w:after="0" w:line="240" w:lineRule="auto"/>
        <w:rPr>
          <w:b/>
          <w:smallCaps/>
          <w:color w:val="00194C"/>
        </w:rPr>
      </w:pPr>
      <w:r w:rsidRPr="00DC6CAC">
        <w:rPr>
          <w:b/>
          <w:smallCaps/>
          <w:color w:val="00194C"/>
        </w:rPr>
        <w:t xml:space="preserve"> </w:t>
      </w:r>
      <w:r w:rsidR="00533F3E" w:rsidRPr="00DC6CAC">
        <w:rPr>
          <w:b/>
          <w:smallCaps/>
          <w:color w:val="00194C"/>
        </w:rPr>
        <w:t>T</w:t>
      </w:r>
      <w:r w:rsidR="00B450DD" w:rsidRPr="00DC6CAC">
        <w:rPr>
          <w:b/>
          <w:smallCaps/>
          <w:color w:val="00194C"/>
        </w:rPr>
        <w:t xml:space="preserve">he </w:t>
      </w:r>
      <w:r w:rsidR="002022C8" w:rsidRPr="00DC6CAC">
        <w:rPr>
          <w:b/>
          <w:smallCaps/>
          <w:color w:val="00194C"/>
        </w:rPr>
        <w:t>proposed</w:t>
      </w:r>
      <w:r w:rsidR="00B342BC" w:rsidRPr="00DC6CAC">
        <w:rPr>
          <w:b/>
          <w:smallCaps/>
          <w:color w:val="00194C"/>
        </w:rPr>
        <w:t xml:space="preserve"> </w:t>
      </w:r>
      <w:r w:rsidR="00B450DD" w:rsidRPr="00DC6CAC">
        <w:rPr>
          <w:b/>
          <w:smallCaps/>
          <w:color w:val="00194C"/>
        </w:rPr>
        <w:t>H</w:t>
      </w:r>
      <w:r w:rsidRPr="00DC6CAC">
        <w:rPr>
          <w:b/>
          <w:smallCaps/>
          <w:color w:val="00194C"/>
        </w:rPr>
        <w:t xml:space="preserve">ousing </w:t>
      </w:r>
      <w:r w:rsidR="00B450DD" w:rsidRPr="00DC6CAC">
        <w:rPr>
          <w:b/>
          <w:smallCaps/>
          <w:color w:val="00194C"/>
        </w:rPr>
        <w:t>P</w:t>
      </w:r>
      <w:r w:rsidRPr="00DC6CAC">
        <w:rPr>
          <w:b/>
          <w:smallCaps/>
          <w:color w:val="00194C"/>
        </w:rPr>
        <w:t xml:space="preserve">ayments </w:t>
      </w:r>
      <w:r w:rsidR="00B450DD" w:rsidRPr="00DC6CAC">
        <w:rPr>
          <w:b/>
          <w:smallCaps/>
          <w:color w:val="00194C"/>
        </w:rPr>
        <w:t>D</w:t>
      </w:r>
      <w:r w:rsidRPr="00DC6CAC">
        <w:rPr>
          <w:b/>
          <w:smallCaps/>
          <w:color w:val="00194C"/>
        </w:rPr>
        <w:t xml:space="preserve">eduction </w:t>
      </w:r>
      <w:r w:rsidR="00B450DD" w:rsidRPr="00DC6CAC">
        <w:rPr>
          <w:b/>
          <w:smallCaps/>
          <w:color w:val="00194C"/>
        </w:rPr>
        <w:t>S</w:t>
      </w:r>
      <w:r w:rsidRPr="00DC6CAC">
        <w:rPr>
          <w:b/>
          <w:smallCaps/>
          <w:color w:val="00194C"/>
        </w:rPr>
        <w:t>cheme (HPDS)</w:t>
      </w:r>
    </w:p>
    <w:p w:rsidR="0097189E" w:rsidRPr="00DC6CAC" w:rsidRDefault="0097189E" w:rsidP="00F9421F">
      <w:pPr>
        <w:spacing w:after="0" w:line="240" w:lineRule="auto"/>
        <w:rPr>
          <w:color w:val="00194C"/>
        </w:rPr>
      </w:pPr>
    </w:p>
    <w:p w:rsidR="00F9421F" w:rsidRPr="00DC6CAC" w:rsidRDefault="00F9421F" w:rsidP="00F9421F">
      <w:pPr>
        <w:spacing w:after="0" w:line="240" w:lineRule="auto"/>
        <w:rPr>
          <w:color w:val="00194C"/>
        </w:rPr>
      </w:pPr>
      <w:r w:rsidRPr="00DC6CAC">
        <w:rPr>
          <w:color w:val="00194C"/>
        </w:rPr>
        <w:t xml:space="preserve">Clause 21 of the </w:t>
      </w:r>
      <w:hyperlink r:id="rId14" w:history="1">
        <w:r w:rsidRPr="0014119D">
          <w:rPr>
            <w:rStyle w:val="Hyperlink"/>
            <w:color w:val="00194C"/>
          </w:rPr>
          <w:t>National Affordable Housing Agreement</w:t>
        </w:r>
      </w:hyperlink>
      <w:r w:rsidRPr="00DC6CAC">
        <w:rPr>
          <w:color w:val="00194C"/>
        </w:rPr>
        <w:t xml:space="preserve"> </w:t>
      </w:r>
      <w:r w:rsidR="008273E6" w:rsidRPr="00DC6CAC">
        <w:rPr>
          <w:color w:val="00194C"/>
        </w:rPr>
        <w:t xml:space="preserve">(NAHA) </w:t>
      </w:r>
      <w:r w:rsidR="00E165B9" w:rsidRPr="00DC6CAC">
        <w:rPr>
          <w:color w:val="00194C"/>
        </w:rPr>
        <w:t>state</w:t>
      </w:r>
      <w:r w:rsidRPr="00DC6CAC">
        <w:rPr>
          <w:color w:val="00194C"/>
        </w:rPr>
        <w:t>s:</w:t>
      </w:r>
    </w:p>
    <w:p w:rsidR="00F9421F" w:rsidRPr="00DC6CAC" w:rsidRDefault="00F9421F" w:rsidP="00F9421F">
      <w:pPr>
        <w:spacing w:after="0" w:line="240" w:lineRule="auto"/>
        <w:rPr>
          <w:rFonts w:eastAsia="Times New Roman" w:cs="Arial"/>
          <w:color w:val="00194C"/>
          <w:sz w:val="14"/>
          <w:szCs w:val="14"/>
          <w:lang w:eastAsia="en-AU"/>
        </w:rPr>
      </w:pPr>
    </w:p>
    <w:p w:rsidR="00F9421F" w:rsidRPr="00DC6CAC" w:rsidRDefault="00F9421F" w:rsidP="00F9421F">
      <w:pPr>
        <w:spacing w:after="0" w:line="240" w:lineRule="auto"/>
        <w:ind w:left="720"/>
        <w:rPr>
          <w:rFonts w:eastAsia="Times New Roman" w:cs="Arial"/>
          <w:color w:val="00194C"/>
          <w:sz w:val="20"/>
          <w:szCs w:val="20"/>
          <w:lang w:eastAsia="en-AU"/>
        </w:rPr>
      </w:pPr>
      <w:r w:rsidRPr="00DC6CAC">
        <w:rPr>
          <w:rFonts w:eastAsia="Times New Roman" w:cs="Arial"/>
          <w:color w:val="00194C"/>
          <w:sz w:val="20"/>
          <w:szCs w:val="20"/>
          <w:lang w:eastAsia="en-AU"/>
        </w:rPr>
        <w:t>The Parties commit to ongoing reforms in the housing sector</w:t>
      </w:r>
      <w:r w:rsidR="00883486" w:rsidRPr="00DC6CAC">
        <w:rPr>
          <w:rFonts w:eastAsia="Times New Roman" w:cs="Arial"/>
          <w:color w:val="00194C"/>
          <w:sz w:val="20"/>
          <w:szCs w:val="20"/>
          <w:lang w:eastAsia="en-AU"/>
        </w:rPr>
        <w:t>.</w:t>
      </w:r>
      <w:r w:rsidR="0010765A" w:rsidRPr="00DC6CAC">
        <w:rPr>
          <w:rFonts w:eastAsia="Times New Roman" w:cs="Arial"/>
          <w:color w:val="00194C"/>
          <w:sz w:val="20"/>
          <w:szCs w:val="20"/>
          <w:lang w:eastAsia="en-AU"/>
        </w:rPr>
        <w:t xml:space="preserve"> </w:t>
      </w:r>
      <w:r w:rsidRPr="00DC6CAC">
        <w:rPr>
          <w:rFonts w:eastAsia="Times New Roman" w:cs="Arial"/>
          <w:color w:val="00194C"/>
          <w:sz w:val="20"/>
          <w:szCs w:val="20"/>
          <w:lang w:eastAsia="en-AU"/>
        </w:rPr>
        <w:t>The agreed policy actions to achieve this are</w:t>
      </w:r>
      <w:r w:rsidR="00883486" w:rsidRPr="00DC6CAC">
        <w:rPr>
          <w:rFonts w:eastAsia="Times New Roman" w:cs="Arial"/>
          <w:color w:val="00194C"/>
          <w:sz w:val="20"/>
          <w:szCs w:val="20"/>
          <w:lang w:eastAsia="en-AU"/>
        </w:rPr>
        <w:t>:</w:t>
      </w:r>
    </w:p>
    <w:p w:rsidR="00F9421F" w:rsidRPr="00DC6CAC" w:rsidRDefault="00F9421F" w:rsidP="00F9421F">
      <w:pPr>
        <w:spacing w:after="0" w:line="240" w:lineRule="auto"/>
        <w:ind w:left="720"/>
        <w:rPr>
          <w:rFonts w:eastAsia="Times New Roman" w:cs="Arial"/>
          <w:color w:val="00194C"/>
          <w:sz w:val="20"/>
          <w:szCs w:val="20"/>
          <w:lang w:eastAsia="en-AU"/>
        </w:rPr>
      </w:pPr>
      <w:r w:rsidRPr="00DC6CAC">
        <w:rPr>
          <w:rFonts w:eastAsia="Times New Roman" w:cs="Arial"/>
          <w:color w:val="00194C"/>
          <w:sz w:val="20"/>
          <w:szCs w:val="20"/>
          <w:lang w:eastAsia="en-AU"/>
        </w:rPr>
        <w:t>...</w:t>
      </w:r>
    </w:p>
    <w:p w:rsidR="00F9421F" w:rsidRPr="00DC6CAC" w:rsidRDefault="00F9421F" w:rsidP="00F9421F">
      <w:pPr>
        <w:spacing w:after="0" w:line="240" w:lineRule="auto"/>
        <w:ind w:left="1440" w:hanging="720"/>
        <w:rPr>
          <w:rFonts w:eastAsia="Times New Roman" w:cs="Arial"/>
          <w:color w:val="00194C"/>
          <w:sz w:val="20"/>
          <w:szCs w:val="20"/>
          <w:lang w:eastAsia="en-AU"/>
        </w:rPr>
      </w:pPr>
      <w:r w:rsidRPr="00DC6CAC">
        <w:rPr>
          <w:rFonts w:eastAsia="Times New Roman" w:cs="Arial"/>
          <w:color w:val="00194C"/>
          <w:sz w:val="20"/>
          <w:szCs w:val="20"/>
          <w:lang w:eastAsia="en-AU"/>
        </w:rPr>
        <w:t>(g)</w:t>
      </w:r>
      <w:r w:rsidRPr="00DC6CAC">
        <w:rPr>
          <w:rFonts w:eastAsia="Times New Roman" w:cs="Arial"/>
          <w:color w:val="00194C"/>
          <w:sz w:val="20"/>
          <w:szCs w:val="20"/>
          <w:lang w:eastAsia="en-AU"/>
        </w:rPr>
        <w:tab/>
        <w:t>providing compulsory rent deductions and improved information exchange between the Commonwealth and the States and Territories to improve the operational efficiency of public housing and to reduce evictions from public housing;...</w:t>
      </w:r>
    </w:p>
    <w:p w:rsidR="00F9421F" w:rsidRPr="00DC6CAC" w:rsidRDefault="00F9421F" w:rsidP="00F9421F">
      <w:pPr>
        <w:spacing w:after="0" w:line="240" w:lineRule="auto"/>
        <w:ind w:left="1440" w:hanging="720"/>
        <w:rPr>
          <w:rFonts w:eastAsia="Times New Roman" w:cs="Arial"/>
          <w:color w:val="00194C"/>
          <w:sz w:val="14"/>
          <w:szCs w:val="14"/>
          <w:lang w:eastAsia="en-AU"/>
        </w:rPr>
      </w:pPr>
    </w:p>
    <w:p w:rsidR="008E4493" w:rsidRPr="00DC6CAC" w:rsidRDefault="00E165B9" w:rsidP="00F9421F">
      <w:pPr>
        <w:spacing w:after="0" w:line="240" w:lineRule="auto"/>
        <w:rPr>
          <w:color w:val="00194C"/>
        </w:rPr>
      </w:pPr>
      <w:r w:rsidRPr="00DC6CAC">
        <w:rPr>
          <w:color w:val="00194C"/>
        </w:rPr>
        <w:t>At the March 2013</w:t>
      </w:r>
      <w:r w:rsidR="008E4493" w:rsidRPr="00DC6CAC">
        <w:rPr>
          <w:color w:val="00194C"/>
        </w:rPr>
        <w:t xml:space="preserve"> COAG Select Council on Housing and Homelessness </w:t>
      </w:r>
      <w:r w:rsidRPr="00DC6CAC">
        <w:rPr>
          <w:color w:val="00194C"/>
        </w:rPr>
        <w:t>meeting, under the heading ‘</w:t>
      </w:r>
      <w:r w:rsidRPr="00DC6CAC">
        <w:rPr>
          <w:rFonts w:eastAsia="Times New Roman" w:cs="Arial"/>
          <w:color w:val="00194C"/>
          <w:lang w:eastAsia="en-AU"/>
        </w:rPr>
        <w:t>Housing Payment Deduction Scheme</w:t>
      </w:r>
      <w:r w:rsidRPr="00DC6CAC">
        <w:rPr>
          <w:color w:val="00194C"/>
        </w:rPr>
        <w:t>’</w:t>
      </w:r>
      <w:r w:rsidR="008E4493" w:rsidRPr="00DC6CAC">
        <w:rPr>
          <w:color w:val="00194C"/>
        </w:rPr>
        <w:t>:</w:t>
      </w:r>
      <w:r w:rsidR="00514313" w:rsidRPr="00DC6CAC">
        <w:rPr>
          <w:rStyle w:val="FootnoteReference"/>
          <w:color w:val="00194C"/>
        </w:rPr>
        <w:footnoteReference w:id="1"/>
      </w:r>
    </w:p>
    <w:p w:rsidR="008E4493" w:rsidRPr="00DC6CAC" w:rsidRDefault="008E4493" w:rsidP="00E165B9">
      <w:pPr>
        <w:spacing w:after="0" w:line="240" w:lineRule="auto"/>
        <w:rPr>
          <w:rFonts w:eastAsia="Times New Roman" w:cs="Arial"/>
          <w:color w:val="00194C"/>
          <w:sz w:val="20"/>
          <w:szCs w:val="20"/>
          <w:lang w:eastAsia="en-AU"/>
        </w:rPr>
      </w:pPr>
    </w:p>
    <w:p w:rsidR="008E4493" w:rsidRPr="00DC6CAC" w:rsidRDefault="008E4493" w:rsidP="008E4493">
      <w:pPr>
        <w:spacing w:after="0" w:line="240" w:lineRule="auto"/>
        <w:ind w:left="720"/>
        <w:rPr>
          <w:rFonts w:eastAsia="Times New Roman" w:cs="Arial"/>
          <w:color w:val="00194C"/>
          <w:sz w:val="20"/>
          <w:szCs w:val="20"/>
          <w:lang w:eastAsia="en-AU"/>
        </w:rPr>
      </w:pPr>
      <w:r w:rsidRPr="00DC6CAC">
        <w:rPr>
          <w:rFonts w:eastAsia="Times New Roman" w:cs="Arial"/>
          <w:color w:val="00194C"/>
          <w:sz w:val="20"/>
          <w:szCs w:val="20"/>
          <w:lang w:eastAsia="en-AU"/>
        </w:rPr>
        <w:t>Ministers confirmed their in-principle commitment to pursuing the Housing Payment Deduction Scheme which assists in the prevention of evictions and possible homelessness of public housing tenants due to unpaid rent. It will also improve efficiency by reducing the cost of managing arrears for public housing authorities</w:t>
      </w:r>
      <w:r w:rsidR="00883486" w:rsidRPr="00DC6CAC">
        <w:rPr>
          <w:rFonts w:eastAsia="Times New Roman" w:cs="Arial"/>
          <w:color w:val="00194C"/>
          <w:sz w:val="20"/>
          <w:szCs w:val="20"/>
          <w:lang w:eastAsia="en-AU"/>
        </w:rPr>
        <w:t>.</w:t>
      </w:r>
    </w:p>
    <w:p w:rsidR="008E4493" w:rsidRPr="00DC6CAC" w:rsidRDefault="008E4493" w:rsidP="00A17ADC">
      <w:pPr>
        <w:spacing w:after="0" w:line="240" w:lineRule="auto"/>
        <w:ind w:left="720" w:hanging="720"/>
        <w:rPr>
          <w:rFonts w:eastAsia="Times New Roman" w:cs="Arial"/>
          <w:color w:val="00194C"/>
          <w:sz w:val="20"/>
          <w:szCs w:val="20"/>
          <w:lang w:eastAsia="en-AU"/>
        </w:rPr>
      </w:pPr>
    </w:p>
    <w:p w:rsidR="00E90E0D" w:rsidRPr="00DC6CAC" w:rsidRDefault="00E90E0D" w:rsidP="004A4EF5">
      <w:pPr>
        <w:rPr>
          <w:color w:val="00194C"/>
        </w:rPr>
      </w:pPr>
      <w:r w:rsidRPr="00DC6CAC">
        <w:rPr>
          <w:color w:val="00194C"/>
        </w:rPr>
        <w:t>In H</w:t>
      </w:r>
      <w:r w:rsidR="008273E6" w:rsidRPr="00DC6CAC">
        <w:rPr>
          <w:color w:val="00194C"/>
        </w:rPr>
        <w:t xml:space="preserve">omelessness Australia’s (HA) </w:t>
      </w:r>
      <w:r w:rsidRPr="00DC6CAC">
        <w:rPr>
          <w:color w:val="00194C"/>
        </w:rPr>
        <w:t>view, the dual policy rationale for the HPDS – reducing both evictions from, and the costs of administering, public housing – does not withstand critical scrutiny</w:t>
      </w:r>
      <w:r w:rsidR="00EC5DD4" w:rsidRPr="00DC6CAC">
        <w:rPr>
          <w:color w:val="00194C"/>
        </w:rPr>
        <w:t xml:space="preserve"> because these two objectives are </w:t>
      </w:r>
      <w:r w:rsidR="002148DB" w:rsidRPr="00DC6CAC">
        <w:rPr>
          <w:color w:val="00194C"/>
        </w:rPr>
        <w:t>not always</w:t>
      </w:r>
      <w:r w:rsidR="00EC5DD4" w:rsidRPr="00DC6CAC">
        <w:rPr>
          <w:color w:val="00194C"/>
        </w:rPr>
        <w:t xml:space="preserve"> consistent</w:t>
      </w:r>
      <w:r w:rsidRPr="00DC6CAC">
        <w:rPr>
          <w:color w:val="00194C"/>
        </w:rPr>
        <w:t xml:space="preserve">. </w:t>
      </w:r>
      <w:r w:rsidR="00E010D6" w:rsidRPr="00DC6CAC">
        <w:rPr>
          <w:color w:val="00194C"/>
        </w:rPr>
        <w:t>Not only does the scheme appear relevant to a very small</w:t>
      </w:r>
      <w:r w:rsidRPr="00DC6CAC">
        <w:rPr>
          <w:color w:val="00194C"/>
        </w:rPr>
        <w:t xml:space="preserve"> proportio</w:t>
      </w:r>
      <w:r w:rsidR="00E010D6" w:rsidRPr="00DC6CAC">
        <w:rPr>
          <w:color w:val="00194C"/>
        </w:rPr>
        <w:t>n of public housing tenants, but</w:t>
      </w:r>
      <w:r w:rsidRPr="00DC6CAC">
        <w:rPr>
          <w:color w:val="00194C"/>
        </w:rPr>
        <w:t xml:space="preserve"> aspects of it appear to prefer debt collection over redu</w:t>
      </w:r>
      <w:r w:rsidR="008A07D7" w:rsidRPr="00DC6CAC">
        <w:rPr>
          <w:color w:val="00194C"/>
        </w:rPr>
        <w:t xml:space="preserve">cing ‘exits </w:t>
      </w:r>
      <w:permStart w:id="1822765969" w:edGrp="everyone"/>
      <w:permEnd w:id="1822765969"/>
      <w:r w:rsidR="008A07D7" w:rsidRPr="00DC6CAC">
        <w:rPr>
          <w:color w:val="00194C"/>
        </w:rPr>
        <w:t xml:space="preserve">into homelessness’ </w:t>
      </w:r>
      <w:r w:rsidR="00C23273" w:rsidRPr="00DC6CAC">
        <w:rPr>
          <w:color w:val="00194C"/>
        </w:rPr>
        <w:t xml:space="preserve">and may </w:t>
      </w:r>
      <w:r w:rsidR="00C23273" w:rsidRPr="00DC6CAC">
        <w:rPr>
          <w:i/>
          <w:color w:val="00194C"/>
        </w:rPr>
        <w:t>increase</w:t>
      </w:r>
      <w:r w:rsidR="008A07D7" w:rsidRPr="00DC6CAC">
        <w:rPr>
          <w:color w:val="00194C"/>
        </w:rPr>
        <w:t xml:space="preserve"> homelessness.</w:t>
      </w:r>
      <w:r w:rsidRPr="00DC6CAC">
        <w:rPr>
          <w:color w:val="00194C"/>
        </w:rPr>
        <w:t xml:space="preserve"> Considering that </w:t>
      </w:r>
      <w:r w:rsidR="00EC5DD4" w:rsidRPr="00DC6CAC">
        <w:rPr>
          <w:color w:val="00194C"/>
        </w:rPr>
        <w:t>the scheme’s</w:t>
      </w:r>
      <w:r w:rsidRPr="00DC6CAC">
        <w:rPr>
          <w:color w:val="00194C"/>
        </w:rPr>
        <w:t xml:space="preserve"> administration is likely to be </w:t>
      </w:r>
      <w:r w:rsidR="00045BB9" w:rsidRPr="00DC6CAC">
        <w:rPr>
          <w:color w:val="00194C"/>
        </w:rPr>
        <w:t xml:space="preserve">cumbersome and therefore </w:t>
      </w:r>
      <w:proofErr w:type="gramStart"/>
      <w:r w:rsidRPr="00DC6CAC">
        <w:rPr>
          <w:color w:val="00194C"/>
        </w:rPr>
        <w:t>costly,</w:t>
      </w:r>
      <w:proofErr w:type="gramEnd"/>
      <w:r w:rsidRPr="00DC6CAC">
        <w:rPr>
          <w:color w:val="00194C"/>
        </w:rPr>
        <w:t xml:space="preserve"> HA is concerned about </w:t>
      </w:r>
      <w:r w:rsidR="00EC5DD4" w:rsidRPr="00DC6CAC">
        <w:rPr>
          <w:color w:val="00194C"/>
        </w:rPr>
        <w:t>its</w:t>
      </w:r>
      <w:r w:rsidRPr="00DC6CAC">
        <w:rPr>
          <w:color w:val="00194C"/>
        </w:rPr>
        <w:t xml:space="preserve"> overall effectiveness.</w:t>
      </w:r>
    </w:p>
    <w:p w:rsidR="00B51E4C" w:rsidRPr="00DC6CAC" w:rsidRDefault="00A12675" w:rsidP="004A4EF5">
      <w:pPr>
        <w:rPr>
          <w:b/>
          <w:smallCaps/>
          <w:color w:val="00194C"/>
        </w:rPr>
      </w:pPr>
      <w:r w:rsidRPr="00DC6CAC">
        <w:rPr>
          <w:b/>
          <w:smallCaps/>
          <w:color w:val="00194C"/>
        </w:rPr>
        <w:t>Do public housing</w:t>
      </w:r>
      <w:r w:rsidR="001B7DF2" w:rsidRPr="00DC6CAC">
        <w:rPr>
          <w:b/>
          <w:smallCaps/>
          <w:color w:val="00194C"/>
        </w:rPr>
        <w:t xml:space="preserve"> rent arrears cause evictions?</w:t>
      </w:r>
    </w:p>
    <w:p w:rsidR="000E286B" w:rsidRPr="00DC6CAC" w:rsidRDefault="000E286B" w:rsidP="004A4EF5">
      <w:pPr>
        <w:rPr>
          <w:color w:val="00194C"/>
        </w:rPr>
      </w:pPr>
      <w:r w:rsidRPr="00DC6CAC">
        <w:rPr>
          <w:color w:val="00194C"/>
        </w:rPr>
        <w:t xml:space="preserve">The </w:t>
      </w:r>
      <w:r w:rsidR="004D5A83" w:rsidRPr="00DC6CAC">
        <w:rPr>
          <w:color w:val="00194C"/>
        </w:rPr>
        <w:t>Productivity Commission</w:t>
      </w:r>
      <w:r w:rsidRPr="00DC6CAC">
        <w:rPr>
          <w:color w:val="00194C"/>
        </w:rPr>
        <w:t xml:space="preserve">’s </w:t>
      </w:r>
      <w:hyperlink r:id="rId15" w:history="1">
        <w:r w:rsidRPr="00DC6CAC">
          <w:rPr>
            <w:rStyle w:val="Hyperlink"/>
            <w:i/>
            <w:color w:val="00194C"/>
          </w:rPr>
          <w:t>Report on</w:t>
        </w:r>
        <w:r w:rsidR="004D5A83" w:rsidRPr="00DC6CAC">
          <w:rPr>
            <w:rStyle w:val="Hyperlink"/>
            <w:i/>
            <w:color w:val="00194C"/>
          </w:rPr>
          <w:t xml:space="preserve"> Government Service</w:t>
        </w:r>
        <w:r w:rsidRPr="00DC6CAC">
          <w:rPr>
            <w:rStyle w:val="Hyperlink"/>
            <w:i/>
            <w:color w:val="00194C"/>
          </w:rPr>
          <w:t>s 2013</w:t>
        </w:r>
      </w:hyperlink>
      <w:r w:rsidR="004D5A83" w:rsidRPr="00DC6CAC">
        <w:rPr>
          <w:color w:val="00194C"/>
        </w:rPr>
        <w:t xml:space="preserve"> indicates that</w:t>
      </w:r>
      <w:r w:rsidRPr="00DC6CAC">
        <w:rPr>
          <w:color w:val="00194C"/>
        </w:rPr>
        <w:t>:</w:t>
      </w:r>
      <w:r w:rsidR="00656551" w:rsidRPr="00DC6CAC">
        <w:rPr>
          <w:color w:val="00194C"/>
        </w:rPr>
        <w:t xml:space="preserve"> </w:t>
      </w:r>
    </w:p>
    <w:p w:rsidR="003D43C3" w:rsidRPr="00DC6CAC" w:rsidRDefault="00402EF5" w:rsidP="00D73BF4">
      <w:pPr>
        <w:pStyle w:val="ListParagraph"/>
        <w:numPr>
          <w:ilvl w:val="0"/>
          <w:numId w:val="10"/>
        </w:numPr>
        <w:rPr>
          <w:color w:val="00194C"/>
        </w:rPr>
      </w:pPr>
      <w:r w:rsidRPr="00DC6CAC">
        <w:rPr>
          <w:color w:val="00194C"/>
        </w:rPr>
        <w:t xml:space="preserve">rent collection rates </w:t>
      </w:r>
      <w:r w:rsidR="003D43C3" w:rsidRPr="00DC6CAC">
        <w:rPr>
          <w:color w:val="00194C"/>
        </w:rPr>
        <w:t>for most public and community housing across Australia are high</w:t>
      </w:r>
      <w:r w:rsidR="00D73BF4" w:rsidRPr="00DC6CAC">
        <w:rPr>
          <w:color w:val="00194C"/>
        </w:rPr>
        <w:t xml:space="preserve">: </w:t>
      </w:r>
      <w:r w:rsidR="003D43C3" w:rsidRPr="00DC6CAC">
        <w:rPr>
          <w:color w:val="00194C"/>
        </w:rPr>
        <w:t xml:space="preserve">close to 100 per cent for all but indigenous community housing, where rates are above 90 per cent </w:t>
      </w:r>
      <w:r w:rsidR="00D73BF4" w:rsidRPr="00DC6CAC">
        <w:rPr>
          <w:color w:val="00194C"/>
        </w:rPr>
        <w:t>everywhere except</w:t>
      </w:r>
      <w:r w:rsidR="003D43C3" w:rsidRPr="00DC6CAC">
        <w:rPr>
          <w:color w:val="00194C"/>
        </w:rPr>
        <w:t xml:space="preserve"> South Australia;</w:t>
      </w:r>
      <w:r w:rsidR="003D43C3" w:rsidRPr="00DC6CAC">
        <w:rPr>
          <w:rStyle w:val="FootnoteReference"/>
          <w:color w:val="00194C"/>
        </w:rPr>
        <w:t xml:space="preserve"> </w:t>
      </w:r>
      <w:r w:rsidR="003D43C3" w:rsidRPr="00DC6CAC">
        <w:rPr>
          <w:rStyle w:val="FootnoteReference"/>
          <w:color w:val="00194C"/>
        </w:rPr>
        <w:footnoteReference w:id="2"/>
      </w:r>
    </w:p>
    <w:p w:rsidR="00FE012F" w:rsidRPr="00DC6CAC" w:rsidRDefault="005C537F" w:rsidP="00D73BF4">
      <w:pPr>
        <w:pStyle w:val="ListParagraph"/>
        <w:numPr>
          <w:ilvl w:val="0"/>
          <w:numId w:val="10"/>
        </w:numPr>
        <w:rPr>
          <w:color w:val="00194C"/>
        </w:rPr>
      </w:pPr>
      <w:proofErr w:type="gramStart"/>
      <w:r w:rsidRPr="00DC6CAC">
        <w:rPr>
          <w:color w:val="00194C"/>
        </w:rPr>
        <w:t>the</w:t>
      </w:r>
      <w:proofErr w:type="gramEnd"/>
      <w:r w:rsidRPr="00DC6CAC">
        <w:rPr>
          <w:color w:val="00194C"/>
        </w:rPr>
        <w:t xml:space="preserve"> approximately 5 per cent of Australians who live in </w:t>
      </w:r>
      <w:r w:rsidR="004D5A83" w:rsidRPr="00DC6CAC">
        <w:rPr>
          <w:color w:val="00194C"/>
        </w:rPr>
        <w:t xml:space="preserve">public and community </w:t>
      </w:r>
      <w:r w:rsidRPr="00DC6CAC">
        <w:rPr>
          <w:color w:val="00194C"/>
        </w:rPr>
        <w:t>housing</w:t>
      </w:r>
      <w:r w:rsidRPr="00DC6CAC">
        <w:rPr>
          <w:rStyle w:val="FootnoteReference"/>
          <w:color w:val="00194C"/>
        </w:rPr>
        <w:footnoteReference w:id="3"/>
      </w:r>
      <w:r w:rsidRPr="00DC6CAC">
        <w:rPr>
          <w:color w:val="00194C"/>
        </w:rPr>
        <w:t xml:space="preserve"> </w:t>
      </w:r>
      <w:r w:rsidR="00171ECA" w:rsidRPr="00DC6CAC">
        <w:rPr>
          <w:color w:val="00194C"/>
        </w:rPr>
        <w:t xml:space="preserve">already </w:t>
      </w:r>
      <w:r w:rsidR="00D73BF4" w:rsidRPr="00DC6CAC">
        <w:rPr>
          <w:color w:val="00194C"/>
        </w:rPr>
        <w:t>spend, on average,</w:t>
      </w:r>
      <w:r w:rsidR="00171ECA" w:rsidRPr="00DC6CAC">
        <w:rPr>
          <w:color w:val="00194C"/>
        </w:rPr>
        <w:t xml:space="preserve"> between 20-25 per cent</w:t>
      </w:r>
      <w:r w:rsidR="004D5A83" w:rsidRPr="00DC6CAC">
        <w:rPr>
          <w:color w:val="00194C"/>
        </w:rPr>
        <w:t xml:space="preserve"> of t</w:t>
      </w:r>
      <w:bookmarkStart w:id="0" w:name="_GoBack"/>
      <w:bookmarkEnd w:id="0"/>
      <w:r w:rsidR="004D5A83" w:rsidRPr="00DC6CAC">
        <w:rPr>
          <w:color w:val="00194C"/>
        </w:rPr>
        <w:t>heir gross income on rent.</w:t>
      </w:r>
      <w:r w:rsidR="005C63FA" w:rsidRPr="00DC6CAC">
        <w:rPr>
          <w:rStyle w:val="FootnoteReference"/>
          <w:color w:val="00194C"/>
        </w:rPr>
        <w:footnoteReference w:id="4"/>
      </w:r>
      <w:r w:rsidR="00B6153D" w:rsidRPr="00DC6CAC">
        <w:rPr>
          <w:color w:val="00194C"/>
        </w:rPr>
        <w:t xml:space="preserve"> </w:t>
      </w:r>
    </w:p>
    <w:p w:rsidR="001B7DF2" w:rsidRPr="00DC6CAC" w:rsidRDefault="003F7146" w:rsidP="00294C71">
      <w:pPr>
        <w:rPr>
          <w:color w:val="00194C"/>
        </w:rPr>
      </w:pPr>
      <w:r w:rsidRPr="00DC6CAC">
        <w:rPr>
          <w:color w:val="00194C"/>
        </w:rPr>
        <w:lastRenderedPageBreak/>
        <w:t>According to a</w:t>
      </w:r>
      <w:r w:rsidR="002B5752" w:rsidRPr="00DC6CAC">
        <w:rPr>
          <w:color w:val="00194C"/>
        </w:rPr>
        <w:t xml:space="preserve"> 2013 AHURI report on the costs of homelessness, </w:t>
      </w:r>
      <w:r w:rsidR="00812BBF" w:rsidRPr="00DC6CAC">
        <w:rPr>
          <w:color w:val="00194C"/>
        </w:rPr>
        <w:t xml:space="preserve">the annual rate of reported evictions </w:t>
      </w:r>
      <w:r w:rsidR="00812BBF" w:rsidRPr="00DC6CAC">
        <w:rPr>
          <w:i/>
          <w:color w:val="00194C"/>
        </w:rPr>
        <w:t>per public tenancy</w:t>
      </w:r>
      <w:r w:rsidR="00B8333B" w:rsidRPr="00DC6CAC">
        <w:rPr>
          <w:color w:val="00194C"/>
        </w:rPr>
        <w:t xml:space="preserve"> is 0.28 per cent</w:t>
      </w:r>
      <w:r w:rsidR="00812BBF" w:rsidRPr="00DC6CAC">
        <w:rPr>
          <w:color w:val="00194C"/>
        </w:rPr>
        <w:t>,</w:t>
      </w:r>
      <w:r w:rsidR="00812BBF" w:rsidRPr="00DC6CAC">
        <w:rPr>
          <w:rStyle w:val="FootnoteReference"/>
          <w:color w:val="00194C"/>
        </w:rPr>
        <w:footnoteReference w:id="5"/>
      </w:r>
      <w:r w:rsidR="00812BBF" w:rsidRPr="00DC6CAC">
        <w:rPr>
          <w:color w:val="00194C"/>
        </w:rPr>
        <w:t xml:space="preserve"> or one eviction for every 357 tenancies. However, </w:t>
      </w:r>
      <w:r w:rsidR="001A3CCA" w:rsidRPr="00DC6CAC">
        <w:rPr>
          <w:color w:val="00194C"/>
        </w:rPr>
        <w:t xml:space="preserve">as might be expected, </w:t>
      </w:r>
      <w:r w:rsidR="00812BBF" w:rsidRPr="00DC6CAC">
        <w:rPr>
          <w:color w:val="00194C"/>
        </w:rPr>
        <w:t xml:space="preserve">eviction rates </w:t>
      </w:r>
      <w:r w:rsidR="00CE2CB7" w:rsidRPr="00DC6CAC">
        <w:rPr>
          <w:i/>
          <w:color w:val="00194C"/>
        </w:rPr>
        <w:t xml:space="preserve">per household </w:t>
      </w:r>
      <w:r w:rsidR="00812BBF" w:rsidRPr="00DC6CAC">
        <w:rPr>
          <w:color w:val="00194C"/>
        </w:rPr>
        <w:t>are much higher among users of homelessness services</w:t>
      </w:r>
      <w:r w:rsidR="00565CF4" w:rsidRPr="00DC6CAC">
        <w:rPr>
          <w:color w:val="00194C"/>
        </w:rPr>
        <w:t xml:space="preserve"> </w:t>
      </w:r>
      <w:r w:rsidR="00CE2CB7" w:rsidRPr="00DC6CAC">
        <w:rPr>
          <w:color w:val="00194C"/>
        </w:rPr>
        <w:t>(</w:t>
      </w:r>
      <w:r w:rsidR="00565CF4" w:rsidRPr="00DC6CAC">
        <w:rPr>
          <w:color w:val="00194C"/>
        </w:rPr>
        <w:t>50 per cent</w:t>
      </w:r>
      <w:r w:rsidR="00CE2CB7" w:rsidRPr="00DC6CAC">
        <w:rPr>
          <w:color w:val="00194C"/>
        </w:rPr>
        <w:t>)</w:t>
      </w:r>
      <w:r w:rsidR="002B5752" w:rsidRPr="00DC6CAC">
        <w:rPr>
          <w:rStyle w:val="FootnoteReference"/>
          <w:color w:val="00194C"/>
        </w:rPr>
        <w:footnoteReference w:id="6"/>
      </w:r>
      <w:r w:rsidR="00FE012F" w:rsidRPr="00DC6CAC">
        <w:rPr>
          <w:color w:val="00194C"/>
        </w:rPr>
        <w:t xml:space="preserve"> </w:t>
      </w:r>
      <w:r w:rsidR="00CE2CB7" w:rsidRPr="00DC6CAC">
        <w:rPr>
          <w:color w:val="00194C"/>
        </w:rPr>
        <w:t xml:space="preserve">than they are in the general population </w:t>
      </w:r>
      <w:r w:rsidR="00B8333B" w:rsidRPr="00DC6CAC">
        <w:rPr>
          <w:color w:val="00194C"/>
        </w:rPr>
        <w:t xml:space="preserve">(0.01 per cent, </w:t>
      </w:r>
      <w:r w:rsidR="00F54BC0" w:rsidRPr="00DC6CAC">
        <w:rPr>
          <w:color w:val="00194C"/>
        </w:rPr>
        <w:t xml:space="preserve">or one eviction for every </w:t>
      </w:r>
      <w:r w:rsidR="00812BBF" w:rsidRPr="00DC6CAC">
        <w:rPr>
          <w:color w:val="00194C"/>
        </w:rPr>
        <w:t>1000 households).</w:t>
      </w:r>
      <w:r w:rsidR="00565CF4" w:rsidRPr="00DC6CAC">
        <w:rPr>
          <w:rStyle w:val="FootnoteReference"/>
          <w:color w:val="00194C"/>
        </w:rPr>
        <w:footnoteReference w:id="7"/>
      </w:r>
      <w:r w:rsidR="00FE012F" w:rsidRPr="00DC6CAC">
        <w:rPr>
          <w:color w:val="00194C"/>
        </w:rPr>
        <w:t xml:space="preserve"> </w:t>
      </w:r>
      <w:r w:rsidR="00E22377" w:rsidRPr="00DC6CAC">
        <w:rPr>
          <w:color w:val="00194C"/>
        </w:rPr>
        <w:t xml:space="preserve">Single men who use homeless services in particular are </w:t>
      </w:r>
      <w:r w:rsidR="0045297B" w:rsidRPr="00DC6CAC">
        <w:rPr>
          <w:color w:val="00194C"/>
        </w:rPr>
        <w:t xml:space="preserve">very </w:t>
      </w:r>
      <w:r w:rsidR="00E22377" w:rsidRPr="00DC6CAC">
        <w:rPr>
          <w:color w:val="00194C"/>
        </w:rPr>
        <w:t>vulnerable to eviction (50 per cent).</w:t>
      </w:r>
      <w:r w:rsidR="006D19FF" w:rsidRPr="00DC6CAC">
        <w:rPr>
          <w:rStyle w:val="FootnoteReference"/>
          <w:color w:val="00194C"/>
        </w:rPr>
        <w:footnoteReference w:id="8"/>
      </w:r>
      <w:r w:rsidR="00E032AB" w:rsidRPr="00DC6CAC">
        <w:rPr>
          <w:color w:val="00194C"/>
        </w:rPr>
        <w:t xml:space="preserve"> </w:t>
      </w:r>
    </w:p>
    <w:p w:rsidR="00221381" w:rsidRPr="00DC6CAC" w:rsidRDefault="00E032AB" w:rsidP="00294C71">
      <w:pPr>
        <w:rPr>
          <w:color w:val="00194C"/>
        </w:rPr>
      </w:pPr>
      <w:r w:rsidRPr="00DC6CAC">
        <w:rPr>
          <w:color w:val="00194C"/>
        </w:rPr>
        <w:t>‘Fact sheets’ associated with the exposure draft legislation assert that 600 public housing tenants a year are evicted for rent arrears.</w:t>
      </w:r>
      <w:r w:rsidR="009E535E" w:rsidRPr="00DC6CAC">
        <w:rPr>
          <w:rStyle w:val="FootnoteReference"/>
          <w:color w:val="00194C"/>
        </w:rPr>
        <w:footnoteReference w:id="9"/>
      </w:r>
      <w:r w:rsidR="00437B01" w:rsidRPr="00DC6CAC">
        <w:rPr>
          <w:color w:val="00194C"/>
        </w:rPr>
        <w:t xml:space="preserve"> </w:t>
      </w:r>
      <w:r w:rsidR="001B7DF2" w:rsidRPr="00DC6CAC">
        <w:rPr>
          <w:color w:val="00194C"/>
        </w:rPr>
        <w:t xml:space="preserve">Unpublished </w:t>
      </w:r>
      <w:r w:rsidR="00B17A9E" w:rsidRPr="00DC6CAC">
        <w:rPr>
          <w:color w:val="00194C"/>
        </w:rPr>
        <w:t xml:space="preserve">2007 </w:t>
      </w:r>
      <w:r w:rsidR="001B7DF2" w:rsidRPr="00DC6CAC">
        <w:rPr>
          <w:color w:val="00194C"/>
        </w:rPr>
        <w:t>d</w:t>
      </w:r>
      <w:r w:rsidR="00437B01" w:rsidRPr="00DC6CAC">
        <w:rPr>
          <w:color w:val="00194C"/>
        </w:rPr>
        <w:t xml:space="preserve">ata referred to in </w:t>
      </w:r>
      <w:r w:rsidR="00437B01" w:rsidRPr="00DC6CAC">
        <w:rPr>
          <w:i/>
          <w:color w:val="00194C"/>
        </w:rPr>
        <w:t>The Road Home</w:t>
      </w:r>
      <w:r w:rsidR="00437B01" w:rsidRPr="00DC6CAC">
        <w:rPr>
          <w:color w:val="00194C"/>
        </w:rPr>
        <w:t xml:space="preserve"> </w:t>
      </w:r>
      <w:r w:rsidR="001B7DF2" w:rsidRPr="00DC6CAC">
        <w:rPr>
          <w:color w:val="00194C"/>
        </w:rPr>
        <w:t xml:space="preserve">were said to </w:t>
      </w:r>
      <w:r w:rsidR="00037793" w:rsidRPr="00DC6CAC">
        <w:rPr>
          <w:color w:val="00194C"/>
        </w:rPr>
        <w:t>show</w:t>
      </w:r>
      <w:r w:rsidR="001B7DF2" w:rsidRPr="00DC6CAC">
        <w:rPr>
          <w:color w:val="00194C"/>
        </w:rPr>
        <w:t xml:space="preserve"> tha</w:t>
      </w:r>
      <w:r w:rsidR="00B17A9E" w:rsidRPr="00DC6CAC">
        <w:rPr>
          <w:color w:val="00194C"/>
        </w:rPr>
        <w:t xml:space="preserve">t </w:t>
      </w:r>
      <w:r w:rsidR="00437B01" w:rsidRPr="00DC6CAC">
        <w:rPr>
          <w:color w:val="00194C"/>
        </w:rPr>
        <w:t xml:space="preserve">2000 public </w:t>
      </w:r>
      <w:r w:rsidR="00B17A9E" w:rsidRPr="00DC6CAC">
        <w:rPr>
          <w:color w:val="00194C"/>
        </w:rPr>
        <w:t>housing tenants were evicted that</w:t>
      </w:r>
      <w:r w:rsidR="00437B01" w:rsidRPr="00DC6CAC">
        <w:rPr>
          <w:color w:val="00194C"/>
        </w:rPr>
        <w:t xml:space="preserve"> year. If </w:t>
      </w:r>
      <w:r w:rsidR="00977C46" w:rsidRPr="00DC6CAC">
        <w:rPr>
          <w:color w:val="00194C"/>
        </w:rPr>
        <w:t xml:space="preserve">these statistics have </w:t>
      </w:r>
      <w:proofErr w:type="gramStart"/>
      <w:r w:rsidR="00977C46" w:rsidRPr="00DC6CAC">
        <w:rPr>
          <w:color w:val="00194C"/>
        </w:rPr>
        <w:t>a similar</w:t>
      </w:r>
      <w:proofErr w:type="gramEnd"/>
      <w:r w:rsidR="00977C46" w:rsidRPr="00DC6CAC">
        <w:rPr>
          <w:color w:val="00194C"/>
        </w:rPr>
        <w:t xml:space="preserve"> base</w:t>
      </w:r>
      <w:r w:rsidR="00437B01" w:rsidRPr="00DC6CAC">
        <w:rPr>
          <w:color w:val="00194C"/>
        </w:rPr>
        <w:t xml:space="preserve">, rent arrears </w:t>
      </w:r>
      <w:r w:rsidR="00977C46" w:rsidRPr="00DC6CAC">
        <w:rPr>
          <w:color w:val="00194C"/>
        </w:rPr>
        <w:t>may</w:t>
      </w:r>
      <w:r w:rsidR="00437B01" w:rsidRPr="00DC6CAC">
        <w:rPr>
          <w:color w:val="00194C"/>
        </w:rPr>
        <w:t xml:space="preserve"> not </w:t>
      </w:r>
      <w:r w:rsidR="00977C46" w:rsidRPr="00DC6CAC">
        <w:rPr>
          <w:color w:val="00194C"/>
        </w:rPr>
        <w:t xml:space="preserve">be </w:t>
      </w:r>
      <w:r w:rsidR="00437B01" w:rsidRPr="00DC6CAC">
        <w:rPr>
          <w:color w:val="00194C"/>
        </w:rPr>
        <w:t>the main cause of evictions from public housing</w:t>
      </w:r>
      <w:r w:rsidR="001B7DF2" w:rsidRPr="00DC6CAC">
        <w:rPr>
          <w:color w:val="00194C"/>
        </w:rPr>
        <w:t>.</w:t>
      </w:r>
      <w:r w:rsidR="00DA05F8" w:rsidRPr="00DC6CAC">
        <w:rPr>
          <w:color w:val="00194C"/>
        </w:rPr>
        <w:t xml:space="preserve"> </w:t>
      </w:r>
      <w:r w:rsidR="00B17A9E" w:rsidRPr="00DC6CAC">
        <w:rPr>
          <w:color w:val="00194C"/>
        </w:rPr>
        <w:t>Obviously, c</w:t>
      </w:r>
      <w:r w:rsidR="00DA05F8" w:rsidRPr="00DC6CAC">
        <w:rPr>
          <w:color w:val="00194C"/>
        </w:rPr>
        <w:t>ompulsory rent collections will not</w:t>
      </w:r>
      <w:r w:rsidR="00294C71" w:rsidRPr="00DC6CAC">
        <w:rPr>
          <w:color w:val="00194C"/>
        </w:rPr>
        <w:t xml:space="preserve"> alleviate evictions</w:t>
      </w:r>
      <w:r w:rsidR="00B17A9E" w:rsidRPr="00DC6CAC">
        <w:rPr>
          <w:color w:val="00194C"/>
        </w:rPr>
        <w:t xml:space="preserve"> for other causes (eg domestic violence, </w:t>
      </w:r>
      <w:r w:rsidR="00F561A8" w:rsidRPr="00DC6CAC">
        <w:rPr>
          <w:color w:val="00194C"/>
        </w:rPr>
        <w:t xml:space="preserve">tenants being visited </w:t>
      </w:r>
      <w:r w:rsidR="00B17A9E" w:rsidRPr="00DC6CAC">
        <w:rPr>
          <w:color w:val="00194C"/>
        </w:rPr>
        <w:t>by drug dealers</w:t>
      </w:r>
      <w:r w:rsidR="00C35B25" w:rsidRPr="00DC6CAC">
        <w:rPr>
          <w:color w:val="00194C"/>
        </w:rPr>
        <w:t>,</w:t>
      </w:r>
      <w:r w:rsidR="001A37C6" w:rsidRPr="00DC6CAC">
        <w:rPr>
          <w:color w:val="00194C"/>
        </w:rPr>
        <w:t xml:space="preserve"> or other anti-social behaviour</w:t>
      </w:r>
      <w:r w:rsidR="00B17A9E" w:rsidRPr="00DC6CAC">
        <w:rPr>
          <w:color w:val="00194C"/>
        </w:rPr>
        <w:t>)</w:t>
      </w:r>
      <w:r w:rsidR="00294C71" w:rsidRPr="00DC6CAC">
        <w:rPr>
          <w:color w:val="00194C"/>
        </w:rPr>
        <w:t>.</w:t>
      </w:r>
      <w:r w:rsidR="001B7DF2" w:rsidRPr="00DC6CAC">
        <w:rPr>
          <w:color w:val="00194C"/>
        </w:rPr>
        <w:t xml:space="preserve"> </w:t>
      </w:r>
      <w:r w:rsidR="00C726C6" w:rsidRPr="00DC6CAC">
        <w:rPr>
          <w:color w:val="00194C"/>
        </w:rPr>
        <w:t>In 2006, AHURI</w:t>
      </w:r>
      <w:r w:rsidR="00970AD6" w:rsidRPr="00DC6CAC">
        <w:rPr>
          <w:bCs/>
          <w:color w:val="00194C"/>
        </w:rPr>
        <w:t xml:space="preserve"> </w:t>
      </w:r>
      <w:r w:rsidR="001B7DF2" w:rsidRPr="00DC6CAC">
        <w:rPr>
          <w:color w:val="00194C"/>
        </w:rPr>
        <w:t>concluded</w:t>
      </w:r>
      <w:r w:rsidR="00970AD6" w:rsidRPr="00DC6CAC">
        <w:rPr>
          <w:color w:val="00194C"/>
        </w:rPr>
        <w:t xml:space="preserve"> that</w:t>
      </w:r>
      <w:r w:rsidR="003342E2" w:rsidRPr="00DC6CAC">
        <w:rPr>
          <w:color w:val="00194C"/>
        </w:rPr>
        <w:t xml:space="preserve"> those</w:t>
      </w:r>
      <w:r w:rsidR="00221381" w:rsidRPr="00DC6CAC">
        <w:rPr>
          <w:color w:val="00194C"/>
        </w:rPr>
        <w:t xml:space="preserve"> most at risk of eviction </w:t>
      </w:r>
      <w:r w:rsidR="003342E2" w:rsidRPr="00DC6CAC">
        <w:rPr>
          <w:color w:val="00194C"/>
        </w:rPr>
        <w:t>were people living alone, young people, sole parents, older men, people with substance abuse problems and women escaping domestic violence, and that:</w:t>
      </w:r>
    </w:p>
    <w:p w:rsidR="00221381" w:rsidRPr="00DC6CAC" w:rsidRDefault="00221381" w:rsidP="005B0C82">
      <w:pPr>
        <w:pStyle w:val="Default"/>
        <w:spacing w:before="120" w:after="120"/>
        <w:ind w:left="700"/>
        <w:jc w:val="both"/>
        <w:rPr>
          <w:rFonts w:asciiTheme="minorHAnsi" w:hAnsiTheme="minorHAnsi"/>
          <w:color w:val="00194C"/>
          <w:sz w:val="20"/>
          <w:szCs w:val="22"/>
        </w:rPr>
      </w:pPr>
      <w:r w:rsidRPr="00DC6CAC">
        <w:rPr>
          <w:rFonts w:asciiTheme="minorHAnsi" w:hAnsiTheme="minorHAnsi"/>
          <w:color w:val="00194C"/>
          <w:sz w:val="20"/>
          <w:szCs w:val="22"/>
        </w:rPr>
        <w:t xml:space="preserve">The interview data </w:t>
      </w:r>
      <w:r w:rsidR="00C35B25" w:rsidRPr="00DC6CAC">
        <w:rPr>
          <w:rFonts w:asciiTheme="minorHAnsi" w:hAnsiTheme="minorHAnsi"/>
          <w:color w:val="00194C"/>
          <w:sz w:val="20"/>
          <w:szCs w:val="22"/>
        </w:rPr>
        <w:t xml:space="preserve">[from about 150 people in three states] </w:t>
      </w:r>
      <w:r w:rsidRPr="00DC6CAC">
        <w:rPr>
          <w:rFonts w:asciiTheme="minorHAnsi" w:hAnsiTheme="minorHAnsi"/>
          <w:color w:val="00194C"/>
          <w:sz w:val="20"/>
          <w:szCs w:val="22"/>
        </w:rPr>
        <w:t>shows that most evictions occurred because of rent arrears and this finding is consistent with the established evidence base around this topic. However, we also found that a significant number of our respondents had been evicted because of damage to the property, or as a consequence of the complaints of neighbours</w:t>
      </w:r>
      <w:proofErr w:type="gramStart"/>
      <w:r w:rsidRPr="00DC6CAC">
        <w:rPr>
          <w:rFonts w:asciiTheme="minorHAnsi" w:hAnsiTheme="minorHAnsi"/>
          <w:color w:val="00194C"/>
          <w:sz w:val="20"/>
          <w:szCs w:val="22"/>
        </w:rPr>
        <w:t xml:space="preserve">; </w:t>
      </w:r>
      <w:r w:rsidR="00970AD6" w:rsidRPr="00DC6CAC">
        <w:rPr>
          <w:rFonts w:asciiTheme="minorHAnsi" w:hAnsiTheme="minorHAnsi"/>
          <w:color w:val="00194C"/>
          <w:sz w:val="20"/>
          <w:szCs w:val="22"/>
        </w:rPr>
        <w:t>...</w:t>
      </w:r>
      <w:proofErr w:type="gramEnd"/>
      <w:r w:rsidR="001A3CCA" w:rsidRPr="00DC6CAC">
        <w:rPr>
          <w:rStyle w:val="FootnoteReference"/>
          <w:rFonts w:asciiTheme="minorHAnsi" w:hAnsiTheme="minorHAnsi"/>
          <w:bCs/>
          <w:color w:val="00194C"/>
          <w:sz w:val="22"/>
          <w:szCs w:val="22"/>
        </w:rPr>
        <w:t xml:space="preserve"> </w:t>
      </w:r>
      <w:r w:rsidR="00AF5093" w:rsidRPr="00DC6CAC">
        <w:rPr>
          <w:rStyle w:val="FootnoteReference"/>
          <w:rFonts w:asciiTheme="minorHAnsi" w:hAnsiTheme="minorHAnsi"/>
          <w:bCs/>
          <w:color w:val="00194C"/>
          <w:sz w:val="22"/>
          <w:szCs w:val="22"/>
        </w:rPr>
        <w:footnoteReference w:id="10"/>
      </w:r>
    </w:p>
    <w:p w:rsidR="004158A7" w:rsidRPr="00DC6CAC" w:rsidRDefault="00623AF9" w:rsidP="004A4EF5">
      <w:pPr>
        <w:rPr>
          <w:color w:val="00194C"/>
        </w:rPr>
      </w:pPr>
      <w:r w:rsidRPr="00DC6CAC">
        <w:rPr>
          <w:color w:val="00194C"/>
        </w:rPr>
        <w:t xml:space="preserve">It is not surprising that </w:t>
      </w:r>
      <w:r w:rsidR="00187367" w:rsidRPr="00DC6CAC">
        <w:rPr>
          <w:color w:val="00194C"/>
        </w:rPr>
        <w:t xml:space="preserve">people </w:t>
      </w:r>
      <w:r w:rsidRPr="00DC6CAC">
        <w:rPr>
          <w:color w:val="00194C"/>
        </w:rPr>
        <w:t>already</w:t>
      </w:r>
      <w:r w:rsidR="00187367" w:rsidRPr="00DC6CAC">
        <w:rPr>
          <w:color w:val="00194C"/>
        </w:rPr>
        <w:t xml:space="preserve"> </w:t>
      </w:r>
      <w:r w:rsidRPr="00DC6CAC">
        <w:rPr>
          <w:color w:val="00194C"/>
        </w:rPr>
        <w:t xml:space="preserve">at </w:t>
      </w:r>
      <w:r w:rsidR="00187367" w:rsidRPr="00DC6CAC">
        <w:rPr>
          <w:color w:val="00194C"/>
        </w:rPr>
        <w:t>risk of homelessness</w:t>
      </w:r>
      <w:r w:rsidR="00FC3C83" w:rsidRPr="00DC6CAC">
        <w:rPr>
          <w:color w:val="00194C"/>
        </w:rPr>
        <w:t xml:space="preserve"> </w:t>
      </w:r>
      <w:r w:rsidR="008273E6" w:rsidRPr="00DC6CAC">
        <w:rPr>
          <w:color w:val="00194C"/>
        </w:rPr>
        <w:t>–</w:t>
      </w:r>
      <w:r w:rsidRPr="00DC6CAC">
        <w:rPr>
          <w:color w:val="00194C"/>
        </w:rPr>
        <w:t xml:space="preserve"> those without the support of a partner or family, those with violent (ex-)</w:t>
      </w:r>
      <w:r w:rsidR="00A77419">
        <w:rPr>
          <w:color w:val="00194C"/>
        </w:rPr>
        <w:t> </w:t>
      </w:r>
      <w:r w:rsidRPr="00DC6CAC">
        <w:rPr>
          <w:color w:val="00194C"/>
        </w:rPr>
        <w:t>partners or drug addiction</w:t>
      </w:r>
      <w:r w:rsidR="00B450DD" w:rsidRPr="00DC6CAC">
        <w:rPr>
          <w:color w:val="00194C"/>
        </w:rPr>
        <w:t>s</w:t>
      </w:r>
      <w:r w:rsidR="00FC3C83" w:rsidRPr="00DC6CAC">
        <w:rPr>
          <w:color w:val="00194C"/>
        </w:rPr>
        <w:t xml:space="preserve"> – are disproportionately likely to be evicted. </w:t>
      </w:r>
      <w:r w:rsidR="00305ED6" w:rsidRPr="00DC6CAC">
        <w:rPr>
          <w:color w:val="00194C"/>
        </w:rPr>
        <w:t>The questi</w:t>
      </w:r>
      <w:r w:rsidR="00031B34" w:rsidRPr="00DC6CAC">
        <w:rPr>
          <w:color w:val="00194C"/>
        </w:rPr>
        <w:t xml:space="preserve">on is whether </w:t>
      </w:r>
      <w:r w:rsidR="003B6369" w:rsidRPr="00DC6CAC">
        <w:rPr>
          <w:color w:val="00194C"/>
        </w:rPr>
        <w:t>a facility for the</w:t>
      </w:r>
      <w:r w:rsidR="00FC3C83" w:rsidRPr="00DC6CAC">
        <w:rPr>
          <w:color w:val="00194C"/>
        </w:rPr>
        <w:t xml:space="preserve"> </w:t>
      </w:r>
      <w:r w:rsidR="009B34A1" w:rsidRPr="00DC6CAC">
        <w:rPr>
          <w:color w:val="00194C"/>
        </w:rPr>
        <w:t xml:space="preserve">compulsory </w:t>
      </w:r>
      <w:r w:rsidR="00031B34" w:rsidRPr="00DC6CAC">
        <w:rPr>
          <w:color w:val="00194C"/>
        </w:rPr>
        <w:t xml:space="preserve">diversion </w:t>
      </w:r>
      <w:r w:rsidR="00187367" w:rsidRPr="00DC6CAC">
        <w:rPr>
          <w:color w:val="00194C"/>
        </w:rPr>
        <w:t xml:space="preserve">to lessors </w:t>
      </w:r>
      <w:r w:rsidR="00031B34" w:rsidRPr="00DC6CAC">
        <w:rPr>
          <w:color w:val="00194C"/>
        </w:rPr>
        <w:t xml:space="preserve">of </w:t>
      </w:r>
      <w:r w:rsidR="00A70C88" w:rsidRPr="00DC6CAC">
        <w:rPr>
          <w:color w:val="00194C"/>
        </w:rPr>
        <w:t>the</w:t>
      </w:r>
      <w:r w:rsidR="00305ED6" w:rsidRPr="00DC6CAC">
        <w:rPr>
          <w:color w:val="00194C"/>
        </w:rPr>
        <w:t xml:space="preserve"> welfare payments </w:t>
      </w:r>
      <w:r w:rsidR="00187367" w:rsidRPr="00DC6CAC">
        <w:rPr>
          <w:color w:val="00194C"/>
        </w:rPr>
        <w:t xml:space="preserve">of a much wider class of public housing tenants </w:t>
      </w:r>
      <w:r w:rsidR="009B34A1" w:rsidRPr="00DC6CAC">
        <w:rPr>
          <w:color w:val="00194C"/>
        </w:rPr>
        <w:t>really will alleviate the eviction rate</w:t>
      </w:r>
      <w:r w:rsidR="00305ED6" w:rsidRPr="00DC6CAC">
        <w:rPr>
          <w:color w:val="00194C"/>
        </w:rPr>
        <w:t>.</w:t>
      </w:r>
      <w:r w:rsidR="00031B34" w:rsidRPr="00DC6CAC">
        <w:rPr>
          <w:color w:val="00194C"/>
        </w:rPr>
        <w:t xml:space="preserve"> This seems unlikely, given the </w:t>
      </w:r>
      <w:r w:rsidR="004158A7" w:rsidRPr="00DC6CAC">
        <w:rPr>
          <w:color w:val="00194C"/>
        </w:rPr>
        <w:t>low rate of evictions among public housing tenan</w:t>
      </w:r>
      <w:r w:rsidR="00B450DD" w:rsidRPr="00DC6CAC">
        <w:rPr>
          <w:color w:val="00194C"/>
        </w:rPr>
        <w:t>ts generally</w:t>
      </w:r>
      <w:r w:rsidR="00A70C88" w:rsidRPr="00DC6CAC">
        <w:rPr>
          <w:color w:val="00194C"/>
        </w:rPr>
        <w:t xml:space="preserve"> and the fact that </w:t>
      </w:r>
      <w:r w:rsidR="003B6369" w:rsidRPr="00DC6CAC">
        <w:rPr>
          <w:color w:val="00194C"/>
        </w:rPr>
        <w:t>the majority</w:t>
      </w:r>
      <w:r w:rsidR="00A70C88" w:rsidRPr="00DC6CAC">
        <w:rPr>
          <w:color w:val="00194C"/>
        </w:rPr>
        <w:t xml:space="preserve"> already take advantage of Centrepay deductions</w:t>
      </w:r>
      <w:r w:rsidR="009B34A1" w:rsidRPr="00DC6CAC">
        <w:rPr>
          <w:color w:val="00194C"/>
        </w:rPr>
        <w:t xml:space="preserve"> to pay their rent</w:t>
      </w:r>
      <w:r w:rsidR="004158A7" w:rsidRPr="00DC6CAC">
        <w:rPr>
          <w:color w:val="00194C"/>
        </w:rPr>
        <w:t>.</w:t>
      </w:r>
      <w:r w:rsidR="00AF5093" w:rsidRPr="00DC6CAC">
        <w:rPr>
          <w:rStyle w:val="FootnoteReference"/>
          <w:color w:val="00194C"/>
        </w:rPr>
        <w:footnoteReference w:id="11"/>
      </w:r>
      <w:r w:rsidR="00B450DD" w:rsidRPr="00DC6CAC">
        <w:rPr>
          <w:color w:val="00194C"/>
        </w:rPr>
        <w:t xml:space="preserve"> The H</w:t>
      </w:r>
      <w:r w:rsidR="00AB36E2" w:rsidRPr="00DC6CAC">
        <w:rPr>
          <w:color w:val="00194C"/>
        </w:rPr>
        <w:t>PDS migh</w:t>
      </w:r>
      <w:r w:rsidR="008273E6" w:rsidRPr="00DC6CAC">
        <w:rPr>
          <w:color w:val="00194C"/>
        </w:rPr>
        <w:t>t be a good way for S</w:t>
      </w:r>
      <w:r w:rsidR="009F42FB" w:rsidRPr="00DC6CAC">
        <w:rPr>
          <w:color w:val="00194C"/>
        </w:rPr>
        <w:t>tate</w:t>
      </w:r>
      <w:r w:rsidR="008273E6" w:rsidRPr="00DC6CAC">
        <w:rPr>
          <w:color w:val="00194C"/>
        </w:rPr>
        <w:t xml:space="preserve"> and Territory</w:t>
      </w:r>
      <w:r w:rsidR="009F42FB" w:rsidRPr="00DC6CAC">
        <w:rPr>
          <w:color w:val="00194C"/>
        </w:rPr>
        <w:t xml:space="preserve"> housing authorities to</w:t>
      </w:r>
      <w:r w:rsidR="00AB36E2" w:rsidRPr="00DC6CAC">
        <w:rPr>
          <w:color w:val="00194C"/>
        </w:rPr>
        <w:t xml:space="preserve"> </w:t>
      </w:r>
      <w:r w:rsidR="002F6620" w:rsidRPr="00DC6CAC">
        <w:rPr>
          <w:color w:val="00194C"/>
        </w:rPr>
        <w:t xml:space="preserve">shift </w:t>
      </w:r>
      <w:r w:rsidR="008D30A8" w:rsidRPr="00DC6CAC">
        <w:rPr>
          <w:color w:val="00194C"/>
        </w:rPr>
        <w:t xml:space="preserve">to Centrelink </w:t>
      </w:r>
      <w:r w:rsidR="002F6620" w:rsidRPr="00DC6CAC">
        <w:rPr>
          <w:color w:val="00194C"/>
        </w:rPr>
        <w:t xml:space="preserve">the costs of </w:t>
      </w:r>
      <w:proofErr w:type="gramStart"/>
      <w:r w:rsidR="00AB36E2" w:rsidRPr="00DC6CAC">
        <w:rPr>
          <w:color w:val="00194C"/>
        </w:rPr>
        <w:t>collecting</w:t>
      </w:r>
      <w:r w:rsidR="002F6620" w:rsidRPr="00DC6CAC">
        <w:rPr>
          <w:color w:val="00194C"/>
        </w:rPr>
        <w:t xml:space="preserve"> </w:t>
      </w:r>
      <w:r w:rsidR="00AB36E2" w:rsidRPr="00DC6CAC">
        <w:rPr>
          <w:color w:val="00194C"/>
        </w:rPr>
        <w:t xml:space="preserve"> </w:t>
      </w:r>
      <w:r w:rsidR="008D30A8" w:rsidRPr="00DC6CAC">
        <w:rPr>
          <w:color w:val="00194C"/>
        </w:rPr>
        <w:t>other</w:t>
      </w:r>
      <w:proofErr w:type="gramEnd"/>
      <w:r w:rsidR="008D30A8" w:rsidRPr="00DC6CAC">
        <w:rPr>
          <w:color w:val="00194C"/>
        </w:rPr>
        <w:t xml:space="preserve"> </w:t>
      </w:r>
      <w:r w:rsidR="00AB36E2" w:rsidRPr="00DC6CAC">
        <w:rPr>
          <w:color w:val="00194C"/>
        </w:rPr>
        <w:t>rents</w:t>
      </w:r>
      <w:r w:rsidR="00A70C88" w:rsidRPr="00DC6CAC">
        <w:rPr>
          <w:color w:val="00194C"/>
        </w:rPr>
        <w:t xml:space="preserve"> or </w:t>
      </w:r>
      <w:r w:rsidR="000C16B1" w:rsidRPr="00DC6CAC">
        <w:rPr>
          <w:color w:val="00194C"/>
        </w:rPr>
        <w:t>tenant</w:t>
      </w:r>
      <w:r w:rsidR="00A70C88" w:rsidRPr="00DC6CAC">
        <w:rPr>
          <w:color w:val="00194C"/>
        </w:rPr>
        <w:t xml:space="preserve"> debts</w:t>
      </w:r>
      <w:r w:rsidR="00AB36E2" w:rsidRPr="00DC6CAC">
        <w:rPr>
          <w:color w:val="00194C"/>
        </w:rPr>
        <w:t xml:space="preserve">, but it seems unlikely to </w:t>
      </w:r>
      <w:r w:rsidR="009B34A1" w:rsidRPr="00DC6CAC">
        <w:rPr>
          <w:color w:val="00194C"/>
        </w:rPr>
        <w:t>reduce</w:t>
      </w:r>
      <w:r w:rsidR="00AB36E2" w:rsidRPr="00DC6CAC">
        <w:rPr>
          <w:color w:val="00194C"/>
        </w:rPr>
        <w:t xml:space="preserve"> </w:t>
      </w:r>
      <w:r w:rsidR="003B6369" w:rsidRPr="00DC6CAC">
        <w:rPr>
          <w:color w:val="00194C"/>
        </w:rPr>
        <w:t>rates of eviction from public housing</w:t>
      </w:r>
      <w:r w:rsidR="008D30A8" w:rsidRPr="00DC6CAC">
        <w:rPr>
          <w:color w:val="00194C"/>
        </w:rPr>
        <w:t>, and therefore the homelessness rate</w:t>
      </w:r>
      <w:r w:rsidR="007B48BB" w:rsidRPr="00DC6CAC">
        <w:rPr>
          <w:color w:val="00194C"/>
        </w:rPr>
        <w:t xml:space="preserve">, because </w:t>
      </w:r>
      <w:r w:rsidR="00732310" w:rsidRPr="00DC6CAC">
        <w:rPr>
          <w:color w:val="00194C"/>
        </w:rPr>
        <w:t>evictions often</w:t>
      </w:r>
      <w:r w:rsidR="007B48BB" w:rsidRPr="00DC6CAC">
        <w:rPr>
          <w:color w:val="00194C"/>
        </w:rPr>
        <w:t xml:space="preserve"> have other causes.</w:t>
      </w:r>
    </w:p>
    <w:p w:rsidR="004158A7" w:rsidRPr="00DC6CAC" w:rsidRDefault="004158A7" w:rsidP="004A4EF5">
      <w:pPr>
        <w:rPr>
          <w:b/>
          <w:smallCaps/>
          <w:color w:val="00194C"/>
        </w:rPr>
      </w:pPr>
      <w:r w:rsidRPr="00DC6CAC">
        <w:rPr>
          <w:b/>
          <w:smallCaps/>
          <w:color w:val="00194C"/>
        </w:rPr>
        <w:t>THE EXPOSURE DRAFT LEGISLATION AND INSTRUMENTS</w:t>
      </w:r>
    </w:p>
    <w:p w:rsidR="00F8057D" w:rsidRPr="00DC6CAC" w:rsidRDefault="00F8057D" w:rsidP="004A4EF5">
      <w:pPr>
        <w:rPr>
          <w:color w:val="00194C"/>
        </w:rPr>
      </w:pPr>
      <w:r w:rsidRPr="00DC6CAC">
        <w:rPr>
          <w:color w:val="00194C"/>
        </w:rPr>
        <w:t xml:space="preserve">The following discussion focuses on proposed amendments to the </w:t>
      </w:r>
      <w:r w:rsidRPr="00DC6CAC">
        <w:rPr>
          <w:i/>
          <w:color w:val="00194C"/>
        </w:rPr>
        <w:t>Social Security (Administration) Act 1999</w:t>
      </w:r>
      <w:r w:rsidRPr="00DC6CAC">
        <w:rPr>
          <w:color w:val="00194C"/>
        </w:rPr>
        <w:t xml:space="preserve">, but </w:t>
      </w:r>
      <w:r w:rsidR="00C016C7" w:rsidRPr="00DC6CAC">
        <w:rPr>
          <w:color w:val="00194C"/>
        </w:rPr>
        <w:t xml:space="preserve">virtually </w:t>
      </w:r>
      <w:r w:rsidRPr="00DC6CAC">
        <w:rPr>
          <w:color w:val="00194C"/>
        </w:rPr>
        <w:t>identical a</w:t>
      </w:r>
      <w:r w:rsidR="00C016C7" w:rsidRPr="00DC6CAC">
        <w:rPr>
          <w:color w:val="00194C"/>
        </w:rPr>
        <w:t xml:space="preserve">mendments are proposed to the </w:t>
      </w:r>
      <w:r w:rsidR="00C016C7" w:rsidRPr="00DC6CAC">
        <w:rPr>
          <w:i/>
          <w:color w:val="00194C"/>
        </w:rPr>
        <w:t>A New Tax System (Family Assistance) (Administration) Act 1999</w:t>
      </w:r>
      <w:r w:rsidR="00C016C7" w:rsidRPr="00DC6CAC">
        <w:rPr>
          <w:color w:val="00194C"/>
        </w:rPr>
        <w:t>.</w:t>
      </w:r>
    </w:p>
    <w:p w:rsidR="00835498" w:rsidRDefault="00835498">
      <w:pPr>
        <w:rPr>
          <w:b/>
          <w:i/>
          <w:color w:val="00194C"/>
        </w:rPr>
      </w:pPr>
      <w:r>
        <w:rPr>
          <w:b/>
          <w:i/>
          <w:color w:val="00194C"/>
        </w:rPr>
        <w:br w:type="page"/>
      </w:r>
    </w:p>
    <w:p w:rsidR="00A81B2F" w:rsidRPr="00DC6CAC" w:rsidRDefault="00A81B2F">
      <w:pPr>
        <w:rPr>
          <w:color w:val="00194C"/>
        </w:rPr>
      </w:pPr>
      <w:r w:rsidRPr="00DC6CAC">
        <w:rPr>
          <w:b/>
          <w:i/>
          <w:color w:val="00194C"/>
        </w:rPr>
        <w:lastRenderedPageBreak/>
        <w:t>Positive features</w:t>
      </w:r>
    </w:p>
    <w:p w:rsidR="001465E1" w:rsidRPr="00DC6CAC" w:rsidRDefault="00F379FD">
      <w:pPr>
        <w:rPr>
          <w:color w:val="00194C"/>
        </w:rPr>
      </w:pPr>
      <w:r w:rsidRPr="00DC6CAC">
        <w:rPr>
          <w:color w:val="00194C"/>
        </w:rPr>
        <w:t xml:space="preserve">Were this regime enacted, </w:t>
      </w:r>
      <w:r w:rsidR="00E676A7" w:rsidRPr="00DC6CAC">
        <w:rPr>
          <w:color w:val="00194C"/>
        </w:rPr>
        <w:t>the following</w:t>
      </w:r>
      <w:r w:rsidR="001465E1" w:rsidRPr="00DC6CAC">
        <w:rPr>
          <w:color w:val="00194C"/>
        </w:rPr>
        <w:t xml:space="preserve"> time limits on payment diversion</w:t>
      </w:r>
      <w:r w:rsidR="00622038" w:rsidRPr="00DC6CAC">
        <w:rPr>
          <w:color w:val="00194C"/>
        </w:rPr>
        <w:t xml:space="preserve"> should be retained</w:t>
      </w:r>
      <w:r w:rsidR="001465E1" w:rsidRPr="00DC6CAC">
        <w:rPr>
          <w:color w:val="00194C"/>
        </w:rPr>
        <w:t>:</w:t>
      </w:r>
    </w:p>
    <w:p w:rsidR="00A81B2F" w:rsidRPr="00DC6CAC" w:rsidRDefault="00A81B2F" w:rsidP="001465E1">
      <w:pPr>
        <w:pStyle w:val="ListParagraph"/>
        <w:numPr>
          <w:ilvl w:val="0"/>
          <w:numId w:val="2"/>
        </w:numPr>
        <w:rPr>
          <w:color w:val="00194C"/>
        </w:rPr>
      </w:pPr>
      <w:r w:rsidRPr="00DC6CAC">
        <w:rPr>
          <w:color w:val="00194C"/>
        </w:rPr>
        <w:t>The Bill and rules are framed in terms of continuing tenancy arrangements:</w:t>
      </w:r>
      <w:r w:rsidR="001465E1" w:rsidRPr="00DC6CAC">
        <w:rPr>
          <w:color w:val="00194C"/>
        </w:rPr>
        <w:t xml:space="preserve"> proposed s</w:t>
      </w:r>
      <w:r w:rsidR="00E676A7" w:rsidRPr="00DC6CAC">
        <w:rPr>
          <w:color w:val="00194C"/>
        </w:rPr>
        <w:t> </w:t>
      </w:r>
      <w:r w:rsidR="001465E1" w:rsidRPr="00DC6CAC">
        <w:rPr>
          <w:color w:val="00194C"/>
        </w:rPr>
        <w:t>8(1</w:t>
      </w:r>
      <w:proofErr w:type="gramStart"/>
      <w:r w:rsidR="001465E1" w:rsidRPr="00DC6CAC">
        <w:rPr>
          <w:color w:val="00194C"/>
        </w:rPr>
        <w:t>)(</w:t>
      </w:r>
      <w:proofErr w:type="gramEnd"/>
      <w:r w:rsidR="001465E1" w:rsidRPr="00DC6CAC">
        <w:rPr>
          <w:color w:val="00194C"/>
        </w:rPr>
        <w:t xml:space="preserve">b) makes clear that a triggering lessor request lapses with the tenancy. </w:t>
      </w:r>
      <w:r w:rsidR="00A77419">
        <w:rPr>
          <w:color w:val="00194C"/>
        </w:rPr>
        <w:t xml:space="preserve"> </w:t>
      </w:r>
      <w:r w:rsidR="001465E1" w:rsidRPr="00DC6CAC">
        <w:rPr>
          <w:color w:val="00194C"/>
        </w:rPr>
        <w:t>So a welfare payment could not be diverted to pay rent owing by a tenant who had already been evicted.</w:t>
      </w:r>
    </w:p>
    <w:p w:rsidR="001465E1" w:rsidRPr="00DC6CAC" w:rsidRDefault="00622038" w:rsidP="001465E1">
      <w:pPr>
        <w:pStyle w:val="ListParagraph"/>
        <w:numPr>
          <w:ilvl w:val="0"/>
          <w:numId w:val="2"/>
        </w:numPr>
        <w:rPr>
          <w:color w:val="00194C"/>
        </w:rPr>
      </w:pPr>
      <w:r w:rsidRPr="00DC6CAC">
        <w:rPr>
          <w:color w:val="00194C"/>
        </w:rPr>
        <w:t>A lessor</w:t>
      </w:r>
      <w:r w:rsidR="001465E1" w:rsidRPr="00DC6CAC">
        <w:rPr>
          <w:color w:val="00194C"/>
        </w:rPr>
        <w:t xml:space="preserve"> request to divert a payment to cover the rent of someone considered ‘at risk’ of future default lapses after a year if the Secretary does not act on it: proposed s</w:t>
      </w:r>
      <w:r w:rsidRPr="00DC6CAC">
        <w:rPr>
          <w:color w:val="00194C"/>
        </w:rPr>
        <w:t xml:space="preserve"> </w:t>
      </w:r>
      <w:r w:rsidR="001465E1" w:rsidRPr="00DC6CAC">
        <w:rPr>
          <w:color w:val="00194C"/>
        </w:rPr>
        <w:t>8(1</w:t>
      </w:r>
      <w:proofErr w:type="gramStart"/>
      <w:r w:rsidR="001465E1" w:rsidRPr="00DC6CAC">
        <w:rPr>
          <w:color w:val="00194C"/>
        </w:rPr>
        <w:t>)(</w:t>
      </w:r>
      <w:proofErr w:type="gramEnd"/>
      <w:r w:rsidR="001465E1" w:rsidRPr="00DC6CAC">
        <w:rPr>
          <w:color w:val="00194C"/>
        </w:rPr>
        <w:t>e).</w:t>
      </w:r>
    </w:p>
    <w:p w:rsidR="008A62CC" w:rsidRPr="00DC6CAC" w:rsidRDefault="008A62CC" w:rsidP="008A62CC">
      <w:pPr>
        <w:rPr>
          <w:color w:val="00194C"/>
        </w:rPr>
      </w:pPr>
      <w:r w:rsidRPr="00DC6CAC">
        <w:rPr>
          <w:color w:val="00194C"/>
        </w:rPr>
        <w:t xml:space="preserve">Two other features protect </w:t>
      </w:r>
      <w:r w:rsidR="008273E6" w:rsidRPr="00DC6CAC">
        <w:rPr>
          <w:color w:val="00194C"/>
        </w:rPr>
        <w:t>lessees against double</w:t>
      </w:r>
      <w:r w:rsidRPr="00DC6CAC">
        <w:rPr>
          <w:color w:val="00194C"/>
        </w:rPr>
        <w:t xml:space="preserve"> or overpayment of rent, although one </w:t>
      </w:r>
      <w:r w:rsidR="00F234C7" w:rsidRPr="00DC6CAC">
        <w:rPr>
          <w:color w:val="00194C"/>
        </w:rPr>
        <w:t>is likely to have</w:t>
      </w:r>
      <w:r w:rsidR="00D31DCC" w:rsidRPr="00DC6CAC">
        <w:rPr>
          <w:color w:val="00194C"/>
        </w:rPr>
        <w:t xml:space="preserve"> a</w:t>
      </w:r>
      <w:r w:rsidRPr="00DC6CAC">
        <w:rPr>
          <w:color w:val="00194C"/>
        </w:rPr>
        <w:t xml:space="preserve"> cumbersome</w:t>
      </w:r>
      <w:r w:rsidR="00D31DCC" w:rsidRPr="00DC6CAC">
        <w:rPr>
          <w:color w:val="00194C"/>
        </w:rPr>
        <w:t xml:space="preserve"> operation</w:t>
      </w:r>
      <w:r w:rsidRPr="00DC6CAC">
        <w:rPr>
          <w:color w:val="00194C"/>
        </w:rPr>
        <w:t>:</w:t>
      </w:r>
    </w:p>
    <w:p w:rsidR="00013F8B" w:rsidRPr="00DC6CAC" w:rsidRDefault="00013F8B" w:rsidP="008A62CC">
      <w:pPr>
        <w:pStyle w:val="ListParagraph"/>
        <w:numPr>
          <w:ilvl w:val="0"/>
          <w:numId w:val="8"/>
        </w:numPr>
        <w:rPr>
          <w:color w:val="00194C"/>
        </w:rPr>
      </w:pPr>
      <w:r w:rsidRPr="00DC6CAC">
        <w:rPr>
          <w:color w:val="00194C"/>
        </w:rPr>
        <w:t xml:space="preserve">Proposed s 11 of Schedule 6 reduces a lessee’s liability by the amount </w:t>
      </w:r>
      <w:r w:rsidR="0091680E" w:rsidRPr="00DC6CAC">
        <w:rPr>
          <w:color w:val="00194C"/>
        </w:rPr>
        <w:t xml:space="preserve">(reflecting the lessee’s diverted welfare benefit) </w:t>
      </w:r>
      <w:r w:rsidRPr="00DC6CAC">
        <w:rPr>
          <w:color w:val="00194C"/>
        </w:rPr>
        <w:t>paid to a public hou</w:t>
      </w:r>
      <w:r w:rsidR="0091680E" w:rsidRPr="00DC6CAC">
        <w:rPr>
          <w:color w:val="00194C"/>
        </w:rPr>
        <w:t>sing lessor by the Commonwealth</w:t>
      </w:r>
      <w:r w:rsidR="000C4619" w:rsidRPr="00DC6CAC">
        <w:rPr>
          <w:color w:val="00194C"/>
        </w:rPr>
        <w:t>. This</w:t>
      </w:r>
      <w:r w:rsidRPr="00DC6CAC">
        <w:rPr>
          <w:color w:val="00194C"/>
        </w:rPr>
        <w:t xml:space="preserve"> is a safeguard against a lessor recovering rent twice: once through the Commonwealth, and again </w:t>
      </w:r>
      <w:r w:rsidR="0091680E" w:rsidRPr="00DC6CAC">
        <w:rPr>
          <w:color w:val="00194C"/>
        </w:rPr>
        <w:t xml:space="preserve">directly </w:t>
      </w:r>
      <w:r w:rsidRPr="00DC6CAC">
        <w:rPr>
          <w:color w:val="00194C"/>
        </w:rPr>
        <w:t>from a lessee</w:t>
      </w:r>
      <w:r w:rsidR="0091680E" w:rsidRPr="00DC6CAC">
        <w:rPr>
          <w:color w:val="00194C"/>
        </w:rPr>
        <w:t xml:space="preserve"> </w:t>
      </w:r>
      <w:r w:rsidR="00581E9B" w:rsidRPr="00DC6CAC">
        <w:rPr>
          <w:color w:val="00194C"/>
        </w:rPr>
        <w:t>(</w:t>
      </w:r>
      <w:r w:rsidR="0091680E" w:rsidRPr="00DC6CAC">
        <w:rPr>
          <w:color w:val="00194C"/>
        </w:rPr>
        <w:t>as the lease would allow</w:t>
      </w:r>
      <w:r w:rsidR="00581E9B" w:rsidRPr="00DC6CAC">
        <w:rPr>
          <w:color w:val="00194C"/>
        </w:rPr>
        <w:t>, leases not being concerned with welfare payment diversion)</w:t>
      </w:r>
      <w:r w:rsidRPr="00DC6CAC">
        <w:rPr>
          <w:color w:val="00194C"/>
        </w:rPr>
        <w:t xml:space="preserve">. </w:t>
      </w:r>
      <w:r w:rsidR="00194988" w:rsidRPr="00DC6CAC">
        <w:rPr>
          <w:color w:val="00194C"/>
        </w:rPr>
        <w:t xml:space="preserve"> </w:t>
      </w:r>
      <w:r w:rsidR="00581E9B" w:rsidRPr="00DC6CAC">
        <w:rPr>
          <w:color w:val="00194C"/>
        </w:rPr>
        <w:t>Section 11(2)</w:t>
      </w:r>
      <w:r w:rsidR="0091680E" w:rsidRPr="00DC6CAC">
        <w:rPr>
          <w:color w:val="00194C"/>
        </w:rPr>
        <w:t xml:space="preserve"> is</w:t>
      </w:r>
      <w:r w:rsidRPr="00DC6CAC">
        <w:rPr>
          <w:color w:val="00194C"/>
        </w:rPr>
        <w:t xml:space="preserve"> concerned </w:t>
      </w:r>
      <w:r w:rsidR="0091680E" w:rsidRPr="00DC6CAC">
        <w:rPr>
          <w:color w:val="00194C"/>
        </w:rPr>
        <w:t xml:space="preserve">only </w:t>
      </w:r>
      <w:r w:rsidRPr="00DC6CAC">
        <w:rPr>
          <w:color w:val="00194C"/>
        </w:rPr>
        <w:t xml:space="preserve">with </w:t>
      </w:r>
      <w:r w:rsidRPr="00DC6CAC">
        <w:rPr>
          <w:i/>
          <w:color w:val="00194C"/>
        </w:rPr>
        <w:t>reduction</w:t>
      </w:r>
      <w:r w:rsidRPr="00DC6CAC">
        <w:rPr>
          <w:color w:val="00194C"/>
        </w:rPr>
        <w:t xml:space="preserve"> of a lessee’s future liability to pay rent, not with the diversion of Centrelink payments </w:t>
      </w:r>
      <w:r w:rsidR="0091680E" w:rsidRPr="00DC6CAC">
        <w:rPr>
          <w:color w:val="00194C"/>
        </w:rPr>
        <w:t>to cover that</w:t>
      </w:r>
      <w:r w:rsidR="00581E9B" w:rsidRPr="00DC6CAC">
        <w:rPr>
          <w:color w:val="00194C"/>
        </w:rPr>
        <w:t xml:space="preserve"> future </w:t>
      </w:r>
      <w:r w:rsidR="0091680E" w:rsidRPr="00DC6CAC">
        <w:rPr>
          <w:color w:val="00194C"/>
        </w:rPr>
        <w:t>liability</w:t>
      </w:r>
      <w:r w:rsidRPr="00DC6CAC">
        <w:rPr>
          <w:color w:val="00194C"/>
        </w:rPr>
        <w:t>.</w:t>
      </w:r>
      <w:r w:rsidR="001604CC" w:rsidRPr="00DC6CAC">
        <w:rPr>
          <w:color w:val="00194C"/>
        </w:rPr>
        <w:t xml:space="preserve"> It may be desirable to extend this safeguard to situations involving Commonwealth overpayments to lessors (by not enacting proposed s 16).</w:t>
      </w:r>
    </w:p>
    <w:p w:rsidR="008A62CC" w:rsidRPr="00DC6CAC" w:rsidRDefault="008A62CC" w:rsidP="008A62CC">
      <w:pPr>
        <w:pStyle w:val="ListParagraph"/>
        <w:numPr>
          <w:ilvl w:val="0"/>
          <w:numId w:val="8"/>
        </w:numPr>
        <w:rPr>
          <w:color w:val="00194C"/>
        </w:rPr>
      </w:pPr>
      <w:r w:rsidRPr="00DC6CAC">
        <w:rPr>
          <w:color w:val="00194C"/>
        </w:rPr>
        <w:t>Proposed s 14(3) requires the Secretary to refund to a lessee the equivalent of an overpayment of diverted benefit</w:t>
      </w:r>
      <w:r w:rsidR="00D31DCC" w:rsidRPr="00DC6CAC">
        <w:rPr>
          <w:color w:val="00194C"/>
        </w:rPr>
        <w:t xml:space="preserve"> made to a lessor</w:t>
      </w:r>
      <w:r w:rsidRPr="00DC6CAC">
        <w:rPr>
          <w:color w:val="00194C"/>
        </w:rPr>
        <w:t xml:space="preserve">, whether or not the lessor has repaid </w:t>
      </w:r>
      <w:r w:rsidR="00D31DCC" w:rsidRPr="00DC6CAC">
        <w:rPr>
          <w:color w:val="00194C"/>
        </w:rPr>
        <w:t xml:space="preserve">it to </w:t>
      </w:r>
      <w:r w:rsidRPr="00DC6CAC">
        <w:rPr>
          <w:color w:val="00194C"/>
        </w:rPr>
        <w:t xml:space="preserve">the Commonwealth, </w:t>
      </w:r>
      <w:r w:rsidR="00830185" w:rsidRPr="00DC6CAC">
        <w:rPr>
          <w:color w:val="00194C"/>
        </w:rPr>
        <w:t xml:space="preserve">in circumstances </w:t>
      </w:r>
      <w:r w:rsidRPr="00DC6CAC">
        <w:rPr>
          <w:color w:val="00194C"/>
        </w:rPr>
        <w:t>where the lessor refu</w:t>
      </w:r>
      <w:r w:rsidR="00272F46" w:rsidRPr="00DC6CAC">
        <w:rPr>
          <w:color w:val="00194C"/>
        </w:rPr>
        <w:t>ses to refund it directly. Section</w:t>
      </w:r>
      <w:r w:rsidRPr="00DC6CAC">
        <w:rPr>
          <w:color w:val="00194C"/>
        </w:rPr>
        <w:t xml:space="preserve"> 15 allows the Commonwealth to offset these overpayments against future payments to lesso</w:t>
      </w:r>
      <w:r w:rsidR="00D31DCC" w:rsidRPr="00DC6CAC">
        <w:rPr>
          <w:color w:val="00194C"/>
        </w:rPr>
        <w:t>rs (which may encourage lessors to repay them directly</w:t>
      </w:r>
      <w:r w:rsidR="00272F46" w:rsidRPr="00DC6CAC">
        <w:rPr>
          <w:color w:val="00194C"/>
        </w:rPr>
        <w:t xml:space="preserve"> next time</w:t>
      </w:r>
      <w:r w:rsidR="00D31DCC" w:rsidRPr="00DC6CAC">
        <w:rPr>
          <w:color w:val="00194C"/>
        </w:rPr>
        <w:t>)</w:t>
      </w:r>
      <w:r w:rsidRPr="00DC6CAC">
        <w:rPr>
          <w:color w:val="00194C"/>
        </w:rPr>
        <w:t>.</w:t>
      </w:r>
    </w:p>
    <w:p w:rsidR="00D87857" w:rsidRPr="00DC6CAC" w:rsidRDefault="00D87857" w:rsidP="00D87857">
      <w:pPr>
        <w:rPr>
          <w:i/>
          <w:color w:val="00194C"/>
        </w:rPr>
      </w:pPr>
      <w:r w:rsidRPr="00DC6CAC">
        <w:rPr>
          <w:color w:val="00194C"/>
        </w:rPr>
        <w:t xml:space="preserve">Finally, there is the Minister’s capacity to exempt some payment recipients from </w:t>
      </w:r>
      <w:r w:rsidR="00194988" w:rsidRPr="00DC6CAC">
        <w:rPr>
          <w:color w:val="00194C"/>
        </w:rPr>
        <w:t xml:space="preserve">payment </w:t>
      </w:r>
      <w:r w:rsidRPr="00DC6CAC">
        <w:rPr>
          <w:color w:val="00194C"/>
        </w:rPr>
        <w:t xml:space="preserve">diversion </w:t>
      </w:r>
      <w:r w:rsidR="00107CE8" w:rsidRPr="00DC6CAC">
        <w:rPr>
          <w:color w:val="00194C"/>
        </w:rPr>
        <w:t>under proposed s 6(3) of Schedule 6</w:t>
      </w:r>
      <w:r w:rsidRPr="00DC6CAC">
        <w:rPr>
          <w:color w:val="00194C"/>
        </w:rPr>
        <w:t xml:space="preserve">, and a power in proposed Schedule 1 s 5(3) of the </w:t>
      </w:r>
      <w:r w:rsidRPr="00DC6CAC">
        <w:rPr>
          <w:i/>
          <w:color w:val="00194C"/>
        </w:rPr>
        <w:t xml:space="preserve">Family Assistance Act </w:t>
      </w:r>
      <w:r w:rsidRPr="00DC6CAC">
        <w:rPr>
          <w:color w:val="00194C"/>
        </w:rPr>
        <w:t>amendments to specify kinds of family tax benefit from which similar deductions must not be made.</w:t>
      </w:r>
      <w:r w:rsidR="00A77419">
        <w:rPr>
          <w:color w:val="00194C"/>
        </w:rPr>
        <w:t xml:space="preserve"> </w:t>
      </w:r>
      <w:r w:rsidRPr="00DC6CAC">
        <w:rPr>
          <w:color w:val="00194C"/>
        </w:rPr>
        <w:t xml:space="preserve"> </w:t>
      </w:r>
      <w:r w:rsidR="00107CE8" w:rsidRPr="00DC6CAC">
        <w:rPr>
          <w:color w:val="00194C"/>
        </w:rPr>
        <w:t>For reasons given below, HA considers that these exemptions should be expanded.</w:t>
      </w:r>
    </w:p>
    <w:p w:rsidR="00D15412" w:rsidRPr="00DC6CAC" w:rsidRDefault="00D15412">
      <w:pPr>
        <w:rPr>
          <w:b/>
          <w:i/>
          <w:color w:val="00194C"/>
        </w:rPr>
      </w:pPr>
      <w:r w:rsidRPr="00DC6CAC">
        <w:rPr>
          <w:b/>
          <w:i/>
          <w:color w:val="00194C"/>
        </w:rPr>
        <w:t xml:space="preserve">Relationship with </w:t>
      </w:r>
      <w:r w:rsidR="008942F4" w:rsidRPr="00DC6CAC">
        <w:rPr>
          <w:b/>
          <w:i/>
          <w:color w:val="00194C"/>
        </w:rPr>
        <w:t xml:space="preserve">voluntary Centrepay deductions and </w:t>
      </w:r>
      <w:r w:rsidRPr="00DC6CAC">
        <w:rPr>
          <w:b/>
          <w:i/>
          <w:color w:val="00194C"/>
        </w:rPr>
        <w:t>the income management regime</w:t>
      </w:r>
    </w:p>
    <w:p w:rsidR="008942F4" w:rsidRPr="00DC6CAC" w:rsidRDefault="00DE2FD0">
      <w:pPr>
        <w:rPr>
          <w:color w:val="00194C"/>
        </w:rPr>
      </w:pPr>
      <w:r w:rsidRPr="00DC6CAC">
        <w:rPr>
          <w:color w:val="00194C"/>
        </w:rPr>
        <w:t>I</w:t>
      </w:r>
      <w:r w:rsidR="008942F4" w:rsidRPr="00DC6CAC">
        <w:rPr>
          <w:color w:val="00194C"/>
        </w:rPr>
        <w:t xml:space="preserve">s it proposed that </w:t>
      </w:r>
      <w:r w:rsidRPr="00DC6CAC">
        <w:rPr>
          <w:color w:val="00194C"/>
        </w:rPr>
        <w:t xml:space="preserve">the </w:t>
      </w:r>
      <w:r w:rsidR="00A64EB5" w:rsidRPr="00DC6CAC">
        <w:rPr>
          <w:color w:val="00194C"/>
        </w:rPr>
        <w:t>HP</w:t>
      </w:r>
      <w:r w:rsidRPr="00DC6CAC">
        <w:rPr>
          <w:color w:val="00194C"/>
        </w:rPr>
        <w:t xml:space="preserve">DS be used to collect tenancy debts from </w:t>
      </w:r>
      <w:r w:rsidR="008942F4" w:rsidRPr="00DC6CAC">
        <w:rPr>
          <w:color w:val="00194C"/>
        </w:rPr>
        <w:t xml:space="preserve">people </w:t>
      </w:r>
      <w:r w:rsidRPr="00DC6CAC">
        <w:rPr>
          <w:color w:val="00194C"/>
        </w:rPr>
        <w:t xml:space="preserve">who are already </w:t>
      </w:r>
      <w:r w:rsidR="008942F4" w:rsidRPr="00DC6CAC">
        <w:rPr>
          <w:color w:val="00194C"/>
        </w:rPr>
        <w:t xml:space="preserve">paying </w:t>
      </w:r>
      <w:r w:rsidRPr="00DC6CAC">
        <w:rPr>
          <w:color w:val="00194C"/>
        </w:rPr>
        <w:t xml:space="preserve">their </w:t>
      </w:r>
      <w:r w:rsidR="008942F4" w:rsidRPr="00DC6CAC">
        <w:rPr>
          <w:color w:val="00194C"/>
        </w:rPr>
        <w:t>public housing rent via Centrepay</w:t>
      </w:r>
      <w:r w:rsidRPr="00DC6CAC">
        <w:rPr>
          <w:color w:val="00194C"/>
        </w:rPr>
        <w:t xml:space="preserve">? </w:t>
      </w:r>
      <w:r w:rsidR="00A77419">
        <w:rPr>
          <w:color w:val="00194C"/>
        </w:rPr>
        <w:t xml:space="preserve"> </w:t>
      </w:r>
      <w:r w:rsidRPr="00DC6CAC">
        <w:rPr>
          <w:color w:val="00194C"/>
        </w:rPr>
        <w:t>Or that these tenants</w:t>
      </w:r>
      <w:r w:rsidR="008942F4" w:rsidRPr="00DC6CAC">
        <w:rPr>
          <w:color w:val="00194C"/>
        </w:rPr>
        <w:t xml:space="preserve"> </w:t>
      </w:r>
      <w:proofErr w:type="gramStart"/>
      <w:r w:rsidR="008942F4" w:rsidRPr="00DC6CAC">
        <w:rPr>
          <w:color w:val="00194C"/>
        </w:rPr>
        <w:t>be</w:t>
      </w:r>
      <w:proofErr w:type="gramEnd"/>
      <w:r w:rsidR="008942F4" w:rsidRPr="00DC6CAC">
        <w:rPr>
          <w:color w:val="00194C"/>
        </w:rPr>
        <w:t xml:space="preserve"> exempted from </w:t>
      </w:r>
      <w:r w:rsidR="00A64EB5" w:rsidRPr="00DC6CAC">
        <w:rPr>
          <w:color w:val="00194C"/>
        </w:rPr>
        <w:t>HP</w:t>
      </w:r>
      <w:r w:rsidRPr="00DC6CAC">
        <w:rPr>
          <w:color w:val="00194C"/>
        </w:rPr>
        <w:t>DS</w:t>
      </w:r>
      <w:r w:rsidR="008942F4" w:rsidRPr="00DC6CAC">
        <w:rPr>
          <w:color w:val="00194C"/>
        </w:rPr>
        <w:t xml:space="preserve"> under s 6(3) of Schedule 6? It would be better if proposed s 6 were amended to make clear that Centrepay tenants </w:t>
      </w:r>
      <w:r w:rsidR="00352ACD" w:rsidRPr="00DC6CAC">
        <w:rPr>
          <w:i/>
          <w:color w:val="00194C"/>
        </w:rPr>
        <w:t>may not</w:t>
      </w:r>
      <w:r w:rsidR="008942F4" w:rsidRPr="00DC6CAC">
        <w:rPr>
          <w:color w:val="00194C"/>
        </w:rPr>
        <w:t xml:space="preserve"> be subjected to compulsory </w:t>
      </w:r>
      <w:r w:rsidRPr="00DC6CAC">
        <w:rPr>
          <w:color w:val="00194C"/>
        </w:rPr>
        <w:t xml:space="preserve">payment </w:t>
      </w:r>
      <w:r w:rsidR="008942F4" w:rsidRPr="00DC6CAC">
        <w:rPr>
          <w:color w:val="00194C"/>
        </w:rPr>
        <w:t>diversion at all.</w:t>
      </w:r>
      <w:r w:rsidR="00B95377" w:rsidRPr="00DC6CAC">
        <w:rPr>
          <w:color w:val="00194C"/>
        </w:rPr>
        <w:t xml:space="preserve"> </w:t>
      </w:r>
      <w:r w:rsidR="00557B70" w:rsidRPr="00DC6CAC">
        <w:rPr>
          <w:color w:val="00194C"/>
        </w:rPr>
        <w:t xml:space="preserve">Without such </w:t>
      </w:r>
      <w:proofErr w:type="gramStart"/>
      <w:r w:rsidR="00557B70" w:rsidRPr="00DC6CAC">
        <w:rPr>
          <w:color w:val="00194C"/>
        </w:rPr>
        <w:t>an exclusion</w:t>
      </w:r>
      <w:proofErr w:type="gramEnd"/>
      <w:r w:rsidR="00B95377" w:rsidRPr="00DC6CAC">
        <w:rPr>
          <w:color w:val="00194C"/>
        </w:rPr>
        <w:t xml:space="preserve">, </w:t>
      </w:r>
      <w:r w:rsidR="00A64EB5" w:rsidRPr="00DC6CAC">
        <w:rPr>
          <w:color w:val="00194C"/>
        </w:rPr>
        <w:t>HP</w:t>
      </w:r>
      <w:r w:rsidR="00B95377" w:rsidRPr="00DC6CAC">
        <w:rPr>
          <w:color w:val="00194C"/>
        </w:rPr>
        <w:t xml:space="preserve">DS looks a lot like a </w:t>
      </w:r>
      <w:r w:rsidR="00352ACD" w:rsidRPr="00DC6CAC">
        <w:rPr>
          <w:color w:val="00194C"/>
        </w:rPr>
        <w:t xml:space="preserve">generic </w:t>
      </w:r>
      <w:r w:rsidR="00B95377" w:rsidRPr="00DC6CAC">
        <w:rPr>
          <w:color w:val="00194C"/>
        </w:rPr>
        <w:t>low-income-debtor debt collection scheme.</w:t>
      </w:r>
    </w:p>
    <w:p w:rsidR="00D15412" w:rsidRPr="00DC6CAC" w:rsidRDefault="00D15412">
      <w:pPr>
        <w:rPr>
          <w:color w:val="00194C"/>
        </w:rPr>
      </w:pPr>
      <w:r w:rsidRPr="00DC6CAC">
        <w:rPr>
          <w:color w:val="00194C"/>
        </w:rPr>
        <w:t>Proposed s 6</w:t>
      </w:r>
      <w:r w:rsidR="00E27DC1" w:rsidRPr="00DC6CAC">
        <w:rPr>
          <w:color w:val="00194C"/>
        </w:rPr>
        <w:t>(2)</w:t>
      </w:r>
      <w:r w:rsidRPr="00DC6CAC">
        <w:rPr>
          <w:color w:val="00194C"/>
        </w:rPr>
        <w:t xml:space="preserve"> of Schedule 6</w:t>
      </w:r>
      <w:r w:rsidR="00E27DC1" w:rsidRPr="00DC6CAC">
        <w:rPr>
          <w:color w:val="00194C"/>
        </w:rPr>
        <w:t xml:space="preserve"> states that the Secretary must not divert the payments of a person </w:t>
      </w:r>
      <w:r w:rsidR="007D4CCA" w:rsidRPr="00DC6CAC">
        <w:rPr>
          <w:color w:val="00194C"/>
        </w:rPr>
        <w:t xml:space="preserve">who is already </w:t>
      </w:r>
      <w:r w:rsidR="00E27DC1" w:rsidRPr="00DC6CAC">
        <w:rPr>
          <w:color w:val="00194C"/>
        </w:rPr>
        <w:t>subject to the income management regime</w:t>
      </w:r>
      <w:r w:rsidR="00D93654" w:rsidRPr="00DC6CAC">
        <w:rPr>
          <w:color w:val="00194C"/>
        </w:rPr>
        <w:t xml:space="preserve"> under this regime</w:t>
      </w:r>
      <w:r w:rsidR="00E27DC1" w:rsidRPr="00DC6CAC">
        <w:rPr>
          <w:color w:val="00194C"/>
        </w:rPr>
        <w:t>.</w:t>
      </w:r>
      <w:r w:rsidR="007D4CCA" w:rsidRPr="00DC6CAC">
        <w:rPr>
          <w:color w:val="00194C"/>
        </w:rPr>
        <w:t xml:space="preserve"> However, a proposed amendment to s</w:t>
      </w:r>
      <w:r w:rsidR="00735C08" w:rsidRPr="00DC6CAC">
        <w:rPr>
          <w:color w:val="00194C"/>
        </w:rPr>
        <w:t xml:space="preserve"> </w:t>
      </w:r>
      <w:r w:rsidR="007D4CCA" w:rsidRPr="00DC6CAC">
        <w:rPr>
          <w:color w:val="00194C"/>
        </w:rPr>
        <w:t xml:space="preserve">123YA of the </w:t>
      </w:r>
      <w:r w:rsidR="007D4CCA" w:rsidRPr="00DC6CAC">
        <w:rPr>
          <w:i/>
          <w:color w:val="00194C"/>
        </w:rPr>
        <w:t>Social Security (Administration) Act 1999</w:t>
      </w:r>
      <w:r w:rsidR="007D4CCA" w:rsidRPr="00DC6CAC">
        <w:rPr>
          <w:color w:val="00194C"/>
        </w:rPr>
        <w:t xml:space="preserve"> allows the Secretary, upon receipt of a request to divert a payment</w:t>
      </w:r>
      <w:r w:rsidR="00D93654" w:rsidRPr="00DC6CAC">
        <w:rPr>
          <w:color w:val="00194C"/>
        </w:rPr>
        <w:t xml:space="preserve"> for this purpose</w:t>
      </w:r>
      <w:r w:rsidR="007D4CCA" w:rsidRPr="00DC6CAC">
        <w:rPr>
          <w:color w:val="00194C"/>
        </w:rPr>
        <w:t xml:space="preserve">, to take </w:t>
      </w:r>
      <w:r w:rsidR="00D93654" w:rsidRPr="00DC6CAC">
        <w:rPr>
          <w:color w:val="00194C"/>
        </w:rPr>
        <w:t xml:space="preserve">‘priority’ </w:t>
      </w:r>
      <w:r w:rsidR="007D4CCA" w:rsidRPr="00DC6CAC">
        <w:rPr>
          <w:color w:val="00194C"/>
        </w:rPr>
        <w:t>action under the income management regime to pay the person’s rent.</w:t>
      </w:r>
      <w:r w:rsidR="00D93654" w:rsidRPr="00DC6CAC">
        <w:rPr>
          <w:color w:val="00194C"/>
        </w:rPr>
        <w:t xml:space="preserve"> This means paying it before acceding to other spending requests from the person.</w:t>
      </w:r>
    </w:p>
    <w:p w:rsidR="00B71A5C" w:rsidRPr="00DC6CAC" w:rsidRDefault="00AC1BFC">
      <w:pPr>
        <w:rPr>
          <w:b/>
          <w:i/>
          <w:color w:val="00194C"/>
        </w:rPr>
      </w:pPr>
      <w:r w:rsidRPr="00DC6CAC">
        <w:rPr>
          <w:b/>
          <w:i/>
          <w:color w:val="00194C"/>
        </w:rPr>
        <w:lastRenderedPageBreak/>
        <w:t>Negative features of</w:t>
      </w:r>
      <w:r w:rsidR="00DF3B08" w:rsidRPr="00DC6CAC">
        <w:rPr>
          <w:b/>
          <w:i/>
          <w:color w:val="00194C"/>
        </w:rPr>
        <w:t xml:space="preserve"> the exposure draft legislation</w:t>
      </w:r>
      <w:r w:rsidR="005574C8" w:rsidRPr="00DC6CAC">
        <w:rPr>
          <w:b/>
          <w:i/>
          <w:color w:val="00194C"/>
        </w:rPr>
        <w:t xml:space="preserve"> and instruments</w:t>
      </w:r>
      <w:r w:rsidR="00D23D75" w:rsidRPr="00DC6CAC">
        <w:rPr>
          <w:b/>
          <w:i/>
          <w:color w:val="00194C"/>
        </w:rPr>
        <w:t xml:space="preserve"> </w:t>
      </w:r>
    </w:p>
    <w:p w:rsidR="008B2A6D" w:rsidRPr="00DC6CAC" w:rsidRDefault="00E87ECB" w:rsidP="008B2A6D">
      <w:pPr>
        <w:rPr>
          <w:b/>
          <w:smallCaps/>
          <w:color w:val="00194C"/>
          <w:sz w:val="20"/>
        </w:rPr>
      </w:pPr>
      <w:r w:rsidRPr="00DC6CAC">
        <w:rPr>
          <w:b/>
          <w:smallCaps/>
          <w:color w:val="00194C"/>
          <w:sz w:val="20"/>
        </w:rPr>
        <w:t xml:space="preserve">Placement of some payment recipients in </w:t>
      </w:r>
      <w:r w:rsidR="00E277EB" w:rsidRPr="00DC6CAC">
        <w:rPr>
          <w:b/>
          <w:smallCaps/>
          <w:color w:val="00194C"/>
          <w:sz w:val="20"/>
        </w:rPr>
        <w:t>‘</w:t>
      </w:r>
      <w:r w:rsidRPr="00DC6CAC">
        <w:rPr>
          <w:b/>
          <w:smallCaps/>
          <w:color w:val="00194C"/>
          <w:sz w:val="20"/>
        </w:rPr>
        <w:t>h</w:t>
      </w:r>
      <w:r w:rsidR="008B2A6D" w:rsidRPr="00DC6CAC">
        <w:rPr>
          <w:b/>
          <w:smallCaps/>
          <w:color w:val="00194C"/>
          <w:sz w:val="20"/>
        </w:rPr>
        <w:t>ousing stress</w:t>
      </w:r>
      <w:r w:rsidR="00E277EB" w:rsidRPr="00DC6CAC">
        <w:rPr>
          <w:b/>
          <w:smallCaps/>
          <w:color w:val="00194C"/>
          <w:sz w:val="20"/>
        </w:rPr>
        <w:t>’</w:t>
      </w:r>
    </w:p>
    <w:p w:rsidR="00E87ECB" w:rsidRPr="00DC6CAC" w:rsidRDefault="008B2A6D" w:rsidP="00711431">
      <w:pPr>
        <w:rPr>
          <w:color w:val="00194C"/>
        </w:rPr>
      </w:pPr>
      <w:r w:rsidRPr="00DC6CAC">
        <w:rPr>
          <w:b/>
          <w:color w:val="00194C"/>
        </w:rPr>
        <w:t xml:space="preserve">The upper limit for payment diversion </w:t>
      </w:r>
      <w:r w:rsidR="004451FD" w:rsidRPr="00DC6CAC">
        <w:rPr>
          <w:b/>
          <w:color w:val="00194C"/>
        </w:rPr>
        <w:t xml:space="preserve">imposed by proposed s 7(1)(c) of new Schedule 6 of the </w:t>
      </w:r>
      <w:r w:rsidR="004451FD" w:rsidRPr="00DC6CAC">
        <w:rPr>
          <w:b/>
          <w:i/>
          <w:color w:val="00194C"/>
        </w:rPr>
        <w:t xml:space="preserve">Social Security Administration Act 1999 </w:t>
      </w:r>
      <w:r w:rsidRPr="00DC6CAC">
        <w:rPr>
          <w:b/>
          <w:color w:val="00194C"/>
        </w:rPr>
        <w:t>should be set no higher than the ‘housing stress’ level</w:t>
      </w:r>
      <w:r w:rsidR="004451FD" w:rsidRPr="00DC6CAC">
        <w:rPr>
          <w:b/>
          <w:color w:val="00194C"/>
        </w:rPr>
        <w:t xml:space="preserve"> </w:t>
      </w:r>
      <w:r w:rsidR="00D82C47" w:rsidRPr="00DC6CAC">
        <w:rPr>
          <w:b/>
          <w:color w:val="00194C"/>
        </w:rPr>
        <w:t xml:space="preserve">- </w:t>
      </w:r>
      <w:r w:rsidR="004451FD" w:rsidRPr="00DC6CAC">
        <w:rPr>
          <w:b/>
          <w:color w:val="00194C"/>
        </w:rPr>
        <w:t xml:space="preserve">for </w:t>
      </w:r>
      <w:r w:rsidR="004451FD" w:rsidRPr="00DC6CAC">
        <w:rPr>
          <w:b/>
          <w:i/>
          <w:color w:val="00194C"/>
        </w:rPr>
        <w:t>all</w:t>
      </w:r>
      <w:r w:rsidR="004451FD" w:rsidRPr="00DC6CAC">
        <w:rPr>
          <w:b/>
          <w:color w:val="00194C"/>
        </w:rPr>
        <w:t xml:space="preserve"> payment recipients</w:t>
      </w:r>
      <w:r w:rsidRPr="00DC6CAC">
        <w:rPr>
          <w:b/>
          <w:color w:val="00194C"/>
        </w:rPr>
        <w:t>.</w:t>
      </w:r>
      <w:r w:rsidRPr="00DC6CAC">
        <w:rPr>
          <w:color w:val="00194C"/>
        </w:rPr>
        <w:t xml:space="preserve"> Even allowing for</w:t>
      </w:r>
      <w:r w:rsidR="00E277EB" w:rsidRPr="00DC6CAC">
        <w:rPr>
          <w:color w:val="00194C"/>
        </w:rPr>
        <w:t>:</w:t>
      </w:r>
      <w:r w:rsidRPr="00DC6CAC">
        <w:rPr>
          <w:color w:val="00194C"/>
        </w:rPr>
        <w:t xml:space="preserve"> </w:t>
      </w:r>
    </w:p>
    <w:p w:rsidR="00E87ECB" w:rsidRPr="00DC6CAC" w:rsidRDefault="008B2A6D" w:rsidP="00E87ECB">
      <w:pPr>
        <w:pStyle w:val="ListParagraph"/>
        <w:numPr>
          <w:ilvl w:val="0"/>
          <w:numId w:val="9"/>
        </w:numPr>
        <w:rPr>
          <w:color w:val="00194C"/>
        </w:rPr>
      </w:pPr>
      <w:r w:rsidRPr="00DC6CAC">
        <w:rPr>
          <w:color w:val="00194C"/>
        </w:rPr>
        <w:t>the non-application of diversion to certain elements of payments</w:t>
      </w:r>
      <w:r w:rsidR="00E16ADB" w:rsidRPr="00DC6CAC">
        <w:rPr>
          <w:color w:val="00194C"/>
        </w:rPr>
        <w:t>;</w:t>
      </w:r>
      <w:r w:rsidRPr="00DC6CAC">
        <w:rPr>
          <w:rStyle w:val="FootnoteReference"/>
          <w:color w:val="00194C"/>
        </w:rPr>
        <w:footnoteReference w:id="12"/>
      </w:r>
      <w:r w:rsidRPr="00DC6CAC">
        <w:rPr>
          <w:color w:val="00194C"/>
        </w:rPr>
        <w:t xml:space="preserve"> </w:t>
      </w:r>
    </w:p>
    <w:p w:rsidR="00E87ECB" w:rsidRPr="00DC6CAC" w:rsidRDefault="00E87ECB" w:rsidP="00E87ECB">
      <w:pPr>
        <w:pStyle w:val="ListParagraph"/>
        <w:numPr>
          <w:ilvl w:val="0"/>
          <w:numId w:val="9"/>
        </w:numPr>
        <w:rPr>
          <w:color w:val="00194C"/>
        </w:rPr>
      </w:pPr>
      <w:r w:rsidRPr="00DC6CAC">
        <w:rPr>
          <w:color w:val="00194C"/>
        </w:rPr>
        <w:t>the potential for some people to be exempted from paym</w:t>
      </w:r>
      <w:r w:rsidR="00E277EB" w:rsidRPr="00DC6CAC">
        <w:rPr>
          <w:color w:val="00194C"/>
        </w:rPr>
        <w:t>ent diversion</w:t>
      </w:r>
      <w:r w:rsidR="00E16ADB" w:rsidRPr="00DC6CAC">
        <w:rPr>
          <w:color w:val="00194C"/>
        </w:rPr>
        <w:t>;</w:t>
      </w:r>
      <w:r w:rsidR="00D82C47" w:rsidRPr="00DC6CAC">
        <w:rPr>
          <w:rStyle w:val="FootnoteReference"/>
          <w:color w:val="00194C"/>
        </w:rPr>
        <w:footnoteReference w:id="13"/>
      </w:r>
      <w:r w:rsidRPr="00DC6CAC">
        <w:rPr>
          <w:color w:val="00194C"/>
        </w:rPr>
        <w:t xml:space="preserve"> </w:t>
      </w:r>
    </w:p>
    <w:p w:rsidR="00711431" w:rsidRPr="00DC6CAC" w:rsidRDefault="008273E6" w:rsidP="00711431">
      <w:pPr>
        <w:rPr>
          <w:color w:val="00194C"/>
        </w:rPr>
      </w:pPr>
      <w:r w:rsidRPr="00DC6CAC">
        <w:rPr>
          <w:color w:val="00194C"/>
        </w:rPr>
        <w:t>I</w:t>
      </w:r>
      <w:r w:rsidR="00E87ECB" w:rsidRPr="00DC6CAC">
        <w:rPr>
          <w:color w:val="00194C"/>
        </w:rPr>
        <w:t xml:space="preserve">f the upper limit </w:t>
      </w:r>
      <w:r w:rsidR="00E277EB" w:rsidRPr="00DC6CAC">
        <w:rPr>
          <w:color w:val="00194C"/>
        </w:rPr>
        <w:t xml:space="preserve">of divertible payment </w:t>
      </w:r>
      <w:r w:rsidR="00E87ECB" w:rsidRPr="00DC6CAC">
        <w:rPr>
          <w:color w:val="00194C"/>
        </w:rPr>
        <w:t>is set at 35 per cent,</w:t>
      </w:r>
      <w:r w:rsidR="00FA397B" w:rsidRPr="00DC6CAC">
        <w:rPr>
          <w:color w:val="00194C"/>
        </w:rPr>
        <w:t xml:space="preserve"> </w:t>
      </w:r>
      <w:r w:rsidR="008B2A6D" w:rsidRPr="00DC6CAC">
        <w:rPr>
          <w:color w:val="00194C"/>
        </w:rPr>
        <w:t xml:space="preserve">some tenants could </w:t>
      </w:r>
      <w:r w:rsidR="00E87ECB" w:rsidRPr="00DC6CAC">
        <w:rPr>
          <w:color w:val="00194C"/>
        </w:rPr>
        <w:t>lose</w:t>
      </w:r>
      <w:r w:rsidR="00711431" w:rsidRPr="00DC6CAC">
        <w:rPr>
          <w:color w:val="00194C"/>
        </w:rPr>
        <w:t xml:space="preserve"> </w:t>
      </w:r>
      <w:r w:rsidR="004451FD" w:rsidRPr="00DC6CAC">
        <w:rPr>
          <w:color w:val="00194C"/>
        </w:rPr>
        <w:t>more than 30 per cent of their income</w:t>
      </w:r>
      <w:r w:rsidR="00181982" w:rsidRPr="00DC6CAC">
        <w:rPr>
          <w:color w:val="00194C"/>
        </w:rPr>
        <w:t>,</w:t>
      </w:r>
      <w:r w:rsidR="004451FD" w:rsidRPr="00DC6CAC">
        <w:rPr>
          <w:color w:val="00194C"/>
        </w:rPr>
        <w:t xml:space="preserve"> </w:t>
      </w:r>
      <w:r w:rsidR="006E274E" w:rsidRPr="00DC6CAC">
        <w:rPr>
          <w:color w:val="00194C"/>
        </w:rPr>
        <w:t xml:space="preserve">placing them </w:t>
      </w:r>
      <w:r w:rsidR="004451FD" w:rsidRPr="00DC6CAC">
        <w:rPr>
          <w:color w:val="00194C"/>
        </w:rPr>
        <w:t>into housing stress</w:t>
      </w:r>
      <w:r w:rsidR="0023786D" w:rsidRPr="00DC6CAC">
        <w:rPr>
          <w:color w:val="00194C"/>
        </w:rPr>
        <w:t>.</w:t>
      </w:r>
      <w:r w:rsidR="00711431" w:rsidRPr="00DC6CAC">
        <w:rPr>
          <w:rStyle w:val="FootnoteReference"/>
          <w:color w:val="00194C"/>
        </w:rPr>
        <w:footnoteReference w:id="14"/>
      </w:r>
      <w:r w:rsidR="006E274E" w:rsidRPr="00DC6CAC">
        <w:rPr>
          <w:color w:val="00194C"/>
        </w:rPr>
        <w:t xml:space="preserve"> </w:t>
      </w:r>
      <w:r w:rsidR="0023786D" w:rsidRPr="00DC6CAC">
        <w:rPr>
          <w:color w:val="00194C"/>
        </w:rPr>
        <w:t>There is</w:t>
      </w:r>
      <w:r w:rsidR="006E274E" w:rsidRPr="00DC6CAC">
        <w:rPr>
          <w:color w:val="00194C"/>
        </w:rPr>
        <w:t xml:space="preserve"> </w:t>
      </w:r>
      <w:r w:rsidR="00181982" w:rsidRPr="00DC6CAC">
        <w:rPr>
          <w:color w:val="00194C"/>
        </w:rPr>
        <w:t xml:space="preserve">clear </w:t>
      </w:r>
      <w:r w:rsidR="006E274E" w:rsidRPr="00DC6CAC">
        <w:rPr>
          <w:color w:val="00194C"/>
        </w:rPr>
        <w:t>COAG agreement t</w:t>
      </w:r>
      <w:r w:rsidR="00C46AE8" w:rsidRPr="00DC6CAC">
        <w:rPr>
          <w:color w:val="00194C"/>
        </w:rPr>
        <w:t>hat performance of the NAHA is measured in part by a</w:t>
      </w:r>
      <w:r w:rsidR="006E274E" w:rsidRPr="00DC6CAC">
        <w:rPr>
          <w:color w:val="00194C"/>
        </w:rPr>
        <w:t xml:space="preserve"> </w:t>
      </w:r>
      <w:r w:rsidR="006E274E" w:rsidRPr="00DC6CAC">
        <w:rPr>
          <w:i/>
          <w:color w:val="00194C"/>
        </w:rPr>
        <w:t>reduc</w:t>
      </w:r>
      <w:r w:rsidR="00C46AE8" w:rsidRPr="00DC6CAC">
        <w:rPr>
          <w:i/>
          <w:color w:val="00194C"/>
        </w:rPr>
        <w:t>tion</w:t>
      </w:r>
      <w:r w:rsidR="00C46AE8" w:rsidRPr="00DC6CAC">
        <w:rPr>
          <w:color w:val="00194C"/>
        </w:rPr>
        <w:t xml:space="preserve"> in</w:t>
      </w:r>
      <w:r w:rsidR="006E274E" w:rsidRPr="00DC6CAC">
        <w:rPr>
          <w:color w:val="00194C"/>
        </w:rPr>
        <w:t xml:space="preserve"> such stress on low-income renters</w:t>
      </w:r>
      <w:r w:rsidR="00711431" w:rsidRPr="00DC6CAC">
        <w:rPr>
          <w:color w:val="00194C"/>
        </w:rPr>
        <w:t>.</w:t>
      </w:r>
      <w:r w:rsidR="006E274E" w:rsidRPr="00DC6CAC">
        <w:rPr>
          <w:rStyle w:val="FootnoteReference"/>
          <w:color w:val="00194C"/>
        </w:rPr>
        <w:footnoteReference w:id="15"/>
      </w:r>
      <w:r w:rsidR="00C46AE8" w:rsidRPr="00DC6CAC">
        <w:rPr>
          <w:color w:val="00194C"/>
        </w:rPr>
        <w:t xml:space="preserve"> Even without considering whether these lessees will need to devote further funds to securing ongoing housing, </w:t>
      </w:r>
      <w:r w:rsidR="0023786D" w:rsidRPr="00DC6CAC">
        <w:rPr>
          <w:color w:val="00194C"/>
        </w:rPr>
        <w:t>their precipitation into housing stress</w:t>
      </w:r>
      <w:r w:rsidR="00C46AE8" w:rsidRPr="00DC6CAC">
        <w:rPr>
          <w:color w:val="00194C"/>
        </w:rPr>
        <w:t xml:space="preserve"> </w:t>
      </w:r>
      <w:r w:rsidR="00FA397B" w:rsidRPr="00DC6CAC">
        <w:rPr>
          <w:color w:val="00194C"/>
        </w:rPr>
        <w:t>is unlikely to assist in reducing eviction rates.</w:t>
      </w:r>
    </w:p>
    <w:p w:rsidR="00F57BF3" w:rsidRPr="00DC6CAC" w:rsidRDefault="00F57BF3">
      <w:pPr>
        <w:rPr>
          <w:b/>
          <w:smallCaps/>
          <w:color w:val="00194C"/>
          <w:sz w:val="20"/>
        </w:rPr>
      </w:pPr>
      <w:r w:rsidRPr="00DC6CAC">
        <w:rPr>
          <w:b/>
          <w:smallCaps/>
          <w:color w:val="00194C"/>
          <w:sz w:val="20"/>
        </w:rPr>
        <w:t>Lessee liability</w:t>
      </w:r>
    </w:p>
    <w:p w:rsidR="00AF1B89" w:rsidRPr="00DC6CAC" w:rsidRDefault="003C4D98" w:rsidP="003C4D98">
      <w:pPr>
        <w:rPr>
          <w:color w:val="00194C"/>
        </w:rPr>
      </w:pPr>
      <w:r w:rsidRPr="00DC6CAC">
        <w:rPr>
          <w:b/>
          <w:color w:val="00194C"/>
        </w:rPr>
        <w:t>The Bill will create domestic i</w:t>
      </w:r>
      <w:r w:rsidR="00376D74" w:rsidRPr="00DC6CAC">
        <w:rPr>
          <w:b/>
          <w:color w:val="00194C"/>
        </w:rPr>
        <w:t xml:space="preserve">nequality </w:t>
      </w:r>
      <w:r w:rsidR="008C2218" w:rsidRPr="00DC6CAC">
        <w:rPr>
          <w:b/>
          <w:color w:val="00194C"/>
        </w:rPr>
        <w:t xml:space="preserve">in households where all members are not also </w:t>
      </w:r>
      <w:r w:rsidR="00376D74" w:rsidRPr="00DC6CAC">
        <w:rPr>
          <w:b/>
          <w:color w:val="00194C"/>
        </w:rPr>
        <w:t xml:space="preserve">lessees. </w:t>
      </w:r>
      <w:r w:rsidR="007D32CE" w:rsidRPr="00DC6CAC">
        <w:rPr>
          <w:color w:val="00194C"/>
        </w:rPr>
        <w:t xml:space="preserve">Section </w:t>
      </w:r>
      <w:r w:rsidR="00D75687" w:rsidRPr="00DC6CAC">
        <w:rPr>
          <w:color w:val="00194C"/>
        </w:rPr>
        <w:t xml:space="preserve">5(4) of </w:t>
      </w:r>
      <w:r w:rsidR="00B41227" w:rsidRPr="00DC6CAC">
        <w:rPr>
          <w:color w:val="00194C"/>
        </w:rPr>
        <w:t>proposed Schedule 6</w:t>
      </w:r>
      <w:r w:rsidR="00D75687" w:rsidRPr="00DC6CAC">
        <w:rPr>
          <w:color w:val="00194C"/>
        </w:rPr>
        <w:t xml:space="preserve"> makes clear that there is a r</w:t>
      </w:r>
      <w:r w:rsidR="00DF3B08" w:rsidRPr="00DC6CAC">
        <w:rPr>
          <w:color w:val="00194C"/>
        </w:rPr>
        <w:t>isk of</w:t>
      </w:r>
      <w:r w:rsidR="00AF1B89" w:rsidRPr="00DC6CAC">
        <w:rPr>
          <w:color w:val="00194C"/>
        </w:rPr>
        <w:t>:</w:t>
      </w:r>
      <w:r w:rsidR="00DF3B08" w:rsidRPr="00DC6CAC">
        <w:rPr>
          <w:color w:val="00194C"/>
        </w:rPr>
        <w:t xml:space="preserve"> </w:t>
      </w:r>
    </w:p>
    <w:p w:rsidR="005574C8" w:rsidRPr="00DC6CAC" w:rsidRDefault="00AF1B89" w:rsidP="00F57BF3">
      <w:pPr>
        <w:pStyle w:val="ListParagraph"/>
        <w:numPr>
          <w:ilvl w:val="0"/>
          <w:numId w:val="3"/>
        </w:numPr>
        <w:rPr>
          <w:color w:val="00194C"/>
        </w:rPr>
      </w:pPr>
      <w:r w:rsidRPr="00DC6CAC">
        <w:rPr>
          <w:color w:val="00194C"/>
        </w:rPr>
        <w:t>O</w:t>
      </w:r>
      <w:r w:rsidR="00DF3B08" w:rsidRPr="00DC6CAC">
        <w:rPr>
          <w:color w:val="00194C"/>
        </w:rPr>
        <w:t>ne person’s benefit</w:t>
      </w:r>
      <w:r w:rsidR="005574C8" w:rsidRPr="00DC6CAC">
        <w:rPr>
          <w:color w:val="00194C"/>
        </w:rPr>
        <w:t>s</w:t>
      </w:r>
      <w:r w:rsidR="00DF3B08" w:rsidRPr="00DC6CAC">
        <w:rPr>
          <w:color w:val="00194C"/>
        </w:rPr>
        <w:t xml:space="preserve"> being diverted </w:t>
      </w:r>
      <w:r w:rsidR="005574C8" w:rsidRPr="00DC6CAC">
        <w:rPr>
          <w:color w:val="00194C"/>
        </w:rPr>
        <w:t>wh</w:t>
      </w:r>
      <w:r w:rsidRPr="00DC6CAC">
        <w:rPr>
          <w:color w:val="00194C"/>
        </w:rPr>
        <w:t>ere o</w:t>
      </w:r>
      <w:r w:rsidR="005574C8" w:rsidRPr="00DC6CAC">
        <w:rPr>
          <w:color w:val="00194C"/>
        </w:rPr>
        <w:t xml:space="preserve">ther adults </w:t>
      </w:r>
      <w:r w:rsidR="00D75687" w:rsidRPr="00DC6CAC">
        <w:rPr>
          <w:color w:val="00194C"/>
        </w:rPr>
        <w:t xml:space="preserve">have </w:t>
      </w:r>
      <w:r w:rsidR="008A382F" w:rsidRPr="00DC6CAC">
        <w:rPr>
          <w:color w:val="00194C"/>
        </w:rPr>
        <w:t xml:space="preserve">caused or </w:t>
      </w:r>
      <w:r w:rsidR="00376D74" w:rsidRPr="00DC6CAC">
        <w:rPr>
          <w:color w:val="00194C"/>
        </w:rPr>
        <w:t>contribute</w:t>
      </w:r>
      <w:r w:rsidR="00D75687" w:rsidRPr="00DC6CAC">
        <w:rPr>
          <w:color w:val="00194C"/>
        </w:rPr>
        <w:t>d</w:t>
      </w:r>
      <w:r w:rsidR="00376D74" w:rsidRPr="00DC6CAC">
        <w:rPr>
          <w:color w:val="00194C"/>
        </w:rPr>
        <w:t xml:space="preserve"> to the </w:t>
      </w:r>
      <w:r w:rsidR="005574C8" w:rsidRPr="00DC6CAC">
        <w:rPr>
          <w:color w:val="00194C"/>
        </w:rPr>
        <w:t>default (eg</w:t>
      </w:r>
      <w:r w:rsidR="00CD3F0F" w:rsidRPr="00DC6CAC">
        <w:rPr>
          <w:color w:val="00194C"/>
        </w:rPr>
        <w:t xml:space="preserve"> co-residents but not lessees</w:t>
      </w:r>
      <w:r w:rsidR="003C4D98" w:rsidRPr="00DC6CAC">
        <w:rPr>
          <w:color w:val="00194C"/>
        </w:rPr>
        <w:t xml:space="preserve"> don’t contribute</w:t>
      </w:r>
      <w:r w:rsidR="005574C8" w:rsidRPr="00DC6CAC">
        <w:rPr>
          <w:color w:val="00194C"/>
        </w:rPr>
        <w:t xml:space="preserve"> their share</w:t>
      </w:r>
      <w:r w:rsidR="00CD3F0F" w:rsidRPr="00DC6CAC">
        <w:rPr>
          <w:color w:val="00194C"/>
        </w:rPr>
        <w:t xml:space="preserve"> of rent or</w:t>
      </w:r>
      <w:r w:rsidR="00376D74" w:rsidRPr="00DC6CAC">
        <w:rPr>
          <w:color w:val="00194C"/>
        </w:rPr>
        <w:t xml:space="preserve"> </w:t>
      </w:r>
      <w:r w:rsidR="003C4D98" w:rsidRPr="00DC6CAC">
        <w:rPr>
          <w:color w:val="00194C"/>
        </w:rPr>
        <w:t>don’t do so</w:t>
      </w:r>
      <w:r w:rsidR="00376D74" w:rsidRPr="00DC6CAC">
        <w:rPr>
          <w:color w:val="00194C"/>
        </w:rPr>
        <w:t xml:space="preserve"> on time</w:t>
      </w:r>
      <w:r w:rsidR="00CD3F0F" w:rsidRPr="00DC6CAC">
        <w:rPr>
          <w:color w:val="00194C"/>
        </w:rPr>
        <w:t>; visitors</w:t>
      </w:r>
      <w:r w:rsidR="003C4D98" w:rsidRPr="00DC6CAC">
        <w:rPr>
          <w:color w:val="00194C"/>
        </w:rPr>
        <w:t xml:space="preserve"> damage</w:t>
      </w:r>
      <w:r w:rsidR="00CD3F0F" w:rsidRPr="00DC6CAC">
        <w:rPr>
          <w:color w:val="00194C"/>
        </w:rPr>
        <w:t xml:space="preserve"> the property</w:t>
      </w:r>
      <w:r w:rsidR="005574C8" w:rsidRPr="00DC6CAC">
        <w:rPr>
          <w:color w:val="00194C"/>
        </w:rPr>
        <w:t xml:space="preserve">) but don’t have their benefits diverted or their wages </w:t>
      </w:r>
      <w:r w:rsidR="00D75687" w:rsidRPr="00DC6CAC">
        <w:rPr>
          <w:color w:val="00194C"/>
        </w:rPr>
        <w:t xml:space="preserve">or child support payments </w:t>
      </w:r>
      <w:r w:rsidR="00CD3F0F" w:rsidRPr="00DC6CAC">
        <w:rPr>
          <w:color w:val="00194C"/>
        </w:rPr>
        <w:t>garnished</w:t>
      </w:r>
      <w:r w:rsidR="005574C8" w:rsidRPr="00DC6CAC">
        <w:rPr>
          <w:color w:val="00194C"/>
        </w:rPr>
        <w:t>;</w:t>
      </w:r>
    </w:p>
    <w:p w:rsidR="001A52C4" w:rsidRPr="00DC6CAC" w:rsidRDefault="005574C8" w:rsidP="00DF1CB0">
      <w:pPr>
        <w:pStyle w:val="ListParagraph"/>
        <w:numPr>
          <w:ilvl w:val="0"/>
          <w:numId w:val="3"/>
        </w:numPr>
        <w:rPr>
          <w:color w:val="00194C"/>
        </w:rPr>
      </w:pPr>
      <w:r w:rsidRPr="00DC6CAC">
        <w:rPr>
          <w:color w:val="00194C"/>
        </w:rPr>
        <w:t xml:space="preserve">Dependent children covered by </w:t>
      </w:r>
      <w:r w:rsidR="00CD6DE7" w:rsidRPr="00DC6CAC">
        <w:rPr>
          <w:color w:val="00194C"/>
        </w:rPr>
        <w:t xml:space="preserve">diverted </w:t>
      </w:r>
      <w:r w:rsidR="00AF1B89" w:rsidRPr="00DC6CAC">
        <w:rPr>
          <w:color w:val="00194C"/>
        </w:rPr>
        <w:t>benefits losing</w:t>
      </w:r>
      <w:r w:rsidR="00CD3F0F" w:rsidRPr="00DC6CAC">
        <w:rPr>
          <w:color w:val="00194C"/>
        </w:rPr>
        <w:t xml:space="preserve"> out when the default is not theirs</w:t>
      </w:r>
      <w:r w:rsidRPr="00DC6CAC">
        <w:rPr>
          <w:color w:val="00194C"/>
        </w:rPr>
        <w:t xml:space="preserve">. </w:t>
      </w:r>
      <w:r w:rsidR="00353241" w:rsidRPr="00DC6CAC">
        <w:rPr>
          <w:color w:val="00194C"/>
        </w:rPr>
        <w:t xml:space="preserve">Family Tax Benefit, which replaced a number of other Commonwealth payments, does not include a housing component: as with </w:t>
      </w:r>
      <w:r w:rsidR="008525F1" w:rsidRPr="00DC6CAC">
        <w:rPr>
          <w:color w:val="00194C"/>
        </w:rPr>
        <w:t>the other ‘divertible’ benefits, its recipients may be eligible for rent assistance in the private market.</w:t>
      </w:r>
      <w:r w:rsidR="00353241" w:rsidRPr="00DC6CAC">
        <w:rPr>
          <w:color w:val="00194C"/>
        </w:rPr>
        <w:t xml:space="preserve"> </w:t>
      </w:r>
      <w:r w:rsidR="008525F1" w:rsidRPr="00DC6CAC">
        <w:rPr>
          <w:color w:val="00194C"/>
        </w:rPr>
        <w:t>Given the policy focus of these payments</w:t>
      </w:r>
      <w:r w:rsidR="00472FC6" w:rsidRPr="00DC6CAC">
        <w:rPr>
          <w:color w:val="00194C"/>
        </w:rPr>
        <w:t xml:space="preserve"> on the costs of raising children</w:t>
      </w:r>
      <w:r w:rsidR="008525F1" w:rsidRPr="00DC6CAC">
        <w:rPr>
          <w:color w:val="00194C"/>
        </w:rPr>
        <w:t xml:space="preserve">, it is unclear why they would be diverted to </w:t>
      </w:r>
      <w:r w:rsidR="00991A9B" w:rsidRPr="00DC6CAC">
        <w:rPr>
          <w:color w:val="00194C"/>
        </w:rPr>
        <w:t>cover</w:t>
      </w:r>
      <w:r w:rsidR="008525F1" w:rsidRPr="00DC6CAC">
        <w:rPr>
          <w:color w:val="00194C"/>
        </w:rPr>
        <w:t xml:space="preserve"> housing.</w:t>
      </w:r>
    </w:p>
    <w:p w:rsidR="00AC572D" w:rsidRPr="00DC6CAC" w:rsidRDefault="00AC572D" w:rsidP="00AC572D">
      <w:pPr>
        <w:rPr>
          <w:b/>
          <w:smallCaps/>
          <w:color w:val="00194C"/>
          <w:sz w:val="20"/>
          <w:szCs w:val="20"/>
        </w:rPr>
      </w:pPr>
      <w:r w:rsidRPr="00DC6CAC">
        <w:rPr>
          <w:b/>
          <w:smallCaps/>
          <w:color w:val="00194C"/>
          <w:sz w:val="20"/>
          <w:szCs w:val="20"/>
        </w:rPr>
        <w:t>Diversion can be initiated for very small debts that bear no relationship to regional housing costs</w:t>
      </w:r>
    </w:p>
    <w:p w:rsidR="00AC572D" w:rsidRPr="00DC6CAC" w:rsidRDefault="00AC572D" w:rsidP="00AC572D">
      <w:pPr>
        <w:rPr>
          <w:color w:val="00194C"/>
        </w:rPr>
      </w:pPr>
      <w:r w:rsidRPr="00DC6CAC">
        <w:rPr>
          <w:color w:val="00194C"/>
        </w:rPr>
        <w:t xml:space="preserve">The </w:t>
      </w:r>
      <w:r w:rsidRPr="00DC6CAC">
        <w:rPr>
          <w:b/>
          <w:color w:val="00194C"/>
        </w:rPr>
        <w:t>‘$100 owing for a month despite reasonable steps to recover’ floor for landlord action</w:t>
      </w:r>
      <w:r w:rsidRPr="00DC6CAC">
        <w:rPr>
          <w:color w:val="00194C"/>
        </w:rPr>
        <w:t xml:space="preserve"> under s</w:t>
      </w:r>
      <w:r w:rsidR="00680404" w:rsidRPr="00DC6CAC">
        <w:rPr>
          <w:color w:val="00194C"/>
        </w:rPr>
        <w:t> </w:t>
      </w:r>
      <w:r w:rsidRPr="00DC6CAC">
        <w:rPr>
          <w:color w:val="00194C"/>
        </w:rPr>
        <w:t xml:space="preserve">5(1)(a) and proposed ‘Minimum amount specification (No 1)’ rule 4 </w:t>
      </w:r>
      <w:r w:rsidRPr="00DC6CAC">
        <w:rPr>
          <w:b/>
          <w:color w:val="00194C"/>
        </w:rPr>
        <w:t>is also set too low and takes no account of differential housing costs in different parts of Australia, how the debt arises or how it will be established.</w:t>
      </w:r>
      <w:r w:rsidRPr="00DC6CAC">
        <w:rPr>
          <w:color w:val="00194C"/>
        </w:rPr>
        <w:t xml:space="preserve"> </w:t>
      </w:r>
    </w:p>
    <w:p w:rsidR="005249AD" w:rsidRPr="00DC6CAC" w:rsidRDefault="005249AD" w:rsidP="00CE3053">
      <w:pPr>
        <w:rPr>
          <w:color w:val="00194C"/>
        </w:rPr>
      </w:pPr>
      <w:r w:rsidRPr="00DC6CAC">
        <w:rPr>
          <w:color w:val="00194C"/>
        </w:rPr>
        <w:t>The policy rationale given for allowing recovery of such small debts is that ‘higher levels of arrears would be difficult to repay’.</w:t>
      </w:r>
      <w:r w:rsidRPr="00DC6CAC">
        <w:rPr>
          <w:rStyle w:val="FootnoteReference"/>
          <w:color w:val="00194C"/>
        </w:rPr>
        <w:footnoteReference w:id="16"/>
      </w:r>
      <w:r w:rsidRPr="00DC6CAC">
        <w:rPr>
          <w:color w:val="00194C"/>
        </w:rPr>
        <w:t xml:space="preserve"> This seems to focus unnecessarily on </w:t>
      </w:r>
      <w:r w:rsidRPr="00DC6CAC">
        <w:rPr>
          <w:i/>
          <w:color w:val="00194C"/>
        </w:rPr>
        <w:t>repayment of arrears</w:t>
      </w:r>
      <w:r w:rsidRPr="00DC6CAC">
        <w:rPr>
          <w:color w:val="00194C"/>
        </w:rPr>
        <w:t xml:space="preserve">, rather than </w:t>
      </w:r>
      <w:r w:rsidRPr="00DC6CAC">
        <w:rPr>
          <w:i/>
          <w:color w:val="00194C"/>
        </w:rPr>
        <w:t xml:space="preserve">preventing eviction </w:t>
      </w:r>
      <w:r w:rsidRPr="00DC6CAC">
        <w:rPr>
          <w:color w:val="00194C"/>
        </w:rPr>
        <w:t xml:space="preserve">or </w:t>
      </w:r>
      <w:r w:rsidRPr="00DC6CAC">
        <w:rPr>
          <w:i/>
          <w:color w:val="00194C"/>
        </w:rPr>
        <w:t>alleviating housing stress</w:t>
      </w:r>
      <w:r w:rsidRPr="00DC6CAC">
        <w:rPr>
          <w:color w:val="00194C"/>
        </w:rPr>
        <w:t xml:space="preserve">. </w:t>
      </w:r>
      <w:r w:rsidRPr="00DC6CAC">
        <w:rPr>
          <w:b/>
          <w:color w:val="00194C"/>
        </w:rPr>
        <w:t xml:space="preserve">All that the </w:t>
      </w:r>
      <w:r w:rsidR="00A64EB5" w:rsidRPr="00DC6CAC">
        <w:rPr>
          <w:b/>
          <w:color w:val="00194C"/>
        </w:rPr>
        <w:t>HP</w:t>
      </w:r>
      <w:r w:rsidRPr="00DC6CAC">
        <w:rPr>
          <w:b/>
          <w:color w:val="00194C"/>
        </w:rPr>
        <w:t xml:space="preserve">DS may achieve is </w:t>
      </w:r>
      <w:r w:rsidRPr="00DC6CAC">
        <w:rPr>
          <w:b/>
          <w:i/>
          <w:color w:val="00194C"/>
        </w:rPr>
        <w:t xml:space="preserve">delay </w:t>
      </w:r>
      <w:r w:rsidRPr="00DC6CAC">
        <w:rPr>
          <w:b/>
          <w:color w:val="00194C"/>
        </w:rPr>
        <w:t xml:space="preserve">in eviction: </w:t>
      </w:r>
      <w:r w:rsidRPr="00DC6CAC">
        <w:rPr>
          <w:b/>
          <w:color w:val="00194C"/>
        </w:rPr>
        <w:lastRenderedPageBreak/>
        <w:t xml:space="preserve">as a result of ‘successful’ repayment of arrears at a rate of 35 per cent of a Centrelink payment, a tenant may not be able to find </w:t>
      </w:r>
      <w:r w:rsidRPr="00DC6CAC">
        <w:rPr>
          <w:b/>
          <w:i/>
          <w:color w:val="00194C"/>
        </w:rPr>
        <w:t>next</w:t>
      </w:r>
      <w:r w:rsidRPr="00DC6CAC">
        <w:rPr>
          <w:b/>
          <w:color w:val="00194C"/>
        </w:rPr>
        <w:t xml:space="preserve"> month’s rent.</w:t>
      </w:r>
      <w:r w:rsidRPr="00DC6CAC">
        <w:rPr>
          <w:color w:val="00194C"/>
        </w:rPr>
        <w:t xml:space="preserve"> </w:t>
      </w:r>
    </w:p>
    <w:p w:rsidR="00D75A43" w:rsidRPr="00DC6CAC" w:rsidRDefault="00AC572D" w:rsidP="00F34970">
      <w:pPr>
        <w:rPr>
          <w:color w:val="00194C"/>
        </w:rPr>
      </w:pPr>
      <w:r w:rsidRPr="00DC6CAC">
        <w:rPr>
          <w:color w:val="00194C"/>
        </w:rPr>
        <w:t xml:space="preserve">If the </w:t>
      </w:r>
      <w:r w:rsidRPr="00DC6CAC">
        <w:rPr>
          <w:b/>
          <w:color w:val="00194C"/>
        </w:rPr>
        <w:t>debt</w:t>
      </w:r>
      <w:r w:rsidRPr="00DC6CAC">
        <w:rPr>
          <w:color w:val="00194C"/>
        </w:rPr>
        <w:t xml:space="preserve"> is rent, it </w:t>
      </w:r>
      <w:r w:rsidRPr="00DC6CAC">
        <w:rPr>
          <w:b/>
          <w:color w:val="00194C"/>
        </w:rPr>
        <w:t xml:space="preserve">would be better expressed by reference to the number of weeks’ </w:t>
      </w:r>
      <w:r w:rsidR="006C17BE" w:rsidRPr="00DC6CAC">
        <w:rPr>
          <w:b/>
          <w:color w:val="00194C"/>
        </w:rPr>
        <w:t xml:space="preserve">rent </w:t>
      </w:r>
      <w:r w:rsidRPr="00DC6CAC">
        <w:rPr>
          <w:b/>
          <w:color w:val="00194C"/>
        </w:rPr>
        <w:t>owing</w:t>
      </w:r>
      <w:r w:rsidR="0000399A" w:rsidRPr="00DC6CAC">
        <w:rPr>
          <w:color w:val="00194C"/>
        </w:rPr>
        <w:t>, provided that the total debt is more than a specified amount (we would suggest at least $200)</w:t>
      </w:r>
      <w:r w:rsidR="00D75A43" w:rsidRPr="00DC6CAC">
        <w:rPr>
          <w:color w:val="00194C"/>
        </w:rPr>
        <w:t xml:space="preserve">. </w:t>
      </w:r>
      <w:proofErr w:type="gramStart"/>
      <w:r w:rsidR="00D75A43" w:rsidRPr="00DC6CAC">
        <w:rPr>
          <w:color w:val="00194C"/>
        </w:rPr>
        <w:t>T</w:t>
      </w:r>
      <w:r w:rsidRPr="00DC6CAC">
        <w:rPr>
          <w:color w:val="00194C"/>
        </w:rPr>
        <w:t xml:space="preserve">aking account of comparable periods </w:t>
      </w:r>
      <w:r w:rsidR="00D75A43" w:rsidRPr="00DC6CAC">
        <w:rPr>
          <w:color w:val="00194C"/>
        </w:rPr>
        <w:t xml:space="preserve">grounding eviction proceedings </w:t>
      </w:r>
      <w:r w:rsidRPr="00DC6CAC">
        <w:rPr>
          <w:color w:val="00194C"/>
        </w:rPr>
        <w:t>in state residential tenancy laws</w:t>
      </w:r>
      <w:r w:rsidR="00360EB8" w:rsidRPr="00DC6CAC">
        <w:rPr>
          <w:color w:val="00194C"/>
        </w:rPr>
        <w:t xml:space="preserve"> (which apply to public and private rentals)</w:t>
      </w:r>
      <w:r w:rsidRPr="00DC6CAC">
        <w:rPr>
          <w:color w:val="00194C"/>
        </w:rPr>
        <w:t xml:space="preserve">, permitting income diversion for a debt of less than two weeks’ rent amounts to </w:t>
      </w:r>
      <w:r w:rsidRPr="00DC6CAC">
        <w:rPr>
          <w:b/>
          <w:color w:val="00194C"/>
        </w:rPr>
        <w:t>unnecessary discrimination against public housing tenants</w:t>
      </w:r>
      <w:r w:rsidRPr="00DC6CAC">
        <w:rPr>
          <w:color w:val="00194C"/>
        </w:rPr>
        <w:t>.</w:t>
      </w:r>
      <w:proofErr w:type="gramEnd"/>
      <w:r w:rsidR="009270B8" w:rsidRPr="00DC6CAC">
        <w:rPr>
          <w:color w:val="00194C"/>
        </w:rPr>
        <w:t xml:space="preserve"> </w:t>
      </w:r>
    </w:p>
    <w:p w:rsidR="00AC572D" w:rsidRPr="00DC6CAC" w:rsidRDefault="00F34970" w:rsidP="00F34970">
      <w:pPr>
        <w:rPr>
          <w:color w:val="00194C"/>
        </w:rPr>
      </w:pPr>
      <w:r w:rsidRPr="00DC6CAC">
        <w:rPr>
          <w:color w:val="00194C"/>
        </w:rPr>
        <w:t>We note that a</w:t>
      </w:r>
      <w:r w:rsidR="00AC572D" w:rsidRPr="00DC6CAC">
        <w:rPr>
          <w:color w:val="00194C"/>
        </w:rPr>
        <w:t xml:space="preserve">mounts owing, including those other than rent under rule 4 of the ‘Minimum Amount Specification’, </w:t>
      </w:r>
      <w:r w:rsidR="006C17BE" w:rsidRPr="00DC6CAC">
        <w:rPr>
          <w:color w:val="00194C"/>
        </w:rPr>
        <w:t xml:space="preserve">would </w:t>
      </w:r>
      <w:r w:rsidR="00AC572D" w:rsidRPr="00DC6CAC">
        <w:rPr>
          <w:color w:val="00194C"/>
        </w:rPr>
        <w:t>need to be objectively ascertain</w:t>
      </w:r>
      <w:r w:rsidR="006C17BE" w:rsidRPr="00DC6CAC">
        <w:rPr>
          <w:color w:val="00194C"/>
        </w:rPr>
        <w:t>ed (eg by a tribunal) – a debt could not be established simply based on a lessor’s assertion.</w:t>
      </w:r>
    </w:p>
    <w:p w:rsidR="00F57BF3" w:rsidRPr="00DC6CAC" w:rsidRDefault="0004121F" w:rsidP="00B20F9D">
      <w:pPr>
        <w:rPr>
          <w:b/>
          <w:smallCaps/>
          <w:color w:val="00194C"/>
          <w:sz w:val="20"/>
          <w:szCs w:val="20"/>
        </w:rPr>
      </w:pPr>
      <w:r w:rsidRPr="00DC6CAC">
        <w:rPr>
          <w:b/>
          <w:smallCaps/>
          <w:color w:val="00194C"/>
          <w:sz w:val="20"/>
          <w:szCs w:val="20"/>
        </w:rPr>
        <w:t>The d</w:t>
      </w:r>
      <w:r w:rsidR="00F57BF3" w:rsidRPr="00DC6CAC">
        <w:rPr>
          <w:b/>
          <w:smallCaps/>
          <w:color w:val="00194C"/>
          <w:sz w:val="20"/>
          <w:szCs w:val="20"/>
        </w:rPr>
        <w:t>efinition of ‘risk’ of future rent default</w:t>
      </w:r>
      <w:r w:rsidR="00EA6802" w:rsidRPr="00DC6CAC">
        <w:rPr>
          <w:b/>
          <w:smallCaps/>
          <w:color w:val="00194C"/>
          <w:sz w:val="20"/>
          <w:szCs w:val="20"/>
        </w:rPr>
        <w:t xml:space="preserve"> is </w:t>
      </w:r>
      <w:r w:rsidR="00750383" w:rsidRPr="00DC6CAC">
        <w:rPr>
          <w:b/>
          <w:smallCaps/>
          <w:color w:val="00194C"/>
          <w:sz w:val="20"/>
          <w:szCs w:val="20"/>
        </w:rPr>
        <w:t>punitive</w:t>
      </w:r>
      <w:r w:rsidR="00EA6802" w:rsidRPr="00DC6CAC">
        <w:rPr>
          <w:b/>
          <w:smallCaps/>
          <w:color w:val="00194C"/>
          <w:sz w:val="20"/>
          <w:szCs w:val="20"/>
        </w:rPr>
        <w:t xml:space="preserve"> and</w:t>
      </w:r>
      <w:r w:rsidRPr="00DC6CAC">
        <w:rPr>
          <w:b/>
          <w:smallCaps/>
          <w:color w:val="00194C"/>
          <w:sz w:val="20"/>
          <w:szCs w:val="20"/>
        </w:rPr>
        <w:t xml:space="preserve"> </w:t>
      </w:r>
      <w:r w:rsidR="00750383" w:rsidRPr="00DC6CAC">
        <w:rPr>
          <w:b/>
          <w:smallCaps/>
          <w:color w:val="00194C"/>
          <w:sz w:val="20"/>
          <w:szCs w:val="20"/>
        </w:rPr>
        <w:t>discriminates against public tenants</w:t>
      </w:r>
    </w:p>
    <w:p w:rsidR="005574C8" w:rsidRPr="00DC6CAC" w:rsidRDefault="00091442" w:rsidP="00B20F9D">
      <w:pPr>
        <w:rPr>
          <w:b/>
          <w:color w:val="00194C"/>
        </w:rPr>
      </w:pPr>
      <w:r w:rsidRPr="00DC6CAC">
        <w:rPr>
          <w:b/>
          <w:color w:val="00194C"/>
        </w:rPr>
        <w:t>The d</w:t>
      </w:r>
      <w:r w:rsidR="00741320" w:rsidRPr="00DC6CAC">
        <w:rPr>
          <w:b/>
          <w:color w:val="00194C"/>
        </w:rPr>
        <w:t xml:space="preserve">efinition of </w:t>
      </w:r>
      <w:r w:rsidR="005B0A35" w:rsidRPr="00DC6CAC">
        <w:rPr>
          <w:b/>
          <w:color w:val="00194C"/>
        </w:rPr>
        <w:t>‘</w:t>
      </w:r>
      <w:r w:rsidR="00741320" w:rsidRPr="00DC6CAC">
        <w:rPr>
          <w:b/>
          <w:color w:val="00194C"/>
        </w:rPr>
        <w:t xml:space="preserve">risk </w:t>
      </w:r>
      <w:r w:rsidR="005B0A35" w:rsidRPr="00DC6CAC">
        <w:rPr>
          <w:b/>
          <w:color w:val="00194C"/>
        </w:rPr>
        <w:t xml:space="preserve">of non-payment of amounts’ </w:t>
      </w:r>
      <w:r w:rsidR="009C6CD3" w:rsidRPr="00DC6CAC">
        <w:rPr>
          <w:b/>
          <w:color w:val="00194C"/>
        </w:rPr>
        <w:t xml:space="preserve">for the purposes of </w:t>
      </w:r>
      <w:r w:rsidR="007D32CE" w:rsidRPr="00DC6CAC">
        <w:rPr>
          <w:b/>
          <w:color w:val="00194C"/>
        </w:rPr>
        <w:t>s</w:t>
      </w:r>
      <w:r w:rsidR="00D75687" w:rsidRPr="00DC6CAC">
        <w:rPr>
          <w:b/>
          <w:color w:val="00194C"/>
        </w:rPr>
        <w:t xml:space="preserve"> 5(1)(b)</w:t>
      </w:r>
      <w:r w:rsidRPr="00DC6CAC">
        <w:rPr>
          <w:b/>
          <w:color w:val="00194C"/>
        </w:rPr>
        <w:t xml:space="preserve"> </w:t>
      </w:r>
      <w:r w:rsidR="009C6CD3" w:rsidRPr="00DC6CAC">
        <w:rPr>
          <w:b/>
          <w:color w:val="00194C"/>
        </w:rPr>
        <w:t xml:space="preserve">of proposed Schedule 6 </w:t>
      </w:r>
      <w:r w:rsidRPr="00DC6CAC">
        <w:rPr>
          <w:b/>
          <w:color w:val="00194C"/>
        </w:rPr>
        <w:t xml:space="preserve">should be modified </w:t>
      </w:r>
      <w:r w:rsidR="008A382F" w:rsidRPr="00DC6CAC">
        <w:rPr>
          <w:b/>
          <w:color w:val="00194C"/>
        </w:rPr>
        <w:t>to avoid unnecessarily harsh impacts</w:t>
      </w:r>
      <w:r w:rsidRPr="00DC6CAC">
        <w:rPr>
          <w:b/>
          <w:color w:val="00194C"/>
        </w:rPr>
        <w:t xml:space="preserve"> on tenants who have overcome past defaults or substantially met their </w:t>
      </w:r>
      <w:r w:rsidR="008C4674" w:rsidRPr="00DC6CAC">
        <w:rPr>
          <w:b/>
          <w:color w:val="00194C"/>
        </w:rPr>
        <w:t xml:space="preserve">present </w:t>
      </w:r>
      <w:r w:rsidRPr="00DC6CAC">
        <w:rPr>
          <w:b/>
          <w:color w:val="00194C"/>
        </w:rPr>
        <w:t>tenancy obligations</w:t>
      </w:r>
      <w:r w:rsidR="005B0A35" w:rsidRPr="00DC6CAC">
        <w:rPr>
          <w:b/>
          <w:color w:val="00194C"/>
        </w:rPr>
        <w:t>:</w:t>
      </w:r>
    </w:p>
    <w:p w:rsidR="00801EC6" w:rsidRPr="00DC6CAC" w:rsidRDefault="00741320" w:rsidP="009A4EE3">
      <w:pPr>
        <w:pStyle w:val="ListParagraph"/>
        <w:numPr>
          <w:ilvl w:val="0"/>
          <w:numId w:val="4"/>
        </w:numPr>
        <w:rPr>
          <w:color w:val="00194C"/>
        </w:rPr>
      </w:pPr>
      <w:r w:rsidRPr="00DC6CAC">
        <w:rPr>
          <w:b/>
          <w:color w:val="00194C"/>
        </w:rPr>
        <w:t>Risk based on past rent default</w:t>
      </w:r>
      <w:r w:rsidRPr="00DC6CAC">
        <w:rPr>
          <w:color w:val="00194C"/>
        </w:rPr>
        <w:t xml:space="preserve"> under proposed rule 4(2)</w:t>
      </w:r>
      <w:r w:rsidRPr="00DC6CAC">
        <w:rPr>
          <w:b/>
          <w:color w:val="00194C"/>
        </w:rPr>
        <w:t xml:space="preserve"> should be subject to a </w:t>
      </w:r>
      <w:r w:rsidR="00F83ACE" w:rsidRPr="00DC6CAC">
        <w:rPr>
          <w:b/>
          <w:i/>
          <w:color w:val="00194C"/>
        </w:rPr>
        <w:t>retrospective</w:t>
      </w:r>
      <w:r w:rsidR="00F83ACE" w:rsidRPr="00DC6CAC">
        <w:rPr>
          <w:b/>
          <w:color w:val="00194C"/>
        </w:rPr>
        <w:t xml:space="preserve"> </w:t>
      </w:r>
      <w:r w:rsidRPr="00DC6CAC">
        <w:rPr>
          <w:b/>
          <w:color w:val="00194C"/>
        </w:rPr>
        <w:t>time limit</w:t>
      </w:r>
      <w:r w:rsidRPr="00DC6CAC">
        <w:rPr>
          <w:color w:val="00194C"/>
        </w:rPr>
        <w:t xml:space="preserve"> </w:t>
      </w:r>
      <w:r w:rsidR="00F83ACE" w:rsidRPr="00DC6CAC">
        <w:rPr>
          <w:color w:val="00194C"/>
        </w:rPr>
        <w:t xml:space="preserve">as well as </w:t>
      </w:r>
      <w:r w:rsidR="00801EC6" w:rsidRPr="00DC6CAC">
        <w:rPr>
          <w:color w:val="00194C"/>
        </w:rPr>
        <w:t>the prospective one mentioned above</w:t>
      </w:r>
      <w:r w:rsidR="00187E49" w:rsidRPr="00DC6CAC">
        <w:rPr>
          <w:color w:val="00194C"/>
        </w:rPr>
        <w:t>:</w:t>
      </w:r>
    </w:p>
    <w:p w:rsidR="00801EC6" w:rsidRPr="00DC6CAC" w:rsidRDefault="00741320" w:rsidP="00801EC6">
      <w:pPr>
        <w:pStyle w:val="ListParagraph"/>
        <w:numPr>
          <w:ilvl w:val="1"/>
          <w:numId w:val="4"/>
        </w:numPr>
        <w:rPr>
          <w:color w:val="00194C"/>
        </w:rPr>
      </w:pPr>
      <w:proofErr w:type="gramStart"/>
      <w:r w:rsidRPr="00DC6CAC">
        <w:rPr>
          <w:color w:val="00194C"/>
        </w:rPr>
        <w:t>eg</w:t>
      </w:r>
      <w:proofErr w:type="gramEnd"/>
      <w:r w:rsidRPr="00DC6CAC">
        <w:rPr>
          <w:color w:val="00194C"/>
        </w:rPr>
        <w:t xml:space="preserve"> </w:t>
      </w:r>
      <w:r w:rsidR="00D75687" w:rsidRPr="00DC6CAC">
        <w:rPr>
          <w:color w:val="00194C"/>
        </w:rPr>
        <w:t>it should be defined as arising in relation to</w:t>
      </w:r>
      <w:r w:rsidRPr="00DC6CAC">
        <w:rPr>
          <w:color w:val="00194C"/>
        </w:rPr>
        <w:t xml:space="preserve"> a person </w:t>
      </w:r>
      <w:r w:rsidR="00D75687" w:rsidRPr="00DC6CAC">
        <w:rPr>
          <w:color w:val="00194C"/>
        </w:rPr>
        <w:t xml:space="preserve">who </w:t>
      </w:r>
      <w:r w:rsidRPr="00DC6CAC">
        <w:rPr>
          <w:color w:val="00194C"/>
        </w:rPr>
        <w:t xml:space="preserve">has, </w:t>
      </w:r>
      <w:r w:rsidRPr="00DC6CAC">
        <w:rPr>
          <w:b/>
          <w:color w:val="00194C"/>
        </w:rPr>
        <w:t>within</w:t>
      </w:r>
      <w:r w:rsidR="00233ACD" w:rsidRPr="00DC6CAC">
        <w:rPr>
          <w:b/>
          <w:color w:val="00194C"/>
        </w:rPr>
        <w:t xml:space="preserve"> the previous </w:t>
      </w:r>
      <w:r w:rsidRPr="00DC6CAC">
        <w:rPr>
          <w:b/>
          <w:color w:val="00194C"/>
        </w:rPr>
        <w:t>year</w:t>
      </w:r>
      <w:r w:rsidR="00233ACD" w:rsidRPr="00DC6CAC">
        <w:rPr>
          <w:color w:val="00194C"/>
        </w:rPr>
        <w:t>,</w:t>
      </w:r>
      <w:r w:rsidRPr="00DC6CAC">
        <w:rPr>
          <w:color w:val="00194C"/>
        </w:rPr>
        <w:t xml:space="preserve"> been evicted </w:t>
      </w:r>
      <w:r w:rsidR="00397951" w:rsidRPr="00DC6CAC">
        <w:rPr>
          <w:color w:val="00194C"/>
        </w:rPr>
        <w:t xml:space="preserve">etc </w:t>
      </w:r>
      <w:r w:rsidRPr="00DC6CAC">
        <w:rPr>
          <w:color w:val="00194C"/>
        </w:rPr>
        <w:t>for non-payment of rent.</w:t>
      </w:r>
      <w:r w:rsidR="0019672D" w:rsidRPr="00DC6CAC">
        <w:rPr>
          <w:color w:val="00194C"/>
        </w:rPr>
        <w:t xml:space="preserve"> </w:t>
      </w:r>
    </w:p>
    <w:p w:rsidR="00741320" w:rsidRPr="00DC6CAC" w:rsidRDefault="0019672D" w:rsidP="00801EC6">
      <w:pPr>
        <w:pStyle w:val="ListParagraph"/>
        <w:numPr>
          <w:ilvl w:val="1"/>
          <w:numId w:val="4"/>
        </w:numPr>
        <w:rPr>
          <w:color w:val="00194C"/>
        </w:rPr>
      </w:pPr>
      <w:r w:rsidRPr="00DC6CAC">
        <w:rPr>
          <w:color w:val="00194C"/>
        </w:rPr>
        <w:t xml:space="preserve">There </w:t>
      </w:r>
      <w:r w:rsidR="00233ACD" w:rsidRPr="00DC6CAC">
        <w:rPr>
          <w:color w:val="00194C"/>
        </w:rPr>
        <w:t>is a</w:t>
      </w:r>
      <w:r w:rsidRPr="00DC6CAC">
        <w:rPr>
          <w:color w:val="00194C"/>
        </w:rPr>
        <w:t xml:space="preserve"> case for </w:t>
      </w:r>
      <w:r w:rsidR="00FB4C9E" w:rsidRPr="00DC6CAC">
        <w:rPr>
          <w:color w:val="00194C"/>
        </w:rPr>
        <w:t>limiting scrutiny to an</w:t>
      </w:r>
      <w:r w:rsidR="009A4EE3" w:rsidRPr="00DC6CAC">
        <w:rPr>
          <w:color w:val="00194C"/>
        </w:rPr>
        <w:t xml:space="preserve"> even</w:t>
      </w:r>
      <w:r w:rsidRPr="00DC6CAC">
        <w:rPr>
          <w:color w:val="00194C"/>
        </w:rPr>
        <w:t xml:space="preserve"> shorter time period where a </w:t>
      </w:r>
      <w:r w:rsidR="0047342F" w:rsidRPr="00DC6CAC">
        <w:rPr>
          <w:color w:val="00194C"/>
        </w:rPr>
        <w:t xml:space="preserve">prior </w:t>
      </w:r>
      <w:r w:rsidRPr="00DC6CAC">
        <w:rPr>
          <w:color w:val="00194C"/>
        </w:rPr>
        <w:t xml:space="preserve">lease </w:t>
      </w:r>
      <w:r w:rsidR="009F7642" w:rsidRPr="00DC6CAC">
        <w:rPr>
          <w:color w:val="00194C"/>
        </w:rPr>
        <w:t xml:space="preserve">has been abandoned or </w:t>
      </w:r>
      <w:r w:rsidRPr="00DC6CAC">
        <w:rPr>
          <w:color w:val="00194C"/>
        </w:rPr>
        <w:t>hasn’t been renewed because</w:t>
      </w:r>
      <w:r w:rsidR="009F7642" w:rsidRPr="00DC6CAC">
        <w:rPr>
          <w:color w:val="00194C"/>
        </w:rPr>
        <w:t xml:space="preserve"> of rent default</w:t>
      </w:r>
      <w:r w:rsidR="00444E7D" w:rsidRPr="00DC6CAC">
        <w:rPr>
          <w:color w:val="00194C"/>
        </w:rPr>
        <w:t>. Sometimes women ‘abandon’ rented housing</w:t>
      </w:r>
      <w:r w:rsidR="00FB4C9E" w:rsidRPr="00DC6CAC">
        <w:rPr>
          <w:color w:val="00194C"/>
        </w:rPr>
        <w:t xml:space="preserve"> involuntarily</w:t>
      </w:r>
      <w:r w:rsidR="0047342F" w:rsidRPr="00DC6CAC">
        <w:rPr>
          <w:color w:val="00194C"/>
        </w:rPr>
        <w:t xml:space="preserve"> to </w:t>
      </w:r>
      <w:r w:rsidR="00E27BA1" w:rsidRPr="00DC6CAC">
        <w:rPr>
          <w:color w:val="00194C"/>
        </w:rPr>
        <w:t>escape partner or family</w:t>
      </w:r>
      <w:r w:rsidR="0047342F" w:rsidRPr="00DC6CAC">
        <w:rPr>
          <w:color w:val="00194C"/>
        </w:rPr>
        <w:t xml:space="preserve"> violence.</w:t>
      </w:r>
    </w:p>
    <w:p w:rsidR="004A03C0" w:rsidRPr="00DC6CAC" w:rsidRDefault="00D75687" w:rsidP="009A4EE3">
      <w:pPr>
        <w:pStyle w:val="ListParagraph"/>
        <w:numPr>
          <w:ilvl w:val="0"/>
          <w:numId w:val="4"/>
        </w:numPr>
        <w:rPr>
          <w:color w:val="00194C"/>
        </w:rPr>
      </w:pPr>
      <w:r w:rsidRPr="00DC6CAC">
        <w:rPr>
          <w:b/>
          <w:color w:val="00194C"/>
        </w:rPr>
        <w:t>P</w:t>
      </w:r>
      <w:r w:rsidR="004A03C0" w:rsidRPr="00DC6CAC">
        <w:rPr>
          <w:b/>
          <w:color w:val="00194C"/>
        </w:rPr>
        <w:t xml:space="preserve">roposed rule 4(3) </w:t>
      </w:r>
      <w:r w:rsidR="004A03C0" w:rsidRPr="00DC6CAC">
        <w:rPr>
          <w:color w:val="00194C"/>
        </w:rPr>
        <w:t>is unjustifiably harsh</w:t>
      </w:r>
      <w:r w:rsidRPr="00DC6CAC">
        <w:rPr>
          <w:color w:val="00194C"/>
        </w:rPr>
        <w:t xml:space="preserve">: it </w:t>
      </w:r>
      <w:r w:rsidR="00447240" w:rsidRPr="00DC6CAC">
        <w:rPr>
          <w:color w:val="00194C"/>
        </w:rPr>
        <w:t xml:space="preserve">allows a lessor to initiate benefit diversion where a lessee has </w:t>
      </w:r>
      <w:r w:rsidR="008C4674" w:rsidRPr="00DC6CAC">
        <w:rPr>
          <w:color w:val="00194C"/>
        </w:rPr>
        <w:t xml:space="preserve">underpaid </w:t>
      </w:r>
      <w:r w:rsidR="00235EA5" w:rsidRPr="00DC6CAC">
        <w:rPr>
          <w:color w:val="00194C"/>
        </w:rPr>
        <w:t>rent</w:t>
      </w:r>
      <w:r w:rsidR="008C4674" w:rsidRPr="00DC6CAC">
        <w:rPr>
          <w:color w:val="00194C"/>
        </w:rPr>
        <w:t xml:space="preserve"> on his or her present tenancy</w:t>
      </w:r>
      <w:r w:rsidR="00235EA5" w:rsidRPr="00DC6CAC">
        <w:rPr>
          <w:color w:val="00194C"/>
        </w:rPr>
        <w:t xml:space="preserve">, </w:t>
      </w:r>
      <w:r w:rsidR="005B0A35" w:rsidRPr="00DC6CAC">
        <w:rPr>
          <w:color w:val="00194C"/>
        </w:rPr>
        <w:t>and/</w:t>
      </w:r>
      <w:r w:rsidR="00235EA5" w:rsidRPr="00DC6CAC">
        <w:rPr>
          <w:color w:val="00194C"/>
        </w:rPr>
        <w:t xml:space="preserve">or </w:t>
      </w:r>
      <w:r w:rsidR="00447240" w:rsidRPr="00DC6CAC">
        <w:rPr>
          <w:color w:val="00194C"/>
        </w:rPr>
        <w:t xml:space="preserve">paid </w:t>
      </w:r>
      <w:r w:rsidR="00235EA5" w:rsidRPr="00DC6CAC">
        <w:rPr>
          <w:color w:val="00194C"/>
        </w:rPr>
        <w:t>it</w:t>
      </w:r>
      <w:r w:rsidR="00447240" w:rsidRPr="00DC6CAC">
        <w:rPr>
          <w:color w:val="00194C"/>
        </w:rPr>
        <w:t xml:space="preserve"> 8 or more days late</w:t>
      </w:r>
      <w:r w:rsidR="00235EA5" w:rsidRPr="00DC6CAC">
        <w:rPr>
          <w:color w:val="00194C"/>
        </w:rPr>
        <w:t>,</w:t>
      </w:r>
      <w:r w:rsidR="005B0A35" w:rsidRPr="00DC6CAC">
        <w:rPr>
          <w:color w:val="00194C"/>
        </w:rPr>
        <w:t xml:space="preserve"> on three occasions during</w:t>
      </w:r>
      <w:r w:rsidR="00235EA5" w:rsidRPr="00DC6CAC">
        <w:rPr>
          <w:color w:val="00194C"/>
        </w:rPr>
        <w:t xml:space="preserve"> the past year. </w:t>
      </w:r>
    </w:p>
    <w:p w:rsidR="004A03C0" w:rsidRPr="00DC6CAC" w:rsidRDefault="00235EA5" w:rsidP="004A03C0">
      <w:pPr>
        <w:pStyle w:val="ListParagraph"/>
        <w:numPr>
          <w:ilvl w:val="1"/>
          <w:numId w:val="4"/>
        </w:numPr>
        <w:rPr>
          <w:color w:val="00194C"/>
        </w:rPr>
      </w:pPr>
      <w:r w:rsidRPr="00DC6CAC">
        <w:rPr>
          <w:color w:val="00194C"/>
        </w:rPr>
        <w:t xml:space="preserve">At the very least, </w:t>
      </w:r>
      <w:r w:rsidR="007A4803" w:rsidRPr="00DC6CAC">
        <w:rPr>
          <w:b/>
          <w:color w:val="00194C"/>
        </w:rPr>
        <w:t xml:space="preserve">paragraph </w:t>
      </w:r>
      <w:r w:rsidRPr="00DC6CAC">
        <w:rPr>
          <w:b/>
          <w:color w:val="00194C"/>
        </w:rPr>
        <w:t xml:space="preserve">(b) should be modified so that risk is deemed to arise only where underpayments have been significant (eg less than 75% of the </w:t>
      </w:r>
      <w:r w:rsidR="007A32A4" w:rsidRPr="00DC6CAC">
        <w:rPr>
          <w:b/>
          <w:color w:val="00194C"/>
        </w:rPr>
        <w:t>rent</w:t>
      </w:r>
      <w:r w:rsidRPr="00DC6CAC">
        <w:rPr>
          <w:b/>
          <w:color w:val="00194C"/>
        </w:rPr>
        <w:t>)</w:t>
      </w:r>
      <w:r w:rsidR="00D64F0D" w:rsidRPr="00DC6CAC">
        <w:rPr>
          <w:b/>
          <w:color w:val="00194C"/>
        </w:rPr>
        <w:t xml:space="preserve"> </w:t>
      </w:r>
      <w:r w:rsidR="00D64F0D" w:rsidRPr="00DC6CAC">
        <w:rPr>
          <w:b/>
          <w:i/>
          <w:color w:val="00194C"/>
        </w:rPr>
        <w:t>and</w:t>
      </w:r>
      <w:r w:rsidR="00D64F0D" w:rsidRPr="00DC6CAC">
        <w:rPr>
          <w:b/>
          <w:color w:val="00194C"/>
        </w:rPr>
        <w:t xml:space="preserve"> not subsequently </w:t>
      </w:r>
      <w:r w:rsidR="00D41BDD" w:rsidRPr="00DC6CAC">
        <w:rPr>
          <w:color w:val="00194C"/>
        </w:rPr>
        <w:t>(perhaps</w:t>
      </w:r>
      <w:r w:rsidR="008D2D43" w:rsidRPr="00DC6CAC">
        <w:rPr>
          <w:color w:val="00194C"/>
        </w:rPr>
        <w:t xml:space="preserve"> within a </w:t>
      </w:r>
      <w:r w:rsidR="00D41BDD" w:rsidRPr="00DC6CAC">
        <w:rPr>
          <w:color w:val="00194C"/>
        </w:rPr>
        <w:t>reasonable timeframe</w:t>
      </w:r>
      <w:r w:rsidR="008D2D43" w:rsidRPr="00DC6CAC">
        <w:rPr>
          <w:color w:val="00194C"/>
        </w:rPr>
        <w:t>)</w:t>
      </w:r>
      <w:r w:rsidR="00D41BDD" w:rsidRPr="00DC6CAC">
        <w:rPr>
          <w:b/>
          <w:color w:val="00194C"/>
        </w:rPr>
        <w:t xml:space="preserve"> remediated</w:t>
      </w:r>
      <w:r w:rsidR="00C57120" w:rsidRPr="00DC6CAC">
        <w:rPr>
          <w:b/>
          <w:color w:val="00194C"/>
        </w:rPr>
        <w:t>;</w:t>
      </w:r>
    </w:p>
    <w:p w:rsidR="00C57120" w:rsidRPr="00DC6CAC" w:rsidRDefault="007A4803" w:rsidP="00487DD9">
      <w:pPr>
        <w:pStyle w:val="ListParagraph"/>
        <w:numPr>
          <w:ilvl w:val="1"/>
          <w:numId w:val="4"/>
        </w:numPr>
        <w:rPr>
          <w:color w:val="00194C"/>
        </w:rPr>
      </w:pPr>
      <w:r w:rsidRPr="00DC6CAC">
        <w:rPr>
          <w:color w:val="00194C"/>
        </w:rPr>
        <w:t xml:space="preserve">For the purposes of </w:t>
      </w:r>
      <w:r w:rsidRPr="00DC6CAC">
        <w:rPr>
          <w:b/>
          <w:color w:val="00194C"/>
        </w:rPr>
        <w:t>paragraph (a)</w:t>
      </w:r>
      <w:r w:rsidRPr="00DC6CAC">
        <w:rPr>
          <w:color w:val="00194C"/>
        </w:rPr>
        <w:t xml:space="preserve">, </w:t>
      </w:r>
      <w:r w:rsidR="0059679D" w:rsidRPr="00DC6CAC">
        <w:rPr>
          <w:b/>
          <w:color w:val="00194C"/>
        </w:rPr>
        <w:t xml:space="preserve">being </w:t>
      </w:r>
      <w:r w:rsidRPr="00DC6CAC">
        <w:rPr>
          <w:b/>
          <w:color w:val="00194C"/>
        </w:rPr>
        <w:t xml:space="preserve">a fortnight </w:t>
      </w:r>
      <w:r w:rsidR="008C4674" w:rsidRPr="00DC6CAC">
        <w:rPr>
          <w:b/>
          <w:color w:val="00194C"/>
        </w:rPr>
        <w:t xml:space="preserve">late </w:t>
      </w:r>
      <w:r w:rsidR="007A32A4" w:rsidRPr="00DC6CAC">
        <w:rPr>
          <w:b/>
          <w:color w:val="00194C"/>
        </w:rPr>
        <w:t xml:space="preserve">on </w:t>
      </w:r>
      <w:r w:rsidR="007A32A4" w:rsidRPr="00DC6CAC">
        <w:rPr>
          <w:color w:val="00194C"/>
        </w:rPr>
        <w:t>three prior occasions</w:t>
      </w:r>
      <w:r w:rsidR="008C4674" w:rsidRPr="00DC6CAC">
        <w:rPr>
          <w:color w:val="00194C"/>
        </w:rPr>
        <w:t xml:space="preserve"> </w:t>
      </w:r>
      <w:r w:rsidRPr="00DC6CAC">
        <w:rPr>
          <w:b/>
          <w:color w:val="00194C"/>
        </w:rPr>
        <w:t xml:space="preserve">would be </w:t>
      </w:r>
      <w:r w:rsidR="000F5B76" w:rsidRPr="00DC6CAC">
        <w:rPr>
          <w:b/>
          <w:color w:val="00194C"/>
        </w:rPr>
        <w:t xml:space="preserve">a </w:t>
      </w:r>
      <w:r w:rsidRPr="00DC6CAC">
        <w:rPr>
          <w:b/>
          <w:color w:val="00194C"/>
        </w:rPr>
        <w:t>more reasonable</w:t>
      </w:r>
      <w:r w:rsidR="000F5B76" w:rsidRPr="00DC6CAC">
        <w:rPr>
          <w:b/>
          <w:color w:val="00194C"/>
        </w:rPr>
        <w:t xml:space="preserve"> precondition</w:t>
      </w:r>
      <w:r w:rsidR="00C57120" w:rsidRPr="00DC6CAC">
        <w:rPr>
          <w:b/>
          <w:color w:val="00194C"/>
        </w:rPr>
        <w:t>.</w:t>
      </w:r>
      <w:r w:rsidR="00127C6B" w:rsidRPr="00DC6CAC">
        <w:rPr>
          <w:color w:val="00194C"/>
        </w:rPr>
        <w:t xml:space="preserve"> </w:t>
      </w:r>
      <w:r w:rsidR="00C57120" w:rsidRPr="00DC6CAC">
        <w:rPr>
          <w:color w:val="00194C"/>
        </w:rPr>
        <w:t xml:space="preserve">Anyone, particularly someone on Newstart Allowance, can be a week late with the rent, and people on low incomes who don’t repeat these mistakes deserve another chance. </w:t>
      </w:r>
      <w:r w:rsidR="000F5B76" w:rsidRPr="00DC6CAC">
        <w:rPr>
          <w:color w:val="00194C"/>
        </w:rPr>
        <w:t>P</w:t>
      </w:r>
      <w:r w:rsidR="00D64F0D" w:rsidRPr="00DC6CAC">
        <w:rPr>
          <w:color w:val="00194C"/>
        </w:rPr>
        <w:t xml:space="preserve">ast tenant breaches that have been remediated within a reasonable time should </w:t>
      </w:r>
      <w:r w:rsidR="000F5B76" w:rsidRPr="00DC6CAC">
        <w:rPr>
          <w:color w:val="00194C"/>
        </w:rPr>
        <w:t xml:space="preserve">also </w:t>
      </w:r>
      <w:r w:rsidR="00D64F0D" w:rsidRPr="00DC6CAC">
        <w:rPr>
          <w:color w:val="00194C"/>
        </w:rPr>
        <w:t>be overlooked</w:t>
      </w:r>
      <w:r w:rsidR="00127C6B" w:rsidRPr="00DC6CAC">
        <w:rPr>
          <w:color w:val="00194C"/>
        </w:rPr>
        <w:t>.</w:t>
      </w:r>
      <w:r w:rsidR="007A32A4" w:rsidRPr="00DC6CAC">
        <w:rPr>
          <w:color w:val="00194C"/>
        </w:rPr>
        <w:t xml:space="preserve"> </w:t>
      </w:r>
    </w:p>
    <w:p w:rsidR="007E77FE" w:rsidRPr="00DC6CAC" w:rsidRDefault="00C57120" w:rsidP="008273E6">
      <w:pPr>
        <w:rPr>
          <w:color w:val="00194C"/>
        </w:rPr>
      </w:pPr>
      <w:r w:rsidRPr="00DC6CAC">
        <w:rPr>
          <w:color w:val="00194C"/>
        </w:rPr>
        <w:t xml:space="preserve">These changes would bring the trigger for payment diversion into line with that for commencement of ‘eviction for non-payment of rent’ proceedings under state residential tenancy laws. </w:t>
      </w:r>
    </w:p>
    <w:p w:rsidR="00487DD9" w:rsidRPr="00DC6CAC" w:rsidRDefault="00487DD9" w:rsidP="00487DD9">
      <w:pPr>
        <w:rPr>
          <w:b/>
          <w:smallCaps/>
          <w:color w:val="00194C"/>
          <w:sz w:val="20"/>
          <w:szCs w:val="20"/>
        </w:rPr>
      </w:pPr>
      <w:r w:rsidRPr="00DC6CAC">
        <w:rPr>
          <w:b/>
          <w:smallCaps/>
          <w:color w:val="00194C"/>
          <w:sz w:val="20"/>
          <w:szCs w:val="20"/>
        </w:rPr>
        <w:t>Definition of ‘public housing lessor’</w:t>
      </w:r>
    </w:p>
    <w:p w:rsidR="007E77FE" w:rsidRPr="00DC6CAC" w:rsidRDefault="008B6BD1" w:rsidP="00487DD9">
      <w:pPr>
        <w:rPr>
          <w:color w:val="00194C"/>
        </w:rPr>
      </w:pPr>
      <w:r w:rsidRPr="00DC6CAC">
        <w:rPr>
          <w:color w:val="00194C"/>
        </w:rPr>
        <w:t xml:space="preserve">The proposed </w:t>
      </w:r>
      <w:r w:rsidRPr="00DC6CAC">
        <w:rPr>
          <w:b/>
          <w:color w:val="00194C"/>
        </w:rPr>
        <w:t>definition of ‘p</w:t>
      </w:r>
      <w:r w:rsidR="009C6CD3" w:rsidRPr="00DC6CAC">
        <w:rPr>
          <w:b/>
          <w:color w:val="00194C"/>
        </w:rPr>
        <w:t xml:space="preserve">ublic housing lessor’ in </w:t>
      </w:r>
      <w:r w:rsidR="007D32CE" w:rsidRPr="00DC6CAC">
        <w:rPr>
          <w:b/>
          <w:color w:val="00194C"/>
        </w:rPr>
        <w:t xml:space="preserve">s </w:t>
      </w:r>
      <w:r w:rsidRPr="00DC6CAC">
        <w:rPr>
          <w:b/>
          <w:color w:val="00194C"/>
        </w:rPr>
        <w:t xml:space="preserve">3 </w:t>
      </w:r>
      <w:r w:rsidR="009C6CD3" w:rsidRPr="00DC6CAC">
        <w:rPr>
          <w:b/>
          <w:color w:val="00194C"/>
        </w:rPr>
        <w:t xml:space="preserve">of proposed Schedule 6 </w:t>
      </w:r>
      <w:r w:rsidRPr="00DC6CAC">
        <w:rPr>
          <w:b/>
          <w:color w:val="00194C"/>
        </w:rPr>
        <w:t>contemplates ‘any person’</w:t>
      </w:r>
      <w:r w:rsidR="00427942" w:rsidRPr="00DC6CAC">
        <w:rPr>
          <w:color w:val="00194C"/>
        </w:rPr>
        <w:t xml:space="preserve"> being so specified. While the Minister’s power to specify who is and isn’t such a lessor</w:t>
      </w:r>
      <w:r w:rsidR="00AF62AD" w:rsidRPr="00DC6CAC">
        <w:rPr>
          <w:color w:val="00194C"/>
        </w:rPr>
        <w:t xml:space="preserve"> will</w:t>
      </w:r>
      <w:r w:rsidRPr="00DC6CAC">
        <w:rPr>
          <w:color w:val="00194C"/>
        </w:rPr>
        <w:t xml:space="preserve"> be constrained by the ‘objects’ clause in </w:t>
      </w:r>
      <w:r w:rsidR="007D32CE" w:rsidRPr="00DC6CAC">
        <w:rPr>
          <w:color w:val="00194C"/>
        </w:rPr>
        <w:t>s</w:t>
      </w:r>
      <w:r w:rsidR="00427942" w:rsidRPr="00DC6CAC">
        <w:rPr>
          <w:color w:val="00194C"/>
        </w:rPr>
        <w:t xml:space="preserve"> 1 (which refers to public housing), Schedule 1 of the </w:t>
      </w:r>
      <w:r w:rsidR="00427942" w:rsidRPr="00DC6CAC">
        <w:rPr>
          <w:i/>
          <w:color w:val="00194C"/>
        </w:rPr>
        <w:t>Social Security (Administration) Act 1999</w:t>
      </w:r>
      <w:r w:rsidR="00427942" w:rsidRPr="00DC6CAC">
        <w:rPr>
          <w:color w:val="00194C"/>
        </w:rPr>
        <w:t xml:space="preserve"> </w:t>
      </w:r>
      <w:r w:rsidR="00AF62AD" w:rsidRPr="00DC6CAC">
        <w:rPr>
          <w:color w:val="00194C"/>
        </w:rPr>
        <w:t xml:space="preserve">(that Act’s ‘Dictionary’) </w:t>
      </w:r>
      <w:r w:rsidR="00427942" w:rsidRPr="00DC6CAC">
        <w:rPr>
          <w:color w:val="00194C"/>
        </w:rPr>
        <w:t xml:space="preserve">presently contains no definition of ‘public </w:t>
      </w:r>
      <w:r w:rsidR="00427942" w:rsidRPr="00DC6CAC">
        <w:rPr>
          <w:color w:val="00194C"/>
        </w:rPr>
        <w:lastRenderedPageBreak/>
        <w:t>housing’ and the Bill will not insert one</w:t>
      </w:r>
      <w:r w:rsidR="009C6CD3" w:rsidRPr="00DC6CAC">
        <w:rPr>
          <w:color w:val="00194C"/>
        </w:rPr>
        <w:t xml:space="preserve"> – only a </w:t>
      </w:r>
      <w:r w:rsidR="00196C67" w:rsidRPr="00DC6CAC">
        <w:rPr>
          <w:color w:val="00194C"/>
        </w:rPr>
        <w:t>cross-</w:t>
      </w:r>
      <w:r w:rsidR="009C6CD3" w:rsidRPr="00DC6CAC">
        <w:rPr>
          <w:color w:val="00194C"/>
        </w:rPr>
        <w:t>reference to the definition of ‘</w:t>
      </w:r>
      <w:r w:rsidR="00AF62AD" w:rsidRPr="00DC6CAC">
        <w:rPr>
          <w:color w:val="00194C"/>
        </w:rPr>
        <w:t>public housing lessor’</w:t>
      </w:r>
      <w:r w:rsidR="00427942" w:rsidRPr="00DC6CAC">
        <w:rPr>
          <w:color w:val="00194C"/>
        </w:rPr>
        <w:t xml:space="preserve">. Unless it is proposed to extend the income diversion scheme to private rental arrangements, </w:t>
      </w:r>
      <w:r w:rsidR="00AF62AD" w:rsidRPr="00DC6CAC">
        <w:rPr>
          <w:color w:val="00194C"/>
        </w:rPr>
        <w:t>it is desirable that such a definition be added.</w:t>
      </w:r>
    </w:p>
    <w:p w:rsidR="00001A73" w:rsidRPr="00DC6CAC" w:rsidRDefault="00001A73" w:rsidP="000128C9">
      <w:pPr>
        <w:rPr>
          <w:b/>
          <w:smallCaps/>
          <w:color w:val="00194C"/>
          <w:sz w:val="20"/>
          <w:szCs w:val="20"/>
        </w:rPr>
      </w:pPr>
      <w:r w:rsidRPr="00DC6CAC">
        <w:rPr>
          <w:b/>
          <w:smallCaps/>
          <w:color w:val="00194C"/>
          <w:sz w:val="20"/>
          <w:szCs w:val="20"/>
        </w:rPr>
        <w:t xml:space="preserve"> </w:t>
      </w:r>
      <w:r w:rsidR="009C6FE3" w:rsidRPr="00DC6CAC">
        <w:rPr>
          <w:b/>
          <w:smallCaps/>
          <w:color w:val="00194C"/>
          <w:sz w:val="20"/>
          <w:szCs w:val="20"/>
        </w:rPr>
        <w:t>Diverted payment</w:t>
      </w:r>
      <w:r w:rsidR="00410DE8" w:rsidRPr="00DC6CAC">
        <w:rPr>
          <w:b/>
          <w:smallCaps/>
          <w:color w:val="00194C"/>
          <w:sz w:val="20"/>
          <w:szCs w:val="20"/>
        </w:rPr>
        <w:t>s</w:t>
      </w:r>
      <w:r w:rsidR="009C6FE3" w:rsidRPr="00DC6CAC">
        <w:rPr>
          <w:b/>
          <w:smallCaps/>
          <w:color w:val="00194C"/>
          <w:sz w:val="20"/>
          <w:szCs w:val="20"/>
        </w:rPr>
        <w:t xml:space="preserve"> deemed made to lessee, even where not forwarded to lessor</w:t>
      </w:r>
    </w:p>
    <w:p w:rsidR="009C6FE3" w:rsidRPr="00DC6CAC" w:rsidRDefault="009C6FE3" w:rsidP="009C6FE3">
      <w:pPr>
        <w:rPr>
          <w:b/>
          <w:color w:val="00194C"/>
        </w:rPr>
      </w:pPr>
      <w:r w:rsidRPr="00DC6CAC">
        <w:rPr>
          <w:b/>
          <w:color w:val="00194C"/>
        </w:rPr>
        <w:t>Section 12(3) is unfair</w:t>
      </w:r>
      <w:r w:rsidR="009817D4" w:rsidRPr="00DC6CAC">
        <w:rPr>
          <w:color w:val="00194C"/>
        </w:rPr>
        <w:t xml:space="preserve"> because it allows the Commonwealth to divert a welfare payment</w:t>
      </w:r>
      <w:r w:rsidR="00CB2037" w:rsidRPr="00DC6CAC">
        <w:rPr>
          <w:color w:val="00194C"/>
        </w:rPr>
        <w:t>, not</w:t>
      </w:r>
      <w:r w:rsidR="009817D4" w:rsidRPr="00DC6CAC">
        <w:rPr>
          <w:color w:val="00194C"/>
        </w:rPr>
        <w:t xml:space="preserve"> </w:t>
      </w:r>
      <w:r w:rsidR="00CB2037" w:rsidRPr="00DC6CAC">
        <w:rPr>
          <w:color w:val="00194C"/>
        </w:rPr>
        <w:t>forward it to the lessor, but</w:t>
      </w:r>
      <w:r w:rsidR="009817D4" w:rsidRPr="00DC6CAC">
        <w:rPr>
          <w:color w:val="00194C"/>
        </w:rPr>
        <w:t xml:space="preserve"> still treat the payment recipient as having received the diverted amount</w:t>
      </w:r>
      <w:r w:rsidRPr="00DC6CAC">
        <w:rPr>
          <w:color w:val="00194C"/>
        </w:rPr>
        <w:t xml:space="preserve">. </w:t>
      </w:r>
      <w:r w:rsidR="00CB2037" w:rsidRPr="00DC6CAC">
        <w:rPr>
          <w:color w:val="00194C"/>
        </w:rPr>
        <w:t>U</w:t>
      </w:r>
      <w:r w:rsidRPr="00DC6CAC">
        <w:rPr>
          <w:color w:val="00194C"/>
        </w:rPr>
        <w:t xml:space="preserve">nless the lessor is paid the diverted </w:t>
      </w:r>
      <w:r w:rsidR="009817D4" w:rsidRPr="00DC6CAC">
        <w:rPr>
          <w:color w:val="00194C"/>
        </w:rPr>
        <w:t>amount</w:t>
      </w:r>
      <w:r w:rsidRPr="00DC6CAC">
        <w:rPr>
          <w:color w:val="00194C"/>
        </w:rPr>
        <w:t xml:space="preserve">, the lessee’s liability to pay rent </w:t>
      </w:r>
      <w:r w:rsidR="009817D4" w:rsidRPr="00DC6CAC">
        <w:rPr>
          <w:color w:val="00194C"/>
        </w:rPr>
        <w:t>will</w:t>
      </w:r>
      <w:r w:rsidRPr="00DC6CAC">
        <w:rPr>
          <w:color w:val="00194C"/>
        </w:rPr>
        <w:t xml:space="preserve"> not </w:t>
      </w:r>
      <w:r w:rsidR="009817D4" w:rsidRPr="00DC6CAC">
        <w:rPr>
          <w:color w:val="00194C"/>
        </w:rPr>
        <w:t xml:space="preserve">be correspondingly </w:t>
      </w:r>
      <w:r w:rsidRPr="00DC6CAC">
        <w:rPr>
          <w:color w:val="00194C"/>
        </w:rPr>
        <w:t xml:space="preserve">reduced </w:t>
      </w:r>
      <w:r w:rsidR="00CB2037" w:rsidRPr="00DC6CAC">
        <w:rPr>
          <w:color w:val="00194C"/>
        </w:rPr>
        <w:t>by</w:t>
      </w:r>
      <w:r w:rsidRPr="00DC6CAC">
        <w:rPr>
          <w:color w:val="00194C"/>
        </w:rPr>
        <w:t xml:space="preserve"> section 11. </w:t>
      </w:r>
      <w:r w:rsidR="00724EC7" w:rsidRPr="00DC6CAC">
        <w:rPr>
          <w:b/>
          <w:color w:val="00194C"/>
        </w:rPr>
        <w:t>Section 12</w:t>
      </w:r>
      <w:r w:rsidRPr="00DC6CAC">
        <w:rPr>
          <w:b/>
          <w:color w:val="00194C"/>
        </w:rPr>
        <w:t xml:space="preserve"> should be amended by adding </w:t>
      </w:r>
      <w:r w:rsidR="00724EC7" w:rsidRPr="00DC6CAC">
        <w:rPr>
          <w:b/>
          <w:color w:val="00194C"/>
        </w:rPr>
        <w:t>a</w:t>
      </w:r>
      <w:r w:rsidRPr="00DC6CAC">
        <w:rPr>
          <w:b/>
          <w:color w:val="00194C"/>
        </w:rPr>
        <w:t xml:space="preserve"> sub-section</w:t>
      </w:r>
      <w:r w:rsidR="00724EC7" w:rsidRPr="00DC6CAC">
        <w:rPr>
          <w:b/>
          <w:color w:val="00194C"/>
        </w:rPr>
        <w:t xml:space="preserve"> (4)</w:t>
      </w:r>
      <w:r w:rsidRPr="00DC6CAC">
        <w:rPr>
          <w:b/>
          <w:color w:val="00194C"/>
        </w:rPr>
        <w:t>:</w:t>
      </w:r>
    </w:p>
    <w:p w:rsidR="009C6FE3" w:rsidRPr="00DC6CAC" w:rsidRDefault="009C6FE3" w:rsidP="009C6FE3">
      <w:pPr>
        <w:ind w:left="720" w:hanging="720"/>
        <w:rPr>
          <w:color w:val="00194C"/>
        </w:rPr>
      </w:pPr>
      <w:r w:rsidRPr="00DC6CAC">
        <w:rPr>
          <w:color w:val="00194C"/>
        </w:rPr>
        <w:tab/>
        <w:t>To avoid doubt, section 11 has effect whether or not the amount was paid to the public housing lessor.</w:t>
      </w:r>
    </w:p>
    <w:p w:rsidR="00E63896" w:rsidRPr="00DC6CAC" w:rsidRDefault="00E63896" w:rsidP="00E63896">
      <w:pPr>
        <w:rPr>
          <w:b/>
          <w:smallCaps/>
          <w:color w:val="00194C"/>
        </w:rPr>
      </w:pPr>
      <w:r w:rsidRPr="00DC6CAC">
        <w:rPr>
          <w:b/>
          <w:smallCaps/>
          <w:color w:val="00194C"/>
        </w:rPr>
        <w:t>Conclusion</w:t>
      </w:r>
    </w:p>
    <w:p w:rsidR="00E63896" w:rsidRPr="00DC6CAC" w:rsidRDefault="00724EC7" w:rsidP="00E63896">
      <w:pPr>
        <w:rPr>
          <w:color w:val="00194C"/>
        </w:rPr>
      </w:pPr>
      <w:r w:rsidRPr="00DC6CAC">
        <w:rPr>
          <w:color w:val="00194C"/>
        </w:rPr>
        <w:t>We are now we</w:t>
      </w:r>
      <w:r w:rsidR="007A7897" w:rsidRPr="00DC6CAC">
        <w:rPr>
          <w:color w:val="00194C"/>
        </w:rPr>
        <w:t xml:space="preserve">ll aware of the multiple disadvantages </w:t>
      </w:r>
      <w:r w:rsidRPr="00DC6CAC">
        <w:rPr>
          <w:color w:val="00194C"/>
        </w:rPr>
        <w:t xml:space="preserve">that contribute to homelessness and the </w:t>
      </w:r>
      <w:r w:rsidR="007A7897" w:rsidRPr="00DC6CAC">
        <w:rPr>
          <w:color w:val="00194C"/>
        </w:rPr>
        <w:t xml:space="preserve">complex </w:t>
      </w:r>
      <w:r w:rsidRPr="00DC6CAC">
        <w:rPr>
          <w:color w:val="00194C"/>
        </w:rPr>
        <w:t xml:space="preserve">needs of </w:t>
      </w:r>
      <w:r w:rsidR="007A7897" w:rsidRPr="00DC6CAC">
        <w:rPr>
          <w:color w:val="00194C"/>
        </w:rPr>
        <w:t xml:space="preserve">people </w:t>
      </w:r>
      <w:r w:rsidR="00D300EE" w:rsidRPr="00DC6CAC">
        <w:rPr>
          <w:color w:val="00194C"/>
        </w:rPr>
        <w:t xml:space="preserve">experiencing it, or </w:t>
      </w:r>
      <w:r w:rsidR="007A7897" w:rsidRPr="00DC6CAC">
        <w:rPr>
          <w:color w:val="00194C"/>
        </w:rPr>
        <w:t xml:space="preserve">at risk of </w:t>
      </w:r>
      <w:r w:rsidR="00D300EE" w:rsidRPr="00DC6CAC">
        <w:rPr>
          <w:color w:val="00194C"/>
        </w:rPr>
        <w:t>experiencing it</w:t>
      </w:r>
      <w:r w:rsidRPr="00DC6CAC">
        <w:rPr>
          <w:color w:val="00194C"/>
        </w:rPr>
        <w:t>.</w:t>
      </w:r>
      <w:r w:rsidRPr="00DC6CAC">
        <w:rPr>
          <w:rStyle w:val="FootnoteReference"/>
          <w:color w:val="00194C"/>
        </w:rPr>
        <w:footnoteReference w:id="17"/>
      </w:r>
      <w:r w:rsidRPr="00DC6CAC">
        <w:rPr>
          <w:color w:val="00194C"/>
        </w:rPr>
        <w:t xml:space="preserve"> </w:t>
      </w:r>
      <w:r w:rsidR="007A7897" w:rsidRPr="00DC6CAC">
        <w:rPr>
          <w:color w:val="00194C"/>
        </w:rPr>
        <w:t xml:space="preserve">These people </w:t>
      </w:r>
      <w:r w:rsidR="00E63896" w:rsidRPr="00DC6CAC">
        <w:rPr>
          <w:color w:val="00194C"/>
        </w:rPr>
        <w:t>need well-resourced, ‘early and well-timed community and human service interventions to establish and maintain secure supported housing’</w:t>
      </w:r>
      <w:r w:rsidR="005713EE" w:rsidRPr="00DC6CAC">
        <w:rPr>
          <w:color w:val="00194C"/>
        </w:rPr>
        <w:t>,</w:t>
      </w:r>
      <w:r w:rsidR="00E63896" w:rsidRPr="00DC6CAC">
        <w:rPr>
          <w:rStyle w:val="FootnoteReference"/>
          <w:color w:val="00194C"/>
        </w:rPr>
        <w:footnoteReference w:id="18"/>
      </w:r>
      <w:r w:rsidR="005713EE" w:rsidRPr="00DC6CAC">
        <w:rPr>
          <w:color w:val="00194C"/>
        </w:rPr>
        <w:t xml:space="preserve"> not measures that punish their actual or perceived inability to maintain tenancy arrangements</w:t>
      </w:r>
      <w:r w:rsidR="004A1415" w:rsidRPr="00DC6CAC">
        <w:rPr>
          <w:color w:val="00194C"/>
        </w:rPr>
        <w:t xml:space="preserve"> by</w:t>
      </w:r>
      <w:r w:rsidR="005713EE" w:rsidRPr="00DC6CAC">
        <w:rPr>
          <w:color w:val="00194C"/>
        </w:rPr>
        <w:t xml:space="preserve"> push</w:t>
      </w:r>
      <w:r w:rsidR="004A1415" w:rsidRPr="00DC6CAC">
        <w:rPr>
          <w:color w:val="00194C"/>
        </w:rPr>
        <w:t>ing</w:t>
      </w:r>
      <w:r w:rsidR="005713EE" w:rsidRPr="00DC6CAC">
        <w:rPr>
          <w:color w:val="00194C"/>
        </w:rPr>
        <w:t xml:space="preserve"> them further into housing stress.</w:t>
      </w:r>
      <w:r w:rsidR="00E63896" w:rsidRPr="00DC6CAC">
        <w:rPr>
          <w:color w:val="00194C"/>
        </w:rPr>
        <w:t xml:space="preserve"> </w:t>
      </w:r>
      <w:r w:rsidR="008273E6" w:rsidRPr="00DC6CAC">
        <w:rPr>
          <w:color w:val="00194C"/>
        </w:rPr>
        <w:t xml:space="preserve">The proposed </w:t>
      </w:r>
      <w:r w:rsidR="007A7897" w:rsidRPr="00DC6CAC">
        <w:rPr>
          <w:color w:val="00194C"/>
        </w:rPr>
        <w:t>HDRS appears to be</w:t>
      </w:r>
      <w:r w:rsidR="00E63896" w:rsidRPr="00DC6CAC">
        <w:rPr>
          <w:color w:val="00194C"/>
        </w:rPr>
        <w:t xml:space="preserve"> a cumbersome and costly way to collect overdue rent</w:t>
      </w:r>
      <w:r w:rsidR="007A7897" w:rsidRPr="00DC6CAC">
        <w:rPr>
          <w:color w:val="00194C"/>
        </w:rPr>
        <w:t>s</w:t>
      </w:r>
      <w:r w:rsidR="004A1415" w:rsidRPr="00DC6CAC">
        <w:rPr>
          <w:color w:val="00194C"/>
        </w:rPr>
        <w:t xml:space="preserve"> from a small minority of public housing tenants</w:t>
      </w:r>
      <w:r w:rsidR="00E63896" w:rsidRPr="00DC6CAC">
        <w:rPr>
          <w:color w:val="00194C"/>
        </w:rPr>
        <w:t xml:space="preserve">, </w:t>
      </w:r>
      <w:r w:rsidR="004A1415" w:rsidRPr="00DC6CAC">
        <w:rPr>
          <w:color w:val="00194C"/>
        </w:rPr>
        <w:t>without</w:t>
      </w:r>
      <w:r w:rsidR="005713EE" w:rsidRPr="00DC6CAC">
        <w:rPr>
          <w:color w:val="00194C"/>
        </w:rPr>
        <w:t xml:space="preserve"> </w:t>
      </w:r>
      <w:r w:rsidR="00F77155" w:rsidRPr="00DC6CAC">
        <w:rPr>
          <w:color w:val="00194C"/>
        </w:rPr>
        <w:t>‘</w:t>
      </w:r>
      <w:r w:rsidR="005713EE" w:rsidRPr="00DC6CAC">
        <w:rPr>
          <w:color w:val="00194C"/>
        </w:rPr>
        <w:t>turning off</w:t>
      </w:r>
      <w:r w:rsidR="004A1415" w:rsidRPr="00DC6CAC">
        <w:rPr>
          <w:color w:val="00194C"/>
        </w:rPr>
        <w:t xml:space="preserve"> </w:t>
      </w:r>
      <w:r w:rsidR="005713EE" w:rsidRPr="00DC6CAC">
        <w:rPr>
          <w:color w:val="00194C"/>
        </w:rPr>
        <w:t>the tap’</w:t>
      </w:r>
      <w:r w:rsidR="00F77155" w:rsidRPr="00DC6CAC">
        <w:rPr>
          <w:rStyle w:val="FootnoteReference"/>
          <w:color w:val="00194C"/>
        </w:rPr>
        <w:footnoteReference w:id="19"/>
      </w:r>
      <w:r w:rsidR="00F77155" w:rsidRPr="00DC6CAC">
        <w:rPr>
          <w:color w:val="00194C"/>
        </w:rPr>
        <w:t xml:space="preserve"> </w:t>
      </w:r>
      <w:r w:rsidR="00182B84" w:rsidRPr="00DC6CAC">
        <w:rPr>
          <w:color w:val="00194C"/>
        </w:rPr>
        <w:t xml:space="preserve">of evictions </w:t>
      </w:r>
      <w:r w:rsidR="004A1415" w:rsidRPr="00DC6CAC">
        <w:rPr>
          <w:color w:val="00194C"/>
        </w:rPr>
        <w:t xml:space="preserve">among those </w:t>
      </w:r>
      <w:r w:rsidR="00DE093B" w:rsidRPr="00DC6CAC">
        <w:rPr>
          <w:color w:val="00194C"/>
        </w:rPr>
        <w:t xml:space="preserve">tenants </w:t>
      </w:r>
      <w:r w:rsidR="004A1415" w:rsidRPr="00DC6CAC">
        <w:rPr>
          <w:color w:val="00194C"/>
        </w:rPr>
        <w:t>already at risk of homelessness.</w:t>
      </w:r>
      <w:r w:rsidR="005713EE" w:rsidRPr="00DC6CAC">
        <w:rPr>
          <w:color w:val="00194C"/>
        </w:rPr>
        <w:t xml:space="preserve"> </w:t>
      </w:r>
    </w:p>
    <w:p w:rsidR="009C6FE3" w:rsidRPr="00DC6CAC" w:rsidRDefault="009C6FE3" w:rsidP="00E63896">
      <w:pPr>
        <w:ind w:left="720" w:hanging="720"/>
        <w:rPr>
          <w:color w:val="00194C"/>
        </w:rPr>
      </w:pPr>
    </w:p>
    <w:sectPr w:rsidR="009C6FE3" w:rsidRPr="00DC6CAC" w:rsidSect="00184B7A">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6B" w:rsidRDefault="003C0C6B" w:rsidP="00EB112A">
      <w:pPr>
        <w:spacing w:after="0" w:line="240" w:lineRule="auto"/>
      </w:pPr>
      <w:r>
        <w:separator/>
      </w:r>
    </w:p>
  </w:endnote>
  <w:endnote w:type="continuationSeparator" w:id="0">
    <w:p w:rsidR="003C0C6B" w:rsidRDefault="003C0C6B" w:rsidP="00EB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6B" w:rsidRDefault="003C0C6B" w:rsidP="008872CE">
    <w:pPr>
      <w:pStyle w:val="Footer"/>
      <w:jc w:val="right"/>
    </w:pPr>
  </w:p>
  <w:sdt>
    <w:sdtPr>
      <w:rPr>
        <w:color w:val="00194C"/>
        <w:sz w:val="18"/>
        <w:szCs w:val="18"/>
      </w:rPr>
      <w:id w:val="17927644"/>
      <w:docPartObj>
        <w:docPartGallery w:val="Page Numbers (Bottom of Page)"/>
        <w:docPartUnique/>
      </w:docPartObj>
    </w:sdtPr>
    <w:sdtEndPr/>
    <w:sdtContent>
      <w:p w:rsidR="0003459F" w:rsidRPr="003A33C1" w:rsidRDefault="0003459F" w:rsidP="0003459F">
        <w:pPr>
          <w:pStyle w:val="Footer"/>
          <w:jc w:val="right"/>
          <w:rPr>
            <w:color w:val="00194C"/>
            <w:sz w:val="18"/>
            <w:szCs w:val="18"/>
          </w:rPr>
        </w:pPr>
        <w:r w:rsidRPr="003A33C1">
          <w:rPr>
            <w:i/>
            <w:color w:val="00194C"/>
            <w:sz w:val="18"/>
            <w:szCs w:val="18"/>
          </w:rPr>
          <w:t>Homelessness Australia: submission on the proposed ‘Housing Payment Deduction Scheme’</w:t>
        </w:r>
        <w:r w:rsidRPr="003A33C1">
          <w:rPr>
            <w:color w:val="00194C"/>
            <w:sz w:val="18"/>
            <w:szCs w:val="18"/>
          </w:rPr>
          <w:t xml:space="preserve"> </w:t>
        </w:r>
        <w:r w:rsidR="001F3DAF" w:rsidRPr="003A33C1">
          <w:rPr>
            <w:color w:val="00194C"/>
            <w:sz w:val="18"/>
            <w:szCs w:val="18"/>
          </w:rPr>
          <w:fldChar w:fldCharType="begin"/>
        </w:r>
        <w:r w:rsidRPr="003A33C1">
          <w:rPr>
            <w:color w:val="00194C"/>
            <w:sz w:val="18"/>
            <w:szCs w:val="18"/>
          </w:rPr>
          <w:instrText xml:space="preserve"> PAGE   \* MERGEFORMAT </w:instrText>
        </w:r>
        <w:r w:rsidR="001F3DAF" w:rsidRPr="003A33C1">
          <w:rPr>
            <w:color w:val="00194C"/>
            <w:sz w:val="18"/>
            <w:szCs w:val="18"/>
          </w:rPr>
          <w:fldChar w:fldCharType="separate"/>
        </w:r>
        <w:r w:rsidR="003C5BE9">
          <w:rPr>
            <w:noProof/>
            <w:color w:val="00194C"/>
            <w:sz w:val="18"/>
            <w:szCs w:val="18"/>
          </w:rPr>
          <w:t>2</w:t>
        </w:r>
        <w:r w:rsidR="001F3DAF" w:rsidRPr="003A33C1">
          <w:rPr>
            <w:color w:val="00194C"/>
            <w:sz w:val="18"/>
            <w:szCs w:val="18"/>
          </w:rPr>
          <w:fldChar w:fldCharType="end"/>
        </w:r>
      </w:p>
    </w:sdtContent>
  </w:sdt>
  <w:p w:rsidR="003C0C6B" w:rsidRPr="003A33C1" w:rsidRDefault="003C0C6B">
    <w:pPr>
      <w:pStyle w:val="Footer"/>
      <w:rPr>
        <w:color w:val="00194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927639"/>
      <w:docPartObj>
        <w:docPartGallery w:val="Page Numbers (Bottom of Page)"/>
        <w:docPartUnique/>
      </w:docPartObj>
    </w:sdtPr>
    <w:sdtEndPr/>
    <w:sdtContent>
      <w:p w:rsidR="003C0C6B" w:rsidRPr="001C392A" w:rsidRDefault="003C0C6B" w:rsidP="00EF7F7C">
        <w:pPr>
          <w:pStyle w:val="Footer"/>
          <w:jc w:val="right"/>
          <w:rPr>
            <w:sz w:val="18"/>
            <w:szCs w:val="18"/>
          </w:rPr>
        </w:pPr>
        <w:r w:rsidRPr="001C392A">
          <w:rPr>
            <w:i/>
            <w:sz w:val="18"/>
            <w:szCs w:val="18"/>
          </w:rPr>
          <w:t>Homelessness Australia: submission on the proposed ‘Housing Payment Deduction Scheme’</w:t>
        </w:r>
        <w:r w:rsidRPr="001C392A">
          <w:rPr>
            <w:sz w:val="18"/>
            <w:szCs w:val="18"/>
          </w:rPr>
          <w:t xml:space="preserve"> </w:t>
        </w:r>
        <w:r w:rsidR="001F3DAF" w:rsidRPr="001C392A">
          <w:rPr>
            <w:sz w:val="18"/>
            <w:szCs w:val="18"/>
          </w:rPr>
          <w:fldChar w:fldCharType="begin"/>
        </w:r>
        <w:r w:rsidRPr="001C392A">
          <w:rPr>
            <w:sz w:val="18"/>
            <w:szCs w:val="18"/>
          </w:rPr>
          <w:instrText xml:space="preserve"> PAGE   \* MERGEFORMAT </w:instrText>
        </w:r>
        <w:r w:rsidR="001F3DAF" w:rsidRPr="001C392A">
          <w:rPr>
            <w:sz w:val="18"/>
            <w:szCs w:val="18"/>
          </w:rPr>
          <w:fldChar w:fldCharType="separate"/>
        </w:r>
        <w:r w:rsidR="003C5BE9">
          <w:rPr>
            <w:noProof/>
            <w:sz w:val="18"/>
            <w:szCs w:val="18"/>
          </w:rPr>
          <w:t>1</w:t>
        </w:r>
        <w:r w:rsidR="001F3DAF" w:rsidRPr="001C392A">
          <w:rPr>
            <w:sz w:val="18"/>
            <w:szCs w:val="18"/>
          </w:rPr>
          <w:fldChar w:fldCharType="end"/>
        </w:r>
      </w:p>
    </w:sdtContent>
  </w:sdt>
  <w:p w:rsidR="003C0C6B" w:rsidRPr="001C392A" w:rsidRDefault="003C0C6B" w:rsidP="00EF7F7C">
    <w:pPr>
      <w:pStyle w:val="Footer"/>
      <w:rPr>
        <w:sz w:val="18"/>
        <w:szCs w:val="18"/>
      </w:rPr>
    </w:pPr>
  </w:p>
  <w:p w:rsidR="003C0C6B" w:rsidRDefault="003C0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6B" w:rsidRDefault="003C0C6B" w:rsidP="00EB112A">
      <w:pPr>
        <w:spacing w:after="0" w:line="240" w:lineRule="auto"/>
      </w:pPr>
      <w:r>
        <w:separator/>
      </w:r>
    </w:p>
  </w:footnote>
  <w:footnote w:type="continuationSeparator" w:id="0">
    <w:p w:rsidR="003C0C6B" w:rsidRDefault="003C0C6B" w:rsidP="00EB112A">
      <w:pPr>
        <w:spacing w:after="0" w:line="240" w:lineRule="auto"/>
      </w:pPr>
      <w:r>
        <w:continuationSeparator/>
      </w:r>
    </w:p>
  </w:footnote>
  <w:footnote w:id="1">
    <w:p w:rsidR="003C0C6B" w:rsidRPr="00D836A3" w:rsidRDefault="003C0C6B" w:rsidP="00514313">
      <w:pPr>
        <w:pStyle w:val="FootnoteText"/>
        <w:ind w:left="720" w:hanging="720"/>
        <w:rPr>
          <w:color w:val="00194C"/>
          <w:sz w:val="18"/>
          <w:szCs w:val="18"/>
        </w:rPr>
      </w:pPr>
      <w:r w:rsidRPr="00D836A3">
        <w:rPr>
          <w:rStyle w:val="FootnoteReference"/>
          <w:color w:val="00194C"/>
          <w:sz w:val="18"/>
          <w:szCs w:val="18"/>
        </w:rPr>
        <w:footnoteRef/>
      </w:r>
      <w:r w:rsidRPr="00D836A3">
        <w:rPr>
          <w:color w:val="00194C"/>
          <w:sz w:val="18"/>
          <w:szCs w:val="18"/>
        </w:rPr>
        <w:t xml:space="preserve"> </w:t>
      </w:r>
      <w:r w:rsidRPr="00D836A3">
        <w:rPr>
          <w:color w:val="00194C"/>
          <w:sz w:val="18"/>
          <w:szCs w:val="18"/>
        </w:rPr>
        <w:tab/>
        <w:t xml:space="preserve">See the Council’s communiqué of 28 March on </w:t>
      </w:r>
      <w:hyperlink r:id="rId1" w:history="1">
        <w:r w:rsidRPr="00D836A3">
          <w:rPr>
            <w:rStyle w:val="Hyperlink"/>
            <w:color w:val="00194C"/>
            <w:sz w:val="18"/>
            <w:szCs w:val="18"/>
          </w:rPr>
          <w:t>http://www.fahcsia.gov.au/our-responsibilities/housing-support/programs-services/homelessness/coag-select-council-on-housing-and-homelessness</w:t>
        </w:r>
      </w:hyperlink>
      <w:r w:rsidRPr="00D836A3">
        <w:rPr>
          <w:color w:val="00194C"/>
          <w:sz w:val="18"/>
          <w:szCs w:val="18"/>
        </w:rPr>
        <w:t xml:space="preserve"> </w:t>
      </w:r>
    </w:p>
  </w:footnote>
  <w:footnote w:id="2">
    <w:p w:rsidR="003C0C6B" w:rsidRPr="00D836A3" w:rsidRDefault="003C0C6B" w:rsidP="003D43C3">
      <w:pPr>
        <w:pStyle w:val="FootnoteText"/>
        <w:rPr>
          <w:color w:val="00194C"/>
          <w:sz w:val="18"/>
          <w:szCs w:val="18"/>
        </w:rPr>
      </w:pPr>
      <w:r w:rsidRPr="00D836A3">
        <w:rPr>
          <w:rStyle w:val="FootnoteReference"/>
          <w:color w:val="00194C"/>
          <w:sz w:val="18"/>
          <w:szCs w:val="18"/>
        </w:rPr>
        <w:footnoteRef/>
      </w:r>
      <w:r w:rsidRPr="00D836A3">
        <w:rPr>
          <w:color w:val="00194C"/>
          <w:sz w:val="18"/>
          <w:szCs w:val="18"/>
        </w:rPr>
        <w:t xml:space="preserve"> </w:t>
      </w:r>
      <w:r w:rsidRPr="00D836A3">
        <w:rPr>
          <w:color w:val="00194C"/>
          <w:sz w:val="18"/>
          <w:szCs w:val="18"/>
        </w:rPr>
        <w:tab/>
      </w:r>
      <w:proofErr w:type="gramStart"/>
      <w:r w:rsidRPr="00D836A3">
        <w:rPr>
          <w:color w:val="00194C"/>
          <w:sz w:val="18"/>
          <w:szCs w:val="18"/>
        </w:rPr>
        <w:t>Tables</w:t>
      </w:r>
      <w:proofErr w:type="gramEnd"/>
      <w:r w:rsidRPr="00D836A3">
        <w:rPr>
          <w:color w:val="00194C"/>
          <w:sz w:val="18"/>
          <w:szCs w:val="18"/>
        </w:rPr>
        <w:t xml:space="preserve"> 16A30-33.</w:t>
      </w:r>
    </w:p>
  </w:footnote>
  <w:footnote w:id="3">
    <w:p w:rsidR="003C0C6B" w:rsidRPr="00D836A3" w:rsidRDefault="003C0C6B">
      <w:pPr>
        <w:pStyle w:val="FootnoteText"/>
        <w:rPr>
          <w:color w:val="00194C"/>
          <w:sz w:val="18"/>
          <w:szCs w:val="18"/>
        </w:rPr>
      </w:pPr>
      <w:r w:rsidRPr="00D836A3">
        <w:rPr>
          <w:rStyle w:val="FootnoteReference"/>
          <w:color w:val="00194C"/>
          <w:sz w:val="18"/>
          <w:szCs w:val="18"/>
        </w:rPr>
        <w:footnoteRef/>
      </w:r>
      <w:r w:rsidRPr="00D836A3">
        <w:rPr>
          <w:color w:val="00194C"/>
          <w:sz w:val="18"/>
          <w:szCs w:val="18"/>
        </w:rPr>
        <w:t xml:space="preserve"> </w:t>
      </w:r>
      <w:r w:rsidRPr="00D836A3">
        <w:rPr>
          <w:color w:val="00194C"/>
          <w:sz w:val="18"/>
          <w:szCs w:val="18"/>
        </w:rPr>
        <w:tab/>
      </w:r>
      <w:proofErr w:type="gramStart"/>
      <w:r w:rsidRPr="00D836A3">
        <w:rPr>
          <w:color w:val="00194C"/>
          <w:sz w:val="18"/>
          <w:szCs w:val="18"/>
        </w:rPr>
        <w:t>Tables 58-59.</w:t>
      </w:r>
      <w:proofErr w:type="gramEnd"/>
    </w:p>
  </w:footnote>
  <w:footnote w:id="4">
    <w:p w:rsidR="003C0C6B" w:rsidRPr="006F468E" w:rsidRDefault="003C0C6B">
      <w:pPr>
        <w:pStyle w:val="FootnoteText"/>
        <w:rPr>
          <w:sz w:val="18"/>
          <w:szCs w:val="18"/>
        </w:rPr>
      </w:pPr>
      <w:r w:rsidRPr="00D836A3">
        <w:rPr>
          <w:rStyle w:val="FootnoteReference"/>
          <w:color w:val="00194C"/>
          <w:sz w:val="18"/>
          <w:szCs w:val="18"/>
        </w:rPr>
        <w:footnoteRef/>
      </w:r>
      <w:r w:rsidRPr="00D836A3">
        <w:rPr>
          <w:color w:val="00194C"/>
          <w:sz w:val="18"/>
          <w:szCs w:val="18"/>
        </w:rPr>
        <w:t xml:space="preserve"> </w:t>
      </w:r>
      <w:r w:rsidRPr="00D836A3">
        <w:rPr>
          <w:color w:val="00194C"/>
          <w:sz w:val="18"/>
          <w:szCs w:val="18"/>
        </w:rPr>
        <w:tab/>
      </w:r>
      <w:proofErr w:type="gramStart"/>
      <w:r w:rsidRPr="00D836A3">
        <w:rPr>
          <w:color w:val="00194C"/>
          <w:sz w:val="18"/>
          <w:szCs w:val="18"/>
        </w:rPr>
        <w:t>Tables</w:t>
      </w:r>
      <w:proofErr w:type="gramEnd"/>
      <w:r w:rsidRPr="00D836A3">
        <w:rPr>
          <w:color w:val="00194C"/>
          <w:sz w:val="18"/>
          <w:szCs w:val="18"/>
        </w:rPr>
        <w:t xml:space="preserve"> 16A42-46.</w:t>
      </w:r>
    </w:p>
  </w:footnote>
  <w:footnote w:id="5">
    <w:p w:rsidR="003C0C6B" w:rsidRPr="00DC6CAC" w:rsidRDefault="003C0C6B" w:rsidP="00093573">
      <w:pPr>
        <w:pStyle w:val="FootnoteText"/>
        <w:ind w:left="720" w:hanging="720"/>
        <w:rPr>
          <w:color w:val="00194C"/>
          <w:sz w:val="18"/>
          <w:szCs w:val="18"/>
        </w:rPr>
      </w:pPr>
      <w:r w:rsidRPr="00DC6CAC">
        <w:rPr>
          <w:rStyle w:val="FootnoteReference"/>
          <w:color w:val="00194C"/>
          <w:sz w:val="18"/>
          <w:szCs w:val="18"/>
        </w:rPr>
        <w:footnoteRef/>
      </w:r>
      <w:r w:rsidRPr="00DC6CAC">
        <w:rPr>
          <w:color w:val="00194C"/>
          <w:sz w:val="18"/>
          <w:szCs w:val="18"/>
        </w:rPr>
        <w:t xml:space="preserve"> </w:t>
      </w:r>
      <w:r w:rsidRPr="00DC6CAC">
        <w:rPr>
          <w:color w:val="00194C"/>
          <w:sz w:val="18"/>
          <w:szCs w:val="18"/>
        </w:rPr>
        <w:tab/>
      </w:r>
      <w:proofErr w:type="spellStart"/>
      <w:r w:rsidRPr="00DC6CAC">
        <w:rPr>
          <w:color w:val="00194C"/>
          <w:sz w:val="18"/>
          <w:szCs w:val="18"/>
        </w:rPr>
        <w:t>Zaretsky</w:t>
      </w:r>
      <w:proofErr w:type="spellEnd"/>
      <w:r w:rsidRPr="00DC6CAC">
        <w:rPr>
          <w:color w:val="00194C"/>
          <w:sz w:val="18"/>
          <w:szCs w:val="18"/>
        </w:rPr>
        <w:t xml:space="preserve"> </w:t>
      </w:r>
      <w:r w:rsidRPr="00DC6CAC">
        <w:rPr>
          <w:i/>
          <w:color w:val="00194C"/>
          <w:sz w:val="18"/>
          <w:szCs w:val="18"/>
        </w:rPr>
        <w:t>et al</w:t>
      </w:r>
      <w:r w:rsidRPr="00DC6CAC">
        <w:rPr>
          <w:color w:val="00194C"/>
          <w:sz w:val="18"/>
          <w:szCs w:val="18"/>
        </w:rPr>
        <w:t xml:space="preserve">, </w:t>
      </w:r>
      <w:hyperlink r:id="rId2" w:history="1">
        <w:r w:rsidRPr="00DC6CAC">
          <w:rPr>
            <w:rStyle w:val="Hyperlink"/>
            <w:bCs/>
            <w:i/>
            <w:color w:val="00194C"/>
            <w:sz w:val="18"/>
            <w:szCs w:val="18"/>
          </w:rPr>
          <w:t>The cost of homelessness and the net benefit of homelessness programs: a national study; findings from the Baseline Client Survey</w:t>
        </w:r>
      </w:hyperlink>
      <w:r w:rsidRPr="00DC6CAC">
        <w:rPr>
          <w:bCs/>
          <w:color w:val="00194C"/>
          <w:sz w:val="18"/>
          <w:szCs w:val="18"/>
        </w:rPr>
        <w:t xml:space="preserve">, </w:t>
      </w:r>
      <w:r w:rsidRPr="00DC6CAC">
        <w:rPr>
          <w:color w:val="00194C"/>
          <w:sz w:val="18"/>
          <w:szCs w:val="18"/>
        </w:rPr>
        <w:t>AHURI Final Report No. 205, April 2013, tables 21-2 and p 105.</w:t>
      </w:r>
    </w:p>
  </w:footnote>
  <w:footnote w:id="6">
    <w:p w:rsidR="003C0C6B" w:rsidRPr="00DC6CAC" w:rsidRDefault="003C0C6B" w:rsidP="002B5752">
      <w:pPr>
        <w:pStyle w:val="Default"/>
        <w:rPr>
          <w:rFonts w:asciiTheme="minorHAnsi" w:hAnsiTheme="minorHAnsi"/>
          <w:color w:val="00194C"/>
          <w:sz w:val="18"/>
          <w:szCs w:val="18"/>
        </w:rPr>
      </w:pPr>
      <w:r w:rsidRPr="00DC6CAC">
        <w:rPr>
          <w:rStyle w:val="FootnoteReference"/>
          <w:rFonts w:asciiTheme="minorHAnsi" w:hAnsiTheme="minorHAnsi"/>
          <w:color w:val="00194C"/>
          <w:sz w:val="18"/>
          <w:szCs w:val="18"/>
        </w:rPr>
        <w:footnoteRef/>
      </w:r>
      <w:r w:rsidRPr="00DC6CAC">
        <w:rPr>
          <w:rFonts w:asciiTheme="minorHAnsi" w:hAnsiTheme="minorHAnsi"/>
          <w:color w:val="00194C"/>
          <w:sz w:val="18"/>
          <w:szCs w:val="18"/>
        </w:rPr>
        <w:t xml:space="preserve"> </w:t>
      </w:r>
      <w:r w:rsidRPr="00DC6CAC">
        <w:rPr>
          <w:rFonts w:asciiTheme="minorHAnsi" w:hAnsiTheme="minorHAnsi"/>
          <w:color w:val="00194C"/>
          <w:sz w:val="18"/>
          <w:szCs w:val="18"/>
        </w:rPr>
        <w:tab/>
      </w:r>
      <w:proofErr w:type="gramStart"/>
      <w:r w:rsidRPr="00DC6CAC">
        <w:rPr>
          <w:rFonts w:asciiTheme="minorHAnsi" w:hAnsiTheme="minorHAnsi"/>
          <w:color w:val="00194C"/>
          <w:sz w:val="18"/>
          <w:szCs w:val="18"/>
        </w:rPr>
        <w:t>p 6.</w:t>
      </w:r>
      <w:proofErr w:type="gramEnd"/>
    </w:p>
  </w:footnote>
  <w:footnote w:id="7">
    <w:p w:rsidR="003C0C6B" w:rsidRPr="00DC6CAC" w:rsidRDefault="003C0C6B">
      <w:pPr>
        <w:pStyle w:val="FootnoteText"/>
        <w:rPr>
          <w:color w:val="00194C"/>
          <w:sz w:val="18"/>
          <w:szCs w:val="18"/>
        </w:rPr>
      </w:pPr>
      <w:r w:rsidRPr="00DC6CAC">
        <w:rPr>
          <w:rStyle w:val="FootnoteReference"/>
          <w:color w:val="00194C"/>
          <w:sz w:val="18"/>
          <w:szCs w:val="18"/>
        </w:rPr>
        <w:footnoteRef/>
      </w:r>
      <w:r w:rsidRPr="00DC6CAC">
        <w:rPr>
          <w:color w:val="00194C"/>
          <w:sz w:val="18"/>
          <w:szCs w:val="18"/>
        </w:rPr>
        <w:t xml:space="preserve"> </w:t>
      </w:r>
      <w:r w:rsidRPr="00DC6CAC">
        <w:rPr>
          <w:color w:val="00194C"/>
          <w:sz w:val="18"/>
          <w:szCs w:val="18"/>
        </w:rPr>
        <w:tab/>
        <w:t>See table 21 of the 2013 AHURI ‘cost’ report.</w:t>
      </w:r>
    </w:p>
  </w:footnote>
  <w:footnote w:id="8">
    <w:p w:rsidR="003C0C6B" w:rsidRPr="00DC6CAC" w:rsidRDefault="003C0C6B">
      <w:pPr>
        <w:pStyle w:val="FootnoteText"/>
        <w:rPr>
          <w:color w:val="00194C"/>
          <w:sz w:val="18"/>
          <w:szCs w:val="18"/>
        </w:rPr>
      </w:pPr>
      <w:r w:rsidRPr="00DC6CAC">
        <w:rPr>
          <w:rStyle w:val="FootnoteReference"/>
          <w:color w:val="00194C"/>
          <w:sz w:val="18"/>
          <w:szCs w:val="18"/>
        </w:rPr>
        <w:footnoteRef/>
      </w:r>
      <w:r w:rsidRPr="00DC6CAC">
        <w:rPr>
          <w:color w:val="00194C"/>
          <w:sz w:val="18"/>
          <w:szCs w:val="18"/>
        </w:rPr>
        <w:t xml:space="preserve"> </w:t>
      </w:r>
      <w:r w:rsidRPr="00DC6CAC">
        <w:rPr>
          <w:color w:val="00194C"/>
          <w:sz w:val="18"/>
          <w:szCs w:val="18"/>
        </w:rPr>
        <w:tab/>
        <w:t>[insert table ref]</w:t>
      </w:r>
    </w:p>
  </w:footnote>
  <w:footnote w:id="9">
    <w:p w:rsidR="003C0C6B" w:rsidRPr="00DC6CAC" w:rsidRDefault="003C0C6B" w:rsidP="003C0C6B">
      <w:pPr>
        <w:pStyle w:val="Title"/>
        <w:rPr>
          <w:color w:val="00194C"/>
        </w:rPr>
      </w:pPr>
      <w:r w:rsidRPr="00DC6CAC">
        <w:rPr>
          <w:rStyle w:val="FootnoteReference"/>
          <w:rFonts w:asciiTheme="minorHAnsi" w:hAnsiTheme="minorHAnsi"/>
          <w:color w:val="00194C"/>
          <w:sz w:val="18"/>
          <w:szCs w:val="18"/>
        </w:rPr>
        <w:footnoteRef/>
      </w:r>
      <w:r w:rsidRPr="00DC6CAC">
        <w:rPr>
          <w:rFonts w:asciiTheme="minorHAnsi" w:hAnsiTheme="minorHAnsi"/>
          <w:color w:val="00194C"/>
          <w:sz w:val="18"/>
          <w:szCs w:val="18"/>
        </w:rPr>
        <w:t xml:space="preserve"> </w:t>
      </w:r>
      <w:r w:rsidRPr="00DC6CAC">
        <w:rPr>
          <w:rFonts w:asciiTheme="minorHAnsi" w:hAnsiTheme="minorHAnsi"/>
          <w:color w:val="00194C"/>
          <w:sz w:val="18"/>
          <w:szCs w:val="18"/>
        </w:rPr>
        <w:tab/>
        <w:t xml:space="preserve">FaHCSIA, </w:t>
      </w:r>
      <w:hyperlink r:id="rId3" w:history="1">
        <w:r w:rsidRPr="00DC6CAC">
          <w:rPr>
            <w:rStyle w:val="Hyperlink"/>
            <w:rFonts w:asciiTheme="minorHAnsi" w:hAnsiTheme="minorHAnsi"/>
            <w:i/>
            <w:color w:val="00194C"/>
            <w:sz w:val="18"/>
            <w:szCs w:val="18"/>
          </w:rPr>
          <w:t>Fact sheet 1 - Background to the Housing Payment Deduction Scheme</w:t>
        </w:r>
      </w:hyperlink>
    </w:p>
  </w:footnote>
  <w:footnote w:id="10">
    <w:p w:rsidR="00AF5093" w:rsidRPr="00DC6CAC" w:rsidRDefault="00AF5093">
      <w:pPr>
        <w:pStyle w:val="FootnoteText"/>
        <w:rPr>
          <w:color w:val="00194C"/>
        </w:rPr>
      </w:pPr>
      <w:r w:rsidRPr="00DC6CAC">
        <w:rPr>
          <w:rStyle w:val="FootnoteReference"/>
          <w:color w:val="00194C"/>
        </w:rPr>
        <w:footnoteRef/>
      </w:r>
      <w:r w:rsidRPr="00DC6CAC">
        <w:rPr>
          <w:color w:val="00194C"/>
        </w:rPr>
        <w:t xml:space="preserve"> </w:t>
      </w:r>
      <w:r w:rsidRPr="00DC6CAC">
        <w:rPr>
          <w:color w:val="00194C"/>
        </w:rPr>
        <w:tab/>
      </w:r>
      <w:r w:rsidRPr="00DC6CAC">
        <w:rPr>
          <w:color w:val="00194C"/>
          <w:sz w:val="18"/>
          <w:szCs w:val="18"/>
        </w:rPr>
        <w:t xml:space="preserve">Beer </w:t>
      </w:r>
      <w:r w:rsidRPr="00DC6CAC">
        <w:rPr>
          <w:i/>
          <w:color w:val="00194C"/>
          <w:sz w:val="18"/>
          <w:szCs w:val="18"/>
        </w:rPr>
        <w:t>et al</w:t>
      </w:r>
      <w:r w:rsidRPr="00DC6CAC">
        <w:rPr>
          <w:color w:val="00194C"/>
          <w:sz w:val="18"/>
          <w:szCs w:val="18"/>
        </w:rPr>
        <w:t xml:space="preserve">, </w:t>
      </w:r>
      <w:hyperlink r:id="rId4" w:history="1">
        <w:r w:rsidRPr="00DC6CAC">
          <w:rPr>
            <w:rStyle w:val="Hyperlink"/>
            <w:i/>
            <w:color w:val="00194C"/>
            <w:sz w:val="18"/>
            <w:szCs w:val="18"/>
          </w:rPr>
          <w:t>Evictions and housing management: final report no 94</w:t>
        </w:r>
      </w:hyperlink>
      <w:r w:rsidRPr="00DC6CAC">
        <w:rPr>
          <w:color w:val="00194C"/>
          <w:sz w:val="18"/>
          <w:szCs w:val="18"/>
        </w:rPr>
        <w:t>, p 3?</w:t>
      </w:r>
    </w:p>
  </w:footnote>
  <w:footnote w:id="11">
    <w:p w:rsidR="00AF5093" w:rsidRPr="00AF5093" w:rsidRDefault="00AF5093">
      <w:pPr>
        <w:pStyle w:val="FootnoteText"/>
        <w:rPr>
          <w:i/>
          <w:color w:val="000000" w:themeColor="text1"/>
          <w:sz w:val="18"/>
          <w:szCs w:val="18"/>
        </w:rPr>
      </w:pPr>
      <w:r w:rsidRPr="00DC6CAC">
        <w:rPr>
          <w:i/>
          <w:color w:val="00194C"/>
          <w:sz w:val="18"/>
          <w:szCs w:val="18"/>
        </w:rPr>
        <w:footnoteRef/>
      </w:r>
      <w:r w:rsidRPr="00DC6CAC">
        <w:rPr>
          <w:i/>
          <w:color w:val="00194C"/>
          <w:sz w:val="18"/>
          <w:szCs w:val="18"/>
        </w:rPr>
        <w:t xml:space="preserve"> </w:t>
      </w:r>
      <w:r w:rsidRPr="00DC6CAC">
        <w:rPr>
          <w:i/>
          <w:color w:val="00194C"/>
          <w:sz w:val="18"/>
          <w:szCs w:val="18"/>
        </w:rPr>
        <w:tab/>
      </w:r>
      <w:hyperlink r:id="rId5" w:history="1">
        <w:proofErr w:type="gramStart"/>
        <w:r w:rsidRPr="00DC6CAC">
          <w:rPr>
            <w:rStyle w:val="Hyperlink"/>
            <w:i/>
            <w:color w:val="00194C"/>
            <w:sz w:val="18"/>
            <w:szCs w:val="18"/>
          </w:rPr>
          <w:t>The Road Home</w:t>
        </w:r>
      </w:hyperlink>
      <w:r w:rsidRPr="00DC6CAC">
        <w:rPr>
          <w:i/>
          <w:color w:val="00194C"/>
          <w:sz w:val="18"/>
          <w:szCs w:val="18"/>
        </w:rPr>
        <w:t xml:space="preserve"> p 26.</w:t>
      </w:r>
      <w:proofErr w:type="gramEnd"/>
    </w:p>
  </w:footnote>
  <w:footnote w:id="12">
    <w:p w:rsidR="003C0C6B" w:rsidRPr="00DC6CAC" w:rsidRDefault="003C0C6B" w:rsidP="008B2A6D">
      <w:pPr>
        <w:pStyle w:val="FootnoteText"/>
        <w:rPr>
          <w:rFonts w:cs="Arial"/>
          <w:color w:val="00194C"/>
          <w:sz w:val="18"/>
          <w:szCs w:val="18"/>
        </w:rPr>
      </w:pPr>
      <w:r w:rsidRPr="00DC6CAC">
        <w:rPr>
          <w:rStyle w:val="FootnoteReference"/>
          <w:rFonts w:cs="Arial"/>
          <w:color w:val="00194C"/>
          <w:sz w:val="18"/>
          <w:szCs w:val="18"/>
        </w:rPr>
        <w:footnoteRef/>
      </w:r>
      <w:r w:rsidRPr="00DC6CAC">
        <w:rPr>
          <w:rFonts w:cs="Arial"/>
          <w:color w:val="00194C"/>
          <w:sz w:val="18"/>
          <w:szCs w:val="18"/>
        </w:rPr>
        <w:t xml:space="preserve"> </w:t>
      </w:r>
      <w:r w:rsidRPr="00DC6CAC">
        <w:rPr>
          <w:rFonts w:cs="Arial"/>
          <w:color w:val="00194C"/>
          <w:sz w:val="18"/>
          <w:szCs w:val="18"/>
        </w:rPr>
        <w:tab/>
      </w:r>
      <w:proofErr w:type="gramStart"/>
      <w:r w:rsidRPr="00DC6CAC">
        <w:rPr>
          <w:rFonts w:cs="Arial"/>
          <w:color w:val="00194C"/>
          <w:sz w:val="18"/>
          <w:szCs w:val="18"/>
        </w:rPr>
        <w:t>Under s 7(2) of Schedule 6 and rule 4 of the ‘Disregarded provisions’ Specification.</w:t>
      </w:r>
      <w:proofErr w:type="gramEnd"/>
    </w:p>
  </w:footnote>
  <w:footnote w:id="13">
    <w:p w:rsidR="003C0C6B" w:rsidRPr="00DC6CAC" w:rsidRDefault="003C0C6B">
      <w:pPr>
        <w:pStyle w:val="FootnoteText"/>
        <w:rPr>
          <w:color w:val="00194C"/>
        </w:rPr>
      </w:pPr>
      <w:r w:rsidRPr="00DC6CAC">
        <w:rPr>
          <w:rStyle w:val="FootnoteReference"/>
          <w:color w:val="00194C"/>
        </w:rPr>
        <w:footnoteRef/>
      </w:r>
      <w:r w:rsidRPr="00DC6CAC">
        <w:rPr>
          <w:color w:val="00194C"/>
        </w:rPr>
        <w:t xml:space="preserve"> </w:t>
      </w:r>
      <w:r w:rsidRPr="00DC6CAC">
        <w:rPr>
          <w:color w:val="00194C"/>
        </w:rPr>
        <w:tab/>
      </w:r>
      <w:proofErr w:type="gramStart"/>
      <w:r w:rsidRPr="00DC6CAC">
        <w:rPr>
          <w:color w:val="00194C"/>
          <w:sz w:val="18"/>
          <w:szCs w:val="18"/>
        </w:rPr>
        <w:t>Under proposed s 6(3) of Schedule 6.</w:t>
      </w:r>
      <w:proofErr w:type="gramEnd"/>
    </w:p>
  </w:footnote>
  <w:footnote w:id="14">
    <w:p w:rsidR="003C0C6B" w:rsidRPr="00DC6CAC" w:rsidRDefault="003C0C6B" w:rsidP="00711431">
      <w:pPr>
        <w:pStyle w:val="FootnoteText"/>
        <w:ind w:left="720" w:hanging="720"/>
        <w:rPr>
          <w:rFonts w:cs="Arial"/>
          <w:color w:val="00194C"/>
          <w:sz w:val="18"/>
          <w:szCs w:val="18"/>
        </w:rPr>
      </w:pPr>
      <w:r w:rsidRPr="00DC6CAC">
        <w:rPr>
          <w:rStyle w:val="FootnoteReference"/>
          <w:rFonts w:cs="Arial"/>
          <w:color w:val="00194C"/>
          <w:sz w:val="18"/>
          <w:szCs w:val="18"/>
        </w:rPr>
        <w:footnoteRef/>
      </w:r>
      <w:r w:rsidRPr="00DC6CAC">
        <w:rPr>
          <w:rFonts w:cs="Arial"/>
          <w:color w:val="00194C"/>
          <w:sz w:val="18"/>
          <w:szCs w:val="18"/>
        </w:rPr>
        <w:t xml:space="preserve"> </w:t>
      </w:r>
      <w:r w:rsidRPr="00DC6CAC">
        <w:rPr>
          <w:rFonts w:cs="Arial"/>
          <w:color w:val="00194C"/>
          <w:sz w:val="18"/>
          <w:szCs w:val="18"/>
        </w:rPr>
        <w:tab/>
        <w:t xml:space="preserve">See </w:t>
      </w:r>
      <w:hyperlink r:id="rId6" w:history="1">
        <w:r w:rsidRPr="00DC6CAC">
          <w:rPr>
            <w:rStyle w:val="Hyperlink"/>
            <w:rFonts w:cs="Arial"/>
            <w:i/>
            <w:color w:val="00194C"/>
            <w:sz w:val="18"/>
            <w:szCs w:val="18"/>
          </w:rPr>
          <w:t>AMP.NATSEM Income and Wealth Report 29: The Great Australian Dream: Just a Dream?</w:t>
        </w:r>
      </w:hyperlink>
      <w:r w:rsidRPr="00DC6CAC">
        <w:rPr>
          <w:rFonts w:cs="Arial"/>
          <w:color w:val="00194C"/>
          <w:sz w:val="18"/>
          <w:szCs w:val="18"/>
        </w:rPr>
        <w:t xml:space="preserve"> pp 5-6</w:t>
      </w:r>
    </w:p>
  </w:footnote>
  <w:footnote w:id="15">
    <w:p w:rsidR="003C0C6B" w:rsidRPr="00DC6CAC" w:rsidRDefault="003C0C6B">
      <w:pPr>
        <w:pStyle w:val="FootnoteText"/>
        <w:rPr>
          <w:color w:val="00194C"/>
          <w:sz w:val="18"/>
          <w:szCs w:val="18"/>
        </w:rPr>
      </w:pPr>
      <w:r w:rsidRPr="00DC6CAC">
        <w:rPr>
          <w:rStyle w:val="FootnoteReference"/>
          <w:color w:val="00194C"/>
          <w:sz w:val="18"/>
          <w:szCs w:val="18"/>
        </w:rPr>
        <w:footnoteRef/>
      </w:r>
      <w:r w:rsidRPr="00DC6CAC">
        <w:rPr>
          <w:color w:val="00194C"/>
          <w:sz w:val="18"/>
          <w:szCs w:val="18"/>
        </w:rPr>
        <w:t xml:space="preserve"> </w:t>
      </w:r>
      <w:r w:rsidRPr="00DC6CAC">
        <w:rPr>
          <w:color w:val="00194C"/>
          <w:sz w:val="18"/>
          <w:szCs w:val="18"/>
        </w:rPr>
        <w:tab/>
        <w:t xml:space="preserve">See </w:t>
      </w:r>
      <w:hyperlink r:id="rId7" w:history="1">
        <w:r w:rsidRPr="00DC6CAC">
          <w:rPr>
            <w:rStyle w:val="Hyperlink"/>
            <w:color w:val="00194C"/>
            <w:sz w:val="18"/>
            <w:szCs w:val="18"/>
          </w:rPr>
          <w:t>National Agreement on Housing Affordability</w:t>
        </w:r>
      </w:hyperlink>
      <w:r w:rsidRPr="00DC6CAC">
        <w:rPr>
          <w:color w:val="00194C"/>
          <w:sz w:val="18"/>
          <w:szCs w:val="18"/>
        </w:rPr>
        <w:t xml:space="preserve"> </w:t>
      </w:r>
      <w:proofErr w:type="spellStart"/>
      <w:r w:rsidRPr="00DC6CAC">
        <w:rPr>
          <w:color w:val="00194C"/>
          <w:sz w:val="18"/>
          <w:szCs w:val="18"/>
        </w:rPr>
        <w:t>cls</w:t>
      </w:r>
      <w:proofErr w:type="spellEnd"/>
      <w:r w:rsidRPr="00DC6CAC">
        <w:rPr>
          <w:color w:val="00194C"/>
          <w:sz w:val="18"/>
          <w:szCs w:val="18"/>
        </w:rPr>
        <w:t xml:space="preserve"> 16(a) and 19(a).</w:t>
      </w:r>
    </w:p>
  </w:footnote>
  <w:footnote w:id="16">
    <w:p w:rsidR="003C0C6B" w:rsidRPr="00DC6CAC" w:rsidRDefault="003C0C6B" w:rsidP="005249AD">
      <w:pPr>
        <w:pStyle w:val="FootnoteText"/>
        <w:rPr>
          <w:rFonts w:cs="Arial"/>
          <w:color w:val="00194C"/>
          <w:sz w:val="18"/>
          <w:szCs w:val="18"/>
        </w:rPr>
      </w:pPr>
      <w:r w:rsidRPr="00DC6CAC">
        <w:rPr>
          <w:rFonts w:cs="Arial"/>
          <w:color w:val="00194C"/>
          <w:sz w:val="18"/>
          <w:szCs w:val="18"/>
        </w:rPr>
        <w:footnoteRef/>
      </w:r>
      <w:r w:rsidRPr="00DC6CAC">
        <w:rPr>
          <w:rFonts w:cs="Arial"/>
          <w:color w:val="00194C"/>
          <w:sz w:val="18"/>
          <w:szCs w:val="18"/>
        </w:rPr>
        <w:t xml:space="preserve"> </w:t>
      </w:r>
      <w:r w:rsidRPr="00DC6CAC">
        <w:rPr>
          <w:rFonts w:cs="Arial"/>
          <w:color w:val="00194C"/>
          <w:sz w:val="18"/>
          <w:szCs w:val="18"/>
        </w:rPr>
        <w:tab/>
      </w:r>
      <w:proofErr w:type="gramStart"/>
      <w:r w:rsidRPr="00DC6CAC">
        <w:rPr>
          <w:rFonts w:cs="Arial"/>
          <w:color w:val="00194C"/>
          <w:sz w:val="18"/>
          <w:szCs w:val="18"/>
        </w:rPr>
        <w:t xml:space="preserve">FaHCSIA, Fact sheet 5 - </w:t>
      </w:r>
      <w:hyperlink r:id="rId8" w:history="1">
        <w:r w:rsidRPr="00DC6CAC">
          <w:rPr>
            <w:rStyle w:val="Hyperlink"/>
            <w:rFonts w:cs="Arial"/>
            <w:i/>
            <w:color w:val="00194C"/>
            <w:sz w:val="18"/>
            <w:szCs w:val="18"/>
          </w:rPr>
          <w:t>Defining arrears and at risk of arrears</w:t>
        </w:r>
      </w:hyperlink>
      <w:r w:rsidRPr="00DC6CAC">
        <w:rPr>
          <w:rFonts w:cs="Arial"/>
          <w:color w:val="00194C"/>
          <w:sz w:val="18"/>
          <w:szCs w:val="18"/>
        </w:rPr>
        <w:t>.</w:t>
      </w:r>
      <w:proofErr w:type="gramEnd"/>
    </w:p>
    <w:p w:rsidR="003C0C6B" w:rsidRPr="009270B8" w:rsidRDefault="003C0C6B" w:rsidP="005249AD">
      <w:pPr>
        <w:pStyle w:val="FootnoteText"/>
        <w:rPr>
          <w:rFonts w:cs="Arial"/>
          <w:color w:val="000000" w:themeColor="text1"/>
          <w:sz w:val="18"/>
          <w:szCs w:val="18"/>
        </w:rPr>
      </w:pPr>
    </w:p>
  </w:footnote>
  <w:footnote w:id="17">
    <w:p w:rsidR="003C0C6B" w:rsidRPr="00DC6CAC" w:rsidRDefault="003C0C6B" w:rsidP="00724EC7">
      <w:pPr>
        <w:pStyle w:val="Default"/>
        <w:ind w:left="720" w:hanging="720"/>
        <w:rPr>
          <w:rFonts w:asciiTheme="minorHAnsi" w:hAnsiTheme="minorHAnsi"/>
          <w:color w:val="00194C"/>
          <w:sz w:val="20"/>
          <w:szCs w:val="20"/>
        </w:rPr>
      </w:pPr>
      <w:r w:rsidRPr="00DC6CAC">
        <w:rPr>
          <w:rStyle w:val="FootnoteReference"/>
          <w:rFonts w:asciiTheme="minorHAnsi" w:hAnsiTheme="minorHAnsi"/>
          <w:color w:val="00194C"/>
          <w:sz w:val="20"/>
          <w:szCs w:val="20"/>
        </w:rPr>
        <w:footnoteRef/>
      </w:r>
      <w:r w:rsidRPr="00DC6CAC">
        <w:rPr>
          <w:rFonts w:asciiTheme="minorHAnsi" w:hAnsiTheme="minorHAnsi"/>
          <w:color w:val="00194C"/>
          <w:sz w:val="20"/>
          <w:szCs w:val="20"/>
        </w:rPr>
        <w:t xml:space="preserve"> </w:t>
      </w:r>
      <w:r w:rsidRPr="00DC6CAC">
        <w:rPr>
          <w:rFonts w:asciiTheme="minorHAnsi" w:hAnsiTheme="minorHAnsi"/>
          <w:color w:val="00194C"/>
          <w:sz w:val="20"/>
          <w:szCs w:val="20"/>
        </w:rPr>
        <w:tab/>
        <w:t xml:space="preserve">See, for example, Baldry </w:t>
      </w:r>
      <w:r w:rsidRPr="00DC6CAC">
        <w:rPr>
          <w:rFonts w:asciiTheme="minorHAnsi" w:hAnsiTheme="minorHAnsi"/>
          <w:i/>
          <w:color w:val="00194C"/>
          <w:sz w:val="20"/>
          <w:szCs w:val="20"/>
        </w:rPr>
        <w:t>et al</w:t>
      </w:r>
      <w:r w:rsidRPr="00DC6CAC">
        <w:rPr>
          <w:rFonts w:asciiTheme="minorHAnsi" w:hAnsiTheme="minorHAnsi"/>
          <w:color w:val="00194C"/>
          <w:sz w:val="20"/>
          <w:szCs w:val="20"/>
        </w:rPr>
        <w:t xml:space="preserve">, </w:t>
      </w:r>
      <w:proofErr w:type="spellStart"/>
      <w:r w:rsidRPr="00DC6CAC">
        <w:rPr>
          <w:rFonts w:asciiTheme="minorHAnsi" w:hAnsiTheme="minorHAnsi"/>
          <w:bCs/>
          <w:i/>
          <w:color w:val="00194C"/>
          <w:sz w:val="20"/>
          <w:szCs w:val="20"/>
        </w:rPr>
        <w:t>Lifecourse</w:t>
      </w:r>
      <w:proofErr w:type="spellEnd"/>
      <w:r w:rsidRPr="00DC6CAC">
        <w:rPr>
          <w:rFonts w:asciiTheme="minorHAnsi" w:hAnsiTheme="minorHAnsi"/>
          <w:bCs/>
          <w:i/>
          <w:color w:val="00194C"/>
          <w:sz w:val="20"/>
          <w:szCs w:val="20"/>
        </w:rPr>
        <w:t xml:space="preserve"> institutional costs of homelessness for vulnerable groups</w:t>
      </w:r>
      <w:r w:rsidRPr="00DC6CAC">
        <w:rPr>
          <w:rFonts w:asciiTheme="minorHAnsi" w:hAnsiTheme="minorHAnsi"/>
          <w:bCs/>
          <w:color w:val="00194C"/>
          <w:sz w:val="20"/>
          <w:szCs w:val="20"/>
        </w:rPr>
        <w:t xml:space="preserve"> </w:t>
      </w:r>
      <w:r w:rsidRPr="00DC6CAC">
        <w:rPr>
          <w:rFonts w:asciiTheme="minorHAnsi" w:hAnsiTheme="minorHAnsi"/>
          <w:color w:val="00194C"/>
          <w:sz w:val="20"/>
          <w:szCs w:val="20"/>
        </w:rPr>
        <w:t>2012, 77-80.</w:t>
      </w:r>
    </w:p>
  </w:footnote>
  <w:footnote w:id="18">
    <w:p w:rsidR="003C0C6B" w:rsidRPr="00DC6CAC" w:rsidRDefault="003C0C6B" w:rsidP="00E63896">
      <w:pPr>
        <w:pStyle w:val="FootnoteText"/>
        <w:rPr>
          <w:color w:val="00194C"/>
        </w:rPr>
      </w:pPr>
      <w:r w:rsidRPr="00DC6CAC">
        <w:rPr>
          <w:rStyle w:val="FootnoteReference"/>
          <w:color w:val="00194C"/>
        </w:rPr>
        <w:footnoteRef/>
      </w:r>
      <w:r w:rsidRPr="00DC6CAC">
        <w:rPr>
          <w:color w:val="00194C"/>
        </w:rPr>
        <w:t xml:space="preserve"> </w:t>
      </w:r>
      <w:r w:rsidRPr="00DC6CAC">
        <w:rPr>
          <w:color w:val="00194C"/>
        </w:rPr>
        <w:tab/>
      </w:r>
      <w:proofErr w:type="gramStart"/>
      <w:r w:rsidRPr="00DC6CAC">
        <w:rPr>
          <w:i/>
          <w:color w:val="00194C"/>
        </w:rPr>
        <w:t>Ibid</w:t>
      </w:r>
      <w:r w:rsidRPr="00DC6CAC">
        <w:rPr>
          <w:color w:val="00194C"/>
        </w:rPr>
        <w:t xml:space="preserve"> at 80.</w:t>
      </w:r>
      <w:proofErr w:type="gramEnd"/>
    </w:p>
  </w:footnote>
  <w:footnote w:id="19">
    <w:p w:rsidR="003C0C6B" w:rsidRPr="00377777" w:rsidRDefault="003C0C6B">
      <w:pPr>
        <w:pStyle w:val="FootnoteText"/>
      </w:pPr>
      <w:r w:rsidRPr="00DC6CAC">
        <w:rPr>
          <w:rStyle w:val="FootnoteReference"/>
          <w:color w:val="00194C"/>
        </w:rPr>
        <w:footnoteRef/>
      </w:r>
      <w:r w:rsidRPr="00DC6CAC">
        <w:rPr>
          <w:color w:val="00194C"/>
        </w:rPr>
        <w:t xml:space="preserve"> </w:t>
      </w:r>
      <w:r w:rsidRPr="00DC6CAC">
        <w:rPr>
          <w:color w:val="00194C"/>
        </w:rPr>
        <w:tab/>
      </w:r>
      <w:hyperlink r:id="rId9" w:history="1">
        <w:proofErr w:type="gramStart"/>
        <w:r w:rsidRPr="00DC6CAC">
          <w:rPr>
            <w:rStyle w:val="Hyperlink"/>
            <w:i/>
            <w:color w:val="00194C"/>
          </w:rPr>
          <w:t>The Road Home</w:t>
        </w:r>
      </w:hyperlink>
      <w:r w:rsidRPr="00DC6CAC">
        <w:rPr>
          <w:color w:val="00194C"/>
        </w:rPr>
        <w:t xml:space="preserve"> chapter 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6B" w:rsidRDefault="003C0C6B">
    <w:pPr>
      <w:pStyle w:val="Header"/>
    </w:pPr>
    <w:r w:rsidRPr="00D92933">
      <w:rPr>
        <w:noProof/>
        <w:lang w:eastAsia="en-AU"/>
      </w:rPr>
      <w:drawing>
        <wp:inline distT="0" distB="0" distL="0" distR="0">
          <wp:extent cx="642866" cy="507835"/>
          <wp:effectExtent l="19050" t="0" r="4834" b="0"/>
          <wp:docPr id="2" name="Picture 0" descr="logo only no wo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no wording.jpg"/>
                  <pic:cNvPicPr/>
                </pic:nvPicPr>
                <pic:blipFill>
                  <a:blip r:embed="rId1"/>
                  <a:stretch>
                    <a:fillRect/>
                  </a:stretch>
                </pic:blipFill>
                <pic:spPr>
                  <a:xfrm>
                    <a:off x="0" y="0"/>
                    <a:ext cx="644288" cy="508958"/>
                  </a:xfrm>
                  <a:prstGeom prst="rect">
                    <a:avLst/>
                  </a:prstGeom>
                  <a:solidFill>
                    <a:schemeClr val="tx1"/>
                  </a:solid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2782"/>
    <w:multiLevelType w:val="hybridMultilevel"/>
    <w:tmpl w:val="0D40AE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6677C5"/>
    <w:multiLevelType w:val="hybridMultilevel"/>
    <w:tmpl w:val="1B4A6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BB457E"/>
    <w:multiLevelType w:val="hybridMultilevel"/>
    <w:tmpl w:val="5C48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282BE0"/>
    <w:multiLevelType w:val="hybridMultilevel"/>
    <w:tmpl w:val="D818A5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66371E"/>
    <w:multiLevelType w:val="hybridMultilevel"/>
    <w:tmpl w:val="76E80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EE68B1"/>
    <w:multiLevelType w:val="hybridMultilevel"/>
    <w:tmpl w:val="451EF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84423D"/>
    <w:multiLevelType w:val="hybridMultilevel"/>
    <w:tmpl w:val="C0B2DE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391731E"/>
    <w:multiLevelType w:val="hybridMultilevel"/>
    <w:tmpl w:val="4BEC1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2B7BF4"/>
    <w:multiLevelType w:val="hybridMultilevel"/>
    <w:tmpl w:val="0EA29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F2A3D6A"/>
    <w:multiLevelType w:val="hybridMultilevel"/>
    <w:tmpl w:val="92F68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4"/>
  </w:num>
  <w:num w:numId="7">
    <w:abstractNumId w:val="1"/>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9QHxmejx/rNNA1xVvF1SYJewSZs=" w:salt="WSSWI0o34eRyRI6g44KjR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DF3B08"/>
    <w:rsid w:val="0000023B"/>
    <w:rsid w:val="00001A73"/>
    <w:rsid w:val="0000399A"/>
    <w:rsid w:val="00005879"/>
    <w:rsid w:val="00005B9F"/>
    <w:rsid w:val="000128C9"/>
    <w:rsid w:val="00013F8B"/>
    <w:rsid w:val="000148CC"/>
    <w:rsid w:val="00031B34"/>
    <w:rsid w:val="0003459F"/>
    <w:rsid w:val="00037793"/>
    <w:rsid w:val="0004121F"/>
    <w:rsid w:val="00045BB9"/>
    <w:rsid w:val="00057DB7"/>
    <w:rsid w:val="00086AA8"/>
    <w:rsid w:val="00091442"/>
    <w:rsid w:val="00093573"/>
    <w:rsid w:val="000A756C"/>
    <w:rsid w:val="000C16B1"/>
    <w:rsid w:val="000C4619"/>
    <w:rsid w:val="000D53DD"/>
    <w:rsid w:val="000E286B"/>
    <w:rsid w:val="000E52CE"/>
    <w:rsid w:val="000F409A"/>
    <w:rsid w:val="000F5B76"/>
    <w:rsid w:val="000F7CCF"/>
    <w:rsid w:val="0010765A"/>
    <w:rsid w:val="00107CE8"/>
    <w:rsid w:val="00124E5F"/>
    <w:rsid w:val="00127320"/>
    <w:rsid w:val="00127C6B"/>
    <w:rsid w:val="0014119D"/>
    <w:rsid w:val="00141850"/>
    <w:rsid w:val="001465E1"/>
    <w:rsid w:val="001604CC"/>
    <w:rsid w:val="00171ECA"/>
    <w:rsid w:val="00181982"/>
    <w:rsid w:val="001820E8"/>
    <w:rsid w:val="00182B84"/>
    <w:rsid w:val="00184B7A"/>
    <w:rsid w:val="00187367"/>
    <w:rsid w:val="00187D22"/>
    <w:rsid w:val="00187E49"/>
    <w:rsid w:val="00194988"/>
    <w:rsid w:val="0019672D"/>
    <w:rsid w:val="00196C67"/>
    <w:rsid w:val="001A2823"/>
    <w:rsid w:val="001A37C6"/>
    <w:rsid w:val="001A3CCA"/>
    <w:rsid w:val="001A42E0"/>
    <w:rsid w:val="001A52C4"/>
    <w:rsid w:val="001B5FEC"/>
    <w:rsid w:val="001B7DF2"/>
    <w:rsid w:val="001C392A"/>
    <w:rsid w:val="001F3DAF"/>
    <w:rsid w:val="002022C8"/>
    <w:rsid w:val="00207713"/>
    <w:rsid w:val="00213B59"/>
    <w:rsid w:val="002148DB"/>
    <w:rsid w:val="002168E4"/>
    <w:rsid w:val="00221381"/>
    <w:rsid w:val="00233ACD"/>
    <w:rsid w:val="00235EA5"/>
    <w:rsid w:val="0023786D"/>
    <w:rsid w:val="00242E6B"/>
    <w:rsid w:val="00245552"/>
    <w:rsid w:val="00266236"/>
    <w:rsid w:val="00272F46"/>
    <w:rsid w:val="002753C5"/>
    <w:rsid w:val="00293D81"/>
    <w:rsid w:val="00294C71"/>
    <w:rsid w:val="002A5A67"/>
    <w:rsid w:val="002A6B64"/>
    <w:rsid w:val="002B5752"/>
    <w:rsid w:val="002F3CE7"/>
    <w:rsid w:val="002F6620"/>
    <w:rsid w:val="00305ED6"/>
    <w:rsid w:val="00306340"/>
    <w:rsid w:val="00317F7E"/>
    <w:rsid w:val="003342E2"/>
    <w:rsid w:val="003373A9"/>
    <w:rsid w:val="00352ACD"/>
    <w:rsid w:val="00353241"/>
    <w:rsid w:val="00360EB8"/>
    <w:rsid w:val="00376D74"/>
    <w:rsid w:val="00377777"/>
    <w:rsid w:val="00385E51"/>
    <w:rsid w:val="00397951"/>
    <w:rsid w:val="003A33C1"/>
    <w:rsid w:val="003B6070"/>
    <w:rsid w:val="003B6369"/>
    <w:rsid w:val="003C0C6B"/>
    <w:rsid w:val="003C4D98"/>
    <w:rsid w:val="003C5BE9"/>
    <w:rsid w:val="003D43C3"/>
    <w:rsid w:val="003F7146"/>
    <w:rsid w:val="00402EF5"/>
    <w:rsid w:val="00410DE8"/>
    <w:rsid w:val="004158A7"/>
    <w:rsid w:val="004221AB"/>
    <w:rsid w:val="00427942"/>
    <w:rsid w:val="00437B01"/>
    <w:rsid w:val="00444E7D"/>
    <w:rsid w:val="004451FD"/>
    <w:rsid w:val="00447240"/>
    <w:rsid w:val="0045297B"/>
    <w:rsid w:val="00466AC7"/>
    <w:rsid w:val="00472FC6"/>
    <w:rsid w:val="0047342F"/>
    <w:rsid w:val="00487DD9"/>
    <w:rsid w:val="004A03C0"/>
    <w:rsid w:val="004A1415"/>
    <w:rsid w:val="004A2D4A"/>
    <w:rsid w:val="004A3FE9"/>
    <w:rsid w:val="004A4EF5"/>
    <w:rsid w:val="004A611E"/>
    <w:rsid w:val="004D5A83"/>
    <w:rsid w:val="004E1193"/>
    <w:rsid w:val="004E1D90"/>
    <w:rsid w:val="00501F43"/>
    <w:rsid w:val="0051207B"/>
    <w:rsid w:val="00514313"/>
    <w:rsid w:val="005249AD"/>
    <w:rsid w:val="00533F3E"/>
    <w:rsid w:val="005574C8"/>
    <w:rsid w:val="00557B70"/>
    <w:rsid w:val="00565CF4"/>
    <w:rsid w:val="005713EE"/>
    <w:rsid w:val="00581E9B"/>
    <w:rsid w:val="0059679D"/>
    <w:rsid w:val="00596B51"/>
    <w:rsid w:val="005B0A35"/>
    <w:rsid w:val="005B0C82"/>
    <w:rsid w:val="005B575E"/>
    <w:rsid w:val="005C537F"/>
    <w:rsid w:val="005C63FA"/>
    <w:rsid w:val="005E77B9"/>
    <w:rsid w:val="00622038"/>
    <w:rsid w:val="00623AF9"/>
    <w:rsid w:val="00656551"/>
    <w:rsid w:val="006637DB"/>
    <w:rsid w:val="0066383C"/>
    <w:rsid w:val="00680404"/>
    <w:rsid w:val="006A22C8"/>
    <w:rsid w:val="006B0E1D"/>
    <w:rsid w:val="006C0D50"/>
    <w:rsid w:val="006C17BE"/>
    <w:rsid w:val="006D19FF"/>
    <w:rsid w:val="006D6BB1"/>
    <w:rsid w:val="006E274E"/>
    <w:rsid w:val="006E3221"/>
    <w:rsid w:val="006F28E5"/>
    <w:rsid w:val="006F468E"/>
    <w:rsid w:val="00711431"/>
    <w:rsid w:val="0071265E"/>
    <w:rsid w:val="00724EC7"/>
    <w:rsid w:val="00725226"/>
    <w:rsid w:val="00732310"/>
    <w:rsid w:val="00735C08"/>
    <w:rsid w:val="00741320"/>
    <w:rsid w:val="00750383"/>
    <w:rsid w:val="00751B75"/>
    <w:rsid w:val="007A1BFC"/>
    <w:rsid w:val="007A32A4"/>
    <w:rsid w:val="007A4803"/>
    <w:rsid w:val="007A7897"/>
    <w:rsid w:val="007B1C55"/>
    <w:rsid w:val="007B48BB"/>
    <w:rsid w:val="007D32CE"/>
    <w:rsid w:val="007D4CCA"/>
    <w:rsid w:val="007E77FE"/>
    <w:rsid w:val="00801EC6"/>
    <w:rsid w:val="00812BBF"/>
    <w:rsid w:val="00823A00"/>
    <w:rsid w:val="008273E6"/>
    <w:rsid w:val="00830185"/>
    <w:rsid w:val="00831A16"/>
    <w:rsid w:val="00835498"/>
    <w:rsid w:val="00841F5E"/>
    <w:rsid w:val="008525F1"/>
    <w:rsid w:val="0087296F"/>
    <w:rsid w:val="00883486"/>
    <w:rsid w:val="008872CE"/>
    <w:rsid w:val="008942F4"/>
    <w:rsid w:val="008A07D7"/>
    <w:rsid w:val="008A382F"/>
    <w:rsid w:val="008A62CC"/>
    <w:rsid w:val="008A7869"/>
    <w:rsid w:val="008B2A6D"/>
    <w:rsid w:val="008B31BB"/>
    <w:rsid w:val="008B6BD1"/>
    <w:rsid w:val="008C2218"/>
    <w:rsid w:val="008C4674"/>
    <w:rsid w:val="008D2D43"/>
    <w:rsid w:val="008D30A8"/>
    <w:rsid w:val="008E4493"/>
    <w:rsid w:val="0091680E"/>
    <w:rsid w:val="00924DEC"/>
    <w:rsid w:val="009270B8"/>
    <w:rsid w:val="00941DB4"/>
    <w:rsid w:val="0094378D"/>
    <w:rsid w:val="0094527B"/>
    <w:rsid w:val="009631A4"/>
    <w:rsid w:val="00970AD6"/>
    <w:rsid w:val="0097189E"/>
    <w:rsid w:val="00977C46"/>
    <w:rsid w:val="009817D4"/>
    <w:rsid w:val="00991A9B"/>
    <w:rsid w:val="009A4EE3"/>
    <w:rsid w:val="009B1666"/>
    <w:rsid w:val="009B34A1"/>
    <w:rsid w:val="009C33C5"/>
    <w:rsid w:val="009C6CD3"/>
    <w:rsid w:val="009C6FE3"/>
    <w:rsid w:val="009D3D19"/>
    <w:rsid w:val="009E535E"/>
    <w:rsid w:val="009F3B94"/>
    <w:rsid w:val="009F42FB"/>
    <w:rsid w:val="009F7642"/>
    <w:rsid w:val="00A12675"/>
    <w:rsid w:val="00A17ADC"/>
    <w:rsid w:val="00A31DCE"/>
    <w:rsid w:val="00A62316"/>
    <w:rsid w:val="00A63900"/>
    <w:rsid w:val="00A64EB5"/>
    <w:rsid w:val="00A65DC9"/>
    <w:rsid w:val="00A70C88"/>
    <w:rsid w:val="00A71061"/>
    <w:rsid w:val="00A77419"/>
    <w:rsid w:val="00A81B2F"/>
    <w:rsid w:val="00A96B5D"/>
    <w:rsid w:val="00AB36E2"/>
    <w:rsid w:val="00AC0362"/>
    <w:rsid w:val="00AC1BFC"/>
    <w:rsid w:val="00AC572D"/>
    <w:rsid w:val="00AF1B89"/>
    <w:rsid w:val="00AF5093"/>
    <w:rsid w:val="00AF62AD"/>
    <w:rsid w:val="00B119EE"/>
    <w:rsid w:val="00B17A9E"/>
    <w:rsid w:val="00B20F9D"/>
    <w:rsid w:val="00B342BC"/>
    <w:rsid w:val="00B41227"/>
    <w:rsid w:val="00B450DD"/>
    <w:rsid w:val="00B51E4C"/>
    <w:rsid w:val="00B57F87"/>
    <w:rsid w:val="00B6153D"/>
    <w:rsid w:val="00B655F3"/>
    <w:rsid w:val="00B71A5C"/>
    <w:rsid w:val="00B8333B"/>
    <w:rsid w:val="00B83D0B"/>
    <w:rsid w:val="00B877DB"/>
    <w:rsid w:val="00B95377"/>
    <w:rsid w:val="00BB14B5"/>
    <w:rsid w:val="00BE0CFF"/>
    <w:rsid w:val="00BE2EC7"/>
    <w:rsid w:val="00BE54E4"/>
    <w:rsid w:val="00BE5949"/>
    <w:rsid w:val="00BE7947"/>
    <w:rsid w:val="00C016C7"/>
    <w:rsid w:val="00C02209"/>
    <w:rsid w:val="00C06CDF"/>
    <w:rsid w:val="00C23273"/>
    <w:rsid w:val="00C2788D"/>
    <w:rsid w:val="00C35B25"/>
    <w:rsid w:val="00C41DCD"/>
    <w:rsid w:val="00C46AE8"/>
    <w:rsid w:val="00C53A84"/>
    <w:rsid w:val="00C57120"/>
    <w:rsid w:val="00C726C6"/>
    <w:rsid w:val="00C84406"/>
    <w:rsid w:val="00CB2037"/>
    <w:rsid w:val="00CD3F0F"/>
    <w:rsid w:val="00CD6DE7"/>
    <w:rsid w:val="00CE2CB7"/>
    <w:rsid w:val="00CE3053"/>
    <w:rsid w:val="00CF1708"/>
    <w:rsid w:val="00CF351B"/>
    <w:rsid w:val="00CF405C"/>
    <w:rsid w:val="00D15412"/>
    <w:rsid w:val="00D23D75"/>
    <w:rsid w:val="00D300EE"/>
    <w:rsid w:val="00D31DCC"/>
    <w:rsid w:val="00D41BDD"/>
    <w:rsid w:val="00D424BF"/>
    <w:rsid w:val="00D43C0D"/>
    <w:rsid w:val="00D64F0D"/>
    <w:rsid w:val="00D73BF4"/>
    <w:rsid w:val="00D75687"/>
    <w:rsid w:val="00D75A43"/>
    <w:rsid w:val="00D82C47"/>
    <w:rsid w:val="00D836A3"/>
    <w:rsid w:val="00D87429"/>
    <w:rsid w:val="00D87857"/>
    <w:rsid w:val="00D92933"/>
    <w:rsid w:val="00D93654"/>
    <w:rsid w:val="00D940C7"/>
    <w:rsid w:val="00DA05F8"/>
    <w:rsid w:val="00DC6CAC"/>
    <w:rsid w:val="00DD722E"/>
    <w:rsid w:val="00DE093B"/>
    <w:rsid w:val="00DE2F57"/>
    <w:rsid w:val="00DE2FD0"/>
    <w:rsid w:val="00DF1CB0"/>
    <w:rsid w:val="00DF3B08"/>
    <w:rsid w:val="00E000D7"/>
    <w:rsid w:val="00E010D6"/>
    <w:rsid w:val="00E032AB"/>
    <w:rsid w:val="00E116B9"/>
    <w:rsid w:val="00E165B9"/>
    <w:rsid w:val="00E16ADB"/>
    <w:rsid w:val="00E170EA"/>
    <w:rsid w:val="00E22377"/>
    <w:rsid w:val="00E277EB"/>
    <w:rsid w:val="00E27BA1"/>
    <w:rsid w:val="00E27DC1"/>
    <w:rsid w:val="00E30D57"/>
    <w:rsid w:val="00E31B67"/>
    <w:rsid w:val="00E5053D"/>
    <w:rsid w:val="00E51525"/>
    <w:rsid w:val="00E53C56"/>
    <w:rsid w:val="00E54A96"/>
    <w:rsid w:val="00E63896"/>
    <w:rsid w:val="00E676A7"/>
    <w:rsid w:val="00E71F9C"/>
    <w:rsid w:val="00E75511"/>
    <w:rsid w:val="00E87ECB"/>
    <w:rsid w:val="00E90E0D"/>
    <w:rsid w:val="00EA6802"/>
    <w:rsid w:val="00EB112A"/>
    <w:rsid w:val="00EC5DD4"/>
    <w:rsid w:val="00EF6B60"/>
    <w:rsid w:val="00EF7F7C"/>
    <w:rsid w:val="00F234C7"/>
    <w:rsid w:val="00F34970"/>
    <w:rsid w:val="00F379FD"/>
    <w:rsid w:val="00F54BC0"/>
    <w:rsid w:val="00F561A8"/>
    <w:rsid w:val="00F57BF3"/>
    <w:rsid w:val="00F63916"/>
    <w:rsid w:val="00F77155"/>
    <w:rsid w:val="00F8057D"/>
    <w:rsid w:val="00F83ACE"/>
    <w:rsid w:val="00F91D4B"/>
    <w:rsid w:val="00F925E5"/>
    <w:rsid w:val="00F9421F"/>
    <w:rsid w:val="00FA0B57"/>
    <w:rsid w:val="00FA397B"/>
    <w:rsid w:val="00FB4C9E"/>
    <w:rsid w:val="00FC3C83"/>
    <w:rsid w:val="00FE0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67"/>
  </w:style>
  <w:style w:type="paragraph" w:styleId="Heading1">
    <w:name w:val="heading 1"/>
    <w:basedOn w:val="Normal"/>
    <w:link w:val="Heading1Char"/>
    <w:uiPriority w:val="9"/>
    <w:qFormat/>
    <w:rsid w:val="00AC0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B08"/>
    <w:pPr>
      <w:ind w:left="720"/>
      <w:contextualSpacing/>
    </w:pPr>
  </w:style>
  <w:style w:type="character" w:styleId="CommentReference">
    <w:name w:val="annotation reference"/>
    <w:basedOn w:val="DefaultParagraphFont"/>
    <w:uiPriority w:val="99"/>
    <w:semiHidden/>
    <w:unhideWhenUsed/>
    <w:rsid w:val="00D75687"/>
    <w:rPr>
      <w:sz w:val="16"/>
      <w:szCs w:val="16"/>
    </w:rPr>
  </w:style>
  <w:style w:type="paragraph" w:styleId="CommentText">
    <w:name w:val="annotation text"/>
    <w:basedOn w:val="Normal"/>
    <w:link w:val="CommentTextChar"/>
    <w:uiPriority w:val="99"/>
    <w:semiHidden/>
    <w:unhideWhenUsed/>
    <w:rsid w:val="00D75687"/>
    <w:pPr>
      <w:spacing w:line="240" w:lineRule="auto"/>
    </w:pPr>
    <w:rPr>
      <w:sz w:val="20"/>
      <w:szCs w:val="20"/>
    </w:rPr>
  </w:style>
  <w:style w:type="character" w:customStyle="1" w:styleId="CommentTextChar">
    <w:name w:val="Comment Text Char"/>
    <w:basedOn w:val="DefaultParagraphFont"/>
    <w:link w:val="CommentText"/>
    <w:uiPriority w:val="99"/>
    <w:semiHidden/>
    <w:rsid w:val="00D75687"/>
    <w:rPr>
      <w:sz w:val="20"/>
      <w:szCs w:val="20"/>
    </w:rPr>
  </w:style>
  <w:style w:type="paragraph" w:styleId="CommentSubject">
    <w:name w:val="annotation subject"/>
    <w:basedOn w:val="CommentText"/>
    <w:next w:val="CommentText"/>
    <w:link w:val="CommentSubjectChar"/>
    <w:uiPriority w:val="99"/>
    <w:semiHidden/>
    <w:unhideWhenUsed/>
    <w:rsid w:val="00D75687"/>
    <w:rPr>
      <w:b/>
      <w:bCs/>
    </w:rPr>
  </w:style>
  <w:style w:type="character" w:customStyle="1" w:styleId="CommentSubjectChar">
    <w:name w:val="Comment Subject Char"/>
    <w:basedOn w:val="CommentTextChar"/>
    <w:link w:val="CommentSubject"/>
    <w:uiPriority w:val="99"/>
    <w:semiHidden/>
    <w:rsid w:val="00D75687"/>
    <w:rPr>
      <w:b/>
      <w:bCs/>
      <w:sz w:val="20"/>
      <w:szCs w:val="20"/>
    </w:rPr>
  </w:style>
  <w:style w:type="paragraph" w:styleId="BalloonText">
    <w:name w:val="Balloon Text"/>
    <w:basedOn w:val="Normal"/>
    <w:link w:val="BalloonTextChar"/>
    <w:uiPriority w:val="99"/>
    <w:semiHidden/>
    <w:unhideWhenUsed/>
    <w:rsid w:val="00D75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87"/>
    <w:rPr>
      <w:rFonts w:ascii="Tahoma" w:hAnsi="Tahoma" w:cs="Tahoma"/>
      <w:sz w:val="16"/>
      <w:szCs w:val="16"/>
    </w:rPr>
  </w:style>
  <w:style w:type="paragraph" w:styleId="Header">
    <w:name w:val="header"/>
    <w:basedOn w:val="Normal"/>
    <w:link w:val="HeaderChar"/>
    <w:uiPriority w:val="99"/>
    <w:semiHidden/>
    <w:unhideWhenUsed/>
    <w:rsid w:val="00EB11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112A"/>
  </w:style>
  <w:style w:type="paragraph" w:styleId="Footer">
    <w:name w:val="footer"/>
    <w:basedOn w:val="Normal"/>
    <w:link w:val="FooterChar"/>
    <w:uiPriority w:val="99"/>
    <w:unhideWhenUsed/>
    <w:rsid w:val="00EB1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12A"/>
  </w:style>
  <w:style w:type="paragraph" w:styleId="FootnoteText">
    <w:name w:val="footnote text"/>
    <w:basedOn w:val="Normal"/>
    <w:link w:val="FootnoteTextChar"/>
    <w:uiPriority w:val="99"/>
    <w:semiHidden/>
    <w:unhideWhenUsed/>
    <w:rsid w:val="003B6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070"/>
    <w:rPr>
      <w:sz w:val="20"/>
      <w:szCs w:val="20"/>
    </w:rPr>
  </w:style>
  <w:style w:type="character" w:styleId="FootnoteReference">
    <w:name w:val="footnote reference"/>
    <w:basedOn w:val="DefaultParagraphFont"/>
    <w:uiPriority w:val="99"/>
    <w:semiHidden/>
    <w:unhideWhenUsed/>
    <w:rsid w:val="003B6070"/>
    <w:rPr>
      <w:vertAlign w:val="superscript"/>
    </w:rPr>
  </w:style>
  <w:style w:type="character" w:styleId="Hyperlink">
    <w:name w:val="Hyperlink"/>
    <w:basedOn w:val="DefaultParagraphFont"/>
    <w:uiPriority w:val="99"/>
    <w:unhideWhenUsed/>
    <w:rsid w:val="003B6070"/>
    <w:rPr>
      <w:color w:val="0000FF" w:themeColor="hyperlink"/>
      <w:u w:val="single"/>
    </w:rPr>
  </w:style>
  <w:style w:type="paragraph" w:customStyle="1" w:styleId="Default">
    <w:name w:val="Default"/>
    <w:rsid w:val="002B575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C0362"/>
    <w:rPr>
      <w:rFonts w:ascii="Times New Roman" w:eastAsia="Times New Roman" w:hAnsi="Times New Roman" w:cs="Times New Roman"/>
      <w:b/>
      <w:bCs/>
      <w:kern w:val="36"/>
      <w:sz w:val="48"/>
      <w:szCs w:val="48"/>
      <w:lang w:eastAsia="en-AU"/>
    </w:rPr>
  </w:style>
  <w:style w:type="character" w:customStyle="1" w:styleId="st">
    <w:name w:val="st"/>
    <w:basedOn w:val="DefaultParagraphFont"/>
    <w:rsid w:val="005C63FA"/>
  </w:style>
  <w:style w:type="character" w:styleId="Emphasis">
    <w:name w:val="Emphasis"/>
    <w:basedOn w:val="DefaultParagraphFont"/>
    <w:uiPriority w:val="20"/>
    <w:qFormat/>
    <w:rsid w:val="005C63FA"/>
    <w:rPr>
      <w:i/>
      <w:iCs/>
    </w:rPr>
  </w:style>
  <w:style w:type="paragraph" w:styleId="Title">
    <w:name w:val="Title"/>
    <w:basedOn w:val="Normal"/>
    <w:next w:val="Normal"/>
    <w:link w:val="TitleChar"/>
    <w:uiPriority w:val="10"/>
    <w:qFormat/>
    <w:rsid w:val="009E535E"/>
    <w:pPr>
      <w:pBdr>
        <w:bottom w:val="single" w:sz="4" w:space="1" w:color="auto"/>
      </w:pBdr>
      <w:spacing w:after="0" w:line="240" w:lineRule="auto"/>
      <w:contextualSpacing/>
    </w:pPr>
    <w:rPr>
      <w:rFonts w:ascii="Arial" w:eastAsiaTheme="majorEastAsia" w:hAnsi="Arial" w:cstheme="majorBidi"/>
      <w:spacing w:val="5"/>
      <w:sz w:val="52"/>
      <w:szCs w:val="52"/>
    </w:rPr>
  </w:style>
  <w:style w:type="character" w:customStyle="1" w:styleId="TitleChar">
    <w:name w:val="Title Char"/>
    <w:basedOn w:val="DefaultParagraphFont"/>
    <w:link w:val="Title"/>
    <w:uiPriority w:val="10"/>
    <w:rsid w:val="009E535E"/>
    <w:rPr>
      <w:rFonts w:ascii="Arial" w:eastAsiaTheme="majorEastAsia" w:hAnsi="Arial" w:cstheme="majorBidi"/>
      <w:spacing w:val="5"/>
      <w:sz w:val="52"/>
      <w:szCs w:val="52"/>
    </w:rPr>
  </w:style>
  <w:style w:type="character" w:styleId="FollowedHyperlink">
    <w:name w:val="FollowedHyperlink"/>
    <w:basedOn w:val="DefaultParagraphFont"/>
    <w:uiPriority w:val="99"/>
    <w:semiHidden/>
    <w:unhideWhenUsed/>
    <w:rsid w:val="00A71061"/>
    <w:rPr>
      <w:color w:val="800080" w:themeColor="followedHyperlink"/>
      <w:u w:val="single"/>
    </w:rPr>
  </w:style>
  <w:style w:type="character" w:styleId="BookTitle">
    <w:name w:val="Book Title"/>
    <w:uiPriority w:val="33"/>
    <w:qFormat/>
    <w:rsid w:val="009270B8"/>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30745">
      <w:bodyDiv w:val="1"/>
      <w:marLeft w:val="0"/>
      <w:marRight w:val="0"/>
      <w:marTop w:val="0"/>
      <w:marBottom w:val="0"/>
      <w:divBdr>
        <w:top w:val="none" w:sz="0" w:space="0" w:color="auto"/>
        <w:left w:val="none" w:sz="0" w:space="0" w:color="auto"/>
        <w:bottom w:val="none" w:sz="0" w:space="0" w:color="auto"/>
        <w:right w:val="none" w:sz="0" w:space="0" w:color="auto"/>
      </w:divBdr>
    </w:div>
    <w:div w:id="502282946">
      <w:bodyDiv w:val="1"/>
      <w:marLeft w:val="0"/>
      <w:marRight w:val="0"/>
      <w:marTop w:val="0"/>
      <w:marBottom w:val="0"/>
      <w:divBdr>
        <w:top w:val="none" w:sz="0" w:space="0" w:color="auto"/>
        <w:left w:val="none" w:sz="0" w:space="0" w:color="auto"/>
        <w:bottom w:val="none" w:sz="0" w:space="0" w:color="auto"/>
        <w:right w:val="none" w:sz="0" w:space="0" w:color="auto"/>
      </w:divBdr>
    </w:div>
    <w:div w:id="1279409238">
      <w:bodyDiv w:val="1"/>
      <w:marLeft w:val="0"/>
      <w:marRight w:val="0"/>
      <w:marTop w:val="0"/>
      <w:marBottom w:val="0"/>
      <w:divBdr>
        <w:top w:val="none" w:sz="0" w:space="0" w:color="auto"/>
        <w:left w:val="none" w:sz="0" w:space="0" w:color="auto"/>
        <w:bottom w:val="none" w:sz="0" w:space="0" w:color="auto"/>
        <w:right w:val="none" w:sz="0" w:space="0" w:color="auto"/>
      </w:divBdr>
      <w:divsChild>
        <w:div w:id="1316032548">
          <w:marLeft w:val="0"/>
          <w:marRight w:val="0"/>
          <w:marTop w:val="0"/>
          <w:marBottom w:val="0"/>
          <w:divBdr>
            <w:top w:val="none" w:sz="0" w:space="0" w:color="auto"/>
            <w:left w:val="none" w:sz="0" w:space="0" w:color="auto"/>
            <w:bottom w:val="none" w:sz="0" w:space="0" w:color="auto"/>
            <w:right w:val="none" w:sz="0" w:space="0" w:color="auto"/>
          </w:divBdr>
        </w:div>
        <w:div w:id="946350838">
          <w:marLeft w:val="0"/>
          <w:marRight w:val="0"/>
          <w:marTop w:val="0"/>
          <w:marBottom w:val="0"/>
          <w:divBdr>
            <w:top w:val="none" w:sz="0" w:space="0" w:color="auto"/>
            <w:left w:val="none" w:sz="0" w:space="0" w:color="auto"/>
            <w:bottom w:val="none" w:sz="0" w:space="0" w:color="auto"/>
            <w:right w:val="none" w:sz="0" w:space="0" w:color="auto"/>
          </w:divBdr>
        </w:div>
        <w:div w:id="1090732045">
          <w:marLeft w:val="0"/>
          <w:marRight w:val="0"/>
          <w:marTop w:val="0"/>
          <w:marBottom w:val="0"/>
          <w:divBdr>
            <w:top w:val="none" w:sz="0" w:space="0" w:color="auto"/>
            <w:left w:val="none" w:sz="0" w:space="0" w:color="auto"/>
            <w:bottom w:val="none" w:sz="0" w:space="0" w:color="auto"/>
            <w:right w:val="none" w:sz="0" w:space="0" w:color="auto"/>
          </w:divBdr>
        </w:div>
        <w:div w:id="1347904612">
          <w:marLeft w:val="0"/>
          <w:marRight w:val="0"/>
          <w:marTop w:val="0"/>
          <w:marBottom w:val="0"/>
          <w:divBdr>
            <w:top w:val="none" w:sz="0" w:space="0" w:color="auto"/>
            <w:left w:val="none" w:sz="0" w:space="0" w:color="auto"/>
            <w:bottom w:val="none" w:sz="0" w:space="0" w:color="auto"/>
            <w:right w:val="none" w:sz="0" w:space="0" w:color="auto"/>
          </w:divBdr>
        </w:div>
        <w:div w:id="1873109463">
          <w:marLeft w:val="0"/>
          <w:marRight w:val="0"/>
          <w:marTop w:val="0"/>
          <w:marBottom w:val="0"/>
          <w:divBdr>
            <w:top w:val="none" w:sz="0" w:space="0" w:color="auto"/>
            <w:left w:val="none" w:sz="0" w:space="0" w:color="auto"/>
            <w:bottom w:val="none" w:sz="0" w:space="0" w:color="auto"/>
            <w:right w:val="none" w:sz="0" w:space="0" w:color="auto"/>
          </w:divBdr>
        </w:div>
        <w:div w:id="656109865">
          <w:marLeft w:val="0"/>
          <w:marRight w:val="0"/>
          <w:marTop w:val="0"/>
          <w:marBottom w:val="0"/>
          <w:divBdr>
            <w:top w:val="none" w:sz="0" w:space="0" w:color="auto"/>
            <w:left w:val="none" w:sz="0" w:space="0" w:color="auto"/>
            <w:bottom w:val="none" w:sz="0" w:space="0" w:color="auto"/>
            <w:right w:val="none" w:sz="0" w:space="0" w:color="auto"/>
          </w:divBdr>
        </w:div>
      </w:divsChild>
    </w:div>
    <w:div w:id="1415737594">
      <w:bodyDiv w:val="1"/>
      <w:marLeft w:val="0"/>
      <w:marRight w:val="0"/>
      <w:marTop w:val="0"/>
      <w:marBottom w:val="0"/>
      <w:divBdr>
        <w:top w:val="none" w:sz="0" w:space="0" w:color="auto"/>
        <w:left w:val="none" w:sz="0" w:space="0" w:color="auto"/>
        <w:bottom w:val="none" w:sz="0" w:space="0" w:color="auto"/>
        <w:right w:val="none" w:sz="0" w:space="0" w:color="auto"/>
      </w:divBdr>
      <w:divsChild>
        <w:div w:id="885264245">
          <w:marLeft w:val="0"/>
          <w:marRight w:val="0"/>
          <w:marTop w:val="0"/>
          <w:marBottom w:val="0"/>
          <w:divBdr>
            <w:top w:val="none" w:sz="0" w:space="0" w:color="auto"/>
            <w:left w:val="none" w:sz="0" w:space="0" w:color="auto"/>
            <w:bottom w:val="none" w:sz="0" w:space="0" w:color="auto"/>
            <w:right w:val="none" w:sz="0" w:space="0" w:color="auto"/>
          </w:divBdr>
        </w:div>
        <w:div w:id="1963612516">
          <w:marLeft w:val="0"/>
          <w:marRight w:val="0"/>
          <w:marTop w:val="0"/>
          <w:marBottom w:val="0"/>
          <w:divBdr>
            <w:top w:val="none" w:sz="0" w:space="0" w:color="auto"/>
            <w:left w:val="none" w:sz="0" w:space="0" w:color="auto"/>
            <w:bottom w:val="none" w:sz="0" w:space="0" w:color="auto"/>
            <w:right w:val="none" w:sz="0" w:space="0" w:color="auto"/>
          </w:divBdr>
        </w:div>
        <w:div w:id="1899590862">
          <w:marLeft w:val="0"/>
          <w:marRight w:val="0"/>
          <w:marTop w:val="0"/>
          <w:marBottom w:val="0"/>
          <w:divBdr>
            <w:top w:val="none" w:sz="0" w:space="0" w:color="auto"/>
            <w:left w:val="none" w:sz="0" w:space="0" w:color="auto"/>
            <w:bottom w:val="none" w:sz="0" w:space="0" w:color="auto"/>
            <w:right w:val="none" w:sz="0" w:space="0" w:color="auto"/>
          </w:divBdr>
        </w:div>
        <w:div w:id="763451527">
          <w:marLeft w:val="0"/>
          <w:marRight w:val="0"/>
          <w:marTop w:val="0"/>
          <w:marBottom w:val="0"/>
          <w:divBdr>
            <w:top w:val="none" w:sz="0" w:space="0" w:color="auto"/>
            <w:left w:val="none" w:sz="0" w:space="0" w:color="auto"/>
            <w:bottom w:val="none" w:sz="0" w:space="0" w:color="auto"/>
            <w:right w:val="none" w:sz="0" w:space="0" w:color="auto"/>
          </w:divBdr>
        </w:div>
        <w:div w:id="1233853301">
          <w:marLeft w:val="0"/>
          <w:marRight w:val="0"/>
          <w:marTop w:val="0"/>
          <w:marBottom w:val="0"/>
          <w:divBdr>
            <w:top w:val="none" w:sz="0" w:space="0" w:color="auto"/>
            <w:left w:val="none" w:sz="0" w:space="0" w:color="auto"/>
            <w:bottom w:val="none" w:sz="0" w:space="0" w:color="auto"/>
            <w:right w:val="none" w:sz="0" w:space="0" w:color="auto"/>
          </w:divBdr>
        </w:div>
        <w:div w:id="1453281898">
          <w:marLeft w:val="0"/>
          <w:marRight w:val="0"/>
          <w:marTop w:val="0"/>
          <w:marBottom w:val="0"/>
          <w:divBdr>
            <w:top w:val="none" w:sz="0" w:space="0" w:color="auto"/>
            <w:left w:val="none" w:sz="0" w:space="0" w:color="auto"/>
            <w:bottom w:val="none" w:sz="0" w:space="0" w:color="auto"/>
            <w:right w:val="none" w:sz="0" w:space="0" w:color="auto"/>
          </w:divBdr>
        </w:div>
        <w:div w:id="1128858651">
          <w:marLeft w:val="0"/>
          <w:marRight w:val="0"/>
          <w:marTop w:val="0"/>
          <w:marBottom w:val="0"/>
          <w:divBdr>
            <w:top w:val="none" w:sz="0" w:space="0" w:color="auto"/>
            <w:left w:val="none" w:sz="0" w:space="0" w:color="auto"/>
            <w:bottom w:val="none" w:sz="0" w:space="0" w:color="auto"/>
            <w:right w:val="none" w:sz="0" w:space="0" w:color="auto"/>
          </w:divBdr>
        </w:div>
        <w:div w:id="108277621">
          <w:marLeft w:val="0"/>
          <w:marRight w:val="0"/>
          <w:marTop w:val="0"/>
          <w:marBottom w:val="0"/>
          <w:divBdr>
            <w:top w:val="none" w:sz="0" w:space="0" w:color="auto"/>
            <w:left w:val="none" w:sz="0" w:space="0" w:color="auto"/>
            <w:bottom w:val="none" w:sz="0" w:space="0" w:color="auto"/>
            <w:right w:val="none" w:sz="0" w:space="0" w:color="auto"/>
          </w:divBdr>
        </w:div>
        <w:div w:id="847986727">
          <w:marLeft w:val="0"/>
          <w:marRight w:val="0"/>
          <w:marTop w:val="0"/>
          <w:marBottom w:val="0"/>
          <w:divBdr>
            <w:top w:val="none" w:sz="0" w:space="0" w:color="auto"/>
            <w:left w:val="none" w:sz="0" w:space="0" w:color="auto"/>
            <w:bottom w:val="none" w:sz="0" w:space="0" w:color="auto"/>
            <w:right w:val="none" w:sz="0" w:space="0" w:color="auto"/>
          </w:divBdr>
        </w:div>
        <w:div w:id="922420114">
          <w:marLeft w:val="0"/>
          <w:marRight w:val="0"/>
          <w:marTop w:val="0"/>
          <w:marBottom w:val="0"/>
          <w:divBdr>
            <w:top w:val="none" w:sz="0" w:space="0" w:color="auto"/>
            <w:left w:val="none" w:sz="0" w:space="0" w:color="auto"/>
            <w:bottom w:val="none" w:sz="0" w:space="0" w:color="auto"/>
            <w:right w:val="none" w:sz="0" w:space="0" w:color="auto"/>
          </w:divBdr>
        </w:div>
        <w:div w:id="201018267">
          <w:marLeft w:val="0"/>
          <w:marRight w:val="0"/>
          <w:marTop w:val="0"/>
          <w:marBottom w:val="0"/>
          <w:divBdr>
            <w:top w:val="none" w:sz="0" w:space="0" w:color="auto"/>
            <w:left w:val="none" w:sz="0" w:space="0" w:color="auto"/>
            <w:bottom w:val="none" w:sz="0" w:space="0" w:color="auto"/>
            <w:right w:val="none" w:sz="0" w:space="0" w:color="auto"/>
          </w:divBdr>
        </w:div>
        <w:div w:id="427042812">
          <w:marLeft w:val="0"/>
          <w:marRight w:val="0"/>
          <w:marTop w:val="0"/>
          <w:marBottom w:val="0"/>
          <w:divBdr>
            <w:top w:val="none" w:sz="0" w:space="0" w:color="auto"/>
            <w:left w:val="none" w:sz="0" w:space="0" w:color="auto"/>
            <w:bottom w:val="none" w:sz="0" w:space="0" w:color="auto"/>
            <w:right w:val="none" w:sz="0" w:space="0" w:color="auto"/>
          </w:divBdr>
        </w:div>
        <w:div w:id="38404987">
          <w:marLeft w:val="0"/>
          <w:marRight w:val="0"/>
          <w:marTop w:val="0"/>
          <w:marBottom w:val="0"/>
          <w:divBdr>
            <w:top w:val="none" w:sz="0" w:space="0" w:color="auto"/>
            <w:left w:val="none" w:sz="0" w:space="0" w:color="auto"/>
            <w:bottom w:val="none" w:sz="0" w:space="0" w:color="auto"/>
            <w:right w:val="none" w:sz="0" w:space="0" w:color="auto"/>
          </w:divBdr>
        </w:div>
        <w:div w:id="237523472">
          <w:marLeft w:val="0"/>
          <w:marRight w:val="0"/>
          <w:marTop w:val="0"/>
          <w:marBottom w:val="0"/>
          <w:divBdr>
            <w:top w:val="none" w:sz="0" w:space="0" w:color="auto"/>
            <w:left w:val="none" w:sz="0" w:space="0" w:color="auto"/>
            <w:bottom w:val="none" w:sz="0" w:space="0" w:color="auto"/>
            <w:right w:val="none" w:sz="0" w:space="0" w:color="auto"/>
          </w:divBdr>
        </w:div>
        <w:div w:id="1487671067">
          <w:marLeft w:val="0"/>
          <w:marRight w:val="0"/>
          <w:marTop w:val="0"/>
          <w:marBottom w:val="0"/>
          <w:divBdr>
            <w:top w:val="none" w:sz="0" w:space="0" w:color="auto"/>
            <w:left w:val="none" w:sz="0" w:space="0" w:color="auto"/>
            <w:bottom w:val="none" w:sz="0" w:space="0" w:color="auto"/>
            <w:right w:val="none" w:sz="0" w:space="0" w:color="auto"/>
          </w:divBdr>
        </w:div>
        <w:div w:id="431633366">
          <w:marLeft w:val="0"/>
          <w:marRight w:val="0"/>
          <w:marTop w:val="0"/>
          <w:marBottom w:val="0"/>
          <w:divBdr>
            <w:top w:val="none" w:sz="0" w:space="0" w:color="auto"/>
            <w:left w:val="none" w:sz="0" w:space="0" w:color="auto"/>
            <w:bottom w:val="none" w:sz="0" w:space="0" w:color="auto"/>
            <w:right w:val="none" w:sz="0" w:space="0" w:color="auto"/>
          </w:divBdr>
        </w:div>
        <w:div w:id="494027934">
          <w:marLeft w:val="0"/>
          <w:marRight w:val="0"/>
          <w:marTop w:val="0"/>
          <w:marBottom w:val="0"/>
          <w:divBdr>
            <w:top w:val="none" w:sz="0" w:space="0" w:color="auto"/>
            <w:left w:val="none" w:sz="0" w:space="0" w:color="auto"/>
            <w:bottom w:val="none" w:sz="0" w:space="0" w:color="auto"/>
            <w:right w:val="none" w:sz="0" w:space="0" w:color="auto"/>
          </w:divBdr>
        </w:div>
        <w:div w:id="2107312613">
          <w:marLeft w:val="0"/>
          <w:marRight w:val="0"/>
          <w:marTop w:val="0"/>
          <w:marBottom w:val="0"/>
          <w:divBdr>
            <w:top w:val="none" w:sz="0" w:space="0" w:color="auto"/>
            <w:left w:val="none" w:sz="0" w:space="0" w:color="auto"/>
            <w:bottom w:val="none" w:sz="0" w:space="0" w:color="auto"/>
            <w:right w:val="none" w:sz="0" w:space="0" w:color="auto"/>
          </w:divBdr>
        </w:div>
        <w:div w:id="549342552">
          <w:marLeft w:val="0"/>
          <w:marRight w:val="0"/>
          <w:marTop w:val="0"/>
          <w:marBottom w:val="0"/>
          <w:divBdr>
            <w:top w:val="none" w:sz="0" w:space="0" w:color="auto"/>
            <w:left w:val="none" w:sz="0" w:space="0" w:color="auto"/>
            <w:bottom w:val="none" w:sz="0" w:space="0" w:color="auto"/>
            <w:right w:val="none" w:sz="0" w:space="0" w:color="auto"/>
          </w:divBdr>
        </w:div>
        <w:div w:id="1192761129">
          <w:marLeft w:val="0"/>
          <w:marRight w:val="0"/>
          <w:marTop w:val="0"/>
          <w:marBottom w:val="0"/>
          <w:divBdr>
            <w:top w:val="none" w:sz="0" w:space="0" w:color="auto"/>
            <w:left w:val="none" w:sz="0" w:space="0" w:color="auto"/>
            <w:bottom w:val="none" w:sz="0" w:space="0" w:color="auto"/>
            <w:right w:val="none" w:sz="0" w:space="0" w:color="auto"/>
          </w:divBdr>
        </w:div>
        <w:div w:id="392318282">
          <w:marLeft w:val="0"/>
          <w:marRight w:val="0"/>
          <w:marTop w:val="0"/>
          <w:marBottom w:val="0"/>
          <w:divBdr>
            <w:top w:val="none" w:sz="0" w:space="0" w:color="auto"/>
            <w:left w:val="none" w:sz="0" w:space="0" w:color="auto"/>
            <w:bottom w:val="none" w:sz="0" w:space="0" w:color="auto"/>
            <w:right w:val="none" w:sz="0" w:space="0" w:color="auto"/>
          </w:divBdr>
        </w:div>
        <w:div w:id="1001665958">
          <w:marLeft w:val="0"/>
          <w:marRight w:val="0"/>
          <w:marTop w:val="0"/>
          <w:marBottom w:val="0"/>
          <w:divBdr>
            <w:top w:val="none" w:sz="0" w:space="0" w:color="auto"/>
            <w:left w:val="none" w:sz="0" w:space="0" w:color="auto"/>
            <w:bottom w:val="none" w:sz="0" w:space="0" w:color="auto"/>
            <w:right w:val="none" w:sz="0" w:space="0" w:color="auto"/>
          </w:divBdr>
        </w:div>
        <w:div w:id="952135613">
          <w:marLeft w:val="0"/>
          <w:marRight w:val="0"/>
          <w:marTop w:val="0"/>
          <w:marBottom w:val="0"/>
          <w:divBdr>
            <w:top w:val="none" w:sz="0" w:space="0" w:color="auto"/>
            <w:left w:val="none" w:sz="0" w:space="0" w:color="auto"/>
            <w:bottom w:val="none" w:sz="0" w:space="0" w:color="auto"/>
            <w:right w:val="none" w:sz="0" w:space="0" w:color="auto"/>
          </w:divBdr>
        </w:div>
        <w:div w:id="1236747151">
          <w:marLeft w:val="0"/>
          <w:marRight w:val="0"/>
          <w:marTop w:val="0"/>
          <w:marBottom w:val="0"/>
          <w:divBdr>
            <w:top w:val="none" w:sz="0" w:space="0" w:color="auto"/>
            <w:left w:val="none" w:sz="0" w:space="0" w:color="auto"/>
            <w:bottom w:val="none" w:sz="0" w:space="0" w:color="auto"/>
            <w:right w:val="none" w:sz="0" w:space="0" w:color="auto"/>
          </w:divBdr>
        </w:div>
        <w:div w:id="1911882711">
          <w:marLeft w:val="0"/>
          <w:marRight w:val="0"/>
          <w:marTop w:val="0"/>
          <w:marBottom w:val="0"/>
          <w:divBdr>
            <w:top w:val="none" w:sz="0" w:space="0" w:color="auto"/>
            <w:left w:val="none" w:sz="0" w:space="0" w:color="auto"/>
            <w:bottom w:val="none" w:sz="0" w:space="0" w:color="auto"/>
            <w:right w:val="none" w:sz="0" w:space="0" w:color="auto"/>
          </w:divBdr>
        </w:div>
      </w:divsChild>
    </w:div>
    <w:div w:id="1460875304">
      <w:bodyDiv w:val="1"/>
      <w:marLeft w:val="0"/>
      <w:marRight w:val="0"/>
      <w:marTop w:val="0"/>
      <w:marBottom w:val="0"/>
      <w:divBdr>
        <w:top w:val="none" w:sz="0" w:space="0" w:color="auto"/>
        <w:left w:val="none" w:sz="0" w:space="0" w:color="auto"/>
        <w:bottom w:val="none" w:sz="0" w:space="0" w:color="auto"/>
        <w:right w:val="none" w:sz="0" w:space="0" w:color="auto"/>
      </w:divBdr>
      <w:divsChild>
        <w:div w:id="818156334">
          <w:marLeft w:val="0"/>
          <w:marRight w:val="0"/>
          <w:marTop w:val="0"/>
          <w:marBottom w:val="0"/>
          <w:divBdr>
            <w:top w:val="none" w:sz="0" w:space="0" w:color="auto"/>
            <w:left w:val="none" w:sz="0" w:space="0" w:color="auto"/>
            <w:bottom w:val="none" w:sz="0" w:space="0" w:color="auto"/>
            <w:right w:val="none" w:sz="0" w:space="0" w:color="auto"/>
          </w:divBdr>
        </w:div>
        <w:div w:id="1656301924">
          <w:marLeft w:val="0"/>
          <w:marRight w:val="0"/>
          <w:marTop w:val="0"/>
          <w:marBottom w:val="0"/>
          <w:divBdr>
            <w:top w:val="none" w:sz="0" w:space="0" w:color="auto"/>
            <w:left w:val="none" w:sz="0" w:space="0" w:color="auto"/>
            <w:bottom w:val="none" w:sz="0" w:space="0" w:color="auto"/>
            <w:right w:val="none" w:sz="0" w:space="0" w:color="auto"/>
          </w:divBdr>
        </w:div>
        <w:div w:id="104352819">
          <w:marLeft w:val="0"/>
          <w:marRight w:val="0"/>
          <w:marTop w:val="0"/>
          <w:marBottom w:val="0"/>
          <w:divBdr>
            <w:top w:val="none" w:sz="0" w:space="0" w:color="auto"/>
            <w:left w:val="none" w:sz="0" w:space="0" w:color="auto"/>
            <w:bottom w:val="none" w:sz="0" w:space="0" w:color="auto"/>
            <w:right w:val="none" w:sz="0" w:space="0" w:color="auto"/>
          </w:divBdr>
        </w:div>
        <w:div w:id="1420370288">
          <w:marLeft w:val="0"/>
          <w:marRight w:val="0"/>
          <w:marTop w:val="0"/>
          <w:marBottom w:val="0"/>
          <w:divBdr>
            <w:top w:val="none" w:sz="0" w:space="0" w:color="auto"/>
            <w:left w:val="none" w:sz="0" w:space="0" w:color="auto"/>
            <w:bottom w:val="none" w:sz="0" w:space="0" w:color="auto"/>
            <w:right w:val="none" w:sz="0" w:space="0" w:color="auto"/>
          </w:divBdr>
        </w:div>
        <w:div w:id="1211963093">
          <w:marLeft w:val="0"/>
          <w:marRight w:val="0"/>
          <w:marTop w:val="0"/>
          <w:marBottom w:val="0"/>
          <w:divBdr>
            <w:top w:val="none" w:sz="0" w:space="0" w:color="auto"/>
            <w:left w:val="none" w:sz="0" w:space="0" w:color="auto"/>
            <w:bottom w:val="none" w:sz="0" w:space="0" w:color="auto"/>
            <w:right w:val="none" w:sz="0" w:space="0" w:color="auto"/>
          </w:divBdr>
        </w:div>
        <w:div w:id="2085296345">
          <w:marLeft w:val="0"/>
          <w:marRight w:val="0"/>
          <w:marTop w:val="0"/>
          <w:marBottom w:val="0"/>
          <w:divBdr>
            <w:top w:val="none" w:sz="0" w:space="0" w:color="auto"/>
            <w:left w:val="none" w:sz="0" w:space="0" w:color="auto"/>
            <w:bottom w:val="none" w:sz="0" w:space="0" w:color="auto"/>
            <w:right w:val="none" w:sz="0" w:space="0" w:color="auto"/>
          </w:divBdr>
        </w:div>
        <w:div w:id="1552767898">
          <w:marLeft w:val="0"/>
          <w:marRight w:val="0"/>
          <w:marTop w:val="0"/>
          <w:marBottom w:val="0"/>
          <w:divBdr>
            <w:top w:val="none" w:sz="0" w:space="0" w:color="auto"/>
            <w:left w:val="none" w:sz="0" w:space="0" w:color="auto"/>
            <w:bottom w:val="none" w:sz="0" w:space="0" w:color="auto"/>
            <w:right w:val="none" w:sz="0" w:space="0" w:color="auto"/>
          </w:divBdr>
        </w:div>
        <w:div w:id="1033114988">
          <w:marLeft w:val="0"/>
          <w:marRight w:val="0"/>
          <w:marTop w:val="0"/>
          <w:marBottom w:val="0"/>
          <w:divBdr>
            <w:top w:val="none" w:sz="0" w:space="0" w:color="auto"/>
            <w:left w:val="none" w:sz="0" w:space="0" w:color="auto"/>
            <w:bottom w:val="none" w:sz="0" w:space="0" w:color="auto"/>
            <w:right w:val="none" w:sz="0" w:space="0" w:color="auto"/>
          </w:divBdr>
        </w:div>
        <w:div w:id="1601988041">
          <w:marLeft w:val="0"/>
          <w:marRight w:val="0"/>
          <w:marTop w:val="0"/>
          <w:marBottom w:val="0"/>
          <w:divBdr>
            <w:top w:val="none" w:sz="0" w:space="0" w:color="auto"/>
            <w:left w:val="none" w:sz="0" w:space="0" w:color="auto"/>
            <w:bottom w:val="none" w:sz="0" w:space="0" w:color="auto"/>
            <w:right w:val="none" w:sz="0" w:space="0" w:color="auto"/>
          </w:divBdr>
        </w:div>
        <w:div w:id="1998462721">
          <w:marLeft w:val="0"/>
          <w:marRight w:val="0"/>
          <w:marTop w:val="0"/>
          <w:marBottom w:val="0"/>
          <w:divBdr>
            <w:top w:val="none" w:sz="0" w:space="0" w:color="auto"/>
            <w:left w:val="none" w:sz="0" w:space="0" w:color="auto"/>
            <w:bottom w:val="none" w:sz="0" w:space="0" w:color="auto"/>
            <w:right w:val="none" w:sz="0" w:space="0" w:color="auto"/>
          </w:divBdr>
        </w:div>
        <w:div w:id="2100176858">
          <w:marLeft w:val="0"/>
          <w:marRight w:val="0"/>
          <w:marTop w:val="0"/>
          <w:marBottom w:val="0"/>
          <w:divBdr>
            <w:top w:val="none" w:sz="0" w:space="0" w:color="auto"/>
            <w:left w:val="none" w:sz="0" w:space="0" w:color="auto"/>
            <w:bottom w:val="none" w:sz="0" w:space="0" w:color="auto"/>
            <w:right w:val="none" w:sz="0" w:space="0" w:color="auto"/>
          </w:divBdr>
        </w:div>
      </w:divsChild>
    </w:div>
    <w:div w:id="1943174917">
      <w:bodyDiv w:val="1"/>
      <w:marLeft w:val="0"/>
      <w:marRight w:val="0"/>
      <w:marTop w:val="0"/>
      <w:marBottom w:val="0"/>
      <w:divBdr>
        <w:top w:val="none" w:sz="0" w:space="0" w:color="auto"/>
        <w:left w:val="none" w:sz="0" w:space="0" w:color="auto"/>
        <w:bottom w:val="none" w:sz="0" w:space="0" w:color="auto"/>
        <w:right w:val="none" w:sz="0" w:space="0" w:color="auto"/>
      </w:divBdr>
      <w:divsChild>
        <w:div w:id="1171288321">
          <w:marLeft w:val="0"/>
          <w:marRight w:val="0"/>
          <w:marTop w:val="0"/>
          <w:marBottom w:val="0"/>
          <w:divBdr>
            <w:top w:val="none" w:sz="0" w:space="0" w:color="auto"/>
            <w:left w:val="none" w:sz="0" w:space="0" w:color="auto"/>
            <w:bottom w:val="none" w:sz="0" w:space="0" w:color="auto"/>
            <w:right w:val="none" w:sz="0" w:space="0" w:color="auto"/>
          </w:divBdr>
        </w:div>
        <w:div w:id="1552156898">
          <w:marLeft w:val="0"/>
          <w:marRight w:val="0"/>
          <w:marTop w:val="0"/>
          <w:marBottom w:val="0"/>
          <w:divBdr>
            <w:top w:val="none" w:sz="0" w:space="0" w:color="auto"/>
            <w:left w:val="none" w:sz="0" w:space="0" w:color="auto"/>
            <w:bottom w:val="none" w:sz="0" w:space="0" w:color="auto"/>
            <w:right w:val="none" w:sz="0" w:space="0" w:color="auto"/>
          </w:divBdr>
        </w:div>
        <w:div w:id="1173910380">
          <w:marLeft w:val="0"/>
          <w:marRight w:val="0"/>
          <w:marTop w:val="0"/>
          <w:marBottom w:val="0"/>
          <w:divBdr>
            <w:top w:val="none" w:sz="0" w:space="0" w:color="auto"/>
            <w:left w:val="none" w:sz="0" w:space="0" w:color="auto"/>
            <w:bottom w:val="none" w:sz="0" w:space="0" w:color="auto"/>
            <w:right w:val="none" w:sz="0" w:space="0" w:color="auto"/>
          </w:divBdr>
        </w:div>
        <w:div w:id="368533283">
          <w:marLeft w:val="0"/>
          <w:marRight w:val="0"/>
          <w:marTop w:val="0"/>
          <w:marBottom w:val="0"/>
          <w:divBdr>
            <w:top w:val="none" w:sz="0" w:space="0" w:color="auto"/>
            <w:left w:val="none" w:sz="0" w:space="0" w:color="auto"/>
            <w:bottom w:val="none" w:sz="0" w:space="0" w:color="auto"/>
            <w:right w:val="none" w:sz="0" w:space="0" w:color="auto"/>
          </w:divBdr>
        </w:div>
        <w:div w:id="1450004128">
          <w:marLeft w:val="0"/>
          <w:marRight w:val="0"/>
          <w:marTop w:val="0"/>
          <w:marBottom w:val="0"/>
          <w:divBdr>
            <w:top w:val="none" w:sz="0" w:space="0" w:color="auto"/>
            <w:left w:val="none" w:sz="0" w:space="0" w:color="auto"/>
            <w:bottom w:val="none" w:sz="0" w:space="0" w:color="auto"/>
            <w:right w:val="none" w:sz="0" w:space="0" w:color="auto"/>
          </w:divBdr>
        </w:div>
        <w:div w:id="30039540">
          <w:marLeft w:val="0"/>
          <w:marRight w:val="0"/>
          <w:marTop w:val="0"/>
          <w:marBottom w:val="0"/>
          <w:divBdr>
            <w:top w:val="none" w:sz="0" w:space="0" w:color="auto"/>
            <w:left w:val="none" w:sz="0" w:space="0" w:color="auto"/>
            <w:bottom w:val="none" w:sz="0" w:space="0" w:color="auto"/>
            <w:right w:val="none" w:sz="0" w:space="0" w:color="auto"/>
          </w:divBdr>
        </w:div>
        <w:div w:id="2110808359">
          <w:marLeft w:val="0"/>
          <w:marRight w:val="0"/>
          <w:marTop w:val="0"/>
          <w:marBottom w:val="0"/>
          <w:divBdr>
            <w:top w:val="none" w:sz="0" w:space="0" w:color="auto"/>
            <w:left w:val="none" w:sz="0" w:space="0" w:color="auto"/>
            <w:bottom w:val="none" w:sz="0" w:space="0" w:color="auto"/>
            <w:right w:val="none" w:sz="0" w:space="0" w:color="auto"/>
          </w:divBdr>
        </w:div>
        <w:div w:id="744498091">
          <w:marLeft w:val="0"/>
          <w:marRight w:val="0"/>
          <w:marTop w:val="0"/>
          <w:marBottom w:val="0"/>
          <w:divBdr>
            <w:top w:val="none" w:sz="0" w:space="0" w:color="auto"/>
            <w:left w:val="none" w:sz="0" w:space="0" w:color="auto"/>
            <w:bottom w:val="none" w:sz="0" w:space="0" w:color="auto"/>
            <w:right w:val="none" w:sz="0" w:space="0" w:color="auto"/>
          </w:divBdr>
        </w:div>
        <w:div w:id="1667171571">
          <w:marLeft w:val="0"/>
          <w:marRight w:val="0"/>
          <w:marTop w:val="0"/>
          <w:marBottom w:val="0"/>
          <w:divBdr>
            <w:top w:val="none" w:sz="0" w:space="0" w:color="auto"/>
            <w:left w:val="none" w:sz="0" w:space="0" w:color="auto"/>
            <w:bottom w:val="none" w:sz="0" w:space="0" w:color="auto"/>
            <w:right w:val="none" w:sz="0" w:space="0" w:color="auto"/>
          </w:divBdr>
        </w:div>
        <w:div w:id="1528593272">
          <w:marLeft w:val="0"/>
          <w:marRight w:val="0"/>
          <w:marTop w:val="0"/>
          <w:marBottom w:val="0"/>
          <w:divBdr>
            <w:top w:val="none" w:sz="0" w:space="0" w:color="auto"/>
            <w:left w:val="none" w:sz="0" w:space="0" w:color="auto"/>
            <w:bottom w:val="none" w:sz="0" w:space="0" w:color="auto"/>
            <w:right w:val="none" w:sz="0" w:space="0" w:color="auto"/>
          </w:divBdr>
        </w:div>
        <w:div w:id="149456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c.gov.au/gsp/rogs/2013"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ederalfinancialrelations.gov.au/content/npa/housing/affordable/national-agreement.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hcsia.gov.au/our-responsibilities/housing-support/programs-services/homelessness/exposure-draft-public-housing-tenants-support-bill-2013" TargetMode="External"/><Relationship Id="rId3" Type="http://schemas.openxmlformats.org/officeDocument/2006/relationships/hyperlink" Target="http://www.fahcsia.gov.au/our-responsibilities/housing-support/programs-services/homelessness/exposure-draft-public-housing-tenants-support-bill-2013" TargetMode="External"/><Relationship Id="rId7" Type="http://schemas.openxmlformats.org/officeDocument/2006/relationships/hyperlink" Target="http://www.federalfinancialrelations.gov.au/content/npa/housing/affordable/national-agreement.pdf" TargetMode="External"/><Relationship Id="rId2" Type="http://schemas.openxmlformats.org/officeDocument/2006/relationships/hyperlink" Target="http://www.ahuri.edu.au/publications/projects/p82014" TargetMode="External"/><Relationship Id="rId1" Type="http://schemas.openxmlformats.org/officeDocument/2006/relationships/hyperlink" Target="http://www.fahcsia.gov.au/our-responsibilities/housing-support/programs-services/homelessness/coag-select-council-on-housing-and-homelessness" TargetMode="External"/><Relationship Id="rId6" Type="http://schemas.openxmlformats.org/officeDocument/2006/relationships/hyperlink" Target="http://www.natsem.canberra.edu.au/publications/?publication=the-great-australian-dream-just-a-dream" TargetMode="External"/><Relationship Id="rId5" Type="http://schemas.openxmlformats.org/officeDocument/2006/relationships/hyperlink" Target="http://www.fahcsia.gov.au/our-responsibilities/housing-support/programs-services/homelessness/the-road-home-the-australian-government-white-paper-on-homelessness-0" TargetMode="External"/><Relationship Id="rId4" Type="http://schemas.openxmlformats.org/officeDocument/2006/relationships/hyperlink" Target="http://www.ahuri.edu.au/publications/projects/p40192/" TargetMode="External"/><Relationship Id="rId9" Type="http://schemas.openxmlformats.org/officeDocument/2006/relationships/hyperlink" Target="http://www.fahcsia.gov.au/our-responsibilities/housing-support/programs-services/homelessness/the-road-home-the-australian-government-white-paper-on-homelessness-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722C0-DEE8-403B-812A-1AFA1615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2349</Words>
  <Characters>13700</Characters>
  <Application>Microsoft Office Word</Application>
  <DocSecurity>12</DocSecurity>
  <Lines>268</Lines>
  <Paragraphs>91</Paragraphs>
  <ScaleCrop>false</ScaleCrop>
  <HeadingPairs>
    <vt:vector size="2" baseType="variant">
      <vt:variant>
        <vt:lpstr>Title</vt:lpstr>
      </vt:variant>
      <vt:variant>
        <vt:i4>1</vt:i4>
      </vt:variant>
    </vt:vector>
  </HeadingPairs>
  <TitlesOfParts>
    <vt:vector size="1" baseType="lpstr">
      <vt:lpstr/>
    </vt:vector>
  </TitlesOfParts>
  <Company>AFHO</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Clarke</dc:creator>
  <cp:lastModifiedBy>Fahcsia</cp:lastModifiedBy>
  <cp:revision>2</cp:revision>
  <cp:lastPrinted>2013-04-26T04:22:00Z</cp:lastPrinted>
  <dcterms:created xsi:type="dcterms:W3CDTF">2013-05-28T06:23:00Z</dcterms:created>
  <dcterms:modified xsi:type="dcterms:W3CDTF">2013-05-28T06:23:00Z</dcterms:modified>
</cp:coreProperties>
</file>