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C8" w:rsidRPr="00E249E9" w:rsidRDefault="00360FC8" w:rsidP="00F55DF0">
      <w:pPr>
        <w:pStyle w:val="Heading1"/>
        <w:rPr>
          <w:sz w:val="20"/>
        </w:rPr>
      </w:pPr>
      <w:bookmarkStart w:id="0" w:name="_Toc384635974"/>
      <w:bookmarkStart w:id="1" w:name="_Toc384648388"/>
      <w:bookmarkStart w:id="2" w:name="_Toc384649301"/>
      <w:bookmarkStart w:id="3" w:name="_Toc384713443"/>
      <w:r w:rsidRPr="00E95749">
        <w:t>Video 12: Making rights a reality: Further information and resources</w:t>
      </w:r>
      <w:bookmarkEnd w:id="0"/>
      <w:bookmarkEnd w:id="1"/>
      <w:bookmarkEnd w:id="2"/>
      <w:bookmarkEnd w:id="3"/>
    </w:p>
    <w:p w:rsidR="00360FC8" w:rsidRPr="00E73DA8" w:rsidRDefault="00360FC8" w:rsidP="00E73DA8">
      <w:pPr>
        <w:pStyle w:val="Heading2"/>
        <w:rPr>
          <w:sz w:val="24"/>
          <w:szCs w:val="24"/>
        </w:rPr>
      </w:pPr>
      <w:bookmarkStart w:id="4" w:name="_Toc384635975"/>
      <w:bookmarkStart w:id="5" w:name="_Toc384648389"/>
      <w:bookmarkStart w:id="6" w:name="_Toc384649302"/>
      <w:bookmarkStart w:id="7" w:name="_Toc384713444"/>
      <w:r w:rsidRPr="00E73DA8">
        <w:rPr>
          <w:sz w:val="24"/>
          <w:szCs w:val="24"/>
        </w:rPr>
        <w:t xml:space="preserve">United Nations Convention on the Rights of Persons with Disabilities – </w:t>
      </w:r>
      <w:proofErr w:type="spellStart"/>
      <w:r w:rsidRPr="00E73DA8">
        <w:rPr>
          <w:sz w:val="24"/>
          <w:szCs w:val="24"/>
        </w:rPr>
        <w:t>Auslan</w:t>
      </w:r>
      <w:proofErr w:type="spellEnd"/>
      <w:r w:rsidRPr="00E73DA8">
        <w:rPr>
          <w:sz w:val="24"/>
          <w:szCs w:val="24"/>
        </w:rPr>
        <w:t> Version</w:t>
      </w:r>
      <w:bookmarkEnd w:id="4"/>
      <w:bookmarkEnd w:id="5"/>
      <w:bookmarkEnd w:id="6"/>
      <w:bookmarkEnd w:id="7"/>
    </w:p>
    <w:p w:rsidR="00360FC8" w:rsidRPr="00F55DF0" w:rsidRDefault="00360FC8" w:rsidP="00F55DF0">
      <w:pPr>
        <w:pStyle w:val="Heading3"/>
      </w:pPr>
      <w:bookmarkStart w:id="8" w:name="_Toc384635976"/>
      <w:bookmarkStart w:id="9" w:name="_Toc384648390"/>
      <w:bookmarkStart w:id="10" w:name="_Toc384649303"/>
      <w:bookmarkStart w:id="11" w:name="_Toc384713445"/>
      <w:r w:rsidRPr="00F55DF0">
        <w:t>Making rights a reality: Further information and resources</w:t>
      </w:r>
      <w:bookmarkEnd w:id="8"/>
      <w:bookmarkEnd w:id="9"/>
      <w:bookmarkEnd w:id="10"/>
      <w:bookmarkEnd w:id="11"/>
    </w:p>
    <w:p w:rsidR="00360FC8" w:rsidRPr="00E249E9" w:rsidRDefault="00360FC8" w:rsidP="00360FC8">
      <w:pPr>
        <w:spacing w:before="96" w:after="96"/>
        <w:rPr>
          <w:sz w:val="20"/>
        </w:rPr>
      </w:pPr>
      <w:r w:rsidRPr="00E249E9">
        <w:rPr>
          <w:sz w:val="20"/>
        </w:rPr>
        <w:t>The Convention is not the only law that protects th</w:t>
      </w:r>
      <w:bookmarkStart w:id="12" w:name="_GoBack"/>
      <w:bookmarkEnd w:id="12"/>
      <w:r w:rsidRPr="00E249E9">
        <w:rPr>
          <w:sz w:val="20"/>
        </w:rPr>
        <w:t xml:space="preserve">e rights of persons with disabilities.  Australia also has the </w:t>
      </w:r>
      <w:r w:rsidRPr="00E249E9">
        <w:rPr>
          <w:rFonts w:ascii="Arial Italic" w:hAnsi="Arial Italic"/>
          <w:sz w:val="20"/>
        </w:rPr>
        <w:t>Disability Discrimination Act 1992 (DDA)</w:t>
      </w:r>
      <w:r w:rsidRPr="00E249E9">
        <w:rPr>
          <w:sz w:val="20"/>
        </w:rPr>
        <w:t xml:space="preserve">.  </w:t>
      </w:r>
    </w:p>
    <w:p w:rsidR="00360FC8" w:rsidRPr="00E249E9" w:rsidRDefault="00360FC8" w:rsidP="00360FC8">
      <w:pPr>
        <w:spacing w:before="96" w:after="96"/>
        <w:rPr>
          <w:sz w:val="20"/>
        </w:rPr>
      </w:pPr>
      <w:r w:rsidRPr="00E249E9">
        <w:rPr>
          <w:sz w:val="20"/>
        </w:rPr>
        <w:t>The DDA prohibits discrimination in many areas, including: employment, education, access to premises and access to goods, services and facilities.</w:t>
      </w:r>
    </w:p>
    <w:p w:rsidR="00360FC8" w:rsidRPr="00E249E9" w:rsidRDefault="00360FC8" w:rsidP="00360FC8">
      <w:pPr>
        <w:spacing w:before="96" w:after="96"/>
        <w:rPr>
          <w:sz w:val="20"/>
        </w:rPr>
      </w:pPr>
      <w:r w:rsidRPr="00E249E9">
        <w:rPr>
          <w:sz w:val="20"/>
        </w:rPr>
        <w:t xml:space="preserve">In Australia, we have an organisation called the Australian Human Rights Commission (AHRC). The Commission has major responsibilities under the Convention and the DDA. </w:t>
      </w:r>
    </w:p>
    <w:p w:rsidR="00360FC8" w:rsidRPr="00E249E9" w:rsidRDefault="00360FC8" w:rsidP="00360FC8">
      <w:pPr>
        <w:spacing w:before="96" w:after="96"/>
        <w:rPr>
          <w:sz w:val="20"/>
        </w:rPr>
      </w:pPr>
      <w:r w:rsidRPr="00E249E9">
        <w:rPr>
          <w:sz w:val="20"/>
        </w:rPr>
        <w:t>The Commission can investigate complaints about discrimination or human rights breaches and try and help you resolve the problem.</w:t>
      </w:r>
    </w:p>
    <w:p w:rsidR="00360FC8" w:rsidRPr="00E249E9" w:rsidRDefault="00360FC8" w:rsidP="00360FC8">
      <w:pPr>
        <w:spacing w:before="96" w:after="96"/>
        <w:rPr>
          <w:sz w:val="20"/>
        </w:rPr>
      </w:pPr>
      <w:r w:rsidRPr="00E249E9">
        <w:rPr>
          <w:sz w:val="20"/>
        </w:rPr>
        <w:t>The AHRC also does lots of different activities, including providing education, training and conducting public inquiries, negotiating disability guidelines and standards, supporting organisations to develop Disability Action Plans and running community education programs, and assisting individuals and organisations to understand their rights and meet their legal responsibilities.</w:t>
      </w:r>
    </w:p>
    <w:p w:rsidR="00360FC8" w:rsidRPr="00E249E9" w:rsidRDefault="00360FC8" w:rsidP="00360FC8">
      <w:pPr>
        <w:spacing w:before="96" w:after="96"/>
        <w:rPr>
          <w:sz w:val="20"/>
        </w:rPr>
      </w:pPr>
      <w:r w:rsidRPr="00E249E9">
        <w:rPr>
          <w:sz w:val="20"/>
        </w:rPr>
        <w:t>This work is led by the Disability Discrimination Commissioner.</w:t>
      </w:r>
    </w:p>
    <w:p w:rsidR="00360FC8" w:rsidRDefault="00360FC8" w:rsidP="00360FC8">
      <w:pPr>
        <w:spacing w:before="96" w:after="96"/>
        <w:rPr>
          <w:sz w:val="20"/>
        </w:rPr>
      </w:pPr>
    </w:p>
    <w:p w:rsidR="00360FC8" w:rsidRPr="00E249E9" w:rsidRDefault="00360FC8" w:rsidP="00360FC8">
      <w:pPr>
        <w:spacing w:before="96" w:after="96"/>
        <w:rPr>
          <w:sz w:val="20"/>
        </w:rPr>
      </w:pPr>
      <w:r w:rsidRPr="00E249E9">
        <w:rPr>
          <w:sz w:val="20"/>
        </w:rPr>
        <w:t xml:space="preserve">This video was funded by the Australian Government. </w:t>
      </w:r>
      <w:r>
        <w:rPr>
          <w:sz w:val="20"/>
        </w:rPr>
        <w:t>© DSS</w:t>
      </w:r>
      <w:r w:rsidRPr="00E249E9">
        <w:rPr>
          <w:sz w:val="20"/>
        </w:rPr>
        <w:t xml:space="preserve"> 201</w:t>
      </w:r>
      <w:r>
        <w:rPr>
          <w:sz w:val="20"/>
        </w:rPr>
        <w:t>4</w:t>
      </w:r>
    </w:p>
    <w:p w:rsidR="00360FC8" w:rsidRPr="002F7840" w:rsidRDefault="00360FC8" w:rsidP="00360FC8">
      <w:pPr>
        <w:spacing w:before="96" w:after="96"/>
        <w:rPr>
          <w:color w:val="000099"/>
          <w:sz w:val="20"/>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5" w:history="1">
        <w:proofErr w:type="gramStart"/>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2F7840" w:rsidRPr="002F7840">
        <w:rPr>
          <w:color w:val="000099"/>
          <w:sz w:val="20"/>
        </w:rPr>
        <w:t>.</w:t>
      </w:r>
      <w:proofErr w:type="gramEnd"/>
    </w:p>
    <w:p w:rsidR="002F7840" w:rsidRDefault="002F7840" w:rsidP="002F7840">
      <w:pPr>
        <w:spacing w:before="96" w:after="96"/>
        <w:rPr>
          <w:sz w:val="20"/>
        </w:rPr>
      </w:pPr>
      <w:r>
        <w:rPr>
          <w:sz w:val="20"/>
        </w:rPr>
        <w:t xml:space="preserve">This document has been sourced from the Department of Social Services website, </w:t>
      </w:r>
      <w:hyperlink r:id="rId6"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2F7840" w:rsidRDefault="002F7840" w:rsidP="00360FC8">
      <w:pPr>
        <w:spacing w:before="96" w:after="96"/>
        <w:rPr>
          <w:sz w:val="20"/>
        </w:rPr>
      </w:pPr>
    </w:p>
    <w:sectPr w:rsidR="002F7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Arial Italic">
    <w:panose1 w:val="020B060402020209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7B"/>
    <w:rsid w:val="001E630D"/>
    <w:rsid w:val="002F7840"/>
    <w:rsid w:val="00360FC8"/>
    <w:rsid w:val="003B2BB8"/>
    <w:rsid w:val="003D34FF"/>
    <w:rsid w:val="004B54CA"/>
    <w:rsid w:val="004E5CBF"/>
    <w:rsid w:val="004F2055"/>
    <w:rsid w:val="005C3AA9"/>
    <w:rsid w:val="006A4CE7"/>
    <w:rsid w:val="00785261"/>
    <w:rsid w:val="007B0256"/>
    <w:rsid w:val="009225F0"/>
    <w:rsid w:val="00BA2DB9"/>
    <w:rsid w:val="00BE7148"/>
    <w:rsid w:val="00CC7FCF"/>
    <w:rsid w:val="00E73DA8"/>
    <w:rsid w:val="00F55DF0"/>
    <w:rsid w:val="00F75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75F7B"/>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E73DA8"/>
    <w:pPr>
      <w:spacing w:line="276" w:lineRule="auto"/>
      <w:contextualSpacing/>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D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2F7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75F7B"/>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E73DA8"/>
    <w:pPr>
      <w:spacing w:line="276" w:lineRule="auto"/>
      <w:contextualSpacing/>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D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2F7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gov.au/our-responsibilities/disability-and-carers/publications-articles/auslan-translation-videos-the-united-nations-convention-on-the-rights-of-persons-with-disabilities" TargetMode="External"/><Relationship Id="rId5" Type="http://schemas.openxmlformats.org/officeDocument/2006/relationships/hyperlink" Target="http://www.deafau.org.au/end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1581</Characters>
  <Application>Microsoft Office Word</Application>
  <DocSecurity>0</DocSecurity>
  <Lines>29</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4</cp:revision>
  <dcterms:created xsi:type="dcterms:W3CDTF">2014-04-17T03:47:00Z</dcterms:created>
  <dcterms:modified xsi:type="dcterms:W3CDTF">2014-04-23T07:36:00Z</dcterms:modified>
</cp:coreProperties>
</file>