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54" w:rsidRPr="007C1872" w:rsidRDefault="00E31D54" w:rsidP="007C1872">
      <w:pPr>
        <w:pStyle w:val="Heading1"/>
      </w:pPr>
      <w:bookmarkStart w:id="0" w:name="_Toc384635971"/>
      <w:bookmarkStart w:id="1" w:name="_Toc384648385"/>
      <w:bookmarkStart w:id="2" w:name="_Toc384649298"/>
      <w:bookmarkStart w:id="3" w:name="_Toc384713440"/>
      <w:r w:rsidRPr="007C1872">
        <w:t xml:space="preserve">Video 11: Making rights a reality: (Final what you can do </w:t>
      </w:r>
      <w:proofErr w:type="spellStart"/>
      <w:r w:rsidRPr="007C1872">
        <w:t>seq</w:t>
      </w:r>
      <w:proofErr w:type="spellEnd"/>
      <w:r w:rsidRPr="007C1872">
        <w:t>)</w:t>
      </w:r>
      <w:bookmarkEnd w:id="0"/>
      <w:bookmarkEnd w:id="1"/>
      <w:bookmarkEnd w:id="2"/>
      <w:bookmarkEnd w:id="3"/>
    </w:p>
    <w:p w:rsidR="00E31D54" w:rsidRPr="007C1872" w:rsidRDefault="00E31D54" w:rsidP="001621A1">
      <w:pPr>
        <w:pStyle w:val="Heading2"/>
        <w:rPr>
          <w:sz w:val="24"/>
          <w:szCs w:val="24"/>
        </w:rPr>
      </w:pPr>
      <w:bookmarkStart w:id="4" w:name="_Toc384635972"/>
      <w:bookmarkStart w:id="5" w:name="_Toc384648386"/>
      <w:bookmarkStart w:id="6" w:name="_Toc384649299"/>
      <w:bookmarkStart w:id="7" w:name="_Toc384713441"/>
      <w:r w:rsidRPr="007C1872">
        <w:rPr>
          <w:sz w:val="24"/>
          <w:szCs w:val="24"/>
        </w:rPr>
        <w:t xml:space="preserve">United Nations Convention on the Rights of Persons with Disabilities – </w:t>
      </w:r>
      <w:proofErr w:type="spellStart"/>
      <w:r w:rsidRPr="007C1872">
        <w:rPr>
          <w:sz w:val="24"/>
          <w:szCs w:val="24"/>
        </w:rPr>
        <w:t>Auslan</w:t>
      </w:r>
      <w:proofErr w:type="spellEnd"/>
      <w:r w:rsidRPr="007C1872">
        <w:rPr>
          <w:sz w:val="24"/>
          <w:szCs w:val="24"/>
        </w:rPr>
        <w:t> Version</w:t>
      </w:r>
      <w:bookmarkEnd w:id="4"/>
      <w:bookmarkEnd w:id="5"/>
      <w:bookmarkEnd w:id="6"/>
      <w:bookmarkEnd w:id="7"/>
    </w:p>
    <w:p w:rsidR="00E31D54" w:rsidRPr="007C1872" w:rsidRDefault="00E31D54" w:rsidP="001621A1">
      <w:pPr>
        <w:pStyle w:val="Heading3"/>
        <w:rPr>
          <w:sz w:val="22"/>
          <w:szCs w:val="22"/>
        </w:rPr>
      </w:pPr>
      <w:bookmarkStart w:id="8" w:name="_Toc384635973"/>
      <w:bookmarkStart w:id="9" w:name="_Toc384648387"/>
      <w:bookmarkStart w:id="10" w:name="_Toc384649300"/>
      <w:bookmarkStart w:id="11" w:name="_Toc384713442"/>
      <w:r w:rsidRPr="007C1872">
        <w:rPr>
          <w:sz w:val="22"/>
          <w:szCs w:val="22"/>
        </w:rPr>
        <w:t>Making rights a reality: What you can do</w:t>
      </w:r>
      <w:bookmarkEnd w:id="8"/>
      <w:bookmarkEnd w:id="9"/>
      <w:bookmarkEnd w:id="10"/>
      <w:bookmarkEnd w:id="11"/>
    </w:p>
    <w:p w:rsidR="00E31D54" w:rsidRPr="00E249E9" w:rsidRDefault="00E31D54" w:rsidP="00E31D54">
      <w:pPr>
        <w:spacing w:before="96" w:after="96"/>
        <w:rPr>
          <w:sz w:val="20"/>
        </w:rPr>
      </w:pPr>
      <w:r w:rsidRPr="00E249E9">
        <w:rPr>
          <w:sz w:val="20"/>
        </w:rPr>
        <w:t>Tell people and</w:t>
      </w:r>
      <w:bookmarkStart w:id="12" w:name="_GoBack"/>
      <w:bookmarkEnd w:id="12"/>
      <w:r w:rsidRPr="00E249E9">
        <w:rPr>
          <w:sz w:val="20"/>
        </w:rPr>
        <w:t xml:space="preserve"> organisations about the Convention. Make sure people understand their rights and obligations. </w:t>
      </w:r>
    </w:p>
    <w:p w:rsidR="00E31D54" w:rsidRPr="00E249E9" w:rsidRDefault="00E31D54" w:rsidP="00E31D54">
      <w:pPr>
        <w:spacing w:before="96" w:after="96"/>
        <w:rPr>
          <w:sz w:val="20"/>
        </w:rPr>
      </w:pPr>
      <w:r w:rsidRPr="00E249E9">
        <w:rPr>
          <w:sz w:val="20"/>
        </w:rPr>
        <w:t xml:space="preserve">You could do this by: </w:t>
      </w:r>
    </w:p>
    <w:p w:rsidR="00E31D54" w:rsidRPr="00E249E9" w:rsidRDefault="00E31D54" w:rsidP="00E31D54">
      <w:pPr>
        <w:numPr>
          <w:ilvl w:val="0"/>
          <w:numId w:val="1"/>
        </w:numPr>
        <w:tabs>
          <w:tab w:val="clear" w:pos="120"/>
          <w:tab w:val="num" w:pos="480"/>
        </w:tabs>
        <w:spacing w:before="96" w:after="96"/>
        <w:ind w:left="480" w:hanging="120"/>
        <w:rPr>
          <w:sz w:val="20"/>
        </w:rPr>
      </w:pPr>
      <w:r w:rsidRPr="00E249E9">
        <w:rPr>
          <w:sz w:val="20"/>
        </w:rPr>
        <w:t>talking to people</w:t>
      </w:r>
      <w:r>
        <w:rPr>
          <w:sz w:val="20"/>
        </w:rPr>
        <w:t>;</w:t>
      </w:r>
    </w:p>
    <w:p w:rsidR="00E31D54" w:rsidRPr="00E249E9" w:rsidRDefault="00E31D54" w:rsidP="00E31D54">
      <w:pPr>
        <w:numPr>
          <w:ilvl w:val="0"/>
          <w:numId w:val="1"/>
        </w:numPr>
        <w:tabs>
          <w:tab w:val="clear" w:pos="120"/>
          <w:tab w:val="num" w:pos="480"/>
        </w:tabs>
        <w:spacing w:before="96" w:after="96"/>
        <w:ind w:left="480" w:hanging="120"/>
        <w:rPr>
          <w:sz w:val="20"/>
        </w:rPr>
      </w:pPr>
      <w:r w:rsidRPr="00E249E9">
        <w:rPr>
          <w:sz w:val="20"/>
        </w:rPr>
        <w:t>putting information online or in newsletters or newspaper articles</w:t>
      </w:r>
      <w:r>
        <w:rPr>
          <w:sz w:val="20"/>
        </w:rPr>
        <w:t>;</w:t>
      </w:r>
    </w:p>
    <w:p w:rsidR="00E31D54" w:rsidRPr="00E249E9" w:rsidRDefault="00E31D54" w:rsidP="00E31D54">
      <w:pPr>
        <w:numPr>
          <w:ilvl w:val="0"/>
          <w:numId w:val="1"/>
        </w:numPr>
        <w:tabs>
          <w:tab w:val="clear" w:pos="120"/>
          <w:tab w:val="num" w:pos="480"/>
        </w:tabs>
        <w:spacing w:before="96" w:after="96"/>
        <w:ind w:left="480" w:hanging="120"/>
        <w:rPr>
          <w:sz w:val="20"/>
        </w:rPr>
      </w:pPr>
      <w:r w:rsidRPr="00E249E9">
        <w:rPr>
          <w:sz w:val="20"/>
        </w:rPr>
        <w:t>speaking about it at meetings</w:t>
      </w:r>
      <w:r>
        <w:rPr>
          <w:sz w:val="20"/>
        </w:rPr>
        <w:t>;</w:t>
      </w:r>
    </w:p>
    <w:p w:rsidR="00E31D54" w:rsidRPr="00E249E9" w:rsidRDefault="00E31D54" w:rsidP="00E31D54">
      <w:pPr>
        <w:numPr>
          <w:ilvl w:val="0"/>
          <w:numId w:val="1"/>
        </w:numPr>
        <w:tabs>
          <w:tab w:val="clear" w:pos="120"/>
          <w:tab w:val="num" w:pos="480"/>
        </w:tabs>
        <w:spacing w:before="96" w:after="96"/>
        <w:ind w:left="480" w:hanging="120"/>
        <w:rPr>
          <w:sz w:val="20"/>
        </w:rPr>
      </w:pPr>
      <w:r w:rsidRPr="00E249E9">
        <w:rPr>
          <w:sz w:val="20"/>
        </w:rPr>
        <w:t>highlighting your rights and performing them in plays or films</w:t>
      </w:r>
      <w:r>
        <w:rPr>
          <w:sz w:val="20"/>
        </w:rPr>
        <w:t>;</w:t>
      </w:r>
    </w:p>
    <w:p w:rsidR="00E31D54" w:rsidRPr="00E249E9" w:rsidRDefault="00E31D54" w:rsidP="00E31D54">
      <w:pPr>
        <w:numPr>
          <w:ilvl w:val="0"/>
          <w:numId w:val="1"/>
        </w:numPr>
        <w:tabs>
          <w:tab w:val="clear" w:pos="120"/>
          <w:tab w:val="num" w:pos="480"/>
        </w:tabs>
        <w:spacing w:before="96" w:after="96"/>
        <w:ind w:left="480" w:hanging="120"/>
        <w:rPr>
          <w:sz w:val="20"/>
        </w:rPr>
      </w:pPr>
      <w:r w:rsidRPr="00E249E9">
        <w:rPr>
          <w:sz w:val="20"/>
        </w:rPr>
        <w:t>writing a report or letter and discussing it with your local MP</w:t>
      </w:r>
      <w:r>
        <w:rPr>
          <w:sz w:val="20"/>
        </w:rPr>
        <w:t>; and</w:t>
      </w:r>
    </w:p>
    <w:p w:rsidR="00E31D54" w:rsidRPr="00E249E9" w:rsidRDefault="00E31D54" w:rsidP="00E31D54">
      <w:pPr>
        <w:numPr>
          <w:ilvl w:val="0"/>
          <w:numId w:val="1"/>
        </w:numPr>
        <w:tabs>
          <w:tab w:val="clear" w:pos="120"/>
          <w:tab w:val="num" w:pos="480"/>
        </w:tabs>
        <w:spacing w:before="96" w:after="96"/>
        <w:ind w:left="720" w:hanging="360"/>
        <w:rPr>
          <w:sz w:val="20"/>
        </w:rPr>
      </w:pPr>
      <w:proofErr w:type="gramStart"/>
      <w:r w:rsidRPr="00E249E9">
        <w:rPr>
          <w:sz w:val="20"/>
        </w:rPr>
        <w:t>telling</w:t>
      </w:r>
      <w:proofErr w:type="gramEnd"/>
      <w:r w:rsidRPr="00E249E9">
        <w:rPr>
          <w:sz w:val="20"/>
        </w:rPr>
        <w:t xml:space="preserve"> local services how the things they do affect people with a disability, or using the Convention with laws like the </w:t>
      </w:r>
      <w:r w:rsidRPr="00E249E9">
        <w:rPr>
          <w:rFonts w:ascii="Arial Italic" w:hAnsi="Arial Italic"/>
          <w:sz w:val="20"/>
        </w:rPr>
        <w:t>Disability Discrimination Act 1992</w:t>
      </w:r>
      <w:r w:rsidRPr="00E249E9">
        <w:rPr>
          <w:sz w:val="20"/>
        </w:rPr>
        <w:t>.</w:t>
      </w:r>
    </w:p>
    <w:p w:rsidR="00E31D54" w:rsidRPr="00E249E9" w:rsidRDefault="00E31D54" w:rsidP="00E31D54">
      <w:pPr>
        <w:spacing w:before="96" w:after="96"/>
        <w:rPr>
          <w:sz w:val="20"/>
        </w:rPr>
      </w:pPr>
      <w:r w:rsidRPr="00E249E9">
        <w:rPr>
          <w:sz w:val="20"/>
        </w:rPr>
        <w:t>If you feel you have been discriminated against, and a person or organisation is not following the principles of the Convention, there are a number of things you can do:</w:t>
      </w:r>
    </w:p>
    <w:p w:rsidR="00E31D54" w:rsidRPr="00E249E9" w:rsidRDefault="00E31D54" w:rsidP="00E31D54">
      <w:pPr>
        <w:numPr>
          <w:ilvl w:val="0"/>
          <w:numId w:val="2"/>
        </w:numPr>
        <w:tabs>
          <w:tab w:val="clear" w:pos="360"/>
          <w:tab w:val="num" w:pos="720"/>
        </w:tabs>
        <w:spacing w:before="96" w:after="96"/>
        <w:ind w:left="720" w:hanging="360"/>
        <w:rPr>
          <w:sz w:val="20"/>
        </w:rPr>
      </w:pPr>
      <w:r w:rsidRPr="00E249E9">
        <w:rPr>
          <w:sz w:val="20"/>
        </w:rPr>
        <w:t xml:space="preserve">Try to resolve the situation yourself – talk to the organisation or person and try to help them understand your point of view. It is important to decide which right in the Convention you are talking </w:t>
      </w:r>
      <w:proofErr w:type="gramStart"/>
      <w:r w:rsidRPr="00E249E9">
        <w:rPr>
          <w:sz w:val="20"/>
        </w:rPr>
        <w:t>about,</w:t>
      </w:r>
      <w:proofErr w:type="gramEnd"/>
      <w:r w:rsidRPr="00E249E9">
        <w:rPr>
          <w:sz w:val="20"/>
        </w:rPr>
        <w:t xml:space="preserve"> say how the organisation is not meeting this right and be clear about how they could change things.</w:t>
      </w:r>
    </w:p>
    <w:p w:rsidR="00E31D54" w:rsidRPr="00E249E9" w:rsidRDefault="00E31D54" w:rsidP="00E31D54">
      <w:pPr>
        <w:numPr>
          <w:ilvl w:val="0"/>
          <w:numId w:val="2"/>
        </w:numPr>
        <w:tabs>
          <w:tab w:val="clear" w:pos="360"/>
          <w:tab w:val="num" w:pos="720"/>
        </w:tabs>
        <w:spacing w:before="96" w:after="96"/>
        <w:ind w:left="720" w:hanging="360"/>
        <w:rPr>
          <w:sz w:val="20"/>
        </w:rPr>
      </w:pPr>
      <w:r w:rsidRPr="00E249E9">
        <w:rPr>
          <w:sz w:val="20"/>
        </w:rPr>
        <w:t>Contact your peak body for help or to make a complaint – for Deaf people, this is Deaf Australia.</w:t>
      </w:r>
    </w:p>
    <w:p w:rsidR="00E31D54" w:rsidRPr="00E249E9" w:rsidRDefault="00E31D54" w:rsidP="00E31D54">
      <w:pPr>
        <w:numPr>
          <w:ilvl w:val="0"/>
          <w:numId w:val="2"/>
        </w:numPr>
        <w:tabs>
          <w:tab w:val="clear" w:pos="360"/>
          <w:tab w:val="num" w:pos="720"/>
        </w:tabs>
        <w:spacing w:before="96" w:after="96"/>
        <w:ind w:left="720" w:hanging="360"/>
        <w:rPr>
          <w:sz w:val="20"/>
        </w:rPr>
      </w:pPr>
      <w:r w:rsidRPr="00E249E9">
        <w:rPr>
          <w:sz w:val="20"/>
        </w:rPr>
        <w:t>Lodge a complaint with the Australian Human Rights Commission. The Commission can investigate complaints of discrimination and human rights breaches.</w:t>
      </w:r>
    </w:p>
    <w:p w:rsidR="00E31D54" w:rsidRPr="00E249E9" w:rsidRDefault="00E31D54" w:rsidP="00E31D54">
      <w:pPr>
        <w:numPr>
          <w:ilvl w:val="0"/>
          <w:numId w:val="2"/>
        </w:numPr>
        <w:tabs>
          <w:tab w:val="clear" w:pos="360"/>
          <w:tab w:val="num" w:pos="720"/>
        </w:tabs>
        <w:spacing w:before="96" w:after="96"/>
        <w:ind w:left="720" w:hanging="360"/>
        <w:rPr>
          <w:sz w:val="20"/>
        </w:rPr>
      </w:pPr>
      <w:r w:rsidRPr="00E249E9">
        <w:rPr>
          <w:sz w:val="20"/>
        </w:rPr>
        <w:t>Lodge a complaint with the UN Committee. You can make a complaint about any of the rights in the Convention, but only after you have tried every option to solve the problem in Australia.</w:t>
      </w:r>
    </w:p>
    <w:p w:rsidR="00E31D54" w:rsidRDefault="00E31D54" w:rsidP="00E31D54">
      <w:pPr>
        <w:spacing w:before="96" w:after="96"/>
        <w:rPr>
          <w:sz w:val="20"/>
        </w:rPr>
      </w:pPr>
    </w:p>
    <w:p w:rsidR="00E31D54" w:rsidRPr="00E249E9" w:rsidRDefault="00E31D54" w:rsidP="00E31D54">
      <w:pPr>
        <w:spacing w:before="96" w:after="96"/>
        <w:rPr>
          <w:sz w:val="20"/>
        </w:rPr>
      </w:pPr>
      <w:r w:rsidRPr="00E249E9">
        <w:rPr>
          <w:sz w:val="20"/>
        </w:rPr>
        <w:t xml:space="preserve">This video was funded by the Australian Government. </w:t>
      </w:r>
      <w:r>
        <w:rPr>
          <w:sz w:val="20"/>
        </w:rPr>
        <w:t>© DSS</w:t>
      </w:r>
      <w:r w:rsidRPr="00E249E9">
        <w:rPr>
          <w:sz w:val="20"/>
        </w:rPr>
        <w:t xml:space="preserve"> 201</w:t>
      </w:r>
      <w:r>
        <w:rPr>
          <w:sz w:val="20"/>
        </w:rPr>
        <w:t>4</w:t>
      </w:r>
    </w:p>
    <w:p w:rsidR="00E31D54" w:rsidRPr="00936027" w:rsidRDefault="00E31D54" w:rsidP="00E31D54">
      <w:pPr>
        <w:spacing w:before="96" w:after="96"/>
        <w:rPr>
          <w:color w:val="000099"/>
          <w:sz w:val="20"/>
        </w:rPr>
      </w:pPr>
      <w:r>
        <w:rPr>
          <w:sz w:val="20"/>
        </w:rPr>
        <w:t>This video accompanying this text was e</w:t>
      </w:r>
      <w:r w:rsidRPr="00E249E9">
        <w:rPr>
          <w:sz w:val="20"/>
        </w:rPr>
        <w:t xml:space="preserve">ndorsed by Deaf Australia. Category 1: </w:t>
      </w:r>
      <w:proofErr w:type="spellStart"/>
      <w:r w:rsidRPr="00E249E9">
        <w:rPr>
          <w:sz w:val="20"/>
        </w:rPr>
        <w:t>Auslan</w:t>
      </w:r>
      <w:proofErr w:type="spellEnd"/>
      <w:r w:rsidRPr="00E249E9">
        <w:rPr>
          <w:sz w:val="20"/>
        </w:rPr>
        <w:t xml:space="preserve"> signs, </w:t>
      </w:r>
      <w:proofErr w:type="spellStart"/>
      <w:r w:rsidRPr="00E249E9">
        <w:rPr>
          <w:sz w:val="20"/>
        </w:rPr>
        <w:t>Auslan</w:t>
      </w:r>
      <w:proofErr w:type="spellEnd"/>
      <w:r w:rsidRPr="00E249E9">
        <w:rPr>
          <w:sz w:val="20"/>
        </w:rPr>
        <w:t xml:space="preserve"> grammar. </w:t>
      </w:r>
      <w:hyperlink r:id="rId6" w:history="1">
        <w:proofErr w:type="gramStart"/>
        <w:r>
          <w:rPr>
            <w:color w:val="000099"/>
            <w:sz w:val="20"/>
            <w:u w:val="single"/>
          </w:rPr>
          <w:t xml:space="preserve">Deaf Australia </w:t>
        </w:r>
        <w:proofErr w:type="spellStart"/>
        <w:r>
          <w:rPr>
            <w:color w:val="000099"/>
            <w:sz w:val="20"/>
            <w:u w:val="single"/>
          </w:rPr>
          <w:t>Inc</w:t>
        </w:r>
        <w:proofErr w:type="spellEnd"/>
        <w:r>
          <w:rPr>
            <w:color w:val="000099"/>
            <w:sz w:val="20"/>
            <w:u w:val="single"/>
          </w:rPr>
          <w:t xml:space="preserve"> website</w:t>
        </w:r>
      </w:hyperlink>
      <w:r w:rsidR="00936027" w:rsidRPr="00936027">
        <w:rPr>
          <w:color w:val="000099"/>
          <w:sz w:val="20"/>
        </w:rPr>
        <w:t>.</w:t>
      </w:r>
      <w:proofErr w:type="gramEnd"/>
    </w:p>
    <w:p w:rsidR="00936027" w:rsidRDefault="00936027" w:rsidP="00936027">
      <w:pPr>
        <w:spacing w:before="96" w:after="96"/>
        <w:rPr>
          <w:sz w:val="20"/>
        </w:rPr>
      </w:pPr>
      <w:r>
        <w:rPr>
          <w:sz w:val="20"/>
        </w:rPr>
        <w:t xml:space="preserve">This document has been sourced from the Department of Social Services website, </w:t>
      </w:r>
      <w:hyperlink r:id="rId7" w:history="1">
        <w:proofErr w:type="spellStart"/>
        <w:r>
          <w:rPr>
            <w:rStyle w:val="Hyperlink"/>
            <w:sz w:val="20"/>
          </w:rPr>
          <w:t>Auslan</w:t>
        </w:r>
        <w:proofErr w:type="spellEnd"/>
        <w:r>
          <w:rPr>
            <w:rStyle w:val="Hyperlink"/>
            <w:sz w:val="20"/>
          </w:rPr>
          <w:t xml:space="preserve"> translation videos: The United Nations Convention on the rights of Persons with Disabilities</w:t>
        </w:r>
      </w:hyperlink>
      <w:r>
        <w:rPr>
          <w:sz w:val="20"/>
        </w:rPr>
        <w:t>.</w:t>
      </w:r>
    </w:p>
    <w:p w:rsidR="00936027" w:rsidRDefault="00936027" w:rsidP="00E31D54">
      <w:pPr>
        <w:spacing w:before="96" w:after="96"/>
        <w:rPr>
          <w:sz w:val="20"/>
        </w:rPr>
      </w:pPr>
    </w:p>
    <w:sectPr w:rsidR="0093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0"/>
        </w:tabs>
        <w:ind w:left="12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120"/>
        </w:tabs>
        <w:ind w:left="120" w:firstLine="1080"/>
      </w:pPr>
      <w:rPr>
        <w:rFonts w:ascii="Times New Roman" w:eastAsia="ヒラギノ角ゴ Pro W3" w:hAnsi="Times New Roman" w:hint="default"/>
        <w:vanish w:val="0"/>
        <w:color w:val="000000"/>
        <w:position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20"/>
        </w:tabs>
        <w:ind w:left="120" w:firstLine="1800"/>
      </w:pPr>
      <w:rPr>
        <w:rFonts w:ascii="Times New Roman" w:eastAsia="ヒラギノ角ゴ Pro W3" w:hAnsi="Times New Roman" w:hint="default"/>
        <w:vanish w:val="0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20"/>
        </w:tabs>
        <w:ind w:left="12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20"/>
        </w:tabs>
        <w:ind w:left="12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20"/>
        </w:tabs>
        <w:ind w:left="12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20"/>
        </w:tabs>
        <w:ind w:left="12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20"/>
        </w:tabs>
        <w:ind w:left="12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20"/>
        </w:tabs>
        <w:ind w:left="12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7B"/>
    <w:rsid w:val="001621A1"/>
    <w:rsid w:val="001E630D"/>
    <w:rsid w:val="003B2BB8"/>
    <w:rsid w:val="003D34FF"/>
    <w:rsid w:val="004B54CA"/>
    <w:rsid w:val="004E5CBF"/>
    <w:rsid w:val="005C3AA9"/>
    <w:rsid w:val="006A4CE7"/>
    <w:rsid w:val="00785261"/>
    <w:rsid w:val="007B0256"/>
    <w:rsid w:val="007C1872"/>
    <w:rsid w:val="009225F0"/>
    <w:rsid w:val="00936027"/>
    <w:rsid w:val="00B754E0"/>
    <w:rsid w:val="00BA2DB9"/>
    <w:rsid w:val="00BE7148"/>
    <w:rsid w:val="00CB3B7B"/>
    <w:rsid w:val="00CC7FCF"/>
    <w:rsid w:val="00E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B3B7B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872"/>
    <w:pPr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872"/>
    <w:rPr>
      <w:rFonts w:ascii="Arial" w:eastAsiaTheme="majorEastAsia" w:hAnsi="Arial" w:cstheme="majorBidi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uiPriority w:val="99"/>
    <w:semiHidden/>
    <w:unhideWhenUsed/>
    <w:rsid w:val="00936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B3B7B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872"/>
    <w:pPr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872"/>
    <w:rPr>
      <w:rFonts w:ascii="Arial" w:eastAsiaTheme="majorEastAsia" w:hAnsi="Arial" w:cstheme="majorBidi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uiPriority w:val="99"/>
    <w:semiHidden/>
    <w:unhideWhenUsed/>
    <w:rsid w:val="00936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ss.gov.au/our-responsibilities/disability-and-carers/publications-articles/auslan-translation-videos-the-united-nations-convention-on-the-rights-of-persons-with-disabi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fau.org.au/endor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1924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Nicola</dc:creator>
  <cp:keywords/>
  <dc:description/>
  <cp:lastModifiedBy>TRIONE, Zelda</cp:lastModifiedBy>
  <cp:revision>4</cp:revision>
  <dcterms:created xsi:type="dcterms:W3CDTF">2014-04-17T03:46:00Z</dcterms:created>
  <dcterms:modified xsi:type="dcterms:W3CDTF">2014-04-23T07:34:00Z</dcterms:modified>
</cp:coreProperties>
</file>