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8A" w:rsidRPr="004B7E9E" w:rsidRDefault="003E2AB8" w:rsidP="00472D44">
      <w:bookmarkStart w:id="0" w:name="_GoBack"/>
      <w:bookmarkEnd w:id="0"/>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partment of Families, Housing, Community Services and Indigenous Affairs logo" style="position:absolute;margin-left:0;margin-top:0;width:165.75pt;height:138.75pt;z-index:-251658752;mso-position-horizontal:center" wrapcoords="-98 117 -98 21483 21600 21483 21600 117 -98 117">
            <v:imagedata r:id="rId13" o:title=""/>
            <w10:wrap type="tight"/>
          </v:shape>
        </w:pict>
      </w:r>
    </w:p>
    <w:p w:rsidR="00472D44" w:rsidRDefault="00472D44" w:rsidP="00C3498A">
      <w:pPr>
        <w:spacing w:line="360" w:lineRule="auto"/>
        <w:jc w:val="right"/>
        <w:rPr>
          <w:rFonts w:cs="Arial"/>
          <w:b/>
          <w:bCs/>
          <w:sz w:val="36"/>
        </w:rPr>
      </w:pPr>
    </w:p>
    <w:p w:rsidR="00472D44" w:rsidRDefault="00472D44" w:rsidP="00C3498A">
      <w:pPr>
        <w:spacing w:line="360" w:lineRule="auto"/>
        <w:jc w:val="right"/>
        <w:rPr>
          <w:rFonts w:cs="Arial"/>
          <w:b/>
          <w:bCs/>
          <w:sz w:val="36"/>
        </w:rPr>
      </w:pPr>
    </w:p>
    <w:p w:rsidR="00472D44" w:rsidRDefault="00472D44" w:rsidP="00C3498A">
      <w:pPr>
        <w:spacing w:line="360" w:lineRule="auto"/>
        <w:jc w:val="right"/>
        <w:rPr>
          <w:rFonts w:cs="Arial"/>
          <w:b/>
          <w:bCs/>
          <w:sz w:val="36"/>
        </w:rPr>
      </w:pPr>
    </w:p>
    <w:p w:rsidR="00472D44" w:rsidRDefault="00472D44" w:rsidP="00C3498A">
      <w:pPr>
        <w:spacing w:line="360" w:lineRule="auto"/>
        <w:jc w:val="right"/>
        <w:rPr>
          <w:rFonts w:cs="Arial"/>
          <w:b/>
          <w:bCs/>
          <w:sz w:val="36"/>
        </w:rPr>
      </w:pPr>
    </w:p>
    <w:p w:rsidR="00472D44" w:rsidRDefault="00472D44" w:rsidP="00C3498A">
      <w:pPr>
        <w:spacing w:line="360" w:lineRule="auto"/>
        <w:jc w:val="right"/>
        <w:rPr>
          <w:rFonts w:cs="Arial"/>
          <w:b/>
          <w:bCs/>
          <w:sz w:val="36"/>
        </w:rPr>
      </w:pPr>
    </w:p>
    <w:p w:rsidR="00472D44" w:rsidRDefault="00472D44" w:rsidP="00C3498A">
      <w:pPr>
        <w:spacing w:line="360" w:lineRule="auto"/>
        <w:jc w:val="right"/>
        <w:rPr>
          <w:rFonts w:cs="Arial"/>
          <w:b/>
          <w:bCs/>
          <w:sz w:val="36"/>
        </w:rPr>
      </w:pPr>
    </w:p>
    <w:p w:rsidR="00472D44" w:rsidRDefault="00472D44" w:rsidP="00C3498A">
      <w:pPr>
        <w:spacing w:line="360" w:lineRule="auto"/>
        <w:jc w:val="right"/>
        <w:rPr>
          <w:rFonts w:cs="Arial"/>
          <w:b/>
          <w:bCs/>
          <w:sz w:val="36"/>
        </w:rPr>
      </w:pPr>
    </w:p>
    <w:p w:rsidR="00472D44" w:rsidRDefault="00472D44" w:rsidP="00C3498A">
      <w:pPr>
        <w:spacing w:line="360" w:lineRule="auto"/>
        <w:jc w:val="right"/>
        <w:rPr>
          <w:rFonts w:cs="Arial"/>
          <w:b/>
          <w:bCs/>
          <w:sz w:val="36"/>
        </w:rPr>
      </w:pPr>
    </w:p>
    <w:p w:rsidR="00472D44" w:rsidRDefault="00472D44" w:rsidP="00C3498A">
      <w:pPr>
        <w:spacing w:line="360" w:lineRule="auto"/>
        <w:jc w:val="right"/>
        <w:rPr>
          <w:rFonts w:cs="Arial"/>
          <w:b/>
          <w:bCs/>
          <w:sz w:val="36"/>
        </w:rPr>
      </w:pPr>
    </w:p>
    <w:p w:rsidR="00472D44" w:rsidRDefault="00472D44" w:rsidP="00C3498A">
      <w:pPr>
        <w:spacing w:line="360" w:lineRule="auto"/>
        <w:jc w:val="right"/>
        <w:rPr>
          <w:rFonts w:cs="Arial"/>
          <w:b/>
          <w:bCs/>
          <w:sz w:val="36"/>
        </w:rPr>
      </w:pPr>
    </w:p>
    <w:p w:rsidR="00C3498A" w:rsidRPr="004B7E9E" w:rsidRDefault="00631FC8" w:rsidP="00C3498A">
      <w:pPr>
        <w:spacing w:line="360" w:lineRule="auto"/>
        <w:jc w:val="right"/>
        <w:rPr>
          <w:rFonts w:cs="Arial"/>
          <w:b/>
          <w:bCs/>
          <w:sz w:val="36"/>
        </w:rPr>
      </w:pPr>
      <w:r>
        <w:rPr>
          <w:rFonts w:cs="Arial"/>
          <w:b/>
          <w:bCs/>
          <w:sz w:val="36"/>
        </w:rPr>
        <w:t xml:space="preserve">Part C: </w:t>
      </w:r>
      <w:r w:rsidR="00376620">
        <w:rPr>
          <w:rFonts w:cs="Arial"/>
          <w:b/>
          <w:bCs/>
          <w:sz w:val="36"/>
        </w:rPr>
        <w:t xml:space="preserve">Application Information for the </w:t>
      </w:r>
      <w:r w:rsidR="00335905">
        <w:rPr>
          <w:rFonts w:cs="Arial"/>
          <w:b/>
          <w:bCs/>
          <w:sz w:val="36"/>
        </w:rPr>
        <w:t>External Merits Review – Support Component</w:t>
      </w:r>
    </w:p>
    <w:p w:rsidR="00FA0376" w:rsidRDefault="00FA0376" w:rsidP="007C4594">
      <w:pPr>
        <w:pStyle w:val="Heading1"/>
        <w:numPr>
          <w:ilvl w:val="0"/>
          <w:numId w:val="0"/>
        </w:numPr>
        <w:sectPr w:rsidR="00FA0376" w:rsidSect="00EE4645">
          <w:headerReference w:type="default" r:id="rId14"/>
          <w:footerReference w:type="even" r:id="rId15"/>
          <w:footerReference w:type="default" r:id="rId16"/>
          <w:headerReference w:type="first" r:id="rId17"/>
          <w:footerReference w:type="first" r:id="rId18"/>
          <w:pgSz w:w="11906" w:h="16838"/>
          <w:pgMar w:top="1418" w:right="1274" w:bottom="1418" w:left="1276" w:header="720" w:footer="720" w:gutter="0"/>
          <w:pgNumType w:start="1"/>
          <w:cols w:space="709"/>
          <w:titlePg/>
        </w:sectPr>
      </w:pPr>
      <w:bookmarkStart w:id="1" w:name="_Toc271614717"/>
      <w:bookmarkStart w:id="2" w:name="_Toc271631963"/>
      <w:bookmarkStart w:id="3" w:name="_Toc82839209"/>
    </w:p>
    <w:p w:rsidR="007C4594" w:rsidRDefault="007C4594" w:rsidP="007C4594">
      <w:pPr>
        <w:pStyle w:val="Heading1"/>
        <w:numPr>
          <w:ilvl w:val="0"/>
          <w:numId w:val="0"/>
        </w:numPr>
      </w:pPr>
      <w:bookmarkStart w:id="4" w:name="_Toc363823056"/>
      <w:r>
        <w:lastRenderedPageBreak/>
        <w:t>Preface</w:t>
      </w:r>
      <w:bookmarkEnd w:id="1"/>
      <w:bookmarkEnd w:id="2"/>
      <w:bookmarkEnd w:id="4"/>
    </w:p>
    <w:p w:rsidR="00531D41" w:rsidRDefault="00531D41" w:rsidP="00CA2CEC">
      <w:pPr>
        <w:rPr>
          <w:rFonts w:cs="Arial"/>
          <w:sz w:val="20"/>
        </w:rPr>
      </w:pPr>
      <w:r>
        <w:rPr>
          <w:rFonts w:cs="Arial"/>
          <w:sz w:val="20"/>
        </w:rPr>
        <w:t xml:space="preserve">The </w:t>
      </w:r>
      <w:r w:rsidRPr="00DC214C">
        <w:rPr>
          <w:rFonts w:cs="Arial"/>
          <w:sz w:val="20"/>
        </w:rPr>
        <w:t xml:space="preserve">Australian Government Department of </w:t>
      </w:r>
      <w:r w:rsidR="004F0A57">
        <w:rPr>
          <w:rFonts w:cs="Arial"/>
          <w:sz w:val="20"/>
        </w:rPr>
        <w:t>Families, Housing, Community Services and Indigenous Affairs</w:t>
      </w:r>
      <w:r w:rsidRPr="00DC214C">
        <w:rPr>
          <w:rFonts w:cs="Arial"/>
          <w:sz w:val="20"/>
        </w:rPr>
        <w:t xml:space="preserve"> (or the Department)</w:t>
      </w:r>
      <w:r>
        <w:rPr>
          <w:rFonts w:cs="Arial"/>
          <w:sz w:val="20"/>
        </w:rPr>
        <w:t xml:space="preserve"> </w:t>
      </w:r>
      <w:r w:rsidRPr="001B3E35">
        <w:rPr>
          <w:rFonts w:cs="Arial"/>
          <w:sz w:val="20"/>
        </w:rPr>
        <w:t xml:space="preserve">has a suite of documents </w:t>
      </w:r>
      <w:r>
        <w:rPr>
          <w:rFonts w:cs="Arial"/>
          <w:sz w:val="20"/>
        </w:rPr>
        <w:t xml:space="preserve">(the </w:t>
      </w:r>
      <w:r w:rsidRPr="001D2E62">
        <w:rPr>
          <w:rFonts w:cs="Arial"/>
          <w:b/>
          <w:sz w:val="20"/>
        </w:rPr>
        <w:t>Program Guideline Suite</w:t>
      </w:r>
      <w:r>
        <w:rPr>
          <w:rFonts w:cs="Arial"/>
          <w:sz w:val="20"/>
        </w:rPr>
        <w:t xml:space="preserve">) </w:t>
      </w:r>
      <w:r w:rsidRPr="001B3E35">
        <w:rPr>
          <w:rFonts w:cs="Arial"/>
          <w:sz w:val="20"/>
        </w:rPr>
        <w:t>which provide information relating to the program</w:t>
      </w:r>
      <w:r>
        <w:rPr>
          <w:rFonts w:cs="Arial"/>
          <w:sz w:val="20"/>
        </w:rPr>
        <w:t xml:space="preserve">. They </w:t>
      </w:r>
      <w:r w:rsidRPr="00DC214C">
        <w:rPr>
          <w:rFonts w:cs="Arial"/>
          <w:sz w:val="20"/>
        </w:rPr>
        <w:t xml:space="preserve">provide the </w:t>
      </w:r>
      <w:r>
        <w:rPr>
          <w:rFonts w:cs="Arial"/>
          <w:sz w:val="20"/>
        </w:rPr>
        <w:t>key starting point for parties considering whether to participate in the program and form the basis for</w:t>
      </w:r>
      <w:r w:rsidRPr="00DC214C">
        <w:rPr>
          <w:rFonts w:cs="Arial"/>
          <w:sz w:val="20"/>
        </w:rPr>
        <w:t xml:space="preserve"> the business relationship between </w:t>
      </w:r>
      <w:r w:rsidR="004F0A57">
        <w:rPr>
          <w:rFonts w:cs="Arial"/>
          <w:sz w:val="20"/>
        </w:rPr>
        <w:t>FaHCSIA</w:t>
      </w:r>
      <w:r>
        <w:rPr>
          <w:rFonts w:cs="Arial"/>
          <w:sz w:val="20"/>
        </w:rPr>
        <w:t xml:space="preserve"> and the funding recipient.</w:t>
      </w:r>
    </w:p>
    <w:p w:rsidR="003C5591" w:rsidRDefault="003C5591" w:rsidP="003C5591">
      <w:pPr>
        <w:rPr>
          <w:rFonts w:cs="Arial"/>
          <w:sz w:val="20"/>
        </w:rPr>
      </w:pPr>
    </w:p>
    <w:p w:rsidR="003C5591" w:rsidRPr="001B3E35" w:rsidRDefault="003C5591" w:rsidP="003C5591">
      <w:pPr>
        <w:rPr>
          <w:rFonts w:cs="Arial"/>
          <w:sz w:val="20"/>
        </w:rPr>
      </w:pPr>
      <w:r w:rsidRPr="001B3E35">
        <w:rPr>
          <w:rFonts w:cs="Arial"/>
          <w:sz w:val="20"/>
        </w:rPr>
        <w:t>They are:</w:t>
      </w:r>
    </w:p>
    <w:p w:rsidR="007C4594" w:rsidRDefault="004D6368" w:rsidP="007C4594">
      <w:pPr>
        <w:numPr>
          <w:ilvl w:val="0"/>
          <w:numId w:val="12"/>
        </w:numPr>
        <w:tabs>
          <w:tab w:val="clear" w:pos="720"/>
          <w:tab w:val="num" w:pos="360"/>
        </w:tabs>
        <w:ind w:left="360"/>
        <w:rPr>
          <w:rFonts w:cs="Arial"/>
          <w:sz w:val="20"/>
        </w:rPr>
      </w:pPr>
      <w:r w:rsidRPr="004D6368">
        <w:rPr>
          <w:rFonts w:cs="Arial"/>
          <w:b/>
          <w:sz w:val="20"/>
        </w:rPr>
        <w:t xml:space="preserve">Part A: </w:t>
      </w:r>
      <w:r w:rsidR="007C4594" w:rsidRPr="004D6368">
        <w:rPr>
          <w:rFonts w:cs="Arial"/>
          <w:b/>
          <w:sz w:val="20"/>
        </w:rPr>
        <w:t>Program</w:t>
      </w:r>
      <w:r w:rsidR="007C4594" w:rsidRPr="001B3E35">
        <w:rPr>
          <w:rFonts w:cs="Arial"/>
          <w:b/>
          <w:sz w:val="20"/>
        </w:rPr>
        <w:t xml:space="preserve"> Guidelines</w:t>
      </w:r>
      <w:r w:rsidR="002C341F">
        <w:rPr>
          <w:rFonts w:cs="Arial"/>
          <w:sz w:val="20"/>
        </w:rPr>
        <w:t xml:space="preserve"> which provides an</w:t>
      </w:r>
      <w:r w:rsidR="007C4594" w:rsidRPr="001B3E35">
        <w:rPr>
          <w:rFonts w:cs="Arial"/>
          <w:sz w:val="20"/>
        </w:rPr>
        <w:t xml:space="preserve"> overview of Program and the Activities relating to the program</w:t>
      </w:r>
      <w:r w:rsidR="007C4594">
        <w:rPr>
          <w:rFonts w:cs="Arial"/>
          <w:sz w:val="20"/>
        </w:rPr>
        <w:t>;</w:t>
      </w:r>
    </w:p>
    <w:p w:rsidR="007C4594" w:rsidRPr="00935AC6" w:rsidRDefault="007C4594" w:rsidP="007C4594">
      <w:pPr>
        <w:rPr>
          <w:rFonts w:cs="Arial"/>
          <w:sz w:val="20"/>
        </w:rPr>
      </w:pPr>
    </w:p>
    <w:p w:rsidR="00AE4972" w:rsidRPr="009476E3" w:rsidRDefault="009476E3" w:rsidP="009476E3">
      <w:pPr>
        <w:numPr>
          <w:ilvl w:val="0"/>
          <w:numId w:val="12"/>
        </w:numPr>
        <w:tabs>
          <w:tab w:val="clear" w:pos="720"/>
          <w:tab w:val="num" w:pos="360"/>
        </w:tabs>
        <w:ind w:left="360"/>
        <w:rPr>
          <w:rFonts w:cs="Arial"/>
          <w:b/>
          <w:sz w:val="20"/>
        </w:rPr>
      </w:pPr>
      <w:r>
        <w:rPr>
          <w:rFonts w:cs="Arial"/>
          <w:b/>
          <w:sz w:val="20"/>
        </w:rPr>
        <w:t xml:space="preserve">Part B: </w:t>
      </w:r>
      <w:r w:rsidRPr="00C426F1">
        <w:rPr>
          <w:rFonts w:cs="Arial"/>
          <w:b/>
          <w:sz w:val="20"/>
        </w:rPr>
        <w:t>Information for Applicants</w:t>
      </w:r>
      <w:r w:rsidRPr="009476E3">
        <w:rPr>
          <w:rFonts w:cs="Arial"/>
          <w:b/>
          <w:sz w:val="20"/>
        </w:rPr>
        <w:t xml:space="preserve"> </w:t>
      </w:r>
      <w:r w:rsidRPr="009476E3">
        <w:rPr>
          <w:rFonts w:cs="Arial"/>
          <w:sz w:val="20"/>
        </w:rPr>
        <w:t>which provides information on the Application, Assessment, Selection and Complaints processes; Financial and Funding Agreement arrangements.</w:t>
      </w:r>
    </w:p>
    <w:p w:rsidR="009476E3" w:rsidRPr="00462168" w:rsidRDefault="009476E3" w:rsidP="00AE4972">
      <w:pPr>
        <w:rPr>
          <w:rFonts w:cs="Arial"/>
          <w:sz w:val="20"/>
        </w:rPr>
      </w:pPr>
    </w:p>
    <w:p w:rsidR="009A3AE2" w:rsidRPr="009A3AE2" w:rsidRDefault="00AE4972" w:rsidP="009A3AE2">
      <w:pPr>
        <w:numPr>
          <w:ilvl w:val="0"/>
          <w:numId w:val="12"/>
        </w:numPr>
        <w:shd w:val="clear" w:color="auto" w:fill="C0C0C0"/>
        <w:tabs>
          <w:tab w:val="clear" w:pos="720"/>
          <w:tab w:val="num" w:pos="360"/>
        </w:tabs>
        <w:ind w:left="360"/>
        <w:rPr>
          <w:rFonts w:cs="Arial"/>
          <w:sz w:val="20"/>
        </w:rPr>
      </w:pPr>
      <w:r>
        <w:rPr>
          <w:rFonts w:cs="Arial"/>
          <w:b/>
          <w:sz w:val="20"/>
        </w:rPr>
        <w:t xml:space="preserve">Part C: Application Information </w:t>
      </w:r>
      <w:r w:rsidRPr="00D80625">
        <w:rPr>
          <w:rFonts w:cs="Arial"/>
          <w:sz w:val="20"/>
        </w:rPr>
        <w:t>provides</w:t>
      </w:r>
      <w:r w:rsidRPr="00D80625">
        <w:rPr>
          <w:rFonts w:cs="Arial"/>
          <w:b/>
          <w:sz w:val="20"/>
        </w:rPr>
        <w:t xml:space="preserve"> </w:t>
      </w:r>
      <w:r w:rsidRPr="00D80625">
        <w:rPr>
          <w:rFonts w:cs="Arial"/>
          <w:sz w:val="20"/>
        </w:rPr>
        <w:t>specif</w:t>
      </w:r>
      <w:r>
        <w:rPr>
          <w:rFonts w:cs="Arial"/>
          <w:sz w:val="20"/>
        </w:rPr>
        <w:t xml:space="preserve">ic information on the Activity, </w:t>
      </w:r>
      <w:r w:rsidRPr="00D80625">
        <w:rPr>
          <w:rFonts w:cs="Arial"/>
          <w:sz w:val="20"/>
        </w:rPr>
        <w:t>Selection Criteria, Performance Management and Reporting.</w:t>
      </w:r>
      <w:r>
        <w:rPr>
          <w:rFonts w:cs="Arial"/>
          <w:sz w:val="20"/>
        </w:rPr>
        <w:t xml:space="preserve"> </w:t>
      </w:r>
      <w:r w:rsidR="009A3AE2">
        <w:rPr>
          <w:rFonts w:cs="Arial"/>
          <w:sz w:val="20"/>
        </w:rPr>
        <w:t xml:space="preserve">This part should be read in conjunction with the </w:t>
      </w:r>
      <w:hyperlink r:id="rId19" w:history="1">
        <w:r w:rsidR="009A3AE2" w:rsidRPr="00DC214C">
          <w:rPr>
            <w:rStyle w:val="Hyperlink"/>
            <w:rFonts w:cs="Arial"/>
            <w:sz w:val="20"/>
          </w:rPr>
          <w:t>Terms and Conditions</w:t>
        </w:r>
        <w:r w:rsidR="00FA0BC3">
          <w:rPr>
            <w:rStyle w:val="Hyperlink"/>
            <w:rFonts w:cs="Arial"/>
            <w:sz w:val="20"/>
          </w:rPr>
          <w:t xml:space="preserve"> of the Standard Funding Agreement</w:t>
        </w:r>
        <w:r w:rsidR="009A3AE2" w:rsidRPr="00DC214C">
          <w:rPr>
            <w:rStyle w:val="Hyperlink"/>
            <w:rFonts w:cs="Arial"/>
            <w:sz w:val="20"/>
          </w:rPr>
          <w:t>.</w:t>
        </w:r>
      </w:hyperlink>
    </w:p>
    <w:p w:rsidR="009A3AE2" w:rsidRPr="009A3AE2" w:rsidRDefault="009A3AE2" w:rsidP="009A3AE2">
      <w:pPr>
        <w:rPr>
          <w:rFonts w:cs="Arial"/>
          <w:sz w:val="20"/>
        </w:rPr>
      </w:pPr>
    </w:p>
    <w:p w:rsidR="00472D44" w:rsidRDefault="003C5591" w:rsidP="00472D44">
      <w:pPr>
        <w:numPr>
          <w:ilvl w:val="0"/>
          <w:numId w:val="12"/>
        </w:numPr>
        <w:tabs>
          <w:tab w:val="clear" w:pos="720"/>
          <w:tab w:val="num" w:pos="360"/>
        </w:tabs>
        <w:ind w:left="360"/>
        <w:rPr>
          <w:rFonts w:cs="Arial"/>
          <w:sz w:val="20"/>
        </w:rPr>
      </w:pPr>
      <w:r w:rsidRPr="00FE149D">
        <w:rPr>
          <w:rFonts w:cs="Arial"/>
          <w:sz w:val="20"/>
        </w:rPr>
        <w:t>The</w:t>
      </w:r>
      <w:r>
        <w:rPr>
          <w:rFonts w:cs="Arial"/>
          <w:b/>
          <w:sz w:val="20"/>
        </w:rPr>
        <w:t xml:space="preserve"> </w:t>
      </w:r>
      <w:r w:rsidRPr="00295B75">
        <w:rPr>
          <w:rFonts w:cs="Arial"/>
          <w:b/>
          <w:sz w:val="20"/>
        </w:rPr>
        <w:t>Application</w:t>
      </w:r>
      <w:r>
        <w:rPr>
          <w:rFonts w:cs="Arial"/>
          <w:b/>
          <w:sz w:val="20"/>
        </w:rPr>
        <w:t xml:space="preserve"> Form </w:t>
      </w:r>
      <w:r>
        <w:rPr>
          <w:rFonts w:cs="Arial"/>
          <w:sz w:val="20"/>
        </w:rPr>
        <w:t>which is completed by applicants applying for funding during a selection process.</w:t>
      </w:r>
    </w:p>
    <w:p w:rsidR="00472D44" w:rsidRDefault="00472D44" w:rsidP="00472D44">
      <w:pPr>
        <w:pStyle w:val="ListParagraph"/>
        <w:rPr>
          <w:rFonts w:cs="Arial"/>
          <w:sz w:val="20"/>
        </w:rPr>
      </w:pPr>
    </w:p>
    <w:p w:rsidR="007C4594" w:rsidRPr="00472D44" w:rsidRDefault="004F0A57" w:rsidP="00472D44">
      <w:pPr>
        <w:rPr>
          <w:rFonts w:cs="Arial"/>
          <w:sz w:val="20"/>
        </w:rPr>
      </w:pPr>
      <w:r w:rsidRPr="00472D44">
        <w:rPr>
          <w:rFonts w:cs="Arial"/>
          <w:sz w:val="20"/>
        </w:rPr>
        <w:t>FaHCSIA</w:t>
      </w:r>
      <w:r w:rsidR="007C4594" w:rsidRPr="00472D44">
        <w:rPr>
          <w:rFonts w:cs="Arial"/>
          <w:sz w:val="20"/>
        </w:rPr>
        <w:t xml:space="preserve"> reserves the right to amend these documents from time to time by whatever means it may determine in its absolute discretion and will provide reasonable notice of these amendments.</w:t>
      </w:r>
    </w:p>
    <w:p w:rsidR="00D51A48" w:rsidRPr="004B7E9E" w:rsidRDefault="00D51A48">
      <w:pPr>
        <w:spacing w:after="240"/>
      </w:pPr>
    </w:p>
    <w:p w:rsidR="00D51A48" w:rsidRPr="004B7E9E" w:rsidRDefault="007C4594" w:rsidP="00C276B4">
      <w:pPr>
        <w:spacing w:after="120"/>
        <w:ind w:left="1440" w:hanging="1440"/>
        <w:jc w:val="center"/>
        <w:rPr>
          <w:rFonts w:cs="Arial"/>
          <w:b/>
          <w:bCs/>
          <w:sz w:val="24"/>
        </w:rPr>
      </w:pPr>
      <w:bookmarkStart w:id="5" w:name="_Toc82839211"/>
      <w:bookmarkEnd w:id="3"/>
      <w:r>
        <w:rPr>
          <w:rFonts w:cs="Arial"/>
          <w:b/>
          <w:bCs/>
          <w:sz w:val="28"/>
        </w:rPr>
        <w:br w:type="page"/>
      </w:r>
      <w:r w:rsidR="00D51A48" w:rsidRPr="004B7E9E">
        <w:rPr>
          <w:rFonts w:cs="Arial"/>
          <w:b/>
          <w:bCs/>
          <w:sz w:val="28"/>
        </w:rPr>
        <w:lastRenderedPageBreak/>
        <w:t>Table of Contents</w:t>
      </w:r>
      <w:bookmarkEnd w:id="5"/>
    </w:p>
    <w:bookmarkStart w:id="6" w:name="_Toc205086631"/>
    <w:bookmarkStart w:id="7" w:name="_Toc205086633"/>
    <w:bookmarkStart w:id="8" w:name="_Toc205086635"/>
    <w:bookmarkStart w:id="9" w:name="_Toc205086636"/>
    <w:bookmarkStart w:id="10" w:name="_Toc205086637"/>
    <w:bookmarkStart w:id="11" w:name="_Toc205086638"/>
    <w:bookmarkStart w:id="12" w:name="_Toc82839225"/>
    <w:bookmarkStart w:id="13" w:name="_Toc140571718"/>
    <w:bookmarkStart w:id="14" w:name="_Toc161654451"/>
    <w:bookmarkEnd w:id="6"/>
    <w:bookmarkEnd w:id="7"/>
    <w:bookmarkEnd w:id="8"/>
    <w:bookmarkEnd w:id="9"/>
    <w:bookmarkEnd w:id="10"/>
    <w:bookmarkEnd w:id="11"/>
    <w:p w:rsidR="00C61CD5" w:rsidRPr="00026EB4" w:rsidRDefault="003C68DB">
      <w:pPr>
        <w:pStyle w:val="TOC1"/>
        <w:tabs>
          <w:tab w:val="right" w:leader="dot" w:pos="9344"/>
        </w:tabs>
        <w:rPr>
          <w:rFonts w:ascii="Calibri" w:hAnsi="Calibri"/>
          <w:b w:val="0"/>
          <w:bCs w:val="0"/>
          <w:caps w:val="0"/>
          <w:noProof/>
          <w:sz w:val="22"/>
          <w:szCs w:val="22"/>
          <w:lang w:eastAsia="en-AU"/>
        </w:rPr>
      </w:pPr>
      <w:r w:rsidRPr="0090104D">
        <w:rPr>
          <w:rFonts w:ascii="Arial" w:hAnsi="Arial" w:cs="Arial"/>
          <w:b w:val="0"/>
          <w:bCs w:val="0"/>
          <w:caps w:val="0"/>
        </w:rPr>
        <w:fldChar w:fldCharType="begin"/>
      </w:r>
      <w:r w:rsidRPr="0090104D">
        <w:rPr>
          <w:rFonts w:ascii="Arial" w:hAnsi="Arial" w:cs="Arial"/>
          <w:b w:val="0"/>
          <w:bCs w:val="0"/>
          <w:caps w:val="0"/>
        </w:rPr>
        <w:instrText xml:space="preserve"> TOC \o "1-2" \h \z \u </w:instrText>
      </w:r>
      <w:r w:rsidRPr="0090104D">
        <w:rPr>
          <w:rFonts w:ascii="Arial" w:hAnsi="Arial" w:cs="Arial"/>
          <w:b w:val="0"/>
          <w:bCs w:val="0"/>
          <w:caps w:val="0"/>
        </w:rPr>
        <w:fldChar w:fldCharType="separate"/>
      </w:r>
      <w:hyperlink w:anchor="_Toc363823056" w:history="1">
        <w:r w:rsidR="00C61CD5" w:rsidRPr="002C6BF4">
          <w:rPr>
            <w:rStyle w:val="Hyperlink"/>
            <w:noProof/>
          </w:rPr>
          <w:t>Preface</w:t>
        </w:r>
        <w:r w:rsidR="00C61CD5">
          <w:rPr>
            <w:noProof/>
            <w:webHidden/>
          </w:rPr>
          <w:tab/>
        </w:r>
        <w:r w:rsidR="00C61CD5">
          <w:rPr>
            <w:noProof/>
            <w:webHidden/>
          </w:rPr>
          <w:fldChar w:fldCharType="begin"/>
        </w:r>
        <w:r w:rsidR="00C61CD5">
          <w:rPr>
            <w:noProof/>
            <w:webHidden/>
          </w:rPr>
          <w:instrText xml:space="preserve"> PAGEREF _Toc363823056 \h </w:instrText>
        </w:r>
        <w:r w:rsidR="00C61CD5">
          <w:rPr>
            <w:noProof/>
            <w:webHidden/>
          </w:rPr>
        </w:r>
        <w:r w:rsidR="00C61CD5">
          <w:rPr>
            <w:noProof/>
            <w:webHidden/>
          </w:rPr>
          <w:fldChar w:fldCharType="separate"/>
        </w:r>
        <w:r w:rsidR="003E2AB8">
          <w:rPr>
            <w:noProof/>
            <w:webHidden/>
          </w:rPr>
          <w:t>2</w:t>
        </w:r>
        <w:r w:rsidR="00C61CD5">
          <w:rPr>
            <w:noProof/>
            <w:webHidden/>
          </w:rPr>
          <w:fldChar w:fldCharType="end"/>
        </w:r>
      </w:hyperlink>
    </w:p>
    <w:p w:rsidR="00C61CD5" w:rsidRPr="00026EB4" w:rsidRDefault="003E2AB8">
      <w:pPr>
        <w:pStyle w:val="TOC1"/>
        <w:tabs>
          <w:tab w:val="left" w:pos="440"/>
          <w:tab w:val="right" w:leader="dot" w:pos="9344"/>
        </w:tabs>
        <w:rPr>
          <w:rFonts w:ascii="Calibri" w:hAnsi="Calibri"/>
          <w:b w:val="0"/>
          <w:bCs w:val="0"/>
          <w:caps w:val="0"/>
          <w:noProof/>
          <w:sz w:val="22"/>
          <w:szCs w:val="22"/>
          <w:lang w:eastAsia="en-AU"/>
        </w:rPr>
      </w:pPr>
      <w:hyperlink w:anchor="_Toc363823057" w:history="1">
        <w:r w:rsidR="00C61CD5" w:rsidRPr="002C6BF4">
          <w:rPr>
            <w:rStyle w:val="Hyperlink"/>
            <w:noProof/>
          </w:rPr>
          <w:t>1</w:t>
        </w:r>
        <w:r w:rsidR="00C61CD5" w:rsidRPr="00026EB4">
          <w:rPr>
            <w:rFonts w:ascii="Calibri" w:hAnsi="Calibri"/>
            <w:b w:val="0"/>
            <w:bCs w:val="0"/>
            <w:caps w:val="0"/>
            <w:noProof/>
            <w:sz w:val="22"/>
            <w:szCs w:val="22"/>
            <w:lang w:eastAsia="en-AU"/>
          </w:rPr>
          <w:tab/>
        </w:r>
        <w:r w:rsidR="00C61CD5" w:rsidRPr="002C6BF4">
          <w:rPr>
            <w:rStyle w:val="Hyperlink"/>
            <w:noProof/>
          </w:rPr>
          <w:t>Program Overview</w:t>
        </w:r>
        <w:r w:rsidR="00C61CD5">
          <w:rPr>
            <w:noProof/>
            <w:webHidden/>
          </w:rPr>
          <w:tab/>
        </w:r>
        <w:r w:rsidR="00C61CD5">
          <w:rPr>
            <w:noProof/>
            <w:webHidden/>
          </w:rPr>
          <w:fldChar w:fldCharType="begin"/>
        </w:r>
        <w:r w:rsidR="00C61CD5">
          <w:rPr>
            <w:noProof/>
            <w:webHidden/>
          </w:rPr>
          <w:instrText xml:space="preserve"> PAGEREF _Toc363823057 \h </w:instrText>
        </w:r>
        <w:r w:rsidR="00C61CD5">
          <w:rPr>
            <w:noProof/>
            <w:webHidden/>
          </w:rPr>
        </w:r>
        <w:r w:rsidR="00C61CD5">
          <w:rPr>
            <w:noProof/>
            <w:webHidden/>
          </w:rPr>
          <w:fldChar w:fldCharType="separate"/>
        </w:r>
        <w:r>
          <w:rPr>
            <w:noProof/>
            <w:webHidden/>
          </w:rPr>
          <w:t>4</w:t>
        </w:r>
        <w:r w:rsidR="00C61CD5">
          <w:rPr>
            <w:noProof/>
            <w:webHidden/>
          </w:rPr>
          <w:fldChar w:fldCharType="end"/>
        </w:r>
      </w:hyperlink>
    </w:p>
    <w:p w:rsidR="00C61CD5" w:rsidRPr="00026EB4" w:rsidRDefault="003E2AB8">
      <w:pPr>
        <w:pStyle w:val="TOC2"/>
        <w:tabs>
          <w:tab w:val="left" w:pos="880"/>
          <w:tab w:val="right" w:leader="dot" w:pos="9344"/>
        </w:tabs>
        <w:rPr>
          <w:rFonts w:ascii="Calibri" w:hAnsi="Calibri"/>
          <w:smallCaps w:val="0"/>
          <w:noProof/>
          <w:sz w:val="22"/>
          <w:szCs w:val="22"/>
          <w:lang w:eastAsia="en-AU"/>
        </w:rPr>
      </w:pPr>
      <w:hyperlink w:anchor="_Toc363823058" w:history="1">
        <w:r w:rsidR="00C61CD5" w:rsidRPr="002C6BF4">
          <w:rPr>
            <w:rStyle w:val="Hyperlink"/>
            <w:noProof/>
          </w:rPr>
          <w:t>1.1</w:t>
        </w:r>
        <w:r w:rsidR="00C61CD5" w:rsidRPr="00026EB4">
          <w:rPr>
            <w:rFonts w:ascii="Calibri" w:hAnsi="Calibri"/>
            <w:smallCaps w:val="0"/>
            <w:noProof/>
            <w:sz w:val="22"/>
            <w:szCs w:val="22"/>
            <w:lang w:eastAsia="en-AU"/>
          </w:rPr>
          <w:tab/>
        </w:r>
        <w:r w:rsidR="00C61CD5" w:rsidRPr="002C6BF4">
          <w:rPr>
            <w:rStyle w:val="Hyperlink"/>
            <w:noProof/>
          </w:rPr>
          <w:t>Program Outcomes</w:t>
        </w:r>
        <w:r w:rsidR="00C61CD5">
          <w:rPr>
            <w:noProof/>
            <w:webHidden/>
          </w:rPr>
          <w:tab/>
        </w:r>
        <w:r w:rsidR="00C61CD5">
          <w:rPr>
            <w:noProof/>
            <w:webHidden/>
          </w:rPr>
          <w:fldChar w:fldCharType="begin"/>
        </w:r>
        <w:r w:rsidR="00C61CD5">
          <w:rPr>
            <w:noProof/>
            <w:webHidden/>
          </w:rPr>
          <w:instrText xml:space="preserve"> PAGEREF _Toc363823058 \h </w:instrText>
        </w:r>
        <w:r w:rsidR="00C61CD5">
          <w:rPr>
            <w:noProof/>
            <w:webHidden/>
          </w:rPr>
        </w:r>
        <w:r w:rsidR="00C61CD5">
          <w:rPr>
            <w:noProof/>
            <w:webHidden/>
          </w:rPr>
          <w:fldChar w:fldCharType="separate"/>
        </w:r>
        <w:r>
          <w:rPr>
            <w:noProof/>
            <w:webHidden/>
          </w:rPr>
          <w:t>4</w:t>
        </w:r>
        <w:r w:rsidR="00C61CD5">
          <w:rPr>
            <w:noProof/>
            <w:webHidden/>
          </w:rPr>
          <w:fldChar w:fldCharType="end"/>
        </w:r>
      </w:hyperlink>
    </w:p>
    <w:p w:rsidR="00C61CD5" w:rsidRPr="00026EB4" w:rsidRDefault="003E2AB8">
      <w:pPr>
        <w:pStyle w:val="TOC2"/>
        <w:tabs>
          <w:tab w:val="left" w:pos="880"/>
          <w:tab w:val="right" w:leader="dot" w:pos="9344"/>
        </w:tabs>
        <w:rPr>
          <w:rFonts w:ascii="Calibri" w:hAnsi="Calibri"/>
          <w:smallCaps w:val="0"/>
          <w:noProof/>
          <w:sz w:val="22"/>
          <w:szCs w:val="22"/>
          <w:lang w:eastAsia="en-AU"/>
        </w:rPr>
      </w:pPr>
      <w:hyperlink w:anchor="_Toc363823059" w:history="1">
        <w:r w:rsidR="00C61CD5" w:rsidRPr="002C6BF4">
          <w:rPr>
            <w:rStyle w:val="Hyperlink"/>
            <w:noProof/>
          </w:rPr>
          <w:t>1.2</w:t>
        </w:r>
        <w:r w:rsidR="00C61CD5" w:rsidRPr="00026EB4">
          <w:rPr>
            <w:rFonts w:ascii="Calibri" w:hAnsi="Calibri"/>
            <w:smallCaps w:val="0"/>
            <w:noProof/>
            <w:sz w:val="22"/>
            <w:szCs w:val="22"/>
            <w:lang w:eastAsia="en-AU"/>
          </w:rPr>
          <w:tab/>
        </w:r>
        <w:r w:rsidR="00C61CD5" w:rsidRPr="002C6BF4">
          <w:rPr>
            <w:rStyle w:val="Hyperlink"/>
            <w:noProof/>
          </w:rPr>
          <w:t>Objectives</w:t>
        </w:r>
        <w:r w:rsidR="00C61CD5">
          <w:rPr>
            <w:noProof/>
            <w:webHidden/>
          </w:rPr>
          <w:tab/>
        </w:r>
        <w:r w:rsidR="00C61CD5">
          <w:rPr>
            <w:noProof/>
            <w:webHidden/>
          </w:rPr>
          <w:fldChar w:fldCharType="begin"/>
        </w:r>
        <w:r w:rsidR="00C61CD5">
          <w:rPr>
            <w:noProof/>
            <w:webHidden/>
          </w:rPr>
          <w:instrText xml:space="preserve"> PAGEREF _Toc363823059 \h </w:instrText>
        </w:r>
        <w:r w:rsidR="00C61CD5">
          <w:rPr>
            <w:noProof/>
            <w:webHidden/>
          </w:rPr>
        </w:r>
        <w:r w:rsidR="00C61CD5">
          <w:rPr>
            <w:noProof/>
            <w:webHidden/>
          </w:rPr>
          <w:fldChar w:fldCharType="separate"/>
        </w:r>
        <w:r>
          <w:rPr>
            <w:noProof/>
            <w:webHidden/>
          </w:rPr>
          <w:t>5</w:t>
        </w:r>
        <w:r w:rsidR="00C61CD5">
          <w:rPr>
            <w:noProof/>
            <w:webHidden/>
          </w:rPr>
          <w:fldChar w:fldCharType="end"/>
        </w:r>
      </w:hyperlink>
    </w:p>
    <w:p w:rsidR="00C61CD5" w:rsidRPr="00026EB4" w:rsidRDefault="003E2AB8">
      <w:pPr>
        <w:pStyle w:val="TOC1"/>
        <w:tabs>
          <w:tab w:val="left" w:pos="440"/>
          <w:tab w:val="right" w:leader="dot" w:pos="9344"/>
        </w:tabs>
        <w:rPr>
          <w:rFonts w:ascii="Calibri" w:hAnsi="Calibri"/>
          <w:b w:val="0"/>
          <w:bCs w:val="0"/>
          <w:caps w:val="0"/>
          <w:noProof/>
          <w:sz w:val="22"/>
          <w:szCs w:val="22"/>
          <w:lang w:eastAsia="en-AU"/>
        </w:rPr>
      </w:pPr>
      <w:hyperlink w:anchor="_Toc363823060" w:history="1">
        <w:r w:rsidR="00C61CD5" w:rsidRPr="002C6BF4">
          <w:rPr>
            <w:rStyle w:val="Hyperlink"/>
            <w:noProof/>
          </w:rPr>
          <w:t>2</w:t>
        </w:r>
        <w:r w:rsidR="00C61CD5" w:rsidRPr="00026EB4">
          <w:rPr>
            <w:rFonts w:ascii="Calibri" w:hAnsi="Calibri"/>
            <w:b w:val="0"/>
            <w:bCs w:val="0"/>
            <w:caps w:val="0"/>
            <w:noProof/>
            <w:sz w:val="22"/>
            <w:szCs w:val="22"/>
            <w:lang w:eastAsia="en-AU"/>
          </w:rPr>
          <w:tab/>
        </w:r>
        <w:r w:rsidR="00C61CD5" w:rsidRPr="002C6BF4">
          <w:rPr>
            <w:rStyle w:val="Hyperlink"/>
            <w:noProof/>
          </w:rPr>
          <w:t>Activity Overview</w:t>
        </w:r>
        <w:r w:rsidR="00C61CD5">
          <w:rPr>
            <w:noProof/>
            <w:webHidden/>
          </w:rPr>
          <w:tab/>
        </w:r>
        <w:r w:rsidR="00C61CD5">
          <w:rPr>
            <w:noProof/>
            <w:webHidden/>
          </w:rPr>
          <w:fldChar w:fldCharType="begin"/>
        </w:r>
        <w:r w:rsidR="00C61CD5">
          <w:rPr>
            <w:noProof/>
            <w:webHidden/>
          </w:rPr>
          <w:instrText xml:space="preserve"> PAGEREF _Toc363823060 \h </w:instrText>
        </w:r>
        <w:r w:rsidR="00C61CD5">
          <w:rPr>
            <w:noProof/>
            <w:webHidden/>
          </w:rPr>
        </w:r>
        <w:r w:rsidR="00C61CD5">
          <w:rPr>
            <w:noProof/>
            <w:webHidden/>
          </w:rPr>
          <w:fldChar w:fldCharType="separate"/>
        </w:r>
        <w:r>
          <w:rPr>
            <w:noProof/>
            <w:webHidden/>
          </w:rPr>
          <w:t>6</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61" w:history="1">
        <w:r w:rsidR="00C61CD5" w:rsidRPr="002C6BF4">
          <w:rPr>
            <w:rStyle w:val="Hyperlink"/>
            <w:noProof/>
            <w:lang w:eastAsia="en-AU"/>
          </w:rPr>
          <w:t xml:space="preserve">2.1   External </w:t>
        </w:r>
        <w:r w:rsidR="00C61CD5" w:rsidRPr="002C6BF4">
          <w:rPr>
            <w:rStyle w:val="Hyperlink"/>
            <w:noProof/>
          </w:rPr>
          <w:t>Merits</w:t>
        </w:r>
        <w:r w:rsidR="00C61CD5" w:rsidRPr="002C6BF4">
          <w:rPr>
            <w:rStyle w:val="Hyperlink"/>
            <w:noProof/>
            <w:lang w:eastAsia="en-AU"/>
          </w:rPr>
          <w:t xml:space="preserve"> Review - Support Component (Support Persons and Legal Services)</w:t>
        </w:r>
        <w:r w:rsidR="00C61CD5">
          <w:rPr>
            <w:noProof/>
            <w:webHidden/>
          </w:rPr>
          <w:tab/>
        </w:r>
        <w:r w:rsidR="00C61CD5">
          <w:rPr>
            <w:noProof/>
            <w:webHidden/>
          </w:rPr>
          <w:fldChar w:fldCharType="begin"/>
        </w:r>
        <w:r w:rsidR="00C61CD5">
          <w:rPr>
            <w:noProof/>
            <w:webHidden/>
          </w:rPr>
          <w:instrText xml:space="preserve"> PAGEREF _Toc363823061 \h </w:instrText>
        </w:r>
        <w:r w:rsidR="00C61CD5">
          <w:rPr>
            <w:noProof/>
            <w:webHidden/>
          </w:rPr>
        </w:r>
        <w:r w:rsidR="00C61CD5">
          <w:rPr>
            <w:noProof/>
            <w:webHidden/>
          </w:rPr>
          <w:fldChar w:fldCharType="separate"/>
        </w:r>
        <w:r>
          <w:rPr>
            <w:noProof/>
            <w:webHidden/>
          </w:rPr>
          <w:t>6</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62" w:history="1">
        <w:r w:rsidR="00C61CD5" w:rsidRPr="002C6BF4">
          <w:rPr>
            <w:rStyle w:val="Hyperlink"/>
            <w:noProof/>
            <w:lang w:eastAsia="en-AU"/>
          </w:rPr>
          <w:t>2.2  Support Persons’ Role</w:t>
        </w:r>
        <w:r w:rsidR="00C61CD5">
          <w:rPr>
            <w:noProof/>
            <w:webHidden/>
          </w:rPr>
          <w:tab/>
        </w:r>
        <w:r w:rsidR="00C61CD5">
          <w:rPr>
            <w:noProof/>
            <w:webHidden/>
          </w:rPr>
          <w:fldChar w:fldCharType="begin"/>
        </w:r>
        <w:r w:rsidR="00C61CD5">
          <w:rPr>
            <w:noProof/>
            <w:webHidden/>
          </w:rPr>
          <w:instrText xml:space="preserve"> PAGEREF _Toc363823062 \h </w:instrText>
        </w:r>
        <w:r w:rsidR="00C61CD5">
          <w:rPr>
            <w:noProof/>
            <w:webHidden/>
          </w:rPr>
        </w:r>
        <w:r w:rsidR="00C61CD5">
          <w:rPr>
            <w:noProof/>
            <w:webHidden/>
          </w:rPr>
          <w:fldChar w:fldCharType="separate"/>
        </w:r>
        <w:r>
          <w:rPr>
            <w:noProof/>
            <w:webHidden/>
          </w:rPr>
          <w:t>7</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63" w:history="1">
        <w:r w:rsidR="00C61CD5" w:rsidRPr="002C6BF4">
          <w:rPr>
            <w:rStyle w:val="Hyperlink"/>
            <w:noProof/>
          </w:rPr>
          <w:t>2.3   Aims and objectives</w:t>
        </w:r>
        <w:r w:rsidR="00C61CD5">
          <w:rPr>
            <w:noProof/>
            <w:webHidden/>
          </w:rPr>
          <w:tab/>
        </w:r>
        <w:r w:rsidR="00C61CD5">
          <w:rPr>
            <w:noProof/>
            <w:webHidden/>
          </w:rPr>
          <w:fldChar w:fldCharType="begin"/>
        </w:r>
        <w:r w:rsidR="00C61CD5">
          <w:rPr>
            <w:noProof/>
            <w:webHidden/>
          </w:rPr>
          <w:instrText xml:space="preserve"> PAGEREF _Toc363823063 \h </w:instrText>
        </w:r>
        <w:r w:rsidR="00C61CD5">
          <w:rPr>
            <w:noProof/>
            <w:webHidden/>
          </w:rPr>
        </w:r>
        <w:r w:rsidR="00C61CD5">
          <w:rPr>
            <w:noProof/>
            <w:webHidden/>
          </w:rPr>
          <w:fldChar w:fldCharType="separate"/>
        </w:r>
        <w:r>
          <w:rPr>
            <w:noProof/>
            <w:webHidden/>
          </w:rPr>
          <w:t>7</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64" w:history="1">
        <w:r w:rsidR="00C61CD5" w:rsidRPr="002C6BF4">
          <w:rPr>
            <w:rStyle w:val="Hyperlink"/>
            <w:noProof/>
          </w:rPr>
          <w:t>2.4   Service provider eligibility</w:t>
        </w:r>
        <w:r w:rsidR="00C61CD5">
          <w:rPr>
            <w:noProof/>
            <w:webHidden/>
          </w:rPr>
          <w:tab/>
        </w:r>
        <w:r w:rsidR="00C61CD5">
          <w:rPr>
            <w:noProof/>
            <w:webHidden/>
          </w:rPr>
          <w:fldChar w:fldCharType="begin"/>
        </w:r>
        <w:r w:rsidR="00C61CD5">
          <w:rPr>
            <w:noProof/>
            <w:webHidden/>
          </w:rPr>
          <w:instrText xml:space="preserve"> PAGEREF _Toc363823064 \h </w:instrText>
        </w:r>
        <w:r w:rsidR="00C61CD5">
          <w:rPr>
            <w:noProof/>
            <w:webHidden/>
          </w:rPr>
        </w:r>
        <w:r w:rsidR="00C61CD5">
          <w:rPr>
            <w:noProof/>
            <w:webHidden/>
          </w:rPr>
          <w:fldChar w:fldCharType="separate"/>
        </w:r>
        <w:r>
          <w:rPr>
            <w:noProof/>
            <w:webHidden/>
          </w:rPr>
          <w:t>7</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65" w:history="1">
        <w:r w:rsidR="00C61CD5" w:rsidRPr="002C6BF4">
          <w:rPr>
            <w:rStyle w:val="Hyperlink"/>
            <w:noProof/>
          </w:rPr>
          <w:t>2.5   Participants/clients/recipients/target group</w:t>
        </w:r>
        <w:r w:rsidR="00C61CD5">
          <w:rPr>
            <w:noProof/>
            <w:webHidden/>
          </w:rPr>
          <w:tab/>
        </w:r>
        <w:r w:rsidR="00C61CD5">
          <w:rPr>
            <w:noProof/>
            <w:webHidden/>
          </w:rPr>
          <w:fldChar w:fldCharType="begin"/>
        </w:r>
        <w:r w:rsidR="00C61CD5">
          <w:rPr>
            <w:noProof/>
            <w:webHidden/>
          </w:rPr>
          <w:instrText xml:space="preserve"> PAGEREF _Toc363823065 \h </w:instrText>
        </w:r>
        <w:r w:rsidR="00C61CD5">
          <w:rPr>
            <w:noProof/>
            <w:webHidden/>
          </w:rPr>
        </w:r>
        <w:r w:rsidR="00C61CD5">
          <w:rPr>
            <w:noProof/>
            <w:webHidden/>
          </w:rPr>
          <w:fldChar w:fldCharType="separate"/>
        </w:r>
        <w:r>
          <w:rPr>
            <w:noProof/>
            <w:webHidden/>
          </w:rPr>
          <w:t>8</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66" w:history="1">
        <w:r w:rsidR="00C61CD5" w:rsidRPr="002C6BF4">
          <w:rPr>
            <w:rStyle w:val="Hyperlink"/>
            <w:noProof/>
          </w:rPr>
          <w:t>2.6   Funding for the activity</w:t>
        </w:r>
        <w:r w:rsidR="00C61CD5">
          <w:rPr>
            <w:noProof/>
            <w:webHidden/>
          </w:rPr>
          <w:tab/>
        </w:r>
        <w:r w:rsidR="00C61CD5">
          <w:rPr>
            <w:noProof/>
            <w:webHidden/>
          </w:rPr>
          <w:fldChar w:fldCharType="begin"/>
        </w:r>
        <w:r w:rsidR="00C61CD5">
          <w:rPr>
            <w:noProof/>
            <w:webHidden/>
          </w:rPr>
          <w:instrText xml:space="preserve"> PAGEREF _Toc363823066 \h </w:instrText>
        </w:r>
        <w:r w:rsidR="00C61CD5">
          <w:rPr>
            <w:noProof/>
            <w:webHidden/>
          </w:rPr>
        </w:r>
        <w:r w:rsidR="00C61CD5">
          <w:rPr>
            <w:noProof/>
            <w:webHidden/>
          </w:rPr>
          <w:fldChar w:fldCharType="separate"/>
        </w:r>
        <w:r>
          <w:rPr>
            <w:noProof/>
            <w:webHidden/>
          </w:rPr>
          <w:t>8</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67" w:history="1">
        <w:r w:rsidR="00C61CD5" w:rsidRPr="002C6BF4">
          <w:rPr>
            <w:rStyle w:val="Hyperlink"/>
            <w:noProof/>
          </w:rPr>
          <w:t>2.7   Eligible and in-eligible activities</w:t>
        </w:r>
        <w:r w:rsidR="00C61CD5">
          <w:rPr>
            <w:noProof/>
            <w:webHidden/>
          </w:rPr>
          <w:tab/>
        </w:r>
        <w:r w:rsidR="00C61CD5">
          <w:rPr>
            <w:noProof/>
            <w:webHidden/>
          </w:rPr>
          <w:fldChar w:fldCharType="begin"/>
        </w:r>
        <w:r w:rsidR="00C61CD5">
          <w:rPr>
            <w:noProof/>
            <w:webHidden/>
          </w:rPr>
          <w:instrText xml:space="preserve"> PAGEREF _Toc363823067 \h </w:instrText>
        </w:r>
        <w:r w:rsidR="00C61CD5">
          <w:rPr>
            <w:noProof/>
            <w:webHidden/>
          </w:rPr>
        </w:r>
        <w:r w:rsidR="00C61CD5">
          <w:rPr>
            <w:noProof/>
            <w:webHidden/>
          </w:rPr>
          <w:fldChar w:fldCharType="separate"/>
        </w:r>
        <w:r>
          <w:rPr>
            <w:noProof/>
            <w:webHidden/>
          </w:rPr>
          <w:t>9</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68" w:history="1">
        <w:r w:rsidR="00C61CD5" w:rsidRPr="002C6BF4">
          <w:rPr>
            <w:rStyle w:val="Hyperlink"/>
            <w:noProof/>
          </w:rPr>
          <w:t>2.8   Activity links and working with other agencies and services</w:t>
        </w:r>
        <w:r w:rsidR="00C61CD5">
          <w:rPr>
            <w:noProof/>
            <w:webHidden/>
          </w:rPr>
          <w:tab/>
        </w:r>
        <w:r w:rsidR="00C61CD5">
          <w:rPr>
            <w:noProof/>
            <w:webHidden/>
          </w:rPr>
          <w:fldChar w:fldCharType="begin"/>
        </w:r>
        <w:r w:rsidR="00C61CD5">
          <w:rPr>
            <w:noProof/>
            <w:webHidden/>
          </w:rPr>
          <w:instrText xml:space="preserve"> PAGEREF _Toc363823068 \h </w:instrText>
        </w:r>
        <w:r w:rsidR="00C61CD5">
          <w:rPr>
            <w:noProof/>
            <w:webHidden/>
          </w:rPr>
        </w:r>
        <w:r w:rsidR="00C61CD5">
          <w:rPr>
            <w:noProof/>
            <w:webHidden/>
          </w:rPr>
          <w:fldChar w:fldCharType="separate"/>
        </w:r>
        <w:r>
          <w:rPr>
            <w:noProof/>
            <w:webHidden/>
          </w:rPr>
          <w:t>10</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69" w:history="1">
        <w:r w:rsidR="00C61CD5" w:rsidRPr="002C6BF4">
          <w:rPr>
            <w:rStyle w:val="Hyperlink"/>
            <w:noProof/>
          </w:rPr>
          <w:t>2.9   Specialist requirements (e.g. Legislative requirements)</w:t>
        </w:r>
        <w:r w:rsidR="00C61CD5">
          <w:rPr>
            <w:noProof/>
            <w:webHidden/>
          </w:rPr>
          <w:tab/>
        </w:r>
        <w:r w:rsidR="00C61CD5">
          <w:rPr>
            <w:noProof/>
            <w:webHidden/>
          </w:rPr>
          <w:fldChar w:fldCharType="begin"/>
        </w:r>
        <w:r w:rsidR="00C61CD5">
          <w:rPr>
            <w:noProof/>
            <w:webHidden/>
          </w:rPr>
          <w:instrText xml:space="preserve"> PAGEREF _Toc363823069 \h </w:instrText>
        </w:r>
        <w:r w:rsidR="00C61CD5">
          <w:rPr>
            <w:noProof/>
            <w:webHidden/>
          </w:rPr>
        </w:r>
        <w:r w:rsidR="00C61CD5">
          <w:rPr>
            <w:noProof/>
            <w:webHidden/>
          </w:rPr>
          <w:fldChar w:fldCharType="separate"/>
        </w:r>
        <w:r>
          <w:rPr>
            <w:noProof/>
            <w:webHidden/>
          </w:rPr>
          <w:t>10</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70" w:history="1">
        <w:r w:rsidR="00C61CD5" w:rsidRPr="002C6BF4">
          <w:rPr>
            <w:rStyle w:val="Hyperlink"/>
            <w:noProof/>
          </w:rPr>
          <w:t>2.10  Information technology</w:t>
        </w:r>
        <w:r w:rsidR="00C61CD5">
          <w:rPr>
            <w:noProof/>
            <w:webHidden/>
          </w:rPr>
          <w:tab/>
        </w:r>
        <w:r w:rsidR="00C61CD5">
          <w:rPr>
            <w:noProof/>
            <w:webHidden/>
          </w:rPr>
          <w:fldChar w:fldCharType="begin"/>
        </w:r>
        <w:r w:rsidR="00C61CD5">
          <w:rPr>
            <w:noProof/>
            <w:webHidden/>
          </w:rPr>
          <w:instrText xml:space="preserve"> PAGEREF _Toc363823070 \h </w:instrText>
        </w:r>
        <w:r w:rsidR="00C61CD5">
          <w:rPr>
            <w:noProof/>
            <w:webHidden/>
          </w:rPr>
        </w:r>
        <w:r w:rsidR="00C61CD5">
          <w:rPr>
            <w:noProof/>
            <w:webHidden/>
          </w:rPr>
          <w:fldChar w:fldCharType="separate"/>
        </w:r>
        <w:r>
          <w:rPr>
            <w:noProof/>
            <w:webHidden/>
          </w:rPr>
          <w:t>10</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71" w:history="1">
        <w:r w:rsidR="00C61CD5" w:rsidRPr="002C6BF4">
          <w:rPr>
            <w:rStyle w:val="Hyperlink"/>
            <w:noProof/>
          </w:rPr>
          <w:t>2.11  Activity performance and reporting</w:t>
        </w:r>
        <w:r w:rsidR="00C61CD5">
          <w:rPr>
            <w:noProof/>
            <w:webHidden/>
          </w:rPr>
          <w:tab/>
        </w:r>
        <w:r w:rsidR="00C61CD5">
          <w:rPr>
            <w:noProof/>
            <w:webHidden/>
          </w:rPr>
          <w:fldChar w:fldCharType="begin"/>
        </w:r>
        <w:r w:rsidR="00C61CD5">
          <w:rPr>
            <w:noProof/>
            <w:webHidden/>
          </w:rPr>
          <w:instrText xml:space="preserve"> PAGEREF _Toc363823071 \h </w:instrText>
        </w:r>
        <w:r w:rsidR="00C61CD5">
          <w:rPr>
            <w:noProof/>
            <w:webHidden/>
          </w:rPr>
        </w:r>
        <w:r w:rsidR="00C61CD5">
          <w:rPr>
            <w:noProof/>
            <w:webHidden/>
          </w:rPr>
          <w:fldChar w:fldCharType="separate"/>
        </w:r>
        <w:r>
          <w:rPr>
            <w:noProof/>
            <w:webHidden/>
          </w:rPr>
          <w:t>11</w:t>
        </w:r>
        <w:r w:rsidR="00C61CD5">
          <w:rPr>
            <w:noProof/>
            <w:webHidden/>
          </w:rPr>
          <w:fldChar w:fldCharType="end"/>
        </w:r>
      </w:hyperlink>
    </w:p>
    <w:p w:rsidR="00C61CD5" w:rsidRPr="00026EB4" w:rsidRDefault="003E2AB8">
      <w:pPr>
        <w:pStyle w:val="TOC2"/>
        <w:tabs>
          <w:tab w:val="right" w:leader="dot" w:pos="9344"/>
        </w:tabs>
        <w:rPr>
          <w:rFonts w:ascii="Calibri" w:hAnsi="Calibri"/>
          <w:smallCaps w:val="0"/>
          <w:noProof/>
          <w:sz w:val="22"/>
          <w:szCs w:val="22"/>
          <w:lang w:eastAsia="en-AU"/>
        </w:rPr>
      </w:pPr>
      <w:hyperlink w:anchor="_Toc363823072" w:history="1">
        <w:r w:rsidR="00C61CD5" w:rsidRPr="002C6BF4">
          <w:rPr>
            <w:rStyle w:val="Hyperlink"/>
            <w:noProof/>
          </w:rPr>
          <w:t>2.12  Complaints about advocacy agencies and legal services</w:t>
        </w:r>
        <w:r w:rsidR="00C61CD5">
          <w:rPr>
            <w:noProof/>
            <w:webHidden/>
          </w:rPr>
          <w:tab/>
        </w:r>
        <w:r w:rsidR="00C61CD5">
          <w:rPr>
            <w:noProof/>
            <w:webHidden/>
          </w:rPr>
          <w:fldChar w:fldCharType="begin"/>
        </w:r>
        <w:r w:rsidR="00C61CD5">
          <w:rPr>
            <w:noProof/>
            <w:webHidden/>
          </w:rPr>
          <w:instrText xml:space="preserve"> PAGEREF _Toc363823072 \h </w:instrText>
        </w:r>
        <w:r w:rsidR="00C61CD5">
          <w:rPr>
            <w:noProof/>
            <w:webHidden/>
          </w:rPr>
        </w:r>
        <w:r w:rsidR="00C61CD5">
          <w:rPr>
            <w:noProof/>
            <w:webHidden/>
          </w:rPr>
          <w:fldChar w:fldCharType="separate"/>
        </w:r>
        <w:r>
          <w:rPr>
            <w:noProof/>
            <w:webHidden/>
          </w:rPr>
          <w:t>11</w:t>
        </w:r>
        <w:r w:rsidR="00C61CD5">
          <w:rPr>
            <w:noProof/>
            <w:webHidden/>
          </w:rPr>
          <w:fldChar w:fldCharType="end"/>
        </w:r>
      </w:hyperlink>
    </w:p>
    <w:p w:rsidR="00C61CD5" w:rsidRPr="00026EB4" w:rsidRDefault="003E2AB8">
      <w:pPr>
        <w:pStyle w:val="TOC1"/>
        <w:tabs>
          <w:tab w:val="left" w:pos="440"/>
          <w:tab w:val="right" w:leader="dot" w:pos="9344"/>
        </w:tabs>
        <w:rPr>
          <w:rFonts w:ascii="Calibri" w:hAnsi="Calibri"/>
          <w:b w:val="0"/>
          <w:bCs w:val="0"/>
          <w:caps w:val="0"/>
          <w:noProof/>
          <w:sz w:val="22"/>
          <w:szCs w:val="22"/>
          <w:lang w:eastAsia="en-AU"/>
        </w:rPr>
      </w:pPr>
      <w:hyperlink w:anchor="_Toc363823073" w:history="1">
        <w:r w:rsidR="00C61CD5" w:rsidRPr="002C6BF4">
          <w:rPr>
            <w:rStyle w:val="Hyperlink"/>
            <w:noProof/>
          </w:rPr>
          <w:t>3</w:t>
        </w:r>
        <w:r w:rsidR="00C61CD5" w:rsidRPr="00026EB4">
          <w:rPr>
            <w:rFonts w:ascii="Calibri" w:hAnsi="Calibri"/>
            <w:b w:val="0"/>
            <w:bCs w:val="0"/>
            <w:caps w:val="0"/>
            <w:noProof/>
            <w:sz w:val="22"/>
            <w:szCs w:val="22"/>
            <w:lang w:eastAsia="en-AU"/>
          </w:rPr>
          <w:tab/>
        </w:r>
        <w:r w:rsidR="00C61CD5" w:rsidRPr="002C6BF4">
          <w:rPr>
            <w:rStyle w:val="Hyperlink"/>
            <w:noProof/>
          </w:rPr>
          <w:t>Application Process</w:t>
        </w:r>
        <w:r w:rsidR="00C61CD5">
          <w:rPr>
            <w:noProof/>
            <w:webHidden/>
          </w:rPr>
          <w:tab/>
        </w:r>
        <w:r w:rsidR="00C61CD5">
          <w:rPr>
            <w:noProof/>
            <w:webHidden/>
          </w:rPr>
          <w:fldChar w:fldCharType="begin"/>
        </w:r>
        <w:r w:rsidR="00C61CD5">
          <w:rPr>
            <w:noProof/>
            <w:webHidden/>
          </w:rPr>
          <w:instrText xml:space="preserve"> PAGEREF _Toc363823073 \h </w:instrText>
        </w:r>
        <w:r w:rsidR="00C61CD5">
          <w:rPr>
            <w:noProof/>
            <w:webHidden/>
          </w:rPr>
        </w:r>
        <w:r w:rsidR="00C61CD5">
          <w:rPr>
            <w:noProof/>
            <w:webHidden/>
          </w:rPr>
          <w:fldChar w:fldCharType="separate"/>
        </w:r>
        <w:r>
          <w:rPr>
            <w:noProof/>
            <w:webHidden/>
          </w:rPr>
          <w:t>13</w:t>
        </w:r>
        <w:r w:rsidR="00C61CD5">
          <w:rPr>
            <w:noProof/>
            <w:webHidden/>
          </w:rPr>
          <w:fldChar w:fldCharType="end"/>
        </w:r>
      </w:hyperlink>
    </w:p>
    <w:p w:rsidR="00C61CD5" w:rsidRPr="00026EB4" w:rsidRDefault="003E2AB8">
      <w:pPr>
        <w:pStyle w:val="TOC2"/>
        <w:tabs>
          <w:tab w:val="left" w:pos="880"/>
          <w:tab w:val="right" w:leader="dot" w:pos="9344"/>
        </w:tabs>
        <w:rPr>
          <w:rFonts w:ascii="Calibri" w:hAnsi="Calibri"/>
          <w:smallCaps w:val="0"/>
          <w:noProof/>
          <w:sz w:val="22"/>
          <w:szCs w:val="22"/>
          <w:lang w:eastAsia="en-AU"/>
        </w:rPr>
      </w:pPr>
      <w:hyperlink w:anchor="_Toc363823074" w:history="1">
        <w:r w:rsidR="00C61CD5" w:rsidRPr="002C6BF4">
          <w:rPr>
            <w:rStyle w:val="Hyperlink"/>
            <w:noProof/>
          </w:rPr>
          <w:t>3.1</w:t>
        </w:r>
        <w:r w:rsidR="00C61CD5" w:rsidRPr="00026EB4">
          <w:rPr>
            <w:rFonts w:ascii="Calibri" w:hAnsi="Calibri"/>
            <w:smallCaps w:val="0"/>
            <w:noProof/>
            <w:sz w:val="22"/>
            <w:szCs w:val="22"/>
            <w:lang w:eastAsia="en-AU"/>
          </w:rPr>
          <w:tab/>
        </w:r>
        <w:r w:rsidR="00C61CD5" w:rsidRPr="002C6BF4">
          <w:rPr>
            <w:rStyle w:val="Hyperlink"/>
            <w:noProof/>
          </w:rPr>
          <w:t>Overview of the Application Process</w:t>
        </w:r>
        <w:r w:rsidR="00C61CD5">
          <w:rPr>
            <w:noProof/>
            <w:webHidden/>
          </w:rPr>
          <w:tab/>
        </w:r>
        <w:r w:rsidR="00C61CD5">
          <w:rPr>
            <w:noProof/>
            <w:webHidden/>
          </w:rPr>
          <w:fldChar w:fldCharType="begin"/>
        </w:r>
        <w:r w:rsidR="00C61CD5">
          <w:rPr>
            <w:noProof/>
            <w:webHidden/>
          </w:rPr>
          <w:instrText xml:space="preserve"> PAGEREF _Toc363823074 \h </w:instrText>
        </w:r>
        <w:r w:rsidR="00C61CD5">
          <w:rPr>
            <w:noProof/>
            <w:webHidden/>
          </w:rPr>
        </w:r>
        <w:r w:rsidR="00C61CD5">
          <w:rPr>
            <w:noProof/>
            <w:webHidden/>
          </w:rPr>
          <w:fldChar w:fldCharType="separate"/>
        </w:r>
        <w:r>
          <w:rPr>
            <w:noProof/>
            <w:webHidden/>
          </w:rPr>
          <w:t>13</w:t>
        </w:r>
        <w:r w:rsidR="00C61CD5">
          <w:rPr>
            <w:noProof/>
            <w:webHidden/>
          </w:rPr>
          <w:fldChar w:fldCharType="end"/>
        </w:r>
      </w:hyperlink>
    </w:p>
    <w:p w:rsidR="00C61CD5" w:rsidRPr="00026EB4" w:rsidRDefault="003E2AB8">
      <w:pPr>
        <w:pStyle w:val="TOC2"/>
        <w:tabs>
          <w:tab w:val="left" w:pos="880"/>
          <w:tab w:val="right" w:leader="dot" w:pos="9344"/>
        </w:tabs>
        <w:rPr>
          <w:rFonts w:ascii="Calibri" w:hAnsi="Calibri"/>
          <w:smallCaps w:val="0"/>
          <w:noProof/>
          <w:sz w:val="22"/>
          <w:szCs w:val="22"/>
          <w:lang w:eastAsia="en-AU"/>
        </w:rPr>
      </w:pPr>
      <w:hyperlink w:anchor="_Toc363823075" w:history="1">
        <w:r w:rsidR="00C61CD5" w:rsidRPr="002C6BF4">
          <w:rPr>
            <w:rStyle w:val="Hyperlink"/>
            <w:noProof/>
          </w:rPr>
          <w:t>3.2</w:t>
        </w:r>
        <w:r w:rsidR="00C61CD5" w:rsidRPr="00026EB4">
          <w:rPr>
            <w:rFonts w:ascii="Calibri" w:hAnsi="Calibri"/>
            <w:smallCaps w:val="0"/>
            <w:noProof/>
            <w:sz w:val="22"/>
            <w:szCs w:val="22"/>
            <w:lang w:eastAsia="en-AU"/>
          </w:rPr>
          <w:tab/>
        </w:r>
        <w:r w:rsidR="00C61CD5" w:rsidRPr="002C6BF4">
          <w:rPr>
            <w:rStyle w:val="Hyperlink"/>
            <w:noProof/>
          </w:rPr>
          <w:t>Selection Criteria</w:t>
        </w:r>
        <w:r w:rsidR="00C61CD5">
          <w:rPr>
            <w:noProof/>
            <w:webHidden/>
          </w:rPr>
          <w:tab/>
        </w:r>
        <w:r w:rsidR="00C61CD5">
          <w:rPr>
            <w:noProof/>
            <w:webHidden/>
          </w:rPr>
          <w:fldChar w:fldCharType="begin"/>
        </w:r>
        <w:r w:rsidR="00C61CD5">
          <w:rPr>
            <w:noProof/>
            <w:webHidden/>
          </w:rPr>
          <w:instrText xml:space="preserve"> PAGEREF _Toc363823075 \h </w:instrText>
        </w:r>
        <w:r w:rsidR="00C61CD5">
          <w:rPr>
            <w:noProof/>
            <w:webHidden/>
          </w:rPr>
        </w:r>
        <w:r w:rsidR="00C61CD5">
          <w:rPr>
            <w:noProof/>
            <w:webHidden/>
          </w:rPr>
          <w:fldChar w:fldCharType="separate"/>
        </w:r>
        <w:r>
          <w:rPr>
            <w:noProof/>
            <w:webHidden/>
          </w:rPr>
          <w:t>13</w:t>
        </w:r>
        <w:r w:rsidR="00C61CD5">
          <w:rPr>
            <w:noProof/>
            <w:webHidden/>
          </w:rPr>
          <w:fldChar w:fldCharType="end"/>
        </w:r>
      </w:hyperlink>
    </w:p>
    <w:p w:rsidR="00C61CD5" w:rsidRPr="00026EB4" w:rsidRDefault="003E2AB8">
      <w:pPr>
        <w:pStyle w:val="TOC1"/>
        <w:tabs>
          <w:tab w:val="left" w:pos="440"/>
          <w:tab w:val="right" w:leader="dot" w:pos="9344"/>
        </w:tabs>
        <w:rPr>
          <w:rFonts w:ascii="Calibri" w:hAnsi="Calibri"/>
          <w:b w:val="0"/>
          <w:bCs w:val="0"/>
          <w:caps w:val="0"/>
          <w:noProof/>
          <w:sz w:val="22"/>
          <w:szCs w:val="22"/>
          <w:lang w:eastAsia="en-AU"/>
        </w:rPr>
      </w:pPr>
      <w:hyperlink w:anchor="_Toc363823076" w:history="1">
        <w:r w:rsidR="00C61CD5" w:rsidRPr="002C6BF4">
          <w:rPr>
            <w:rStyle w:val="Hyperlink"/>
            <w:noProof/>
          </w:rPr>
          <w:t>4.</w:t>
        </w:r>
        <w:r w:rsidR="00C61CD5" w:rsidRPr="00026EB4">
          <w:rPr>
            <w:rFonts w:ascii="Calibri" w:hAnsi="Calibri"/>
            <w:b w:val="0"/>
            <w:bCs w:val="0"/>
            <w:caps w:val="0"/>
            <w:noProof/>
            <w:sz w:val="22"/>
            <w:szCs w:val="22"/>
            <w:lang w:eastAsia="en-AU"/>
          </w:rPr>
          <w:tab/>
        </w:r>
        <w:r w:rsidR="00C61CD5" w:rsidRPr="002C6BF4">
          <w:rPr>
            <w:rStyle w:val="Hyperlink"/>
            <w:noProof/>
          </w:rPr>
          <w:t>Contact information</w:t>
        </w:r>
        <w:r w:rsidR="00C61CD5">
          <w:rPr>
            <w:noProof/>
            <w:webHidden/>
          </w:rPr>
          <w:tab/>
        </w:r>
        <w:r w:rsidR="00C61CD5">
          <w:rPr>
            <w:noProof/>
            <w:webHidden/>
          </w:rPr>
          <w:fldChar w:fldCharType="begin"/>
        </w:r>
        <w:r w:rsidR="00C61CD5">
          <w:rPr>
            <w:noProof/>
            <w:webHidden/>
          </w:rPr>
          <w:instrText xml:space="preserve"> PAGEREF _Toc363823076 \h </w:instrText>
        </w:r>
        <w:r w:rsidR="00C61CD5">
          <w:rPr>
            <w:noProof/>
            <w:webHidden/>
          </w:rPr>
        </w:r>
        <w:r w:rsidR="00C61CD5">
          <w:rPr>
            <w:noProof/>
            <w:webHidden/>
          </w:rPr>
          <w:fldChar w:fldCharType="separate"/>
        </w:r>
        <w:r>
          <w:rPr>
            <w:noProof/>
            <w:webHidden/>
          </w:rPr>
          <w:t>14</w:t>
        </w:r>
        <w:r w:rsidR="00C61CD5">
          <w:rPr>
            <w:noProof/>
            <w:webHidden/>
          </w:rPr>
          <w:fldChar w:fldCharType="end"/>
        </w:r>
      </w:hyperlink>
    </w:p>
    <w:p w:rsidR="00C3498A" w:rsidRPr="00A764D1" w:rsidRDefault="003C68DB" w:rsidP="00472D44">
      <w:pPr>
        <w:pStyle w:val="TOC1"/>
        <w:tabs>
          <w:tab w:val="right" w:leader="dot" w:pos="9344"/>
        </w:tabs>
      </w:pPr>
      <w:r w:rsidRPr="0090104D">
        <w:rPr>
          <w:rFonts w:cs="Arial"/>
          <w:b w:val="0"/>
          <w:bCs w:val="0"/>
          <w:caps w:val="0"/>
        </w:rPr>
        <w:fldChar w:fldCharType="end"/>
      </w:r>
      <w:bookmarkStart w:id="15" w:name="_Toc168133731"/>
      <w:bookmarkStart w:id="16" w:name="_Toc168733367"/>
      <w:bookmarkStart w:id="17" w:name="_Toc269201266"/>
      <w:bookmarkStart w:id="18" w:name="_Toc269211085"/>
      <w:r w:rsidR="00521907">
        <w:br w:type="page"/>
      </w:r>
      <w:bookmarkStart w:id="19" w:name="_Toc363823057"/>
      <w:r w:rsidR="00C3498A" w:rsidRPr="004B7E9E">
        <w:lastRenderedPageBreak/>
        <w:t>Program Overview</w:t>
      </w:r>
      <w:bookmarkEnd w:id="15"/>
      <w:bookmarkEnd w:id="16"/>
      <w:bookmarkEnd w:id="17"/>
      <w:bookmarkEnd w:id="18"/>
      <w:bookmarkEnd w:id="19"/>
    </w:p>
    <w:p w:rsidR="00472D44" w:rsidRDefault="009678BE" w:rsidP="009678BE">
      <w:pPr>
        <w:pStyle w:val="StyleArial10ptItalic"/>
        <w:rPr>
          <w:rFonts w:cs="Times New Roman"/>
          <w:iCs w:val="0"/>
          <w:sz w:val="22"/>
        </w:rPr>
      </w:pPr>
      <w:r w:rsidRPr="00846F7A">
        <w:rPr>
          <w:rFonts w:cs="Times New Roman"/>
          <w:iCs w:val="0"/>
          <w:sz w:val="22"/>
        </w:rPr>
        <w:t>The Australian Government helps to support people with disability, their families and carers, through the provision of income support payments and allowances (including Disability Support Pension, Carer Payment and Carer Allowance) and support services for people with disability and their carers.</w:t>
      </w:r>
    </w:p>
    <w:p w:rsidR="00472D44" w:rsidRDefault="00472D44" w:rsidP="009678BE">
      <w:pPr>
        <w:pStyle w:val="StyleArial10ptItalic"/>
        <w:rPr>
          <w:rFonts w:cs="Times New Roman"/>
          <w:iCs w:val="0"/>
          <w:sz w:val="22"/>
        </w:rPr>
      </w:pPr>
    </w:p>
    <w:p w:rsidR="009678BE" w:rsidRPr="00846F7A" w:rsidRDefault="009678BE" w:rsidP="009678BE">
      <w:pPr>
        <w:pStyle w:val="StyleArial10ptItalic"/>
        <w:rPr>
          <w:rFonts w:cs="Times New Roman"/>
          <w:iCs w:val="0"/>
          <w:sz w:val="22"/>
        </w:rPr>
      </w:pPr>
      <w:r w:rsidRPr="00846F7A">
        <w:rPr>
          <w:rFonts w:cs="Times New Roman"/>
          <w:iCs w:val="0"/>
          <w:sz w:val="22"/>
        </w:rPr>
        <w:t>The Services and Support for People with Disability Program provides support to people with disability, their families and carers, through grants and funding to organisations that deliver services for people with disability.</w:t>
      </w:r>
    </w:p>
    <w:p w:rsidR="009678BE" w:rsidRPr="00846F7A" w:rsidRDefault="009678BE" w:rsidP="009678BE">
      <w:pPr>
        <w:pStyle w:val="StyleArial10ptItalic"/>
        <w:rPr>
          <w:rFonts w:cs="Times New Roman"/>
          <w:iCs w:val="0"/>
          <w:sz w:val="22"/>
        </w:rPr>
      </w:pPr>
    </w:p>
    <w:p w:rsidR="009678BE" w:rsidRPr="00846F7A" w:rsidRDefault="009678BE" w:rsidP="009678BE">
      <w:pPr>
        <w:pStyle w:val="StyleArial10ptItalic"/>
        <w:rPr>
          <w:rFonts w:cs="Times New Roman"/>
          <w:iCs w:val="0"/>
          <w:sz w:val="22"/>
        </w:rPr>
      </w:pPr>
      <w:r w:rsidRPr="00846F7A">
        <w:rPr>
          <w:rFonts w:cs="Times New Roman"/>
          <w:iCs w:val="0"/>
          <w:sz w:val="22"/>
        </w:rPr>
        <w:t xml:space="preserve">Under Services for People with Disability, the Department of </w:t>
      </w:r>
      <w:r w:rsidR="004F0A57">
        <w:rPr>
          <w:rFonts w:cs="Times New Roman"/>
          <w:iCs w:val="0"/>
          <w:sz w:val="22"/>
        </w:rPr>
        <w:t>Families, Housing, Community Services and Indigenous Affairs</w:t>
      </w:r>
      <w:r w:rsidRPr="00846F7A">
        <w:rPr>
          <w:rFonts w:cs="Times New Roman"/>
          <w:iCs w:val="0"/>
          <w:sz w:val="22"/>
        </w:rPr>
        <w:t xml:space="preserve"> (</w:t>
      </w:r>
      <w:r w:rsidR="004F0A57">
        <w:rPr>
          <w:rFonts w:cs="Times New Roman"/>
          <w:iCs w:val="0"/>
          <w:sz w:val="22"/>
        </w:rPr>
        <w:t>FaHCSIA</w:t>
      </w:r>
      <w:r w:rsidRPr="00846F7A">
        <w:rPr>
          <w:rFonts w:cs="Times New Roman"/>
          <w:iCs w:val="0"/>
          <w:sz w:val="22"/>
        </w:rPr>
        <w:t>) funds a number of services for people with disability and their carers, including supported employment services, advocacy, a national booking service for Auslan interpreting services, print disability services, respite services, services to make the community more accessible, supported accommodation for people with disability, leadership support for people with disability and outside school hours care for teenagers with disability.</w:t>
      </w:r>
    </w:p>
    <w:p w:rsidR="009678BE" w:rsidRPr="00846F7A" w:rsidRDefault="009678BE" w:rsidP="009678BE">
      <w:pPr>
        <w:pStyle w:val="StyleArial10ptItalic"/>
        <w:rPr>
          <w:rFonts w:cs="Times New Roman"/>
          <w:iCs w:val="0"/>
          <w:sz w:val="22"/>
        </w:rPr>
      </w:pPr>
    </w:p>
    <w:p w:rsidR="009678BE" w:rsidRPr="00846F7A" w:rsidRDefault="009678BE" w:rsidP="009678BE">
      <w:pPr>
        <w:pStyle w:val="StyleArial10ptItalic"/>
        <w:rPr>
          <w:rFonts w:cs="Times New Roman"/>
          <w:iCs w:val="0"/>
          <w:sz w:val="22"/>
        </w:rPr>
      </w:pPr>
      <w:r w:rsidRPr="00846F7A">
        <w:rPr>
          <w:rFonts w:cs="Times New Roman"/>
          <w:iCs w:val="0"/>
          <w:sz w:val="22"/>
        </w:rPr>
        <w:t xml:space="preserve">The Australian Government will continue to work with the states and territories on the launch of </w:t>
      </w:r>
      <w:r w:rsidR="00ED262A">
        <w:rPr>
          <w:rFonts w:cs="Times New Roman"/>
          <w:iCs w:val="0"/>
          <w:sz w:val="22"/>
        </w:rPr>
        <w:t>the National Disability Insurance Scheme</w:t>
      </w:r>
      <w:r w:rsidRPr="00846F7A">
        <w:rPr>
          <w:rFonts w:cs="Times New Roman"/>
          <w:iCs w:val="0"/>
          <w:sz w:val="22"/>
        </w:rPr>
        <w:t>, and toward the full roll-out of the scheme. This work will include implementation and evaluation of the launch, monitoring performance, developing further long-term policy for the scheme and supporting change in the disability sector and its workforce.</w:t>
      </w:r>
    </w:p>
    <w:p w:rsidR="009678BE" w:rsidRPr="00846F7A" w:rsidRDefault="009678BE" w:rsidP="009678BE">
      <w:pPr>
        <w:pStyle w:val="StyleArial10ptItalic"/>
        <w:rPr>
          <w:rFonts w:cs="Times New Roman"/>
          <w:iCs w:val="0"/>
          <w:sz w:val="22"/>
        </w:rPr>
      </w:pPr>
    </w:p>
    <w:p w:rsidR="009678BE" w:rsidRPr="00846F7A" w:rsidRDefault="009678BE" w:rsidP="009678BE">
      <w:pPr>
        <w:pStyle w:val="StyleArial10ptItalic"/>
        <w:rPr>
          <w:rFonts w:cs="Times New Roman"/>
          <w:iCs w:val="0"/>
          <w:sz w:val="22"/>
        </w:rPr>
      </w:pPr>
      <w:r w:rsidRPr="00846F7A">
        <w:rPr>
          <w:rFonts w:cs="Times New Roman"/>
          <w:iCs w:val="0"/>
          <w:sz w:val="22"/>
        </w:rPr>
        <w:t xml:space="preserve">In 2012–13, key developments towards a national scheme included the passage of the </w:t>
      </w:r>
      <w:r w:rsidRPr="00D67D9B">
        <w:rPr>
          <w:rFonts w:cs="Times New Roman"/>
          <w:i/>
          <w:iCs w:val="0"/>
          <w:sz w:val="22"/>
        </w:rPr>
        <w:t>National Disability Insurance Scheme Act 2013</w:t>
      </w:r>
      <w:r w:rsidRPr="00846F7A">
        <w:rPr>
          <w:rFonts w:cs="Times New Roman"/>
          <w:iCs w:val="0"/>
          <w:sz w:val="22"/>
        </w:rPr>
        <w:t xml:space="preserve"> and the establishment of the </w:t>
      </w:r>
      <w:r w:rsidR="00ED262A">
        <w:rPr>
          <w:rFonts w:cs="Times New Roman"/>
          <w:iCs w:val="0"/>
          <w:sz w:val="22"/>
        </w:rPr>
        <w:t>National Disability Insurance A</w:t>
      </w:r>
      <w:r w:rsidRPr="00846F7A">
        <w:rPr>
          <w:rFonts w:cs="Times New Roman"/>
          <w:iCs w:val="0"/>
          <w:sz w:val="22"/>
        </w:rPr>
        <w:t xml:space="preserve">gency. </w:t>
      </w:r>
    </w:p>
    <w:p w:rsidR="009678BE" w:rsidRPr="00846F7A" w:rsidRDefault="009678BE" w:rsidP="009678BE">
      <w:pPr>
        <w:pStyle w:val="StyleArial10ptItalic"/>
        <w:rPr>
          <w:rFonts w:cs="Times New Roman"/>
          <w:iCs w:val="0"/>
          <w:sz w:val="22"/>
        </w:rPr>
      </w:pPr>
    </w:p>
    <w:p w:rsidR="009678BE" w:rsidRPr="00846F7A" w:rsidRDefault="009678BE" w:rsidP="009678BE">
      <w:pPr>
        <w:pStyle w:val="StyleArial10ptItalic"/>
        <w:rPr>
          <w:rFonts w:cs="Times New Roman"/>
          <w:iCs w:val="0"/>
          <w:sz w:val="22"/>
        </w:rPr>
      </w:pPr>
      <w:r w:rsidRPr="00846F7A">
        <w:rPr>
          <w:rFonts w:cs="Times New Roman"/>
          <w:iCs w:val="0"/>
          <w:sz w:val="22"/>
        </w:rPr>
        <w:t>As well, agreements were achieved with the states and territories on launch design and for launch sites from July 2013 in the Barwon area of Victoria, the Hunter area in New South Wales, Tasmania and South Australia, and from July 2014 in the Australian Capital Territory</w:t>
      </w:r>
      <w:r w:rsidR="0087793A">
        <w:rPr>
          <w:rFonts w:cs="Times New Roman"/>
          <w:iCs w:val="0"/>
          <w:sz w:val="22"/>
        </w:rPr>
        <w:t xml:space="preserve">, </w:t>
      </w:r>
      <w:r w:rsidRPr="00846F7A">
        <w:rPr>
          <w:rFonts w:cs="Times New Roman"/>
          <w:iCs w:val="0"/>
          <w:sz w:val="22"/>
        </w:rPr>
        <w:t>the Barkly region of the Northern Territory</w:t>
      </w:r>
      <w:r w:rsidR="0087793A">
        <w:rPr>
          <w:rFonts w:cs="Times New Roman"/>
          <w:iCs w:val="0"/>
          <w:sz w:val="22"/>
        </w:rPr>
        <w:t xml:space="preserve"> </w:t>
      </w:r>
      <w:r w:rsidR="0087793A" w:rsidRPr="0087793A">
        <w:rPr>
          <w:rFonts w:cs="Times New Roman"/>
          <w:iCs w:val="0"/>
          <w:sz w:val="22"/>
        </w:rPr>
        <w:t xml:space="preserve">and the </w:t>
      </w:r>
      <w:r w:rsidR="0087793A" w:rsidRPr="0087793A">
        <w:rPr>
          <w:rFonts w:cs="Times New Roman"/>
          <w:iCs w:val="0"/>
          <w:sz w:val="22"/>
          <w:lang w:val="en"/>
        </w:rPr>
        <w:t>Perth Hills area in Western Australia</w:t>
      </w:r>
      <w:r w:rsidRPr="00846F7A">
        <w:rPr>
          <w:rFonts w:cs="Times New Roman"/>
          <w:iCs w:val="0"/>
          <w:sz w:val="22"/>
        </w:rPr>
        <w:t>.</w:t>
      </w:r>
    </w:p>
    <w:p w:rsidR="009678BE" w:rsidRPr="00846F7A" w:rsidRDefault="009678BE" w:rsidP="009678BE">
      <w:pPr>
        <w:pStyle w:val="StyleArial10ptItalic"/>
        <w:rPr>
          <w:rFonts w:cs="Times New Roman"/>
          <w:iCs w:val="0"/>
          <w:sz w:val="22"/>
        </w:rPr>
      </w:pPr>
    </w:p>
    <w:p w:rsidR="009678BE" w:rsidRPr="00846F7A" w:rsidRDefault="009678BE" w:rsidP="009678BE">
      <w:pPr>
        <w:pStyle w:val="StyleArial10ptItalic"/>
        <w:rPr>
          <w:rFonts w:cs="Times New Roman"/>
          <w:iCs w:val="0"/>
          <w:sz w:val="22"/>
        </w:rPr>
      </w:pPr>
      <w:r w:rsidRPr="00846F7A">
        <w:rPr>
          <w:rFonts w:cs="Times New Roman"/>
          <w:iCs w:val="0"/>
          <w:sz w:val="22"/>
        </w:rPr>
        <w:t xml:space="preserve">From 2013–14, this initiative will see about 26,000 people with significant and permanent disability, their families and carers benefit from this first stage of the scheme.  The launch will enable governments to learn from experience and feedback from participants, their families and carers, service providers and community organisations. This experience can then inform the policy and delivery of the full scheme. </w:t>
      </w:r>
    </w:p>
    <w:p w:rsidR="009678BE" w:rsidRPr="00846F7A" w:rsidRDefault="009678BE" w:rsidP="009678BE">
      <w:pPr>
        <w:pStyle w:val="StyleArial10ptItalic"/>
        <w:rPr>
          <w:rFonts w:cs="Times New Roman"/>
          <w:iCs w:val="0"/>
          <w:sz w:val="22"/>
        </w:rPr>
      </w:pPr>
    </w:p>
    <w:p w:rsidR="009678BE" w:rsidRPr="00846F7A" w:rsidRDefault="004F0A57" w:rsidP="009678BE">
      <w:pPr>
        <w:pStyle w:val="StyleArial10ptItalic"/>
        <w:rPr>
          <w:rFonts w:cs="Times New Roman"/>
          <w:iCs w:val="0"/>
          <w:sz w:val="22"/>
        </w:rPr>
      </w:pPr>
      <w:r>
        <w:rPr>
          <w:rFonts w:cs="Times New Roman"/>
          <w:iCs w:val="0"/>
          <w:sz w:val="22"/>
        </w:rPr>
        <w:t>FaHCSIA</w:t>
      </w:r>
      <w:r w:rsidR="009678BE" w:rsidRPr="00846F7A">
        <w:rPr>
          <w:rFonts w:cs="Times New Roman"/>
          <w:iCs w:val="0"/>
          <w:sz w:val="22"/>
        </w:rPr>
        <w:t xml:space="preserve"> will also continue to work with the states and territories to implement the National Disability Strategy 2010–2020 to bring about change in all mainstream and specialist services and programs, as well as community infrastructure, to ensure that they are accessible and responsive to the needs of people with disability. </w:t>
      </w:r>
    </w:p>
    <w:p w:rsidR="009678BE" w:rsidRPr="00846F7A" w:rsidRDefault="009678BE" w:rsidP="009678BE">
      <w:pPr>
        <w:pStyle w:val="StyleArial10ptItalic"/>
        <w:rPr>
          <w:rFonts w:cs="Times New Roman"/>
          <w:iCs w:val="0"/>
          <w:sz w:val="22"/>
        </w:rPr>
      </w:pPr>
    </w:p>
    <w:p w:rsidR="00C3498A" w:rsidRDefault="009678BE" w:rsidP="009678BE">
      <w:pPr>
        <w:pStyle w:val="StyleArial10ptItalic"/>
        <w:rPr>
          <w:rFonts w:cs="Times New Roman"/>
          <w:iCs w:val="0"/>
          <w:sz w:val="22"/>
        </w:rPr>
      </w:pPr>
      <w:r w:rsidRPr="00846F7A">
        <w:rPr>
          <w:rFonts w:cs="Times New Roman"/>
          <w:iCs w:val="0"/>
          <w:sz w:val="22"/>
        </w:rPr>
        <w:t xml:space="preserve">In addition to this work, </w:t>
      </w:r>
      <w:r w:rsidR="004F0A57">
        <w:rPr>
          <w:rFonts w:cs="Times New Roman"/>
          <w:iCs w:val="0"/>
          <w:sz w:val="22"/>
        </w:rPr>
        <w:t>FaHCSIA</w:t>
      </w:r>
      <w:r w:rsidRPr="00846F7A">
        <w:rPr>
          <w:rFonts w:cs="Times New Roman"/>
          <w:iCs w:val="0"/>
          <w:sz w:val="22"/>
        </w:rPr>
        <w:t xml:space="preserve"> will continue to progress initiatives under the National Carer Strategy.</w:t>
      </w:r>
    </w:p>
    <w:p w:rsidR="003938D4" w:rsidRPr="00846F7A" w:rsidRDefault="003938D4" w:rsidP="009678BE">
      <w:pPr>
        <w:pStyle w:val="StyleArial10ptItalic"/>
        <w:rPr>
          <w:rFonts w:cs="Times New Roman"/>
          <w:iCs w:val="0"/>
          <w:sz w:val="22"/>
        </w:rPr>
      </w:pPr>
    </w:p>
    <w:p w:rsidR="00C3498A" w:rsidRPr="003C68DB" w:rsidRDefault="00C3498A" w:rsidP="003C68DB"/>
    <w:p w:rsidR="00C3498A" w:rsidRPr="004B7E9E" w:rsidRDefault="00C3498A" w:rsidP="00C3498A">
      <w:pPr>
        <w:pStyle w:val="Heading2"/>
        <w:spacing w:before="0" w:after="0"/>
      </w:pPr>
      <w:bookmarkStart w:id="20" w:name="_Toc269211086"/>
      <w:bookmarkStart w:id="21" w:name="_Toc363823058"/>
      <w:r w:rsidRPr="004B7E9E">
        <w:t>Program Outcomes</w:t>
      </w:r>
      <w:bookmarkEnd w:id="20"/>
      <w:bookmarkEnd w:id="21"/>
    </w:p>
    <w:p w:rsidR="009678BE" w:rsidRPr="00846F7A" w:rsidRDefault="009678BE" w:rsidP="009678BE">
      <w:pPr>
        <w:pStyle w:val="StyleArial10ptItalic"/>
        <w:rPr>
          <w:rFonts w:cs="Times New Roman"/>
          <w:iCs w:val="0"/>
          <w:sz w:val="22"/>
        </w:rPr>
      </w:pPr>
      <w:r w:rsidRPr="00846F7A">
        <w:rPr>
          <w:rFonts w:cs="Times New Roman"/>
          <w:iCs w:val="0"/>
          <w:sz w:val="22"/>
        </w:rPr>
        <w:t xml:space="preserve">Outcome 5 – Disability and Carers </w:t>
      </w:r>
    </w:p>
    <w:p w:rsidR="00C3498A" w:rsidRPr="00846F7A" w:rsidRDefault="009678BE" w:rsidP="009678BE">
      <w:pPr>
        <w:pStyle w:val="StyleArial10ptItalic"/>
        <w:rPr>
          <w:rFonts w:cs="Times New Roman"/>
          <w:iCs w:val="0"/>
          <w:sz w:val="22"/>
        </w:rPr>
      </w:pPr>
      <w:r w:rsidRPr="00846F7A">
        <w:rPr>
          <w:rFonts w:cs="Times New Roman"/>
          <w:iCs w:val="0"/>
          <w:sz w:val="22"/>
        </w:rPr>
        <w:t>To provide an adequate standard of living, improved capacity to participate economically and socially and manage life-transitions for people with disability and/or mental illness and carers through payments, concessions, support and care services.</w:t>
      </w:r>
    </w:p>
    <w:p w:rsidR="009678BE" w:rsidRPr="004B7E9E" w:rsidRDefault="009678BE" w:rsidP="009678BE">
      <w:pPr>
        <w:pStyle w:val="StyleArial10ptItalic"/>
      </w:pPr>
    </w:p>
    <w:p w:rsidR="00C3498A" w:rsidRPr="00AC0687" w:rsidRDefault="004C7A70" w:rsidP="00AC0687">
      <w:pPr>
        <w:pStyle w:val="Heading2"/>
        <w:spacing w:before="0" w:after="0"/>
      </w:pPr>
      <w:bookmarkStart w:id="22" w:name="_Toc363823059"/>
      <w:r>
        <w:lastRenderedPageBreak/>
        <w:t>O</w:t>
      </w:r>
      <w:r w:rsidR="00C3498A" w:rsidRPr="00AC0687">
        <w:t>bjectives</w:t>
      </w:r>
      <w:bookmarkEnd w:id="22"/>
    </w:p>
    <w:p w:rsidR="009678BE" w:rsidRPr="00846F7A" w:rsidRDefault="009678BE" w:rsidP="009678BE">
      <w:r w:rsidRPr="00846F7A">
        <w:t>Outcome 5.4 - Services and Support for People with Disability</w:t>
      </w:r>
    </w:p>
    <w:p w:rsidR="00C3498A" w:rsidRDefault="009678BE" w:rsidP="009678BE">
      <w:pPr>
        <w:rPr>
          <w:rFonts w:cs="Arial"/>
          <w:iCs/>
          <w:sz w:val="20"/>
        </w:rPr>
      </w:pPr>
      <w:r w:rsidRPr="00846F7A">
        <w:t>To provide supported employment and improve access to information, advocacy and services for people with disability so they can develop their capabilities and actively participate in community and economic life</w:t>
      </w:r>
      <w:r w:rsidRPr="009678BE">
        <w:rPr>
          <w:rFonts w:cs="Arial"/>
          <w:iCs/>
          <w:sz w:val="20"/>
        </w:rPr>
        <w:t>.</w:t>
      </w:r>
    </w:p>
    <w:p w:rsidR="009678BE" w:rsidRDefault="009678BE" w:rsidP="009678BE">
      <w:pPr>
        <w:spacing w:before="120" w:after="120"/>
        <w:rPr>
          <w:rFonts w:cs="Arial"/>
          <w:szCs w:val="22"/>
        </w:rPr>
      </w:pPr>
      <w:r w:rsidRPr="003D026A">
        <w:rPr>
          <w:rFonts w:cs="Arial"/>
          <w:i/>
          <w:szCs w:val="22"/>
        </w:rPr>
        <w:t>Services for People with Disability</w:t>
      </w:r>
      <w:r w:rsidRPr="000858C7">
        <w:rPr>
          <w:rFonts w:cs="Arial"/>
          <w:szCs w:val="22"/>
        </w:rPr>
        <w:t xml:space="preserve"> </w:t>
      </w:r>
    </w:p>
    <w:p w:rsidR="009678BE" w:rsidRPr="00581817" w:rsidRDefault="009678BE" w:rsidP="00581817">
      <w:r w:rsidRPr="00301472">
        <w:t>To provide social support and community</w:t>
      </w:r>
      <w:r w:rsidRPr="00301472">
        <w:noBreakHyphen/>
        <w:t xml:space="preserve">based care for people with disability, their carers and their families, to promote independence, </w:t>
      </w:r>
      <w:r w:rsidR="00846F7A" w:rsidRPr="00301472">
        <w:t>self-reliance</w:t>
      </w:r>
      <w:r w:rsidRPr="00301472">
        <w:t xml:space="preserve"> and participation in t</w:t>
      </w:r>
      <w:r w:rsidR="00581817">
        <w:t xml:space="preserve">he community. </w:t>
      </w:r>
    </w:p>
    <w:p w:rsidR="009678BE" w:rsidRDefault="009678BE" w:rsidP="009678BE"/>
    <w:p w:rsidR="00C3498A" w:rsidRPr="004B7E9E" w:rsidRDefault="007E27FF" w:rsidP="00A764D1">
      <w:pPr>
        <w:pStyle w:val="Heading1"/>
      </w:pPr>
      <w:bookmarkStart w:id="23" w:name="_Toc269211087"/>
      <w:r>
        <w:br w:type="page"/>
      </w:r>
      <w:bookmarkStart w:id="24" w:name="_Toc363823060"/>
      <w:r w:rsidR="00C3498A" w:rsidRPr="004B7E9E">
        <w:lastRenderedPageBreak/>
        <w:t>Activity Overview</w:t>
      </w:r>
      <w:bookmarkEnd w:id="24"/>
      <w:r w:rsidR="00C3498A" w:rsidRPr="004B7E9E">
        <w:t xml:space="preserve"> </w:t>
      </w:r>
      <w:bookmarkEnd w:id="23"/>
    </w:p>
    <w:p w:rsidR="0087793A" w:rsidRDefault="009678BE" w:rsidP="009678BE">
      <w:pPr>
        <w:pStyle w:val="BodyText0"/>
      </w:pPr>
      <w:r w:rsidRPr="00EB06A4">
        <w:t xml:space="preserve">From 1 July 2013, </w:t>
      </w:r>
      <w:r w:rsidR="00ED262A">
        <w:rPr>
          <w:lang w:eastAsia="en-AU"/>
        </w:rPr>
        <w:t>the National Disability Insurance Scheme</w:t>
      </w:r>
      <w:r w:rsidRPr="00EB06A4">
        <w:rPr>
          <w:lang w:eastAsia="en-AU"/>
        </w:rPr>
        <w:t xml:space="preserve"> </w:t>
      </w:r>
      <w:r w:rsidRPr="00EB06A4">
        <w:t xml:space="preserve">will launch in </w:t>
      </w:r>
      <w:r w:rsidRPr="00DE51E2">
        <w:t>the Barwon area of Victoria, the Hunter area in New South Wales, Tasmania and South Australia, and from July 2014 in the Australian Capital Territory</w:t>
      </w:r>
      <w:r w:rsidR="009B323B">
        <w:t xml:space="preserve">, </w:t>
      </w:r>
      <w:r w:rsidRPr="00DE51E2">
        <w:t>the Barkly region of the Northern Territory</w:t>
      </w:r>
      <w:r w:rsidR="009B323B">
        <w:t xml:space="preserve"> and the </w:t>
      </w:r>
      <w:r w:rsidR="009B323B" w:rsidRPr="009B323B">
        <w:rPr>
          <w:lang w:val="en"/>
        </w:rPr>
        <w:t>Perth Hills area</w:t>
      </w:r>
      <w:r w:rsidR="009B323B">
        <w:rPr>
          <w:lang w:val="en"/>
        </w:rPr>
        <w:t xml:space="preserve"> in Western Australia</w:t>
      </w:r>
      <w:r>
        <w:t xml:space="preserve"> (the launch sites)</w:t>
      </w:r>
      <w:r w:rsidRPr="00DE51E2">
        <w:t>.</w:t>
      </w:r>
      <w:r>
        <w:t xml:space="preserve">  </w:t>
      </w:r>
    </w:p>
    <w:p w:rsidR="009678BE" w:rsidRPr="00EB06A4" w:rsidRDefault="00ED262A" w:rsidP="009678BE">
      <w:pPr>
        <w:pStyle w:val="BodyText0"/>
      </w:pPr>
      <w:r>
        <w:t>The National Disability Insurance Scheme</w:t>
      </w:r>
      <w:r w:rsidR="009678BE" w:rsidRPr="00EB06A4">
        <w:t xml:space="preserve"> will provide long-term, high quality individualised care and support that is reasonable and necessary to meet the needs of people with permanent disability, where their disability significantly affects their communication, mobility, self-care or self-management.  This may include an individual plan and an individually funded package.</w:t>
      </w:r>
    </w:p>
    <w:p w:rsidR="009678BE" w:rsidRPr="00EB06A4" w:rsidRDefault="009678BE" w:rsidP="009678BE">
      <w:pPr>
        <w:pStyle w:val="BodyText0"/>
        <w:rPr>
          <w:color w:val="000000"/>
        </w:rPr>
      </w:pPr>
      <w:r w:rsidRPr="00EB06A4">
        <w:t xml:space="preserve">The </w:t>
      </w:r>
      <w:r w:rsidR="0087793A">
        <w:t xml:space="preserve">Australian </w:t>
      </w:r>
      <w:r w:rsidRPr="00EB06A4">
        <w:t xml:space="preserve">Government has established </w:t>
      </w:r>
      <w:r w:rsidR="00ED262A">
        <w:t>the National Disability Insurance A</w:t>
      </w:r>
      <w:r w:rsidRPr="00EB06A4">
        <w:t>gency that will implement the first stage of the scheme.  </w:t>
      </w:r>
      <w:r w:rsidR="00ED262A">
        <w:t>The National Disability Insurance Agency</w:t>
      </w:r>
      <w:r w:rsidRPr="00EB06A4">
        <w:rPr>
          <w:color w:val="000000"/>
        </w:rPr>
        <w:t xml:space="preserve"> will work closely with people with disability, governments, representative organisations, service providers and participating communities in launch sites to ensure the transition to the new arrangements take account of local needs and experience.</w:t>
      </w:r>
    </w:p>
    <w:p w:rsidR="009678BE" w:rsidRDefault="009678BE" w:rsidP="009678BE">
      <w:pPr>
        <w:pStyle w:val="BodyText0"/>
      </w:pPr>
      <w:r w:rsidRPr="00EB06A4">
        <w:t xml:space="preserve">The </w:t>
      </w:r>
      <w:r w:rsidRPr="00EB06A4">
        <w:rPr>
          <w:i/>
        </w:rPr>
        <w:t>National Disability Insurance Scheme Act 2013</w:t>
      </w:r>
      <w:r w:rsidRPr="00EB06A4">
        <w:t xml:space="preserve"> creates the framework for </w:t>
      </w:r>
      <w:r w:rsidR="00ED262A">
        <w:t>the National Disability Insurance Scheme</w:t>
      </w:r>
      <w:r w:rsidRPr="00EB06A4">
        <w:t xml:space="preserve">, including eligibility criteria, age requirements, and what constitutes reasonable and necessary support.  The framework set up by the legislation will be supported by detailed rules that keep it flexible and allow it to be adapted.  </w:t>
      </w:r>
    </w:p>
    <w:p w:rsidR="009678BE" w:rsidRDefault="009678BE" w:rsidP="009678BE">
      <w:pPr>
        <w:pStyle w:val="BodyText0"/>
      </w:pPr>
      <w:r>
        <w:rPr>
          <w:lang w:eastAsia="en-AU"/>
        </w:rPr>
        <w:t xml:space="preserve">The aim of external merits review is to ensure </w:t>
      </w:r>
      <w:r w:rsidR="00ED262A">
        <w:rPr>
          <w:lang w:eastAsia="en-AU"/>
        </w:rPr>
        <w:t>the National Disability Insurance Agency</w:t>
      </w:r>
      <w:r>
        <w:rPr>
          <w:lang w:eastAsia="en-AU"/>
        </w:rPr>
        <w:t xml:space="preserve"> decisions are fair and robust.  The </w:t>
      </w:r>
      <w:r w:rsidRPr="00EB06A4">
        <w:rPr>
          <w:lang w:eastAsia="en-AU"/>
        </w:rPr>
        <w:t>Administrative Appeal</w:t>
      </w:r>
      <w:r w:rsidR="00301587">
        <w:rPr>
          <w:lang w:eastAsia="en-AU"/>
        </w:rPr>
        <w:t>s</w:t>
      </w:r>
      <w:r w:rsidRPr="00EB06A4">
        <w:rPr>
          <w:lang w:eastAsia="en-AU"/>
        </w:rPr>
        <w:t xml:space="preserve"> Tribunal (AAT)</w:t>
      </w:r>
      <w:r>
        <w:rPr>
          <w:lang w:eastAsia="en-AU"/>
        </w:rPr>
        <w:t xml:space="preserve"> is the external merits body for the launch phase of </w:t>
      </w:r>
      <w:r w:rsidR="00ED262A">
        <w:rPr>
          <w:lang w:eastAsia="en-AU"/>
        </w:rPr>
        <w:t>the National Disability Insurance Scheme</w:t>
      </w:r>
      <w:r w:rsidR="00301587">
        <w:rPr>
          <w:lang w:eastAsia="en-AU"/>
        </w:rPr>
        <w:t>.</w:t>
      </w:r>
      <w:r>
        <w:rPr>
          <w:lang w:eastAsia="en-AU"/>
        </w:rPr>
        <w:t xml:space="preserve"> To ensure the external merits review process is accessible and as non-adversarial as possible for people with disability, the Government has established a designated division of the AAT, a fee waiver for applicants </w:t>
      </w:r>
      <w:r w:rsidR="00301587">
        <w:rPr>
          <w:lang w:eastAsia="en-AU"/>
        </w:rPr>
        <w:t xml:space="preserve">seeking a review </w:t>
      </w:r>
      <w:r>
        <w:rPr>
          <w:lang w:eastAsia="en-AU"/>
        </w:rPr>
        <w:t xml:space="preserve">of </w:t>
      </w:r>
      <w:r w:rsidR="00ED262A">
        <w:rPr>
          <w:lang w:eastAsia="en-AU"/>
        </w:rPr>
        <w:t>National Disability Insurance Agency</w:t>
      </w:r>
      <w:r>
        <w:rPr>
          <w:lang w:eastAsia="en-AU"/>
        </w:rPr>
        <w:t xml:space="preserve"> decisions, and support</w:t>
      </w:r>
      <w:r w:rsidR="00486C3F">
        <w:rPr>
          <w:lang w:eastAsia="en-AU"/>
        </w:rPr>
        <w:t xml:space="preserve"> services (</w:t>
      </w:r>
      <w:r w:rsidR="005A2891">
        <w:rPr>
          <w:lang w:eastAsia="en-AU"/>
        </w:rPr>
        <w:t xml:space="preserve">the </w:t>
      </w:r>
      <w:r w:rsidR="00486C3F">
        <w:rPr>
          <w:lang w:eastAsia="en-AU"/>
        </w:rPr>
        <w:t>support component)</w:t>
      </w:r>
      <w:r>
        <w:rPr>
          <w:lang w:eastAsia="en-AU"/>
        </w:rPr>
        <w:t>.</w:t>
      </w:r>
    </w:p>
    <w:p w:rsidR="009678BE" w:rsidRPr="00EA0B90" w:rsidRDefault="00414DEA" w:rsidP="00C61CD5">
      <w:pPr>
        <w:pStyle w:val="Heading2"/>
        <w:numPr>
          <w:ilvl w:val="0"/>
          <w:numId w:val="0"/>
        </w:numPr>
        <w:rPr>
          <w:lang w:eastAsia="en-AU"/>
        </w:rPr>
      </w:pPr>
      <w:bookmarkStart w:id="25" w:name="_Toc363823061"/>
      <w:r w:rsidRPr="00EA0B90">
        <w:rPr>
          <w:lang w:eastAsia="en-AU"/>
        </w:rPr>
        <w:t xml:space="preserve">2.1   </w:t>
      </w:r>
      <w:r w:rsidR="00931A1D" w:rsidRPr="00EA0B90">
        <w:rPr>
          <w:lang w:eastAsia="en-AU"/>
        </w:rPr>
        <w:t xml:space="preserve">External </w:t>
      </w:r>
      <w:r w:rsidR="00931A1D" w:rsidRPr="00EA0B90">
        <w:rPr>
          <w:bCs w:val="0"/>
          <w:szCs w:val="24"/>
        </w:rPr>
        <w:t>Merits</w:t>
      </w:r>
      <w:r w:rsidR="00931A1D" w:rsidRPr="00EA0B90">
        <w:rPr>
          <w:lang w:eastAsia="en-AU"/>
        </w:rPr>
        <w:t xml:space="preserve"> Review - </w:t>
      </w:r>
      <w:r w:rsidR="009678BE" w:rsidRPr="00EA0B90">
        <w:rPr>
          <w:lang w:eastAsia="en-AU"/>
        </w:rPr>
        <w:t xml:space="preserve">Support Component </w:t>
      </w:r>
      <w:r w:rsidR="00931A1D" w:rsidRPr="00EA0B90">
        <w:rPr>
          <w:lang w:eastAsia="en-AU"/>
        </w:rPr>
        <w:t>(</w:t>
      </w:r>
      <w:r w:rsidR="009678BE" w:rsidRPr="00EA0B90">
        <w:rPr>
          <w:lang w:eastAsia="en-AU"/>
        </w:rPr>
        <w:t>Support Persons and Legal Services</w:t>
      </w:r>
      <w:r w:rsidR="00931A1D" w:rsidRPr="00EA0B90">
        <w:rPr>
          <w:lang w:eastAsia="en-AU"/>
        </w:rPr>
        <w:t>)</w:t>
      </w:r>
      <w:bookmarkEnd w:id="25"/>
      <w:r w:rsidR="009678BE" w:rsidRPr="00EA0B90">
        <w:rPr>
          <w:lang w:eastAsia="en-AU"/>
        </w:rPr>
        <w:t xml:space="preserve"> </w:t>
      </w:r>
    </w:p>
    <w:p w:rsidR="009678BE" w:rsidRPr="00EB06A4" w:rsidRDefault="009678BE" w:rsidP="009678BE">
      <w:pPr>
        <w:pStyle w:val="BodyText0"/>
        <w:rPr>
          <w:lang w:eastAsia="en-AU"/>
        </w:rPr>
      </w:pPr>
      <w:r w:rsidRPr="00EB06A4">
        <w:rPr>
          <w:lang w:eastAsia="en-AU"/>
        </w:rPr>
        <w:t xml:space="preserve">The </w:t>
      </w:r>
      <w:r>
        <w:rPr>
          <w:lang w:eastAsia="en-AU"/>
        </w:rPr>
        <w:t xml:space="preserve">support component provides </w:t>
      </w:r>
      <w:r w:rsidRPr="00EB06A4">
        <w:rPr>
          <w:lang w:eastAsia="en-AU"/>
        </w:rPr>
        <w:t xml:space="preserve">support </w:t>
      </w:r>
      <w:r>
        <w:rPr>
          <w:lang w:eastAsia="en-AU"/>
        </w:rPr>
        <w:t>persons</w:t>
      </w:r>
      <w:r w:rsidRPr="00EB06A4">
        <w:rPr>
          <w:lang w:eastAsia="en-AU"/>
        </w:rPr>
        <w:t xml:space="preserve"> t</w:t>
      </w:r>
      <w:r>
        <w:rPr>
          <w:lang w:eastAsia="en-AU"/>
        </w:rPr>
        <w:t>o</w:t>
      </w:r>
      <w:r w:rsidRPr="00EB06A4">
        <w:rPr>
          <w:lang w:eastAsia="en-AU"/>
        </w:rPr>
        <w:t xml:space="preserve"> </w:t>
      </w:r>
      <w:r w:rsidRPr="0090511C">
        <w:rPr>
          <w:lang w:eastAsia="en-AU"/>
        </w:rPr>
        <w:t>assist</w:t>
      </w:r>
      <w:r>
        <w:rPr>
          <w:lang w:eastAsia="en-AU"/>
        </w:rPr>
        <w:t xml:space="preserve"> </w:t>
      </w:r>
      <w:r w:rsidRPr="0090511C">
        <w:rPr>
          <w:lang w:eastAsia="en-AU"/>
        </w:rPr>
        <w:t xml:space="preserve">applicants in navigating the process </w:t>
      </w:r>
      <w:r>
        <w:rPr>
          <w:lang w:eastAsia="en-AU"/>
        </w:rPr>
        <w:t>of</w:t>
      </w:r>
      <w:r w:rsidRPr="0090511C">
        <w:rPr>
          <w:lang w:eastAsia="en-AU"/>
        </w:rPr>
        <w:t xml:space="preserve"> AAT review of </w:t>
      </w:r>
      <w:r w:rsidR="00ED262A">
        <w:rPr>
          <w:lang w:eastAsia="en-AU"/>
        </w:rPr>
        <w:t>National Disability Insurance Agency</w:t>
      </w:r>
      <w:r w:rsidRPr="0090511C">
        <w:rPr>
          <w:lang w:eastAsia="en-AU"/>
        </w:rPr>
        <w:t xml:space="preserve"> decision</w:t>
      </w:r>
      <w:r>
        <w:rPr>
          <w:lang w:eastAsia="en-AU"/>
        </w:rPr>
        <w:t xml:space="preserve">s.  The support person’s role may involve </w:t>
      </w:r>
      <w:r w:rsidRPr="0090511C">
        <w:rPr>
          <w:lang w:eastAsia="en-AU"/>
        </w:rPr>
        <w:t>attending AAT conferences and hearings with applicants</w:t>
      </w:r>
      <w:r w:rsidR="00486C3F">
        <w:rPr>
          <w:lang w:eastAsia="en-AU"/>
        </w:rPr>
        <w:t xml:space="preserve">, fostering </w:t>
      </w:r>
      <w:r w:rsidRPr="00EB06A4">
        <w:rPr>
          <w:lang w:eastAsia="en-AU"/>
        </w:rPr>
        <w:t xml:space="preserve">self-advocacy </w:t>
      </w:r>
      <w:r>
        <w:rPr>
          <w:lang w:eastAsia="en-AU"/>
        </w:rPr>
        <w:t>for applicants to</w:t>
      </w:r>
      <w:r w:rsidRPr="00EB06A4">
        <w:rPr>
          <w:lang w:eastAsia="en-AU"/>
        </w:rPr>
        <w:t xml:space="preserve"> put their own cases before the AAT, or provid</w:t>
      </w:r>
      <w:r>
        <w:rPr>
          <w:lang w:eastAsia="en-AU"/>
        </w:rPr>
        <w:t>ing</w:t>
      </w:r>
      <w:r w:rsidRPr="00EB06A4">
        <w:rPr>
          <w:lang w:eastAsia="en-AU"/>
        </w:rPr>
        <w:t xml:space="preserve"> individual advocacy in cases where the person is unable to self-advocate. </w:t>
      </w:r>
    </w:p>
    <w:p w:rsidR="009678BE" w:rsidRPr="00EB06A4" w:rsidRDefault="009678BE" w:rsidP="009678BE">
      <w:pPr>
        <w:pStyle w:val="BodyText0"/>
        <w:rPr>
          <w:lang w:eastAsia="en-AU"/>
        </w:rPr>
      </w:pPr>
      <w:r w:rsidRPr="00EB06A4">
        <w:rPr>
          <w:lang w:eastAsia="en-AU"/>
        </w:rPr>
        <w:t xml:space="preserve">Funding will be directly provided to </w:t>
      </w:r>
      <w:r w:rsidR="00C627D7">
        <w:rPr>
          <w:lang w:eastAsia="en-AU"/>
        </w:rPr>
        <w:t xml:space="preserve">one </w:t>
      </w:r>
      <w:r w:rsidR="00931A1D">
        <w:rPr>
          <w:lang w:eastAsia="en-AU"/>
        </w:rPr>
        <w:t xml:space="preserve">existing </w:t>
      </w:r>
      <w:r w:rsidRPr="00EB06A4">
        <w:rPr>
          <w:lang w:eastAsia="en-AU"/>
        </w:rPr>
        <w:t>National Disability Advocacy Program (NDAP)</w:t>
      </w:r>
      <w:r w:rsidR="005A2891">
        <w:rPr>
          <w:lang w:eastAsia="en-AU"/>
        </w:rPr>
        <w:t xml:space="preserve"> </w:t>
      </w:r>
      <w:r w:rsidRPr="00EB06A4">
        <w:rPr>
          <w:lang w:eastAsia="en-AU"/>
        </w:rPr>
        <w:t>agenc</w:t>
      </w:r>
      <w:r w:rsidR="00C627D7">
        <w:rPr>
          <w:lang w:eastAsia="en-AU"/>
        </w:rPr>
        <w:t>y</w:t>
      </w:r>
      <w:r w:rsidRPr="00EB06A4">
        <w:rPr>
          <w:lang w:eastAsia="en-AU"/>
        </w:rPr>
        <w:t xml:space="preserve"> in </w:t>
      </w:r>
      <w:r w:rsidR="00C627D7">
        <w:rPr>
          <w:lang w:eastAsia="en-AU"/>
        </w:rPr>
        <w:t xml:space="preserve">each </w:t>
      </w:r>
      <w:r w:rsidRPr="00EB06A4">
        <w:rPr>
          <w:lang w:eastAsia="en-AU"/>
        </w:rPr>
        <w:t xml:space="preserve">launch site for the </w:t>
      </w:r>
      <w:r>
        <w:rPr>
          <w:lang w:eastAsia="en-AU"/>
        </w:rPr>
        <w:t>provision</w:t>
      </w:r>
      <w:r w:rsidRPr="00EB06A4">
        <w:rPr>
          <w:lang w:eastAsia="en-AU"/>
        </w:rPr>
        <w:t xml:space="preserve"> of support persons. </w:t>
      </w:r>
    </w:p>
    <w:p w:rsidR="009678BE" w:rsidRPr="00EB06A4" w:rsidRDefault="009678BE" w:rsidP="009678BE">
      <w:pPr>
        <w:pStyle w:val="BodyText0"/>
        <w:rPr>
          <w:lang w:eastAsia="en-AU"/>
        </w:rPr>
      </w:pPr>
      <w:r w:rsidRPr="00EB06A4">
        <w:rPr>
          <w:lang w:eastAsia="en-AU"/>
        </w:rPr>
        <w:t>While the focus is on non-legal</w:t>
      </w:r>
      <w:r>
        <w:rPr>
          <w:lang w:eastAsia="en-AU"/>
        </w:rPr>
        <w:t>istic</w:t>
      </w:r>
      <w:r w:rsidRPr="00EB06A4">
        <w:rPr>
          <w:lang w:eastAsia="en-AU"/>
        </w:rPr>
        <w:t xml:space="preserve"> self-advocacy services, there may be some cases </w:t>
      </w:r>
      <w:r>
        <w:rPr>
          <w:lang w:eastAsia="en-AU"/>
        </w:rPr>
        <w:t>where</w:t>
      </w:r>
      <w:r w:rsidRPr="00EB06A4">
        <w:rPr>
          <w:lang w:eastAsia="en-AU"/>
        </w:rPr>
        <w:t xml:space="preserve"> there is a legitimate need for applicants to access legal services</w:t>
      </w:r>
      <w:r w:rsidR="00486C3F">
        <w:rPr>
          <w:lang w:eastAsia="en-AU"/>
        </w:rPr>
        <w:t xml:space="preserve">; those </w:t>
      </w:r>
      <w:r w:rsidRPr="00EB06A4">
        <w:rPr>
          <w:lang w:eastAsia="en-AU"/>
        </w:rPr>
        <w:t>case</w:t>
      </w:r>
      <w:r w:rsidR="00486C3F">
        <w:rPr>
          <w:lang w:eastAsia="en-AU"/>
        </w:rPr>
        <w:t>s</w:t>
      </w:r>
      <w:r w:rsidRPr="00EB06A4">
        <w:rPr>
          <w:lang w:eastAsia="en-AU"/>
        </w:rPr>
        <w:t xml:space="preserve"> </w:t>
      </w:r>
      <w:r>
        <w:rPr>
          <w:lang w:eastAsia="en-AU"/>
        </w:rPr>
        <w:t xml:space="preserve">which </w:t>
      </w:r>
      <w:r w:rsidRPr="00EB06A4">
        <w:rPr>
          <w:lang w:eastAsia="en-AU"/>
        </w:rPr>
        <w:t xml:space="preserve">raise complex </w:t>
      </w:r>
      <w:r>
        <w:rPr>
          <w:lang w:eastAsia="en-AU"/>
        </w:rPr>
        <w:t>or</w:t>
      </w:r>
      <w:r w:rsidRPr="00EB06A4">
        <w:rPr>
          <w:lang w:eastAsia="en-AU"/>
        </w:rPr>
        <w:t xml:space="preserve"> novel legal issues.</w:t>
      </w:r>
    </w:p>
    <w:p w:rsidR="009678BE" w:rsidRPr="00EB06A4" w:rsidRDefault="009678BE" w:rsidP="009678BE">
      <w:pPr>
        <w:pStyle w:val="BodyText0"/>
        <w:rPr>
          <w:lang w:eastAsia="en-AU"/>
        </w:rPr>
      </w:pPr>
      <w:r w:rsidRPr="00EB06A4">
        <w:rPr>
          <w:lang w:eastAsia="en-AU"/>
        </w:rPr>
        <w:t>Recognising this, the support component also provide</w:t>
      </w:r>
      <w:r>
        <w:rPr>
          <w:lang w:eastAsia="en-AU"/>
        </w:rPr>
        <w:t>s</w:t>
      </w:r>
      <w:r w:rsidRPr="00EB06A4">
        <w:rPr>
          <w:lang w:eastAsia="en-AU"/>
        </w:rPr>
        <w:t xml:space="preserve"> capped funding to </w:t>
      </w:r>
      <w:r w:rsidR="005A2891">
        <w:rPr>
          <w:lang w:eastAsia="en-AU"/>
        </w:rPr>
        <w:t>l</w:t>
      </w:r>
      <w:r w:rsidRPr="00EB06A4">
        <w:rPr>
          <w:lang w:eastAsia="en-AU"/>
        </w:rPr>
        <w:t xml:space="preserve">egal </w:t>
      </w:r>
      <w:r w:rsidR="005A2891">
        <w:rPr>
          <w:lang w:eastAsia="en-AU"/>
        </w:rPr>
        <w:t>a</w:t>
      </w:r>
      <w:r>
        <w:rPr>
          <w:lang w:eastAsia="en-AU"/>
        </w:rPr>
        <w:t xml:space="preserve">id </w:t>
      </w:r>
      <w:r w:rsidR="005A2891">
        <w:rPr>
          <w:lang w:eastAsia="en-AU"/>
        </w:rPr>
        <w:t>c</w:t>
      </w:r>
      <w:r>
        <w:rPr>
          <w:lang w:eastAsia="en-AU"/>
        </w:rPr>
        <w:t xml:space="preserve">ommissions </w:t>
      </w:r>
      <w:r w:rsidRPr="00EB06A4">
        <w:rPr>
          <w:lang w:eastAsia="en-AU"/>
        </w:rPr>
        <w:t xml:space="preserve">in launch sites.  </w:t>
      </w:r>
    </w:p>
    <w:p w:rsidR="009678BE" w:rsidRDefault="009678BE" w:rsidP="009678BE">
      <w:pPr>
        <w:pStyle w:val="BodyText0"/>
        <w:rPr>
          <w:lang w:eastAsia="en-AU"/>
        </w:rPr>
      </w:pPr>
      <w:r w:rsidRPr="00EB06A4">
        <w:rPr>
          <w:lang w:eastAsia="en-AU"/>
        </w:rPr>
        <w:t xml:space="preserve">To ensure that assessments of eligibility for legal </w:t>
      </w:r>
      <w:r>
        <w:rPr>
          <w:lang w:eastAsia="en-AU"/>
        </w:rPr>
        <w:t>services</w:t>
      </w:r>
      <w:r w:rsidRPr="00EB06A4">
        <w:rPr>
          <w:lang w:eastAsia="en-AU"/>
        </w:rPr>
        <w:t xml:space="preserve"> are handled consistently and by persons with appropriate </w:t>
      </w:r>
      <w:r>
        <w:rPr>
          <w:lang w:eastAsia="en-AU"/>
        </w:rPr>
        <w:t xml:space="preserve">legal </w:t>
      </w:r>
      <w:r w:rsidRPr="00EB06A4">
        <w:rPr>
          <w:lang w:eastAsia="en-AU"/>
        </w:rPr>
        <w:t>expertise, a central assessment provider</w:t>
      </w:r>
      <w:r>
        <w:rPr>
          <w:lang w:eastAsia="en-AU"/>
        </w:rPr>
        <w:t xml:space="preserve"> (the CAP)</w:t>
      </w:r>
      <w:r w:rsidRPr="00EB06A4">
        <w:rPr>
          <w:lang w:eastAsia="en-AU"/>
        </w:rPr>
        <w:t xml:space="preserve"> </w:t>
      </w:r>
      <w:r>
        <w:rPr>
          <w:lang w:eastAsia="en-AU"/>
        </w:rPr>
        <w:t>is available</w:t>
      </w:r>
      <w:r w:rsidRPr="00EB06A4">
        <w:rPr>
          <w:lang w:eastAsia="en-AU"/>
        </w:rPr>
        <w:t xml:space="preserve">. Applicants </w:t>
      </w:r>
      <w:r>
        <w:rPr>
          <w:lang w:eastAsia="en-AU"/>
        </w:rPr>
        <w:t>w</w:t>
      </w:r>
      <w:r w:rsidRPr="00EB06A4">
        <w:rPr>
          <w:lang w:eastAsia="en-AU"/>
        </w:rPr>
        <w:t xml:space="preserve">ould </w:t>
      </w:r>
      <w:r>
        <w:rPr>
          <w:lang w:eastAsia="en-AU"/>
        </w:rPr>
        <w:t xml:space="preserve">primarily </w:t>
      </w:r>
      <w:r w:rsidRPr="00EB06A4">
        <w:rPr>
          <w:lang w:eastAsia="en-AU"/>
        </w:rPr>
        <w:t xml:space="preserve">be referred to </w:t>
      </w:r>
      <w:r>
        <w:rPr>
          <w:lang w:eastAsia="en-AU"/>
        </w:rPr>
        <w:t>the CAP</w:t>
      </w:r>
      <w:r w:rsidRPr="00EB06A4">
        <w:rPr>
          <w:lang w:eastAsia="en-AU"/>
        </w:rPr>
        <w:t xml:space="preserve"> by the A</w:t>
      </w:r>
      <w:r>
        <w:rPr>
          <w:lang w:eastAsia="en-AU"/>
        </w:rPr>
        <w:t>AT</w:t>
      </w:r>
      <w:r w:rsidRPr="00EB06A4">
        <w:rPr>
          <w:lang w:eastAsia="en-AU"/>
        </w:rPr>
        <w:t xml:space="preserve"> or the </w:t>
      </w:r>
      <w:r>
        <w:rPr>
          <w:lang w:eastAsia="en-AU"/>
        </w:rPr>
        <w:t>support persons</w:t>
      </w:r>
      <w:r w:rsidRPr="00EB06A4">
        <w:rPr>
          <w:lang w:eastAsia="en-AU"/>
        </w:rPr>
        <w:t>.</w:t>
      </w:r>
      <w:r>
        <w:rPr>
          <w:lang w:eastAsia="en-AU"/>
        </w:rPr>
        <w:t xml:space="preserve">  The CAP role will be undertaken by </w:t>
      </w:r>
      <w:r w:rsidR="004F0A57">
        <w:rPr>
          <w:lang w:eastAsia="en-AU"/>
        </w:rPr>
        <w:t>FaHCSIA</w:t>
      </w:r>
      <w:r>
        <w:rPr>
          <w:lang w:eastAsia="en-AU"/>
        </w:rPr>
        <w:t xml:space="preserve"> Legal Branch.</w:t>
      </w:r>
    </w:p>
    <w:p w:rsidR="00795560" w:rsidRDefault="009678BE" w:rsidP="009678BE">
      <w:pPr>
        <w:pStyle w:val="BodyText0"/>
        <w:rPr>
          <w:lang w:eastAsia="en-AU"/>
        </w:rPr>
      </w:pPr>
      <w:r>
        <w:rPr>
          <w:lang w:eastAsia="en-AU"/>
        </w:rPr>
        <w:t xml:space="preserve">The CAP will determine whether a case is complex or novel and thus eligible for legal services through the legal aid commissions. </w:t>
      </w:r>
      <w:r w:rsidR="00C627D7" w:rsidRPr="00C627D7">
        <w:rPr>
          <w:lang w:eastAsia="en-AU"/>
        </w:rPr>
        <w:t xml:space="preserve">There will </w:t>
      </w:r>
      <w:r w:rsidR="00C627D7">
        <w:rPr>
          <w:lang w:eastAsia="en-AU"/>
        </w:rPr>
        <w:t xml:space="preserve">only </w:t>
      </w:r>
      <w:r w:rsidR="00C627D7" w:rsidRPr="00C627D7">
        <w:rPr>
          <w:lang w:eastAsia="en-AU"/>
        </w:rPr>
        <w:t>be a small number of cases that will satisfy the criteria for assistance (which are that a case raises complex or novel legal issues). </w:t>
      </w:r>
    </w:p>
    <w:p w:rsidR="00795560" w:rsidRDefault="00795560" w:rsidP="009678BE">
      <w:pPr>
        <w:pStyle w:val="BodyText0"/>
        <w:rPr>
          <w:lang w:eastAsia="en-AU"/>
        </w:rPr>
      </w:pPr>
    </w:p>
    <w:p w:rsidR="009678BE" w:rsidRDefault="00C627D7" w:rsidP="009678BE">
      <w:pPr>
        <w:pStyle w:val="BodyText0"/>
        <w:rPr>
          <w:lang w:eastAsia="en-AU"/>
        </w:rPr>
      </w:pPr>
      <w:r w:rsidRPr="00C627D7">
        <w:rPr>
          <w:lang w:eastAsia="en-AU"/>
        </w:rPr>
        <w:lastRenderedPageBreak/>
        <w:t xml:space="preserve">The majority of </w:t>
      </w:r>
      <w:r w:rsidR="00ED262A">
        <w:rPr>
          <w:lang w:eastAsia="en-AU"/>
        </w:rPr>
        <w:t>National Disability Insurance Agency</w:t>
      </w:r>
      <w:r w:rsidRPr="00C627D7">
        <w:rPr>
          <w:lang w:eastAsia="en-AU"/>
        </w:rPr>
        <w:t xml:space="preserve"> decisions that will be subject to review are likely to relate to the application of eligibility criteria to individual circumstances (entailing questions of fact rather than law) or to decisions about the content of participants’ plans (entailing subjective assessments of individuals’ circumstances rather than complex or novel legal questions).  Clause 99 of the </w:t>
      </w:r>
      <w:r w:rsidRPr="00C627D7">
        <w:rPr>
          <w:i/>
          <w:lang w:eastAsia="en-AU"/>
        </w:rPr>
        <w:t>National Disability Insurance Scheme Bill 2012</w:t>
      </w:r>
      <w:r w:rsidRPr="00C627D7">
        <w:rPr>
          <w:lang w:eastAsia="en-AU"/>
        </w:rPr>
        <w:t xml:space="preserve"> sets out which decisions are subject to review.  Of these, a small number are expected to potentially raise complex or novel legal issues – for example, decisions about who is to speak on behalf of a child participant (clause 74 of the Bill) may potentially raise complex legal issues, and decisions about compensation issues (clauses 111 and 116 of the Bill).</w:t>
      </w:r>
      <w:r w:rsidR="00F93D77">
        <w:rPr>
          <w:lang w:eastAsia="en-AU"/>
        </w:rPr>
        <w:t xml:space="preserve"> </w:t>
      </w:r>
    </w:p>
    <w:p w:rsidR="009678BE" w:rsidRDefault="009678BE" w:rsidP="009678BE">
      <w:pPr>
        <w:pStyle w:val="BodyText0"/>
        <w:rPr>
          <w:lang w:eastAsia="en-AU"/>
        </w:rPr>
      </w:pPr>
      <w:r w:rsidRPr="00EB06A4">
        <w:rPr>
          <w:lang w:eastAsia="en-AU"/>
        </w:rPr>
        <w:t xml:space="preserve">If legal </w:t>
      </w:r>
      <w:r>
        <w:rPr>
          <w:lang w:eastAsia="en-AU"/>
        </w:rPr>
        <w:t>services are</w:t>
      </w:r>
      <w:r w:rsidRPr="00EB06A4">
        <w:rPr>
          <w:lang w:eastAsia="en-AU"/>
        </w:rPr>
        <w:t xml:space="preserve"> provided, the support person would, subject to the applicant’s agreement, continue to support </w:t>
      </w:r>
      <w:r>
        <w:rPr>
          <w:lang w:eastAsia="en-AU"/>
        </w:rPr>
        <w:t>the</w:t>
      </w:r>
      <w:r w:rsidRPr="00DC6681">
        <w:rPr>
          <w:lang w:eastAsia="en-AU"/>
        </w:rPr>
        <w:t xml:space="preserve"> </w:t>
      </w:r>
      <w:r w:rsidRPr="00EB06A4">
        <w:rPr>
          <w:lang w:eastAsia="en-AU"/>
        </w:rPr>
        <w:t>applicant</w:t>
      </w:r>
      <w:r>
        <w:rPr>
          <w:lang w:eastAsia="en-AU"/>
        </w:rPr>
        <w:t xml:space="preserve"> through the </w:t>
      </w:r>
      <w:r w:rsidRPr="00EB06A4">
        <w:rPr>
          <w:lang w:eastAsia="en-AU"/>
        </w:rPr>
        <w:t>AAT</w:t>
      </w:r>
      <w:r>
        <w:rPr>
          <w:lang w:eastAsia="en-AU"/>
        </w:rPr>
        <w:t xml:space="preserve"> process</w:t>
      </w:r>
      <w:r w:rsidRPr="00EB06A4">
        <w:rPr>
          <w:lang w:eastAsia="en-AU"/>
        </w:rPr>
        <w:t>.</w:t>
      </w:r>
    </w:p>
    <w:p w:rsidR="009678BE" w:rsidRPr="00EA0B90" w:rsidRDefault="00FE08ED" w:rsidP="00C61CD5">
      <w:pPr>
        <w:pStyle w:val="Heading2"/>
        <w:numPr>
          <w:ilvl w:val="0"/>
          <w:numId w:val="0"/>
        </w:numPr>
        <w:rPr>
          <w:lang w:eastAsia="en-AU"/>
        </w:rPr>
      </w:pPr>
      <w:bookmarkStart w:id="26" w:name="_Toc363823062"/>
      <w:r w:rsidRPr="00EA0B90">
        <w:rPr>
          <w:lang w:eastAsia="en-AU"/>
        </w:rPr>
        <w:t>2.2  Support</w:t>
      </w:r>
      <w:r w:rsidR="009678BE" w:rsidRPr="00EA0B90">
        <w:rPr>
          <w:lang w:eastAsia="en-AU"/>
        </w:rPr>
        <w:t xml:space="preserve"> Persons’ Role</w:t>
      </w:r>
      <w:bookmarkEnd w:id="26"/>
      <w:r w:rsidR="009678BE" w:rsidRPr="00EA0B90">
        <w:rPr>
          <w:lang w:eastAsia="en-AU"/>
        </w:rPr>
        <w:t xml:space="preserve"> </w:t>
      </w:r>
    </w:p>
    <w:p w:rsidR="009678BE" w:rsidRDefault="009678BE" w:rsidP="009678BE">
      <w:pPr>
        <w:pStyle w:val="BodyText0"/>
        <w:rPr>
          <w:lang w:eastAsia="en-AU"/>
        </w:rPr>
      </w:pPr>
      <w:r w:rsidRPr="00A91B63">
        <w:rPr>
          <w:lang w:eastAsia="en-AU"/>
        </w:rPr>
        <w:t xml:space="preserve">The support </w:t>
      </w:r>
      <w:r>
        <w:rPr>
          <w:lang w:eastAsia="en-AU"/>
        </w:rPr>
        <w:t>person</w:t>
      </w:r>
      <w:r w:rsidRPr="00A91B63">
        <w:rPr>
          <w:lang w:eastAsia="en-AU"/>
        </w:rPr>
        <w:t xml:space="preserve"> will: </w:t>
      </w:r>
    </w:p>
    <w:p w:rsidR="009678BE" w:rsidRPr="000C364F" w:rsidRDefault="009678BE" w:rsidP="009678BE">
      <w:pPr>
        <w:pStyle w:val="ListBullet2"/>
        <w:numPr>
          <w:ilvl w:val="0"/>
          <w:numId w:val="23"/>
        </w:numPr>
      </w:pPr>
      <w:r w:rsidRPr="000C364F">
        <w:t>foster self-advocacy</w:t>
      </w:r>
      <w:r>
        <w:t xml:space="preserve"> </w:t>
      </w:r>
      <w:r w:rsidRPr="000C364F">
        <w:t xml:space="preserve">(supporting individuals to put their own case before the AAT); </w:t>
      </w:r>
    </w:p>
    <w:p w:rsidR="009678BE" w:rsidRPr="000C364F" w:rsidRDefault="009678BE" w:rsidP="009678BE">
      <w:pPr>
        <w:pStyle w:val="ListBullet2"/>
        <w:numPr>
          <w:ilvl w:val="0"/>
          <w:numId w:val="23"/>
        </w:numPr>
      </w:pPr>
      <w:r w:rsidRPr="000C364F">
        <w:t xml:space="preserve">where self-advocacy is not appropriate, provide individual advocacy support, developing and implementing an individual plan in partnership with the applicant; </w:t>
      </w:r>
    </w:p>
    <w:p w:rsidR="009678BE" w:rsidRDefault="009678BE" w:rsidP="009678BE">
      <w:pPr>
        <w:pStyle w:val="ListBullet2"/>
        <w:numPr>
          <w:ilvl w:val="0"/>
          <w:numId w:val="23"/>
        </w:numPr>
      </w:pPr>
      <w:r w:rsidRPr="000C364F">
        <w:t xml:space="preserve">assist applicants to navigate the process of seeking AAT review of </w:t>
      </w:r>
      <w:r w:rsidR="00ED262A">
        <w:t>National Disability Insurance Agency</w:t>
      </w:r>
      <w:r w:rsidRPr="000C364F">
        <w:t xml:space="preserve"> decisions, including preparing documents, attending conferences and hearings; </w:t>
      </w:r>
    </w:p>
    <w:p w:rsidR="009678BE" w:rsidRPr="000C364F" w:rsidRDefault="009678BE" w:rsidP="009678BE">
      <w:pPr>
        <w:pStyle w:val="ListBullet2"/>
        <w:numPr>
          <w:ilvl w:val="0"/>
          <w:numId w:val="23"/>
        </w:numPr>
      </w:pPr>
      <w:r w:rsidRPr="000C364F">
        <w:t xml:space="preserve">refer to the CAP where legal issues are highlighted </w:t>
      </w:r>
      <w:r w:rsidR="00C41EF0">
        <w:t>for</w:t>
      </w:r>
      <w:r w:rsidRPr="000C364F">
        <w:t xml:space="preserve"> a determination to be made as to whether legal </w:t>
      </w:r>
      <w:r>
        <w:t>services are</w:t>
      </w:r>
      <w:r w:rsidRPr="000C364F">
        <w:t xml:space="preserve"> warranted (for complex or novel </w:t>
      </w:r>
      <w:r>
        <w:t xml:space="preserve">legal </w:t>
      </w:r>
      <w:r w:rsidRPr="000C364F">
        <w:t>cases)</w:t>
      </w:r>
      <w:r>
        <w:t xml:space="preserve">; </w:t>
      </w:r>
    </w:p>
    <w:p w:rsidR="009678BE" w:rsidRPr="00F07911" w:rsidRDefault="009678BE" w:rsidP="009678BE">
      <w:pPr>
        <w:pStyle w:val="ListBullet2"/>
        <w:numPr>
          <w:ilvl w:val="0"/>
          <w:numId w:val="23"/>
        </w:numPr>
      </w:pPr>
      <w:r>
        <w:t xml:space="preserve">provide </w:t>
      </w:r>
      <w:r w:rsidRPr="00F07911">
        <w:t>information about the availability and role of the support person;</w:t>
      </w:r>
      <w:r>
        <w:t xml:space="preserve"> and</w:t>
      </w:r>
    </w:p>
    <w:p w:rsidR="009678BE" w:rsidRPr="00F07911" w:rsidRDefault="00C41EF0" w:rsidP="009678BE">
      <w:pPr>
        <w:pStyle w:val="ListBullet2"/>
        <w:numPr>
          <w:ilvl w:val="0"/>
          <w:numId w:val="23"/>
        </w:numPr>
      </w:pPr>
      <w:r>
        <w:t>conduct</w:t>
      </w:r>
      <w:r w:rsidR="00580B4E">
        <w:t xml:space="preserve"> </w:t>
      </w:r>
      <w:r w:rsidR="009678BE" w:rsidRPr="00F07911">
        <w:t xml:space="preserve">individual or group </w:t>
      </w:r>
      <w:r w:rsidR="00580B4E">
        <w:t xml:space="preserve">self-advocacy </w:t>
      </w:r>
      <w:r w:rsidR="009678BE" w:rsidRPr="00F07911">
        <w:t>sessions</w:t>
      </w:r>
      <w:r w:rsidR="009678BE">
        <w:t>.</w:t>
      </w:r>
      <w:r w:rsidR="009678BE" w:rsidRPr="00F07911">
        <w:t xml:space="preserve"> </w:t>
      </w:r>
    </w:p>
    <w:p w:rsidR="009678BE" w:rsidRPr="00A91B63" w:rsidRDefault="009678BE" w:rsidP="009678BE">
      <w:pPr>
        <w:rPr>
          <w:rFonts w:cs="Arial"/>
          <w:lang w:eastAsia="en-AU"/>
        </w:rPr>
      </w:pPr>
    </w:p>
    <w:p w:rsidR="00C3498A" w:rsidRPr="004B7E9E" w:rsidRDefault="009678BE" w:rsidP="009678BE">
      <w:pPr>
        <w:rPr>
          <w:rFonts w:cs="Arial"/>
        </w:rPr>
      </w:pPr>
      <w:r>
        <w:rPr>
          <w:lang w:eastAsia="en-AU"/>
        </w:rPr>
        <w:t xml:space="preserve">Funding through the External Merits Review </w:t>
      </w:r>
      <w:r w:rsidR="004314F3">
        <w:rPr>
          <w:lang w:eastAsia="en-AU"/>
        </w:rPr>
        <w:t xml:space="preserve">- </w:t>
      </w:r>
      <w:r>
        <w:rPr>
          <w:lang w:eastAsia="en-AU"/>
        </w:rPr>
        <w:t xml:space="preserve">Support Component is not available for </w:t>
      </w:r>
      <w:r w:rsidR="00ED262A">
        <w:rPr>
          <w:lang w:eastAsia="en-AU"/>
        </w:rPr>
        <w:t xml:space="preserve">National Disability Insurance </w:t>
      </w:r>
      <w:r w:rsidR="00F72EDA">
        <w:rPr>
          <w:lang w:eastAsia="en-AU"/>
        </w:rPr>
        <w:t>Agency</w:t>
      </w:r>
      <w:r>
        <w:rPr>
          <w:lang w:eastAsia="en-AU"/>
        </w:rPr>
        <w:t xml:space="preserve"> applicants or participants prior to their application for review in the AAT. </w:t>
      </w:r>
      <w:r w:rsidRPr="00A91B63">
        <w:rPr>
          <w:lang w:eastAsia="en-AU"/>
        </w:rPr>
        <w:t xml:space="preserve"> </w:t>
      </w:r>
      <w:r>
        <w:rPr>
          <w:lang w:eastAsia="en-AU"/>
        </w:rPr>
        <w:t>The support person will be available for the applicant from the time the</w:t>
      </w:r>
      <w:r w:rsidR="005A7226">
        <w:rPr>
          <w:lang w:eastAsia="en-AU"/>
        </w:rPr>
        <w:t>y</w:t>
      </w:r>
      <w:r>
        <w:rPr>
          <w:lang w:eastAsia="en-AU"/>
        </w:rPr>
        <w:t xml:space="preserve"> </w:t>
      </w:r>
      <w:r w:rsidR="00503AAD">
        <w:rPr>
          <w:lang w:eastAsia="en-AU"/>
        </w:rPr>
        <w:t>apply to</w:t>
      </w:r>
      <w:r>
        <w:rPr>
          <w:lang w:eastAsia="en-AU"/>
        </w:rPr>
        <w:t xml:space="preserve"> the AAT.</w:t>
      </w:r>
      <w:r w:rsidR="00503AAD">
        <w:rPr>
          <w:lang w:eastAsia="en-AU"/>
        </w:rPr>
        <w:t xml:space="preserve"> </w:t>
      </w:r>
      <w:r w:rsidR="00C41EF0">
        <w:rPr>
          <w:lang w:eastAsia="en-AU"/>
        </w:rPr>
        <w:t xml:space="preserve">All applicants seeking a support person will be seen within five days of contacting the </w:t>
      </w:r>
      <w:r w:rsidR="00E56B9D">
        <w:rPr>
          <w:lang w:eastAsia="en-AU"/>
        </w:rPr>
        <w:t>service provider</w:t>
      </w:r>
      <w:r w:rsidR="00C41EF0">
        <w:rPr>
          <w:lang w:eastAsia="en-AU"/>
        </w:rPr>
        <w:t>.</w:t>
      </w:r>
    </w:p>
    <w:p w:rsidR="00C3498A" w:rsidRPr="00AC0687" w:rsidRDefault="00414DEA" w:rsidP="00D67D9B">
      <w:pPr>
        <w:pStyle w:val="Heading2"/>
        <w:numPr>
          <w:ilvl w:val="0"/>
          <w:numId w:val="0"/>
        </w:numPr>
      </w:pPr>
      <w:bookmarkStart w:id="27" w:name="_Toc363823063"/>
      <w:r>
        <w:t xml:space="preserve">2.3   </w:t>
      </w:r>
      <w:r w:rsidR="00C3498A" w:rsidRPr="00AC0687">
        <w:t>Aims and objectives</w:t>
      </w:r>
      <w:bookmarkEnd w:id="27"/>
    </w:p>
    <w:p w:rsidR="009678BE" w:rsidRPr="009678BE" w:rsidRDefault="001C172E" w:rsidP="009678BE">
      <w:r>
        <w:t>T</w:t>
      </w:r>
      <w:r w:rsidR="009678BE" w:rsidRPr="009678BE">
        <w:t>he objective is to ensure t</w:t>
      </w:r>
      <w:r w:rsidR="009678BE">
        <w:t>hat all people with disability</w:t>
      </w:r>
      <w:r w:rsidR="00564DFD">
        <w:t xml:space="preserve"> </w:t>
      </w:r>
      <w:r w:rsidR="009678BE" w:rsidRPr="009678BE">
        <w:t xml:space="preserve">and other affected persons have access to support when they are seeking review in the AAT of </w:t>
      </w:r>
      <w:r w:rsidR="00ED262A">
        <w:t xml:space="preserve">National Disability Insurance </w:t>
      </w:r>
      <w:r w:rsidR="00F72EDA">
        <w:t>Agency</w:t>
      </w:r>
      <w:r w:rsidR="009678BE" w:rsidRPr="009678BE">
        <w:t xml:space="preserve"> decisions through:  </w:t>
      </w:r>
    </w:p>
    <w:p w:rsidR="009678BE" w:rsidRDefault="009678BE" w:rsidP="009678BE">
      <w:pPr>
        <w:numPr>
          <w:ilvl w:val="0"/>
          <w:numId w:val="22"/>
        </w:numPr>
      </w:pPr>
      <w:r w:rsidRPr="009678BE">
        <w:t xml:space="preserve">access to a support person; </w:t>
      </w:r>
      <w:r w:rsidR="00486C3F">
        <w:t>and</w:t>
      </w:r>
    </w:p>
    <w:p w:rsidR="00521907" w:rsidRPr="009678BE" w:rsidRDefault="009678BE" w:rsidP="009678BE">
      <w:pPr>
        <w:numPr>
          <w:ilvl w:val="0"/>
          <w:numId w:val="22"/>
        </w:numPr>
      </w:pPr>
      <w:r w:rsidRPr="009678BE">
        <w:t>access to legal services in circumstances where a case raises complex or novel legal issues.</w:t>
      </w:r>
    </w:p>
    <w:p w:rsidR="007572E5" w:rsidRDefault="00414DEA" w:rsidP="00D67D9B">
      <w:pPr>
        <w:pStyle w:val="Heading2"/>
        <w:numPr>
          <w:ilvl w:val="0"/>
          <w:numId w:val="0"/>
        </w:numPr>
        <w:rPr>
          <w:bCs w:val="0"/>
          <w:szCs w:val="24"/>
        </w:rPr>
      </w:pPr>
      <w:bookmarkStart w:id="28" w:name="_Toc363823064"/>
      <w:bookmarkStart w:id="29" w:name="_Toc269211091"/>
      <w:r>
        <w:t xml:space="preserve">2.4  </w:t>
      </w:r>
      <w:r w:rsidR="007572E5">
        <w:t xml:space="preserve"> </w:t>
      </w:r>
      <w:bookmarkStart w:id="30" w:name="_Toc288121094"/>
      <w:r w:rsidR="007572E5" w:rsidRPr="007572E5">
        <w:rPr>
          <w:bCs w:val="0"/>
          <w:szCs w:val="24"/>
        </w:rPr>
        <w:t>Service provider eligibility</w:t>
      </w:r>
      <w:bookmarkEnd w:id="28"/>
      <w:bookmarkEnd w:id="30"/>
    </w:p>
    <w:p w:rsidR="009678BE" w:rsidRPr="00E650EE" w:rsidRDefault="004F0A57" w:rsidP="009678BE">
      <w:pPr>
        <w:pStyle w:val="BodyText0"/>
        <w:rPr>
          <w:lang w:eastAsia="en-AU"/>
        </w:rPr>
      </w:pPr>
      <w:r>
        <w:rPr>
          <w:lang w:eastAsia="en-AU"/>
        </w:rPr>
        <w:t>FaHCSIA</w:t>
      </w:r>
      <w:r w:rsidR="009678BE" w:rsidRPr="00E650EE">
        <w:rPr>
          <w:lang w:eastAsia="en-AU"/>
        </w:rPr>
        <w:t xml:space="preserve"> will identify one high performing advocacy agency in each launch site who is a provider under the NDAP for the provision of support person</w:t>
      </w:r>
      <w:r w:rsidR="009678BE">
        <w:rPr>
          <w:lang w:eastAsia="en-AU"/>
        </w:rPr>
        <w:t>s</w:t>
      </w:r>
      <w:r w:rsidR="009678BE" w:rsidRPr="00E650EE">
        <w:rPr>
          <w:lang w:eastAsia="en-AU"/>
        </w:rPr>
        <w:t>.</w:t>
      </w:r>
      <w:r w:rsidR="009678BE">
        <w:rPr>
          <w:lang w:eastAsia="en-AU"/>
        </w:rPr>
        <w:t xml:space="preserve"> </w:t>
      </w:r>
    </w:p>
    <w:p w:rsidR="009678BE" w:rsidRPr="00772939" w:rsidRDefault="009678BE" w:rsidP="009678BE">
      <w:pPr>
        <w:pStyle w:val="BodyText0"/>
        <w:rPr>
          <w:lang w:eastAsia="en-AU"/>
        </w:rPr>
      </w:pPr>
      <w:r>
        <w:rPr>
          <w:lang w:eastAsia="en-AU"/>
        </w:rPr>
        <w:t>El</w:t>
      </w:r>
      <w:r w:rsidRPr="00772939">
        <w:rPr>
          <w:lang w:eastAsia="en-AU"/>
        </w:rPr>
        <w:t>igible organisation</w:t>
      </w:r>
      <w:r>
        <w:rPr>
          <w:lang w:eastAsia="en-AU"/>
        </w:rPr>
        <w:t>s</w:t>
      </w:r>
      <w:r w:rsidRPr="00772939">
        <w:rPr>
          <w:lang w:eastAsia="en-AU"/>
        </w:rPr>
        <w:t xml:space="preserve"> </w:t>
      </w:r>
      <w:r>
        <w:rPr>
          <w:lang w:eastAsia="en-AU"/>
        </w:rPr>
        <w:t>f</w:t>
      </w:r>
      <w:r w:rsidRPr="00772939">
        <w:rPr>
          <w:lang w:eastAsia="en-AU"/>
        </w:rPr>
        <w:t>or funding for th</w:t>
      </w:r>
      <w:r>
        <w:rPr>
          <w:lang w:eastAsia="en-AU"/>
        </w:rPr>
        <w:t>e NDAP are</w:t>
      </w:r>
      <w:r w:rsidRPr="00772939">
        <w:rPr>
          <w:lang w:eastAsia="en-AU"/>
        </w:rPr>
        <w:t xml:space="preserve"> defined in section 7 of the </w:t>
      </w:r>
      <w:r w:rsidRPr="007F0DE2">
        <w:rPr>
          <w:i/>
          <w:lang w:eastAsia="en-AU"/>
        </w:rPr>
        <w:t>Disability Services Act 1986</w:t>
      </w:r>
      <w:r>
        <w:rPr>
          <w:lang w:eastAsia="en-AU"/>
        </w:rPr>
        <w:t>.</w:t>
      </w:r>
    </w:p>
    <w:p w:rsidR="009678BE" w:rsidRPr="00772939" w:rsidRDefault="009678BE" w:rsidP="009678BE">
      <w:pPr>
        <w:pStyle w:val="BodyText0"/>
        <w:rPr>
          <w:lang w:eastAsia="en-AU"/>
        </w:rPr>
      </w:pPr>
      <w:r w:rsidRPr="00772939">
        <w:rPr>
          <w:lang w:eastAsia="en-AU"/>
        </w:rPr>
        <w:t>Th</w:t>
      </w:r>
      <w:r>
        <w:rPr>
          <w:lang w:eastAsia="en-AU"/>
        </w:rPr>
        <w:t xml:space="preserve">is covers the </w:t>
      </w:r>
      <w:r w:rsidRPr="00772939">
        <w:rPr>
          <w:lang w:eastAsia="en-AU"/>
        </w:rPr>
        <w:t>following entity types</w:t>
      </w:r>
      <w:r>
        <w:rPr>
          <w:lang w:eastAsia="en-AU"/>
        </w:rPr>
        <w:t>:</w:t>
      </w:r>
    </w:p>
    <w:p w:rsidR="009678BE" w:rsidRPr="00772939" w:rsidRDefault="009678BE" w:rsidP="003E17E2">
      <w:pPr>
        <w:pStyle w:val="List2"/>
        <w:spacing w:after="0"/>
        <w:rPr>
          <w:lang w:eastAsia="en-AU"/>
        </w:rPr>
      </w:pPr>
      <w:r w:rsidRPr="00772939">
        <w:rPr>
          <w:lang w:eastAsia="en-AU"/>
        </w:rPr>
        <w:t>a)</w:t>
      </w:r>
      <w:r>
        <w:rPr>
          <w:lang w:eastAsia="en-AU"/>
        </w:rPr>
        <w:tab/>
      </w:r>
      <w:r w:rsidRPr="00772939">
        <w:rPr>
          <w:lang w:eastAsia="en-AU"/>
        </w:rPr>
        <w:t xml:space="preserve">Incorporated Associations (incorporated under State/Territory legislation, commonly have </w:t>
      </w:r>
      <w:r>
        <w:rPr>
          <w:lang w:eastAsia="en-AU"/>
        </w:rPr>
        <w:t>‘</w:t>
      </w:r>
      <w:r w:rsidRPr="00772939">
        <w:rPr>
          <w:lang w:eastAsia="en-AU"/>
        </w:rPr>
        <w:t>Association</w:t>
      </w:r>
      <w:r>
        <w:rPr>
          <w:lang w:eastAsia="en-AU"/>
        </w:rPr>
        <w:t>’</w:t>
      </w:r>
      <w:r w:rsidRPr="00772939">
        <w:rPr>
          <w:lang w:eastAsia="en-AU"/>
        </w:rPr>
        <w:t xml:space="preserve"> or </w:t>
      </w:r>
      <w:r>
        <w:rPr>
          <w:lang w:eastAsia="en-AU"/>
        </w:rPr>
        <w:t>‘</w:t>
      </w:r>
      <w:r w:rsidRPr="00772939">
        <w:rPr>
          <w:lang w:eastAsia="en-AU"/>
        </w:rPr>
        <w:t>Incorporated</w:t>
      </w:r>
      <w:r>
        <w:rPr>
          <w:lang w:eastAsia="en-AU"/>
        </w:rPr>
        <w:t>’</w:t>
      </w:r>
      <w:r w:rsidRPr="00772939">
        <w:rPr>
          <w:lang w:eastAsia="en-AU"/>
        </w:rPr>
        <w:t xml:space="preserve"> or </w:t>
      </w:r>
      <w:r>
        <w:rPr>
          <w:lang w:eastAsia="en-AU"/>
        </w:rPr>
        <w:t>‘</w:t>
      </w:r>
      <w:r w:rsidRPr="00772939">
        <w:rPr>
          <w:lang w:eastAsia="en-AU"/>
        </w:rPr>
        <w:t>Inc</w:t>
      </w:r>
      <w:r>
        <w:rPr>
          <w:lang w:eastAsia="en-AU"/>
        </w:rPr>
        <w:t>’</w:t>
      </w:r>
      <w:r w:rsidRPr="00772939">
        <w:rPr>
          <w:lang w:eastAsia="en-AU"/>
        </w:rPr>
        <w:t xml:space="preserve"> in their legal name);</w:t>
      </w:r>
    </w:p>
    <w:p w:rsidR="009678BE" w:rsidRPr="00772939" w:rsidRDefault="009678BE" w:rsidP="003E17E2">
      <w:pPr>
        <w:pStyle w:val="List2"/>
        <w:spacing w:after="0"/>
        <w:rPr>
          <w:lang w:eastAsia="en-AU"/>
        </w:rPr>
      </w:pPr>
      <w:r w:rsidRPr="00772939">
        <w:rPr>
          <w:lang w:eastAsia="en-AU"/>
        </w:rPr>
        <w:t>b)</w:t>
      </w:r>
      <w:r>
        <w:rPr>
          <w:lang w:eastAsia="en-AU"/>
        </w:rPr>
        <w:tab/>
      </w:r>
      <w:r w:rsidRPr="00772939">
        <w:rPr>
          <w:lang w:eastAsia="en-AU"/>
        </w:rPr>
        <w:t xml:space="preserve">Incorporated Cooperatives (also incorporated under State/Territory legislation, commonly have </w:t>
      </w:r>
      <w:r>
        <w:rPr>
          <w:lang w:eastAsia="en-AU"/>
        </w:rPr>
        <w:t>“</w:t>
      </w:r>
      <w:r w:rsidRPr="00772939">
        <w:rPr>
          <w:lang w:eastAsia="en-AU"/>
        </w:rPr>
        <w:t>Cooperative</w:t>
      </w:r>
      <w:r>
        <w:rPr>
          <w:lang w:eastAsia="en-AU"/>
        </w:rPr>
        <w:t>’</w:t>
      </w:r>
      <w:r w:rsidRPr="00772939">
        <w:rPr>
          <w:lang w:eastAsia="en-AU"/>
        </w:rPr>
        <w:t xml:space="preserve"> in their legal name);</w:t>
      </w:r>
    </w:p>
    <w:p w:rsidR="009678BE" w:rsidRPr="00772939" w:rsidRDefault="009678BE" w:rsidP="003E17E2">
      <w:pPr>
        <w:pStyle w:val="List2"/>
        <w:spacing w:after="0"/>
        <w:rPr>
          <w:lang w:eastAsia="en-AU"/>
        </w:rPr>
      </w:pPr>
      <w:r w:rsidRPr="00772939">
        <w:rPr>
          <w:lang w:eastAsia="en-AU"/>
        </w:rPr>
        <w:t>c)</w:t>
      </w:r>
      <w:r>
        <w:rPr>
          <w:lang w:eastAsia="en-AU"/>
        </w:rPr>
        <w:tab/>
      </w:r>
      <w:r w:rsidRPr="00772939">
        <w:rPr>
          <w:lang w:eastAsia="en-AU"/>
        </w:rPr>
        <w:t>Companies (incorporated under the Corporations Act 2001 – may be not-for-profit or for-profit proprietary company (limited by shares or by guarantee) or public companies);</w:t>
      </w:r>
    </w:p>
    <w:p w:rsidR="009678BE" w:rsidRPr="00772939" w:rsidRDefault="009678BE" w:rsidP="003E17E2">
      <w:pPr>
        <w:pStyle w:val="List2"/>
        <w:spacing w:after="0"/>
        <w:rPr>
          <w:lang w:eastAsia="en-AU"/>
        </w:rPr>
      </w:pPr>
      <w:r w:rsidRPr="00772939">
        <w:rPr>
          <w:lang w:eastAsia="en-AU"/>
        </w:rPr>
        <w:lastRenderedPageBreak/>
        <w:t>d)</w:t>
      </w:r>
      <w:r>
        <w:rPr>
          <w:lang w:eastAsia="en-AU"/>
        </w:rPr>
        <w:tab/>
      </w:r>
      <w:r w:rsidRPr="00772939">
        <w:rPr>
          <w:lang w:eastAsia="en-AU"/>
        </w:rPr>
        <w:t>Aboriginal Corporations (incorporated under the Corporations (Aboriginal and Torres Strait Islander) Act 2006);</w:t>
      </w:r>
    </w:p>
    <w:p w:rsidR="009678BE" w:rsidRPr="00772939" w:rsidRDefault="009678BE" w:rsidP="003E17E2">
      <w:pPr>
        <w:pStyle w:val="List2"/>
        <w:spacing w:after="0"/>
        <w:rPr>
          <w:lang w:eastAsia="en-AU"/>
        </w:rPr>
      </w:pPr>
      <w:r w:rsidRPr="00772939">
        <w:rPr>
          <w:lang w:eastAsia="en-AU"/>
        </w:rPr>
        <w:t>e)</w:t>
      </w:r>
      <w:r>
        <w:rPr>
          <w:lang w:eastAsia="en-AU"/>
        </w:rPr>
        <w:tab/>
      </w:r>
      <w:r w:rsidRPr="00772939">
        <w:rPr>
          <w:lang w:eastAsia="en-AU"/>
        </w:rPr>
        <w:t>Organisations established through a specific piece of Commonwealth or State/Territory legislation (many public benevolent institutions, churches, universities, unions etc);</w:t>
      </w:r>
    </w:p>
    <w:p w:rsidR="009678BE" w:rsidRDefault="009678BE" w:rsidP="009678BE">
      <w:pPr>
        <w:rPr>
          <w:rFonts w:cs="Arial"/>
          <w:color w:val="000000"/>
          <w:sz w:val="24"/>
          <w:szCs w:val="24"/>
        </w:rPr>
      </w:pPr>
    </w:p>
    <w:p w:rsidR="007572E5" w:rsidRDefault="009678BE" w:rsidP="009678BE">
      <w:pPr>
        <w:rPr>
          <w:lang w:eastAsia="en-AU"/>
        </w:rPr>
      </w:pPr>
      <w:r w:rsidRPr="00184A6D">
        <w:rPr>
          <w:lang w:eastAsia="en-AU"/>
        </w:rPr>
        <w:t>Service Providers are eligible for</w:t>
      </w:r>
      <w:r w:rsidR="00E06BB5">
        <w:rPr>
          <w:lang w:eastAsia="en-AU"/>
        </w:rPr>
        <w:t xml:space="preserve"> providing</w:t>
      </w:r>
      <w:r w:rsidRPr="00184A6D">
        <w:rPr>
          <w:lang w:eastAsia="en-AU"/>
        </w:rPr>
        <w:t xml:space="preserve"> </w:t>
      </w:r>
      <w:r w:rsidRPr="00184A6D">
        <w:rPr>
          <w:b/>
          <w:lang w:eastAsia="en-AU"/>
        </w:rPr>
        <w:t xml:space="preserve">legal </w:t>
      </w:r>
      <w:r>
        <w:rPr>
          <w:b/>
          <w:lang w:eastAsia="en-AU"/>
        </w:rPr>
        <w:t xml:space="preserve">services </w:t>
      </w:r>
      <w:r w:rsidR="00E06BB5" w:rsidRPr="00E06BB5">
        <w:rPr>
          <w:lang w:eastAsia="en-AU"/>
        </w:rPr>
        <w:t>if</w:t>
      </w:r>
      <w:r w:rsidRPr="00E06BB5">
        <w:rPr>
          <w:lang w:eastAsia="en-AU"/>
        </w:rPr>
        <w:t xml:space="preserve"> t</w:t>
      </w:r>
      <w:r>
        <w:rPr>
          <w:lang w:eastAsia="en-AU"/>
        </w:rPr>
        <w:t xml:space="preserve">hey are a </w:t>
      </w:r>
      <w:r w:rsidRPr="003A1D22">
        <w:rPr>
          <w:lang w:eastAsia="en-AU"/>
        </w:rPr>
        <w:t>legal aid commission</w:t>
      </w:r>
      <w:r>
        <w:rPr>
          <w:lang w:eastAsia="en-AU"/>
        </w:rPr>
        <w:t xml:space="preserve"> in each of the launch sites, or a legal practitioner engaged pursuant to existing arrangements for legal aid commissions.</w:t>
      </w:r>
    </w:p>
    <w:p w:rsidR="00C3498A" w:rsidRPr="004B7E9E" w:rsidRDefault="00414DEA" w:rsidP="00D67D9B">
      <w:pPr>
        <w:pStyle w:val="Heading2"/>
        <w:numPr>
          <w:ilvl w:val="0"/>
          <w:numId w:val="0"/>
        </w:numPr>
        <w:ind w:left="576" w:hanging="576"/>
      </w:pPr>
      <w:bookmarkStart w:id="31" w:name="_Toc363816535"/>
      <w:bookmarkStart w:id="32" w:name="_Toc363816571"/>
      <w:bookmarkStart w:id="33" w:name="_Toc363817517"/>
      <w:bookmarkStart w:id="34" w:name="_Toc363823065"/>
      <w:bookmarkEnd w:id="31"/>
      <w:bookmarkEnd w:id="32"/>
      <w:bookmarkEnd w:id="33"/>
      <w:r>
        <w:t xml:space="preserve">2.5   </w:t>
      </w:r>
      <w:r w:rsidR="00C3498A" w:rsidRPr="004B7E9E">
        <w:t>Participants/clients/recipients/target group</w:t>
      </w:r>
      <w:bookmarkEnd w:id="29"/>
      <w:bookmarkEnd w:id="34"/>
    </w:p>
    <w:p w:rsidR="009678BE" w:rsidRDefault="00486C3F" w:rsidP="009678BE">
      <w:pPr>
        <w:pStyle w:val="BodyText0"/>
        <w:rPr>
          <w:lang w:eastAsia="en-AU"/>
        </w:rPr>
      </w:pPr>
      <w:r>
        <w:rPr>
          <w:lang w:eastAsia="en-AU"/>
        </w:rPr>
        <w:t>A</w:t>
      </w:r>
      <w:r w:rsidR="009678BE">
        <w:rPr>
          <w:lang w:eastAsia="en-AU"/>
        </w:rPr>
        <w:t xml:space="preserve"> person who is directly affected by a reviewable decision </w:t>
      </w:r>
      <w:r>
        <w:rPr>
          <w:lang w:eastAsia="en-AU"/>
        </w:rPr>
        <w:t>by</w:t>
      </w:r>
      <w:r w:rsidR="009678BE">
        <w:rPr>
          <w:lang w:eastAsia="en-AU"/>
        </w:rPr>
        <w:t xml:space="preserve"> </w:t>
      </w:r>
      <w:r w:rsidR="00ED262A">
        <w:rPr>
          <w:lang w:eastAsia="en-AU"/>
        </w:rPr>
        <w:t xml:space="preserve">National Disability Insurance </w:t>
      </w:r>
      <w:r w:rsidR="00F72EDA">
        <w:rPr>
          <w:lang w:eastAsia="en-AU"/>
        </w:rPr>
        <w:t>Agency</w:t>
      </w:r>
      <w:r w:rsidR="009678BE">
        <w:rPr>
          <w:lang w:eastAsia="en-AU"/>
        </w:rPr>
        <w:t xml:space="preserve"> </w:t>
      </w:r>
      <w:r>
        <w:rPr>
          <w:lang w:eastAsia="en-AU"/>
        </w:rPr>
        <w:t xml:space="preserve">may request review </w:t>
      </w:r>
      <w:r w:rsidR="009678BE">
        <w:rPr>
          <w:lang w:eastAsia="en-AU"/>
        </w:rPr>
        <w:t xml:space="preserve">by the AAT under s103 of the </w:t>
      </w:r>
      <w:r w:rsidR="009678BE">
        <w:rPr>
          <w:i/>
          <w:lang w:eastAsia="en-AU"/>
        </w:rPr>
        <w:t xml:space="preserve">National Disability Insurance Scheme Act </w:t>
      </w:r>
      <w:r w:rsidR="009678BE" w:rsidRPr="007F0DE2">
        <w:rPr>
          <w:i/>
          <w:lang w:eastAsia="en-AU"/>
        </w:rPr>
        <w:t>2013</w:t>
      </w:r>
      <w:r w:rsidR="009678BE">
        <w:rPr>
          <w:lang w:eastAsia="en-AU"/>
        </w:rPr>
        <w:t>.</w:t>
      </w:r>
    </w:p>
    <w:p w:rsidR="009678BE" w:rsidRDefault="009678BE" w:rsidP="009678BE">
      <w:pPr>
        <w:pStyle w:val="BodyText0"/>
        <w:rPr>
          <w:lang w:eastAsia="en-AU"/>
        </w:rPr>
      </w:pPr>
      <w:r>
        <w:rPr>
          <w:lang w:eastAsia="en-AU"/>
        </w:rPr>
        <w:t xml:space="preserve">Applicants will access the </w:t>
      </w:r>
      <w:r w:rsidR="0080518F">
        <w:rPr>
          <w:lang w:eastAsia="en-AU"/>
        </w:rPr>
        <w:t xml:space="preserve">External Merits Review - </w:t>
      </w:r>
      <w:r w:rsidR="005A2891">
        <w:rPr>
          <w:lang w:eastAsia="en-AU"/>
        </w:rPr>
        <w:t>S</w:t>
      </w:r>
      <w:r>
        <w:rPr>
          <w:lang w:eastAsia="en-AU"/>
        </w:rPr>
        <w:t xml:space="preserve">upport </w:t>
      </w:r>
      <w:r w:rsidR="005A2891">
        <w:rPr>
          <w:lang w:eastAsia="en-AU"/>
        </w:rPr>
        <w:t>C</w:t>
      </w:r>
      <w:r>
        <w:rPr>
          <w:lang w:eastAsia="en-AU"/>
        </w:rPr>
        <w:t xml:space="preserve">omponent once they have exhausted all avenues of review in </w:t>
      </w:r>
      <w:r w:rsidR="00F72EDA">
        <w:rPr>
          <w:lang w:eastAsia="en-AU"/>
        </w:rPr>
        <w:t>t</w:t>
      </w:r>
      <w:r w:rsidR="00ED262A">
        <w:rPr>
          <w:lang w:eastAsia="en-AU"/>
        </w:rPr>
        <w:t xml:space="preserve">he National Disability Insurance </w:t>
      </w:r>
      <w:r w:rsidR="00F72EDA">
        <w:rPr>
          <w:lang w:eastAsia="en-AU"/>
        </w:rPr>
        <w:t>Agency</w:t>
      </w:r>
      <w:r>
        <w:rPr>
          <w:lang w:eastAsia="en-AU"/>
        </w:rPr>
        <w:t xml:space="preserve"> and have made an application to the AAT.  Upon application to the AAT, a participant will be made aware of the availability of a support person</w:t>
      </w:r>
      <w:r w:rsidR="005A7226">
        <w:rPr>
          <w:lang w:eastAsia="en-AU"/>
        </w:rPr>
        <w:t>.</w:t>
      </w:r>
      <w:r>
        <w:rPr>
          <w:lang w:eastAsia="en-AU"/>
        </w:rPr>
        <w:t xml:space="preserve">  </w:t>
      </w:r>
    </w:p>
    <w:p w:rsidR="00486C3F" w:rsidRDefault="00486C3F" w:rsidP="009678BE">
      <w:pPr>
        <w:pStyle w:val="BodyText0"/>
        <w:rPr>
          <w:lang w:eastAsia="en-AU"/>
        </w:rPr>
      </w:pPr>
      <w:r w:rsidRPr="00486C3F">
        <w:rPr>
          <w:lang w:eastAsia="en-AU"/>
        </w:rPr>
        <w:t>The primary participant group</w:t>
      </w:r>
      <w:r w:rsidR="00503AAD" w:rsidRPr="00503AAD">
        <w:rPr>
          <w:lang w:eastAsia="en-AU"/>
        </w:rPr>
        <w:t xml:space="preserve"> </w:t>
      </w:r>
      <w:r w:rsidR="00503AAD">
        <w:rPr>
          <w:lang w:eastAsia="en-AU"/>
        </w:rPr>
        <w:t xml:space="preserve">for </w:t>
      </w:r>
      <w:r w:rsidR="00503AAD" w:rsidRPr="00503AAD">
        <w:rPr>
          <w:lang w:eastAsia="en-AU"/>
        </w:rPr>
        <w:t>External Merits Review - Support Component</w:t>
      </w:r>
      <w:r w:rsidRPr="00486C3F">
        <w:rPr>
          <w:lang w:eastAsia="en-AU"/>
        </w:rPr>
        <w:t xml:space="preserve"> will be people with disability, but applicants may also be guardians and nominees of people with disability and carers and family members of people with disability.  </w:t>
      </w:r>
      <w:r w:rsidR="00503AAD">
        <w:rPr>
          <w:lang w:eastAsia="en-AU"/>
        </w:rPr>
        <w:t xml:space="preserve">The </w:t>
      </w:r>
      <w:r w:rsidR="00503AAD" w:rsidRPr="00503AAD">
        <w:rPr>
          <w:lang w:eastAsia="en-AU"/>
        </w:rPr>
        <w:t>External Merits Review - Support Component</w:t>
      </w:r>
      <w:r w:rsidR="00503AAD">
        <w:rPr>
          <w:lang w:eastAsia="en-AU"/>
        </w:rPr>
        <w:t xml:space="preserve"> will not be available to service providers.</w:t>
      </w:r>
    </w:p>
    <w:p w:rsidR="00486C3F" w:rsidRDefault="00486C3F" w:rsidP="009678BE">
      <w:pPr>
        <w:pStyle w:val="BodyText0"/>
        <w:rPr>
          <w:lang w:eastAsia="en-AU"/>
        </w:rPr>
      </w:pPr>
      <w:r>
        <w:rPr>
          <w:lang w:eastAsia="en-AU"/>
        </w:rPr>
        <w:t>L</w:t>
      </w:r>
      <w:r w:rsidRPr="00486C3F">
        <w:rPr>
          <w:lang w:eastAsia="en-AU"/>
        </w:rPr>
        <w:t>egal services will only be available if it is determined that the case raises complex or novel legal issues.  The participant will be advised if legal service</w:t>
      </w:r>
      <w:r>
        <w:rPr>
          <w:lang w:eastAsia="en-AU"/>
        </w:rPr>
        <w:t>s are</w:t>
      </w:r>
      <w:r w:rsidRPr="00486C3F">
        <w:rPr>
          <w:lang w:eastAsia="en-AU"/>
        </w:rPr>
        <w:t xml:space="preserve"> available to them after an assessment is made by the CAP.  </w:t>
      </w:r>
    </w:p>
    <w:p w:rsidR="009678BE" w:rsidRPr="00A91B63" w:rsidRDefault="009678BE" w:rsidP="009678BE">
      <w:pPr>
        <w:pStyle w:val="BodyText0"/>
      </w:pPr>
      <w:r w:rsidRPr="007F0DE2">
        <w:rPr>
          <w:lang w:eastAsia="en-AU"/>
        </w:rPr>
        <w:t>The</w:t>
      </w:r>
      <w:r w:rsidRPr="00A91B63">
        <w:rPr>
          <w:lang w:eastAsia="en-AU"/>
        </w:rPr>
        <w:t xml:space="preserve"> </w:t>
      </w:r>
      <w:r w:rsidR="005A2891">
        <w:rPr>
          <w:lang w:eastAsia="en-AU"/>
        </w:rPr>
        <w:t>External Merits Review - S</w:t>
      </w:r>
      <w:r w:rsidRPr="00A91B63">
        <w:rPr>
          <w:lang w:eastAsia="en-AU"/>
        </w:rPr>
        <w:t xml:space="preserve">upport </w:t>
      </w:r>
      <w:r w:rsidR="005A2891">
        <w:rPr>
          <w:lang w:eastAsia="en-AU"/>
        </w:rPr>
        <w:t>C</w:t>
      </w:r>
      <w:r w:rsidRPr="00A91B63">
        <w:rPr>
          <w:lang w:eastAsia="en-AU"/>
        </w:rPr>
        <w:t>omponent requires the delivery of a fair and equitable service that includes those from culturally and linguistically diverse or Indigenous backgrounds, and from regional or remote localities.</w:t>
      </w:r>
      <w:r w:rsidRPr="00A91B63">
        <w:t xml:space="preserve"> </w:t>
      </w:r>
    </w:p>
    <w:p w:rsidR="009678BE" w:rsidRDefault="00486C3F" w:rsidP="009678BE">
      <w:pPr>
        <w:pStyle w:val="BodyText0"/>
        <w:rPr>
          <w:lang w:eastAsia="en-AU"/>
        </w:rPr>
      </w:pPr>
      <w:r w:rsidRPr="00486C3F">
        <w:rPr>
          <w:lang w:eastAsia="en-AU"/>
        </w:rPr>
        <w:t xml:space="preserve">All disability advocacy agencies funded under NDAP have a responsibility to provide disability advocacy support to Aboriginal and Torres Strait Islanders and to people from diverse cultural and linguistic backgrounds. </w:t>
      </w:r>
      <w:r w:rsidR="009678BE" w:rsidRPr="00A91B63">
        <w:rPr>
          <w:lang w:eastAsia="en-AU"/>
        </w:rPr>
        <w:t>Under the NDAP, funding is provided to some agencies that specialise in providing advocacy support to people from an Aboriginal or Torres Strait Islander background, from a culturally and linguistically diverse background, or with a specific type of disability. These specialist agencies act in an advisory capacity to assist the generalist agencies to provide culturally appropriate disability advocacy support.</w:t>
      </w:r>
      <w:r w:rsidR="00E4656D">
        <w:rPr>
          <w:lang w:eastAsia="en-AU"/>
        </w:rPr>
        <w:t xml:space="preserve">  </w:t>
      </w:r>
    </w:p>
    <w:p w:rsidR="00C3498A" w:rsidRPr="004B7E9E" w:rsidRDefault="00414DEA" w:rsidP="00D67D9B">
      <w:pPr>
        <w:pStyle w:val="Heading2"/>
        <w:numPr>
          <w:ilvl w:val="0"/>
          <w:numId w:val="0"/>
        </w:numPr>
      </w:pPr>
      <w:bookmarkStart w:id="35" w:name="_Toc269211092"/>
      <w:bookmarkStart w:id="36" w:name="_Toc363823066"/>
      <w:r>
        <w:t xml:space="preserve">2.6   </w:t>
      </w:r>
      <w:r w:rsidR="00C3498A" w:rsidRPr="004B7E9E">
        <w:t>Funding for the activity</w:t>
      </w:r>
      <w:bookmarkEnd w:id="35"/>
      <w:bookmarkEnd w:id="36"/>
    </w:p>
    <w:p w:rsidR="009678BE" w:rsidRDefault="009678BE" w:rsidP="009678BE">
      <w:pPr>
        <w:pStyle w:val="BodyText0"/>
        <w:rPr>
          <w:lang w:eastAsia="en-AU"/>
        </w:rPr>
      </w:pPr>
      <w:r w:rsidRPr="00CC2BC1">
        <w:rPr>
          <w:lang w:eastAsia="en-AU"/>
        </w:rPr>
        <w:t xml:space="preserve">Funding under the External </w:t>
      </w:r>
      <w:r>
        <w:rPr>
          <w:lang w:eastAsia="en-AU"/>
        </w:rPr>
        <w:t>Merits Review</w:t>
      </w:r>
      <w:r w:rsidRPr="00CC2BC1">
        <w:rPr>
          <w:lang w:eastAsia="en-AU"/>
        </w:rPr>
        <w:t xml:space="preserve"> </w:t>
      </w:r>
      <w:r w:rsidR="00E06BB5">
        <w:rPr>
          <w:lang w:eastAsia="en-AU"/>
        </w:rPr>
        <w:t xml:space="preserve">- </w:t>
      </w:r>
      <w:r w:rsidRPr="00CC2BC1">
        <w:rPr>
          <w:lang w:eastAsia="en-AU"/>
        </w:rPr>
        <w:t>Support Component for 201</w:t>
      </w:r>
      <w:r>
        <w:rPr>
          <w:lang w:eastAsia="en-AU"/>
        </w:rPr>
        <w:t>3</w:t>
      </w:r>
      <w:r w:rsidRPr="00CC2BC1">
        <w:rPr>
          <w:lang w:eastAsia="en-AU"/>
        </w:rPr>
        <w:t>–1</w:t>
      </w:r>
      <w:r w:rsidR="00E06BB5">
        <w:rPr>
          <w:lang w:eastAsia="en-AU"/>
        </w:rPr>
        <w:t>7</w:t>
      </w:r>
      <w:r w:rsidRPr="00CC2BC1">
        <w:rPr>
          <w:lang w:eastAsia="en-AU"/>
        </w:rPr>
        <w:t xml:space="preserve"> will </w:t>
      </w:r>
      <w:r w:rsidRPr="00E06BB5">
        <w:rPr>
          <w:lang w:eastAsia="en-AU"/>
        </w:rPr>
        <w:t xml:space="preserve">be </w:t>
      </w:r>
      <w:r w:rsidR="00D725F9">
        <w:rPr>
          <w:lang w:eastAsia="en-AU"/>
        </w:rPr>
        <w:t xml:space="preserve">around </w:t>
      </w:r>
      <w:r w:rsidRPr="00E06BB5">
        <w:rPr>
          <w:lang w:eastAsia="en-AU"/>
        </w:rPr>
        <w:t>$2.</w:t>
      </w:r>
      <w:r w:rsidR="00E06BB5">
        <w:rPr>
          <w:lang w:eastAsia="en-AU"/>
        </w:rPr>
        <w:t>5</w:t>
      </w:r>
      <w:r w:rsidRPr="00E06BB5">
        <w:rPr>
          <w:lang w:eastAsia="en-AU"/>
        </w:rPr>
        <w:t xml:space="preserve"> million. This comprises funding for support persons and </w:t>
      </w:r>
      <w:r w:rsidR="005A2891">
        <w:rPr>
          <w:lang w:eastAsia="en-AU"/>
        </w:rPr>
        <w:t>f</w:t>
      </w:r>
      <w:r w:rsidRPr="00E06BB5">
        <w:rPr>
          <w:lang w:eastAsia="en-AU"/>
        </w:rPr>
        <w:t>or leg</w:t>
      </w:r>
      <w:r w:rsidRPr="00AF1457">
        <w:rPr>
          <w:lang w:eastAsia="en-AU"/>
        </w:rPr>
        <w:t xml:space="preserve">al </w:t>
      </w:r>
      <w:r>
        <w:rPr>
          <w:lang w:eastAsia="en-AU"/>
        </w:rPr>
        <w:t>services</w:t>
      </w:r>
      <w:r w:rsidRPr="00AF1457">
        <w:rPr>
          <w:lang w:eastAsia="en-AU"/>
        </w:rPr>
        <w:t>.</w:t>
      </w:r>
    </w:p>
    <w:p w:rsidR="00580B4E" w:rsidRPr="00D67D9B" w:rsidRDefault="00580B4E" w:rsidP="009678BE">
      <w:pPr>
        <w:pStyle w:val="BodyText0"/>
        <w:rPr>
          <w:b/>
          <w:lang w:eastAsia="en-AU"/>
        </w:rPr>
      </w:pPr>
      <w:r w:rsidRPr="00D67D9B">
        <w:rPr>
          <w:b/>
          <w:lang w:eastAsia="en-AU"/>
        </w:rPr>
        <w:t>Funding for the Support Person</w:t>
      </w:r>
    </w:p>
    <w:p w:rsidR="0087793A" w:rsidRDefault="009678BE" w:rsidP="009678BE">
      <w:pPr>
        <w:pStyle w:val="BodyText0"/>
        <w:rPr>
          <w:lang w:eastAsia="en-AU"/>
        </w:rPr>
      </w:pPr>
      <w:r>
        <w:rPr>
          <w:lang w:eastAsia="en-AU"/>
        </w:rPr>
        <w:t>T</w:t>
      </w:r>
      <w:r w:rsidRPr="00CC2BC1">
        <w:rPr>
          <w:lang w:eastAsia="en-AU"/>
        </w:rPr>
        <w:t xml:space="preserve">he </w:t>
      </w:r>
      <w:r>
        <w:rPr>
          <w:lang w:eastAsia="en-AU"/>
        </w:rPr>
        <w:t xml:space="preserve">funding for the support person, through the </w:t>
      </w:r>
      <w:r w:rsidRPr="00CC2BC1">
        <w:rPr>
          <w:lang w:eastAsia="en-AU"/>
        </w:rPr>
        <w:t xml:space="preserve">NDAP </w:t>
      </w:r>
      <w:r>
        <w:rPr>
          <w:lang w:eastAsia="en-AU"/>
        </w:rPr>
        <w:t xml:space="preserve">agencies selected in the launch sites will be separate </w:t>
      </w:r>
      <w:r w:rsidRPr="00CC2BC1">
        <w:rPr>
          <w:lang w:eastAsia="en-AU"/>
        </w:rPr>
        <w:t xml:space="preserve">from </w:t>
      </w:r>
      <w:r>
        <w:rPr>
          <w:lang w:eastAsia="en-AU"/>
        </w:rPr>
        <w:t>other</w:t>
      </w:r>
      <w:r w:rsidR="00CB33A0">
        <w:rPr>
          <w:lang w:eastAsia="en-AU"/>
        </w:rPr>
        <w:t xml:space="preserve"> advocacy </w:t>
      </w:r>
      <w:r>
        <w:rPr>
          <w:lang w:eastAsia="en-AU"/>
        </w:rPr>
        <w:t>funding provided to NDAP agencies</w:t>
      </w:r>
      <w:r w:rsidRPr="00CC2BC1">
        <w:rPr>
          <w:lang w:eastAsia="en-AU"/>
        </w:rPr>
        <w:t xml:space="preserve">. </w:t>
      </w:r>
      <w:r w:rsidR="00152E93">
        <w:rPr>
          <w:lang w:eastAsia="en-AU"/>
        </w:rPr>
        <w:t>Agencies will be provided with the funding to meet the costs of employing a support person (and other eligible costs as per 2.5) through twice yearly payments.</w:t>
      </w:r>
      <w:r w:rsidR="00E76F7A">
        <w:rPr>
          <w:lang w:eastAsia="en-AU"/>
        </w:rPr>
        <w:t xml:space="preserve"> Agencies will initially be provided with a funding agreement for 2013–16 as the number of peop</w:t>
      </w:r>
      <w:r w:rsidR="00D725F9">
        <w:rPr>
          <w:lang w:eastAsia="en-AU"/>
        </w:rPr>
        <w:t>l</w:t>
      </w:r>
      <w:r w:rsidR="00E76F7A">
        <w:rPr>
          <w:lang w:eastAsia="en-AU"/>
        </w:rPr>
        <w:t xml:space="preserve">e </w:t>
      </w:r>
      <w:r w:rsidR="00D725F9">
        <w:rPr>
          <w:lang w:eastAsia="en-AU"/>
        </w:rPr>
        <w:t xml:space="preserve">with disability seeking assistance is expected to change </w:t>
      </w:r>
      <w:r w:rsidR="005A2891">
        <w:rPr>
          <w:lang w:eastAsia="en-AU"/>
        </w:rPr>
        <w:t>as</w:t>
      </w:r>
      <w:r w:rsidR="00D725F9">
        <w:rPr>
          <w:lang w:eastAsia="en-AU"/>
        </w:rPr>
        <w:t xml:space="preserve"> new bilateral agreements with the states and territories are negotiated.</w:t>
      </w:r>
      <w:r w:rsidR="00E76F7A">
        <w:rPr>
          <w:lang w:eastAsia="en-AU"/>
        </w:rPr>
        <w:t xml:space="preserve"> </w:t>
      </w:r>
    </w:p>
    <w:p w:rsidR="00472D44" w:rsidRDefault="001C172E" w:rsidP="00472D44">
      <w:pPr>
        <w:pStyle w:val="BodyText0"/>
        <w:rPr>
          <w:lang w:eastAsia="en-AU"/>
        </w:rPr>
      </w:pPr>
      <w:r>
        <w:rPr>
          <w:lang w:eastAsia="en-AU"/>
        </w:rPr>
        <w:t>The funding will be distributed based on potential numbers of people in launch sites and a percentage of those likely to seek review in the AAT.</w:t>
      </w:r>
    </w:p>
    <w:p w:rsidR="005A7226" w:rsidRDefault="00472D44" w:rsidP="00472D44">
      <w:pPr>
        <w:pStyle w:val="BodyText0"/>
        <w:rPr>
          <w:rFonts w:cs="Arial"/>
          <w:iCs/>
          <w:szCs w:val="22"/>
          <w:lang w:eastAsia="en-AU"/>
        </w:rPr>
      </w:pPr>
      <w:r>
        <w:rPr>
          <w:lang w:eastAsia="en-AU"/>
        </w:rPr>
        <w:br w:type="page"/>
      </w:r>
      <w:r w:rsidR="005A7226">
        <w:rPr>
          <w:rFonts w:cs="Arial"/>
          <w:iCs/>
          <w:szCs w:val="22"/>
          <w:lang w:eastAsia="en-AU"/>
        </w:rPr>
        <w:lastRenderedPageBreak/>
        <w:t>The funding currently available for the launch sites for 2013–17 is:</w:t>
      </w:r>
    </w:p>
    <w:p w:rsidR="00795560" w:rsidRDefault="00795560" w:rsidP="005A7226">
      <w:pPr>
        <w:rPr>
          <w:rFonts w:cs="Arial"/>
          <w:iCs/>
          <w:szCs w:val="22"/>
          <w:lang w:eastAsia="en-AU"/>
        </w:rPr>
      </w:pPr>
    </w:p>
    <w:p w:rsidR="005A7226" w:rsidRDefault="005A7226" w:rsidP="005A7226">
      <w:pPr>
        <w:rPr>
          <w:rFonts w:cs="Arial"/>
          <w:iCs/>
          <w:szCs w:val="22"/>
          <w:lang w:eastAsia="en-AU"/>
        </w:rPr>
      </w:pPr>
      <w:r w:rsidRPr="0098258A">
        <w:rPr>
          <w:rFonts w:cs="Arial"/>
          <w:iCs/>
          <w:szCs w:val="22"/>
          <w:lang w:eastAsia="en-AU"/>
        </w:rPr>
        <w:t>Barwon area of Victoria</w:t>
      </w:r>
      <w:r>
        <w:rPr>
          <w:rFonts w:cs="Arial"/>
          <w:iCs/>
          <w:szCs w:val="22"/>
          <w:lang w:eastAsia="en-AU"/>
        </w:rPr>
        <w:t xml:space="preserve"> - $557,233.00 </w:t>
      </w:r>
    </w:p>
    <w:p w:rsidR="005A7226" w:rsidRDefault="005A7226" w:rsidP="005A7226">
      <w:pPr>
        <w:rPr>
          <w:rFonts w:cs="Arial"/>
          <w:iCs/>
          <w:szCs w:val="22"/>
          <w:lang w:eastAsia="en-AU"/>
        </w:rPr>
      </w:pPr>
      <w:r>
        <w:rPr>
          <w:rFonts w:cs="Arial"/>
          <w:iCs/>
          <w:szCs w:val="22"/>
          <w:lang w:eastAsia="en-AU"/>
        </w:rPr>
        <w:t>H</w:t>
      </w:r>
      <w:r w:rsidRPr="0098258A">
        <w:rPr>
          <w:rFonts w:cs="Arial"/>
          <w:iCs/>
          <w:szCs w:val="22"/>
          <w:lang w:eastAsia="en-AU"/>
        </w:rPr>
        <w:t>unter area in New South Wales</w:t>
      </w:r>
      <w:r>
        <w:rPr>
          <w:rFonts w:cs="Arial"/>
          <w:iCs/>
          <w:szCs w:val="22"/>
          <w:lang w:eastAsia="en-AU"/>
        </w:rPr>
        <w:t xml:space="preserve"> - $437,848.70</w:t>
      </w:r>
    </w:p>
    <w:p w:rsidR="005A7226" w:rsidRDefault="005A7226" w:rsidP="005A7226">
      <w:pPr>
        <w:rPr>
          <w:rFonts w:cs="Arial"/>
          <w:iCs/>
          <w:szCs w:val="22"/>
          <w:lang w:eastAsia="en-AU"/>
        </w:rPr>
      </w:pPr>
      <w:r w:rsidRPr="0098258A">
        <w:rPr>
          <w:rFonts w:cs="Arial"/>
          <w:iCs/>
          <w:szCs w:val="22"/>
          <w:lang w:eastAsia="en-AU"/>
        </w:rPr>
        <w:t>Tasmania</w:t>
      </w:r>
      <w:r>
        <w:rPr>
          <w:rFonts w:cs="Arial"/>
          <w:iCs/>
          <w:szCs w:val="22"/>
          <w:lang w:eastAsia="en-AU"/>
        </w:rPr>
        <w:t xml:space="preserve"> - $182,399.20</w:t>
      </w:r>
    </w:p>
    <w:p w:rsidR="005A7226" w:rsidRDefault="005A7226" w:rsidP="005A7226">
      <w:pPr>
        <w:rPr>
          <w:rFonts w:cs="Arial"/>
          <w:iCs/>
          <w:szCs w:val="22"/>
          <w:lang w:eastAsia="en-AU"/>
        </w:rPr>
      </w:pPr>
      <w:r w:rsidRPr="0098258A">
        <w:rPr>
          <w:rFonts w:cs="Arial"/>
          <w:iCs/>
          <w:szCs w:val="22"/>
          <w:lang w:eastAsia="en-AU"/>
        </w:rPr>
        <w:t>South Australia</w:t>
      </w:r>
      <w:r>
        <w:rPr>
          <w:rFonts w:cs="Arial"/>
          <w:iCs/>
          <w:szCs w:val="22"/>
          <w:lang w:eastAsia="en-AU"/>
        </w:rPr>
        <w:t xml:space="preserve"> - $272,208.70</w:t>
      </w:r>
    </w:p>
    <w:p w:rsidR="005A7226" w:rsidRDefault="005A7226" w:rsidP="005A7226">
      <w:pPr>
        <w:rPr>
          <w:rFonts w:cs="Arial"/>
          <w:iCs/>
          <w:szCs w:val="22"/>
          <w:lang w:eastAsia="en-AU"/>
        </w:rPr>
      </w:pPr>
      <w:r w:rsidRPr="0098258A">
        <w:rPr>
          <w:rFonts w:cs="Arial"/>
          <w:iCs/>
          <w:szCs w:val="22"/>
          <w:lang w:eastAsia="en-AU"/>
        </w:rPr>
        <w:t>Australian Capital Territory</w:t>
      </w:r>
      <w:r>
        <w:rPr>
          <w:rFonts w:cs="Arial"/>
          <w:iCs/>
          <w:szCs w:val="22"/>
          <w:lang w:eastAsia="en-AU"/>
        </w:rPr>
        <w:t xml:space="preserve"> (2014–17) - $102,849.20</w:t>
      </w:r>
    </w:p>
    <w:p w:rsidR="005A7226" w:rsidRDefault="005A7226" w:rsidP="005A7226">
      <w:pPr>
        <w:rPr>
          <w:rFonts w:cs="Arial"/>
          <w:iCs/>
          <w:szCs w:val="22"/>
          <w:lang w:eastAsia="en-AU"/>
        </w:rPr>
      </w:pPr>
    </w:p>
    <w:p w:rsidR="00472D44" w:rsidRDefault="005A7226" w:rsidP="00472D44">
      <w:pPr>
        <w:rPr>
          <w:rFonts w:cs="Arial"/>
          <w:iCs/>
          <w:szCs w:val="22"/>
          <w:lang w:eastAsia="en-AU"/>
        </w:rPr>
      </w:pPr>
      <w:r>
        <w:rPr>
          <w:rFonts w:cs="Arial"/>
          <w:iCs/>
          <w:szCs w:val="22"/>
          <w:lang w:eastAsia="en-AU"/>
        </w:rPr>
        <w:t xml:space="preserve">Other areas that will become part of the launch from 2014 have yet to be costed, including the </w:t>
      </w:r>
      <w:r w:rsidRPr="0098258A">
        <w:rPr>
          <w:rFonts w:cs="Arial"/>
          <w:iCs/>
          <w:szCs w:val="22"/>
          <w:lang w:eastAsia="en-AU"/>
        </w:rPr>
        <w:t>Barkly region of the Northern Territory</w:t>
      </w:r>
      <w:r>
        <w:rPr>
          <w:rFonts w:cs="Arial"/>
          <w:iCs/>
          <w:szCs w:val="22"/>
          <w:lang w:eastAsia="en-AU"/>
        </w:rPr>
        <w:t xml:space="preserve"> and the </w:t>
      </w:r>
      <w:r w:rsidRPr="009B323B">
        <w:rPr>
          <w:rFonts w:cs="Arial"/>
          <w:iCs/>
          <w:szCs w:val="22"/>
          <w:lang w:eastAsia="en-AU"/>
        </w:rPr>
        <w:t>Perth Hills area</w:t>
      </w:r>
      <w:r>
        <w:rPr>
          <w:rFonts w:cs="Arial"/>
          <w:iCs/>
          <w:szCs w:val="22"/>
          <w:lang w:eastAsia="en-AU"/>
        </w:rPr>
        <w:t xml:space="preserve"> in Western Australia.</w:t>
      </w:r>
    </w:p>
    <w:p w:rsidR="00472D44" w:rsidRDefault="00472D44" w:rsidP="00472D44">
      <w:pPr>
        <w:rPr>
          <w:rFonts w:cs="Arial"/>
          <w:iCs/>
          <w:szCs w:val="22"/>
          <w:lang w:eastAsia="en-AU"/>
        </w:rPr>
      </w:pPr>
    </w:p>
    <w:p w:rsidR="009678BE" w:rsidRPr="00472D44" w:rsidRDefault="009678BE" w:rsidP="00472D44">
      <w:pPr>
        <w:rPr>
          <w:rFonts w:cs="Arial"/>
          <w:iCs/>
          <w:szCs w:val="22"/>
          <w:lang w:eastAsia="en-AU"/>
        </w:rPr>
      </w:pPr>
      <w:r w:rsidRPr="00154C69">
        <w:rPr>
          <w:lang w:eastAsia="en-AU"/>
        </w:rPr>
        <w:t>Funding for</w:t>
      </w:r>
      <w:r w:rsidRPr="00DF2885">
        <w:rPr>
          <w:b/>
          <w:lang w:eastAsia="en-AU"/>
        </w:rPr>
        <w:t xml:space="preserve"> </w:t>
      </w:r>
      <w:r w:rsidRPr="00D67D9B">
        <w:rPr>
          <w:lang w:eastAsia="en-AU"/>
        </w:rPr>
        <w:t>the support person</w:t>
      </w:r>
      <w:r>
        <w:rPr>
          <w:lang w:eastAsia="en-AU"/>
        </w:rPr>
        <w:t xml:space="preserve"> </w:t>
      </w:r>
      <w:r w:rsidRPr="00CC2BC1">
        <w:rPr>
          <w:lang w:eastAsia="en-AU"/>
        </w:rPr>
        <w:t xml:space="preserve">will be provided subject to </w:t>
      </w:r>
      <w:r>
        <w:rPr>
          <w:lang w:eastAsia="en-AU"/>
        </w:rPr>
        <w:t xml:space="preserve">NDAP </w:t>
      </w:r>
      <w:r w:rsidRPr="00CC2BC1">
        <w:rPr>
          <w:lang w:eastAsia="en-AU"/>
        </w:rPr>
        <w:t>agencies:</w:t>
      </w:r>
    </w:p>
    <w:p w:rsidR="009678BE" w:rsidRPr="00CC2BC1" w:rsidRDefault="005A7226" w:rsidP="009678BE">
      <w:pPr>
        <w:pStyle w:val="List3"/>
        <w:numPr>
          <w:ilvl w:val="0"/>
          <w:numId w:val="25"/>
        </w:numPr>
        <w:spacing w:before="100" w:beforeAutospacing="1" w:after="100" w:afterAutospacing="1"/>
        <w:rPr>
          <w:rFonts w:cs="Arial"/>
          <w:iCs/>
          <w:szCs w:val="22"/>
          <w:lang w:eastAsia="en-AU"/>
        </w:rPr>
      </w:pPr>
      <w:r w:rsidRPr="00CC2BC1">
        <w:rPr>
          <w:rFonts w:cs="Arial"/>
          <w:iCs/>
          <w:szCs w:val="22"/>
          <w:lang w:eastAsia="en-AU"/>
        </w:rPr>
        <w:t>S</w:t>
      </w:r>
      <w:r w:rsidR="009678BE" w:rsidRPr="00CC2BC1">
        <w:rPr>
          <w:rFonts w:cs="Arial"/>
          <w:iCs/>
          <w:szCs w:val="22"/>
          <w:lang w:eastAsia="en-AU"/>
        </w:rPr>
        <w:t>igning</w:t>
      </w:r>
      <w:r>
        <w:rPr>
          <w:rFonts w:cs="Arial"/>
          <w:iCs/>
          <w:szCs w:val="22"/>
          <w:lang w:eastAsia="en-AU"/>
        </w:rPr>
        <w:t xml:space="preserve"> a </w:t>
      </w:r>
      <w:r w:rsidRPr="005A7226">
        <w:rPr>
          <w:rFonts w:cs="Arial"/>
          <w:iCs/>
          <w:szCs w:val="22"/>
          <w:lang w:eastAsia="en-AU"/>
        </w:rPr>
        <w:t>Funding Agreement</w:t>
      </w:r>
      <w:r w:rsidR="009678BE" w:rsidRPr="00CC2BC1">
        <w:rPr>
          <w:rFonts w:cs="Arial"/>
          <w:iCs/>
          <w:szCs w:val="22"/>
          <w:lang w:eastAsia="en-AU"/>
        </w:rPr>
        <w:t xml:space="preserve"> and complying with the Terms and Conditions of the grant of financial assistance</w:t>
      </w:r>
      <w:r>
        <w:rPr>
          <w:rFonts w:cs="Arial"/>
          <w:iCs/>
          <w:szCs w:val="22"/>
          <w:lang w:eastAsia="en-AU"/>
        </w:rPr>
        <w:t>;</w:t>
      </w:r>
    </w:p>
    <w:p w:rsidR="009678BE" w:rsidRPr="00CC2BC1" w:rsidRDefault="009678BE" w:rsidP="009678BE">
      <w:pPr>
        <w:pStyle w:val="List3"/>
        <w:numPr>
          <w:ilvl w:val="0"/>
          <w:numId w:val="25"/>
        </w:numPr>
        <w:spacing w:before="100" w:beforeAutospacing="1" w:after="100" w:afterAutospacing="1"/>
        <w:rPr>
          <w:rFonts w:cs="Arial"/>
          <w:iCs/>
          <w:szCs w:val="22"/>
          <w:lang w:eastAsia="en-AU"/>
        </w:rPr>
      </w:pPr>
      <w:r w:rsidRPr="00CC2BC1">
        <w:rPr>
          <w:rFonts w:cs="Arial"/>
          <w:iCs/>
          <w:szCs w:val="22"/>
          <w:lang w:eastAsia="en-AU"/>
        </w:rPr>
        <w:t xml:space="preserve">complying with the </w:t>
      </w:r>
      <w:r>
        <w:rPr>
          <w:rFonts w:cs="Arial"/>
          <w:i/>
          <w:iCs/>
          <w:szCs w:val="22"/>
          <w:lang w:eastAsia="en-AU"/>
        </w:rPr>
        <w:t>Disability Services Act 1986</w:t>
      </w:r>
      <w:r w:rsidRPr="00CC2BC1">
        <w:rPr>
          <w:rFonts w:cs="Arial"/>
          <w:iCs/>
          <w:szCs w:val="22"/>
          <w:lang w:eastAsia="en-AU"/>
        </w:rPr>
        <w:t>;</w:t>
      </w:r>
    </w:p>
    <w:p w:rsidR="009678BE" w:rsidRPr="00CC2BC1" w:rsidRDefault="009678BE" w:rsidP="009678BE">
      <w:pPr>
        <w:pStyle w:val="List3"/>
        <w:numPr>
          <w:ilvl w:val="0"/>
          <w:numId w:val="25"/>
        </w:numPr>
        <w:spacing w:before="100" w:beforeAutospacing="1" w:after="100" w:afterAutospacing="1"/>
        <w:rPr>
          <w:rFonts w:cs="Arial"/>
          <w:iCs/>
          <w:szCs w:val="22"/>
          <w:lang w:eastAsia="en-AU"/>
        </w:rPr>
      </w:pPr>
      <w:r w:rsidRPr="00CC2BC1">
        <w:rPr>
          <w:rFonts w:cs="Arial"/>
          <w:iCs/>
          <w:szCs w:val="22"/>
          <w:lang w:eastAsia="en-AU"/>
        </w:rPr>
        <w:t>meeting all other relevant legislative requirements;</w:t>
      </w:r>
    </w:p>
    <w:p w:rsidR="009678BE" w:rsidRPr="00CC2BC1" w:rsidRDefault="009678BE" w:rsidP="009678BE">
      <w:pPr>
        <w:pStyle w:val="List3"/>
        <w:numPr>
          <w:ilvl w:val="0"/>
          <w:numId w:val="25"/>
        </w:numPr>
        <w:spacing w:before="100" w:beforeAutospacing="1" w:after="100" w:afterAutospacing="1"/>
        <w:rPr>
          <w:rFonts w:cs="Arial"/>
          <w:iCs/>
          <w:szCs w:val="22"/>
          <w:lang w:eastAsia="en-AU"/>
        </w:rPr>
      </w:pPr>
      <w:r w:rsidRPr="00CC2BC1">
        <w:rPr>
          <w:rFonts w:cs="Arial"/>
          <w:iCs/>
          <w:szCs w:val="22"/>
          <w:lang w:eastAsia="en-AU"/>
        </w:rPr>
        <w:t>meeting all performance requirements;</w:t>
      </w:r>
      <w:r>
        <w:rPr>
          <w:rFonts w:cs="Arial"/>
          <w:iCs/>
          <w:szCs w:val="22"/>
          <w:lang w:eastAsia="en-AU"/>
        </w:rPr>
        <w:t xml:space="preserve"> and</w:t>
      </w:r>
      <w:r w:rsidRPr="00CC2BC1">
        <w:rPr>
          <w:rFonts w:cs="Arial"/>
          <w:iCs/>
          <w:szCs w:val="22"/>
          <w:lang w:eastAsia="en-AU"/>
        </w:rPr>
        <w:t xml:space="preserve"> </w:t>
      </w:r>
    </w:p>
    <w:p w:rsidR="009678BE" w:rsidRPr="00CC2BC1" w:rsidRDefault="009678BE" w:rsidP="009678BE">
      <w:pPr>
        <w:pStyle w:val="List3"/>
        <w:numPr>
          <w:ilvl w:val="0"/>
          <w:numId w:val="25"/>
        </w:numPr>
        <w:spacing w:before="100" w:beforeAutospacing="1" w:after="100" w:afterAutospacing="1"/>
        <w:rPr>
          <w:rFonts w:cs="Arial"/>
          <w:iCs/>
          <w:szCs w:val="22"/>
          <w:lang w:eastAsia="en-AU"/>
        </w:rPr>
      </w:pPr>
      <w:r w:rsidRPr="00CC2BC1">
        <w:rPr>
          <w:rFonts w:cs="Arial"/>
          <w:iCs/>
          <w:szCs w:val="22"/>
          <w:lang w:eastAsia="en-AU"/>
        </w:rPr>
        <w:t>complying with these Program Guidelines.</w:t>
      </w:r>
    </w:p>
    <w:p w:rsidR="00152E93" w:rsidRDefault="00152E93" w:rsidP="009678BE">
      <w:pPr>
        <w:rPr>
          <w:rFonts w:cs="Arial"/>
          <w:iCs/>
          <w:szCs w:val="22"/>
          <w:lang w:eastAsia="en-AU"/>
        </w:rPr>
      </w:pPr>
    </w:p>
    <w:p w:rsidR="00580B4E" w:rsidRDefault="00580B4E" w:rsidP="001C172E">
      <w:pPr>
        <w:rPr>
          <w:rFonts w:cs="Arial"/>
          <w:iCs/>
          <w:szCs w:val="22"/>
          <w:lang w:eastAsia="en-AU"/>
        </w:rPr>
      </w:pPr>
      <w:r w:rsidRPr="00D67D9B">
        <w:rPr>
          <w:rFonts w:cs="Arial"/>
          <w:b/>
          <w:iCs/>
          <w:szCs w:val="22"/>
          <w:lang w:eastAsia="en-AU"/>
        </w:rPr>
        <w:t>Funding for legal services</w:t>
      </w:r>
    </w:p>
    <w:p w:rsidR="00472D44" w:rsidRDefault="009678BE" w:rsidP="00D67D9B">
      <w:pPr>
        <w:pStyle w:val="BodyText0"/>
        <w:spacing w:after="0"/>
        <w:rPr>
          <w:lang w:eastAsia="en-AU"/>
        </w:rPr>
      </w:pPr>
      <w:r w:rsidRPr="00154C69">
        <w:rPr>
          <w:lang w:eastAsia="en-AU"/>
        </w:rPr>
        <w:t xml:space="preserve">Funding for </w:t>
      </w:r>
      <w:r w:rsidRPr="00D67D9B">
        <w:rPr>
          <w:lang w:eastAsia="en-AU"/>
        </w:rPr>
        <w:t>legal services</w:t>
      </w:r>
      <w:r w:rsidR="00F071E9">
        <w:rPr>
          <w:lang w:eastAsia="en-AU"/>
        </w:rPr>
        <w:t xml:space="preserve"> (payable to the legal aid commission, not the applicant)</w:t>
      </w:r>
      <w:r>
        <w:rPr>
          <w:lang w:eastAsia="en-AU"/>
        </w:rPr>
        <w:t xml:space="preserve"> </w:t>
      </w:r>
      <w:r w:rsidRPr="00AF1457">
        <w:rPr>
          <w:lang w:eastAsia="en-AU"/>
        </w:rPr>
        <w:t xml:space="preserve">will be made available where </w:t>
      </w:r>
      <w:r w:rsidR="00F071E9" w:rsidRPr="00F071E9">
        <w:rPr>
          <w:lang w:eastAsia="en-AU"/>
        </w:rPr>
        <w:t xml:space="preserve">a case </w:t>
      </w:r>
      <w:r w:rsidR="00F071E9">
        <w:rPr>
          <w:lang w:eastAsia="en-AU"/>
        </w:rPr>
        <w:t xml:space="preserve">is </w:t>
      </w:r>
      <w:r w:rsidR="008C24A1" w:rsidRPr="008C24A1">
        <w:rPr>
          <w:lang w:eastAsia="en-AU"/>
        </w:rPr>
        <w:t>determined</w:t>
      </w:r>
      <w:r w:rsidR="008C24A1">
        <w:rPr>
          <w:lang w:eastAsia="en-AU"/>
        </w:rPr>
        <w:t xml:space="preserve"> by the CAP</w:t>
      </w:r>
      <w:r w:rsidR="008C24A1" w:rsidRPr="008C24A1">
        <w:rPr>
          <w:lang w:eastAsia="en-AU"/>
        </w:rPr>
        <w:t xml:space="preserve"> </w:t>
      </w:r>
      <w:r w:rsidR="008C24A1">
        <w:rPr>
          <w:lang w:eastAsia="en-AU"/>
        </w:rPr>
        <w:t xml:space="preserve">to raise </w:t>
      </w:r>
      <w:r w:rsidR="008C24A1" w:rsidRPr="008C24A1">
        <w:rPr>
          <w:lang w:eastAsia="en-AU"/>
        </w:rPr>
        <w:t>complex or novel legal issues</w:t>
      </w:r>
      <w:r w:rsidR="007D2AE6">
        <w:rPr>
          <w:lang w:eastAsia="en-AU"/>
        </w:rPr>
        <w:t>.</w:t>
      </w:r>
    </w:p>
    <w:p w:rsidR="00472D44" w:rsidRDefault="00472D44" w:rsidP="00D67D9B">
      <w:pPr>
        <w:pStyle w:val="BodyText0"/>
        <w:spacing w:after="0"/>
        <w:rPr>
          <w:lang w:eastAsia="en-AU"/>
        </w:rPr>
      </w:pPr>
    </w:p>
    <w:p w:rsidR="00472D44" w:rsidRDefault="009678BE" w:rsidP="00D67D9B">
      <w:pPr>
        <w:pStyle w:val="BodyText0"/>
        <w:spacing w:after="0"/>
        <w:rPr>
          <w:lang w:eastAsia="en-AU"/>
        </w:rPr>
      </w:pPr>
      <w:r w:rsidRPr="00AF1457">
        <w:rPr>
          <w:lang w:eastAsia="en-AU"/>
        </w:rPr>
        <w:t xml:space="preserve">The </w:t>
      </w:r>
      <w:r>
        <w:rPr>
          <w:lang w:eastAsia="en-AU"/>
        </w:rPr>
        <w:t xml:space="preserve">capped </w:t>
      </w:r>
      <w:r w:rsidR="00C41EF0">
        <w:rPr>
          <w:lang w:eastAsia="en-AU"/>
        </w:rPr>
        <w:t xml:space="preserve">legal services </w:t>
      </w:r>
      <w:r w:rsidRPr="00AF1457">
        <w:rPr>
          <w:lang w:eastAsia="en-AU"/>
        </w:rPr>
        <w:t xml:space="preserve">funding available per </w:t>
      </w:r>
      <w:r>
        <w:rPr>
          <w:lang w:eastAsia="en-AU"/>
        </w:rPr>
        <w:t>applicant</w:t>
      </w:r>
      <w:r w:rsidRPr="00AF1457">
        <w:rPr>
          <w:lang w:eastAsia="en-AU"/>
        </w:rPr>
        <w:t xml:space="preserve"> is $6,720.00 (GST exclusive)</w:t>
      </w:r>
      <w:r>
        <w:rPr>
          <w:lang w:eastAsia="en-AU"/>
        </w:rPr>
        <w:t xml:space="preserve">, </w:t>
      </w:r>
      <w:r w:rsidR="005A7226">
        <w:rPr>
          <w:lang w:eastAsia="en-AU"/>
        </w:rPr>
        <w:t xml:space="preserve">which is </w:t>
      </w:r>
      <w:r>
        <w:rPr>
          <w:lang w:eastAsia="en-AU"/>
        </w:rPr>
        <w:t>payable to the legal aid commissions</w:t>
      </w:r>
      <w:r w:rsidR="00F071E9">
        <w:rPr>
          <w:lang w:eastAsia="en-AU"/>
        </w:rPr>
        <w:t xml:space="preserve"> - </w:t>
      </w:r>
      <w:r w:rsidR="005A7226">
        <w:rPr>
          <w:lang w:eastAsia="en-AU"/>
        </w:rPr>
        <w:t>to cover their costs in running a case</w:t>
      </w:r>
      <w:r w:rsidR="00F071E9">
        <w:rPr>
          <w:lang w:eastAsia="en-AU"/>
        </w:rPr>
        <w:t xml:space="preserve"> - </w:t>
      </w:r>
      <w:r w:rsidR="000F4030">
        <w:rPr>
          <w:lang w:eastAsia="en-AU"/>
        </w:rPr>
        <w:t>monthly in arrears</w:t>
      </w:r>
      <w:r w:rsidR="00F93D77">
        <w:rPr>
          <w:lang w:eastAsia="en-AU"/>
        </w:rPr>
        <w:t>.</w:t>
      </w:r>
      <w:r>
        <w:rPr>
          <w:lang w:eastAsia="en-AU"/>
        </w:rPr>
        <w:t xml:space="preserve"> </w:t>
      </w:r>
      <w:r w:rsidR="000F7AC8">
        <w:rPr>
          <w:lang w:eastAsia="en-AU"/>
        </w:rPr>
        <w:t xml:space="preserve">This excludes the provision of expert reports that may be required. In those cases a determination will be made by the </w:t>
      </w:r>
      <w:r w:rsidR="00F93D77">
        <w:rPr>
          <w:lang w:eastAsia="en-AU"/>
        </w:rPr>
        <w:t xml:space="preserve">legal aid commission and the </w:t>
      </w:r>
      <w:r w:rsidR="000F7AC8">
        <w:rPr>
          <w:lang w:eastAsia="en-AU"/>
        </w:rPr>
        <w:t>CAP and additional funds</w:t>
      </w:r>
      <w:r w:rsidR="00F93D77">
        <w:rPr>
          <w:lang w:eastAsia="en-AU"/>
        </w:rPr>
        <w:t xml:space="preserve"> </w:t>
      </w:r>
      <w:r w:rsidR="00F93D77" w:rsidRPr="00F93D77">
        <w:rPr>
          <w:lang w:eastAsia="en-AU"/>
        </w:rPr>
        <w:t>(up to a capped amount of $2,000</w:t>
      </w:r>
      <w:r w:rsidR="00F93D77">
        <w:rPr>
          <w:lang w:eastAsia="en-AU"/>
        </w:rPr>
        <w:t xml:space="preserve"> per applicant</w:t>
      </w:r>
      <w:r w:rsidR="00F93D77" w:rsidRPr="00F93D77">
        <w:rPr>
          <w:lang w:eastAsia="en-AU"/>
        </w:rPr>
        <w:t>)</w:t>
      </w:r>
      <w:r w:rsidR="000F7AC8">
        <w:rPr>
          <w:lang w:eastAsia="en-AU"/>
        </w:rPr>
        <w:t xml:space="preserve"> </w:t>
      </w:r>
      <w:r w:rsidR="00F93D77">
        <w:rPr>
          <w:lang w:eastAsia="en-AU"/>
        </w:rPr>
        <w:t>will</w:t>
      </w:r>
      <w:r w:rsidR="000F7AC8">
        <w:rPr>
          <w:lang w:eastAsia="en-AU"/>
        </w:rPr>
        <w:t xml:space="preserve"> be </w:t>
      </w:r>
      <w:r w:rsidR="00F93D77">
        <w:rPr>
          <w:lang w:eastAsia="en-AU"/>
        </w:rPr>
        <w:t>made available</w:t>
      </w:r>
      <w:r w:rsidR="000F7AC8">
        <w:rPr>
          <w:lang w:eastAsia="en-AU"/>
        </w:rPr>
        <w:t>.</w:t>
      </w:r>
    </w:p>
    <w:p w:rsidR="00472D44" w:rsidRDefault="00472D44" w:rsidP="00D67D9B">
      <w:pPr>
        <w:pStyle w:val="BodyText0"/>
        <w:spacing w:after="0"/>
        <w:rPr>
          <w:lang w:eastAsia="en-AU"/>
        </w:rPr>
      </w:pPr>
    </w:p>
    <w:p w:rsidR="001C172E" w:rsidRDefault="009678BE" w:rsidP="00D67D9B">
      <w:pPr>
        <w:pStyle w:val="BodyText0"/>
        <w:spacing w:after="0"/>
        <w:rPr>
          <w:lang w:eastAsia="en-AU"/>
        </w:rPr>
      </w:pPr>
      <w:r w:rsidRPr="00AF1457">
        <w:rPr>
          <w:lang w:eastAsia="en-AU"/>
        </w:rPr>
        <w:t xml:space="preserve">The estimate for the average cost of legal </w:t>
      </w:r>
      <w:r>
        <w:rPr>
          <w:lang w:eastAsia="en-AU"/>
        </w:rPr>
        <w:t>services</w:t>
      </w:r>
      <w:r w:rsidRPr="00AF1457">
        <w:rPr>
          <w:lang w:eastAsia="en-AU"/>
        </w:rPr>
        <w:t xml:space="preserve"> for cases raising complex or novel legal issues would be $883,280.00 (GST exclusive) over the four year period</w:t>
      </w:r>
      <w:r w:rsidR="00874771">
        <w:rPr>
          <w:lang w:eastAsia="en-AU"/>
        </w:rPr>
        <w:t xml:space="preserve"> (2013–17)</w:t>
      </w:r>
      <w:r w:rsidRPr="00AF1457">
        <w:rPr>
          <w:lang w:eastAsia="en-AU"/>
        </w:rPr>
        <w:t>.</w:t>
      </w:r>
      <w:r>
        <w:rPr>
          <w:lang w:eastAsia="en-AU"/>
        </w:rPr>
        <w:t xml:space="preserve"> </w:t>
      </w:r>
    </w:p>
    <w:p w:rsidR="001C172E" w:rsidRDefault="009678BE" w:rsidP="00D67D9B">
      <w:pPr>
        <w:pStyle w:val="BodyText0"/>
        <w:spacing w:after="0"/>
        <w:rPr>
          <w:lang w:eastAsia="en-AU"/>
        </w:rPr>
      </w:pPr>
      <w:r>
        <w:rPr>
          <w:lang w:eastAsia="en-AU"/>
        </w:rPr>
        <w:t>This includes</w:t>
      </w:r>
      <w:r w:rsidR="001C172E">
        <w:rPr>
          <w:lang w:eastAsia="en-AU"/>
        </w:rPr>
        <w:t>:</w:t>
      </w:r>
    </w:p>
    <w:p w:rsidR="00580B4E" w:rsidRDefault="00580B4E" w:rsidP="00D67D9B">
      <w:pPr>
        <w:pStyle w:val="BodyText0"/>
        <w:spacing w:after="0"/>
        <w:rPr>
          <w:lang w:eastAsia="en-AU"/>
        </w:rPr>
      </w:pPr>
    </w:p>
    <w:p w:rsidR="001C172E" w:rsidRDefault="009678BE" w:rsidP="00D67D9B">
      <w:pPr>
        <w:pStyle w:val="BodyText0"/>
        <w:numPr>
          <w:ilvl w:val="0"/>
          <w:numId w:val="32"/>
        </w:numPr>
        <w:spacing w:after="0"/>
        <w:rPr>
          <w:lang w:eastAsia="en-AU"/>
        </w:rPr>
      </w:pPr>
      <w:r>
        <w:rPr>
          <w:lang w:eastAsia="en-AU"/>
        </w:rPr>
        <w:t>44 cases in 2013–14</w:t>
      </w:r>
      <w:r w:rsidR="001C172E">
        <w:rPr>
          <w:lang w:eastAsia="en-AU"/>
        </w:rPr>
        <w:t>;</w:t>
      </w:r>
    </w:p>
    <w:p w:rsidR="001C172E" w:rsidRDefault="009678BE" w:rsidP="00D67D9B">
      <w:pPr>
        <w:pStyle w:val="BodyText0"/>
        <w:numPr>
          <w:ilvl w:val="0"/>
          <w:numId w:val="32"/>
        </w:numPr>
        <w:spacing w:after="0"/>
        <w:rPr>
          <w:lang w:eastAsia="en-AU"/>
        </w:rPr>
      </w:pPr>
      <w:r>
        <w:rPr>
          <w:lang w:eastAsia="en-AU"/>
        </w:rPr>
        <w:t>39 in 2014–15</w:t>
      </w:r>
      <w:r w:rsidR="001C172E">
        <w:rPr>
          <w:lang w:eastAsia="en-AU"/>
        </w:rPr>
        <w:t>;</w:t>
      </w:r>
      <w:r>
        <w:rPr>
          <w:lang w:eastAsia="en-AU"/>
        </w:rPr>
        <w:t xml:space="preserve"> </w:t>
      </w:r>
    </w:p>
    <w:p w:rsidR="001C172E" w:rsidRDefault="009678BE" w:rsidP="00D67D9B">
      <w:pPr>
        <w:pStyle w:val="BodyText0"/>
        <w:numPr>
          <w:ilvl w:val="0"/>
          <w:numId w:val="32"/>
        </w:numPr>
        <w:spacing w:after="0"/>
        <w:rPr>
          <w:lang w:eastAsia="en-AU"/>
        </w:rPr>
      </w:pPr>
      <w:r>
        <w:rPr>
          <w:lang w:eastAsia="en-AU"/>
        </w:rPr>
        <w:t>40 in 2015–16</w:t>
      </w:r>
      <w:r w:rsidR="001C172E">
        <w:rPr>
          <w:lang w:eastAsia="en-AU"/>
        </w:rPr>
        <w:t>;</w:t>
      </w:r>
      <w:r>
        <w:rPr>
          <w:lang w:eastAsia="en-AU"/>
        </w:rPr>
        <w:t xml:space="preserve"> and</w:t>
      </w:r>
    </w:p>
    <w:p w:rsidR="009678BE" w:rsidRDefault="009678BE" w:rsidP="00D67D9B">
      <w:pPr>
        <w:pStyle w:val="BodyText0"/>
        <w:numPr>
          <w:ilvl w:val="0"/>
          <w:numId w:val="32"/>
        </w:numPr>
        <w:spacing w:after="0"/>
        <w:rPr>
          <w:lang w:eastAsia="en-AU"/>
        </w:rPr>
      </w:pPr>
      <w:r>
        <w:rPr>
          <w:lang w:eastAsia="en-AU"/>
        </w:rPr>
        <w:t xml:space="preserve">1 in 2016–17. </w:t>
      </w:r>
    </w:p>
    <w:p w:rsidR="0009448C" w:rsidRDefault="0009448C" w:rsidP="00D67D9B">
      <w:pPr>
        <w:pStyle w:val="BodyText0"/>
        <w:spacing w:after="0"/>
        <w:rPr>
          <w:lang w:eastAsia="en-AU"/>
        </w:rPr>
      </w:pPr>
    </w:p>
    <w:p w:rsidR="009678BE" w:rsidRDefault="009678BE" w:rsidP="00D67D9B">
      <w:pPr>
        <w:pStyle w:val="BodyText0"/>
        <w:spacing w:after="0"/>
        <w:rPr>
          <w:lang w:eastAsia="en-AU"/>
        </w:rPr>
      </w:pPr>
      <w:r>
        <w:rPr>
          <w:lang w:eastAsia="en-AU"/>
        </w:rPr>
        <w:t xml:space="preserve">Funding to the legal aid commissions </w:t>
      </w:r>
      <w:r w:rsidRPr="00DF2885">
        <w:rPr>
          <w:lang w:eastAsia="en-AU"/>
        </w:rPr>
        <w:t xml:space="preserve">will be provided subject to </w:t>
      </w:r>
      <w:r>
        <w:rPr>
          <w:lang w:eastAsia="en-AU"/>
        </w:rPr>
        <w:t>them</w:t>
      </w:r>
      <w:r w:rsidRPr="00DF2885">
        <w:rPr>
          <w:lang w:eastAsia="en-AU"/>
        </w:rPr>
        <w:t>:</w:t>
      </w:r>
    </w:p>
    <w:p w:rsidR="00F071E9" w:rsidRPr="00DF2885" w:rsidRDefault="00F071E9" w:rsidP="00D67D9B">
      <w:pPr>
        <w:pStyle w:val="BodyText0"/>
        <w:spacing w:after="0"/>
        <w:rPr>
          <w:lang w:eastAsia="en-AU"/>
        </w:rPr>
      </w:pPr>
    </w:p>
    <w:p w:rsidR="009678BE" w:rsidRPr="00DF2885" w:rsidRDefault="005A7226" w:rsidP="009678BE">
      <w:pPr>
        <w:pStyle w:val="ListBullet2"/>
        <w:numPr>
          <w:ilvl w:val="0"/>
          <w:numId w:val="25"/>
        </w:numPr>
        <w:rPr>
          <w:lang w:eastAsia="en-AU"/>
        </w:rPr>
      </w:pPr>
      <w:r w:rsidRPr="00DF2885">
        <w:rPr>
          <w:lang w:eastAsia="en-AU"/>
        </w:rPr>
        <w:t>S</w:t>
      </w:r>
      <w:r w:rsidR="009678BE" w:rsidRPr="00DF2885">
        <w:rPr>
          <w:lang w:eastAsia="en-AU"/>
        </w:rPr>
        <w:t>igning</w:t>
      </w:r>
      <w:r>
        <w:rPr>
          <w:lang w:eastAsia="en-AU"/>
        </w:rPr>
        <w:t xml:space="preserve"> a</w:t>
      </w:r>
      <w:r w:rsidR="00E56B9D">
        <w:rPr>
          <w:lang w:eastAsia="en-AU"/>
        </w:rPr>
        <w:t xml:space="preserve"> Memorandum of Understanding with </w:t>
      </w:r>
      <w:r w:rsidR="004F0A57">
        <w:rPr>
          <w:lang w:eastAsia="en-AU"/>
        </w:rPr>
        <w:t>FaHCSIA</w:t>
      </w:r>
      <w:r>
        <w:rPr>
          <w:lang w:eastAsia="en-AU"/>
        </w:rPr>
        <w:t>;</w:t>
      </w:r>
    </w:p>
    <w:p w:rsidR="009678BE" w:rsidRPr="00520CCC" w:rsidRDefault="009678BE" w:rsidP="009678BE">
      <w:pPr>
        <w:pStyle w:val="ListBullet2"/>
        <w:numPr>
          <w:ilvl w:val="0"/>
          <w:numId w:val="25"/>
        </w:numPr>
        <w:rPr>
          <w:lang w:eastAsia="en-AU"/>
        </w:rPr>
      </w:pPr>
      <w:r w:rsidRPr="00DF2885">
        <w:rPr>
          <w:lang w:eastAsia="en-AU"/>
        </w:rPr>
        <w:t xml:space="preserve">meeting all </w:t>
      </w:r>
      <w:r w:rsidRPr="00520CCC">
        <w:rPr>
          <w:lang w:eastAsia="en-AU"/>
        </w:rPr>
        <w:t>relevant legislative requirements;</w:t>
      </w:r>
    </w:p>
    <w:p w:rsidR="009678BE" w:rsidRPr="00DF2885" w:rsidRDefault="009678BE" w:rsidP="009678BE">
      <w:pPr>
        <w:pStyle w:val="ListBullet2"/>
        <w:numPr>
          <w:ilvl w:val="0"/>
          <w:numId w:val="25"/>
        </w:numPr>
        <w:rPr>
          <w:lang w:eastAsia="en-AU"/>
        </w:rPr>
      </w:pPr>
      <w:r w:rsidRPr="00DF2885">
        <w:rPr>
          <w:lang w:eastAsia="en-AU"/>
        </w:rPr>
        <w:t xml:space="preserve">meeting all performance requirements; and </w:t>
      </w:r>
    </w:p>
    <w:p w:rsidR="009678BE" w:rsidRPr="00BA2A6E" w:rsidRDefault="009678BE" w:rsidP="00D67D9B">
      <w:pPr>
        <w:pStyle w:val="ListBullet2"/>
        <w:numPr>
          <w:ilvl w:val="0"/>
          <w:numId w:val="25"/>
        </w:numPr>
        <w:rPr>
          <w:rFonts w:cs="Arial"/>
          <w:iCs/>
          <w:szCs w:val="22"/>
          <w:lang w:eastAsia="en-AU"/>
        </w:rPr>
      </w:pPr>
      <w:r w:rsidRPr="00DF2885">
        <w:rPr>
          <w:lang w:eastAsia="en-AU"/>
        </w:rPr>
        <w:t>complying with these Program Guidelines.</w:t>
      </w:r>
    </w:p>
    <w:p w:rsidR="009678BE" w:rsidRDefault="009678BE" w:rsidP="00D67D9B">
      <w:pPr>
        <w:pStyle w:val="BodyText0"/>
        <w:spacing w:after="0"/>
        <w:rPr>
          <w:lang w:eastAsia="en-AU"/>
        </w:rPr>
      </w:pPr>
    </w:p>
    <w:p w:rsidR="00C3498A" w:rsidRPr="004B7E9E" w:rsidRDefault="00414DEA" w:rsidP="00D67D9B">
      <w:pPr>
        <w:pStyle w:val="Heading2"/>
        <w:numPr>
          <w:ilvl w:val="0"/>
          <w:numId w:val="0"/>
        </w:numPr>
      </w:pPr>
      <w:bookmarkStart w:id="37" w:name="_Toc363823067"/>
      <w:r>
        <w:t xml:space="preserve">2.7   </w:t>
      </w:r>
      <w:r w:rsidR="00C3498A" w:rsidRPr="004B7E9E">
        <w:t>Eligible and in-eligible activities</w:t>
      </w:r>
      <w:bookmarkEnd w:id="37"/>
    </w:p>
    <w:p w:rsidR="009678BE" w:rsidRPr="00E06BB5" w:rsidRDefault="009678BE" w:rsidP="009678BE">
      <w:pPr>
        <w:autoSpaceDE w:val="0"/>
        <w:autoSpaceDN w:val="0"/>
        <w:adjustRightInd w:val="0"/>
        <w:spacing w:before="100" w:beforeAutospacing="1" w:after="100" w:afterAutospacing="1"/>
        <w:rPr>
          <w:lang w:eastAsia="en-AU"/>
        </w:rPr>
      </w:pPr>
      <w:r w:rsidRPr="00E06BB5">
        <w:rPr>
          <w:lang w:eastAsia="en-AU"/>
        </w:rPr>
        <w:t>The funding</w:t>
      </w:r>
      <w:r w:rsidR="00F93D77">
        <w:rPr>
          <w:lang w:eastAsia="en-AU"/>
        </w:rPr>
        <w:t xml:space="preserve"> provided to</w:t>
      </w:r>
      <w:r w:rsidR="00795560">
        <w:rPr>
          <w:lang w:eastAsia="en-AU"/>
        </w:rPr>
        <w:t xml:space="preserve"> </w:t>
      </w:r>
      <w:r w:rsidR="000F4030">
        <w:rPr>
          <w:lang w:eastAsia="en-AU"/>
        </w:rPr>
        <w:t xml:space="preserve">the NDAP agencies </w:t>
      </w:r>
      <w:r w:rsidRPr="00E06BB5">
        <w:rPr>
          <w:lang w:eastAsia="en-AU"/>
        </w:rPr>
        <w:t>may be used for:</w:t>
      </w:r>
    </w:p>
    <w:p w:rsidR="009678BE" w:rsidRPr="00E06BB5" w:rsidRDefault="009678BE" w:rsidP="009678BE">
      <w:pPr>
        <w:pStyle w:val="List3"/>
        <w:numPr>
          <w:ilvl w:val="0"/>
          <w:numId w:val="26"/>
        </w:numPr>
        <w:spacing w:before="100" w:beforeAutospacing="1" w:after="100" w:afterAutospacing="1"/>
        <w:rPr>
          <w:lang w:eastAsia="en-AU"/>
        </w:rPr>
      </w:pPr>
      <w:r w:rsidRPr="00E06BB5">
        <w:rPr>
          <w:lang w:eastAsia="en-AU"/>
        </w:rPr>
        <w:t>staff salaries and on-costs which can be directly attributed to the provision of support persons in the identified service area or areas as per the Funding Agreement;</w:t>
      </w:r>
    </w:p>
    <w:p w:rsidR="009678BE" w:rsidRPr="00E06BB5" w:rsidRDefault="009678BE" w:rsidP="009678BE">
      <w:pPr>
        <w:pStyle w:val="List3"/>
        <w:numPr>
          <w:ilvl w:val="0"/>
          <w:numId w:val="26"/>
        </w:numPr>
        <w:spacing w:before="100" w:beforeAutospacing="1" w:after="100" w:afterAutospacing="1"/>
        <w:rPr>
          <w:lang w:eastAsia="en-AU"/>
        </w:rPr>
      </w:pPr>
      <w:r w:rsidRPr="00E06BB5">
        <w:rPr>
          <w:lang w:eastAsia="en-AU"/>
        </w:rPr>
        <w:lastRenderedPageBreak/>
        <w:t>operating and administration expenses directly related to the delivery of support persons, such as:</w:t>
      </w:r>
    </w:p>
    <w:p w:rsidR="009678BE" w:rsidRPr="00E06BB5" w:rsidRDefault="009678BE" w:rsidP="009678BE">
      <w:pPr>
        <w:pStyle w:val="List3"/>
        <w:spacing w:before="100" w:beforeAutospacing="1" w:after="100" w:afterAutospacing="1"/>
        <w:ind w:left="0" w:firstLine="0"/>
        <w:rPr>
          <w:lang w:eastAsia="en-AU"/>
        </w:rPr>
      </w:pPr>
    </w:p>
    <w:p w:rsidR="009678BE" w:rsidRPr="00E06BB5" w:rsidRDefault="009678BE" w:rsidP="009678BE">
      <w:pPr>
        <w:pStyle w:val="List3"/>
        <w:numPr>
          <w:ilvl w:val="1"/>
          <w:numId w:val="26"/>
        </w:numPr>
        <w:spacing w:before="100" w:beforeAutospacing="1" w:after="100" w:afterAutospacing="1"/>
        <w:rPr>
          <w:lang w:eastAsia="en-AU"/>
        </w:rPr>
      </w:pPr>
      <w:r w:rsidRPr="00E06BB5">
        <w:rPr>
          <w:lang w:eastAsia="en-AU"/>
        </w:rPr>
        <w:t>telephones;</w:t>
      </w:r>
    </w:p>
    <w:p w:rsidR="009678BE" w:rsidRPr="00E06BB5" w:rsidRDefault="009678BE" w:rsidP="009678BE">
      <w:pPr>
        <w:pStyle w:val="List3"/>
        <w:numPr>
          <w:ilvl w:val="1"/>
          <w:numId w:val="26"/>
        </w:numPr>
        <w:spacing w:before="100" w:beforeAutospacing="1" w:after="100" w:afterAutospacing="1"/>
        <w:rPr>
          <w:lang w:eastAsia="en-AU"/>
        </w:rPr>
      </w:pPr>
      <w:r w:rsidRPr="00E06BB5">
        <w:rPr>
          <w:lang w:eastAsia="en-AU"/>
        </w:rPr>
        <w:t>rent and outgoings;</w:t>
      </w:r>
    </w:p>
    <w:p w:rsidR="009678BE" w:rsidRPr="00E06BB5" w:rsidRDefault="009678BE" w:rsidP="009678BE">
      <w:pPr>
        <w:pStyle w:val="List3"/>
        <w:numPr>
          <w:ilvl w:val="1"/>
          <w:numId w:val="26"/>
        </w:numPr>
        <w:spacing w:before="100" w:beforeAutospacing="1" w:after="100" w:afterAutospacing="1"/>
        <w:rPr>
          <w:lang w:eastAsia="en-AU"/>
        </w:rPr>
      </w:pPr>
      <w:r w:rsidRPr="00E06BB5">
        <w:rPr>
          <w:lang w:eastAsia="en-AU"/>
        </w:rPr>
        <w:t>computer/IT/website/software;</w:t>
      </w:r>
    </w:p>
    <w:p w:rsidR="009678BE" w:rsidRPr="00E06BB5" w:rsidRDefault="009678BE" w:rsidP="009678BE">
      <w:pPr>
        <w:pStyle w:val="List3"/>
        <w:numPr>
          <w:ilvl w:val="1"/>
          <w:numId w:val="26"/>
        </w:numPr>
        <w:spacing w:before="100" w:beforeAutospacing="1" w:after="100" w:afterAutospacing="1"/>
        <w:rPr>
          <w:lang w:eastAsia="en-AU"/>
        </w:rPr>
      </w:pPr>
      <w:r w:rsidRPr="00E06BB5">
        <w:rPr>
          <w:lang w:eastAsia="en-AU"/>
        </w:rPr>
        <w:t>insurance;</w:t>
      </w:r>
    </w:p>
    <w:p w:rsidR="009678BE" w:rsidRPr="00E06BB5" w:rsidRDefault="009678BE" w:rsidP="009678BE">
      <w:pPr>
        <w:pStyle w:val="List3"/>
        <w:numPr>
          <w:ilvl w:val="1"/>
          <w:numId w:val="26"/>
        </w:numPr>
        <w:spacing w:before="100" w:beforeAutospacing="1" w:after="100" w:afterAutospacing="1"/>
        <w:rPr>
          <w:lang w:eastAsia="en-AU"/>
        </w:rPr>
      </w:pPr>
      <w:r w:rsidRPr="00E06BB5">
        <w:rPr>
          <w:lang w:eastAsia="en-AU"/>
        </w:rPr>
        <w:t>utilities;</w:t>
      </w:r>
    </w:p>
    <w:p w:rsidR="009678BE" w:rsidRPr="00E06BB5" w:rsidRDefault="009678BE" w:rsidP="009678BE">
      <w:pPr>
        <w:pStyle w:val="List3"/>
        <w:numPr>
          <w:ilvl w:val="1"/>
          <w:numId w:val="26"/>
        </w:numPr>
        <w:spacing w:before="100" w:beforeAutospacing="1" w:after="100" w:afterAutospacing="1"/>
        <w:rPr>
          <w:lang w:eastAsia="en-AU"/>
        </w:rPr>
      </w:pPr>
      <w:r w:rsidRPr="00E06BB5">
        <w:rPr>
          <w:lang w:eastAsia="en-AU"/>
        </w:rPr>
        <w:t>postage;</w:t>
      </w:r>
    </w:p>
    <w:p w:rsidR="009678BE" w:rsidRPr="00E06BB5" w:rsidRDefault="009678BE" w:rsidP="009678BE">
      <w:pPr>
        <w:pStyle w:val="List3"/>
        <w:numPr>
          <w:ilvl w:val="1"/>
          <w:numId w:val="26"/>
        </w:numPr>
        <w:spacing w:before="100" w:beforeAutospacing="1" w:after="100" w:afterAutospacing="1"/>
        <w:rPr>
          <w:lang w:eastAsia="en-AU"/>
        </w:rPr>
      </w:pPr>
      <w:r w:rsidRPr="00E06BB5">
        <w:rPr>
          <w:lang w:eastAsia="en-AU"/>
        </w:rPr>
        <w:t>stationery and printing;</w:t>
      </w:r>
    </w:p>
    <w:p w:rsidR="009678BE" w:rsidRPr="00E06BB5" w:rsidRDefault="009678BE" w:rsidP="009678BE">
      <w:pPr>
        <w:pStyle w:val="List3"/>
        <w:numPr>
          <w:ilvl w:val="1"/>
          <w:numId w:val="26"/>
        </w:numPr>
        <w:spacing w:before="100" w:beforeAutospacing="1" w:after="100" w:afterAutospacing="1"/>
        <w:rPr>
          <w:lang w:eastAsia="en-AU"/>
        </w:rPr>
      </w:pPr>
      <w:r w:rsidRPr="00E06BB5">
        <w:rPr>
          <w:lang w:eastAsia="en-AU"/>
        </w:rPr>
        <w:t>accounting and auditing;</w:t>
      </w:r>
    </w:p>
    <w:p w:rsidR="00E06BB5" w:rsidRDefault="009678BE" w:rsidP="009678BE">
      <w:pPr>
        <w:pStyle w:val="List3"/>
        <w:numPr>
          <w:ilvl w:val="1"/>
          <w:numId w:val="26"/>
        </w:numPr>
        <w:spacing w:before="100" w:beforeAutospacing="1" w:after="100" w:afterAutospacing="1"/>
        <w:rPr>
          <w:lang w:eastAsia="en-AU"/>
        </w:rPr>
      </w:pPr>
      <w:r w:rsidRPr="00E06BB5">
        <w:rPr>
          <w:lang w:eastAsia="en-AU"/>
        </w:rPr>
        <w:t>travel/accommodation costs; and</w:t>
      </w:r>
    </w:p>
    <w:p w:rsidR="00521907" w:rsidRDefault="009678BE" w:rsidP="009678BE">
      <w:pPr>
        <w:pStyle w:val="List3"/>
        <w:numPr>
          <w:ilvl w:val="1"/>
          <w:numId w:val="26"/>
        </w:numPr>
        <w:spacing w:before="100" w:beforeAutospacing="1" w:after="100" w:afterAutospacing="1"/>
        <w:rPr>
          <w:lang w:eastAsia="en-AU"/>
        </w:rPr>
      </w:pPr>
      <w:r w:rsidRPr="00E06BB5">
        <w:rPr>
          <w:lang w:eastAsia="en-AU"/>
        </w:rPr>
        <w:t xml:space="preserve">motor vehicle purchase or lease. </w:t>
      </w:r>
    </w:p>
    <w:p w:rsidR="000F4030" w:rsidRPr="00E06BB5" w:rsidRDefault="00F93D77" w:rsidP="00D67D9B">
      <w:pPr>
        <w:autoSpaceDE w:val="0"/>
        <w:autoSpaceDN w:val="0"/>
        <w:adjustRightInd w:val="0"/>
        <w:spacing w:before="100" w:beforeAutospacing="1" w:after="100" w:afterAutospacing="1"/>
        <w:rPr>
          <w:lang w:eastAsia="en-AU"/>
        </w:rPr>
      </w:pPr>
      <w:r w:rsidRPr="00E06BB5">
        <w:rPr>
          <w:lang w:eastAsia="en-AU"/>
        </w:rPr>
        <w:t>The funding</w:t>
      </w:r>
      <w:r>
        <w:rPr>
          <w:lang w:eastAsia="en-AU"/>
        </w:rPr>
        <w:t xml:space="preserve"> provided to legal aid commissions may</w:t>
      </w:r>
      <w:r w:rsidRPr="00E06BB5">
        <w:rPr>
          <w:lang w:eastAsia="en-AU"/>
        </w:rPr>
        <w:t xml:space="preserve"> be used </w:t>
      </w:r>
      <w:r w:rsidR="0087793A">
        <w:rPr>
          <w:lang w:eastAsia="en-AU"/>
        </w:rPr>
        <w:t xml:space="preserve">to </w:t>
      </w:r>
      <w:r w:rsidR="000F4030">
        <w:rPr>
          <w:lang w:eastAsia="en-AU"/>
        </w:rPr>
        <w:t>cover all the legal costs in running a case in the AAT</w:t>
      </w:r>
      <w:r w:rsidRPr="00F93D77">
        <w:rPr>
          <w:lang w:eastAsia="en-AU"/>
        </w:rPr>
        <w:t xml:space="preserve"> in the identified service area as per the </w:t>
      </w:r>
      <w:r w:rsidR="00E56B9D">
        <w:rPr>
          <w:lang w:eastAsia="en-AU"/>
        </w:rPr>
        <w:t>Memorandum of Understanding</w:t>
      </w:r>
      <w:r w:rsidR="005A7226">
        <w:rPr>
          <w:lang w:eastAsia="en-AU"/>
        </w:rPr>
        <w:t>.</w:t>
      </w:r>
    </w:p>
    <w:p w:rsidR="009678BE" w:rsidRDefault="009678BE" w:rsidP="009678BE">
      <w:pPr>
        <w:pStyle w:val="StyleArial10ptItalic"/>
        <w:rPr>
          <w:rFonts w:cs="Times New Roman"/>
          <w:iCs w:val="0"/>
          <w:sz w:val="22"/>
          <w:lang w:eastAsia="en-AU"/>
        </w:rPr>
      </w:pPr>
      <w:r w:rsidRPr="00E06BB5">
        <w:rPr>
          <w:rFonts w:cs="Times New Roman"/>
          <w:iCs w:val="0"/>
          <w:sz w:val="22"/>
          <w:lang w:eastAsia="en-AU"/>
        </w:rPr>
        <w:t xml:space="preserve">The funding </w:t>
      </w:r>
      <w:r w:rsidR="00795560">
        <w:rPr>
          <w:rFonts w:cs="Times New Roman"/>
          <w:iCs w:val="0"/>
          <w:sz w:val="22"/>
          <w:lang w:eastAsia="en-AU"/>
        </w:rPr>
        <w:t xml:space="preserve">provided under the External Merits Review – Support Component </w:t>
      </w:r>
      <w:r w:rsidRPr="00E06BB5">
        <w:rPr>
          <w:rFonts w:cs="Times New Roman"/>
          <w:iCs w:val="0"/>
          <w:sz w:val="22"/>
          <w:lang w:eastAsia="en-AU"/>
        </w:rPr>
        <w:t xml:space="preserve">may </w:t>
      </w:r>
      <w:r w:rsidRPr="00D67D9B">
        <w:rPr>
          <w:rFonts w:cs="Times New Roman"/>
          <w:b/>
          <w:iCs w:val="0"/>
          <w:sz w:val="22"/>
          <w:lang w:eastAsia="en-AU"/>
        </w:rPr>
        <w:t>not</w:t>
      </w:r>
      <w:r w:rsidRPr="00E06BB5">
        <w:rPr>
          <w:rFonts w:cs="Times New Roman"/>
          <w:iCs w:val="0"/>
          <w:sz w:val="22"/>
          <w:lang w:eastAsia="en-AU"/>
        </w:rPr>
        <w:t xml:space="preserve"> be used for:</w:t>
      </w:r>
    </w:p>
    <w:p w:rsidR="00CB33A0" w:rsidRPr="00E06BB5" w:rsidRDefault="00CB33A0" w:rsidP="009678BE">
      <w:pPr>
        <w:pStyle w:val="StyleArial10ptItalic"/>
        <w:rPr>
          <w:rFonts w:cs="Times New Roman"/>
          <w:iCs w:val="0"/>
          <w:sz w:val="22"/>
          <w:lang w:eastAsia="en-AU"/>
        </w:rPr>
      </w:pPr>
    </w:p>
    <w:p w:rsidR="00CB33A0" w:rsidRPr="003E17E2" w:rsidRDefault="00CB33A0" w:rsidP="00CB33A0">
      <w:pPr>
        <w:pStyle w:val="StyleArial10ptItalic"/>
        <w:numPr>
          <w:ilvl w:val="0"/>
          <w:numId w:val="27"/>
        </w:numPr>
        <w:rPr>
          <w:rFonts w:cs="Times New Roman"/>
          <w:iCs w:val="0"/>
          <w:sz w:val="22"/>
          <w:lang w:eastAsia="en-AU"/>
        </w:rPr>
      </w:pPr>
      <w:r w:rsidRPr="003E17E2">
        <w:rPr>
          <w:rFonts w:cs="Times New Roman"/>
          <w:iCs w:val="0"/>
          <w:sz w:val="22"/>
          <w:lang w:eastAsia="en-AU"/>
        </w:rPr>
        <w:t xml:space="preserve">the provision of a support person or legal </w:t>
      </w:r>
      <w:r w:rsidR="00F93D77">
        <w:rPr>
          <w:rFonts w:cs="Times New Roman"/>
          <w:iCs w:val="0"/>
          <w:sz w:val="22"/>
          <w:lang w:eastAsia="en-AU"/>
        </w:rPr>
        <w:t>services</w:t>
      </w:r>
      <w:r w:rsidRPr="003E17E2">
        <w:rPr>
          <w:rFonts w:cs="Times New Roman"/>
          <w:iCs w:val="0"/>
          <w:sz w:val="22"/>
          <w:lang w:eastAsia="en-AU"/>
        </w:rPr>
        <w:t xml:space="preserve"> for </w:t>
      </w:r>
      <w:r w:rsidR="00F72EDA">
        <w:rPr>
          <w:rFonts w:cs="Times New Roman"/>
          <w:iCs w:val="0"/>
          <w:sz w:val="22"/>
          <w:lang w:eastAsia="en-AU"/>
        </w:rPr>
        <w:t>t</w:t>
      </w:r>
      <w:r w:rsidR="00ED262A">
        <w:rPr>
          <w:rFonts w:cs="Times New Roman"/>
          <w:iCs w:val="0"/>
          <w:sz w:val="22"/>
          <w:lang w:eastAsia="en-AU"/>
        </w:rPr>
        <w:t xml:space="preserve">he National Disability Insurance </w:t>
      </w:r>
      <w:r w:rsidR="00F72EDA">
        <w:rPr>
          <w:rFonts w:cs="Times New Roman"/>
          <w:iCs w:val="0"/>
          <w:sz w:val="22"/>
          <w:lang w:eastAsia="en-AU"/>
        </w:rPr>
        <w:t>Agency</w:t>
      </w:r>
      <w:r w:rsidRPr="003E17E2">
        <w:rPr>
          <w:rFonts w:cs="Times New Roman"/>
          <w:iCs w:val="0"/>
          <w:sz w:val="22"/>
          <w:lang w:eastAsia="en-AU"/>
        </w:rPr>
        <w:t xml:space="preserve"> internal review;</w:t>
      </w:r>
      <w:r w:rsidR="003E17E2">
        <w:rPr>
          <w:rFonts w:cs="Times New Roman"/>
          <w:iCs w:val="0"/>
          <w:sz w:val="22"/>
          <w:lang w:eastAsia="en-AU"/>
        </w:rPr>
        <w:t xml:space="preserve"> </w:t>
      </w:r>
      <w:r w:rsidRPr="003E17E2">
        <w:rPr>
          <w:rFonts w:cs="Times New Roman"/>
          <w:iCs w:val="0"/>
          <w:sz w:val="22"/>
          <w:lang w:eastAsia="en-AU"/>
        </w:rPr>
        <w:t>and</w:t>
      </w:r>
    </w:p>
    <w:p w:rsidR="00CB33A0" w:rsidRPr="00CB33A0" w:rsidRDefault="00CB33A0" w:rsidP="00CB33A0">
      <w:pPr>
        <w:pStyle w:val="StyleArial10ptItalic"/>
        <w:numPr>
          <w:ilvl w:val="0"/>
          <w:numId w:val="27"/>
        </w:numPr>
        <w:rPr>
          <w:rFonts w:cs="Times New Roman"/>
          <w:iCs w:val="0"/>
          <w:sz w:val="22"/>
          <w:lang w:eastAsia="en-AU"/>
        </w:rPr>
      </w:pPr>
      <w:r w:rsidRPr="00CB33A0">
        <w:rPr>
          <w:rFonts w:cs="Times New Roman"/>
          <w:iCs w:val="0"/>
          <w:sz w:val="22"/>
          <w:lang w:eastAsia="en-AU"/>
        </w:rPr>
        <w:t xml:space="preserve">the provision of a support person or legal </w:t>
      </w:r>
      <w:r w:rsidR="00F93D77">
        <w:rPr>
          <w:rFonts w:cs="Times New Roman"/>
          <w:iCs w:val="0"/>
          <w:sz w:val="22"/>
          <w:lang w:eastAsia="en-AU"/>
        </w:rPr>
        <w:t>services</w:t>
      </w:r>
      <w:r w:rsidRPr="00CB33A0">
        <w:rPr>
          <w:rFonts w:cs="Times New Roman"/>
          <w:iCs w:val="0"/>
          <w:sz w:val="22"/>
          <w:lang w:eastAsia="en-AU"/>
        </w:rPr>
        <w:t xml:space="preserve"> in jurisdictions beyond the AAT.</w:t>
      </w:r>
    </w:p>
    <w:p w:rsidR="00C3498A" w:rsidRPr="004B7E9E" w:rsidRDefault="00414DEA" w:rsidP="00D67D9B">
      <w:pPr>
        <w:pStyle w:val="Heading2"/>
        <w:numPr>
          <w:ilvl w:val="0"/>
          <w:numId w:val="0"/>
        </w:numPr>
      </w:pPr>
      <w:bookmarkStart w:id="38" w:name="_Toc269211093"/>
      <w:bookmarkStart w:id="39" w:name="_Toc363823068"/>
      <w:r>
        <w:t xml:space="preserve">2.8   </w:t>
      </w:r>
      <w:r w:rsidR="00C3498A" w:rsidRPr="004B7E9E">
        <w:t>Activity links and working with other agencies and services</w:t>
      </w:r>
      <w:bookmarkEnd w:id="38"/>
      <w:bookmarkEnd w:id="39"/>
    </w:p>
    <w:p w:rsidR="009678BE" w:rsidRDefault="009678BE" w:rsidP="009678BE">
      <w:pPr>
        <w:pStyle w:val="BodyText0"/>
        <w:rPr>
          <w:lang w:eastAsia="en-AU"/>
        </w:rPr>
      </w:pPr>
      <w:r>
        <w:rPr>
          <w:lang w:eastAsia="en-AU"/>
        </w:rPr>
        <w:t>The support persons and legal aid commissions i</w:t>
      </w:r>
      <w:r w:rsidRPr="00AF1457">
        <w:rPr>
          <w:lang w:eastAsia="en-AU"/>
        </w:rPr>
        <w:t xml:space="preserve">n each </w:t>
      </w:r>
      <w:r>
        <w:rPr>
          <w:lang w:eastAsia="en-AU"/>
        </w:rPr>
        <w:t>launch site wil</w:t>
      </w:r>
      <w:r w:rsidRPr="00AF1457">
        <w:rPr>
          <w:lang w:eastAsia="en-AU"/>
        </w:rPr>
        <w:t xml:space="preserve">l be required to </w:t>
      </w:r>
      <w:r>
        <w:rPr>
          <w:lang w:eastAsia="en-AU"/>
        </w:rPr>
        <w:t xml:space="preserve">work with each other, </w:t>
      </w:r>
      <w:r w:rsidRPr="00AF1457">
        <w:rPr>
          <w:lang w:eastAsia="en-AU"/>
        </w:rPr>
        <w:t xml:space="preserve">the </w:t>
      </w:r>
      <w:r>
        <w:rPr>
          <w:lang w:eastAsia="en-AU"/>
        </w:rPr>
        <w:t xml:space="preserve">AAT, </w:t>
      </w:r>
      <w:r w:rsidR="004F0A57">
        <w:rPr>
          <w:lang w:eastAsia="en-AU"/>
        </w:rPr>
        <w:t>FaHCSIA</w:t>
      </w:r>
      <w:r>
        <w:rPr>
          <w:lang w:eastAsia="en-AU"/>
        </w:rPr>
        <w:t xml:space="preserve">, the Attorney-General’s Department and </w:t>
      </w:r>
      <w:r w:rsidR="00F72EDA">
        <w:rPr>
          <w:lang w:eastAsia="en-AU"/>
        </w:rPr>
        <w:t>t</w:t>
      </w:r>
      <w:r w:rsidR="00ED262A">
        <w:rPr>
          <w:lang w:eastAsia="en-AU"/>
        </w:rPr>
        <w:t xml:space="preserve">he National Disability Insurance </w:t>
      </w:r>
      <w:r w:rsidR="00F72EDA">
        <w:rPr>
          <w:lang w:eastAsia="en-AU"/>
        </w:rPr>
        <w:t>Agency</w:t>
      </w:r>
      <w:r w:rsidRPr="00AF1457">
        <w:rPr>
          <w:lang w:eastAsia="en-AU"/>
        </w:rPr>
        <w:t>.</w:t>
      </w:r>
    </w:p>
    <w:p w:rsidR="00C3498A" w:rsidRPr="00760A79" w:rsidRDefault="009678BE" w:rsidP="009678BE">
      <w:pPr>
        <w:spacing w:before="120"/>
        <w:rPr>
          <w:rFonts w:cs="Arial"/>
          <w:sz w:val="20"/>
        </w:rPr>
      </w:pPr>
      <w:r>
        <w:rPr>
          <w:lang w:eastAsia="en-AU"/>
        </w:rPr>
        <w:t>The support persons and legal aid commissions may be asked to participate in a steering committee to provide direction on the implementation</w:t>
      </w:r>
      <w:r w:rsidR="000F4030">
        <w:rPr>
          <w:lang w:eastAsia="en-AU"/>
        </w:rPr>
        <w:t xml:space="preserve"> and evaluation </w:t>
      </w:r>
      <w:r>
        <w:rPr>
          <w:lang w:eastAsia="en-AU"/>
        </w:rPr>
        <w:t xml:space="preserve">of the </w:t>
      </w:r>
      <w:r w:rsidR="000F4030">
        <w:rPr>
          <w:lang w:eastAsia="en-AU"/>
        </w:rPr>
        <w:t xml:space="preserve">External </w:t>
      </w:r>
      <w:r w:rsidR="001C172E">
        <w:rPr>
          <w:lang w:eastAsia="en-AU"/>
        </w:rPr>
        <w:t>M</w:t>
      </w:r>
      <w:r w:rsidR="000F4030">
        <w:rPr>
          <w:lang w:eastAsia="en-AU"/>
        </w:rPr>
        <w:t>erits Review - S</w:t>
      </w:r>
      <w:r>
        <w:rPr>
          <w:lang w:eastAsia="en-AU"/>
        </w:rPr>
        <w:t xml:space="preserve">upport </w:t>
      </w:r>
      <w:r w:rsidR="000F4030">
        <w:rPr>
          <w:lang w:eastAsia="en-AU"/>
        </w:rPr>
        <w:t>C</w:t>
      </w:r>
      <w:r>
        <w:rPr>
          <w:lang w:eastAsia="en-AU"/>
        </w:rPr>
        <w:t>omponent.</w:t>
      </w:r>
      <w:r w:rsidR="00C3498A" w:rsidRPr="00760A79">
        <w:rPr>
          <w:rFonts w:cs="Arial"/>
          <w:sz w:val="20"/>
        </w:rPr>
        <w:t xml:space="preserve"> </w:t>
      </w:r>
    </w:p>
    <w:p w:rsidR="00C3498A" w:rsidRPr="004B7E9E" w:rsidRDefault="00414DEA" w:rsidP="00D67D9B">
      <w:pPr>
        <w:pStyle w:val="Heading2"/>
        <w:numPr>
          <w:ilvl w:val="0"/>
          <w:numId w:val="0"/>
        </w:numPr>
      </w:pPr>
      <w:bookmarkStart w:id="40" w:name="_Toc269211094"/>
      <w:bookmarkStart w:id="41" w:name="_Toc363823069"/>
      <w:r>
        <w:t xml:space="preserve">2.9   </w:t>
      </w:r>
      <w:r w:rsidR="00C3498A" w:rsidRPr="004B7E9E">
        <w:t xml:space="preserve">Specialist requirements </w:t>
      </w:r>
      <w:r w:rsidR="00C3498A" w:rsidRPr="004B7E9E">
        <w:rPr>
          <w:szCs w:val="24"/>
        </w:rPr>
        <w:t>(e.g. Legislative requirements)</w:t>
      </w:r>
      <w:bookmarkEnd w:id="40"/>
      <w:bookmarkEnd w:id="41"/>
    </w:p>
    <w:p w:rsidR="009678BE" w:rsidRPr="002B78DB" w:rsidRDefault="009678BE" w:rsidP="00D67D9B">
      <w:pPr>
        <w:pStyle w:val="BodyText0"/>
        <w:spacing w:after="0"/>
        <w:rPr>
          <w:lang w:eastAsia="en-AU"/>
        </w:rPr>
      </w:pPr>
      <w:r w:rsidRPr="00CC2BC1">
        <w:rPr>
          <w:lang w:eastAsia="en-AU"/>
        </w:rPr>
        <w:t xml:space="preserve">The policy and implementation of the </w:t>
      </w:r>
      <w:r w:rsidR="000F4030">
        <w:rPr>
          <w:lang w:eastAsia="en-AU"/>
        </w:rPr>
        <w:t xml:space="preserve">External Merits </w:t>
      </w:r>
      <w:r w:rsidR="0087793A">
        <w:rPr>
          <w:lang w:eastAsia="en-AU"/>
        </w:rPr>
        <w:t>R</w:t>
      </w:r>
      <w:r w:rsidR="000F4030">
        <w:rPr>
          <w:lang w:eastAsia="en-AU"/>
        </w:rPr>
        <w:t>eview - S</w:t>
      </w:r>
      <w:r>
        <w:rPr>
          <w:lang w:eastAsia="en-AU"/>
        </w:rPr>
        <w:t xml:space="preserve">upport </w:t>
      </w:r>
      <w:r w:rsidR="000F4030">
        <w:rPr>
          <w:lang w:eastAsia="en-AU"/>
        </w:rPr>
        <w:t>C</w:t>
      </w:r>
      <w:r>
        <w:rPr>
          <w:lang w:eastAsia="en-AU"/>
        </w:rPr>
        <w:t>omponent</w:t>
      </w:r>
      <w:r w:rsidRPr="00CC2BC1">
        <w:rPr>
          <w:lang w:eastAsia="en-AU"/>
        </w:rPr>
        <w:t xml:space="preserve"> is guided by the principles and objectives of key legislation, conventions, agreements and frameworks, including but not limited to:  the United Nations Convention on the Rights of Persons with Disabilities; the National Disability Strategy; the National Disability Agreement, the National Disability Advocacy Framework; </w:t>
      </w:r>
      <w:r w:rsidR="005A7226">
        <w:rPr>
          <w:lang w:eastAsia="en-AU"/>
        </w:rPr>
        <w:t>the</w:t>
      </w:r>
      <w:r w:rsidR="005A7226" w:rsidRPr="005A7226">
        <w:rPr>
          <w:i/>
        </w:rPr>
        <w:t xml:space="preserve"> </w:t>
      </w:r>
      <w:r w:rsidR="005A7226" w:rsidRPr="005A7226">
        <w:rPr>
          <w:i/>
          <w:lang w:eastAsia="en-AU"/>
        </w:rPr>
        <w:t>National Disability Insurance Scheme Act 2013</w:t>
      </w:r>
      <w:r w:rsidR="005A7226" w:rsidRPr="005A7226">
        <w:rPr>
          <w:lang w:eastAsia="en-AU"/>
        </w:rPr>
        <w:t xml:space="preserve"> </w:t>
      </w:r>
      <w:r w:rsidRPr="00CC2BC1">
        <w:rPr>
          <w:lang w:eastAsia="en-AU"/>
        </w:rPr>
        <w:t xml:space="preserve">and the </w:t>
      </w:r>
      <w:r>
        <w:rPr>
          <w:i/>
          <w:lang w:eastAsia="en-AU"/>
        </w:rPr>
        <w:t xml:space="preserve">Disability Services Act 1986 </w:t>
      </w:r>
      <w:r>
        <w:rPr>
          <w:lang w:eastAsia="en-AU"/>
        </w:rPr>
        <w:t>(the DSA).</w:t>
      </w:r>
    </w:p>
    <w:p w:rsidR="0009448C" w:rsidRDefault="0009448C" w:rsidP="00D67D9B">
      <w:pPr>
        <w:pStyle w:val="BodyText0"/>
        <w:spacing w:after="0"/>
        <w:rPr>
          <w:lang w:eastAsia="en-AU"/>
        </w:rPr>
      </w:pPr>
    </w:p>
    <w:p w:rsidR="00472D44" w:rsidRDefault="009678BE" w:rsidP="00472D44">
      <w:pPr>
        <w:pStyle w:val="BodyText0"/>
        <w:spacing w:after="0"/>
        <w:rPr>
          <w:lang w:eastAsia="en-AU"/>
        </w:rPr>
      </w:pPr>
      <w:r w:rsidRPr="00CC2BC1">
        <w:rPr>
          <w:lang w:eastAsia="en-AU"/>
        </w:rPr>
        <w:t xml:space="preserve">NDAP agencies receive funding under the </w:t>
      </w:r>
      <w:r w:rsidRPr="00486E4D">
        <w:rPr>
          <w:lang w:eastAsia="en-AU"/>
        </w:rPr>
        <w:t>DSA</w:t>
      </w:r>
      <w:r w:rsidRPr="00CC2BC1">
        <w:rPr>
          <w:lang w:eastAsia="en-AU"/>
        </w:rPr>
        <w:t xml:space="preserve">. The </w:t>
      </w:r>
      <w:r w:rsidRPr="00486E4D">
        <w:rPr>
          <w:lang w:eastAsia="en-AU"/>
        </w:rPr>
        <w:t>DSA</w:t>
      </w:r>
      <w:r w:rsidRPr="00CC2BC1">
        <w:rPr>
          <w:lang w:eastAsia="en-AU"/>
        </w:rPr>
        <w:t xml:space="preserve"> and its associated </w:t>
      </w:r>
      <w:r>
        <w:rPr>
          <w:lang w:eastAsia="en-AU"/>
        </w:rPr>
        <w:t>p</w:t>
      </w:r>
      <w:r w:rsidRPr="00CC2BC1">
        <w:rPr>
          <w:lang w:eastAsia="en-AU"/>
        </w:rPr>
        <w:t xml:space="preserve">rinciples and </w:t>
      </w:r>
      <w:r>
        <w:rPr>
          <w:lang w:eastAsia="en-AU"/>
        </w:rPr>
        <w:t>o</w:t>
      </w:r>
      <w:r w:rsidRPr="00CC2BC1">
        <w:rPr>
          <w:lang w:eastAsia="en-AU"/>
        </w:rPr>
        <w:t>bjectives have a focus on outcomes for people with disability. All disability advocacy agencies funded under the NDAP must comply with the DSA</w:t>
      </w:r>
      <w:r w:rsidRPr="00714A34">
        <w:rPr>
          <w:lang w:eastAsia="en-AU"/>
        </w:rPr>
        <w:t>, including the Disability Advocacy Standards.</w:t>
      </w:r>
    </w:p>
    <w:p w:rsidR="0009448C" w:rsidRDefault="00472D44" w:rsidP="00472D44">
      <w:pPr>
        <w:pStyle w:val="BodyText0"/>
        <w:spacing w:after="0"/>
        <w:rPr>
          <w:iCs/>
          <w:lang w:eastAsia="en-AU"/>
        </w:rPr>
      </w:pPr>
      <w:r>
        <w:rPr>
          <w:iCs/>
          <w:lang w:eastAsia="en-AU"/>
        </w:rPr>
        <w:t xml:space="preserve"> </w:t>
      </w:r>
    </w:p>
    <w:p w:rsidR="00C3498A" w:rsidRPr="00CB33A0" w:rsidRDefault="009678BE" w:rsidP="009678BE">
      <w:pPr>
        <w:pStyle w:val="StyleArial10ptItalic"/>
        <w:rPr>
          <w:rFonts w:cs="Times New Roman"/>
          <w:iCs w:val="0"/>
          <w:sz w:val="22"/>
          <w:lang w:eastAsia="en-AU"/>
        </w:rPr>
      </w:pPr>
      <w:r w:rsidRPr="00CB33A0">
        <w:rPr>
          <w:rFonts w:cs="Times New Roman"/>
          <w:iCs w:val="0"/>
          <w:sz w:val="22"/>
          <w:lang w:eastAsia="en-AU"/>
        </w:rPr>
        <w:t>The legal aid commissions must comply with all relevant legislation, standards and guidelines.</w:t>
      </w:r>
    </w:p>
    <w:p w:rsidR="00C3498A" w:rsidRPr="004B7E9E" w:rsidRDefault="00414DEA" w:rsidP="00D67D9B">
      <w:pPr>
        <w:pStyle w:val="Heading2"/>
        <w:numPr>
          <w:ilvl w:val="0"/>
          <w:numId w:val="0"/>
        </w:numPr>
      </w:pPr>
      <w:bookmarkStart w:id="42" w:name="_Toc363823070"/>
      <w:r>
        <w:t xml:space="preserve">2.10  </w:t>
      </w:r>
      <w:bookmarkStart w:id="43" w:name="_Toc269211095"/>
      <w:r w:rsidR="00C3498A" w:rsidRPr="004B7E9E">
        <w:t>Information technology</w:t>
      </w:r>
      <w:bookmarkEnd w:id="42"/>
      <w:bookmarkEnd w:id="43"/>
    </w:p>
    <w:p w:rsidR="0028148F" w:rsidRPr="00CB33A0" w:rsidRDefault="009678BE" w:rsidP="0028148F">
      <w:pPr>
        <w:pStyle w:val="StyleArial10ptItalic"/>
        <w:rPr>
          <w:rFonts w:cs="Times New Roman"/>
          <w:iCs w:val="0"/>
          <w:sz w:val="22"/>
          <w:lang w:eastAsia="en-AU"/>
        </w:rPr>
      </w:pPr>
      <w:r w:rsidRPr="00CB33A0">
        <w:rPr>
          <w:rFonts w:cs="Times New Roman"/>
          <w:iCs w:val="0"/>
          <w:sz w:val="22"/>
          <w:lang w:eastAsia="en-AU"/>
        </w:rPr>
        <w:t>Funding recipients are expected to ensure they have suitable information technology systems in place to allow them to meet their data collection and reporting obligations</w:t>
      </w:r>
      <w:r w:rsidR="001C172E">
        <w:rPr>
          <w:rFonts w:cs="Times New Roman"/>
          <w:iCs w:val="0"/>
          <w:sz w:val="22"/>
          <w:lang w:eastAsia="en-AU"/>
        </w:rPr>
        <w:t>.</w:t>
      </w:r>
      <w:r w:rsidRPr="00CB33A0">
        <w:rPr>
          <w:rFonts w:cs="Times New Roman"/>
          <w:iCs w:val="0"/>
          <w:sz w:val="22"/>
          <w:lang w:eastAsia="en-AU"/>
        </w:rPr>
        <w:t xml:space="preserve"> </w:t>
      </w:r>
      <w:bookmarkStart w:id="44" w:name="_Toc269211096"/>
      <w:bookmarkStart w:id="45" w:name="_Toc82839226"/>
      <w:bookmarkEnd w:id="12"/>
      <w:bookmarkEnd w:id="13"/>
      <w:bookmarkEnd w:id="14"/>
    </w:p>
    <w:p w:rsidR="0028148F" w:rsidRPr="0028148F" w:rsidRDefault="00414DEA" w:rsidP="00D67D9B">
      <w:pPr>
        <w:pStyle w:val="Heading2"/>
        <w:numPr>
          <w:ilvl w:val="0"/>
          <w:numId w:val="0"/>
        </w:numPr>
      </w:pPr>
      <w:bookmarkStart w:id="46" w:name="_Toc363823071"/>
      <w:r>
        <w:lastRenderedPageBreak/>
        <w:t>2.11  Activity</w:t>
      </w:r>
      <w:r w:rsidR="0028148F" w:rsidRPr="0028148F">
        <w:t xml:space="preserve"> performance and reporting</w:t>
      </w:r>
      <w:bookmarkEnd w:id="46"/>
    </w:p>
    <w:p w:rsidR="009678BE" w:rsidRPr="00CB33A0" w:rsidRDefault="004F0A57" w:rsidP="0028148F">
      <w:pPr>
        <w:pStyle w:val="StyleArial10ptItalic"/>
        <w:rPr>
          <w:rFonts w:cs="Times New Roman"/>
          <w:iCs w:val="0"/>
          <w:sz w:val="22"/>
          <w:lang w:eastAsia="en-AU"/>
        </w:rPr>
      </w:pPr>
      <w:r>
        <w:rPr>
          <w:rFonts w:cs="Times New Roman"/>
          <w:iCs w:val="0"/>
          <w:sz w:val="22"/>
          <w:lang w:eastAsia="en-AU"/>
        </w:rPr>
        <w:t>FaHCSIA</w:t>
      </w:r>
      <w:r w:rsidR="009678BE" w:rsidRPr="00CB33A0">
        <w:rPr>
          <w:rFonts w:cs="Times New Roman"/>
          <w:iCs w:val="0"/>
          <w:sz w:val="22"/>
          <w:lang w:eastAsia="en-AU"/>
        </w:rPr>
        <w:t xml:space="preserve"> Standard Performance Framework requires that all Standard Funding Agreement Schedules include a set of performance indicators which can be used to measure and report on the performance of the funded activities.</w:t>
      </w:r>
    </w:p>
    <w:p w:rsidR="00CB33A0" w:rsidRDefault="00CB33A0" w:rsidP="0028148F">
      <w:pPr>
        <w:pStyle w:val="StyleArial10ptItalic"/>
        <w:rPr>
          <w:rFonts w:cs="Times New Roman"/>
          <w:iCs w:val="0"/>
          <w:sz w:val="22"/>
          <w:lang w:eastAsia="en-AU"/>
        </w:rPr>
      </w:pPr>
    </w:p>
    <w:p w:rsidR="00580B4E" w:rsidRPr="00580B4E" w:rsidRDefault="004F0A57" w:rsidP="00580B4E">
      <w:pPr>
        <w:pStyle w:val="StyleArial10ptItalic"/>
        <w:rPr>
          <w:rFonts w:cs="Times New Roman"/>
          <w:iCs w:val="0"/>
          <w:sz w:val="22"/>
          <w:lang w:eastAsia="en-AU"/>
        </w:rPr>
      </w:pPr>
      <w:r>
        <w:rPr>
          <w:rFonts w:cs="Times New Roman"/>
          <w:iCs w:val="0"/>
          <w:sz w:val="22"/>
          <w:lang w:eastAsia="en-AU"/>
        </w:rPr>
        <w:t>FaHCSIA</w:t>
      </w:r>
      <w:r w:rsidR="00CB33A0" w:rsidRPr="00CB33A0">
        <w:rPr>
          <w:rFonts w:cs="Times New Roman"/>
          <w:iCs w:val="0"/>
          <w:sz w:val="22"/>
          <w:lang w:eastAsia="en-AU"/>
        </w:rPr>
        <w:t xml:space="preserve"> will monitor the outcomes and service provider performance. Reporting is based on achieving the</w:t>
      </w:r>
      <w:r w:rsidR="00795560">
        <w:rPr>
          <w:rFonts w:cs="Times New Roman"/>
          <w:iCs w:val="0"/>
          <w:sz w:val="22"/>
          <w:lang w:eastAsia="en-AU"/>
        </w:rPr>
        <w:t xml:space="preserve"> </w:t>
      </w:r>
      <w:r w:rsidR="005A7226">
        <w:rPr>
          <w:rFonts w:cs="Times New Roman"/>
          <w:iCs w:val="0"/>
          <w:sz w:val="22"/>
          <w:lang w:eastAsia="en-AU"/>
        </w:rPr>
        <w:t>activity</w:t>
      </w:r>
      <w:r w:rsidR="00CB33A0" w:rsidRPr="00CB33A0">
        <w:rPr>
          <w:rFonts w:cs="Times New Roman"/>
          <w:iCs w:val="0"/>
          <w:sz w:val="22"/>
          <w:lang w:eastAsia="en-AU"/>
        </w:rPr>
        <w:t xml:space="preserve"> outcomes</w:t>
      </w:r>
      <w:r w:rsidR="005A7226">
        <w:rPr>
          <w:rFonts w:cs="Times New Roman"/>
          <w:iCs w:val="0"/>
          <w:sz w:val="22"/>
          <w:lang w:eastAsia="en-AU"/>
        </w:rPr>
        <w:t>.</w:t>
      </w:r>
      <w:r w:rsidR="00CB33A0" w:rsidRPr="00CB33A0">
        <w:rPr>
          <w:rFonts w:cs="Times New Roman"/>
          <w:iCs w:val="0"/>
          <w:sz w:val="22"/>
          <w:lang w:eastAsia="en-AU"/>
        </w:rPr>
        <w:t xml:space="preserve"> Data will be collected directly from </w:t>
      </w:r>
      <w:r w:rsidR="0087793A">
        <w:rPr>
          <w:rFonts w:cs="Times New Roman"/>
          <w:iCs w:val="0"/>
          <w:sz w:val="22"/>
          <w:lang w:eastAsia="en-AU"/>
        </w:rPr>
        <w:t xml:space="preserve">service </w:t>
      </w:r>
      <w:r w:rsidR="00CB33A0" w:rsidRPr="00CB33A0">
        <w:rPr>
          <w:rFonts w:cs="Times New Roman"/>
          <w:iCs w:val="0"/>
          <w:sz w:val="22"/>
          <w:lang w:eastAsia="en-AU"/>
        </w:rPr>
        <w:t>providers and through external evaluation processes, from people with disability</w:t>
      </w:r>
      <w:r w:rsidR="005A7226">
        <w:rPr>
          <w:rFonts w:cs="Times New Roman"/>
          <w:iCs w:val="0"/>
          <w:sz w:val="22"/>
          <w:lang w:eastAsia="en-AU"/>
        </w:rPr>
        <w:t xml:space="preserve"> and other affected persons</w:t>
      </w:r>
      <w:r w:rsidR="00CB33A0" w:rsidRPr="00CB33A0">
        <w:rPr>
          <w:rFonts w:cs="Times New Roman"/>
          <w:iCs w:val="0"/>
          <w:sz w:val="22"/>
          <w:lang w:eastAsia="en-AU"/>
        </w:rPr>
        <w:t xml:space="preserve">. </w:t>
      </w:r>
      <w:r w:rsidR="00580B4E">
        <w:rPr>
          <w:rFonts w:cs="Times New Roman"/>
          <w:iCs w:val="0"/>
          <w:sz w:val="22"/>
          <w:lang w:eastAsia="en-AU"/>
        </w:rPr>
        <w:t>As t</w:t>
      </w:r>
      <w:r w:rsidR="00580B4E" w:rsidRPr="00580B4E">
        <w:rPr>
          <w:rFonts w:cs="Times New Roman"/>
          <w:iCs w:val="0"/>
          <w:sz w:val="22"/>
          <w:lang w:eastAsia="en-AU"/>
        </w:rPr>
        <w:t xml:space="preserve">he External </w:t>
      </w:r>
      <w:r w:rsidR="00580B4E">
        <w:rPr>
          <w:rFonts w:cs="Times New Roman"/>
          <w:iCs w:val="0"/>
          <w:sz w:val="22"/>
          <w:lang w:eastAsia="en-AU"/>
        </w:rPr>
        <w:t>M</w:t>
      </w:r>
      <w:r w:rsidR="00580B4E" w:rsidRPr="00580B4E">
        <w:rPr>
          <w:rFonts w:cs="Times New Roman"/>
          <w:iCs w:val="0"/>
          <w:sz w:val="22"/>
          <w:lang w:eastAsia="en-AU"/>
        </w:rPr>
        <w:t>erits Review - Support Component will be evaluated in 2015</w:t>
      </w:r>
      <w:r w:rsidR="00580B4E">
        <w:rPr>
          <w:rFonts w:cs="Times New Roman"/>
          <w:iCs w:val="0"/>
          <w:sz w:val="22"/>
          <w:lang w:eastAsia="en-AU"/>
        </w:rPr>
        <w:t>, t</w:t>
      </w:r>
      <w:r w:rsidR="00580B4E" w:rsidRPr="00580B4E">
        <w:rPr>
          <w:rFonts w:cs="Times New Roman"/>
          <w:iCs w:val="0"/>
          <w:sz w:val="22"/>
          <w:lang w:eastAsia="en-AU"/>
        </w:rPr>
        <w:t xml:space="preserve">here have been a number of data collection questions devised to test the process and design and the outcomes – through objective and experiential measures. </w:t>
      </w:r>
    </w:p>
    <w:p w:rsidR="00CB33A0" w:rsidRPr="00CB33A0" w:rsidRDefault="00CB33A0" w:rsidP="00CB33A0">
      <w:pPr>
        <w:pStyle w:val="StyleArial10ptItalic"/>
        <w:rPr>
          <w:rFonts w:cs="Times New Roman"/>
          <w:iCs w:val="0"/>
          <w:sz w:val="22"/>
          <w:lang w:eastAsia="en-AU"/>
        </w:rPr>
      </w:pPr>
    </w:p>
    <w:p w:rsidR="00CB33A0" w:rsidRPr="00CB33A0" w:rsidRDefault="00CB33A0" w:rsidP="00CB33A0">
      <w:pPr>
        <w:pStyle w:val="StyleArial10ptItalic"/>
        <w:rPr>
          <w:rFonts w:cs="Times New Roman"/>
          <w:iCs w:val="0"/>
          <w:sz w:val="22"/>
          <w:lang w:eastAsia="en-AU"/>
        </w:rPr>
      </w:pPr>
      <w:r w:rsidRPr="00CB33A0">
        <w:rPr>
          <w:rFonts w:cs="Times New Roman"/>
          <w:iCs w:val="0"/>
          <w:sz w:val="22"/>
          <w:lang w:eastAsia="en-AU"/>
        </w:rPr>
        <w:t>Performance indicators will focus on the following questions:</w:t>
      </w:r>
    </w:p>
    <w:p w:rsidR="00CB33A0" w:rsidRDefault="00CB33A0" w:rsidP="00CB33A0">
      <w:pPr>
        <w:pStyle w:val="StyleArial10ptItalic"/>
        <w:rPr>
          <w:rFonts w:cs="Times New Roman"/>
          <w:iCs w:val="0"/>
          <w:sz w:val="22"/>
          <w:lang w:eastAsia="en-AU"/>
        </w:rPr>
      </w:pPr>
    </w:p>
    <w:p w:rsidR="00CB33A0" w:rsidRDefault="003E17E2" w:rsidP="00CB33A0">
      <w:pPr>
        <w:pStyle w:val="StyleArial10ptItalic"/>
        <w:rPr>
          <w:rFonts w:cs="Times New Roman"/>
          <w:iCs w:val="0"/>
          <w:sz w:val="22"/>
          <w:lang w:eastAsia="en-AU"/>
        </w:rPr>
      </w:pPr>
      <w:r>
        <w:rPr>
          <w:rFonts w:cs="Times New Roman"/>
          <w:iCs w:val="0"/>
          <w:sz w:val="22"/>
          <w:lang w:eastAsia="en-AU"/>
        </w:rPr>
        <w:t>1</w:t>
      </w:r>
      <w:r w:rsidR="00CB33A0" w:rsidRPr="00CB33A0">
        <w:rPr>
          <w:rFonts w:cs="Times New Roman"/>
          <w:iCs w:val="0"/>
          <w:sz w:val="22"/>
          <w:lang w:eastAsia="en-AU"/>
        </w:rPr>
        <w:t>.</w:t>
      </w:r>
      <w:r w:rsidR="0009448C">
        <w:rPr>
          <w:rFonts w:cs="Times New Roman"/>
          <w:iCs w:val="0"/>
          <w:sz w:val="22"/>
          <w:lang w:eastAsia="en-AU"/>
        </w:rPr>
        <w:t xml:space="preserve"> </w:t>
      </w:r>
      <w:r w:rsidR="00CB33A0" w:rsidRPr="00CB33A0">
        <w:rPr>
          <w:rFonts w:cs="Times New Roman"/>
          <w:iCs w:val="0"/>
          <w:sz w:val="22"/>
          <w:lang w:eastAsia="en-AU"/>
        </w:rPr>
        <w:t xml:space="preserve">Did it make a difference (outcomes) – e.g. </w:t>
      </w:r>
      <w:r>
        <w:rPr>
          <w:rFonts w:cs="Times New Roman"/>
          <w:iCs w:val="0"/>
          <w:sz w:val="22"/>
          <w:lang w:eastAsia="en-AU"/>
        </w:rPr>
        <w:t>p</w:t>
      </w:r>
      <w:r w:rsidRPr="003E17E2">
        <w:rPr>
          <w:rFonts w:cs="Times New Roman"/>
          <w:iCs w:val="0"/>
          <w:sz w:val="22"/>
          <w:lang w:eastAsia="en-AU"/>
        </w:rPr>
        <w:t>ercentage and number of applicants reporting that the</w:t>
      </w:r>
      <w:r w:rsidR="005A7226">
        <w:rPr>
          <w:rFonts w:cs="Times New Roman"/>
          <w:iCs w:val="0"/>
          <w:sz w:val="22"/>
          <w:lang w:eastAsia="en-AU"/>
        </w:rPr>
        <w:t>y were satisfied with the</w:t>
      </w:r>
      <w:r w:rsidRPr="003E17E2">
        <w:rPr>
          <w:rFonts w:cs="Times New Roman"/>
          <w:iCs w:val="0"/>
          <w:sz w:val="22"/>
          <w:lang w:eastAsia="en-AU"/>
        </w:rPr>
        <w:t xml:space="preserve"> support</w:t>
      </w:r>
      <w:r w:rsidR="005A7226">
        <w:rPr>
          <w:rFonts w:cs="Times New Roman"/>
          <w:iCs w:val="0"/>
          <w:sz w:val="22"/>
          <w:lang w:eastAsia="en-AU"/>
        </w:rPr>
        <w:t xml:space="preserve"> and services</w:t>
      </w:r>
      <w:r w:rsidRPr="003E17E2">
        <w:rPr>
          <w:rFonts w:cs="Times New Roman"/>
          <w:iCs w:val="0"/>
          <w:sz w:val="22"/>
          <w:lang w:eastAsia="en-AU"/>
        </w:rPr>
        <w:t xml:space="preserve"> received</w:t>
      </w:r>
      <w:r w:rsidR="005A7226">
        <w:rPr>
          <w:rFonts w:cs="Times New Roman"/>
          <w:iCs w:val="0"/>
          <w:sz w:val="22"/>
          <w:lang w:eastAsia="en-AU"/>
        </w:rPr>
        <w:t>;</w:t>
      </w:r>
      <w:r w:rsidR="00CB33A0" w:rsidRPr="00CB33A0">
        <w:rPr>
          <w:rFonts w:cs="Times New Roman"/>
          <w:iCs w:val="0"/>
          <w:sz w:val="22"/>
          <w:lang w:eastAsia="en-AU"/>
        </w:rPr>
        <w:t xml:space="preserve"> </w:t>
      </w:r>
    </w:p>
    <w:p w:rsidR="00AC5C39" w:rsidRPr="00CB33A0" w:rsidRDefault="00AC5C39" w:rsidP="00CB33A0">
      <w:pPr>
        <w:pStyle w:val="StyleArial10ptItalic"/>
        <w:rPr>
          <w:rFonts w:cs="Times New Roman"/>
          <w:iCs w:val="0"/>
          <w:sz w:val="22"/>
          <w:lang w:eastAsia="en-AU"/>
        </w:rPr>
      </w:pPr>
    </w:p>
    <w:p w:rsidR="003E17E2" w:rsidRDefault="00CB33A0" w:rsidP="00CB33A0">
      <w:pPr>
        <w:pStyle w:val="StyleArial10ptItalic"/>
        <w:rPr>
          <w:rFonts w:cs="Times New Roman"/>
          <w:sz w:val="22"/>
          <w:lang w:eastAsia="en-AU"/>
        </w:rPr>
      </w:pPr>
      <w:r w:rsidRPr="00CB33A0">
        <w:rPr>
          <w:rFonts w:cs="Times New Roman"/>
          <w:iCs w:val="0"/>
          <w:sz w:val="22"/>
          <w:lang w:eastAsia="en-AU"/>
        </w:rPr>
        <w:t>2.</w:t>
      </w:r>
      <w:r w:rsidR="0009448C">
        <w:rPr>
          <w:rFonts w:cs="Times New Roman"/>
          <w:iCs w:val="0"/>
          <w:sz w:val="22"/>
          <w:lang w:eastAsia="en-AU"/>
        </w:rPr>
        <w:t xml:space="preserve"> </w:t>
      </w:r>
      <w:r w:rsidRPr="00CB33A0">
        <w:rPr>
          <w:rFonts w:cs="Times New Roman"/>
          <w:iCs w:val="0"/>
          <w:sz w:val="22"/>
          <w:lang w:eastAsia="en-AU"/>
        </w:rPr>
        <w:t xml:space="preserve">How well is it being done (quality) – e.g. </w:t>
      </w:r>
      <w:r w:rsidR="003E17E2">
        <w:rPr>
          <w:rFonts w:cs="Times New Roman"/>
          <w:iCs w:val="0"/>
          <w:sz w:val="22"/>
          <w:lang w:eastAsia="en-AU"/>
        </w:rPr>
        <w:t>p</w:t>
      </w:r>
      <w:r w:rsidR="003E17E2" w:rsidRPr="003E17E2">
        <w:rPr>
          <w:rFonts w:cs="Times New Roman"/>
          <w:iCs w:val="0"/>
          <w:sz w:val="22"/>
          <w:lang w:eastAsia="en-AU"/>
        </w:rPr>
        <w:t>ercentage and number of individuals from Indigenous and culturally and linguistically diverse backgrounds</w:t>
      </w:r>
      <w:r w:rsidR="003E17E2">
        <w:rPr>
          <w:rFonts w:cs="Times New Roman"/>
          <w:iCs w:val="0"/>
          <w:sz w:val="22"/>
          <w:lang w:eastAsia="en-AU"/>
        </w:rPr>
        <w:t>;</w:t>
      </w:r>
      <w:r w:rsidR="003E17E2" w:rsidRPr="003E17E2">
        <w:rPr>
          <w:rFonts w:cs="Times New Roman"/>
          <w:sz w:val="22"/>
          <w:lang w:eastAsia="en-AU"/>
        </w:rPr>
        <w:t xml:space="preserve"> </w:t>
      </w:r>
    </w:p>
    <w:p w:rsidR="00AC5C39" w:rsidRDefault="00AC5C39" w:rsidP="00CB33A0">
      <w:pPr>
        <w:pStyle w:val="StyleArial10ptItalic"/>
        <w:rPr>
          <w:rFonts w:cs="Times New Roman"/>
          <w:sz w:val="22"/>
          <w:lang w:eastAsia="en-AU"/>
        </w:rPr>
      </w:pPr>
    </w:p>
    <w:p w:rsidR="00CB33A0" w:rsidRPr="00CB33A0" w:rsidRDefault="00CB33A0" w:rsidP="00CB33A0">
      <w:pPr>
        <w:pStyle w:val="StyleArial10ptItalic"/>
        <w:rPr>
          <w:rFonts w:cs="Times New Roman"/>
          <w:iCs w:val="0"/>
          <w:sz w:val="22"/>
          <w:lang w:eastAsia="en-AU"/>
        </w:rPr>
      </w:pPr>
      <w:r w:rsidRPr="00CB33A0">
        <w:rPr>
          <w:rFonts w:cs="Times New Roman"/>
          <w:iCs w:val="0"/>
          <w:sz w:val="22"/>
          <w:lang w:eastAsia="en-AU"/>
        </w:rPr>
        <w:t>3.</w:t>
      </w:r>
      <w:r w:rsidR="0009448C">
        <w:rPr>
          <w:rFonts w:cs="Times New Roman"/>
          <w:iCs w:val="0"/>
          <w:sz w:val="22"/>
          <w:lang w:eastAsia="en-AU"/>
        </w:rPr>
        <w:t xml:space="preserve"> </w:t>
      </w:r>
      <w:r w:rsidRPr="00CB33A0">
        <w:rPr>
          <w:rFonts w:cs="Times New Roman"/>
          <w:iCs w:val="0"/>
          <w:sz w:val="22"/>
          <w:lang w:eastAsia="en-AU"/>
        </w:rPr>
        <w:t xml:space="preserve">How much is being done (deliverables/outputs) – e.g. number of </w:t>
      </w:r>
      <w:r w:rsidR="003E17E2">
        <w:rPr>
          <w:rFonts w:cs="Times New Roman"/>
          <w:iCs w:val="0"/>
          <w:sz w:val="22"/>
          <w:lang w:eastAsia="en-AU"/>
        </w:rPr>
        <w:t xml:space="preserve">individuals </w:t>
      </w:r>
      <w:r w:rsidRPr="00CB33A0">
        <w:rPr>
          <w:rFonts w:cs="Times New Roman"/>
          <w:iCs w:val="0"/>
          <w:sz w:val="22"/>
          <w:lang w:eastAsia="en-AU"/>
        </w:rPr>
        <w:t xml:space="preserve">assisted with a support person or legal assistance. </w:t>
      </w:r>
    </w:p>
    <w:p w:rsidR="00CB33A0" w:rsidRDefault="00CB33A0" w:rsidP="00CB33A0">
      <w:pPr>
        <w:pStyle w:val="StyleArial10ptItalic"/>
        <w:rPr>
          <w:rFonts w:cs="Times New Roman"/>
          <w:iCs w:val="0"/>
          <w:sz w:val="22"/>
          <w:lang w:eastAsia="en-AU"/>
        </w:rPr>
      </w:pPr>
    </w:p>
    <w:p w:rsidR="0024775A" w:rsidRDefault="00CB33A0" w:rsidP="00AC5C39">
      <w:pPr>
        <w:pStyle w:val="StyleArial10ptItalic"/>
        <w:rPr>
          <w:rFonts w:cs="Times New Roman"/>
          <w:iCs w:val="0"/>
          <w:sz w:val="22"/>
          <w:lang w:eastAsia="en-AU"/>
        </w:rPr>
      </w:pPr>
      <w:r w:rsidRPr="00CB33A0">
        <w:rPr>
          <w:rFonts w:cs="Times New Roman"/>
          <w:iCs w:val="0"/>
          <w:sz w:val="22"/>
          <w:lang w:eastAsia="en-AU"/>
        </w:rPr>
        <w:t xml:space="preserve">Service providers are required to submit to </w:t>
      </w:r>
      <w:r w:rsidR="004F0A57">
        <w:rPr>
          <w:rFonts w:cs="Times New Roman"/>
          <w:iCs w:val="0"/>
          <w:sz w:val="22"/>
          <w:lang w:eastAsia="en-AU"/>
        </w:rPr>
        <w:t>FaHCSIA</w:t>
      </w:r>
      <w:r w:rsidRPr="00CB33A0">
        <w:rPr>
          <w:rFonts w:cs="Times New Roman"/>
          <w:iCs w:val="0"/>
          <w:sz w:val="22"/>
          <w:lang w:eastAsia="en-AU"/>
        </w:rPr>
        <w:t xml:space="preserve"> a range of reports as part of government reporting and accountability requirements. </w:t>
      </w:r>
      <w:r w:rsidR="00ED0DFA">
        <w:rPr>
          <w:rFonts w:cs="Times New Roman"/>
          <w:iCs w:val="0"/>
          <w:sz w:val="22"/>
          <w:lang w:eastAsia="en-AU"/>
        </w:rPr>
        <w:t xml:space="preserve">In applying the </w:t>
      </w:r>
      <w:r w:rsidR="00ED0DFA" w:rsidRPr="00ED0DFA">
        <w:rPr>
          <w:rFonts w:cs="Times New Roman"/>
          <w:iCs w:val="0"/>
          <w:sz w:val="22"/>
          <w:lang w:eastAsia="en-AU"/>
        </w:rPr>
        <w:t xml:space="preserve">proportionality principle </w:t>
      </w:r>
      <w:r w:rsidR="00ED0DFA">
        <w:rPr>
          <w:rFonts w:cs="Times New Roman"/>
          <w:iCs w:val="0"/>
          <w:sz w:val="22"/>
          <w:lang w:eastAsia="en-AU"/>
        </w:rPr>
        <w:t>in</w:t>
      </w:r>
      <w:r w:rsidR="00ED0DFA" w:rsidRPr="00ED0DFA">
        <w:rPr>
          <w:rFonts w:cs="Times New Roman"/>
          <w:iCs w:val="0"/>
          <w:sz w:val="22"/>
          <w:lang w:eastAsia="en-AU"/>
        </w:rPr>
        <w:t xml:space="preserve"> determining the reporting and acquittal requirements for </w:t>
      </w:r>
      <w:r w:rsidR="00ED0DFA">
        <w:rPr>
          <w:rFonts w:cs="Times New Roman"/>
          <w:iCs w:val="0"/>
          <w:sz w:val="22"/>
          <w:lang w:eastAsia="en-AU"/>
        </w:rPr>
        <w:t xml:space="preserve">this </w:t>
      </w:r>
      <w:r w:rsidR="00230A3A">
        <w:rPr>
          <w:rFonts w:cs="Times New Roman"/>
          <w:iCs w:val="0"/>
          <w:sz w:val="22"/>
          <w:lang w:eastAsia="en-AU"/>
        </w:rPr>
        <w:t>activity</w:t>
      </w:r>
      <w:r w:rsidR="00ED0DFA">
        <w:rPr>
          <w:rFonts w:cs="Times New Roman"/>
          <w:iCs w:val="0"/>
          <w:sz w:val="22"/>
          <w:lang w:eastAsia="en-AU"/>
        </w:rPr>
        <w:t xml:space="preserve">, consideration has been given to the current arrangements in place for the service providers (through existing agreements) recognising </w:t>
      </w:r>
      <w:r w:rsidR="005A7226">
        <w:rPr>
          <w:rFonts w:cs="Times New Roman"/>
          <w:iCs w:val="0"/>
          <w:sz w:val="22"/>
          <w:lang w:eastAsia="en-AU"/>
        </w:rPr>
        <w:t>a</w:t>
      </w:r>
      <w:r w:rsidR="00ED0DFA">
        <w:rPr>
          <w:rFonts w:cs="Times New Roman"/>
          <w:iCs w:val="0"/>
          <w:sz w:val="22"/>
          <w:lang w:eastAsia="en-AU"/>
        </w:rPr>
        <w:t xml:space="preserve"> </w:t>
      </w:r>
      <w:r w:rsidR="00ED0DFA" w:rsidRPr="00ED0DFA">
        <w:rPr>
          <w:rFonts w:cs="Times New Roman"/>
          <w:iCs w:val="0"/>
          <w:sz w:val="22"/>
          <w:lang w:eastAsia="en-AU"/>
        </w:rPr>
        <w:t>consistent record of high performance and reliability</w:t>
      </w:r>
      <w:r w:rsidR="00ED0DFA" w:rsidRPr="00ED0DFA">
        <w:rPr>
          <w:rFonts w:cs="Times New Roman"/>
          <w:sz w:val="22"/>
          <w:lang w:eastAsia="en-AU"/>
        </w:rPr>
        <w:t xml:space="preserve"> </w:t>
      </w:r>
      <w:r w:rsidR="00ED0DFA">
        <w:rPr>
          <w:rFonts w:cs="Times New Roman"/>
          <w:iCs w:val="0"/>
          <w:sz w:val="22"/>
          <w:lang w:eastAsia="en-AU"/>
        </w:rPr>
        <w:t xml:space="preserve">and the </w:t>
      </w:r>
      <w:r w:rsidR="00ED0DFA" w:rsidRPr="00ED0DFA">
        <w:rPr>
          <w:rFonts w:cs="Times New Roman"/>
          <w:iCs w:val="0"/>
          <w:sz w:val="22"/>
          <w:lang w:eastAsia="en-AU"/>
        </w:rPr>
        <w:t>policy outcomes being sought</w:t>
      </w:r>
      <w:r w:rsidR="00ED0DFA">
        <w:rPr>
          <w:rFonts w:cs="Times New Roman"/>
          <w:iCs w:val="0"/>
          <w:sz w:val="22"/>
          <w:lang w:eastAsia="en-AU"/>
        </w:rPr>
        <w:t>.</w:t>
      </w:r>
      <w:r w:rsidR="00ED0DFA" w:rsidRPr="00ED0DFA">
        <w:rPr>
          <w:rFonts w:cs="Times New Roman"/>
          <w:iCs w:val="0"/>
          <w:sz w:val="22"/>
          <w:lang w:eastAsia="en-AU"/>
        </w:rPr>
        <w:t xml:space="preserve"> </w:t>
      </w:r>
      <w:r w:rsidR="0024775A">
        <w:rPr>
          <w:rFonts w:cs="Times New Roman"/>
          <w:iCs w:val="0"/>
          <w:sz w:val="22"/>
          <w:lang w:eastAsia="en-AU"/>
        </w:rPr>
        <w:t>The</w:t>
      </w:r>
      <w:r w:rsidR="00ED0DFA">
        <w:rPr>
          <w:rFonts w:cs="Times New Roman"/>
          <w:iCs w:val="0"/>
          <w:sz w:val="22"/>
          <w:lang w:eastAsia="en-AU"/>
        </w:rPr>
        <w:t xml:space="preserve"> reporting requirements</w:t>
      </w:r>
      <w:r w:rsidR="00230A3A" w:rsidRPr="00230A3A">
        <w:rPr>
          <w:rFonts w:ascii="Times New Roman" w:hAnsi="Times New Roman" w:cs="Times New Roman"/>
          <w:iCs w:val="0"/>
          <w:sz w:val="24"/>
          <w:szCs w:val="24"/>
        </w:rPr>
        <w:t xml:space="preserve"> </w:t>
      </w:r>
      <w:r w:rsidR="00230A3A" w:rsidRPr="00230A3A">
        <w:rPr>
          <w:rFonts w:cs="Times New Roman"/>
          <w:iCs w:val="0"/>
          <w:sz w:val="22"/>
          <w:lang w:eastAsia="en-AU"/>
        </w:rPr>
        <w:t>include quantitative, qualitative and milestone information</w:t>
      </w:r>
      <w:r w:rsidR="00230A3A">
        <w:rPr>
          <w:rFonts w:cs="Times New Roman"/>
          <w:iCs w:val="0"/>
          <w:sz w:val="22"/>
          <w:lang w:eastAsia="en-AU"/>
        </w:rPr>
        <w:t xml:space="preserve"> and </w:t>
      </w:r>
      <w:r w:rsidR="00ED0DFA">
        <w:rPr>
          <w:rFonts w:cs="Times New Roman"/>
          <w:iCs w:val="0"/>
          <w:sz w:val="22"/>
          <w:lang w:eastAsia="en-AU"/>
        </w:rPr>
        <w:t>are</w:t>
      </w:r>
      <w:r w:rsidR="0024775A">
        <w:rPr>
          <w:rFonts w:cs="Times New Roman"/>
          <w:iCs w:val="0"/>
          <w:sz w:val="22"/>
          <w:lang w:eastAsia="en-AU"/>
        </w:rPr>
        <w:t>:</w:t>
      </w:r>
    </w:p>
    <w:p w:rsidR="00164988" w:rsidRDefault="00164988" w:rsidP="00AC5C39">
      <w:pPr>
        <w:pStyle w:val="StyleArial10ptItalic"/>
        <w:rPr>
          <w:rFonts w:cs="Times New Roman"/>
          <w:iCs w:val="0"/>
          <w:sz w:val="22"/>
          <w:lang w:eastAsia="en-AU"/>
        </w:rPr>
      </w:pPr>
    </w:p>
    <w:p w:rsidR="00164988" w:rsidRDefault="00ED0DFA" w:rsidP="00D67D9B">
      <w:pPr>
        <w:pStyle w:val="StyleArial10ptItalic"/>
        <w:numPr>
          <w:ilvl w:val="0"/>
          <w:numId w:val="36"/>
        </w:numPr>
        <w:rPr>
          <w:rFonts w:cs="Times New Roman"/>
          <w:iCs w:val="0"/>
          <w:sz w:val="22"/>
          <w:lang w:eastAsia="en-AU"/>
        </w:rPr>
      </w:pPr>
      <w:r>
        <w:rPr>
          <w:rFonts w:cs="Times New Roman"/>
          <w:iCs w:val="0"/>
          <w:sz w:val="22"/>
          <w:lang w:eastAsia="en-AU"/>
        </w:rPr>
        <w:t>a yearly performance report</w:t>
      </w:r>
      <w:r w:rsidR="00164988" w:rsidRPr="00164988">
        <w:rPr>
          <w:rFonts w:cs="Times New Roman"/>
          <w:iCs w:val="0"/>
          <w:sz w:val="22"/>
          <w:lang w:eastAsia="en-AU"/>
        </w:rPr>
        <w:t xml:space="preserve"> against the performance indicators;</w:t>
      </w:r>
    </w:p>
    <w:p w:rsidR="00230A3A" w:rsidRDefault="00164988" w:rsidP="00D67D9B">
      <w:pPr>
        <w:pStyle w:val="StyleArial10ptItalic"/>
        <w:numPr>
          <w:ilvl w:val="0"/>
          <w:numId w:val="36"/>
        </w:numPr>
        <w:rPr>
          <w:rFonts w:cs="Times New Roman"/>
          <w:iCs w:val="0"/>
          <w:sz w:val="22"/>
          <w:lang w:eastAsia="en-AU"/>
        </w:rPr>
      </w:pPr>
      <w:r w:rsidRPr="00164988">
        <w:rPr>
          <w:rFonts w:cs="Times New Roman"/>
          <w:iCs w:val="0"/>
          <w:sz w:val="22"/>
          <w:lang w:eastAsia="en-AU"/>
        </w:rPr>
        <w:t xml:space="preserve">a </w:t>
      </w:r>
      <w:r w:rsidR="00ED0DFA">
        <w:rPr>
          <w:rFonts w:cs="Times New Roman"/>
          <w:iCs w:val="0"/>
          <w:sz w:val="22"/>
          <w:lang w:eastAsia="en-AU"/>
        </w:rPr>
        <w:t xml:space="preserve">yearly </w:t>
      </w:r>
      <w:r w:rsidRPr="00164988">
        <w:rPr>
          <w:rFonts w:cs="Times New Roman"/>
          <w:iCs w:val="0"/>
          <w:sz w:val="22"/>
          <w:lang w:eastAsia="en-AU"/>
        </w:rPr>
        <w:t>report</w:t>
      </w:r>
      <w:r w:rsidR="00230A3A">
        <w:rPr>
          <w:rFonts w:cs="Times New Roman"/>
          <w:iCs w:val="0"/>
          <w:sz w:val="22"/>
          <w:lang w:eastAsia="en-AU"/>
        </w:rPr>
        <w:t xml:space="preserve"> (quantitative)</w:t>
      </w:r>
      <w:r w:rsidRPr="00164988">
        <w:rPr>
          <w:rFonts w:cs="Times New Roman"/>
          <w:iCs w:val="0"/>
          <w:sz w:val="22"/>
          <w:lang w:eastAsia="en-AU"/>
        </w:rPr>
        <w:t xml:space="preserve"> summarising individual client data (de-identified) that covers disability type, location, and nature of assistance provided</w:t>
      </w:r>
      <w:r w:rsidR="00ED0DFA">
        <w:rPr>
          <w:rFonts w:cs="Times New Roman"/>
          <w:iCs w:val="0"/>
          <w:sz w:val="22"/>
          <w:lang w:eastAsia="en-AU"/>
        </w:rPr>
        <w:t>.</w:t>
      </w:r>
      <w:r w:rsidRPr="00164988">
        <w:rPr>
          <w:rFonts w:cs="Times New Roman"/>
          <w:iCs w:val="0"/>
          <w:sz w:val="22"/>
          <w:lang w:eastAsia="en-AU"/>
        </w:rPr>
        <w:t xml:space="preserve"> A template will be provided with the funding agreement; </w:t>
      </w:r>
    </w:p>
    <w:p w:rsidR="00164988" w:rsidRDefault="00230A3A" w:rsidP="00D67D9B">
      <w:pPr>
        <w:pStyle w:val="StyleArial10ptItalic"/>
        <w:numPr>
          <w:ilvl w:val="0"/>
          <w:numId w:val="36"/>
        </w:numPr>
        <w:rPr>
          <w:rFonts w:cs="Times New Roman"/>
          <w:iCs w:val="0"/>
          <w:sz w:val="22"/>
          <w:lang w:eastAsia="en-AU"/>
        </w:rPr>
      </w:pPr>
      <w:r>
        <w:rPr>
          <w:rFonts w:cs="Times New Roman"/>
          <w:iCs w:val="0"/>
          <w:sz w:val="22"/>
          <w:lang w:eastAsia="en-AU"/>
        </w:rPr>
        <w:t xml:space="preserve">a yearly qualitative report; </w:t>
      </w:r>
      <w:r w:rsidR="00164988" w:rsidRPr="00164988">
        <w:rPr>
          <w:rFonts w:cs="Times New Roman"/>
          <w:iCs w:val="0"/>
          <w:sz w:val="22"/>
          <w:lang w:eastAsia="en-AU"/>
        </w:rPr>
        <w:t>and</w:t>
      </w:r>
    </w:p>
    <w:p w:rsidR="00164988" w:rsidRDefault="00164988" w:rsidP="00D67D9B">
      <w:pPr>
        <w:pStyle w:val="StyleArial10ptItalic"/>
        <w:numPr>
          <w:ilvl w:val="0"/>
          <w:numId w:val="36"/>
        </w:numPr>
        <w:rPr>
          <w:rFonts w:cs="Times New Roman"/>
          <w:iCs w:val="0"/>
          <w:sz w:val="22"/>
          <w:lang w:eastAsia="en-AU"/>
        </w:rPr>
      </w:pPr>
      <w:r w:rsidRPr="00164988">
        <w:rPr>
          <w:rFonts w:cs="Times New Roman"/>
          <w:iCs w:val="0"/>
          <w:sz w:val="22"/>
          <w:lang w:eastAsia="en-AU"/>
        </w:rPr>
        <w:t>a yearly non-audited financial acquittal report.</w:t>
      </w:r>
    </w:p>
    <w:p w:rsidR="0037164A" w:rsidRPr="003A0663" w:rsidRDefault="00414DEA" w:rsidP="00D67D9B">
      <w:pPr>
        <w:pStyle w:val="Heading2"/>
        <w:numPr>
          <w:ilvl w:val="0"/>
          <w:numId w:val="0"/>
        </w:numPr>
        <w:ind w:left="576" w:hanging="576"/>
      </w:pPr>
      <w:bookmarkStart w:id="47" w:name="_Toc363816543"/>
      <w:bookmarkStart w:id="48" w:name="_Toc363816579"/>
      <w:bookmarkStart w:id="49" w:name="_Toc363817525"/>
      <w:bookmarkStart w:id="50" w:name="_Toc363816544"/>
      <w:bookmarkStart w:id="51" w:name="_Toc363816580"/>
      <w:bookmarkStart w:id="52" w:name="_Toc363817526"/>
      <w:bookmarkStart w:id="53" w:name="_Toc363816545"/>
      <w:bookmarkStart w:id="54" w:name="_Toc363816581"/>
      <w:bookmarkStart w:id="55" w:name="_Toc363817527"/>
      <w:bookmarkStart w:id="56" w:name="_Toc363816546"/>
      <w:bookmarkStart w:id="57" w:name="_Toc363816582"/>
      <w:bookmarkStart w:id="58" w:name="_Toc363817528"/>
      <w:bookmarkStart w:id="59" w:name="_Toc363816547"/>
      <w:bookmarkStart w:id="60" w:name="_Toc363816583"/>
      <w:bookmarkStart w:id="61" w:name="_Toc363817529"/>
      <w:bookmarkStart w:id="62" w:name="_Toc363816548"/>
      <w:bookmarkStart w:id="63" w:name="_Toc363816584"/>
      <w:bookmarkStart w:id="64" w:name="_Toc363817530"/>
      <w:bookmarkStart w:id="65" w:name="_Toc363816549"/>
      <w:bookmarkStart w:id="66" w:name="_Toc363816585"/>
      <w:bookmarkStart w:id="67" w:name="_Toc363817531"/>
      <w:bookmarkStart w:id="68" w:name="_Toc363816550"/>
      <w:bookmarkStart w:id="69" w:name="_Toc363816586"/>
      <w:bookmarkStart w:id="70" w:name="_Toc363817532"/>
      <w:bookmarkStart w:id="71" w:name="_Toc36382307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D67D9B">
        <w:t xml:space="preserve">2.12 </w:t>
      </w:r>
      <w:r>
        <w:t xml:space="preserve"> </w:t>
      </w:r>
      <w:r w:rsidRPr="00D67D9B">
        <w:t>C</w:t>
      </w:r>
      <w:r w:rsidR="0037164A" w:rsidRPr="00D67D9B">
        <w:t>omplaints</w:t>
      </w:r>
      <w:r w:rsidR="0037164A" w:rsidRPr="003A0663">
        <w:t xml:space="preserve"> about advocacy agencies</w:t>
      </w:r>
      <w:r w:rsidR="00564DFD">
        <w:t xml:space="preserve"> and legal services</w:t>
      </w:r>
      <w:bookmarkEnd w:id="71"/>
    </w:p>
    <w:p w:rsidR="0037164A" w:rsidRPr="003A0663" w:rsidRDefault="0037164A" w:rsidP="00D67D9B">
      <w:pPr>
        <w:pStyle w:val="BodyText0"/>
        <w:spacing w:after="0"/>
        <w:rPr>
          <w:lang w:eastAsia="en-AU"/>
        </w:rPr>
      </w:pPr>
      <w:r>
        <w:rPr>
          <w:lang w:eastAsia="en-AU"/>
        </w:rPr>
        <w:t>NDAP</w:t>
      </w:r>
      <w:r w:rsidRPr="003A0663">
        <w:rPr>
          <w:lang w:eastAsia="en-AU"/>
        </w:rPr>
        <w:t xml:space="preserve"> agencies </w:t>
      </w:r>
      <w:r w:rsidR="0080518F">
        <w:rPr>
          <w:lang w:eastAsia="en-AU"/>
        </w:rPr>
        <w:t xml:space="preserve">are required to </w:t>
      </w:r>
      <w:r w:rsidRPr="003A0663">
        <w:rPr>
          <w:lang w:eastAsia="en-AU"/>
        </w:rPr>
        <w:t xml:space="preserve">have processes in place </w:t>
      </w:r>
      <w:r w:rsidR="00816081">
        <w:rPr>
          <w:lang w:eastAsia="en-AU"/>
        </w:rPr>
        <w:t>to manage</w:t>
      </w:r>
      <w:r w:rsidR="00DE310C">
        <w:rPr>
          <w:lang w:eastAsia="en-AU"/>
        </w:rPr>
        <w:t xml:space="preserve"> </w:t>
      </w:r>
      <w:r w:rsidRPr="003A0663">
        <w:rPr>
          <w:lang w:eastAsia="en-AU"/>
        </w:rPr>
        <w:t xml:space="preserve">complaints in a positive, timely and fair way.  Initially, complaints (from consumers or others) should be raised directly with the disability advocacy agency. </w:t>
      </w:r>
    </w:p>
    <w:p w:rsidR="0009448C" w:rsidRDefault="0009448C" w:rsidP="00D67D9B">
      <w:pPr>
        <w:pStyle w:val="BodyText0"/>
        <w:spacing w:after="0"/>
        <w:rPr>
          <w:lang w:eastAsia="en-AU"/>
        </w:rPr>
      </w:pPr>
    </w:p>
    <w:p w:rsidR="0037164A" w:rsidRPr="003A0663" w:rsidRDefault="0037164A" w:rsidP="00D67D9B">
      <w:pPr>
        <w:pStyle w:val="BodyText0"/>
        <w:spacing w:after="0"/>
        <w:rPr>
          <w:lang w:eastAsia="en-AU"/>
        </w:rPr>
      </w:pPr>
      <w:r w:rsidRPr="003A0663">
        <w:rPr>
          <w:lang w:eastAsia="en-AU"/>
        </w:rPr>
        <w:t>Although most complaints should be handled by the disability advocacy agency in the first instance, particular complaints will require an external referral such as complaints of a serious or sensitive nature that cannot be handled by the disability advocacy agency. These may include allegations of assault or abuse and neglect which should be referred to police.</w:t>
      </w:r>
    </w:p>
    <w:p w:rsidR="0009448C" w:rsidRDefault="0009448C" w:rsidP="00D67D9B">
      <w:pPr>
        <w:pStyle w:val="BodyText0"/>
        <w:spacing w:after="0"/>
        <w:rPr>
          <w:lang w:eastAsia="en-AU"/>
        </w:rPr>
      </w:pPr>
    </w:p>
    <w:p w:rsidR="0037164A" w:rsidRPr="003A0663" w:rsidRDefault="0037164A" w:rsidP="00D67D9B">
      <w:pPr>
        <w:pStyle w:val="BodyText0"/>
        <w:spacing w:after="0"/>
        <w:rPr>
          <w:lang w:eastAsia="en-AU"/>
        </w:rPr>
      </w:pPr>
      <w:r w:rsidRPr="003A0663">
        <w:rPr>
          <w:lang w:eastAsia="en-AU"/>
        </w:rPr>
        <w:t xml:space="preserve">If a satisfactory resolution is not reached through the agency’s internal complaints system, or if the complainant prefers to raise the matter with an independent agency, the complaint can be referred to the Complaints Resolution and Referral Service (CRRS) which is an independent service, funded by the Australian Government for complaints about services funded under the </w:t>
      </w:r>
      <w:r w:rsidRPr="0015599B">
        <w:rPr>
          <w:iCs/>
          <w:lang w:eastAsia="en-AU"/>
        </w:rPr>
        <w:t>DSA</w:t>
      </w:r>
      <w:r w:rsidR="001C172E">
        <w:rPr>
          <w:iCs/>
          <w:lang w:eastAsia="en-AU"/>
        </w:rPr>
        <w:t>.</w:t>
      </w:r>
      <w:r w:rsidR="00795560">
        <w:rPr>
          <w:iCs/>
          <w:lang w:eastAsia="en-AU"/>
        </w:rPr>
        <w:t xml:space="preserve"> </w:t>
      </w:r>
      <w:r w:rsidRPr="003A0663">
        <w:rPr>
          <w:lang w:eastAsia="en-AU"/>
        </w:rPr>
        <w:t xml:space="preserve">CRRS can be contacted on 1800 880 052 and further information can be found on the CRRS website at: </w:t>
      </w:r>
      <w:hyperlink r:id="rId20" w:history="1">
        <w:r w:rsidRPr="003A0663">
          <w:rPr>
            <w:lang w:eastAsia="en-AU"/>
          </w:rPr>
          <w:t>www.crrs.org.au</w:t>
        </w:r>
      </w:hyperlink>
      <w:r w:rsidRPr="003A0663">
        <w:rPr>
          <w:lang w:eastAsia="en-AU"/>
        </w:rPr>
        <w:t>.</w:t>
      </w:r>
    </w:p>
    <w:p w:rsidR="00A06EE0" w:rsidRDefault="00564DFD" w:rsidP="0037164A">
      <w:pPr>
        <w:pStyle w:val="StyleArial10ptItalic"/>
        <w:rPr>
          <w:rFonts w:cs="Times New Roman"/>
          <w:iCs w:val="0"/>
          <w:sz w:val="22"/>
          <w:lang w:eastAsia="en-AU"/>
        </w:rPr>
      </w:pPr>
      <w:r>
        <w:rPr>
          <w:rFonts w:cs="Times New Roman"/>
          <w:iCs w:val="0"/>
          <w:sz w:val="22"/>
          <w:lang w:eastAsia="en-AU"/>
        </w:rPr>
        <w:lastRenderedPageBreak/>
        <w:t>E</w:t>
      </w:r>
      <w:r w:rsidR="00A06EE0">
        <w:rPr>
          <w:rFonts w:cs="Times New Roman"/>
          <w:iCs w:val="0"/>
          <w:sz w:val="22"/>
          <w:lang w:eastAsia="en-AU"/>
        </w:rPr>
        <w:t xml:space="preserve">ach </w:t>
      </w:r>
      <w:r w:rsidR="00A06EE0" w:rsidRPr="00A06EE0">
        <w:rPr>
          <w:rFonts w:cs="Times New Roman"/>
          <w:iCs w:val="0"/>
          <w:sz w:val="22"/>
          <w:lang w:eastAsia="en-AU"/>
        </w:rPr>
        <w:t>legal aid</w:t>
      </w:r>
      <w:r w:rsidR="00A06EE0">
        <w:rPr>
          <w:rFonts w:cs="Times New Roman"/>
          <w:iCs w:val="0"/>
          <w:sz w:val="22"/>
          <w:lang w:eastAsia="en-AU"/>
        </w:rPr>
        <w:t xml:space="preserve"> commission has </w:t>
      </w:r>
      <w:r>
        <w:rPr>
          <w:rFonts w:cs="Times New Roman"/>
          <w:iCs w:val="0"/>
          <w:sz w:val="22"/>
          <w:lang w:eastAsia="en-AU"/>
        </w:rPr>
        <w:t xml:space="preserve">a </w:t>
      </w:r>
      <w:r w:rsidR="00A06EE0">
        <w:rPr>
          <w:rFonts w:cs="Times New Roman"/>
          <w:iCs w:val="0"/>
          <w:sz w:val="22"/>
          <w:lang w:eastAsia="en-AU"/>
        </w:rPr>
        <w:t>complaint process in place that outline</w:t>
      </w:r>
      <w:r>
        <w:rPr>
          <w:rFonts w:cs="Times New Roman"/>
          <w:iCs w:val="0"/>
          <w:sz w:val="22"/>
          <w:lang w:eastAsia="en-AU"/>
        </w:rPr>
        <w:t>s</w:t>
      </w:r>
      <w:r w:rsidR="00A06EE0">
        <w:rPr>
          <w:rFonts w:cs="Times New Roman"/>
          <w:iCs w:val="0"/>
          <w:sz w:val="22"/>
          <w:lang w:eastAsia="en-AU"/>
        </w:rPr>
        <w:t xml:space="preserve"> how </w:t>
      </w:r>
      <w:r>
        <w:rPr>
          <w:rFonts w:cs="Times New Roman"/>
          <w:iCs w:val="0"/>
          <w:sz w:val="22"/>
          <w:lang w:eastAsia="en-AU"/>
        </w:rPr>
        <w:t>mat</w:t>
      </w:r>
      <w:r w:rsidR="00A06EE0">
        <w:rPr>
          <w:rFonts w:cs="Times New Roman"/>
          <w:iCs w:val="0"/>
          <w:sz w:val="22"/>
          <w:lang w:eastAsia="en-AU"/>
        </w:rPr>
        <w:t>ters</w:t>
      </w:r>
      <w:r w:rsidR="00816081">
        <w:rPr>
          <w:rFonts w:cs="Times New Roman"/>
          <w:iCs w:val="0"/>
          <w:sz w:val="22"/>
          <w:lang w:eastAsia="en-AU"/>
        </w:rPr>
        <w:t xml:space="preserve"> relating to them</w:t>
      </w:r>
      <w:r w:rsidR="00A06EE0">
        <w:rPr>
          <w:rFonts w:cs="Times New Roman"/>
          <w:iCs w:val="0"/>
          <w:sz w:val="22"/>
          <w:lang w:eastAsia="en-AU"/>
        </w:rPr>
        <w:t xml:space="preserve"> will be dealt with. If a person is not satisfied with the outcome of their complaint by the legal aid commission they </w:t>
      </w:r>
      <w:r>
        <w:rPr>
          <w:rFonts w:cs="Times New Roman"/>
          <w:iCs w:val="0"/>
          <w:sz w:val="22"/>
          <w:lang w:eastAsia="en-AU"/>
        </w:rPr>
        <w:t>can</w:t>
      </w:r>
      <w:r w:rsidR="00A06EE0">
        <w:rPr>
          <w:rFonts w:cs="Times New Roman"/>
          <w:iCs w:val="0"/>
          <w:sz w:val="22"/>
          <w:lang w:eastAsia="en-AU"/>
        </w:rPr>
        <w:t xml:space="preserve"> contact the </w:t>
      </w:r>
      <w:r w:rsidR="00816081">
        <w:rPr>
          <w:rFonts w:cs="Times New Roman"/>
          <w:iCs w:val="0"/>
          <w:sz w:val="22"/>
          <w:lang w:eastAsia="en-AU"/>
        </w:rPr>
        <w:t>O</w:t>
      </w:r>
      <w:r w:rsidR="00A06EE0">
        <w:rPr>
          <w:rFonts w:cs="Times New Roman"/>
          <w:iCs w:val="0"/>
          <w:sz w:val="22"/>
          <w:lang w:eastAsia="en-AU"/>
        </w:rPr>
        <w:t>mbudsman or the Legal Services Commission for that state or territory.</w:t>
      </w:r>
    </w:p>
    <w:p w:rsidR="0009448C" w:rsidRDefault="0009448C" w:rsidP="0037164A">
      <w:pPr>
        <w:pStyle w:val="StyleArial10ptItalic"/>
        <w:rPr>
          <w:rFonts w:cs="Times New Roman"/>
          <w:iCs w:val="0"/>
          <w:sz w:val="22"/>
          <w:lang w:eastAsia="en-AU"/>
        </w:rPr>
      </w:pPr>
    </w:p>
    <w:p w:rsidR="00A06EE0" w:rsidRPr="0037164A" w:rsidRDefault="00564DFD" w:rsidP="0037164A">
      <w:pPr>
        <w:pStyle w:val="StyleArial10ptItalic"/>
        <w:rPr>
          <w:b/>
          <w:i/>
          <w:sz w:val="24"/>
          <w:szCs w:val="24"/>
        </w:rPr>
      </w:pPr>
      <w:r w:rsidRPr="00564DFD">
        <w:rPr>
          <w:rFonts w:cs="Times New Roman"/>
          <w:iCs w:val="0"/>
          <w:sz w:val="22"/>
          <w:lang w:eastAsia="en-AU"/>
        </w:rPr>
        <w:t>For general guidelines on complaints refer to Section 6 of Part B of the Program Guidelines Suite.</w:t>
      </w:r>
      <w:r w:rsidR="00A06EE0">
        <w:rPr>
          <w:rFonts w:cs="Times New Roman"/>
          <w:iCs w:val="0"/>
          <w:sz w:val="22"/>
          <w:lang w:eastAsia="en-AU"/>
        </w:rPr>
        <w:t xml:space="preserve"> </w:t>
      </w:r>
      <w:r w:rsidR="00A06EE0">
        <w:rPr>
          <w:b/>
          <w:i/>
          <w:sz w:val="24"/>
          <w:szCs w:val="24"/>
        </w:rPr>
        <w:t xml:space="preserve"> </w:t>
      </w:r>
    </w:p>
    <w:p w:rsidR="00C3498A" w:rsidRPr="004B7E9E" w:rsidRDefault="0028148F" w:rsidP="00D67D9B">
      <w:pPr>
        <w:pStyle w:val="Heading1"/>
        <w:numPr>
          <w:ilvl w:val="0"/>
          <w:numId w:val="0"/>
        </w:numPr>
        <w:ind w:left="432" w:hanging="432"/>
      </w:pPr>
      <w:r w:rsidRPr="004B7E9E">
        <w:br w:type="page"/>
      </w:r>
      <w:bookmarkStart w:id="72" w:name="_Toc363823073"/>
      <w:r w:rsidR="00422E46">
        <w:lastRenderedPageBreak/>
        <w:t>3</w:t>
      </w:r>
      <w:r w:rsidR="00422E46">
        <w:tab/>
      </w:r>
      <w:r w:rsidR="00C3498A" w:rsidRPr="004B7E9E">
        <w:t>Application Process</w:t>
      </w:r>
      <w:bookmarkEnd w:id="44"/>
      <w:bookmarkEnd w:id="72"/>
    </w:p>
    <w:p w:rsidR="00C3498A" w:rsidRDefault="00422E46" w:rsidP="00D67D9B">
      <w:pPr>
        <w:pStyle w:val="Heading2"/>
        <w:numPr>
          <w:ilvl w:val="0"/>
          <w:numId w:val="0"/>
        </w:numPr>
      </w:pPr>
      <w:bookmarkStart w:id="73" w:name="_Toc269211097"/>
      <w:bookmarkStart w:id="74" w:name="_Toc363823074"/>
      <w:r>
        <w:t>3.1</w:t>
      </w:r>
      <w:r>
        <w:tab/>
      </w:r>
      <w:r w:rsidR="00C3498A" w:rsidRPr="004B7E9E">
        <w:t>Overview of the Application Process</w:t>
      </w:r>
      <w:bookmarkEnd w:id="73"/>
      <w:bookmarkEnd w:id="74"/>
    </w:p>
    <w:p w:rsidR="00251775" w:rsidRDefault="0037164A" w:rsidP="00D67D9B">
      <w:pPr>
        <w:pStyle w:val="FACT-bodytext"/>
        <w:spacing w:after="0" w:line="240" w:lineRule="auto"/>
        <w:rPr>
          <w:rFonts w:ascii="Arial" w:hAnsi="Arial"/>
          <w:color w:val="auto"/>
          <w:spacing w:val="0"/>
          <w:lang w:val="en-AU" w:eastAsia="en-AU"/>
        </w:rPr>
      </w:pPr>
      <w:r w:rsidRPr="00D67D9B">
        <w:rPr>
          <w:rFonts w:ascii="Arial" w:hAnsi="Arial"/>
          <w:color w:val="auto"/>
          <w:spacing w:val="0"/>
          <w:lang w:val="en-AU" w:eastAsia="en-AU"/>
        </w:rPr>
        <w:t>The process for selecting NDAP providers and legal service</w:t>
      </w:r>
      <w:r w:rsidR="00251775" w:rsidRPr="00D67D9B">
        <w:rPr>
          <w:rFonts w:ascii="Arial" w:hAnsi="Arial"/>
          <w:color w:val="auto"/>
          <w:spacing w:val="0"/>
          <w:lang w:val="en-AU" w:eastAsia="en-AU"/>
        </w:rPr>
        <w:t xml:space="preserve"> providers</w:t>
      </w:r>
      <w:r w:rsidRPr="00D67D9B">
        <w:rPr>
          <w:rFonts w:ascii="Arial" w:hAnsi="Arial"/>
          <w:color w:val="auto"/>
          <w:spacing w:val="0"/>
          <w:lang w:val="en-AU" w:eastAsia="en-AU"/>
        </w:rPr>
        <w:t xml:space="preserve"> in the launch sites will be a direct selection process.</w:t>
      </w:r>
      <w:r w:rsidR="00251775" w:rsidRPr="00D67D9B">
        <w:rPr>
          <w:rFonts w:ascii="Arial" w:hAnsi="Arial"/>
          <w:color w:val="auto"/>
          <w:spacing w:val="0"/>
          <w:lang w:val="en-AU" w:eastAsia="en-AU"/>
        </w:rPr>
        <w:t xml:space="preserve"> </w:t>
      </w:r>
    </w:p>
    <w:p w:rsidR="00795560" w:rsidRPr="00D67D9B" w:rsidRDefault="00795560" w:rsidP="00D67D9B">
      <w:pPr>
        <w:pStyle w:val="FACT-bodytext"/>
        <w:spacing w:after="0" w:line="240" w:lineRule="auto"/>
        <w:rPr>
          <w:rFonts w:ascii="Arial" w:hAnsi="Arial"/>
          <w:color w:val="auto"/>
          <w:spacing w:val="0"/>
          <w:lang w:val="en-AU" w:eastAsia="en-AU"/>
        </w:rPr>
      </w:pPr>
    </w:p>
    <w:p w:rsidR="00251775" w:rsidRPr="00D67D9B" w:rsidRDefault="00795560" w:rsidP="00D67D9B">
      <w:pPr>
        <w:pStyle w:val="FACT-bodytext"/>
        <w:spacing w:after="0" w:line="240" w:lineRule="auto"/>
        <w:rPr>
          <w:rFonts w:ascii="Arial" w:hAnsi="Arial"/>
          <w:color w:val="auto"/>
          <w:spacing w:val="0"/>
          <w:lang w:val="en-AU" w:eastAsia="en-AU"/>
        </w:rPr>
      </w:pPr>
      <w:r>
        <w:rPr>
          <w:rFonts w:ascii="Arial" w:hAnsi="Arial"/>
          <w:color w:val="auto"/>
          <w:spacing w:val="0"/>
          <w:lang w:val="en-AU" w:eastAsia="en-AU"/>
        </w:rPr>
        <w:t>T</w:t>
      </w:r>
      <w:r w:rsidR="00251775" w:rsidRPr="00D67D9B">
        <w:rPr>
          <w:rFonts w:ascii="Arial" w:hAnsi="Arial"/>
          <w:color w:val="auto"/>
          <w:spacing w:val="0"/>
          <w:lang w:val="en-AU" w:eastAsia="en-AU"/>
        </w:rPr>
        <w:t>he process</w:t>
      </w:r>
      <w:r w:rsidR="00A67539">
        <w:rPr>
          <w:rFonts w:ascii="Arial" w:hAnsi="Arial"/>
          <w:color w:val="auto"/>
          <w:spacing w:val="0"/>
          <w:lang w:val="en-AU" w:eastAsia="en-AU"/>
        </w:rPr>
        <w:t xml:space="preserve"> selected</w:t>
      </w:r>
      <w:r>
        <w:rPr>
          <w:rFonts w:ascii="Arial" w:hAnsi="Arial"/>
          <w:color w:val="auto"/>
          <w:spacing w:val="0"/>
          <w:lang w:val="en-AU" w:eastAsia="en-AU"/>
        </w:rPr>
        <w:t xml:space="preserve"> has been informed by </w:t>
      </w:r>
      <w:r w:rsidR="00251775" w:rsidRPr="00D67D9B">
        <w:rPr>
          <w:rFonts w:ascii="Arial" w:hAnsi="Arial"/>
          <w:color w:val="auto"/>
          <w:spacing w:val="0"/>
          <w:lang w:val="en-AU" w:eastAsia="en-AU"/>
        </w:rPr>
        <w:t>consideration of the policy outcomes being sought; the purpose</w:t>
      </w:r>
      <w:r>
        <w:rPr>
          <w:rFonts w:ascii="Arial" w:hAnsi="Arial"/>
          <w:color w:val="auto"/>
          <w:spacing w:val="0"/>
          <w:lang w:val="en-AU" w:eastAsia="en-AU"/>
        </w:rPr>
        <w:t xml:space="preserve"> and </w:t>
      </w:r>
      <w:r w:rsidR="00251775" w:rsidRPr="00D67D9B">
        <w:rPr>
          <w:rFonts w:ascii="Arial" w:hAnsi="Arial"/>
          <w:color w:val="auto"/>
          <w:spacing w:val="0"/>
          <w:lang w:val="en-AU" w:eastAsia="en-AU"/>
        </w:rPr>
        <w:t xml:space="preserve">value of </w:t>
      </w:r>
      <w:r>
        <w:rPr>
          <w:rFonts w:ascii="Arial" w:hAnsi="Arial"/>
          <w:color w:val="auto"/>
          <w:spacing w:val="0"/>
          <w:lang w:val="en-AU" w:eastAsia="en-AU"/>
        </w:rPr>
        <w:t>the</w:t>
      </w:r>
      <w:r w:rsidR="00251775" w:rsidRPr="00D67D9B">
        <w:rPr>
          <w:rFonts w:ascii="Arial" w:hAnsi="Arial"/>
          <w:color w:val="auto"/>
          <w:spacing w:val="0"/>
          <w:lang w:val="en-AU" w:eastAsia="en-AU"/>
        </w:rPr>
        <w:t xml:space="preserve"> grant; the nature and type of deliverables; the nature and level of the risks involved; </w:t>
      </w:r>
      <w:r>
        <w:rPr>
          <w:rFonts w:ascii="Arial" w:hAnsi="Arial"/>
          <w:color w:val="auto"/>
          <w:spacing w:val="0"/>
          <w:lang w:val="en-AU" w:eastAsia="en-AU"/>
        </w:rPr>
        <w:t xml:space="preserve">the timeframe for delivery; the specific location of the service provision; </w:t>
      </w:r>
      <w:r w:rsidR="00251775" w:rsidRPr="00D67D9B">
        <w:rPr>
          <w:rFonts w:ascii="Arial" w:hAnsi="Arial"/>
          <w:color w:val="auto"/>
          <w:spacing w:val="0"/>
          <w:lang w:val="en-AU" w:eastAsia="en-AU"/>
        </w:rPr>
        <w:t xml:space="preserve">and the capability of </w:t>
      </w:r>
      <w:r w:rsidR="00E56B9D">
        <w:rPr>
          <w:rFonts w:ascii="Arial" w:hAnsi="Arial"/>
          <w:color w:val="auto"/>
          <w:spacing w:val="0"/>
          <w:lang w:val="en-AU" w:eastAsia="en-AU"/>
        </w:rPr>
        <w:t>service providers</w:t>
      </w:r>
      <w:r w:rsidR="00251775" w:rsidRPr="00D67D9B">
        <w:rPr>
          <w:rFonts w:ascii="Arial" w:hAnsi="Arial"/>
          <w:color w:val="auto"/>
          <w:spacing w:val="0"/>
          <w:lang w:val="en-AU" w:eastAsia="en-AU"/>
        </w:rPr>
        <w:t>. Th</w:t>
      </w:r>
      <w:r>
        <w:rPr>
          <w:rFonts w:ascii="Arial" w:hAnsi="Arial"/>
          <w:color w:val="auto"/>
          <w:spacing w:val="0"/>
          <w:lang w:val="en-AU" w:eastAsia="en-AU"/>
        </w:rPr>
        <w:t>e direct p</w:t>
      </w:r>
      <w:r w:rsidR="00251775" w:rsidRPr="00D67D9B">
        <w:rPr>
          <w:rFonts w:ascii="Arial" w:hAnsi="Arial"/>
          <w:color w:val="auto"/>
          <w:spacing w:val="0"/>
          <w:lang w:val="en-AU" w:eastAsia="en-AU"/>
        </w:rPr>
        <w:t xml:space="preserve">rocess selected for the launch phase offers the opportunity to </w:t>
      </w:r>
      <w:r>
        <w:rPr>
          <w:rFonts w:ascii="Arial" w:hAnsi="Arial"/>
          <w:color w:val="auto"/>
          <w:spacing w:val="0"/>
          <w:lang w:val="en-AU" w:eastAsia="en-AU"/>
        </w:rPr>
        <w:t>d</w:t>
      </w:r>
      <w:r w:rsidR="00251775" w:rsidRPr="00D67D9B">
        <w:rPr>
          <w:rFonts w:ascii="Arial" w:hAnsi="Arial"/>
          <w:color w:val="auto"/>
          <w:spacing w:val="0"/>
          <w:lang w:val="en-AU" w:eastAsia="en-AU"/>
        </w:rPr>
        <w:t xml:space="preserve">eliver in the launch sites with known, low risk and high performing providers.  </w:t>
      </w:r>
    </w:p>
    <w:p w:rsidR="00C3498A" w:rsidRDefault="00422E46" w:rsidP="00D67D9B">
      <w:pPr>
        <w:pStyle w:val="Heading2"/>
        <w:numPr>
          <w:ilvl w:val="0"/>
          <w:numId w:val="0"/>
        </w:numPr>
        <w:ind w:left="576" w:hanging="576"/>
      </w:pPr>
      <w:bookmarkStart w:id="75" w:name="_Toc363823075"/>
      <w:r>
        <w:rPr>
          <w:szCs w:val="22"/>
        </w:rPr>
        <w:t>3.2</w:t>
      </w:r>
      <w:r>
        <w:rPr>
          <w:szCs w:val="22"/>
        </w:rPr>
        <w:tab/>
      </w:r>
      <w:bookmarkStart w:id="76" w:name="_Toc269211098"/>
      <w:r w:rsidR="00C3498A" w:rsidRPr="004B7E9E">
        <w:t>Se</w:t>
      </w:r>
      <w:r w:rsidR="001718AD">
        <w:t>le</w:t>
      </w:r>
      <w:r w:rsidR="00C3498A" w:rsidRPr="004B7E9E">
        <w:t>ction Criteria</w:t>
      </w:r>
      <w:bookmarkEnd w:id="75"/>
      <w:bookmarkEnd w:id="76"/>
    </w:p>
    <w:p w:rsidR="009D5DE7" w:rsidRPr="00D67D9B" w:rsidRDefault="009D5DE7" w:rsidP="0037164A">
      <w:pPr>
        <w:pStyle w:val="BodyText0"/>
        <w:rPr>
          <w:b/>
        </w:rPr>
      </w:pPr>
      <w:r w:rsidRPr="00D67D9B">
        <w:rPr>
          <w:b/>
        </w:rPr>
        <w:t>Support Person</w:t>
      </w:r>
    </w:p>
    <w:p w:rsidR="0037164A" w:rsidRPr="005F28FD" w:rsidRDefault="0037164A" w:rsidP="0037164A">
      <w:pPr>
        <w:pStyle w:val="BodyText0"/>
      </w:pPr>
      <w:r>
        <w:t>T</w:t>
      </w:r>
      <w:r w:rsidRPr="005F28FD">
        <w:t xml:space="preserve">he support person role will be provided through </w:t>
      </w:r>
      <w:r w:rsidRPr="005F28FD">
        <w:rPr>
          <w:b/>
          <w:bCs/>
        </w:rPr>
        <w:t>one</w:t>
      </w:r>
      <w:r w:rsidRPr="005F28FD">
        <w:t xml:space="preserve"> </w:t>
      </w:r>
      <w:r w:rsidR="0024775A">
        <w:t>high performing</w:t>
      </w:r>
      <w:r w:rsidR="00142A5E">
        <w:t>,</w:t>
      </w:r>
      <w:r w:rsidR="0024775A">
        <w:t xml:space="preserve"> </w:t>
      </w:r>
      <w:r w:rsidR="00142A5E">
        <w:t xml:space="preserve">currently funded </w:t>
      </w:r>
      <w:r w:rsidRPr="005F28FD">
        <w:t>NDAP agency in each launch site</w:t>
      </w:r>
      <w:r w:rsidR="00142A5E">
        <w:t>.</w:t>
      </w:r>
      <w:r w:rsidR="00936C03">
        <w:t xml:space="preserve"> </w:t>
      </w:r>
      <w:r w:rsidR="004F0A57">
        <w:t>FaHCSIA</w:t>
      </w:r>
      <w:r w:rsidR="00461CE3">
        <w:t xml:space="preserve"> will directly </w:t>
      </w:r>
      <w:r w:rsidR="00142A5E">
        <w:t>select</w:t>
      </w:r>
      <w:r w:rsidR="00461CE3">
        <w:t xml:space="preserve"> a </w:t>
      </w:r>
      <w:r w:rsidR="00142A5E">
        <w:t xml:space="preserve">single </w:t>
      </w:r>
      <w:r w:rsidR="00461CE3">
        <w:t>agency</w:t>
      </w:r>
      <w:r w:rsidR="00142A5E">
        <w:t xml:space="preserve"> in each launch </w:t>
      </w:r>
      <w:r w:rsidR="00A1783D">
        <w:t>site</w:t>
      </w:r>
      <w:r w:rsidR="00461CE3">
        <w:t xml:space="preserve">, </w:t>
      </w:r>
      <w:r w:rsidR="00142A5E">
        <w:t>based on a range of criteria</w:t>
      </w:r>
      <w:r w:rsidR="00461CE3">
        <w:t xml:space="preserve"> (a</w:t>
      </w:r>
      <w:r w:rsidR="00142A5E">
        <w:t>ll criteria are weighted equally</w:t>
      </w:r>
      <w:r w:rsidR="00461CE3">
        <w:t>)</w:t>
      </w:r>
      <w:r w:rsidR="00142A5E">
        <w:t>:</w:t>
      </w:r>
      <w:r w:rsidRPr="005F28FD">
        <w:t xml:space="preserve"> </w:t>
      </w:r>
    </w:p>
    <w:p w:rsidR="00056C2D" w:rsidRDefault="00056C2D" w:rsidP="00781D1C">
      <w:pPr>
        <w:pStyle w:val="ListBullet2"/>
        <w:numPr>
          <w:ilvl w:val="0"/>
          <w:numId w:val="23"/>
        </w:numPr>
      </w:pPr>
      <w:r>
        <w:t>current</w:t>
      </w:r>
      <w:r w:rsidR="00B6746F">
        <w:t>ly</w:t>
      </w:r>
      <w:r>
        <w:t xml:space="preserve"> funded NDAP provider</w:t>
      </w:r>
      <w:r w:rsidR="001500EB">
        <w:t xml:space="preserve">. This </w:t>
      </w:r>
      <w:r w:rsidR="00781D1C">
        <w:t xml:space="preserve">direct approach </w:t>
      </w:r>
      <w:r w:rsidR="00461CE3">
        <w:t>achieves value with public money</w:t>
      </w:r>
      <w:r w:rsidR="00781D1C" w:rsidRPr="00781D1C">
        <w:t xml:space="preserve"> as </w:t>
      </w:r>
      <w:r w:rsidR="001500EB">
        <w:t xml:space="preserve">it uses an </w:t>
      </w:r>
      <w:r w:rsidR="00781D1C" w:rsidRPr="00781D1C">
        <w:t>existing provider</w:t>
      </w:r>
      <w:r w:rsidR="001500EB">
        <w:t xml:space="preserve"> and </w:t>
      </w:r>
      <w:r w:rsidR="00781D1C" w:rsidRPr="00781D1C">
        <w:t>there</w:t>
      </w:r>
      <w:r w:rsidR="001500EB">
        <w:t xml:space="preserve">fore there </w:t>
      </w:r>
      <w:r w:rsidR="00781D1C" w:rsidRPr="00781D1C">
        <w:t xml:space="preserve">is a lower administrative cost in implementing this measure </w:t>
      </w:r>
      <w:r w:rsidR="00F071E9">
        <w:t xml:space="preserve">- </w:t>
      </w:r>
      <w:r w:rsidR="00781D1C" w:rsidRPr="00781D1C">
        <w:t>an efficient, effective, economical and ethical use of Commonwealth resources</w:t>
      </w:r>
      <w:r w:rsidR="00B6746F">
        <w:t>;</w:t>
      </w:r>
    </w:p>
    <w:p w:rsidR="0037164A" w:rsidRPr="00184A6D" w:rsidRDefault="0009448C" w:rsidP="0037164A">
      <w:pPr>
        <w:pStyle w:val="ListBullet2"/>
        <w:numPr>
          <w:ilvl w:val="0"/>
          <w:numId w:val="23"/>
        </w:numPr>
      </w:pPr>
      <w:r>
        <w:t>r</w:t>
      </w:r>
      <w:r w:rsidR="0037164A" w:rsidRPr="00184A6D">
        <w:t xml:space="preserve">isk </w:t>
      </w:r>
      <w:r w:rsidR="00142A5E">
        <w:t xml:space="preserve">–the </w:t>
      </w:r>
      <w:r w:rsidR="001500EB">
        <w:t>agency</w:t>
      </w:r>
      <w:r w:rsidR="00142A5E">
        <w:t xml:space="preserve"> must be </w:t>
      </w:r>
      <w:r w:rsidR="0037164A" w:rsidRPr="00184A6D">
        <w:t xml:space="preserve"> assessed as ‘low risk’ against the </w:t>
      </w:r>
      <w:r w:rsidR="004F0A57">
        <w:t>FaHCSIA</w:t>
      </w:r>
      <w:r w:rsidR="0037164A" w:rsidRPr="00184A6D">
        <w:t xml:space="preserve"> Service </w:t>
      </w:r>
      <w:r w:rsidR="00B6746F">
        <w:t>Provider Risk Assessment</w:t>
      </w:r>
      <w:r w:rsidR="0037164A" w:rsidRPr="00184A6D">
        <w:t>. This tool considers a range of elements which include financial management, governance, and issues management;</w:t>
      </w:r>
    </w:p>
    <w:p w:rsidR="0037164A" w:rsidRPr="004F4EF4" w:rsidRDefault="0009448C" w:rsidP="0037164A">
      <w:pPr>
        <w:pStyle w:val="ListBullet2"/>
        <w:numPr>
          <w:ilvl w:val="0"/>
          <w:numId w:val="23"/>
        </w:numPr>
      </w:pPr>
      <w:r>
        <w:t>r</w:t>
      </w:r>
      <w:r w:rsidR="0037164A" w:rsidRPr="00184A6D">
        <w:t xml:space="preserve">eporting – </w:t>
      </w:r>
      <w:r w:rsidR="00DE310C">
        <w:t xml:space="preserve">the service provider must have </w:t>
      </w:r>
      <w:r w:rsidR="0037164A" w:rsidRPr="004F4EF4">
        <w:t>met all milestones for performance, data and financial reporting</w:t>
      </w:r>
      <w:r w:rsidR="0037164A">
        <w:t xml:space="preserve"> against </w:t>
      </w:r>
      <w:r w:rsidR="00DE310C">
        <w:t xml:space="preserve">their </w:t>
      </w:r>
      <w:r w:rsidR="0037164A">
        <w:t xml:space="preserve">existing </w:t>
      </w:r>
      <w:r w:rsidR="004F0A57">
        <w:t>FaHCSIA</w:t>
      </w:r>
      <w:r w:rsidR="001500EB">
        <w:t xml:space="preserve"> </w:t>
      </w:r>
      <w:r w:rsidR="0037164A">
        <w:t>Funding Agreement Schedule</w:t>
      </w:r>
      <w:r w:rsidR="0037164A" w:rsidRPr="004F4EF4">
        <w:t>;</w:t>
      </w:r>
    </w:p>
    <w:p w:rsidR="00461CE3" w:rsidRDefault="0009448C" w:rsidP="0037164A">
      <w:pPr>
        <w:pStyle w:val="ListBullet2"/>
        <w:numPr>
          <w:ilvl w:val="0"/>
          <w:numId w:val="23"/>
        </w:numPr>
      </w:pPr>
      <w:r>
        <w:t>p</w:t>
      </w:r>
      <w:r w:rsidR="00142A5E">
        <w:t xml:space="preserve">erformance </w:t>
      </w:r>
      <w:r w:rsidR="0037164A" w:rsidRPr="00184A6D">
        <w:t xml:space="preserve"> – </w:t>
      </w:r>
      <w:r w:rsidR="00DE310C">
        <w:t xml:space="preserve">the </w:t>
      </w:r>
      <w:r w:rsidR="001500EB">
        <w:t>agency</w:t>
      </w:r>
      <w:r w:rsidR="00DE310C">
        <w:t xml:space="preserve"> must have d</w:t>
      </w:r>
      <w:r w:rsidR="0037164A" w:rsidRPr="00184A6D">
        <w:t xml:space="preserve">emonstrated </w:t>
      </w:r>
      <w:r w:rsidR="00DE310C">
        <w:t xml:space="preserve">their </w:t>
      </w:r>
      <w:r w:rsidR="0037164A" w:rsidRPr="00184A6D">
        <w:t>ability to respond to new initiatives and</w:t>
      </w:r>
      <w:r w:rsidR="0037164A">
        <w:t xml:space="preserve"> </w:t>
      </w:r>
      <w:r w:rsidR="0037164A" w:rsidRPr="00184A6D">
        <w:t xml:space="preserve">measures introduced by </w:t>
      </w:r>
      <w:r w:rsidR="004F0A57">
        <w:t>FaHCSIA</w:t>
      </w:r>
      <w:r w:rsidR="0037164A">
        <w:t xml:space="preserve">; </w:t>
      </w:r>
      <w:r w:rsidR="00B6746F">
        <w:t xml:space="preserve">expand to meet new service delivery requirements; </w:t>
      </w:r>
      <w:r w:rsidR="00DE310C">
        <w:t xml:space="preserve">have </w:t>
      </w:r>
      <w:r w:rsidR="0037164A" w:rsidRPr="004F4EF4">
        <w:t>demonstrated flexibility and responsiveness</w:t>
      </w:r>
      <w:r w:rsidR="00DE310C">
        <w:t xml:space="preserve"> in meeting </w:t>
      </w:r>
      <w:r w:rsidR="004F0A57">
        <w:t>F</w:t>
      </w:r>
      <w:r w:rsidR="000D18D0">
        <w:t>a</w:t>
      </w:r>
      <w:r w:rsidR="004F0A57">
        <w:t>HCSIA</w:t>
      </w:r>
      <w:r w:rsidR="00DE310C">
        <w:t>’s requests</w:t>
      </w:r>
      <w:r w:rsidR="0037164A" w:rsidRPr="004F4EF4">
        <w:t>; and</w:t>
      </w:r>
      <w:r w:rsidR="0037164A">
        <w:t xml:space="preserve"> </w:t>
      </w:r>
      <w:r w:rsidR="00DE310C">
        <w:t xml:space="preserve">have demonstrated </w:t>
      </w:r>
      <w:r w:rsidR="00B6746F">
        <w:t xml:space="preserve">an </w:t>
      </w:r>
      <w:r w:rsidR="0037164A" w:rsidRPr="004F4EF4">
        <w:t>ability to problem solve and adjus</w:t>
      </w:r>
      <w:r w:rsidR="00B6746F">
        <w:t>t</w:t>
      </w:r>
      <w:r w:rsidR="0037164A" w:rsidRPr="004F4EF4">
        <w:t xml:space="preserve"> </w:t>
      </w:r>
      <w:r w:rsidR="00DE310C">
        <w:t xml:space="preserve">their </w:t>
      </w:r>
      <w:r w:rsidR="0037164A" w:rsidRPr="004F4EF4">
        <w:t xml:space="preserve">service delivery approach to meet </w:t>
      </w:r>
      <w:r w:rsidR="00DE310C">
        <w:t xml:space="preserve">the </w:t>
      </w:r>
      <w:r w:rsidR="0037164A" w:rsidRPr="004F4EF4">
        <w:t>needs</w:t>
      </w:r>
      <w:r w:rsidR="00DE310C">
        <w:t xml:space="preserve"> of people with disability</w:t>
      </w:r>
      <w:r w:rsidR="00A67539">
        <w:t>;</w:t>
      </w:r>
      <w:r w:rsidR="0037164A" w:rsidRPr="004F4EF4">
        <w:t> </w:t>
      </w:r>
    </w:p>
    <w:p w:rsidR="0037164A" w:rsidRPr="004F4EF4" w:rsidRDefault="00461CE3" w:rsidP="00E56B9D">
      <w:pPr>
        <w:pStyle w:val="ListBullet2"/>
        <w:numPr>
          <w:ilvl w:val="0"/>
          <w:numId w:val="23"/>
        </w:numPr>
      </w:pPr>
      <w:r>
        <w:t xml:space="preserve">timeframe – </w:t>
      </w:r>
      <w:r w:rsidR="0037164A" w:rsidRPr="004F4EF4">
        <w:t xml:space="preserve"> </w:t>
      </w:r>
      <w:r w:rsidRPr="00461CE3">
        <w:t xml:space="preserve">there is urgency in the timing of the delivery of this measure as the </w:t>
      </w:r>
      <w:r w:rsidR="00ED262A">
        <w:t>National Disability Insurance Scheme</w:t>
      </w:r>
      <w:r w:rsidRPr="00461CE3">
        <w:t xml:space="preserve"> launch will commence on 1 July 2013 and the agreement with providers will need to be in place before appeals begin flowing to the AAT</w:t>
      </w:r>
      <w:r>
        <w:t xml:space="preserve">. The </w:t>
      </w:r>
      <w:r w:rsidR="001500EB">
        <w:t>agency</w:t>
      </w:r>
      <w:r>
        <w:t xml:space="preserve"> must </w:t>
      </w:r>
      <w:r w:rsidRPr="00461CE3">
        <w:t>have capacity to deliver the services within the timeframe for implementation;</w:t>
      </w:r>
      <w:r>
        <w:t xml:space="preserve"> and</w:t>
      </w:r>
    </w:p>
    <w:p w:rsidR="00472D44" w:rsidRDefault="0009448C" w:rsidP="00472D44">
      <w:pPr>
        <w:pStyle w:val="ListBullet2"/>
        <w:numPr>
          <w:ilvl w:val="0"/>
          <w:numId w:val="23"/>
        </w:numPr>
        <w:rPr>
          <w:b/>
        </w:rPr>
      </w:pPr>
      <w:r>
        <w:t>q</w:t>
      </w:r>
      <w:r w:rsidR="0037164A" w:rsidRPr="00184A6D">
        <w:t xml:space="preserve">uality </w:t>
      </w:r>
      <w:r w:rsidR="00A67539">
        <w:t>a</w:t>
      </w:r>
      <w:r w:rsidR="0037164A" w:rsidRPr="00184A6D">
        <w:t xml:space="preserve">ssurance – </w:t>
      </w:r>
      <w:r w:rsidR="00142A5E">
        <w:t xml:space="preserve">must </w:t>
      </w:r>
      <w:r w:rsidR="00A1783D">
        <w:t xml:space="preserve">have achieved </w:t>
      </w:r>
      <w:r w:rsidR="00936C03">
        <w:t>certifi</w:t>
      </w:r>
      <w:r w:rsidR="00A1783D">
        <w:t xml:space="preserve">cation in the NDAP </w:t>
      </w:r>
      <w:r w:rsidR="00A67539">
        <w:t xml:space="preserve">Quality Assurance system </w:t>
      </w:r>
      <w:r w:rsidR="00142A5E">
        <w:rPr>
          <w:lang w:val="en-GB"/>
        </w:rPr>
        <w:t xml:space="preserve">and </w:t>
      </w:r>
      <w:r w:rsidR="00936C03">
        <w:rPr>
          <w:lang w:val="en-GB"/>
        </w:rPr>
        <w:t xml:space="preserve">have demonstrated </w:t>
      </w:r>
      <w:r w:rsidR="0037164A" w:rsidRPr="004F4EF4">
        <w:rPr>
          <w:lang w:val="en-GB"/>
        </w:rPr>
        <w:t>compliance against the Disability Advocacy Standards</w:t>
      </w:r>
      <w:r w:rsidR="0037164A" w:rsidRPr="00184A6D">
        <w:t>.</w:t>
      </w:r>
      <w:r w:rsidR="00472D44" w:rsidRPr="00D67D9B">
        <w:rPr>
          <w:b/>
        </w:rPr>
        <w:t xml:space="preserve"> </w:t>
      </w:r>
    </w:p>
    <w:p w:rsidR="00472D44" w:rsidRDefault="00472D44" w:rsidP="00472D44">
      <w:pPr>
        <w:pStyle w:val="ListBullet2"/>
        <w:numPr>
          <w:ilvl w:val="0"/>
          <w:numId w:val="0"/>
        </w:numPr>
        <w:ind w:left="720"/>
        <w:rPr>
          <w:b/>
        </w:rPr>
      </w:pPr>
    </w:p>
    <w:p w:rsidR="009D5DE7" w:rsidRPr="00D67D9B" w:rsidRDefault="009D5DE7" w:rsidP="00472D44">
      <w:pPr>
        <w:pStyle w:val="ListBullet2"/>
        <w:numPr>
          <w:ilvl w:val="0"/>
          <w:numId w:val="0"/>
        </w:numPr>
        <w:rPr>
          <w:b/>
        </w:rPr>
      </w:pPr>
      <w:r w:rsidRPr="00D67D9B">
        <w:rPr>
          <w:b/>
        </w:rPr>
        <w:t>Legal Services</w:t>
      </w:r>
    </w:p>
    <w:p w:rsidR="0037164A" w:rsidRDefault="00CB33A0" w:rsidP="0037164A">
      <w:pPr>
        <w:pStyle w:val="BodyText0"/>
      </w:pPr>
      <w:r>
        <w:t>L</w:t>
      </w:r>
      <w:r w:rsidR="0037164A">
        <w:t xml:space="preserve">egal services will be provided by the </w:t>
      </w:r>
      <w:r w:rsidR="0037164A" w:rsidRPr="00184A6D">
        <w:t>legal aid commissions</w:t>
      </w:r>
      <w:r w:rsidR="0037164A">
        <w:t xml:space="preserve"> in each launch site on the basis </w:t>
      </w:r>
      <w:r w:rsidR="0009448C">
        <w:t xml:space="preserve">  </w:t>
      </w:r>
      <w:r w:rsidR="0037164A">
        <w:t>of their:</w:t>
      </w:r>
    </w:p>
    <w:p w:rsidR="0037164A" w:rsidRPr="00184A6D" w:rsidRDefault="0009448C" w:rsidP="0037164A">
      <w:pPr>
        <w:pStyle w:val="ListBullet2"/>
        <w:numPr>
          <w:ilvl w:val="0"/>
          <w:numId w:val="23"/>
        </w:numPr>
      </w:pPr>
      <w:r>
        <w:t>e</w:t>
      </w:r>
      <w:r w:rsidR="0037164A" w:rsidRPr="00184A6D">
        <w:t xml:space="preserve">xisting reporting arrangements with </w:t>
      </w:r>
      <w:r w:rsidR="00422E46">
        <w:t>g</w:t>
      </w:r>
      <w:r w:rsidR="0037164A" w:rsidRPr="00184A6D">
        <w:t>overnment and existing data collection in place which can be enhanced at no cost. This will enable the collection of standardised data by legal aid commissions to accurately reflect the requirements of applicants re</w:t>
      </w:r>
      <w:r w:rsidR="00E56B9D">
        <w:t xml:space="preserve">ceiving </w:t>
      </w:r>
      <w:r w:rsidR="0037164A" w:rsidRPr="00184A6D">
        <w:t>legal advice and representation;</w:t>
      </w:r>
    </w:p>
    <w:p w:rsidR="0037164A" w:rsidRPr="00184A6D" w:rsidRDefault="0009448C" w:rsidP="0037164A">
      <w:pPr>
        <w:pStyle w:val="ListBullet2"/>
        <w:numPr>
          <w:ilvl w:val="0"/>
          <w:numId w:val="23"/>
        </w:numPr>
      </w:pPr>
      <w:r>
        <w:t>r</w:t>
      </w:r>
      <w:r w:rsidR="0037164A" w:rsidRPr="00184A6D">
        <w:t>elevant experience in providing services to people with disability and existing expertise in working in an AAT environment. This proven capability and experience reduces the lead time necessary for the service provider to understand the full scope of the work;</w:t>
      </w:r>
    </w:p>
    <w:p w:rsidR="0037164A" w:rsidRPr="00184A6D" w:rsidRDefault="0037164A" w:rsidP="0037164A">
      <w:pPr>
        <w:pStyle w:val="ListBullet2"/>
        <w:numPr>
          <w:ilvl w:val="0"/>
          <w:numId w:val="23"/>
        </w:numPr>
      </w:pPr>
      <w:r w:rsidRPr="00184A6D">
        <w:t>national coverage and a physical presence in each launch site</w:t>
      </w:r>
      <w:r w:rsidR="00E56B9D">
        <w:t>s</w:t>
      </w:r>
      <w:r w:rsidRPr="00184A6D">
        <w:t xml:space="preserve">;  </w:t>
      </w:r>
    </w:p>
    <w:p w:rsidR="0037164A" w:rsidRPr="00184A6D" w:rsidRDefault="0037164A" w:rsidP="0037164A">
      <w:pPr>
        <w:pStyle w:val="ListBullet2"/>
        <w:numPr>
          <w:ilvl w:val="0"/>
          <w:numId w:val="23"/>
        </w:numPr>
      </w:pPr>
      <w:r w:rsidRPr="00184A6D">
        <w:lastRenderedPageBreak/>
        <w:t>ability to draw on existing expertise within their services - able to consult with other legal assistance providers, including the National Association of Community Legal Centres and the Aboriginal and Torres Strait Islander Legal Services (ATSILS) as required. As Indigenous Australians have significantly higher disability rates than non-Indigenous Australians, the ATSILS provide culturally appropriate services nationally and would be best equipped to provide assistance;</w:t>
      </w:r>
    </w:p>
    <w:p w:rsidR="0037164A" w:rsidRPr="00184A6D" w:rsidRDefault="0037164A" w:rsidP="0037164A">
      <w:pPr>
        <w:pStyle w:val="ListBullet2"/>
        <w:numPr>
          <w:ilvl w:val="0"/>
          <w:numId w:val="23"/>
        </w:numPr>
      </w:pPr>
      <w:r w:rsidRPr="00184A6D">
        <w:t xml:space="preserve">the high likelihood of the legal aid commissions being approached for grants of assistance for many people seeking AAT review and their agreement to the limited funding for complex or novel matters (funding is capped at $6,720 per case); </w:t>
      </w:r>
    </w:p>
    <w:p w:rsidR="0037164A" w:rsidRPr="00184A6D" w:rsidRDefault="0037164A" w:rsidP="0037164A">
      <w:pPr>
        <w:pStyle w:val="ListBullet2"/>
        <w:numPr>
          <w:ilvl w:val="0"/>
          <w:numId w:val="23"/>
        </w:numPr>
      </w:pPr>
      <w:r w:rsidRPr="00184A6D">
        <w:t xml:space="preserve">time available for conducting a selection process – there is urgency in the timing of the delivery of this measure as the </w:t>
      </w:r>
      <w:r w:rsidR="00ED262A">
        <w:t>National Disability Insurance Scheme</w:t>
      </w:r>
      <w:r w:rsidRPr="00184A6D">
        <w:t xml:space="preserve"> launch will commence on 1 July 2013 and the agreement with providers will need to be in place before appeals begin flowing </w:t>
      </w:r>
      <w:r w:rsidR="0009448C">
        <w:t>t</w:t>
      </w:r>
      <w:r w:rsidRPr="00184A6D">
        <w:t>o the AAT;</w:t>
      </w:r>
    </w:p>
    <w:p w:rsidR="0037164A" w:rsidRDefault="0037164A" w:rsidP="0037164A">
      <w:pPr>
        <w:pStyle w:val="ListBullet2"/>
        <w:numPr>
          <w:ilvl w:val="0"/>
          <w:numId w:val="23"/>
        </w:numPr>
      </w:pPr>
      <w:r w:rsidRPr="00184A6D">
        <w:t xml:space="preserve">this approach allows for standardised training to be provided as well as ensuring consistent advice and representation to applicants during the </w:t>
      </w:r>
      <w:r w:rsidR="00ED262A">
        <w:t>National Disability Insurance Scheme</w:t>
      </w:r>
      <w:r w:rsidRPr="00184A6D">
        <w:t xml:space="preserve"> launch stage, and feedback on the process to </w:t>
      </w:r>
      <w:r w:rsidR="004F0A57">
        <w:t>FaHCSIA</w:t>
      </w:r>
      <w:r w:rsidRPr="00184A6D">
        <w:t>; and</w:t>
      </w:r>
    </w:p>
    <w:p w:rsidR="00510DD4" w:rsidRDefault="0037164A" w:rsidP="0037164A">
      <w:pPr>
        <w:pStyle w:val="ListBullet2"/>
        <w:numPr>
          <w:ilvl w:val="0"/>
          <w:numId w:val="23"/>
        </w:numPr>
      </w:pPr>
      <w:r w:rsidRPr="00184A6D">
        <w:t xml:space="preserve">value </w:t>
      </w:r>
      <w:r w:rsidR="00461CE3">
        <w:t>with public</w:t>
      </w:r>
      <w:r w:rsidRPr="00184A6D">
        <w:t xml:space="preserve"> money – as existing providers there is a lower administrative cost in implementing this measure, therefore this is an efficient, effective, economical and ethical use of Commonwealth resources.</w:t>
      </w:r>
    </w:p>
    <w:p w:rsidR="00B6746F" w:rsidRDefault="00B6746F" w:rsidP="00D67D9B">
      <w:pPr>
        <w:pStyle w:val="ListBullet2"/>
        <w:numPr>
          <w:ilvl w:val="0"/>
          <w:numId w:val="0"/>
        </w:numPr>
      </w:pPr>
    </w:p>
    <w:p w:rsidR="009D5DE7" w:rsidRDefault="00B6746F" w:rsidP="00D67D9B">
      <w:pPr>
        <w:pStyle w:val="ListBullet2"/>
        <w:numPr>
          <w:ilvl w:val="0"/>
          <w:numId w:val="0"/>
        </w:numPr>
      </w:pPr>
      <w:r>
        <w:t xml:space="preserve">The final recommendation for service providers will be made by the Manager, External Merits Review, following recommendations from each </w:t>
      </w:r>
      <w:r w:rsidR="004F0A57">
        <w:t>FaHCSIA</w:t>
      </w:r>
      <w:r>
        <w:t xml:space="preserve"> state office in the launch sites. </w:t>
      </w:r>
    </w:p>
    <w:p w:rsidR="00B6746F" w:rsidRDefault="009D5DE7" w:rsidP="00D67D9B">
      <w:pPr>
        <w:pStyle w:val="ListBullet2"/>
        <w:numPr>
          <w:ilvl w:val="0"/>
          <w:numId w:val="0"/>
        </w:numPr>
      </w:pPr>
      <w:r>
        <w:t>The final</w:t>
      </w:r>
      <w:r w:rsidR="00B6746F">
        <w:t xml:space="preserve"> approval of service providers will be made by the Branch Manager, Disability and </w:t>
      </w:r>
      <w:r>
        <w:t>C</w:t>
      </w:r>
      <w:r w:rsidR="00B6746F">
        <w:t xml:space="preserve">arers Payments Policy, </w:t>
      </w:r>
      <w:r>
        <w:t xml:space="preserve">as Delegate </w:t>
      </w:r>
      <w:r w:rsidR="00461CE3">
        <w:t>under</w:t>
      </w:r>
      <w:r>
        <w:t xml:space="preserve"> </w:t>
      </w:r>
      <w:r w:rsidR="00B6746F">
        <w:t xml:space="preserve">the </w:t>
      </w:r>
      <w:r w:rsidRPr="00D67D9B">
        <w:rPr>
          <w:i/>
        </w:rPr>
        <w:t>Financial Management</w:t>
      </w:r>
      <w:r>
        <w:rPr>
          <w:i/>
        </w:rPr>
        <w:t xml:space="preserve"> and Accountability</w:t>
      </w:r>
      <w:r w:rsidRPr="00D67D9B">
        <w:rPr>
          <w:i/>
        </w:rPr>
        <w:t xml:space="preserve"> Act</w:t>
      </w:r>
      <w:r>
        <w:rPr>
          <w:i/>
        </w:rPr>
        <w:t xml:space="preserve"> 1997.</w:t>
      </w:r>
      <w:r w:rsidRPr="009D5DE7">
        <w:t xml:space="preserve"> </w:t>
      </w:r>
    </w:p>
    <w:p w:rsidR="009D5DE7" w:rsidRDefault="009D5DE7" w:rsidP="00D67D9B">
      <w:pPr>
        <w:pStyle w:val="ListBullet2"/>
        <w:numPr>
          <w:ilvl w:val="0"/>
          <w:numId w:val="0"/>
        </w:numPr>
      </w:pPr>
    </w:p>
    <w:p w:rsidR="009D5DE7" w:rsidRPr="0037164A" w:rsidRDefault="009D5DE7" w:rsidP="00D67D9B">
      <w:pPr>
        <w:pStyle w:val="ListBullet2"/>
        <w:numPr>
          <w:ilvl w:val="0"/>
          <w:numId w:val="0"/>
        </w:numPr>
      </w:pPr>
      <w:r>
        <w:t xml:space="preserve">The selected service providers will be informed directly </w:t>
      </w:r>
      <w:r w:rsidR="00461CE3">
        <w:t>in writing.</w:t>
      </w:r>
      <w:r>
        <w:t xml:space="preserve"> </w:t>
      </w:r>
    </w:p>
    <w:bookmarkEnd w:id="45"/>
    <w:p w:rsidR="001A52AB" w:rsidRDefault="001A52AB" w:rsidP="00A5586C">
      <w:pPr>
        <w:rPr>
          <w:sz w:val="20"/>
        </w:rPr>
      </w:pPr>
    </w:p>
    <w:p w:rsidR="003E0B58" w:rsidRPr="00C86A8D" w:rsidRDefault="00422E46" w:rsidP="00D67D9B">
      <w:pPr>
        <w:pStyle w:val="Heading1"/>
        <w:numPr>
          <w:ilvl w:val="0"/>
          <w:numId w:val="0"/>
        </w:numPr>
        <w:ind w:left="432" w:hanging="432"/>
      </w:pPr>
      <w:bookmarkStart w:id="77" w:name="_Toc363817538"/>
      <w:bookmarkStart w:id="78" w:name="_Toc363823076"/>
      <w:r>
        <w:t>4.</w:t>
      </w:r>
      <w:bookmarkEnd w:id="77"/>
      <w:r>
        <w:tab/>
      </w:r>
      <w:bookmarkStart w:id="79" w:name="_Toc168133746"/>
      <w:bookmarkStart w:id="80" w:name="_Toc168733382"/>
      <w:bookmarkStart w:id="81" w:name="_Toc272497591"/>
      <w:bookmarkStart w:id="82" w:name="_Toc363819328"/>
      <w:r w:rsidR="003E0B58">
        <w:t>Contact information</w:t>
      </w:r>
      <w:bookmarkEnd w:id="78"/>
      <w:bookmarkEnd w:id="79"/>
      <w:bookmarkEnd w:id="80"/>
      <w:bookmarkEnd w:id="81"/>
      <w:bookmarkEnd w:id="82"/>
    </w:p>
    <w:p w:rsidR="008C4CF2" w:rsidRPr="00D67D9B" w:rsidRDefault="00227245" w:rsidP="008C4CF2">
      <w:pPr>
        <w:spacing w:before="100" w:beforeAutospacing="1" w:after="100" w:afterAutospacing="1"/>
        <w:rPr>
          <w:szCs w:val="22"/>
        </w:rPr>
      </w:pPr>
      <w:r>
        <w:rPr>
          <w:szCs w:val="22"/>
        </w:rPr>
        <w:t>For further information, c</w:t>
      </w:r>
      <w:r w:rsidR="008C4CF2" w:rsidRPr="00D67D9B">
        <w:rPr>
          <w:szCs w:val="22"/>
        </w:rPr>
        <w:t xml:space="preserve">ontact </w:t>
      </w:r>
      <w:r w:rsidR="004F0A57">
        <w:rPr>
          <w:szCs w:val="22"/>
        </w:rPr>
        <w:t>FaHCSIA</w:t>
      </w:r>
      <w:r w:rsidR="00E9123F">
        <w:rPr>
          <w:szCs w:val="22"/>
        </w:rPr>
        <w:t>:</w:t>
      </w:r>
      <w:r w:rsidR="008C4CF2" w:rsidRPr="00D67D9B">
        <w:rPr>
          <w:szCs w:val="22"/>
        </w:rPr>
        <w:t xml:space="preserve"> </w:t>
      </w:r>
    </w:p>
    <w:p w:rsidR="008C4CF2" w:rsidRPr="00D67D9B" w:rsidRDefault="008C4CF2" w:rsidP="008C4CF2">
      <w:pPr>
        <w:rPr>
          <w:szCs w:val="22"/>
        </w:rPr>
      </w:pPr>
      <w:r w:rsidRPr="00D67D9B">
        <w:rPr>
          <w:szCs w:val="22"/>
        </w:rPr>
        <w:tab/>
        <w:t>Manager</w:t>
      </w:r>
    </w:p>
    <w:p w:rsidR="008C4CF2" w:rsidRPr="00D67D9B" w:rsidRDefault="008C4CF2" w:rsidP="008C4CF2">
      <w:pPr>
        <w:rPr>
          <w:szCs w:val="22"/>
        </w:rPr>
      </w:pPr>
      <w:r w:rsidRPr="00D67D9B">
        <w:rPr>
          <w:szCs w:val="22"/>
        </w:rPr>
        <w:tab/>
      </w:r>
      <w:r w:rsidR="00846F7A" w:rsidRPr="00D67D9B">
        <w:rPr>
          <w:szCs w:val="22"/>
        </w:rPr>
        <w:t>External Merits Review - Support Component</w:t>
      </w:r>
    </w:p>
    <w:p w:rsidR="008C4CF2" w:rsidRPr="00D67D9B" w:rsidRDefault="008C4CF2" w:rsidP="008C4CF2">
      <w:pPr>
        <w:rPr>
          <w:szCs w:val="22"/>
        </w:rPr>
      </w:pPr>
      <w:r w:rsidRPr="00D67D9B">
        <w:rPr>
          <w:szCs w:val="22"/>
        </w:rPr>
        <w:tab/>
        <w:t xml:space="preserve">Disability and Carers </w:t>
      </w:r>
      <w:r w:rsidR="00227245">
        <w:rPr>
          <w:szCs w:val="22"/>
        </w:rPr>
        <w:t>Group</w:t>
      </w:r>
    </w:p>
    <w:p w:rsidR="008C4CF2" w:rsidRPr="00D67D9B" w:rsidRDefault="008C4CF2" w:rsidP="008C4CF2">
      <w:pPr>
        <w:ind w:firstLine="720"/>
        <w:rPr>
          <w:szCs w:val="22"/>
        </w:rPr>
      </w:pPr>
      <w:r w:rsidRPr="00D67D9B">
        <w:rPr>
          <w:szCs w:val="22"/>
        </w:rPr>
        <w:t xml:space="preserve">Department of </w:t>
      </w:r>
      <w:r w:rsidR="004F0A57">
        <w:rPr>
          <w:szCs w:val="22"/>
        </w:rPr>
        <w:t>Families, Housing, Community Services and Indigenous Affairs</w:t>
      </w:r>
    </w:p>
    <w:p w:rsidR="008C4CF2" w:rsidRPr="00D67D9B" w:rsidRDefault="008C4CF2" w:rsidP="008C4CF2">
      <w:pPr>
        <w:pStyle w:val="List3"/>
        <w:ind w:left="0" w:firstLine="720"/>
        <w:rPr>
          <w:szCs w:val="22"/>
        </w:rPr>
      </w:pPr>
      <w:r w:rsidRPr="00D67D9B">
        <w:rPr>
          <w:szCs w:val="22"/>
        </w:rPr>
        <w:t>PO Box 7576</w:t>
      </w:r>
    </w:p>
    <w:p w:rsidR="008C4CF2" w:rsidRPr="00D67D9B" w:rsidRDefault="008C4CF2" w:rsidP="008C4CF2">
      <w:pPr>
        <w:pStyle w:val="List3"/>
        <w:ind w:left="0" w:firstLine="720"/>
        <w:rPr>
          <w:szCs w:val="22"/>
        </w:rPr>
      </w:pPr>
      <w:r w:rsidRPr="00D67D9B">
        <w:rPr>
          <w:szCs w:val="22"/>
        </w:rPr>
        <w:t>Canberra Business Centre ACT 2610</w:t>
      </w:r>
    </w:p>
    <w:p w:rsidR="008C4CF2" w:rsidRDefault="008C4CF2" w:rsidP="008C4CF2">
      <w:pPr>
        <w:pStyle w:val="List3"/>
        <w:ind w:left="0" w:firstLine="720"/>
        <w:rPr>
          <w:sz w:val="24"/>
          <w:szCs w:val="24"/>
        </w:rPr>
      </w:pPr>
    </w:p>
    <w:p w:rsidR="00CB33A0" w:rsidRPr="00D67D9B" w:rsidRDefault="008C4CF2" w:rsidP="008C4CF2">
      <w:pPr>
        <w:spacing w:after="120"/>
        <w:ind w:left="357"/>
        <w:rPr>
          <w:szCs w:val="22"/>
        </w:rPr>
      </w:pPr>
      <w:r w:rsidRPr="00D67D9B">
        <w:rPr>
          <w:szCs w:val="22"/>
        </w:rPr>
        <w:t xml:space="preserve">Email: </w:t>
      </w:r>
      <w:hyperlink r:id="rId21" w:history="1">
        <w:r w:rsidR="008E3AC5" w:rsidRPr="008E3AC5">
          <w:rPr>
            <w:rStyle w:val="Hyperlink"/>
            <w:szCs w:val="22"/>
          </w:rPr>
          <w:t>ExternalMeritsReview@</w:t>
        </w:r>
        <w:r w:rsidR="004F0A57">
          <w:rPr>
            <w:rStyle w:val="Hyperlink"/>
            <w:szCs w:val="22"/>
          </w:rPr>
          <w:t>FaHCSIA</w:t>
        </w:r>
        <w:r w:rsidR="008E3AC5" w:rsidRPr="008E3AC5">
          <w:rPr>
            <w:rStyle w:val="Hyperlink"/>
            <w:szCs w:val="22"/>
          </w:rPr>
          <w:t>.gov.au</w:t>
        </w:r>
      </w:hyperlink>
    </w:p>
    <w:p w:rsidR="00846F7A" w:rsidRDefault="00846F7A" w:rsidP="008C4CF2">
      <w:pPr>
        <w:spacing w:after="120"/>
        <w:ind w:left="357"/>
        <w:rPr>
          <w:sz w:val="24"/>
          <w:szCs w:val="24"/>
        </w:rPr>
      </w:pPr>
    </w:p>
    <w:sectPr w:rsidR="00846F7A" w:rsidSect="00EE4645">
      <w:pgSz w:w="11906" w:h="16838"/>
      <w:pgMar w:top="1418" w:right="1276" w:bottom="1418" w:left="1276" w:header="720" w:footer="72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C0" w:rsidRDefault="002070C0">
      <w:r>
        <w:separator/>
      </w:r>
    </w:p>
  </w:endnote>
  <w:endnote w:type="continuationSeparator" w:id="0">
    <w:p w:rsidR="002070C0" w:rsidRDefault="0020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etaPlusNormal-">
    <w:panose1 w:val="00000000000000000000"/>
    <w:charset w:val="00"/>
    <w:family w:val="auto"/>
    <w:notTrueType/>
    <w:pitch w:val="default"/>
    <w:sig w:usb0="00000003" w:usb1="00000000" w:usb2="00000000" w:usb3="00000000" w:csb0="00000001" w:csb1="00000000"/>
  </w:font>
  <w:font w:name="MetaPlus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45" w:rsidRDefault="000A2845" w:rsidP="00EE46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499">
      <w:rPr>
        <w:rStyle w:val="PageNumber"/>
        <w:noProof/>
      </w:rPr>
      <w:t>9</w:t>
    </w:r>
    <w:r>
      <w:rPr>
        <w:rStyle w:val="PageNumber"/>
      </w:rPr>
      <w:fldChar w:fldCharType="end"/>
    </w:r>
  </w:p>
  <w:p w:rsidR="000A2845" w:rsidRDefault="000A2845" w:rsidP="00EE46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45" w:rsidRDefault="000A2845" w:rsidP="000A2845">
    <w:pPr>
      <w:pStyle w:val="Footer"/>
      <w:framePr w:wrap="around" w:vAnchor="text" w:hAnchor="page" w:x="10522" w:y="-20"/>
      <w:rPr>
        <w:rStyle w:val="PageNumber"/>
      </w:rPr>
    </w:pPr>
  </w:p>
  <w:p w:rsidR="000A2845" w:rsidRPr="00C36487" w:rsidRDefault="000A2845" w:rsidP="00FA0376">
    <w:pPr>
      <w:pStyle w:val="Footer"/>
      <w:ind w:right="360"/>
      <w:rPr>
        <w:rFonts w:cs="Arial"/>
        <w:bCs/>
        <w:sz w:val="18"/>
        <w:szCs w:val="18"/>
      </w:rPr>
    </w:pPr>
    <w:r>
      <w:rPr>
        <w:rStyle w:val="PageNumber"/>
        <w:rFonts w:cs="Arial"/>
        <w:sz w:val="16"/>
        <w:szCs w:val="16"/>
      </w:rPr>
      <w:t>Program Guidelines Suite</w:t>
    </w:r>
    <w:r>
      <w:rPr>
        <w:rFonts w:cs="Arial"/>
        <w:bCs/>
        <w:sz w:val="18"/>
        <w:szCs w:val="18"/>
      </w:rPr>
      <w:tab/>
    </w:r>
    <w:r>
      <w:rPr>
        <w:rFonts w:cs="Arial"/>
        <w:bCs/>
        <w:sz w:val="18"/>
        <w:szCs w:val="18"/>
      </w:rPr>
      <w:tab/>
    </w:r>
    <w:r w:rsidRPr="000A2845">
      <w:rPr>
        <w:rFonts w:cs="Arial"/>
        <w:bCs/>
        <w:sz w:val="16"/>
        <w:szCs w:val="16"/>
      </w:rPr>
      <w:t xml:space="preserve">Page </w:t>
    </w:r>
    <w:r w:rsidRPr="000A2845">
      <w:rPr>
        <w:rFonts w:cs="Arial"/>
        <w:bCs/>
        <w:sz w:val="16"/>
        <w:szCs w:val="16"/>
      </w:rPr>
      <w:fldChar w:fldCharType="begin"/>
    </w:r>
    <w:r w:rsidRPr="000A2845">
      <w:rPr>
        <w:rFonts w:cs="Arial"/>
        <w:bCs/>
        <w:sz w:val="16"/>
        <w:szCs w:val="16"/>
      </w:rPr>
      <w:instrText xml:space="preserve"> PAGE </w:instrText>
    </w:r>
    <w:r w:rsidRPr="000A2845">
      <w:rPr>
        <w:rFonts w:cs="Arial"/>
        <w:bCs/>
        <w:sz w:val="16"/>
        <w:szCs w:val="16"/>
      </w:rPr>
      <w:fldChar w:fldCharType="separate"/>
    </w:r>
    <w:r w:rsidR="003E2AB8">
      <w:rPr>
        <w:rFonts w:cs="Arial"/>
        <w:bCs/>
        <w:noProof/>
        <w:sz w:val="16"/>
        <w:szCs w:val="16"/>
      </w:rPr>
      <w:t>14</w:t>
    </w:r>
    <w:r w:rsidRPr="000A2845">
      <w:rPr>
        <w:rFonts w:cs="Arial"/>
        <w:bCs/>
        <w:sz w:val="16"/>
        <w:szCs w:val="16"/>
      </w:rPr>
      <w:fldChar w:fldCharType="end"/>
    </w:r>
    <w:r w:rsidRPr="000A2845">
      <w:rPr>
        <w:rFonts w:cs="Arial"/>
        <w:bCs/>
        <w:sz w:val="16"/>
        <w:szCs w:val="16"/>
      </w:rPr>
      <w:t xml:space="preserve"> of </w:t>
    </w:r>
    <w:r w:rsidRPr="000A2845">
      <w:rPr>
        <w:rFonts w:cs="Arial"/>
        <w:bCs/>
        <w:sz w:val="16"/>
        <w:szCs w:val="16"/>
      </w:rPr>
      <w:fldChar w:fldCharType="begin"/>
    </w:r>
    <w:r w:rsidRPr="000A2845">
      <w:rPr>
        <w:rFonts w:cs="Arial"/>
        <w:bCs/>
        <w:sz w:val="16"/>
        <w:szCs w:val="16"/>
      </w:rPr>
      <w:instrText xml:space="preserve"> NUMPAGES </w:instrText>
    </w:r>
    <w:r w:rsidRPr="000A2845">
      <w:rPr>
        <w:rFonts w:cs="Arial"/>
        <w:bCs/>
        <w:sz w:val="16"/>
        <w:szCs w:val="16"/>
      </w:rPr>
      <w:fldChar w:fldCharType="separate"/>
    </w:r>
    <w:r w:rsidR="003E2AB8">
      <w:rPr>
        <w:rFonts w:cs="Arial"/>
        <w:bCs/>
        <w:noProof/>
        <w:sz w:val="16"/>
        <w:szCs w:val="16"/>
      </w:rPr>
      <w:t>14</w:t>
    </w:r>
    <w:r w:rsidRPr="000A2845">
      <w:rPr>
        <w:rFonts w:cs="Arial"/>
        <w:bCs/>
        <w:sz w:val="16"/>
        <w:szCs w:val="16"/>
      </w:rPr>
      <w:fldChar w:fldCharType="end"/>
    </w:r>
  </w:p>
  <w:p w:rsidR="000A2845" w:rsidRDefault="000A2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45" w:rsidRPr="00C36487" w:rsidRDefault="006954B1" w:rsidP="00C36487">
    <w:pPr>
      <w:pStyle w:val="Footer"/>
      <w:ind w:right="360"/>
      <w:rPr>
        <w:rFonts w:cs="Arial"/>
        <w:bCs/>
        <w:sz w:val="18"/>
        <w:szCs w:val="18"/>
      </w:rPr>
    </w:pPr>
    <w:r>
      <w:rPr>
        <w:rFonts w:cs="Arial"/>
        <w:bCs/>
        <w:sz w:val="16"/>
        <w:szCs w:val="16"/>
      </w:rPr>
      <w:t>Program Guidelines Suite</w:t>
    </w:r>
    <w:r w:rsidR="000A2845">
      <w:rPr>
        <w:rFonts w:cs="Arial"/>
        <w:bCs/>
        <w:sz w:val="18"/>
        <w:szCs w:val="18"/>
      </w:rPr>
      <w:tab/>
    </w:r>
    <w:r w:rsidR="000A2845">
      <w:rPr>
        <w:rFonts w:cs="Arial"/>
        <w:bCs/>
        <w:sz w:val="18"/>
        <w:szCs w:val="18"/>
      </w:rPr>
      <w:tab/>
    </w:r>
    <w:r w:rsidR="000A2845" w:rsidRPr="00C82E66">
      <w:rPr>
        <w:rFonts w:cs="Arial"/>
        <w:bCs/>
        <w:sz w:val="16"/>
        <w:szCs w:val="16"/>
      </w:rPr>
      <w:t xml:space="preserve">Page </w:t>
    </w:r>
    <w:r w:rsidR="000A2845" w:rsidRPr="00C82E66">
      <w:rPr>
        <w:rFonts w:cs="Arial"/>
        <w:bCs/>
        <w:sz w:val="16"/>
        <w:szCs w:val="16"/>
      </w:rPr>
      <w:fldChar w:fldCharType="begin"/>
    </w:r>
    <w:r w:rsidR="000A2845" w:rsidRPr="00C82E66">
      <w:rPr>
        <w:rFonts w:cs="Arial"/>
        <w:bCs/>
        <w:sz w:val="16"/>
        <w:szCs w:val="16"/>
      </w:rPr>
      <w:instrText xml:space="preserve"> PAGE </w:instrText>
    </w:r>
    <w:r w:rsidR="000A2845" w:rsidRPr="00C82E66">
      <w:rPr>
        <w:rFonts w:cs="Arial"/>
        <w:bCs/>
        <w:sz w:val="16"/>
        <w:szCs w:val="16"/>
      </w:rPr>
      <w:fldChar w:fldCharType="separate"/>
    </w:r>
    <w:r w:rsidR="003E2AB8">
      <w:rPr>
        <w:rFonts w:cs="Arial"/>
        <w:bCs/>
        <w:noProof/>
        <w:sz w:val="16"/>
        <w:szCs w:val="16"/>
      </w:rPr>
      <w:t>2</w:t>
    </w:r>
    <w:r w:rsidR="000A2845" w:rsidRPr="00C82E66">
      <w:rPr>
        <w:rFonts w:cs="Arial"/>
        <w:bCs/>
        <w:sz w:val="16"/>
        <w:szCs w:val="16"/>
      </w:rPr>
      <w:fldChar w:fldCharType="end"/>
    </w:r>
    <w:r w:rsidR="000A2845" w:rsidRPr="00C82E66">
      <w:rPr>
        <w:rFonts w:cs="Arial"/>
        <w:bCs/>
        <w:sz w:val="16"/>
        <w:szCs w:val="16"/>
      </w:rPr>
      <w:t xml:space="preserve"> of </w:t>
    </w:r>
    <w:r w:rsidR="000A2845" w:rsidRPr="00C82E66">
      <w:rPr>
        <w:rFonts w:cs="Arial"/>
        <w:bCs/>
        <w:sz w:val="16"/>
        <w:szCs w:val="16"/>
      </w:rPr>
      <w:fldChar w:fldCharType="begin"/>
    </w:r>
    <w:r w:rsidR="000A2845" w:rsidRPr="00C82E66">
      <w:rPr>
        <w:rFonts w:cs="Arial"/>
        <w:bCs/>
        <w:sz w:val="16"/>
        <w:szCs w:val="16"/>
      </w:rPr>
      <w:instrText xml:space="preserve"> NUMPAGES </w:instrText>
    </w:r>
    <w:r w:rsidR="000A2845" w:rsidRPr="00C82E66">
      <w:rPr>
        <w:rFonts w:cs="Arial"/>
        <w:bCs/>
        <w:sz w:val="16"/>
        <w:szCs w:val="16"/>
      </w:rPr>
      <w:fldChar w:fldCharType="separate"/>
    </w:r>
    <w:r w:rsidR="003E2AB8">
      <w:rPr>
        <w:rFonts w:cs="Arial"/>
        <w:bCs/>
        <w:noProof/>
        <w:sz w:val="16"/>
        <w:szCs w:val="16"/>
      </w:rPr>
      <w:t>14</w:t>
    </w:r>
    <w:r w:rsidR="000A2845" w:rsidRPr="00C82E66">
      <w:rPr>
        <w:rFonts w:cs="Arial"/>
        <w:bCs/>
        <w:sz w:val="16"/>
        <w:szCs w:val="16"/>
      </w:rPr>
      <w:fldChar w:fldCharType="end"/>
    </w:r>
    <w:r w:rsidR="000A2845">
      <w:rPr>
        <w:rFonts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C0" w:rsidRDefault="002070C0">
      <w:r>
        <w:separator/>
      </w:r>
    </w:p>
  </w:footnote>
  <w:footnote w:type="continuationSeparator" w:id="0">
    <w:p w:rsidR="002070C0" w:rsidRDefault="00207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45" w:rsidRPr="003C68DB" w:rsidRDefault="000A2845" w:rsidP="00FA0376">
    <w:pPr>
      <w:pStyle w:val="Header"/>
      <w:pBdr>
        <w:bottom w:val="single" w:sz="4" w:space="1" w:color="auto"/>
      </w:pBdr>
      <w:rPr>
        <w:rFonts w:cs="Arial"/>
        <w:noProof/>
        <w:sz w:val="16"/>
        <w:szCs w:val="16"/>
      </w:rPr>
    </w:pPr>
    <w:r>
      <w:rPr>
        <w:rFonts w:cs="Arial"/>
        <w:noProof/>
        <w:sz w:val="16"/>
        <w:szCs w:val="16"/>
      </w:rPr>
      <w:t xml:space="preserve">Part C: </w:t>
    </w:r>
    <w:r w:rsidRPr="003C68DB">
      <w:rPr>
        <w:rFonts w:cs="Arial"/>
        <w:noProof/>
        <w:sz w:val="16"/>
        <w:szCs w:val="16"/>
      </w:rPr>
      <w:t xml:space="preserve">Application Information for the </w:t>
    </w:r>
    <w:r w:rsidR="00335905">
      <w:rPr>
        <w:rFonts w:cs="Arial"/>
        <w:noProof/>
        <w:sz w:val="16"/>
        <w:szCs w:val="16"/>
      </w:rPr>
      <w:t>External Merits Review – Support Component</w:t>
    </w:r>
  </w:p>
  <w:p w:rsidR="000A2845" w:rsidRDefault="000A2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45" w:rsidRPr="003C68DB" w:rsidRDefault="000A2845" w:rsidP="00FD0D5D">
    <w:pPr>
      <w:pStyle w:val="Header"/>
      <w:pBdr>
        <w:bottom w:val="single" w:sz="4" w:space="1" w:color="auto"/>
      </w:pBdr>
      <w:rPr>
        <w:rFonts w:cs="Arial"/>
        <w:noProof/>
        <w:sz w:val="16"/>
        <w:szCs w:val="16"/>
      </w:rPr>
    </w:pPr>
    <w:r w:rsidRPr="003C68DB">
      <w:rPr>
        <w:rFonts w:cs="Arial"/>
        <w:noProof/>
        <w:sz w:val="16"/>
        <w:szCs w:val="16"/>
      </w:rPr>
      <w:t xml:space="preserve">Application Information for the </w:t>
    </w:r>
    <w:r w:rsidR="00846F7A">
      <w:rPr>
        <w:rFonts w:cs="Arial"/>
        <w:noProof/>
        <w:sz w:val="16"/>
        <w:szCs w:val="16"/>
      </w:rPr>
      <w:t>External Merits Review – Support Component</w:t>
    </w:r>
  </w:p>
  <w:p w:rsidR="000A2845" w:rsidRPr="002913B8" w:rsidRDefault="000A2845" w:rsidP="00FD0D5D">
    <w:pPr>
      <w:pStyle w:val="Header"/>
      <w:jc w:val="center"/>
      <w:rPr>
        <w:b/>
        <w:sz w:val="20"/>
      </w:rPr>
    </w:pPr>
  </w:p>
  <w:p w:rsidR="000A2845" w:rsidRPr="00FD0D5D" w:rsidRDefault="000A2845" w:rsidP="00FD0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AAE215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38044C"/>
    <w:multiLevelType w:val="hybridMultilevel"/>
    <w:tmpl w:val="103662AC"/>
    <w:lvl w:ilvl="0" w:tplc="C7AC9290">
      <w:start w:val="1"/>
      <w:numFmt w:val="bullet"/>
      <w:pStyle w:val="dashpoint"/>
      <w:lvlText w:val=""/>
      <w:lvlJc w:val="left"/>
      <w:pPr>
        <w:tabs>
          <w:tab w:val="num" w:pos="430"/>
        </w:tabs>
        <w:ind w:left="430" w:hanging="360"/>
      </w:pPr>
      <w:rPr>
        <w:rFonts w:ascii="Symbol" w:hAnsi="Symbol" w:hint="default"/>
        <w:color w:val="auto"/>
      </w:rPr>
    </w:lvl>
    <w:lvl w:ilvl="1" w:tplc="46442554">
      <w:start w:val="1"/>
      <w:numFmt w:val="bullet"/>
      <w:lvlText w:val="o"/>
      <w:lvlJc w:val="left"/>
      <w:pPr>
        <w:tabs>
          <w:tab w:val="num" w:pos="1510"/>
        </w:tabs>
        <w:ind w:left="1510" w:hanging="360"/>
      </w:pPr>
      <w:rPr>
        <w:rFonts w:ascii="Courier New" w:hAnsi="Courier New" w:hint="default"/>
      </w:rPr>
    </w:lvl>
    <w:lvl w:ilvl="2" w:tplc="5A20149A" w:tentative="1">
      <w:start w:val="1"/>
      <w:numFmt w:val="bullet"/>
      <w:lvlText w:val=""/>
      <w:lvlJc w:val="left"/>
      <w:pPr>
        <w:tabs>
          <w:tab w:val="num" w:pos="2230"/>
        </w:tabs>
        <w:ind w:left="2230" w:hanging="360"/>
      </w:pPr>
      <w:rPr>
        <w:rFonts w:ascii="Wingdings" w:hAnsi="Wingdings" w:hint="default"/>
      </w:rPr>
    </w:lvl>
    <w:lvl w:ilvl="3" w:tplc="B672C86A" w:tentative="1">
      <w:start w:val="1"/>
      <w:numFmt w:val="bullet"/>
      <w:lvlText w:val=""/>
      <w:lvlJc w:val="left"/>
      <w:pPr>
        <w:tabs>
          <w:tab w:val="num" w:pos="2950"/>
        </w:tabs>
        <w:ind w:left="2950" w:hanging="360"/>
      </w:pPr>
      <w:rPr>
        <w:rFonts w:ascii="Symbol" w:hAnsi="Symbol" w:hint="default"/>
      </w:rPr>
    </w:lvl>
    <w:lvl w:ilvl="4" w:tplc="28A8FCF0" w:tentative="1">
      <w:start w:val="1"/>
      <w:numFmt w:val="bullet"/>
      <w:lvlText w:val="o"/>
      <w:lvlJc w:val="left"/>
      <w:pPr>
        <w:tabs>
          <w:tab w:val="num" w:pos="3670"/>
        </w:tabs>
        <w:ind w:left="3670" w:hanging="360"/>
      </w:pPr>
      <w:rPr>
        <w:rFonts w:ascii="Courier New" w:hAnsi="Courier New" w:hint="default"/>
      </w:rPr>
    </w:lvl>
    <w:lvl w:ilvl="5" w:tplc="1206C8AC" w:tentative="1">
      <w:start w:val="1"/>
      <w:numFmt w:val="bullet"/>
      <w:lvlText w:val=""/>
      <w:lvlJc w:val="left"/>
      <w:pPr>
        <w:tabs>
          <w:tab w:val="num" w:pos="4390"/>
        </w:tabs>
        <w:ind w:left="4390" w:hanging="360"/>
      </w:pPr>
      <w:rPr>
        <w:rFonts w:ascii="Wingdings" w:hAnsi="Wingdings" w:hint="default"/>
      </w:rPr>
    </w:lvl>
    <w:lvl w:ilvl="6" w:tplc="167CD9F6" w:tentative="1">
      <w:start w:val="1"/>
      <w:numFmt w:val="bullet"/>
      <w:lvlText w:val=""/>
      <w:lvlJc w:val="left"/>
      <w:pPr>
        <w:tabs>
          <w:tab w:val="num" w:pos="5110"/>
        </w:tabs>
        <w:ind w:left="5110" w:hanging="360"/>
      </w:pPr>
      <w:rPr>
        <w:rFonts w:ascii="Symbol" w:hAnsi="Symbol" w:hint="default"/>
      </w:rPr>
    </w:lvl>
    <w:lvl w:ilvl="7" w:tplc="6134A218" w:tentative="1">
      <w:start w:val="1"/>
      <w:numFmt w:val="bullet"/>
      <w:lvlText w:val="o"/>
      <w:lvlJc w:val="left"/>
      <w:pPr>
        <w:tabs>
          <w:tab w:val="num" w:pos="5830"/>
        </w:tabs>
        <w:ind w:left="5830" w:hanging="360"/>
      </w:pPr>
      <w:rPr>
        <w:rFonts w:ascii="Courier New" w:hAnsi="Courier New" w:hint="default"/>
      </w:rPr>
    </w:lvl>
    <w:lvl w:ilvl="8" w:tplc="0536606C" w:tentative="1">
      <w:start w:val="1"/>
      <w:numFmt w:val="bullet"/>
      <w:lvlText w:val=""/>
      <w:lvlJc w:val="left"/>
      <w:pPr>
        <w:tabs>
          <w:tab w:val="num" w:pos="6550"/>
        </w:tabs>
        <w:ind w:left="6550" w:hanging="360"/>
      </w:pPr>
      <w:rPr>
        <w:rFonts w:ascii="Wingdings" w:hAnsi="Wingdings" w:hint="default"/>
      </w:rPr>
    </w:lvl>
  </w:abstractNum>
  <w:abstractNum w:abstractNumId="2">
    <w:nsid w:val="08457BE2"/>
    <w:multiLevelType w:val="hybridMultilevel"/>
    <w:tmpl w:val="A16048A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CF25BB6"/>
    <w:multiLevelType w:val="hybridMultilevel"/>
    <w:tmpl w:val="570A713E"/>
    <w:lvl w:ilvl="0" w:tplc="41802AB2">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54BEC"/>
    <w:multiLevelType w:val="hybridMultilevel"/>
    <w:tmpl w:val="E21CF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7AD6A67"/>
    <w:multiLevelType w:val="hybridMultilevel"/>
    <w:tmpl w:val="759EBC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7C33A1E"/>
    <w:multiLevelType w:val="hybridMultilevel"/>
    <w:tmpl w:val="B4140EA4"/>
    <w:lvl w:ilvl="0" w:tplc="9FB21468">
      <w:start w:val="1"/>
      <w:numFmt w:val="bullet"/>
      <w:pStyle w:val="StyleHeaderArial10ptItalicBefore6p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9E93C64"/>
    <w:multiLevelType w:val="hybridMultilevel"/>
    <w:tmpl w:val="65B0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6C059E"/>
    <w:multiLevelType w:val="hybridMultilevel"/>
    <w:tmpl w:val="6032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D60D1A"/>
    <w:multiLevelType w:val="multilevel"/>
    <w:tmpl w:val="B10A3F1E"/>
    <w:lvl w:ilvl="0">
      <w:start w:val="1"/>
      <w:numFmt w:val="decimal"/>
      <w:pStyle w:val="Heading1"/>
      <w:lvlText w:val="%1"/>
      <w:lvlJc w:val="left"/>
      <w:pPr>
        <w:tabs>
          <w:tab w:val="num" w:pos="858"/>
        </w:tabs>
        <w:ind w:left="858" w:hanging="432"/>
      </w:pPr>
      <w:rPr>
        <w:i w:val="0"/>
        <w:sz w:val="28"/>
        <w:szCs w:val="28"/>
      </w:rPr>
    </w:lvl>
    <w:lvl w:ilvl="1">
      <w:start w:val="1"/>
      <w:numFmt w:val="decimal"/>
      <w:pStyle w:val="Heading2"/>
      <w:lvlText w:val="%1.%2"/>
      <w:lvlJc w:val="left"/>
      <w:pPr>
        <w:tabs>
          <w:tab w:val="num" w:pos="576"/>
        </w:tabs>
        <w:ind w:left="576" w:hanging="576"/>
      </w:pPr>
      <w:rPr>
        <w:sz w:val="24"/>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nsid w:val="273B3FF6"/>
    <w:multiLevelType w:val="hybridMultilevel"/>
    <w:tmpl w:val="EA5E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C04D81"/>
    <w:multiLevelType w:val="hybridMultilevel"/>
    <w:tmpl w:val="3CB67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F11347"/>
    <w:multiLevelType w:val="hybridMultilevel"/>
    <w:tmpl w:val="69348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8E44A25"/>
    <w:multiLevelType w:val="multilevel"/>
    <w:tmpl w:val="13E0CEA8"/>
    <w:lvl w:ilvl="0">
      <w:start w:val="1"/>
      <w:numFmt w:val="lowerLetter"/>
      <w:pStyle w:val="List"/>
      <w:lvlText w:val="(%1)"/>
      <w:lvlJc w:val="left"/>
      <w:pPr>
        <w:tabs>
          <w:tab w:val="num" w:pos="993"/>
        </w:tabs>
        <w:ind w:left="993" w:hanging="426"/>
      </w:pPr>
    </w:lvl>
    <w:lvl w:ilvl="1">
      <w:start w:val="1"/>
      <w:numFmt w:val="lowerLetter"/>
      <w:lvlText w:val="%2."/>
      <w:lvlJc w:val="left"/>
      <w:pPr>
        <w:tabs>
          <w:tab w:val="num" w:pos="2574"/>
        </w:tabs>
        <w:ind w:left="2574" w:hanging="360"/>
      </w:pPr>
      <w:rPr>
        <w:rFonts w:hint="default"/>
      </w:rPr>
    </w:lvl>
    <w:lvl w:ilvl="2">
      <w:start w:val="6"/>
      <w:numFmt w:val="decimal"/>
      <w:lvlText w:val="%3."/>
      <w:lvlJc w:val="left"/>
      <w:pPr>
        <w:tabs>
          <w:tab w:val="num" w:pos="3834"/>
        </w:tabs>
        <w:ind w:left="3834" w:hanging="720"/>
      </w:pPr>
      <w:rPr>
        <w:rFonts w:ascii="Palatino Linotype" w:hAnsi="Franklin Gothic Medium" w:cs="Times New Roman" w:hint="default"/>
      </w:rPr>
    </w:lvl>
    <w:lvl w:ilvl="3" w:tentative="1">
      <w:start w:val="1"/>
      <w:numFmt w:val="decimal"/>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Roman"/>
      <w:lvlText w:val="%6."/>
      <w:lvlJc w:val="right"/>
      <w:pPr>
        <w:tabs>
          <w:tab w:val="num" w:pos="5454"/>
        </w:tabs>
        <w:ind w:left="5454" w:hanging="180"/>
      </w:pPr>
    </w:lvl>
    <w:lvl w:ilvl="6" w:tentative="1">
      <w:start w:val="1"/>
      <w:numFmt w:val="decimal"/>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Roman"/>
      <w:lvlText w:val="%9."/>
      <w:lvlJc w:val="right"/>
      <w:pPr>
        <w:tabs>
          <w:tab w:val="num" w:pos="7614"/>
        </w:tabs>
        <w:ind w:left="7614" w:hanging="180"/>
      </w:pPr>
    </w:lvl>
  </w:abstractNum>
  <w:abstractNum w:abstractNumId="14">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E29746E"/>
    <w:multiLevelType w:val="hybridMultilevel"/>
    <w:tmpl w:val="FA9602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3ED230C5"/>
    <w:multiLevelType w:val="multilevel"/>
    <w:tmpl w:val="A3905682"/>
    <w:lvl w:ilvl="0">
      <w:start w:val="1"/>
      <w:numFmt w:val="decimal"/>
      <w:pStyle w:val="Numbered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6C953D4"/>
    <w:multiLevelType w:val="hybridMultilevel"/>
    <w:tmpl w:val="FA1E0A3A"/>
    <w:lvl w:ilvl="0" w:tplc="04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A4C7843"/>
    <w:multiLevelType w:val="hybridMultilevel"/>
    <w:tmpl w:val="FB4C4F94"/>
    <w:lvl w:ilvl="0" w:tplc="A1F6E922">
      <w:start w:val="1"/>
      <w:numFmt w:val="bullet"/>
      <w:pStyle w:val="dotpoint"/>
      <w:lvlText w:val=""/>
      <w:lvlJc w:val="left"/>
      <w:pPr>
        <w:tabs>
          <w:tab w:val="num" w:pos="360"/>
        </w:tabs>
        <w:ind w:left="360" w:hanging="360"/>
      </w:pPr>
      <w:rPr>
        <w:rFonts w:ascii="Symbol" w:hAnsi="Symbol" w:hint="default"/>
        <w:color w:val="auto"/>
      </w:rPr>
    </w:lvl>
    <w:lvl w:ilvl="1" w:tplc="4AAE4E34" w:tentative="1">
      <w:start w:val="1"/>
      <w:numFmt w:val="bullet"/>
      <w:lvlText w:val="o"/>
      <w:lvlJc w:val="left"/>
      <w:pPr>
        <w:tabs>
          <w:tab w:val="num" w:pos="1440"/>
        </w:tabs>
        <w:ind w:left="1440" w:hanging="360"/>
      </w:pPr>
      <w:rPr>
        <w:rFonts w:ascii="Courier New" w:hAnsi="Courier New" w:hint="default"/>
      </w:rPr>
    </w:lvl>
    <w:lvl w:ilvl="2" w:tplc="711EE6D2" w:tentative="1">
      <w:start w:val="1"/>
      <w:numFmt w:val="bullet"/>
      <w:lvlText w:val=""/>
      <w:lvlJc w:val="left"/>
      <w:pPr>
        <w:tabs>
          <w:tab w:val="num" w:pos="2160"/>
        </w:tabs>
        <w:ind w:left="2160" w:hanging="360"/>
      </w:pPr>
      <w:rPr>
        <w:rFonts w:ascii="Wingdings" w:hAnsi="Wingdings" w:hint="default"/>
      </w:rPr>
    </w:lvl>
    <w:lvl w:ilvl="3" w:tplc="AA2E2B9C" w:tentative="1">
      <w:start w:val="1"/>
      <w:numFmt w:val="bullet"/>
      <w:lvlText w:val=""/>
      <w:lvlJc w:val="left"/>
      <w:pPr>
        <w:tabs>
          <w:tab w:val="num" w:pos="2880"/>
        </w:tabs>
        <w:ind w:left="2880" w:hanging="360"/>
      </w:pPr>
      <w:rPr>
        <w:rFonts w:ascii="Symbol" w:hAnsi="Symbol" w:hint="default"/>
      </w:rPr>
    </w:lvl>
    <w:lvl w:ilvl="4" w:tplc="603408DA" w:tentative="1">
      <w:start w:val="1"/>
      <w:numFmt w:val="bullet"/>
      <w:lvlText w:val="o"/>
      <w:lvlJc w:val="left"/>
      <w:pPr>
        <w:tabs>
          <w:tab w:val="num" w:pos="3600"/>
        </w:tabs>
        <w:ind w:left="3600" w:hanging="360"/>
      </w:pPr>
      <w:rPr>
        <w:rFonts w:ascii="Courier New" w:hAnsi="Courier New" w:hint="default"/>
      </w:rPr>
    </w:lvl>
    <w:lvl w:ilvl="5" w:tplc="FFCE2028" w:tentative="1">
      <w:start w:val="1"/>
      <w:numFmt w:val="bullet"/>
      <w:lvlText w:val=""/>
      <w:lvlJc w:val="left"/>
      <w:pPr>
        <w:tabs>
          <w:tab w:val="num" w:pos="4320"/>
        </w:tabs>
        <w:ind w:left="4320" w:hanging="360"/>
      </w:pPr>
      <w:rPr>
        <w:rFonts w:ascii="Wingdings" w:hAnsi="Wingdings" w:hint="default"/>
      </w:rPr>
    </w:lvl>
    <w:lvl w:ilvl="6" w:tplc="04824C58" w:tentative="1">
      <w:start w:val="1"/>
      <w:numFmt w:val="bullet"/>
      <w:lvlText w:val=""/>
      <w:lvlJc w:val="left"/>
      <w:pPr>
        <w:tabs>
          <w:tab w:val="num" w:pos="5040"/>
        </w:tabs>
        <w:ind w:left="5040" w:hanging="360"/>
      </w:pPr>
      <w:rPr>
        <w:rFonts w:ascii="Symbol" w:hAnsi="Symbol" w:hint="default"/>
      </w:rPr>
    </w:lvl>
    <w:lvl w:ilvl="7" w:tplc="555E7974" w:tentative="1">
      <w:start w:val="1"/>
      <w:numFmt w:val="bullet"/>
      <w:lvlText w:val="o"/>
      <w:lvlJc w:val="left"/>
      <w:pPr>
        <w:tabs>
          <w:tab w:val="num" w:pos="5760"/>
        </w:tabs>
        <w:ind w:left="5760" w:hanging="360"/>
      </w:pPr>
      <w:rPr>
        <w:rFonts w:ascii="Courier New" w:hAnsi="Courier New" w:hint="default"/>
      </w:rPr>
    </w:lvl>
    <w:lvl w:ilvl="8" w:tplc="FAAAD1DE" w:tentative="1">
      <w:start w:val="1"/>
      <w:numFmt w:val="bullet"/>
      <w:lvlText w:val=""/>
      <w:lvlJc w:val="left"/>
      <w:pPr>
        <w:tabs>
          <w:tab w:val="num" w:pos="6480"/>
        </w:tabs>
        <w:ind w:left="6480" w:hanging="360"/>
      </w:pPr>
      <w:rPr>
        <w:rFonts w:ascii="Wingdings" w:hAnsi="Wingdings" w:hint="default"/>
      </w:rPr>
    </w:lvl>
  </w:abstractNum>
  <w:abstractNum w:abstractNumId="19">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0">
    <w:nsid w:val="550A19E7"/>
    <w:multiLevelType w:val="hybridMultilevel"/>
    <w:tmpl w:val="0DCEDC06"/>
    <w:lvl w:ilvl="0" w:tplc="D22097A4">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636"/>
        </w:tabs>
        <w:ind w:left="1636"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6FE1DE5"/>
    <w:multiLevelType w:val="hybridMultilevel"/>
    <w:tmpl w:val="FDB4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4F4CBD"/>
    <w:multiLevelType w:val="hybridMultilevel"/>
    <w:tmpl w:val="7AC8D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36276D"/>
    <w:multiLevelType w:val="hybridMultilevel"/>
    <w:tmpl w:val="12AE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40839F7"/>
    <w:multiLevelType w:val="hybridMultilevel"/>
    <w:tmpl w:val="128AA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BC503D3"/>
    <w:multiLevelType w:val="hybridMultilevel"/>
    <w:tmpl w:val="DCAE8C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7C9A04F6"/>
    <w:multiLevelType w:val="multilevel"/>
    <w:tmpl w:val="35B0EFF0"/>
    <w:lvl w:ilvl="0">
      <w:start w:val="1"/>
      <w:numFmt w:val="bullet"/>
      <w:lvlText w:val=""/>
      <w:lvlJc w:val="left"/>
      <w:pPr>
        <w:tabs>
          <w:tab w:val="num" w:pos="964"/>
        </w:tabs>
        <w:ind w:left="964" w:hanging="964"/>
      </w:pPr>
      <w:rPr>
        <w:rFonts w:ascii="Wingdings" w:hAnsi="Wingdings" w:hint="default"/>
      </w:rPr>
    </w:lvl>
    <w:lvl w:ilvl="1">
      <w:start w:val="1"/>
      <w:numFmt w:val="bullet"/>
      <w:pStyle w:val="Recital"/>
      <w:lvlText w:val="-"/>
      <w:lvlJc w:val="left"/>
      <w:pPr>
        <w:tabs>
          <w:tab w:val="num" w:pos="2044"/>
        </w:tabs>
        <w:ind w:left="2044" w:hanging="964"/>
      </w:pPr>
      <w:rPr>
        <w:rFonts w:ascii="Tahoma" w:hAnsi="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EF27090"/>
    <w:multiLevelType w:val="hybridMultilevel"/>
    <w:tmpl w:val="0FFA3A9E"/>
    <w:lvl w:ilvl="0" w:tplc="41802AB2">
      <w:start w:val="1"/>
      <w:numFmt w:val="bullet"/>
      <w:lvlText w:val=""/>
      <w:lvlJc w:val="left"/>
      <w:pPr>
        <w:tabs>
          <w:tab w:val="num" w:pos="397"/>
        </w:tabs>
        <w:ind w:left="39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39026E"/>
    <w:multiLevelType w:val="singleLevel"/>
    <w:tmpl w:val="1AE6300A"/>
    <w:lvl w:ilvl="0">
      <w:start w:val="1"/>
      <w:numFmt w:val="decimal"/>
      <w:pStyle w:val="Numbered"/>
      <w:lvlText w:val="%1."/>
      <w:lvlJc w:val="left"/>
      <w:pPr>
        <w:tabs>
          <w:tab w:val="num" w:pos="360"/>
        </w:tabs>
        <w:ind w:left="360" w:hanging="360"/>
      </w:pPr>
      <w:rPr>
        <w:rFonts w:ascii="Arial" w:hAnsi="Arial" w:hint="default"/>
        <w:sz w:val="24"/>
      </w:rPr>
    </w:lvl>
  </w:abstractNum>
  <w:num w:numId="1">
    <w:abstractNumId w:val="1"/>
  </w:num>
  <w:num w:numId="2">
    <w:abstractNumId w:val="18"/>
  </w:num>
  <w:num w:numId="3">
    <w:abstractNumId w:val="16"/>
  </w:num>
  <w:num w:numId="4">
    <w:abstractNumId w:val="26"/>
  </w:num>
  <w:num w:numId="5">
    <w:abstractNumId w:val="28"/>
  </w:num>
  <w:num w:numId="6">
    <w:abstractNumId w:val="19"/>
  </w:num>
  <w:num w:numId="7">
    <w:abstractNumId w:val="13"/>
  </w:num>
  <w:num w:numId="8">
    <w:abstractNumId w:val="1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4"/>
  </w:num>
  <w:num w:numId="14">
    <w:abstractNumId w:val="3"/>
  </w:num>
  <w:num w:numId="15">
    <w:abstractNumId w:val="27"/>
  </w:num>
  <w:num w:numId="16">
    <w:abstractNumId w:val="15"/>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12"/>
  </w:num>
  <w:num w:numId="24">
    <w:abstractNumId w:val="0"/>
  </w:num>
  <w:num w:numId="25">
    <w:abstractNumId w:val="2"/>
  </w:num>
  <w:num w:numId="26">
    <w:abstractNumId w:val="20"/>
  </w:num>
  <w:num w:numId="27">
    <w:abstractNumId w:val="10"/>
  </w:num>
  <w:num w:numId="28">
    <w:abstractNumId w:val="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1"/>
  </w:num>
  <w:num w:numId="32">
    <w:abstractNumId w:val="25"/>
  </w:num>
  <w:num w:numId="33">
    <w:abstractNumId w:val="8"/>
  </w:num>
  <w:num w:numId="34">
    <w:abstractNumId w:val="24"/>
  </w:num>
  <w:num w:numId="35">
    <w:abstractNumId w:val="5"/>
  </w:num>
  <w:num w:numId="36">
    <w:abstractNumId w:val="1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A48"/>
    <w:rsid w:val="00003E5E"/>
    <w:rsid w:val="00012FE1"/>
    <w:rsid w:val="00015083"/>
    <w:rsid w:val="0002265F"/>
    <w:rsid w:val="00026EB4"/>
    <w:rsid w:val="0003087F"/>
    <w:rsid w:val="00034035"/>
    <w:rsid w:val="00035DF2"/>
    <w:rsid w:val="000420DD"/>
    <w:rsid w:val="00056709"/>
    <w:rsid w:val="00056C2D"/>
    <w:rsid w:val="00056D99"/>
    <w:rsid w:val="00062AB3"/>
    <w:rsid w:val="00065D06"/>
    <w:rsid w:val="00066F65"/>
    <w:rsid w:val="000727B0"/>
    <w:rsid w:val="00081C10"/>
    <w:rsid w:val="00083D23"/>
    <w:rsid w:val="00086C1E"/>
    <w:rsid w:val="0009448C"/>
    <w:rsid w:val="00096433"/>
    <w:rsid w:val="000A12A7"/>
    <w:rsid w:val="000A2845"/>
    <w:rsid w:val="000B2D96"/>
    <w:rsid w:val="000B41D7"/>
    <w:rsid w:val="000B49A1"/>
    <w:rsid w:val="000C23D7"/>
    <w:rsid w:val="000C7752"/>
    <w:rsid w:val="000C7AD0"/>
    <w:rsid w:val="000D18D0"/>
    <w:rsid w:val="000D45E7"/>
    <w:rsid w:val="000E30C8"/>
    <w:rsid w:val="000E37BA"/>
    <w:rsid w:val="000F4030"/>
    <w:rsid w:val="000F7AC8"/>
    <w:rsid w:val="00101612"/>
    <w:rsid w:val="001114EB"/>
    <w:rsid w:val="001227B4"/>
    <w:rsid w:val="00124F30"/>
    <w:rsid w:val="00126FF5"/>
    <w:rsid w:val="001373A6"/>
    <w:rsid w:val="00142A5E"/>
    <w:rsid w:val="001461D2"/>
    <w:rsid w:val="0014682E"/>
    <w:rsid w:val="001500EB"/>
    <w:rsid w:val="00152034"/>
    <w:rsid w:val="00152E93"/>
    <w:rsid w:val="00161FE1"/>
    <w:rsid w:val="00164988"/>
    <w:rsid w:val="0016691A"/>
    <w:rsid w:val="001718AD"/>
    <w:rsid w:val="0018061E"/>
    <w:rsid w:val="00183E30"/>
    <w:rsid w:val="001A0E3C"/>
    <w:rsid w:val="001A52AB"/>
    <w:rsid w:val="001A5A2A"/>
    <w:rsid w:val="001B0499"/>
    <w:rsid w:val="001B6E5F"/>
    <w:rsid w:val="001C172E"/>
    <w:rsid w:val="001C2395"/>
    <w:rsid w:val="001C3992"/>
    <w:rsid w:val="001D1207"/>
    <w:rsid w:val="001D7AF9"/>
    <w:rsid w:val="001E13C7"/>
    <w:rsid w:val="001E2336"/>
    <w:rsid w:val="001E35F1"/>
    <w:rsid w:val="001F0C71"/>
    <w:rsid w:val="001F5BA0"/>
    <w:rsid w:val="002070C0"/>
    <w:rsid w:val="002143FA"/>
    <w:rsid w:val="00221B72"/>
    <w:rsid w:val="00227245"/>
    <w:rsid w:val="00230A3A"/>
    <w:rsid w:val="002354F7"/>
    <w:rsid w:val="00244643"/>
    <w:rsid w:val="002467BC"/>
    <w:rsid w:val="00246D15"/>
    <w:rsid w:val="0024775A"/>
    <w:rsid w:val="00250585"/>
    <w:rsid w:val="002510C2"/>
    <w:rsid w:val="00251775"/>
    <w:rsid w:val="00257656"/>
    <w:rsid w:val="0027449D"/>
    <w:rsid w:val="0028148F"/>
    <w:rsid w:val="002824E5"/>
    <w:rsid w:val="00285823"/>
    <w:rsid w:val="00286892"/>
    <w:rsid w:val="00286BFE"/>
    <w:rsid w:val="00287B7B"/>
    <w:rsid w:val="00290AEF"/>
    <w:rsid w:val="002913B8"/>
    <w:rsid w:val="002A1438"/>
    <w:rsid w:val="002A3944"/>
    <w:rsid w:val="002A40C7"/>
    <w:rsid w:val="002B29D5"/>
    <w:rsid w:val="002B4DA9"/>
    <w:rsid w:val="002C341F"/>
    <w:rsid w:val="002C50C5"/>
    <w:rsid w:val="002C576D"/>
    <w:rsid w:val="002C6EF6"/>
    <w:rsid w:val="002C7C32"/>
    <w:rsid w:val="002D0D0A"/>
    <w:rsid w:val="002D3E45"/>
    <w:rsid w:val="002D4AC1"/>
    <w:rsid w:val="002D6FC2"/>
    <w:rsid w:val="002D7144"/>
    <w:rsid w:val="002E2349"/>
    <w:rsid w:val="002F57BB"/>
    <w:rsid w:val="00300249"/>
    <w:rsid w:val="00301587"/>
    <w:rsid w:val="0030187E"/>
    <w:rsid w:val="0031138E"/>
    <w:rsid w:val="00313D1C"/>
    <w:rsid w:val="0031728A"/>
    <w:rsid w:val="00323904"/>
    <w:rsid w:val="00332074"/>
    <w:rsid w:val="003321DE"/>
    <w:rsid w:val="00333FEE"/>
    <w:rsid w:val="00334F6F"/>
    <w:rsid w:val="003355DD"/>
    <w:rsid w:val="00335905"/>
    <w:rsid w:val="00335E83"/>
    <w:rsid w:val="00341099"/>
    <w:rsid w:val="00346730"/>
    <w:rsid w:val="00365C76"/>
    <w:rsid w:val="00371107"/>
    <w:rsid w:val="0037164A"/>
    <w:rsid w:val="003723D2"/>
    <w:rsid w:val="0037314D"/>
    <w:rsid w:val="00376620"/>
    <w:rsid w:val="00380D2A"/>
    <w:rsid w:val="00384516"/>
    <w:rsid w:val="00387A86"/>
    <w:rsid w:val="00391196"/>
    <w:rsid w:val="0039188A"/>
    <w:rsid w:val="00392F43"/>
    <w:rsid w:val="003938D4"/>
    <w:rsid w:val="003968CE"/>
    <w:rsid w:val="003A2349"/>
    <w:rsid w:val="003B3565"/>
    <w:rsid w:val="003B41B1"/>
    <w:rsid w:val="003B5821"/>
    <w:rsid w:val="003B73F8"/>
    <w:rsid w:val="003B7C6B"/>
    <w:rsid w:val="003C46AC"/>
    <w:rsid w:val="003C5591"/>
    <w:rsid w:val="003C6511"/>
    <w:rsid w:val="003C68DB"/>
    <w:rsid w:val="003D04FD"/>
    <w:rsid w:val="003E0B58"/>
    <w:rsid w:val="003E0CCF"/>
    <w:rsid w:val="003E1297"/>
    <w:rsid w:val="003E17E2"/>
    <w:rsid w:val="003E1C70"/>
    <w:rsid w:val="003E2212"/>
    <w:rsid w:val="003E2AB8"/>
    <w:rsid w:val="003E4110"/>
    <w:rsid w:val="00400A71"/>
    <w:rsid w:val="00405012"/>
    <w:rsid w:val="004060DA"/>
    <w:rsid w:val="00411B49"/>
    <w:rsid w:val="00414DEA"/>
    <w:rsid w:val="00414E9B"/>
    <w:rsid w:val="004177D3"/>
    <w:rsid w:val="00422E46"/>
    <w:rsid w:val="00424775"/>
    <w:rsid w:val="004269E1"/>
    <w:rsid w:val="004314F3"/>
    <w:rsid w:val="00437C56"/>
    <w:rsid w:val="00442878"/>
    <w:rsid w:val="00442FAE"/>
    <w:rsid w:val="0044670E"/>
    <w:rsid w:val="004503FA"/>
    <w:rsid w:val="00456AD5"/>
    <w:rsid w:val="00456B75"/>
    <w:rsid w:val="00461354"/>
    <w:rsid w:val="00461CE3"/>
    <w:rsid w:val="00462811"/>
    <w:rsid w:val="0047209F"/>
    <w:rsid w:val="00472D44"/>
    <w:rsid w:val="00483E0C"/>
    <w:rsid w:val="00486C3F"/>
    <w:rsid w:val="00491251"/>
    <w:rsid w:val="00491C64"/>
    <w:rsid w:val="004A6F1F"/>
    <w:rsid w:val="004B1179"/>
    <w:rsid w:val="004B7E9E"/>
    <w:rsid w:val="004C0E1D"/>
    <w:rsid w:val="004C14EF"/>
    <w:rsid w:val="004C1C98"/>
    <w:rsid w:val="004C7A70"/>
    <w:rsid w:val="004D0940"/>
    <w:rsid w:val="004D0A19"/>
    <w:rsid w:val="004D1137"/>
    <w:rsid w:val="004D50EE"/>
    <w:rsid w:val="004D6368"/>
    <w:rsid w:val="004D7D4B"/>
    <w:rsid w:val="004F0A57"/>
    <w:rsid w:val="004F5F20"/>
    <w:rsid w:val="00502637"/>
    <w:rsid w:val="00503AAD"/>
    <w:rsid w:val="0050435B"/>
    <w:rsid w:val="0050615A"/>
    <w:rsid w:val="00506B3A"/>
    <w:rsid w:val="00510DD4"/>
    <w:rsid w:val="00520DC0"/>
    <w:rsid w:val="00521907"/>
    <w:rsid w:val="00523FD0"/>
    <w:rsid w:val="00524587"/>
    <w:rsid w:val="00531D41"/>
    <w:rsid w:val="00532B2A"/>
    <w:rsid w:val="00535BBA"/>
    <w:rsid w:val="00541008"/>
    <w:rsid w:val="00541D3B"/>
    <w:rsid w:val="00543696"/>
    <w:rsid w:val="00545E05"/>
    <w:rsid w:val="005547C5"/>
    <w:rsid w:val="0055602E"/>
    <w:rsid w:val="00561FE3"/>
    <w:rsid w:val="00564DFD"/>
    <w:rsid w:val="00564EC8"/>
    <w:rsid w:val="00565566"/>
    <w:rsid w:val="00567BD0"/>
    <w:rsid w:val="00573336"/>
    <w:rsid w:val="00580069"/>
    <w:rsid w:val="00580B4E"/>
    <w:rsid w:val="00581817"/>
    <w:rsid w:val="00583132"/>
    <w:rsid w:val="00587A18"/>
    <w:rsid w:val="00591245"/>
    <w:rsid w:val="00596AF0"/>
    <w:rsid w:val="005A2891"/>
    <w:rsid w:val="005A7226"/>
    <w:rsid w:val="005B20F9"/>
    <w:rsid w:val="005B2299"/>
    <w:rsid w:val="005C75B0"/>
    <w:rsid w:val="005D12DC"/>
    <w:rsid w:val="005D2329"/>
    <w:rsid w:val="005D4B7C"/>
    <w:rsid w:val="005D6431"/>
    <w:rsid w:val="005E3C9D"/>
    <w:rsid w:val="005E43BE"/>
    <w:rsid w:val="005E6841"/>
    <w:rsid w:val="00603D76"/>
    <w:rsid w:val="00611F00"/>
    <w:rsid w:val="00617CD0"/>
    <w:rsid w:val="00622D65"/>
    <w:rsid w:val="006260CA"/>
    <w:rsid w:val="00631FC8"/>
    <w:rsid w:val="00635693"/>
    <w:rsid w:val="006478C9"/>
    <w:rsid w:val="0065519A"/>
    <w:rsid w:val="00657DF5"/>
    <w:rsid w:val="00662B90"/>
    <w:rsid w:val="00663B0E"/>
    <w:rsid w:val="00667535"/>
    <w:rsid w:val="00671997"/>
    <w:rsid w:val="00672549"/>
    <w:rsid w:val="00676D5C"/>
    <w:rsid w:val="00676FFC"/>
    <w:rsid w:val="006800F1"/>
    <w:rsid w:val="00692E53"/>
    <w:rsid w:val="006954B1"/>
    <w:rsid w:val="00695D71"/>
    <w:rsid w:val="006A41BC"/>
    <w:rsid w:val="006A68C7"/>
    <w:rsid w:val="006B3928"/>
    <w:rsid w:val="006C29C6"/>
    <w:rsid w:val="006C4308"/>
    <w:rsid w:val="006C6137"/>
    <w:rsid w:val="006C7234"/>
    <w:rsid w:val="006D51E2"/>
    <w:rsid w:val="006E5C64"/>
    <w:rsid w:val="006E6BD1"/>
    <w:rsid w:val="006F0CC1"/>
    <w:rsid w:val="006F3CCB"/>
    <w:rsid w:val="007004B1"/>
    <w:rsid w:val="00701833"/>
    <w:rsid w:val="00703C82"/>
    <w:rsid w:val="007046EE"/>
    <w:rsid w:val="00711DC4"/>
    <w:rsid w:val="00720760"/>
    <w:rsid w:val="00727650"/>
    <w:rsid w:val="00731345"/>
    <w:rsid w:val="007331A5"/>
    <w:rsid w:val="00742FCF"/>
    <w:rsid w:val="007441BB"/>
    <w:rsid w:val="00753F91"/>
    <w:rsid w:val="007547A9"/>
    <w:rsid w:val="00754F4D"/>
    <w:rsid w:val="007572E5"/>
    <w:rsid w:val="00760A79"/>
    <w:rsid w:val="00763449"/>
    <w:rsid w:val="0076355E"/>
    <w:rsid w:val="00774A27"/>
    <w:rsid w:val="00781D1C"/>
    <w:rsid w:val="00782F10"/>
    <w:rsid w:val="00783221"/>
    <w:rsid w:val="0078730B"/>
    <w:rsid w:val="00791CCA"/>
    <w:rsid w:val="007922EE"/>
    <w:rsid w:val="00795560"/>
    <w:rsid w:val="0079679E"/>
    <w:rsid w:val="00797255"/>
    <w:rsid w:val="007A2D05"/>
    <w:rsid w:val="007A702C"/>
    <w:rsid w:val="007C4594"/>
    <w:rsid w:val="007C4712"/>
    <w:rsid w:val="007D029C"/>
    <w:rsid w:val="007D2AE6"/>
    <w:rsid w:val="007D52D9"/>
    <w:rsid w:val="007D6A58"/>
    <w:rsid w:val="007E0711"/>
    <w:rsid w:val="007E27FF"/>
    <w:rsid w:val="007E321C"/>
    <w:rsid w:val="007E4426"/>
    <w:rsid w:val="007F2E91"/>
    <w:rsid w:val="007F439E"/>
    <w:rsid w:val="007F699A"/>
    <w:rsid w:val="007F712F"/>
    <w:rsid w:val="0080518F"/>
    <w:rsid w:val="00814952"/>
    <w:rsid w:val="00816081"/>
    <w:rsid w:val="00823ABE"/>
    <w:rsid w:val="008246E9"/>
    <w:rsid w:val="008252F1"/>
    <w:rsid w:val="0083129D"/>
    <w:rsid w:val="00841717"/>
    <w:rsid w:val="00846F7A"/>
    <w:rsid w:val="008519A5"/>
    <w:rsid w:val="00855A60"/>
    <w:rsid w:val="0087263D"/>
    <w:rsid w:val="00873ADE"/>
    <w:rsid w:val="00874771"/>
    <w:rsid w:val="008755A8"/>
    <w:rsid w:val="0087793A"/>
    <w:rsid w:val="00886800"/>
    <w:rsid w:val="00891642"/>
    <w:rsid w:val="008C2007"/>
    <w:rsid w:val="008C24A1"/>
    <w:rsid w:val="008C4CF2"/>
    <w:rsid w:val="008C7D04"/>
    <w:rsid w:val="008D1938"/>
    <w:rsid w:val="008D32A4"/>
    <w:rsid w:val="008D4CC8"/>
    <w:rsid w:val="008E3AC5"/>
    <w:rsid w:val="008E5F70"/>
    <w:rsid w:val="008E7864"/>
    <w:rsid w:val="008F7C68"/>
    <w:rsid w:val="0090104D"/>
    <w:rsid w:val="0090350E"/>
    <w:rsid w:val="00904733"/>
    <w:rsid w:val="0090528E"/>
    <w:rsid w:val="00915F70"/>
    <w:rsid w:val="00916068"/>
    <w:rsid w:val="00916120"/>
    <w:rsid w:val="009235B3"/>
    <w:rsid w:val="00930E06"/>
    <w:rsid w:val="00931A1D"/>
    <w:rsid w:val="0093582D"/>
    <w:rsid w:val="00936C03"/>
    <w:rsid w:val="009371F2"/>
    <w:rsid w:val="00940044"/>
    <w:rsid w:val="00943662"/>
    <w:rsid w:val="0094646D"/>
    <w:rsid w:val="009476E3"/>
    <w:rsid w:val="00956966"/>
    <w:rsid w:val="00962FA5"/>
    <w:rsid w:val="009678BE"/>
    <w:rsid w:val="00973270"/>
    <w:rsid w:val="00974340"/>
    <w:rsid w:val="00975989"/>
    <w:rsid w:val="009810C4"/>
    <w:rsid w:val="009811E2"/>
    <w:rsid w:val="0098258A"/>
    <w:rsid w:val="0098767B"/>
    <w:rsid w:val="00993C68"/>
    <w:rsid w:val="009A0823"/>
    <w:rsid w:val="009A3AE2"/>
    <w:rsid w:val="009B0B33"/>
    <w:rsid w:val="009B1918"/>
    <w:rsid w:val="009B323B"/>
    <w:rsid w:val="009B7343"/>
    <w:rsid w:val="009B7D67"/>
    <w:rsid w:val="009C092C"/>
    <w:rsid w:val="009D5DE7"/>
    <w:rsid w:val="009E41E2"/>
    <w:rsid w:val="009E5AD4"/>
    <w:rsid w:val="009E723C"/>
    <w:rsid w:val="009F153F"/>
    <w:rsid w:val="00A009FD"/>
    <w:rsid w:val="00A04E97"/>
    <w:rsid w:val="00A06EE0"/>
    <w:rsid w:val="00A108AD"/>
    <w:rsid w:val="00A12747"/>
    <w:rsid w:val="00A14CAA"/>
    <w:rsid w:val="00A1739C"/>
    <w:rsid w:val="00A1783D"/>
    <w:rsid w:val="00A20994"/>
    <w:rsid w:val="00A22342"/>
    <w:rsid w:val="00A234E1"/>
    <w:rsid w:val="00A3326C"/>
    <w:rsid w:val="00A35BB5"/>
    <w:rsid w:val="00A5586C"/>
    <w:rsid w:val="00A5782F"/>
    <w:rsid w:val="00A653F1"/>
    <w:rsid w:val="00A67539"/>
    <w:rsid w:val="00A73361"/>
    <w:rsid w:val="00A764D1"/>
    <w:rsid w:val="00A8310A"/>
    <w:rsid w:val="00AC0687"/>
    <w:rsid w:val="00AC240C"/>
    <w:rsid w:val="00AC5C39"/>
    <w:rsid w:val="00AD0D59"/>
    <w:rsid w:val="00AD3B14"/>
    <w:rsid w:val="00AD7282"/>
    <w:rsid w:val="00AE0A2E"/>
    <w:rsid w:val="00AE4972"/>
    <w:rsid w:val="00B001DA"/>
    <w:rsid w:val="00B064A6"/>
    <w:rsid w:val="00B07F66"/>
    <w:rsid w:val="00B10FA5"/>
    <w:rsid w:val="00B11A9C"/>
    <w:rsid w:val="00B1243D"/>
    <w:rsid w:val="00B222A6"/>
    <w:rsid w:val="00B32761"/>
    <w:rsid w:val="00B4770B"/>
    <w:rsid w:val="00B53CAE"/>
    <w:rsid w:val="00B6746F"/>
    <w:rsid w:val="00B7004B"/>
    <w:rsid w:val="00B729F0"/>
    <w:rsid w:val="00B73C2F"/>
    <w:rsid w:val="00B82CE9"/>
    <w:rsid w:val="00B93C5A"/>
    <w:rsid w:val="00B93E12"/>
    <w:rsid w:val="00B96301"/>
    <w:rsid w:val="00BA2A6E"/>
    <w:rsid w:val="00BA32AA"/>
    <w:rsid w:val="00BA3C9A"/>
    <w:rsid w:val="00BB0569"/>
    <w:rsid w:val="00BB221B"/>
    <w:rsid w:val="00BB2396"/>
    <w:rsid w:val="00BC367A"/>
    <w:rsid w:val="00BC570E"/>
    <w:rsid w:val="00BC5AFE"/>
    <w:rsid w:val="00BC6A9F"/>
    <w:rsid w:val="00BE0102"/>
    <w:rsid w:val="00BE231B"/>
    <w:rsid w:val="00BE59AC"/>
    <w:rsid w:val="00BF7343"/>
    <w:rsid w:val="00C022AF"/>
    <w:rsid w:val="00C058C2"/>
    <w:rsid w:val="00C14D93"/>
    <w:rsid w:val="00C174BA"/>
    <w:rsid w:val="00C23BDF"/>
    <w:rsid w:val="00C276B4"/>
    <w:rsid w:val="00C309AE"/>
    <w:rsid w:val="00C3374E"/>
    <w:rsid w:val="00C3498A"/>
    <w:rsid w:val="00C36487"/>
    <w:rsid w:val="00C40995"/>
    <w:rsid w:val="00C40A25"/>
    <w:rsid w:val="00C41EF0"/>
    <w:rsid w:val="00C4227A"/>
    <w:rsid w:val="00C50119"/>
    <w:rsid w:val="00C55B5E"/>
    <w:rsid w:val="00C61CD5"/>
    <w:rsid w:val="00C627D7"/>
    <w:rsid w:val="00C63CDD"/>
    <w:rsid w:val="00C74592"/>
    <w:rsid w:val="00C82DC0"/>
    <w:rsid w:val="00C82E66"/>
    <w:rsid w:val="00C85815"/>
    <w:rsid w:val="00C91454"/>
    <w:rsid w:val="00C922EF"/>
    <w:rsid w:val="00C94383"/>
    <w:rsid w:val="00C97109"/>
    <w:rsid w:val="00C97410"/>
    <w:rsid w:val="00CA2CEC"/>
    <w:rsid w:val="00CB01BF"/>
    <w:rsid w:val="00CB0C28"/>
    <w:rsid w:val="00CB33A0"/>
    <w:rsid w:val="00CB5B6E"/>
    <w:rsid w:val="00CB6F3F"/>
    <w:rsid w:val="00CD1E64"/>
    <w:rsid w:val="00CD7AED"/>
    <w:rsid w:val="00CE0A2C"/>
    <w:rsid w:val="00CF3884"/>
    <w:rsid w:val="00CF4FD1"/>
    <w:rsid w:val="00CF5B32"/>
    <w:rsid w:val="00D03C2D"/>
    <w:rsid w:val="00D05EA4"/>
    <w:rsid w:val="00D06451"/>
    <w:rsid w:val="00D06E32"/>
    <w:rsid w:val="00D160C7"/>
    <w:rsid w:val="00D17366"/>
    <w:rsid w:val="00D178F2"/>
    <w:rsid w:val="00D204A3"/>
    <w:rsid w:val="00D25864"/>
    <w:rsid w:val="00D264B8"/>
    <w:rsid w:val="00D26E11"/>
    <w:rsid w:val="00D27EBE"/>
    <w:rsid w:val="00D31149"/>
    <w:rsid w:val="00D31B6E"/>
    <w:rsid w:val="00D33F2D"/>
    <w:rsid w:val="00D35CD9"/>
    <w:rsid w:val="00D365AD"/>
    <w:rsid w:val="00D36FDC"/>
    <w:rsid w:val="00D4689A"/>
    <w:rsid w:val="00D50DF3"/>
    <w:rsid w:val="00D51A48"/>
    <w:rsid w:val="00D51B55"/>
    <w:rsid w:val="00D62A78"/>
    <w:rsid w:val="00D65784"/>
    <w:rsid w:val="00D678AE"/>
    <w:rsid w:val="00D67D9B"/>
    <w:rsid w:val="00D71A67"/>
    <w:rsid w:val="00D725F9"/>
    <w:rsid w:val="00D75AF1"/>
    <w:rsid w:val="00D9133F"/>
    <w:rsid w:val="00D95395"/>
    <w:rsid w:val="00D96632"/>
    <w:rsid w:val="00DB0247"/>
    <w:rsid w:val="00DD242E"/>
    <w:rsid w:val="00DE0302"/>
    <w:rsid w:val="00DE2229"/>
    <w:rsid w:val="00DE310C"/>
    <w:rsid w:val="00DE58D6"/>
    <w:rsid w:val="00E06BB5"/>
    <w:rsid w:val="00E16FDA"/>
    <w:rsid w:val="00E20250"/>
    <w:rsid w:val="00E36300"/>
    <w:rsid w:val="00E4656D"/>
    <w:rsid w:val="00E51338"/>
    <w:rsid w:val="00E51939"/>
    <w:rsid w:val="00E56167"/>
    <w:rsid w:val="00E56B9D"/>
    <w:rsid w:val="00E604D2"/>
    <w:rsid w:val="00E61035"/>
    <w:rsid w:val="00E675B7"/>
    <w:rsid w:val="00E70770"/>
    <w:rsid w:val="00E71333"/>
    <w:rsid w:val="00E726B4"/>
    <w:rsid w:val="00E73EE1"/>
    <w:rsid w:val="00E7431D"/>
    <w:rsid w:val="00E76F7A"/>
    <w:rsid w:val="00E8500B"/>
    <w:rsid w:val="00E903B0"/>
    <w:rsid w:val="00E9123F"/>
    <w:rsid w:val="00E92BC6"/>
    <w:rsid w:val="00EA0B90"/>
    <w:rsid w:val="00EA206C"/>
    <w:rsid w:val="00EB2989"/>
    <w:rsid w:val="00EB77E6"/>
    <w:rsid w:val="00EC05C1"/>
    <w:rsid w:val="00EC0A85"/>
    <w:rsid w:val="00EC26E7"/>
    <w:rsid w:val="00EC6C46"/>
    <w:rsid w:val="00EC7CA9"/>
    <w:rsid w:val="00ED0DFA"/>
    <w:rsid w:val="00ED262A"/>
    <w:rsid w:val="00EE4645"/>
    <w:rsid w:val="00EE6463"/>
    <w:rsid w:val="00EE6E06"/>
    <w:rsid w:val="00EF3311"/>
    <w:rsid w:val="00EF7897"/>
    <w:rsid w:val="00F0042C"/>
    <w:rsid w:val="00F00D05"/>
    <w:rsid w:val="00F03790"/>
    <w:rsid w:val="00F0647B"/>
    <w:rsid w:val="00F071E9"/>
    <w:rsid w:val="00F10E67"/>
    <w:rsid w:val="00F1544C"/>
    <w:rsid w:val="00F15FBF"/>
    <w:rsid w:val="00F17A00"/>
    <w:rsid w:val="00F20AFA"/>
    <w:rsid w:val="00F24CB0"/>
    <w:rsid w:val="00F2580E"/>
    <w:rsid w:val="00F25D00"/>
    <w:rsid w:val="00F27EEB"/>
    <w:rsid w:val="00F30FF9"/>
    <w:rsid w:val="00F404E4"/>
    <w:rsid w:val="00F460BF"/>
    <w:rsid w:val="00F56339"/>
    <w:rsid w:val="00F61C8E"/>
    <w:rsid w:val="00F62113"/>
    <w:rsid w:val="00F625EE"/>
    <w:rsid w:val="00F65BB8"/>
    <w:rsid w:val="00F72EDA"/>
    <w:rsid w:val="00F8164D"/>
    <w:rsid w:val="00F93D77"/>
    <w:rsid w:val="00FA0376"/>
    <w:rsid w:val="00FA0BC3"/>
    <w:rsid w:val="00FA2721"/>
    <w:rsid w:val="00FB70A3"/>
    <w:rsid w:val="00FC0A20"/>
    <w:rsid w:val="00FC3AAB"/>
    <w:rsid w:val="00FD0D5D"/>
    <w:rsid w:val="00FD4F6D"/>
    <w:rsid w:val="00FD68AC"/>
    <w:rsid w:val="00FE01E2"/>
    <w:rsid w:val="00FE0865"/>
    <w:rsid w:val="00FE08ED"/>
    <w:rsid w:val="00FF4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qFormat/>
    <w:pPr>
      <w:keepNext/>
      <w:numPr>
        <w:numId w:val="9"/>
      </w:numPr>
      <w:spacing w:before="240" w:after="60"/>
      <w:outlineLvl w:val="0"/>
    </w:pPr>
    <w:rPr>
      <w:rFonts w:cs="Arial"/>
      <w:b/>
      <w:bCs/>
      <w:kern w:val="32"/>
      <w:sz w:val="28"/>
      <w:szCs w:val="32"/>
    </w:rPr>
  </w:style>
  <w:style w:type="paragraph" w:styleId="Heading2">
    <w:name w:val="heading 2"/>
    <w:aliases w:val="h2"/>
    <w:basedOn w:val="Normal"/>
    <w:next w:val="Normal"/>
    <w:link w:val="Heading2Char"/>
    <w:qFormat/>
    <w:pPr>
      <w:keepNext/>
      <w:numPr>
        <w:ilvl w:val="1"/>
        <w:numId w:val="9"/>
      </w:numPr>
      <w:spacing w:before="240" w:after="60"/>
      <w:outlineLvl w:val="1"/>
    </w:pPr>
    <w:rPr>
      <w:rFonts w:cs="Arial"/>
      <w:b/>
      <w:bCs/>
      <w:i/>
      <w:iCs/>
      <w:sz w:val="24"/>
      <w:szCs w:val="28"/>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qFormat/>
    <w:pPr>
      <w:keepNext/>
      <w:numPr>
        <w:ilvl w:val="2"/>
        <w:numId w:val="9"/>
      </w:numPr>
      <w:spacing w:before="240" w:after="60"/>
      <w:outlineLvl w:val="2"/>
    </w:pPr>
    <w:rPr>
      <w:rFonts w:cs="Arial"/>
      <w:b/>
      <w:bCs/>
      <w:sz w:val="26"/>
      <w:szCs w:val="26"/>
    </w:rPr>
  </w:style>
  <w:style w:type="paragraph" w:styleId="Heading4">
    <w:name w:val="heading 4"/>
    <w:aliases w:val="h4"/>
    <w:basedOn w:val="Normal"/>
    <w:next w:val="Normal"/>
    <w:qFormat/>
    <w:pPr>
      <w:keepNext/>
      <w:numPr>
        <w:ilvl w:val="3"/>
        <w:numId w:val="9"/>
      </w:numPr>
      <w:spacing w:before="240" w:after="60"/>
      <w:outlineLvl w:val="3"/>
    </w:pPr>
    <w:rPr>
      <w:b/>
      <w:bCs/>
      <w:sz w:val="28"/>
      <w:szCs w:val="28"/>
    </w:rPr>
  </w:style>
  <w:style w:type="paragraph" w:styleId="Heading5">
    <w:name w:val="heading 5"/>
    <w:basedOn w:val="Normal"/>
    <w:next w:val="Normal"/>
    <w:qFormat/>
    <w:pPr>
      <w:numPr>
        <w:ilvl w:val="4"/>
        <w:numId w:val="9"/>
      </w:numPr>
      <w:spacing w:before="240" w:after="60"/>
      <w:outlineLvl w:val="4"/>
    </w:pPr>
    <w:rPr>
      <w:b/>
      <w:bCs/>
      <w:i/>
      <w:iCs/>
      <w:sz w:val="26"/>
      <w:szCs w:val="26"/>
    </w:rPr>
  </w:style>
  <w:style w:type="paragraph" w:styleId="Heading6">
    <w:name w:val="heading 6"/>
    <w:basedOn w:val="Normal"/>
    <w:next w:val="Normal"/>
    <w:qFormat/>
    <w:pPr>
      <w:numPr>
        <w:ilvl w:val="5"/>
        <w:numId w:val="9"/>
      </w:numPr>
      <w:spacing w:before="240" w:after="60"/>
      <w:outlineLvl w:val="5"/>
    </w:pPr>
    <w:rPr>
      <w:b/>
      <w:bCs/>
      <w:szCs w:val="22"/>
    </w:rPr>
  </w:style>
  <w:style w:type="paragraph" w:styleId="Heading7">
    <w:name w:val="heading 7"/>
    <w:basedOn w:val="Normal"/>
    <w:next w:val="Normal"/>
    <w:qFormat/>
    <w:pPr>
      <w:numPr>
        <w:ilvl w:val="6"/>
        <w:numId w:val="9"/>
      </w:numPr>
      <w:spacing w:before="240" w:after="60"/>
      <w:outlineLvl w:val="6"/>
    </w:pPr>
    <w:rPr>
      <w:sz w:val="24"/>
      <w:szCs w:val="24"/>
    </w:rPr>
  </w:style>
  <w:style w:type="paragraph" w:styleId="Heading8">
    <w:name w:val="heading 8"/>
    <w:basedOn w:val="Normal"/>
    <w:next w:val="Normal"/>
    <w:qFormat/>
    <w:pPr>
      <w:numPr>
        <w:ilvl w:val="7"/>
        <w:numId w:val="9"/>
      </w:numPr>
      <w:spacing w:before="240" w:after="60"/>
      <w:outlineLvl w:val="7"/>
    </w:pPr>
    <w:rPr>
      <w:i/>
      <w:iCs/>
      <w:sz w:val="24"/>
      <w:szCs w:val="24"/>
    </w:rPr>
  </w:style>
  <w:style w:type="paragraph" w:styleId="Heading9">
    <w:name w:val="heading 9"/>
    <w:basedOn w:val="Normal"/>
    <w:next w:val="Normal"/>
    <w:qFormat/>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text">
    <w:name w:val="bodytext"/>
    <w:basedOn w:val="Normal"/>
    <w:pPr>
      <w:spacing w:before="100" w:beforeAutospacing="1" w:after="100" w:afterAutospacing="1"/>
    </w:pPr>
    <w:rPr>
      <w:rFonts w:ascii="Verdana" w:eastAsia="Arial Unicode MS" w:hAnsi="Verdana" w:cs="Arial Unicode MS"/>
      <w:color w:val="000000"/>
    </w:rPr>
  </w:style>
  <w:style w:type="paragraph" w:styleId="BodyText0">
    <w:name w:val="Body Text"/>
    <w:basedOn w:val="Normal"/>
    <w:link w:val="BodyTextChar"/>
    <w:pPr>
      <w:spacing w:after="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pPr>
    <w:rPr>
      <w:rFonts w:ascii="Times New Roman" w:hAnsi="Times New Roman"/>
      <w:b/>
      <w:bCs/>
      <w:caps/>
      <w:sz w:val="20"/>
    </w:rPr>
  </w:style>
  <w:style w:type="paragraph" w:styleId="TOC2">
    <w:name w:val="toc 2"/>
    <w:basedOn w:val="Normal"/>
    <w:next w:val="Normal"/>
    <w:autoRedefine/>
    <w:uiPriority w:val="39"/>
    <w:rsid w:val="00AC240C"/>
    <w:pPr>
      <w:ind w:left="220"/>
    </w:pPr>
    <w:rPr>
      <w:rFonts w:ascii="Times New Roman" w:hAnsi="Times New Roman"/>
      <w:smallCaps/>
      <w:sz w:val="20"/>
    </w:rPr>
  </w:style>
  <w:style w:type="paragraph" w:styleId="TOC3">
    <w:name w:val="toc 3"/>
    <w:basedOn w:val="Normal"/>
    <w:next w:val="Normal"/>
    <w:autoRedefine/>
    <w:semiHidden/>
    <w:pPr>
      <w:ind w:left="440"/>
    </w:pPr>
    <w:rPr>
      <w:rFonts w:ascii="Times New Roman" w:hAnsi="Times New Roman"/>
      <w:i/>
      <w:iCs/>
      <w:sz w:val="20"/>
    </w:rPr>
  </w:style>
  <w:style w:type="paragraph" w:styleId="TOC4">
    <w:name w:val="toc 4"/>
    <w:basedOn w:val="Normal"/>
    <w:next w:val="Normal"/>
    <w:autoRedefine/>
    <w:semiHidden/>
    <w:pPr>
      <w:ind w:left="660"/>
    </w:pPr>
    <w:rPr>
      <w:rFonts w:ascii="Times New Roman" w:hAnsi="Times New Roman"/>
      <w:sz w:val="18"/>
      <w:szCs w:val="18"/>
    </w:rPr>
  </w:style>
  <w:style w:type="paragraph" w:styleId="TOC5">
    <w:name w:val="toc 5"/>
    <w:basedOn w:val="Normal"/>
    <w:next w:val="Normal"/>
    <w:autoRedefine/>
    <w:semiHidden/>
    <w:pPr>
      <w:ind w:left="880"/>
    </w:pPr>
    <w:rPr>
      <w:rFonts w:ascii="Times New Roman" w:hAnsi="Times New Roman"/>
      <w:sz w:val="18"/>
      <w:szCs w:val="18"/>
    </w:rPr>
  </w:style>
  <w:style w:type="paragraph" w:styleId="TOC6">
    <w:name w:val="toc 6"/>
    <w:basedOn w:val="Normal"/>
    <w:next w:val="Normal"/>
    <w:autoRedefine/>
    <w:semiHidden/>
    <w:pPr>
      <w:ind w:left="1100"/>
    </w:pPr>
    <w:rPr>
      <w:rFonts w:ascii="Times New Roman" w:hAnsi="Times New Roman"/>
      <w:sz w:val="18"/>
      <w:szCs w:val="18"/>
    </w:rPr>
  </w:style>
  <w:style w:type="paragraph" w:styleId="TOC7">
    <w:name w:val="toc 7"/>
    <w:basedOn w:val="Normal"/>
    <w:next w:val="Normal"/>
    <w:autoRedefine/>
    <w:semiHidden/>
    <w:pPr>
      <w:ind w:left="1320"/>
    </w:pPr>
    <w:rPr>
      <w:rFonts w:ascii="Times New Roman" w:hAnsi="Times New Roman"/>
      <w:sz w:val="18"/>
      <w:szCs w:val="18"/>
    </w:rPr>
  </w:style>
  <w:style w:type="paragraph" w:styleId="TOC8">
    <w:name w:val="toc 8"/>
    <w:basedOn w:val="Normal"/>
    <w:next w:val="Normal"/>
    <w:autoRedefine/>
    <w:semiHidden/>
    <w:pPr>
      <w:ind w:left="1540"/>
    </w:pPr>
    <w:rPr>
      <w:rFonts w:ascii="Times New Roman" w:hAnsi="Times New Roman"/>
      <w:sz w:val="18"/>
      <w:szCs w:val="18"/>
    </w:rPr>
  </w:style>
  <w:style w:type="paragraph" w:styleId="TOC9">
    <w:name w:val="toc 9"/>
    <w:basedOn w:val="Normal"/>
    <w:next w:val="Normal"/>
    <w:autoRedefine/>
    <w:semiHidden/>
    <w:pPr>
      <w:ind w:left="1760"/>
    </w:pPr>
    <w:rPr>
      <w:rFonts w:ascii="Times New Roman" w:hAnsi="Times New Roman"/>
      <w:sz w:val="18"/>
      <w:szCs w:val="18"/>
    </w:rPr>
  </w:style>
  <w:style w:type="paragraph" w:styleId="Title">
    <w:name w:val="Title"/>
    <w:basedOn w:val="Normal"/>
    <w:qFormat/>
    <w:pPr>
      <w:jc w:val="center"/>
    </w:pPr>
    <w:rPr>
      <w:b/>
      <w:bCs/>
      <w:sz w:val="36"/>
    </w:rPr>
  </w:style>
  <w:style w:type="paragraph" w:customStyle="1" w:styleId="Numberedheading1">
    <w:name w:val="Numbered heading 1"/>
    <w:basedOn w:val="Normal"/>
    <w:pPr>
      <w:numPr>
        <w:numId w:val="3"/>
      </w:numPr>
      <w:spacing w:after="120"/>
    </w:pPr>
    <w:rPr>
      <w:b/>
      <w:sz w:val="28"/>
    </w:rPr>
  </w:style>
  <w:style w:type="paragraph" w:customStyle="1" w:styleId="dashpoint">
    <w:name w:val="dash point"/>
    <w:basedOn w:val="Normal"/>
    <w:pPr>
      <w:numPr>
        <w:numId w:val="1"/>
      </w:numPr>
    </w:pPr>
  </w:style>
  <w:style w:type="paragraph" w:customStyle="1" w:styleId="dotpoint">
    <w:name w:val="dot point"/>
    <w:basedOn w:val="Normal"/>
    <w:pPr>
      <w:numPr>
        <w:numId w:val="2"/>
      </w:numPr>
      <w:spacing w:after="120"/>
    </w:pPr>
  </w:style>
  <w:style w:type="paragraph" w:styleId="CommentText">
    <w:name w:val="annotation text"/>
    <w:basedOn w:val="Normal"/>
    <w:link w:val="CommentTextChar"/>
    <w:semiHidden/>
  </w:style>
  <w:style w:type="paragraph" w:customStyle="1" w:styleId="Recital">
    <w:name w:val="Recital"/>
    <w:basedOn w:val="Normal"/>
    <w:pPr>
      <w:numPr>
        <w:ilvl w:val="1"/>
        <w:numId w:val="4"/>
      </w:numPr>
    </w:pPr>
    <w:rPr>
      <w:sz w:val="24"/>
    </w:rPr>
  </w:style>
  <w:style w:type="paragraph" w:styleId="BodyTextIndent">
    <w:name w:val="Body Text Indent"/>
    <w:basedOn w:val="Normal"/>
    <w:pPr>
      <w:ind w:left="360"/>
    </w:pPr>
    <w:rPr>
      <w:sz w:val="24"/>
    </w:rPr>
  </w:style>
  <w:style w:type="paragraph" w:styleId="Subtitle">
    <w:name w:val="Subtitle"/>
    <w:basedOn w:val="Normal"/>
    <w:qFormat/>
    <w:pPr>
      <w:jc w:val="center"/>
    </w:pPr>
    <w:rPr>
      <w:b/>
      <w:bCs/>
      <w:sz w:val="24"/>
    </w:rPr>
  </w:style>
  <w:style w:type="paragraph" w:styleId="BodyText2">
    <w:name w:val="Body Text 2"/>
    <w:basedOn w:val="Normal"/>
    <w:rPr>
      <w:i/>
      <w:iCs/>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i/>
      <w:iCs/>
      <w:sz w:val="24"/>
    </w:rPr>
  </w:style>
  <w:style w:type="paragraph" w:styleId="DocumentMap">
    <w:name w:val="Document Map"/>
    <w:basedOn w:val="Normal"/>
    <w:semiHidden/>
    <w:pPr>
      <w:shd w:val="clear" w:color="auto" w:fill="000080"/>
    </w:pPr>
    <w:rPr>
      <w:rFonts w:ascii="Tahoma" w:hAnsi="Tahoma" w:cs="Tahoma"/>
      <w:sz w:val="24"/>
    </w:rPr>
  </w:style>
  <w:style w:type="paragraph" w:customStyle="1" w:styleId="Numbered">
    <w:name w:val="Numbered"/>
    <w:basedOn w:val="Normal"/>
    <w:pPr>
      <w:numPr>
        <w:numId w:val="5"/>
      </w:numPr>
      <w:ind w:left="0" w:firstLine="0"/>
    </w:pPr>
    <w:rPr>
      <w:sz w:val="24"/>
    </w:rPr>
  </w:style>
  <w:style w:type="paragraph" w:customStyle="1" w:styleId="BulletDot">
    <w:name w:val="Bullet Dot"/>
    <w:basedOn w:val="Normal"/>
    <w:pPr>
      <w:keepLines/>
      <w:numPr>
        <w:numId w:val="6"/>
      </w:numPr>
      <w:ind w:left="357" w:hanging="357"/>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character" w:customStyle="1" w:styleId="bodytext1">
    <w:name w:val="bodytext1"/>
    <w:rPr>
      <w:rFonts w:ascii="Verdana" w:hAnsi="Verdana" w:hint="default"/>
      <w:b w:val="0"/>
      <w:bCs w:val="0"/>
      <w:i w:val="0"/>
      <w:iCs w:val="0"/>
      <w:smallCaps w:val="0"/>
      <w:color w:val="000000"/>
      <w:sz w:val="20"/>
      <w:szCs w:val="20"/>
    </w:rPr>
  </w:style>
  <w:style w:type="paragraph" w:customStyle="1" w:styleId="FACT-bodytext">
    <w:name w:val="FACT - body text"/>
    <w:basedOn w:val="Normal"/>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paragraph" w:customStyle="1" w:styleId="FACT-heading2">
    <w:name w:val="FACT - heading 2"/>
    <w:basedOn w:val="Normal"/>
    <w:pPr>
      <w:widowControl w:val="0"/>
      <w:autoSpaceDE w:val="0"/>
      <w:autoSpaceDN w:val="0"/>
      <w:adjustRightInd w:val="0"/>
      <w:spacing w:before="227" w:after="170" w:line="360" w:lineRule="atLeast"/>
      <w:textAlignment w:val="baseline"/>
    </w:pPr>
    <w:rPr>
      <w:rFonts w:ascii="MetaPlusNormal-" w:hAnsi="MetaPlusNormal-"/>
      <w:color w:val="000000"/>
      <w:spacing w:val="-5"/>
      <w:sz w:val="32"/>
      <w:lang w:val="en-US"/>
    </w:rPr>
  </w:style>
  <w:style w:type="paragraph" w:customStyle="1" w:styleId="wisbullets">
    <w:name w:val="wis_bullets"/>
    <w:basedOn w:val="FACT-bodytext"/>
    <w:pPr>
      <w:ind w:left="283" w:hanging="283"/>
    </w:pPr>
  </w:style>
  <w:style w:type="paragraph" w:customStyle="1" w:styleId="DepartmentalNormal">
    <w:name w:val="Departmental Normal"/>
    <w:basedOn w:val="Normal"/>
    <w:rPr>
      <w:sz w:val="24"/>
    </w:rPr>
  </w:style>
  <w:style w:type="paragraph" w:customStyle="1" w:styleId="FACT-heading3">
    <w:name w:val="FACT - heading 3"/>
    <w:basedOn w:val="Normal"/>
    <w:pPr>
      <w:widowControl w:val="0"/>
      <w:autoSpaceDE w:val="0"/>
      <w:autoSpaceDN w:val="0"/>
      <w:adjustRightInd w:val="0"/>
      <w:spacing w:before="113" w:after="57" w:line="300" w:lineRule="atLeast"/>
      <w:textAlignment w:val="baseline"/>
    </w:pPr>
    <w:rPr>
      <w:rFonts w:ascii="MetaPlusBold-" w:hAnsi="MetaPlusBold-"/>
      <w:color w:val="000000"/>
      <w:spacing w:val="-3"/>
      <w:lang w:val="en-US"/>
    </w:rPr>
  </w:style>
  <w:style w:type="paragraph" w:styleId="List">
    <w:name w:val="List"/>
    <w:basedOn w:val="Normal"/>
    <w:pPr>
      <w:numPr>
        <w:numId w:val="7"/>
      </w:numPr>
      <w:spacing w:after="120"/>
      <w:jc w:val="both"/>
    </w:pPr>
    <w:rPr>
      <w:szCs w:val="22"/>
      <w:lang w:val="en-US"/>
    </w:rPr>
  </w:style>
  <w:style w:type="paragraph" w:styleId="List2">
    <w:name w:val="List 2"/>
    <w:basedOn w:val="Normal"/>
    <w:pPr>
      <w:spacing w:after="120"/>
    </w:pPr>
    <w:rPr>
      <w:szCs w:val="22"/>
      <w:lang w:val="en-US"/>
    </w:rPr>
  </w:style>
  <w:style w:type="paragraph" w:customStyle="1" w:styleId="wisbulleta">
    <w:name w:val="wis_bullet_(a)"/>
    <w:basedOn w:val="FACT-bodytext"/>
    <w:pPr>
      <w:ind w:left="1701" w:hanging="850"/>
    </w:pPr>
  </w:style>
  <w:style w:type="paragraph" w:customStyle="1" w:styleId="MELegal2">
    <w:name w:val="ME Legal 2"/>
    <w:basedOn w:val="Normal"/>
    <w:next w:val="Normal"/>
    <w:pPr>
      <w:spacing w:after="240"/>
      <w:outlineLvl w:val="1"/>
    </w:pPr>
    <w:rPr>
      <w:sz w:val="24"/>
    </w:rPr>
  </w:style>
  <w:style w:type="paragraph" w:styleId="BodyTextIndent2">
    <w:name w:val="Body Text Indent 2"/>
    <w:basedOn w:val="Normal"/>
    <w:pPr>
      <w:shd w:val="clear" w:color="auto" w:fill="D9D9D9"/>
      <w:ind w:left="60"/>
    </w:pPr>
    <w:rPr>
      <w:rFonts w:cs="Arial"/>
    </w:rPr>
  </w:style>
  <w:style w:type="paragraph" w:customStyle="1" w:styleId="wisbody">
    <w:name w:val="wis_body"/>
    <w:basedOn w:val="Normal"/>
    <w:pPr>
      <w:widowControl w:val="0"/>
      <w:autoSpaceDE w:val="0"/>
      <w:autoSpaceDN w:val="0"/>
      <w:adjustRightInd w:val="0"/>
      <w:spacing w:after="57" w:line="300" w:lineRule="atLeast"/>
      <w:textAlignment w:val="center"/>
    </w:pPr>
    <w:rPr>
      <w:rFonts w:ascii="MetaPlusNormal-" w:hAnsi="MetaPlusNormal-"/>
      <w:color w:val="000000"/>
      <w:spacing w:val="-4"/>
      <w:szCs w:val="22"/>
      <w:lang w:val="en-US"/>
    </w:rPr>
  </w:style>
  <w:style w:type="paragraph" w:customStyle="1" w:styleId="wisheading2">
    <w:name w:val="wis_heading2"/>
    <w:basedOn w:val="Normal"/>
    <w:pPr>
      <w:widowControl w:val="0"/>
      <w:autoSpaceDE w:val="0"/>
      <w:autoSpaceDN w:val="0"/>
      <w:adjustRightInd w:val="0"/>
      <w:spacing w:before="170" w:after="57" w:line="360" w:lineRule="atLeast"/>
      <w:textAlignment w:val="center"/>
    </w:pPr>
    <w:rPr>
      <w:rFonts w:ascii="MetaPlusNormal-" w:hAnsi="MetaPlusNormal-"/>
      <w:color w:val="000000"/>
      <w:spacing w:val="-14"/>
      <w:sz w:val="28"/>
      <w:szCs w:val="28"/>
      <w:lang w:val="en-US"/>
    </w:rPr>
  </w:style>
  <w:style w:type="paragraph" w:customStyle="1" w:styleId="wisheading3">
    <w:name w:val="wis_heading3"/>
    <w:basedOn w:val="Normal"/>
    <w:pPr>
      <w:widowControl w:val="0"/>
      <w:autoSpaceDE w:val="0"/>
      <w:autoSpaceDN w:val="0"/>
      <w:adjustRightInd w:val="0"/>
      <w:spacing w:before="113" w:after="57" w:line="300" w:lineRule="atLeast"/>
      <w:textAlignment w:val="center"/>
    </w:pPr>
    <w:rPr>
      <w:rFonts w:ascii="MetaPlusBold-" w:hAnsi="MetaPlusBold-"/>
      <w:color w:val="000000"/>
      <w:szCs w:val="22"/>
      <w:lang w:val="en-US"/>
    </w:rPr>
  </w:style>
  <w:style w:type="character" w:customStyle="1" w:styleId="bold">
    <w:name w:val="bold"/>
    <w:rPr>
      <w:rFonts w:ascii="MetaPlusBold-" w:hAnsi="MetaPlusBold-"/>
    </w:rPr>
  </w:style>
  <w:style w:type="character" w:customStyle="1" w:styleId="italic-underline">
    <w:name w:val="italic-underline"/>
    <w:rPr>
      <w:i/>
      <w:iCs/>
      <w:u w:val="thick"/>
    </w:rPr>
  </w:style>
  <w:style w:type="character" w:customStyle="1" w:styleId="Normal1">
    <w:name w:val="Normal1"/>
  </w:style>
  <w:style w:type="paragraph" w:styleId="BalloonText">
    <w:name w:val="Balloon Text"/>
    <w:basedOn w:val="Normal"/>
    <w:semiHidden/>
    <w:rsid w:val="00D51A48"/>
    <w:rPr>
      <w:rFonts w:ascii="Tahoma" w:hAnsi="Tahoma" w:cs="Tahoma"/>
      <w:sz w:val="16"/>
      <w:szCs w:val="16"/>
    </w:rPr>
  </w:style>
  <w:style w:type="table" w:styleId="TableGrid">
    <w:name w:val="Table Grid"/>
    <w:basedOn w:val="TableNormal"/>
    <w:rsid w:val="0053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754F4D"/>
    <w:rPr>
      <w:sz w:val="16"/>
      <w:szCs w:val="16"/>
    </w:rPr>
  </w:style>
  <w:style w:type="paragraph" w:styleId="CommentSubject">
    <w:name w:val="annotation subject"/>
    <w:basedOn w:val="CommentText"/>
    <w:next w:val="CommentText"/>
    <w:semiHidden/>
    <w:rsid w:val="00754F4D"/>
    <w:rPr>
      <w:b/>
      <w:bCs/>
      <w:sz w:val="20"/>
    </w:rPr>
  </w:style>
  <w:style w:type="paragraph" w:customStyle="1" w:styleId="CharChar1CharCharCharChar">
    <w:name w:val="Char Char1 Char Char Char Char"/>
    <w:basedOn w:val="Normal"/>
    <w:rsid w:val="007547A9"/>
  </w:style>
  <w:style w:type="paragraph" w:customStyle="1" w:styleId="StyleArial10ptItalic">
    <w:name w:val="Style Arial 10 pt Italic"/>
    <w:basedOn w:val="Normal"/>
    <w:autoRedefine/>
    <w:rsid w:val="00B4770B"/>
    <w:rPr>
      <w:rFonts w:cs="Arial"/>
      <w:iCs/>
      <w:sz w:val="20"/>
    </w:rPr>
  </w:style>
  <w:style w:type="paragraph" w:customStyle="1" w:styleId="StyleHeaderArial10ptItalicBefore6pt">
    <w:name w:val="Style Header + Arial 10 pt Italic Before:  6 pt"/>
    <w:basedOn w:val="Header"/>
    <w:autoRedefine/>
    <w:rsid w:val="00561FE3"/>
    <w:pPr>
      <w:numPr>
        <w:numId w:val="17"/>
      </w:numPr>
      <w:shd w:val="clear" w:color="auto" w:fill="FFFF99"/>
      <w:spacing w:after="120"/>
    </w:pPr>
    <w:rPr>
      <w:i/>
      <w:iCs/>
      <w:sz w:val="20"/>
    </w:rPr>
  </w:style>
  <w:style w:type="character" w:customStyle="1" w:styleId="Heading2Char">
    <w:name w:val="Heading 2 Char"/>
    <w:aliases w:val="h2 Char"/>
    <w:link w:val="Heading2"/>
    <w:rsid w:val="009678BE"/>
    <w:rPr>
      <w:rFonts w:ascii="Arial" w:hAnsi="Arial" w:cs="Arial"/>
      <w:b/>
      <w:bCs/>
      <w:i/>
      <w:iCs/>
      <w:sz w:val="24"/>
      <w:szCs w:val="28"/>
      <w:lang w:eastAsia="en-US"/>
    </w:rPr>
  </w:style>
  <w:style w:type="paragraph" w:styleId="ListBullet2">
    <w:name w:val="List Bullet 2"/>
    <w:basedOn w:val="Normal"/>
    <w:rsid w:val="009678BE"/>
    <w:pPr>
      <w:numPr>
        <w:numId w:val="24"/>
      </w:numPr>
      <w:contextualSpacing/>
    </w:pPr>
  </w:style>
  <w:style w:type="character" w:customStyle="1" w:styleId="BodyTextChar">
    <w:name w:val="Body Text Char"/>
    <w:link w:val="BodyText0"/>
    <w:rsid w:val="009678BE"/>
    <w:rPr>
      <w:rFonts w:ascii="Arial" w:hAnsi="Arial"/>
      <w:sz w:val="22"/>
      <w:lang w:eastAsia="en-US"/>
    </w:rPr>
  </w:style>
  <w:style w:type="character" w:customStyle="1" w:styleId="CommentTextChar">
    <w:name w:val="Comment Text Char"/>
    <w:link w:val="CommentText"/>
    <w:semiHidden/>
    <w:rsid w:val="009678BE"/>
    <w:rPr>
      <w:rFonts w:ascii="Arial" w:hAnsi="Arial"/>
      <w:sz w:val="22"/>
      <w:lang w:eastAsia="en-US"/>
    </w:rPr>
  </w:style>
  <w:style w:type="paragraph" w:styleId="List3">
    <w:name w:val="List 3"/>
    <w:basedOn w:val="Normal"/>
    <w:rsid w:val="009678BE"/>
    <w:pPr>
      <w:ind w:left="849" w:hanging="283"/>
      <w:contextualSpacing/>
    </w:pPr>
  </w:style>
  <w:style w:type="paragraph" w:styleId="Revision">
    <w:name w:val="Revision"/>
    <w:hidden/>
    <w:uiPriority w:val="99"/>
    <w:semiHidden/>
    <w:rsid w:val="00ED262A"/>
    <w:rPr>
      <w:rFonts w:ascii="Arial" w:hAnsi="Arial"/>
      <w:sz w:val="22"/>
      <w:lang w:eastAsia="en-US"/>
    </w:rPr>
  </w:style>
  <w:style w:type="paragraph" w:styleId="ListParagraph">
    <w:name w:val="List Paragraph"/>
    <w:basedOn w:val="Normal"/>
    <w:uiPriority w:val="34"/>
    <w:qFormat/>
    <w:rsid w:val="00472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qFormat/>
    <w:pPr>
      <w:keepNext/>
      <w:numPr>
        <w:numId w:val="9"/>
      </w:numPr>
      <w:spacing w:before="240" w:after="60"/>
      <w:outlineLvl w:val="0"/>
    </w:pPr>
    <w:rPr>
      <w:rFonts w:cs="Arial"/>
      <w:b/>
      <w:bCs/>
      <w:kern w:val="32"/>
      <w:sz w:val="28"/>
      <w:szCs w:val="32"/>
    </w:rPr>
  </w:style>
  <w:style w:type="paragraph" w:styleId="Heading2">
    <w:name w:val="heading 2"/>
    <w:aliases w:val="h2"/>
    <w:basedOn w:val="Normal"/>
    <w:next w:val="Normal"/>
    <w:link w:val="Heading2Char"/>
    <w:qFormat/>
    <w:pPr>
      <w:keepNext/>
      <w:numPr>
        <w:ilvl w:val="1"/>
        <w:numId w:val="9"/>
      </w:numPr>
      <w:spacing w:before="240" w:after="60"/>
      <w:outlineLvl w:val="1"/>
    </w:pPr>
    <w:rPr>
      <w:rFonts w:cs="Arial"/>
      <w:b/>
      <w:bCs/>
      <w:i/>
      <w:iCs/>
      <w:sz w:val="24"/>
      <w:szCs w:val="28"/>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qFormat/>
    <w:pPr>
      <w:keepNext/>
      <w:numPr>
        <w:ilvl w:val="2"/>
        <w:numId w:val="9"/>
      </w:numPr>
      <w:spacing w:before="240" w:after="60"/>
      <w:outlineLvl w:val="2"/>
    </w:pPr>
    <w:rPr>
      <w:rFonts w:cs="Arial"/>
      <w:b/>
      <w:bCs/>
      <w:sz w:val="26"/>
      <w:szCs w:val="26"/>
    </w:rPr>
  </w:style>
  <w:style w:type="paragraph" w:styleId="Heading4">
    <w:name w:val="heading 4"/>
    <w:aliases w:val="h4"/>
    <w:basedOn w:val="Normal"/>
    <w:next w:val="Normal"/>
    <w:qFormat/>
    <w:pPr>
      <w:keepNext/>
      <w:numPr>
        <w:ilvl w:val="3"/>
        <w:numId w:val="9"/>
      </w:numPr>
      <w:spacing w:before="240" w:after="60"/>
      <w:outlineLvl w:val="3"/>
    </w:pPr>
    <w:rPr>
      <w:b/>
      <w:bCs/>
      <w:sz w:val="28"/>
      <w:szCs w:val="28"/>
    </w:rPr>
  </w:style>
  <w:style w:type="paragraph" w:styleId="Heading5">
    <w:name w:val="heading 5"/>
    <w:basedOn w:val="Normal"/>
    <w:next w:val="Normal"/>
    <w:qFormat/>
    <w:pPr>
      <w:numPr>
        <w:ilvl w:val="4"/>
        <w:numId w:val="9"/>
      </w:numPr>
      <w:spacing w:before="240" w:after="60"/>
      <w:outlineLvl w:val="4"/>
    </w:pPr>
    <w:rPr>
      <w:b/>
      <w:bCs/>
      <w:i/>
      <w:iCs/>
      <w:sz w:val="26"/>
      <w:szCs w:val="26"/>
    </w:rPr>
  </w:style>
  <w:style w:type="paragraph" w:styleId="Heading6">
    <w:name w:val="heading 6"/>
    <w:basedOn w:val="Normal"/>
    <w:next w:val="Normal"/>
    <w:qFormat/>
    <w:pPr>
      <w:numPr>
        <w:ilvl w:val="5"/>
        <w:numId w:val="9"/>
      </w:numPr>
      <w:spacing w:before="240" w:after="60"/>
      <w:outlineLvl w:val="5"/>
    </w:pPr>
    <w:rPr>
      <w:b/>
      <w:bCs/>
      <w:szCs w:val="22"/>
    </w:rPr>
  </w:style>
  <w:style w:type="paragraph" w:styleId="Heading7">
    <w:name w:val="heading 7"/>
    <w:basedOn w:val="Normal"/>
    <w:next w:val="Normal"/>
    <w:qFormat/>
    <w:pPr>
      <w:numPr>
        <w:ilvl w:val="6"/>
        <w:numId w:val="9"/>
      </w:numPr>
      <w:spacing w:before="240" w:after="60"/>
      <w:outlineLvl w:val="6"/>
    </w:pPr>
    <w:rPr>
      <w:sz w:val="24"/>
      <w:szCs w:val="24"/>
    </w:rPr>
  </w:style>
  <w:style w:type="paragraph" w:styleId="Heading8">
    <w:name w:val="heading 8"/>
    <w:basedOn w:val="Normal"/>
    <w:next w:val="Normal"/>
    <w:qFormat/>
    <w:pPr>
      <w:numPr>
        <w:ilvl w:val="7"/>
        <w:numId w:val="9"/>
      </w:numPr>
      <w:spacing w:before="240" w:after="60"/>
      <w:outlineLvl w:val="7"/>
    </w:pPr>
    <w:rPr>
      <w:i/>
      <w:iCs/>
      <w:sz w:val="24"/>
      <w:szCs w:val="24"/>
    </w:rPr>
  </w:style>
  <w:style w:type="paragraph" w:styleId="Heading9">
    <w:name w:val="heading 9"/>
    <w:basedOn w:val="Normal"/>
    <w:next w:val="Normal"/>
    <w:qFormat/>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text">
    <w:name w:val="bodytext"/>
    <w:basedOn w:val="Normal"/>
    <w:pPr>
      <w:spacing w:before="100" w:beforeAutospacing="1" w:after="100" w:afterAutospacing="1"/>
    </w:pPr>
    <w:rPr>
      <w:rFonts w:ascii="Verdana" w:eastAsia="Arial Unicode MS" w:hAnsi="Verdana" w:cs="Arial Unicode MS"/>
      <w:color w:val="000000"/>
    </w:rPr>
  </w:style>
  <w:style w:type="paragraph" w:styleId="BodyText0">
    <w:name w:val="Body Text"/>
    <w:basedOn w:val="Normal"/>
    <w:link w:val="BodyTextChar"/>
    <w:pPr>
      <w:spacing w:after="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pPr>
    <w:rPr>
      <w:rFonts w:ascii="Times New Roman" w:hAnsi="Times New Roman"/>
      <w:b/>
      <w:bCs/>
      <w:caps/>
      <w:sz w:val="20"/>
    </w:rPr>
  </w:style>
  <w:style w:type="paragraph" w:styleId="TOC2">
    <w:name w:val="toc 2"/>
    <w:basedOn w:val="Normal"/>
    <w:next w:val="Normal"/>
    <w:autoRedefine/>
    <w:uiPriority w:val="39"/>
    <w:rsid w:val="00AC240C"/>
    <w:pPr>
      <w:ind w:left="220"/>
    </w:pPr>
    <w:rPr>
      <w:rFonts w:ascii="Times New Roman" w:hAnsi="Times New Roman"/>
      <w:smallCaps/>
      <w:sz w:val="20"/>
    </w:rPr>
  </w:style>
  <w:style w:type="paragraph" w:styleId="TOC3">
    <w:name w:val="toc 3"/>
    <w:basedOn w:val="Normal"/>
    <w:next w:val="Normal"/>
    <w:autoRedefine/>
    <w:semiHidden/>
    <w:pPr>
      <w:ind w:left="440"/>
    </w:pPr>
    <w:rPr>
      <w:rFonts w:ascii="Times New Roman" w:hAnsi="Times New Roman"/>
      <w:i/>
      <w:iCs/>
      <w:sz w:val="20"/>
    </w:rPr>
  </w:style>
  <w:style w:type="paragraph" w:styleId="TOC4">
    <w:name w:val="toc 4"/>
    <w:basedOn w:val="Normal"/>
    <w:next w:val="Normal"/>
    <w:autoRedefine/>
    <w:semiHidden/>
    <w:pPr>
      <w:ind w:left="660"/>
    </w:pPr>
    <w:rPr>
      <w:rFonts w:ascii="Times New Roman" w:hAnsi="Times New Roman"/>
      <w:sz w:val="18"/>
      <w:szCs w:val="18"/>
    </w:rPr>
  </w:style>
  <w:style w:type="paragraph" w:styleId="TOC5">
    <w:name w:val="toc 5"/>
    <w:basedOn w:val="Normal"/>
    <w:next w:val="Normal"/>
    <w:autoRedefine/>
    <w:semiHidden/>
    <w:pPr>
      <w:ind w:left="880"/>
    </w:pPr>
    <w:rPr>
      <w:rFonts w:ascii="Times New Roman" w:hAnsi="Times New Roman"/>
      <w:sz w:val="18"/>
      <w:szCs w:val="18"/>
    </w:rPr>
  </w:style>
  <w:style w:type="paragraph" w:styleId="TOC6">
    <w:name w:val="toc 6"/>
    <w:basedOn w:val="Normal"/>
    <w:next w:val="Normal"/>
    <w:autoRedefine/>
    <w:semiHidden/>
    <w:pPr>
      <w:ind w:left="1100"/>
    </w:pPr>
    <w:rPr>
      <w:rFonts w:ascii="Times New Roman" w:hAnsi="Times New Roman"/>
      <w:sz w:val="18"/>
      <w:szCs w:val="18"/>
    </w:rPr>
  </w:style>
  <w:style w:type="paragraph" w:styleId="TOC7">
    <w:name w:val="toc 7"/>
    <w:basedOn w:val="Normal"/>
    <w:next w:val="Normal"/>
    <w:autoRedefine/>
    <w:semiHidden/>
    <w:pPr>
      <w:ind w:left="1320"/>
    </w:pPr>
    <w:rPr>
      <w:rFonts w:ascii="Times New Roman" w:hAnsi="Times New Roman"/>
      <w:sz w:val="18"/>
      <w:szCs w:val="18"/>
    </w:rPr>
  </w:style>
  <w:style w:type="paragraph" w:styleId="TOC8">
    <w:name w:val="toc 8"/>
    <w:basedOn w:val="Normal"/>
    <w:next w:val="Normal"/>
    <w:autoRedefine/>
    <w:semiHidden/>
    <w:pPr>
      <w:ind w:left="1540"/>
    </w:pPr>
    <w:rPr>
      <w:rFonts w:ascii="Times New Roman" w:hAnsi="Times New Roman"/>
      <w:sz w:val="18"/>
      <w:szCs w:val="18"/>
    </w:rPr>
  </w:style>
  <w:style w:type="paragraph" w:styleId="TOC9">
    <w:name w:val="toc 9"/>
    <w:basedOn w:val="Normal"/>
    <w:next w:val="Normal"/>
    <w:autoRedefine/>
    <w:semiHidden/>
    <w:pPr>
      <w:ind w:left="1760"/>
    </w:pPr>
    <w:rPr>
      <w:rFonts w:ascii="Times New Roman" w:hAnsi="Times New Roman"/>
      <w:sz w:val="18"/>
      <w:szCs w:val="18"/>
    </w:rPr>
  </w:style>
  <w:style w:type="paragraph" w:styleId="Title">
    <w:name w:val="Title"/>
    <w:basedOn w:val="Normal"/>
    <w:qFormat/>
    <w:pPr>
      <w:jc w:val="center"/>
    </w:pPr>
    <w:rPr>
      <w:b/>
      <w:bCs/>
      <w:sz w:val="36"/>
    </w:rPr>
  </w:style>
  <w:style w:type="paragraph" w:customStyle="1" w:styleId="Numberedheading1">
    <w:name w:val="Numbered heading 1"/>
    <w:basedOn w:val="Normal"/>
    <w:pPr>
      <w:numPr>
        <w:numId w:val="3"/>
      </w:numPr>
      <w:spacing w:after="120"/>
    </w:pPr>
    <w:rPr>
      <w:b/>
      <w:sz w:val="28"/>
    </w:rPr>
  </w:style>
  <w:style w:type="paragraph" w:customStyle="1" w:styleId="dashpoint">
    <w:name w:val="dash point"/>
    <w:basedOn w:val="Normal"/>
    <w:pPr>
      <w:numPr>
        <w:numId w:val="1"/>
      </w:numPr>
    </w:pPr>
  </w:style>
  <w:style w:type="paragraph" w:customStyle="1" w:styleId="dotpoint">
    <w:name w:val="dot point"/>
    <w:basedOn w:val="Normal"/>
    <w:pPr>
      <w:numPr>
        <w:numId w:val="2"/>
      </w:numPr>
      <w:spacing w:after="120"/>
    </w:pPr>
  </w:style>
  <w:style w:type="paragraph" w:styleId="CommentText">
    <w:name w:val="annotation text"/>
    <w:basedOn w:val="Normal"/>
    <w:link w:val="CommentTextChar"/>
    <w:semiHidden/>
  </w:style>
  <w:style w:type="paragraph" w:customStyle="1" w:styleId="Recital">
    <w:name w:val="Recital"/>
    <w:basedOn w:val="Normal"/>
    <w:pPr>
      <w:numPr>
        <w:ilvl w:val="1"/>
        <w:numId w:val="4"/>
      </w:numPr>
    </w:pPr>
    <w:rPr>
      <w:sz w:val="24"/>
    </w:rPr>
  </w:style>
  <w:style w:type="paragraph" w:styleId="BodyTextIndent">
    <w:name w:val="Body Text Indent"/>
    <w:basedOn w:val="Normal"/>
    <w:pPr>
      <w:ind w:left="360"/>
    </w:pPr>
    <w:rPr>
      <w:sz w:val="24"/>
    </w:rPr>
  </w:style>
  <w:style w:type="paragraph" w:styleId="Subtitle">
    <w:name w:val="Subtitle"/>
    <w:basedOn w:val="Normal"/>
    <w:qFormat/>
    <w:pPr>
      <w:jc w:val="center"/>
    </w:pPr>
    <w:rPr>
      <w:b/>
      <w:bCs/>
      <w:sz w:val="24"/>
    </w:rPr>
  </w:style>
  <w:style w:type="paragraph" w:styleId="BodyText2">
    <w:name w:val="Body Text 2"/>
    <w:basedOn w:val="Normal"/>
    <w:rPr>
      <w:i/>
      <w:iCs/>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i/>
      <w:iCs/>
      <w:sz w:val="24"/>
    </w:rPr>
  </w:style>
  <w:style w:type="paragraph" w:styleId="DocumentMap">
    <w:name w:val="Document Map"/>
    <w:basedOn w:val="Normal"/>
    <w:semiHidden/>
    <w:pPr>
      <w:shd w:val="clear" w:color="auto" w:fill="000080"/>
    </w:pPr>
    <w:rPr>
      <w:rFonts w:ascii="Tahoma" w:hAnsi="Tahoma" w:cs="Tahoma"/>
      <w:sz w:val="24"/>
    </w:rPr>
  </w:style>
  <w:style w:type="paragraph" w:customStyle="1" w:styleId="Numbered">
    <w:name w:val="Numbered"/>
    <w:basedOn w:val="Normal"/>
    <w:pPr>
      <w:numPr>
        <w:numId w:val="5"/>
      </w:numPr>
      <w:ind w:left="0" w:firstLine="0"/>
    </w:pPr>
    <w:rPr>
      <w:sz w:val="24"/>
    </w:rPr>
  </w:style>
  <w:style w:type="paragraph" w:customStyle="1" w:styleId="BulletDot">
    <w:name w:val="Bullet Dot"/>
    <w:basedOn w:val="Normal"/>
    <w:pPr>
      <w:keepLines/>
      <w:numPr>
        <w:numId w:val="6"/>
      </w:numPr>
      <w:ind w:left="357" w:hanging="357"/>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character" w:customStyle="1" w:styleId="bodytext1">
    <w:name w:val="bodytext1"/>
    <w:rPr>
      <w:rFonts w:ascii="Verdana" w:hAnsi="Verdana" w:hint="default"/>
      <w:b w:val="0"/>
      <w:bCs w:val="0"/>
      <w:i w:val="0"/>
      <w:iCs w:val="0"/>
      <w:smallCaps w:val="0"/>
      <w:color w:val="000000"/>
      <w:sz w:val="20"/>
      <w:szCs w:val="20"/>
    </w:rPr>
  </w:style>
  <w:style w:type="paragraph" w:customStyle="1" w:styleId="FACT-bodytext">
    <w:name w:val="FACT - body text"/>
    <w:basedOn w:val="Normal"/>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paragraph" w:customStyle="1" w:styleId="FACT-heading2">
    <w:name w:val="FACT - heading 2"/>
    <w:basedOn w:val="Normal"/>
    <w:pPr>
      <w:widowControl w:val="0"/>
      <w:autoSpaceDE w:val="0"/>
      <w:autoSpaceDN w:val="0"/>
      <w:adjustRightInd w:val="0"/>
      <w:spacing w:before="227" w:after="170" w:line="360" w:lineRule="atLeast"/>
      <w:textAlignment w:val="baseline"/>
    </w:pPr>
    <w:rPr>
      <w:rFonts w:ascii="MetaPlusNormal-" w:hAnsi="MetaPlusNormal-"/>
      <w:color w:val="000000"/>
      <w:spacing w:val="-5"/>
      <w:sz w:val="32"/>
      <w:lang w:val="en-US"/>
    </w:rPr>
  </w:style>
  <w:style w:type="paragraph" w:customStyle="1" w:styleId="wisbullets">
    <w:name w:val="wis_bullets"/>
    <w:basedOn w:val="FACT-bodytext"/>
    <w:pPr>
      <w:ind w:left="283" w:hanging="283"/>
    </w:pPr>
  </w:style>
  <w:style w:type="paragraph" w:customStyle="1" w:styleId="DepartmentalNormal">
    <w:name w:val="Departmental Normal"/>
    <w:basedOn w:val="Normal"/>
    <w:rPr>
      <w:sz w:val="24"/>
    </w:rPr>
  </w:style>
  <w:style w:type="paragraph" w:customStyle="1" w:styleId="FACT-heading3">
    <w:name w:val="FACT - heading 3"/>
    <w:basedOn w:val="Normal"/>
    <w:pPr>
      <w:widowControl w:val="0"/>
      <w:autoSpaceDE w:val="0"/>
      <w:autoSpaceDN w:val="0"/>
      <w:adjustRightInd w:val="0"/>
      <w:spacing w:before="113" w:after="57" w:line="300" w:lineRule="atLeast"/>
      <w:textAlignment w:val="baseline"/>
    </w:pPr>
    <w:rPr>
      <w:rFonts w:ascii="MetaPlusBold-" w:hAnsi="MetaPlusBold-"/>
      <w:color w:val="000000"/>
      <w:spacing w:val="-3"/>
      <w:lang w:val="en-US"/>
    </w:rPr>
  </w:style>
  <w:style w:type="paragraph" w:styleId="List">
    <w:name w:val="List"/>
    <w:basedOn w:val="Normal"/>
    <w:pPr>
      <w:numPr>
        <w:numId w:val="7"/>
      </w:numPr>
      <w:spacing w:after="120"/>
      <w:jc w:val="both"/>
    </w:pPr>
    <w:rPr>
      <w:szCs w:val="22"/>
      <w:lang w:val="en-US"/>
    </w:rPr>
  </w:style>
  <w:style w:type="paragraph" w:styleId="List2">
    <w:name w:val="List 2"/>
    <w:basedOn w:val="Normal"/>
    <w:pPr>
      <w:spacing w:after="120"/>
    </w:pPr>
    <w:rPr>
      <w:szCs w:val="22"/>
      <w:lang w:val="en-US"/>
    </w:rPr>
  </w:style>
  <w:style w:type="paragraph" w:customStyle="1" w:styleId="wisbulleta">
    <w:name w:val="wis_bullet_(a)"/>
    <w:basedOn w:val="FACT-bodytext"/>
    <w:pPr>
      <w:ind w:left="1701" w:hanging="850"/>
    </w:pPr>
  </w:style>
  <w:style w:type="paragraph" w:customStyle="1" w:styleId="MELegal2">
    <w:name w:val="ME Legal 2"/>
    <w:basedOn w:val="Normal"/>
    <w:next w:val="Normal"/>
    <w:pPr>
      <w:spacing w:after="240"/>
      <w:outlineLvl w:val="1"/>
    </w:pPr>
    <w:rPr>
      <w:sz w:val="24"/>
    </w:rPr>
  </w:style>
  <w:style w:type="paragraph" w:styleId="BodyTextIndent2">
    <w:name w:val="Body Text Indent 2"/>
    <w:basedOn w:val="Normal"/>
    <w:pPr>
      <w:shd w:val="clear" w:color="auto" w:fill="D9D9D9"/>
      <w:ind w:left="60"/>
    </w:pPr>
    <w:rPr>
      <w:rFonts w:cs="Arial"/>
    </w:rPr>
  </w:style>
  <w:style w:type="paragraph" w:customStyle="1" w:styleId="wisbody">
    <w:name w:val="wis_body"/>
    <w:basedOn w:val="Normal"/>
    <w:pPr>
      <w:widowControl w:val="0"/>
      <w:autoSpaceDE w:val="0"/>
      <w:autoSpaceDN w:val="0"/>
      <w:adjustRightInd w:val="0"/>
      <w:spacing w:after="57" w:line="300" w:lineRule="atLeast"/>
      <w:textAlignment w:val="center"/>
    </w:pPr>
    <w:rPr>
      <w:rFonts w:ascii="MetaPlusNormal-" w:hAnsi="MetaPlusNormal-"/>
      <w:color w:val="000000"/>
      <w:spacing w:val="-4"/>
      <w:szCs w:val="22"/>
      <w:lang w:val="en-US"/>
    </w:rPr>
  </w:style>
  <w:style w:type="paragraph" w:customStyle="1" w:styleId="wisheading2">
    <w:name w:val="wis_heading2"/>
    <w:basedOn w:val="Normal"/>
    <w:pPr>
      <w:widowControl w:val="0"/>
      <w:autoSpaceDE w:val="0"/>
      <w:autoSpaceDN w:val="0"/>
      <w:adjustRightInd w:val="0"/>
      <w:spacing w:before="170" w:after="57" w:line="360" w:lineRule="atLeast"/>
      <w:textAlignment w:val="center"/>
    </w:pPr>
    <w:rPr>
      <w:rFonts w:ascii="MetaPlusNormal-" w:hAnsi="MetaPlusNormal-"/>
      <w:color w:val="000000"/>
      <w:spacing w:val="-14"/>
      <w:sz w:val="28"/>
      <w:szCs w:val="28"/>
      <w:lang w:val="en-US"/>
    </w:rPr>
  </w:style>
  <w:style w:type="paragraph" w:customStyle="1" w:styleId="wisheading3">
    <w:name w:val="wis_heading3"/>
    <w:basedOn w:val="Normal"/>
    <w:pPr>
      <w:widowControl w:val="0"/>
      <w:autoSpaceDE w:val="0"/>
      <w:autoSpaceDN w:val="0"/>
      <w:adjustRightInd w:val="0"/>
      <w:spacing w:before="113" w:after="57" w:line="300" w:lineRule="atLeast"/>
      <w:textAlignment w:val="center"/>
    </w:pPr>
    <w:rPr>
      <w:rFonts w:ascii="MetaPlusBold-" w:hAnsi="MetaPlusBold-"/>
      <w:color w:val="000000"/>
      <w:szCs w:val="22"/>
      <w:lang w:val="en-US"/>
    </w:rPr>
  </w:style>
  <w:style w:type="character" w:customStyle="1" w:styleId="bold">
    <w:name w:val="bold"/>
    <w:rPr>
      <w:rFonts w:ascii="MetaPlusBold-" w:hAnsi="MetaPlusBold-"/>
    </w:rPr>
  </w:style>
  <w:style w:type="character" w:customStyle="1" w:styleId="italic-underline">
    <w:name w:val="italic-underline"/>
    <w:rPr>
      <w:i/>
      <w:iCs/>
      <w:u w:val="thick"/>
    </w:rPr>
  </w:style>
  <w:style w:type="character" w:customStyle="1" w:styleId="Normal1">
    <w:name w:val="Normal1"/>
  </w:style>
  <w:style w:type="paragraph" w:styleId="BalloonText">
    <w:name w:val="Balloon Text"/>
    <w:basedOn w:val="Normal"/>
    <w:semiHidden/>
    <w:rsid w:val="00D51A48"/>
    <w:rPr>
      <w:rFonts w:ascii="Tahoma" w:hAnsi="Tahoma" w:cs="Tahoma"/>
      <w:sz w:val="16"/>
      <w:szCs w:val="16"/>
    </w:rPr>
  </w:style>
  <w:style w:type="table" w:styleId="TableGrid">
    <w:name w:val="Table Grid"/>
    <w:basedOn w:val="TableNormal"/>
    <w:rsid w:val="0053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754F4D"/>
    <w:rPr>
      <w:sz w:val="16"/>
      <w:szCs w:val="16"/>
    </w:rPr>
  </w:style>
  <w:style w:type="paragraph" w:styleId="CommentSubject">
    <w:name w:val="annotation subject"/>
    <w:basedOn w:val="CommentText"/>
    <w:next w:val="CommentText"/>
    <w:semiHidden/>
    <w:rsid w:val="00754F4D"/>
    <w:rPr>
      <w:b/>
      <w:bCs/>
      <w:sz w:val="20"/>
    </w:rPr>
  </w:style>
  <w:style w:type="paragraph" w:customStyle="1" w:styleId="CharChar1CharCharCharChar">
    <w:name w:val="Char Char1 Char Char Char Char"/>
    <w:basedOn w:val="Normal"/>
    <w:rsid w:val="007547A9"/>
  </w:style>
  <w:style w:type="paragraph" w:customStyle="1" w:styleId="StyleArial10ptItalic">
    <w:name w:val="Style Arial 10 pt Italic"/>
    <w:basedOn w:val="Normal"/>
    <w:autoRedefine/>
    <w:rsid w:val="00B4770B"/>
    <w:rPr>
      <w:rFonts w:cs="Arial"/>
      <w:iCs/>
      <w:sz w:val="20"/>
    </w:rPr>
  </w:style>
  <w:style w:type="paragraph" w:customStyle="1" w:styleId="StyleHeaderArial10ptItalicBefore6pt">
    <w:name w:val="Style Header + Arial 10 pt Italic Before:  6 pt"/>
    <w:basedOn w:val="Header"/>
    <w:autoRedefine/>
    <w:rsid w:val="00561FE3"/>
    <w:pPr>
      <w:numPr>
        <w:numId w:val="17"/>
      </w:numPr>
      <w:shd w:val="clear" w:color="auto" w:fill="FFFF99"/>
      <w:spacing w:after="120"/>
    </w:pPr>
    <w:rPr>
      <w:i/>
      <w:iCs/>
      <w:sz w:val="20"/>
    </w:rPr>
  </w:style>
  <w:style w:type="character" w:customStyle="1" w:styleId="Heading2Char">
    <w:name w:val="Heading 2 Char"/>
    <w:aliases w:val="h2 Char"/>
    <w:link w:val="Heading2"/>
    <w:rsid w:val="009678BE"/>
    <w:rPr>
      <w:rFonts w:ascii="Arial" w:hAnsi="Arial" w:cs="Arial"/>
      <w:b/>
      <w:bCs/>
      <w:i/>
      <w:iCs/>
      <w:sz w:val="24"/>
      <w:szCs w:val="28"/>
      <w:lang w:eastAsia="en-US"/>
    </w:rPr>
  </w:style>
  <w:style w:type="paragraph" w:styleId="ListBullet2">
    <w:name w:val="List Bullet 2"/>
    <w:basedOn w:val="Normal"/>
    <w:rsid w:val="009678BE"/>
    <w:pPr>
      <w:numPr>
        <w:numId w:val="24"/>
      </w:numPr>
      <w:contextualSpacing/>
    </w:pPr>
  </w:style>
  <w:style w:type="character" w:customStyle="1" w:styleId="BodyTextChar">
    <w:name w:val="Body Text Char"/>
    <w:link w:val="BodyText0"/>
    <w:rsid w:val="009678BE"/>
    <w:rPr>
      <w:rFonts w:ascii="Arial" w:hAnsi="Arial"/>
      <w:sz w:val="22"/>
      <w:lang w:eastAsia="en-US"/>
    </w:rPr>
  </w:style>
  <w:style w:type="character" w:customStyle="1" w:styleId="CommentTextChar">
    <w:name w:val="Comment Text Char"/>
    <w:link w:val="CommentText"/>
    <w:semiHidden/>
    <w:rsid w:val="009678BE"/>
    <w:rPr>
      <w:rFonts w:ascii="Arial" w:hAnsi="Arial"/>
      <w:sz w:val="22"/>
      <w:lang w:eastAsia="en-US"/>
    </w:rPr>
  </w:style>
  <w:style w:type="paragraph" w:styleId="List3">
    <w:name w:val="List 3"/>
    <w:basedOn w:val="Normal"/>
    <w:rsid w:val="009678BE"/>
    <w:pPr>
      <w:ind w:left="849" w:hanging="283"/>
      <w:contextualSpacing/>
    </w:pPr>
  </w:style>
  <w:style w:type="paragraph" w:styleId="Revision">
    <w:name w:val="Revision"/>
    <w:hidden/>
    <w:uiPriority w:val="99"/>
    <w:semiHidden/>
    <w:rsid w:val="00ED262A"/>
    <w:rPr>
      <w:rFonts w:ascii="Arial" w:hAnsi="Arial"/>
      <w:sz w:val="22"/>
      <w:lang w:eastAsia="en-US"/>
    </w:rPr>
  </w:style>
  <w:style w:type="paragraph" w:styleId="ListParagraph">
    <w:name w:val="List Paragraph"/>
    <w:basedOn w:val="Normal"/>
    <w:uiPriority w:val="34"/>
    <w:qFormat/>
    <w:rsid w:val="0047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6873">
      <w:bodyDiv w:val="1"/>
      <w:marLeft w:val="0"/>
      <w:marRight w:val="0"/>
      <w:marTop w:val="0"/>
      <w:marBottom w:val="0"/>
      <w:divBdr>
        <w:top w:val="none" w:sz="0" w:space="0" w:color="auto"/>
        <w:left w:val="none" w:sz="0" w:space="0" w:color="auto"/>
        <w:bottom w:val="none" w:sz="0" w:space="0" w:color="auto"/>
        <w:right w:val="none" w:sz="0" w:space="0" w:color="auto"/>
      </w:divBdr>
    </w:div>
    <w:div w:id="433862319">
      <w:bodyDiv w:val="1"/>
      <w:marLeft w:val="0"/>
      <w:marRight w:val="0"/>
      <w:marTop w:val="0"/>
      <w:marBottom w:val="0"/>
      <w:divBdr>
        <w:top w:val="none" w:sz="0" w:space="0" w:color="auto"/>
        <w:left w:val="none" w:sz="0" w:space="0" w:color="auto"/>
        <w:bottom w:val="none" w:sz="0" w:space="0" w:color="auto"/>
        <w:right w:val="none" w:sz="0" w:space="0" w:color="auto"/>
      </w:divBdr>
    </w:div>
    <w:div w:id="174348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ExternalMeritsReview@dss.gov.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rrs.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fahcsia.gov.au/grantsfunding/currentfunding/documents/funding_terms_condi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484FD4DEEBB4299EC6ED7ECD63CE7" ma:contentTypeVersion="1" ma:contentTypeDescription="Create a new document." ma:contentTypeScope="" ma:versionID="9b1164b3eb2893a19a461d0f751a9341">
  <xsd:schema xmlns:xsd="http://www.w3.org/2001/XMLSchema" xmlns:p="http://schemas.microsoft.com/office/2006/metadata/properties" xmlns:ns1="http://schemas.microsoft.com/sharepoint/v3" xmlns:ns2="33b43182-0cb2-4563-abb7-4339f2b62415" targetNamespace="http://schemas.microsoft.com/office/2006/metadata/properties" ma:root="true" ma:fieldsID="909878efcaf19a21e43e5016de19f43f" ns1:_="" ns2:_="">
    <xsd:import namespace="http://schemas.microsoft.com/sharepoint/v3"/>
    <xsd:import namespace="33b43182-0cb2-4563-abb7-4339f2b62415"/>
    <xsd:element name="properties">
      <xsd:complexType>
        <xsd:sequence>
          <xsd:element name="documentManagement">
            <xsd:complexType>
              <xsd:all>
                <xsd:element ref="ns1:PublishingStartDate" minOccurs="0"/>
                <xsd:element ref="ns1:PublishingExpirationDate" minOccurs="0"/>
                <xsd:element ref="ns2:Page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33b43182-0cb2-4563-abb7-4339f2b62415" elementFormDefault="qualified">
    <xsd:import namespace="http://schemas.microsoft.com/office/2006/documentManagement/types"/>
    <xsd:element name="PageType" ma:index="10" nillable="true" ma:displayName="PageType" ma:description="Select which type of page this is" ma:list="11718138-4360-4e5b-b544-7204b16b85a5" ma:internalName="PageType" ma:readOnly="false" ma:web="33b43182-0cb2-4563-abb7-4339f2b6241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ageType xmlns="33b43182-0cb2-4563-abb7-4339f2b62415">1</Page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B9F7-D440-40AB-A949-5A972E788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b43182-0cb2-4563-abb7-4339f2b6241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1A429C-60EC-4183-848B-4ABCA7D5DEEA}">
  <ds:schemaRefs>
    <ds:schemaRef ds:uri="http://schemas.microsoft.com/office/2006/metadata/longProperties"/>
  </ds:schemaRefs>
</ds:datastoreItem>
</file>

<file path=customXml/itemProps3.xml><?xml version="1.0" encoding="utf-8"?>
<ds:datastoreItem xmlns:ds="http://schemas.openxmlformats.org/officeDocument/2006/customXml" ds:itemID="{BD2FFE0F-4F8A-4BA9-8CCE-D5BC81D9607F}">
  <ds:schemaRefs>
    <ds:schemaRef ds:uri="http://schemas.microsoft.com/sharepoint/v3/contenttype/forms"/>
  </ds:schemaRefs>
</ds:datastoreItem>
</file>

<file path=customXml/itemProps4.xml><?xml version="1.0" encoding="utf-8"?>
<ds:datastoreItem xmlns:ds="http://schemas.openxmlformats.org/officeDocument/2006/customXml" ds:itemID="{B32AE897-D55E-46D4-A091-235988AF678D}">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33b43182-0cb2-4563-abb7-4339f2b62415"/>
    <ds:schemaRef ds:uri="http://schemas.microsoft.com/sharepoint/v3"/>
  </ds:schemaRefs>
</ds:datastoreItem>
</file>

<file path=customXml/itemProps5.xml><?xml version="1.0" encoding="utf-8"?>
<ds:datastoreItem xmlns:ds="http://schemas.openxmlformats.org/officeDocument/2006/customXml" ds:itemID="{387050E9-630A-4A8C-92AB-95E2E275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4752</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Application Guidelines Template</vt:lpstr>
    </vt:vector>
  </TitlesOfParts>
  <Company>Family and Community Services</Company>
  <LinksUpToDate>false</LinksUpToDate>
  <CharactersWithSpaces>31782</CharactersWithSpaces>
  <SharedDoc>false</SharedDoc>
  <HLinks>
    <vt:vector size="144" baseType="variant">
      <vt:variant>
        <vt:i4>4390966</vt:i4>
      </vt:variant>
      <vt:variant>
        <vt:i4>138</vt:i4>
      </vt:variant>
      <vt:variant>
        <vt:i4>0</vt:i4>
      </vt:variant>
      <vt:variant>
        <vt:i4>5</vt:i4>
      </vt:variant>
      <vt:variant>
        <vt:lpwstr>mailto:ExternalMeritsReview@dss.gov.au</vt:lpwstr>
      </vt:variant>
      <vt:variant>
        <vt:lpwstr/>
      </vt:variant>
      <vt:variant>
        <vt:i4>3997752</vt:i4>
      </vt:variant>
      <vt:variant>
        <vt:i4>135</vt:i4>
      </vt:variant>
      <vt:variant>
        <vt:i4>0</vt:i4>
      </vt:variant>
      <vt:variant>
        <vt:i4>5</vt:i4>
      </vt:variant>
      <vt:variant>
        <vt:lpwstr>http://www.crrs.org.au/</vt:lpwstr>
      </vt:variant>
      <vt:variant>
        <vt:lpwstr/>
      </vt:variant>
      <vt:variant>
        <vt:i4>1900594</vt:i4>
      </vt:variant>
      <vt:variant>
        <vt:i4>128</vt:i4>
      </vt:variant>
      <vt:variant>
        <vt:i4>0</vt:i4>
      </vt:variant>
      <vt:variant>
        <vt:i4>5</vt:i4>
      </vt:variant>
      <vt:variant>
        <vt:lpwstr/>
      </vt:variant>
      <vt:variant>
        <vt:lpwstr>_Toc363823076</vt:lpwstr>
      </vt:variant>
      <vt:variant>
        <vt:i4>1900594</vt:i4>
      </vt:variant>
      <vt:variant>
        <vt:i4>122</vt:i4>
      </vt:variant>
      <vt:variant>
        <vt:i4>0</vt:i4>
      </vt:variant>
      <vt:variant>
        <vt:i4>5</vt:i4>
      </vt:variant>
      <vt:variant>
        <vt:lpwstr/>
      </vt:variant>
      <vt:variant>
        <vt:lpwstr>_Toc363823075</vt:lpwstr>
      </vt:variant>
      <vt:variant>
        <vt:i4>1900594</vt:i4>
      </vt:variant>
      <vt:variant>
        <vt:i4>116</vt:i4>
      </vt:variant>
      <vt:variant>
        <vt:i4>0</vt:i4>
      </vt:variant>
      <vt:variant>
        <vt:i4>5</vt:i4>
      </vt:variant>
      <vt:variant>
        <vt:lpwstr/>
      </vt:variant>
      <vt:variant>
        <vt:lpwstr>_Toc363823074</vt:lpwstr>
      </vt:variant>
      <vt:variant>
        <vt:i4>1900594</vt:i4>
      </vt:variant>
      <vt:variant>
        <vt:i4>110</vt:i4>
      </vt:variant>
      <vt:variant>
        <vt:i4>0</vt:i4>
      </vt:variant>
      <vt:variant>
        <vt:i4>5</vt:i4>
      </vt:variant>
      <vt:variant>
        <vt:lpwstr/>
      </vt:variant>
      <vt:variant>
        <vt:lpwstr>_Toc363823073</vt:lpwstr>
      </vt:variant>
      <vt:variant>
        <vt:i4>1900594</vt:i4>
      </vt:variant>
      <vt:variant>
        <vt:i4>104</vt:i4>
      </vt:variant>
      <vt:variant>
        <vt:i4>0</vt:i4>
      </vt:variant>
      <vt:variant>
        <vt:i4>5</vt:i4>
      </vt:variant>
      <vt:variant>
        <vt:lpwstr/>
      </vt:variant>
      <vt:variant>
        <vt:lpwstr>_Toc363823072</vt:lpwstr>
      </vt:variant>
      <vt:variant>
        <vt:i4>1900594</vt:i4>
      </vt:variant>
      <vt:variant>
        <vt:i4>98</vt:i4>
      </vt:variant>
      <vt:variant>
        <vt:i4>0</vt:i4>
      </vt:variant>
      <vt:variant>
        <vt:i4>5</vt:i4>
      </vt:variant>
      <vt:variant>
        <vt:lpwstr/>
      </vt:variant>
      <vt:variant>
        <vt:lpwstr>_Toc363823071</vt:lpwstr>
      </vt:variant>
      <vt:variant>
        <vt:i4>1900594</vt:i4>
      </vt:variant>
      <vt:variant>
        <vt:i4>92</vt:i4>
      </vt:variant>
      <vt:variant>
        <vt:i4>0</vt:i4>
      </vt:variant>
      <vt:variant>
        <vt:i4>5</vt:i4>
      </vt:variant>
      <vt:variant>
        <vt:lpwstr/>
      </vt:variant>
      <vt:variant>
        <vt:lpwstr>_Toc363823070</vt:lpwstr>
      </vt:variant>
      <vt:variant>
        <vt:i4>1835058</vt:i4>
      </vt:variant>
      <vt:variant>
        <vt:i4>86</vt:i4>
      </vt:variant>
      <vt:variant>
        <vt:i4>0</vt:i4>
      </vt:variant>
      <vt:variant>
        <vt:i4>5</vt:i4>
      </vt:variant>
      <vt:variant>
        <vt:lpwstr/>
      </vt:variant>
      <vt:variant>
        <vt:lpwstr>_Toc363823069</vt:lpwstr>
      </vt:variant>
      <vt:variant>
        <vt:i4>1835058</vt:i4>
      </vt:variant>
      <vt:variant>
        <vt:i4>80</vt:i4>
      </vt:variant>
      <vt:variant>
        <vt:i4>0</vt:i4>
      </vt:variant>
      <vt:variant>
        <vt:i4>5</vt:i4>
      </vt:variant>
      <vt:variant>
        <vt:lpwstr/>
      </vt:variant>
      <vt:variant>
        <vt:lpwstr>_Toc363823068</vt:lpwstr>
      </vt:variant>
      <vt:variant>
        <vt:i4>1835058</vt:i4>
      </vt:variant>
      <vt:variant>
        <vt:i4>74</vt:i4>
      </vt:variant>
      <vt:variant>
        <vt:i4>0</vt:i4>
      </vt:variant>
      <vt:variant>
        <vt:i4>5</vt:i4>
      </vt:variant>
      <vt:variant>
        <vt:lpwstr/>
      </vt:variant>
      <vt:variant>
        <vt:lpwstr>_Toc363823067</vt:lpwstr>
      </vt:variant>
      <vt:variant>
        <vt:i4>1835058</vt:i4>
      </vt:variant>
      <vt:variant>
        <vt:i4>68</vt:i4>
      </vt:variant>
      <vt:variant>
        <vt:i4>0</vt:i4>
      </vt:variant>
      <vt:variant>
        <vt:i4>5</vt:i4>
      </vt:variant>
      <vt:variant>
        <vt:lpwstr/>
      </vt:variant>
      <vt:variant>
        <vt:lpwstr>_Toc363823066</vt:lpwstr>
      </vt:variant>
      <vt:variant>
        <vt:i4>1835058</vt:i4>
      </vt:variant>
      <vt:variant>
        <vt:i4>62</vt:i4>
      </vt:variant>
      <vt:variant>
        <vt:i4>0</vt:i4>
      </vt:variant>
      <vt:variant>
        <vt:i4>5</vt:i4>
      </vt:variant>
      <vt:variant>
        <vt:lpwstr/>
      </vt:variant>
      <vt:variant>
        <vt:lpwstr>_Toc363823065</vt:lpwstr>
      </vt:variant>
      <vt:variant>
        <vt:i4>1835058</vt:i4>
      </vt:variant>
      <vt:variant>
        <vt:i4>56</vt:i4>
      </vt:variant>
      <vt:variant>
        <vt:i4>0</vt:i4>
      </vt:variant>
      <vt:variant>
        <vt:i4>5</vt:i4>
      </vt:variant>
      <vt:variant>
        <vt:lpwstr/>
      </vt:variant>
      <vt:variant>
        <vt:lpwstr>_Toc363823064</vt:lpwstr>
      </vt:variant>
      <vt:variant>
        <vt:i4>1835058</vt:i4>
      </vt:variant>
      <vt:variant>
        <vt:i4>50</vt:i4>
      </vt:variant>
      <vt:variant>
        <vt:i4>0</vt:i4>
      </vt:variant>
      <vt:variant>
        <vt:i4>5</vt:i4>
      </vt:variant>
      <vt:variant>
        <vt:lpwstr/>
      </vt:variant>
      <vt:variant>
        <vt:lpwstr>_Toc363823063</vt:lpwstr>
      </vt:variant>
      <vt:variant>
        <vt:i4>1835058</vt:i4>
      </vt:variant>
      <vt:variant>
        <vt:i4>44</vt:i4>
      </vt:variant>
      <vt:variant>
        <vt:i4>0</vt:i4>
      </vt:variant>
      <vt:variant>
        <vt:i4>5</vt:i4>
      </vt:variant>
      <vt:variant>
        <vt:lpwstr/>
      </vt:variant>
      <vt:variant>
        <vt:lpwstr>_Toc363823062</vt:lpwstr>
      </vt:variant>
      <vt:variant>
        <vt:i4>1835058</vt:i4>
      </vt:variant>
      <vt:variant>
        <vt:i4>38</vt:i4>
      </vt:variant>
      <vt:variant>
        <vt:i4>0</vt:i4>
      </vt:variant>
      <vt:variant>
        <vt:i4>5</vt:i4>
      </vt:variant>
      <vt:variant>
        <vt:lpwstr/>
      </vt:variant>
      <vt:variant>
        <vt:lpwstr>_Toc363823061</vt:lpwstr>
      </vt:variant>
      <vt:variant>
        <vt:i4>1835058</vt:i4>
      </vt:variant>
      <vt:variant>
        <vt:i4>32</vt:i4>
      </vt:variant>
      <vt:variant>
        <vt:i4>0</vt:i4>
      </vt:variant>
      <vt:variant>
        <vt:i4>5</vt:i4>
      </vt:variant>
      <vt:variant>
        <vt:lpwstr/>
      </vt:variant>
      <vt:variant>
        <vt:lpwstr>_Toc363823060</vt:lpwstr>
      </vt:variant>
      <vt:variant>
        <vt:i4>2031666</vt:i4>
      </vt:variant>
      <vt:variant>
        <vt:i4>26</vt:i4>
      </vt:variant>
      <vt:variant>
        <vt:i4>0</vt:i4>
      </vt:variant>
      <vt:variant>
        <vt:i4>5</vt:i4>
      </vt:variant>
      <vt:variant>
        <vt:lpwstr/>
      </vt:variant>
      <vt:variant>
        <vt:lpwstr>_Toc363823059</vt:lpwstr>
      </vt:variant>
      <vt:variant>
        <vt:i4>2031666</vt:i4>
      </vt:variant>
      <vt:variant>
        <vt:i4>20</vt:i4>
      </vt:variant>
      <vt:variant>
        <vt:i4>0</vt:i4>
      </vt:variant>
      <vt:variant>
        <vt:i4>5</vt:i4>
      </vt:variant>
      <vt:variant>
        <vt:lpwstr/>
      </vt:variant>
      <vt:variant>
        <vt:lpwstr>_Toc363823058</vt:lpwstr>
      </vt:variant>
      <vt:variant>
        <vt:i4>2031666</vt:i4>
      </vt:variant>
      <vt:variant>
        <vt:i4>14</vt:i4>
      </vt:variant>
      <vt:variant>
        <vt:i4>0</vt:i4>
      </vt:variant>
      <vt:variant>
        <vt:i4>5</vt:i4>
      </vt:variant>
      <vt:variant>
        <vt:lpwstr/>
      </vt:variant>
      <vt:variant>
        <vt:lpwstr>_Toc363823057</vt:lpwstr>
      </vt:variant>
      <vt:variant>
        <vt:i4>2031666</vt:i4>
      </vt:variant>
      <vt:variant>
        <vt:i4>8</vt:i4>
      </vt:variant>
      <vt:variant>
        <vt:i4>0</vt:i4>
      </vt:variant>
      <vt:variant>
        <vt:i4>5</vt:i4>
      </vt:variant>
      <vt:variant>
        <vt:lpwstr/>
      </vt:variant>
      <vt:variant>
        <vt:lpwstr>_Toc363823056</vt:lpwstr>
      </vt:variant>
      <vt:variant>
        <vt:i4>6225990</vt:i4>
      </vt:variant>
      <vt:variant>
        <vt:i4>3</vt:i4>
      </vt:variant>
      <vt:variant>
        <vt:i4>0</vt:i4>
      </vt:variant>
      <vt:variant>
        <vt:i4>5</vt:i4>
      </vt:variant>
      <vt:variant>
        <vt:lpwstr>http://www.fahcsia.gov.au/grantsfunding/currentfunding/documents/funding_terms_conditions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Guidelines Template</dc:title>
  <dc:creator>WILLJO</dc:creator>
  <cp:lastModifiedBy>FaHCSIA</cp:lastModifiedBy>
  <cp:revision>4</cp:revision>
  <cp:lastPrinted>2013-11-28T22:39:00Z</cp:lastPrinted>
  <dcterms:created xsi:type="dcterms:W3CDTF">2013-11-28T22:06:00Z</dcterms:created>
  <dcterms:modified xsi:type="dcterms:W3CDTF">2013-11-28T22:39:00Z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WILLJO</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Language">
    <vt:lpwstr>English</vt:lpwstr>
  </property>
</Properties>
</file>