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rsidTr="008C5A75">
        <w:trPr>
          <w:tblHeader/>
        </w:trPr>
        <w:tc>
          <w:tcPr>
            <w:tcW w:w="10065" w:type="dxa"/>
          </w:tcPr>
          <w:p w:rsidR="00067CB2" w:rsidRDefault="00067CB2" w:rsidP="00CF2A95">
            <w:pPr>
              <w:pStyle w:val="ListParagraph"/>
              <w:numPr>
                <w:ilvl w:val="0"/>
                <w:numId w:val="0"/>
              </w:numPr>
              <w:ind w:left="34"/>
            </w:pPr>
            <w:r>
              <w:t>F</w:t>
            </w:r>
            <w:r w:rsidR="00E23EDC">
              <w:t>eedback from families</w:t>
            </w:r>
            <w:r>
              <w:t xml:space="preserve"> that SDN is in contact with say </w:t>
            </w:r>
            <w:r w:rsidR="00E23EDC">
              <w:t>that the current system is too complex and should be simplified.</w:t>
            </w:r>
            <w:r>
              <w:t xml:space="preserve"> As such, a simpler architecture for the income support system would be strongly supported</w:t>
            </w:r>
            <w:r w:rsidR="00911F3C">
              <w:t xml:space="preserve"> by SDN</w:t>
            </w:r>
            <w:r>
              <w:t>.</w:t>
            </w:r>
          </w:p>
          <w:p w:rsidR="00C559F8" w:rsidRDefault="00C559F8" w:rsidP="00CF2A95">
            <w:pPr>
              <w:pStyle w:val="ListParagraph"/>
              <w:numPr>
                <w:ilvl w:val="0"/>
                <w:numId w:val="0"/>
              </w:numPr>
              <w:ind w:left="34"/>
            </w:pPr>
          </w:p>
          <w:p w:rsidR="00C559F8" w:rsidRDefault="00C559F8" w:rsidP="00CF2A95">
            <w:pPr>
              <w:pStyle w:val="ListParagraph"/>
              <w:numPr>
                <w:ilvl w:val="0"/>
                <w:numId w:val="0"/>
              </w:numPr>
              <w:ind w:left="34"/>
            </w:pPr>
            <w:r>
              <w:t>The proposed income support system should consist of a single base childcare payment with weightings added for family and child needs. These needs would be assessed by using a</w:t>
            </w:r>
            <w:r w:rsidR="005A3CC0">
              <w:t>n</w:t>
            </w:r>
            <w:r>
              <w:t xml:space="preserve"> </w:t>
            </w:r>
            <w:r w:rsidR="005A3CC0" w:rsidRPr="0012569A">
              <w:t>actuarial</w:t>
            </w:r>
            <w:r w:rsidR="005A3CC0">
              <w:t xml:space="preserve"> based</w:t>
            </w:r>
            <w:r w:rsidR="005A3CC0" w:rsidRPr="0012569A">
              <w:t xml:space="preserve"> </w:t>
            </w:r>
            <w:r>
              <w:t xml:space="preserve">structured assessment tool. In this way, </w:t>
            </w:r>
            <w:r w:rsidRPr="007D6D64">
              <w:t>the system</w:t>
            </w:r>
            <w:r>
              <w:t xml:space="preserve"> would be kept simple yet responsive to individual needs.  </w:t>
            </w:r>
          </w:p>
          <w:p w:rsidR="007D6D64" w:rsidRDefault="00E23EDC" w:rsidP="00CF2A95">
            <w:pPr>
              <w:pStyle w:val="ListParagraph"/>
              <w:numPr>
                <w:ilvl w:val="0"/>
                <w:numId w:val="0"/>
              </w:numPr>
              <w:tabs>
                <w:tab w:val="left" w:pos="6849"/>
              </w:tabs>
              <w:ind w:left="34"/>
            </w:pPr>
            <w:r>
              <w:t xml:space="preserve"> </w:t>
            </w:r>
            <w:r w:rsidR="00C559F8">
              <w:tab/>
            </w:r>
          </w:p>
          <w:p w:rsidR="00E23EDC" w:rsidRDefault="00E23EDC" w:rsidP="00CF2A95">
            <w:pPr>
              <w:pStyle w:val="ListParagraph"/>
              <w:numPr>
                <w:ilvl w:val="0"/>
                <w:numId w:val="0"/>
              </w:numPr>
              <w:ind w:left="34"/>
            </w:pPr>
            <w:r>
              <w:t xml:space="preserve">State and Federal </w:t>
            </w:r>
            <w:r w:rsidR="007D6D64">
              <w:t>subsidies, concessions and payment systems could be better articulated through the development of joint agreements between State and Federal agencies</w:t>
            </w:r>
            <w:r w:rsidR="004527AB">
              <w:t xml:space="preserve">. This would avoid any duplication and gaps emerging and in particular the potential re-introduction of complexities back into the system. Such agreements </w:t>
            </w:r>
            <w:r w:rsidR="007D6D64">
              <w:t xml:space="preserve">should be </w:t>
            </w:r>
            <w:r w:rsidR="004527AB">
              <w:t xml:space="preserve">included in </w:t>
            </w:r>
            <w:r>
              <w:t>government funded family</w:t>
            </w:r>
            <w:r w:rsidR="004527AB">
              <w:t xml:space="preserve"> support programs in order to better coordinate and</w:t>
            </w:r>
            <w:r>
              <w:t xml:space="preserve"> streamline access to social and income support.</w:t>
            </w:r>
          </w:p>
          <w:p w:rsidR="001C2BE7" w:rsidRDefault="001C2BE7" w:rsidP="00E23EDC">
            <w:pPr>
              <w:pStyle w:val="ListParagraph"/>
              <w:numPr>
                <w:ilvl w:val="0"/>
                <w:numId w:val="0"/>
              </w:numPr>
              <w:ind w:left="426"/>
            </w:pP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rsidTr="008C5A75">
        <w:trPr>
          <w:tblHeader/>
        </w:trPr>
        <w:tc>
          <w:tcPr>
            <w:tcW w:w="10065" w:type="dxa"/>
          </w:tcPr>
          <w:p w:rsidR="00C559F8" w:rsidRDefault="00C559F8" w:rsidP="00911F3C">
            <w:pPr>
              <w:pStyle w:val="ListParagraph"/>
              <w:numPr>
                <w:ilvl w:val="0"/>
                <w:numId w:val="0"/>
              </w:numPr>
              <w:ind w:left="34"/>
            </w:pPr>
            <w:r>
              <w:lastRenderedPageBreak/>
              <w:t>Families, particularly single parents, those experiencing vulnerabilities such as m</w:t>
            </w:r>
            <w:r w:rsidR="00911F3C">
              <w:t>ental health issues, on low or u</w:t>
            </w:r>
            <w:r>
              <w:t>nstable incomes and those with children with additional needs, state that the current level of support is not sufficient to meet their basic needs. As a consequence, barriers to entering the labour market are compounded through sub-standard an</w:t>
            </w:r>
            <w:r w:rsidR="00911F3C">
              <w:t>d unstable accommodation, an inability</w:t>
            </w:r>
            <w:r>
              <w:t xml:space="preserve"> to address their own needs and those of their children, </w:t>
            </w:r>
            <w:r w:rsidR="00911F3C">
              <w:t>and inability</w:t>
            </w:r>
            <w:r>
              <w:t xml:space="preserve"> to afford extra transport costs, etc.</w:t>
            </w:r>
          </w:p>
          <w:p w:rsidR="00C559F8" w:rsidRDefault="00C559F8" w:rsidP="00911F3C">
            <w:pPr>
              <w:pStyle w:val="ListParagraph"/>
              <w:numPr>
                <w:ilvl w:val="0"/>
                <w:numId w:val="0"/>
              </w:numPr>
              <w:ind w:left="34"/>
            </w:pPr>
          </w:p>
          <w:p w:rsidR="00C559F8" w:rsidRDefault="00C559F8" w:rsidP="00911F3C">
            <w:pPr>
              <w:pStyle w:val="ListParagraph"/>
              <w:numPr>
                <w:ilvl w:val="0"/>
                <w:numId w:val="0"/>
              </w:numPr>
              <w:ind w:left="34"/>
            </w:pPr>
            <w:r>
              <w:t>As such, the proposed income support system should consist of a single base childcare payment with weightings added for family and child needs. These needs would be assessed by using a</w:t>
            </w:r>
            <w:r w:rsidR="00911F3C">
              <w:t>n</w:t>
            </w:r>
            <w:r>
              <w:t xml:space="preserve"> </w:t>
            </w:r>
            <w:r w:rsidR="00911F3C" w:rsidRPr="0012569A">
              <w:t>actuarial</w:t>
            </w:r>
            <w:r w:rsidR="00911F3C">
              <w:t xml:space="preserve"> </w:t>
            </w:r>
            <w:r>
              <w:t xml:space="preserve">structured assessment tool. In this way, </w:t>
            </w:r>
            <w:r w:rsidRPr="007D6D64">
              <w:t>the system</w:t>
            </w:r>
            <w:r>
              <w:t xml:space="preserve"> would be kept simple yet responsive to individual needs.  </w:t>
            </w:r>
          </w:p>
          <w:p w:rsidR="001C2BE7" w:rsidRDefault="001C2BE7" w:rsidP="00C559F8">
            <w:pPr>
              <w:pStyle w:val="ListParagraph"/>
              <w:numPr>
                <w:ilvl w:val="0"/>
                <w:numId w:val="0"/>
              </w:numPr>
              <w:ind w:left="426"/>
            </w:pP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rsidTr="008C5A75">
        <w:trPr>
          <w:tblHeader/>
        </w:trPr>
        <w:tc>
          <w:tcPr>
            <w:tcW w:w="10065" w:type="dxa"/>
          </w:tcPr>
          <w:p w:rsidR="00BE1097" w:rsidRPr="00E346D6" w:rsidRDefault="00BE1097" w:rsidP="00BE1097">
            <w:pPr>
              <w:pStyle w:val="BodyText"/>
              <w:rPr>
                <w:rFonts w:asciiTheme="minorHAnsi" w:hAnsiTheme="minorHAnsi" w:cstheme="minorHAnsi"/>
                <w:sz w:val="22"/>
                <w:szCs w:val="22"/>
              </w:rPr>
            </w:pPr>
            <w:r w:rsidRPr="00E346D6">
              <w:rPr>
                <w:rFonts w:asciiTheme="minorHAnsi" w:hAnsiTheme="minorHAnsi" w:cstheme="minorHAnsi"/>
                <w:sz w:val="22"/>
                <w:szCs w:val="22"/>
              </w:rPr>
              <w:t xml:space="preserve">SDN supports the proposal for a common approach to adjusting payments to ensure a more coherent social support system over time. This would also ensure that resources devoted to low income recipients are shared more fairly over time. It is important to ensure that any approach to adjusting payments </w:t>
            </w:r>
            <w:r w:rsidR="00911F3C">
              <w:rPr>
                <w:rFonts w:asciiTheme="minorHAnsi" w:hAnsiTheme="minorHAnsi" w:cstheme="minorHAnsi"/>
                <w:sz w:val="22"/>
                <w:szCs w:val="22"/>
              </w:rPr>
              <w:t>keeps up with</w:t>
            </w:r>
            <w:r w:rsidRPr="00E346D6">
              <w:rPr>
                <w:rFonts w:asciiTheme="minorHAnsi" w:hAnsiTheme="minorHAnsi" w:cstheme="minorHAnsi"/>
                <w:sz w:val="22"/>
                <w:szCs w:val="22"/>
              </w:rPr>
              <w:t xml:space="preserve"> changes in community living standards as the economy grows.</w:t>
            </w:r>
          </w:p>
          <w:p w:rsidR="00BE1097" w:rsidRPr="00E346D6" w:rsidRDefault="00BE1097" w:rsidP="00BE1097">
            <w:pPr>
              <w:pStyle w:val="BodyText"/>
              <w:rPr>
                <w:rFonts w:asciiTheme="minorHAnsi" w:hAnsiTheme="minorHAnsi" w:cstheme="minorHAnsi"/>
                <w:sz w:val="22"/>
                <w:szCs w:val="22"/>
              </w:rPr>
            </w:pPr>
          </w:p>
          <w:p w:rsidR="00BE1097" w:rsidRPr="00E346D6" w:rsidRDefault="00BE1097" w:rsidP="00BE1097">
            <w:pPr>
              <w:pStyle w:val="BodyText"/>
              <w:rPr>
                <w:rFonts w:asciiTheme="minorHAnsi" w:hAnsiTheme="minorHAnsi" w:cstheme="minorHAnsi"/>
                <w:sz w:val="22"/>
                <w:szCs w:val="22"/>
              </w:rPr>
            </w:pPr>
            <w:r w:rsidRPr="00E346D6">
              <w:rPr>
                <w:rFonts w:asciiTheme="minorHAnsi" w:hAnsiTheme="minorHAnsi" w:cstheme="minorHAnsi"/>
                <w:sz w:val="22"/>
                <w:szCs w:val="22"/>
              </w:rPr>
              <w:t xml:space="preserve">The basis for a common approach to adjust payments should include the following: </w:t>
            </w:r>
          </w:p>
          <w:p w:rsidR="00BE1097" w:rsidRPr="00E346D6" w:rsidRDefault="00BE1097" w:rsidP="00BE1097">
            <w:pPr>
              <w:pStyle w:val="Bullet1"/>
              <w:rPr>
                <w:rFonts w:asciiTheme="minorHAnsi" w:hAnsiTheme="minorHAnsi" w:cstheme="minorHAnsi"/>
                <w:sz w:val="22"/>
                <w:szCs w:val="22"/>
              </w:rPr>
            </w:pPr>
            <w:r w:rsidRPr="00E346D6">
              <w:rPr>
                <w:rFonts w:asciiTheme="minorHAnsi" w:hAnsiTheme="minorHAnsi" w:cstheme="minorHAnsi"/>
                <w:sz w:val="22"/>
                <w:szCs w:val="22"/>
              </w:rPr>
              <w:t>The Consumer Price Index</w:t>
            </w:r>
          </w:p>
          <w:p w:rsidR="00BE1097" w:rsidRPr="00E346D6" w:rsidRDefault="00911F3C" w:rsidP="00BE1097">
            <w:pPr>
              <w:pStyle w:val="Bullet1"/>
              <w:rPr>
                <w:rFonts w:asciiTheme="minorHAnsi" w:hAnsiTheme="minorHAnsi" w:cstheme="minorHAnsi"/>
                <w:sz w:val="22"/>
                <w:szCs w:val="22"/>
              </w:rPr>
            </w:pPr>
            <w:proofErr w:type="gramStart"/>
            <w:r>
              <w:rPr>
                <w:rFonts w:asciiTheme="minorHAnsi" w:hAnsiTheme="minorHAnsi" w:cstheme="minorHAnsi"/>
                <w:sz w:val="22"/>
                <w:szCs w:val="22"/>
              </w:rPr>
              <w:t>L</w:t>
            </w:r>
            <w:r w:rsidR="00BE1097" w:rsidRPr="00E346D6">
              <w:rPr>
                <w:rFonts w:asciiTheme="minorHAnsi" w:hAnsiTheme="minorHAnsi" w:cstheme="minorHAnsi"/>
                <w:sz w:val="22"/>
                <w:szCs w:val="22"/>
              </w:rPr>
              <w:t>ocal costs of living increases</w:t>
            </w:r>
            <w:proofErr w:type="gramEnd"/>
            <w:r w:rsidR="00BE1097" w:rsidRPr="00E346D6">
              <w:rPr>
                <w:rFonts w:asciiTheme="minorHAnsi" w:hAnsiTheme="minorHAnsi" w:cstheme="minorHAnsi"/>
                <w:sz w:val="22"/>
                <w:szCs w:val="22"/>
              </w:rPr>
              <w:t xml:space="preserve"> (</w:t>
            </w:r>
            <w:proofErr w:type="spellStart"/>
            <w:r w:rsidR="00BE1097" w:rsidRPr="00E346D6">
              <w:rPr>
                <w:rFonts w:asciiTheme="minorHAnsi" w:hAnsiTheme="minorHAnsi" w:cstheme="minorHAnsi"/>
                <w:sz w:val="22"/>
                <w:szCs w:val="22"/>
              </w:rPr>
              <w:t>eg</w:t>
            </w:r>
            <w:proofErr w:type="spellEnd"/>
            <w:r w:rsidR="00BE1097" w:rsidRPr="00E346D6">
              <w:rPr>
                <w:rFonts w:asciiTheme="minorHAnsi" w:hAnsiTheme="minorHAnsi" w:cstheme="minorHAnsi"/>
                <w:sz w:val="22"/>
                <w:szCs w:val="22"/>
              </w:rPr>
              <w:t xml:space="preserve">. Rent increases) which are above the </w:t>
            </w:r>
            <w:proofErr w:type="gramStart"/>
            <w:r w:rsidR="00BE1097" w:rsidRPr="00E346D6">
              <w:rPr>
                <w:rFonts w:asciiTheme="minorHAnsi" w:hAnsiTheme="minorHAnsi" w:cstheme="minorHAnsi"/>
                <w:sz w:val="22"/>
                <w:szCs w:val="22"/>
              </w:rPr>
              <w:t>CPI.</w:t>
            </w:r>
            <w:proofErr w:type="gramEnd"/>
            <w:r w:rsidR="00BE1097" w:rsidRPr="00E346D6">
              <w:rPr>
                <w:rFonts w:asciiTheme="minorHAnsi" w:hAnsiTheme="minorHAnsi" w:cstheme="minorHAnsi"/>
                <w:sz w:val="22"/>
                <w:szCs w:val="22"/>
              </w:rPr>
              <w:t xml:space="preserve"> </w:t>
            </w:r>
          </w:p>
          <w:p w:rsidR="00BE1097" w:rsidRPr="00E346D6" w:rsidRDefault="00911F3C" w:rsidP="00BE1097">
            <w:pPr>
              <w:pStyle w:val="Bullet1"/>
              <w:rPr>
                <w:rFonts w:asciiTheme="minorHAnsi" w:hAnsiTheme="minorHAnsi" w:cstheme="minorHAnsi"/>
                <w:sz w:val="22"/>
                <w:szCs w:val="22"/>
              </w:rPr>
            </w:pPr>
            <w:r>
              <w:rPr>
                <w:rFonts w:asciiTheme="minorHAnsi" w:hAnsiTheme="minorHAnsi" w:cstheme="minorHAnsi"/>
                <w:sz w:val="22"/>
                <w:szCs w:val="22"/>
              </w:rPr>
              <w:t>R</w:t>
            </w:r>
            <w:r w:rsidR="00BE1097" w:rsidRPr="00E346D6">
              <w:rPr>
                <w:rFonts w:asciiTheme="minorHAnsi" w:hAnsiTheme="minorHAnsi" w:cstheme="minorHAnsi"/>
                <w:sz w:val="22"/>
                <w:szCs w:val="22"/>
              </w:rPr>
              <w:t xml:space="preserve">egional and remote areas </w:t>
            </w:r>
            <w:r>
              <w:rPr>
                <w:rFonts w:asciiTheme="minorHAnsi" w:hAnsiTheme="minorHAnsi" w:cstheme="minorHAnsi"/>
                <w:sz w:val="22"/>
                <w:szCs w:val="22"/>
              </w:rPr>
              <w:t xml:space="preserve">variables </w:t>
            </w:r>
            <w:r w:rsidR="00BE1097" w:rsidRPr="00E346D6">
              <w:rPr>
                <w:rFonts w:asciiTheme="minorHAnsi" w:hAnsiTheme="minorHAnsi" w:cstheme="minorHAnsi"/>
                <w:sz w:val="22"/>
                <w:szCs w:val="22"/>
              </w:rPr>
              <w:t>which are more dependent on transport costs.</w:t>
            </w:r>
          </w:p>
          <w:p w:rsidR="001C2BE7" w:rsidRPr="00E346D6" w:rsidRDefault="00BE1097" w:rsidP="00BE1097">
            <w:pPr>
              <w:pStyle w:val="Bullet1"/>
              <w:rPr>
                <w:rFonts w:asciiTheme="minorHAnsi" w:hAnsiTheme="minorHAnsi" w:cstheme="minorHAnsi"/>
                <w:sz w:val="22"/>
                <w:szCs w:val="22"/>
              </w:rPr>
            </w:pPr>
            <w:r w:rsidRPr="00E346D6">
              <w:rPr>
                <w:rFonts w:asciiTheme="minorHAnsi" w:hAnsiTheme="minorHAnsi" w:cstheme="minorHAnsi"/>
                <w:sz w:val="22"/>
                <w:szCs w:val="22"/>
              </w:rPr>
              <w:t>Payments should be reviewed automatically every six (6) months.</w:t>
            </w:r>
          </w:p>
          <w:p w:rsidR="00BE1097" w:rsidRPr="00BE1097" w:rsidRDefault="00BE1097" w:rsidP="00BE1097">
            <w:pPr>
              <w:pStyle w:val="Bullet1"/>
              <w:numPr>
                <w:ilvl w:val="0"/>
                <w:numId w:val="0"/>
              </w:numPr>
              <w:ind w:left="720"/>
              <w:rPr>
                <w:rFonts w:asciiTheme="minorHAnsi" w:hAnsiTheme="minorHAnsi" w:cstheme="minorHAnsi"/>
                <w:sz w:val="22"/>
                <w:szCs w:val="22"/>
              </w:rPr>
            </w:pP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rsidTr="00920717">
        <w:trPr>
          <w:trHeight w:val="4385"/>
          <w:tblHeader/>
        </w:trPr>
        <w:tc>
          <w:tcPr>
            <w:tcW w:w="10065" w:type="dxa"/>
          </w:tcPr>
          <w:p w:rsidR="00E346D6" w:rsidRDefault="00E346D6" w:rsidP="00E346D6">
            <w:pPr>
              <w:pStyle w:val="BodyText"/>
              <w:rPr>
                <w:rFonts w:asciiTheme="minorHAnsi" w:hAnsiTheme="minorHAnsi" w:cstheme="minorHAnsi"/>
                <w:sz w:val="22"/>
                <w:szCs w:val="22"/>
              </w:rPr>
            </w:pPr>
            <w:r>
              <w:rPr>
                <w:rFonts w:asciiTheme="minorHAnsi" w:hAnsiTheme="minorHAnsi" w:cstheme="minorHAnsi"/>
                <w:sz w:val="22"/>
                <w:szCs w:val="22"/>
              </w:rPr>
              <w:lastRenderedPageBreak/>
              <w:t>SDN supports the direction to replace t</w:t>
            </w:r>
            <w:r w:rsidRPr="00E346D6">
              <w:rPr>
                <w:rFonts w:asciiTheme="minorHAnsi" w:hAnsiTheme="minorHAnsi" w:cstheme="minorHAnsi"/>
                <w:sz w:val="22"/>
                <w:szCs w:val="22"/>
              </w:rPr>
              <w:t xml:space="preserve">he complex mix of different payments </w:t>
            </w:r>
            <w:r>
              <w:rPr>
                <w:rFonts w:asciiTheme="minorHAnsi" w:hAnsiTheme="minorHAnsi" w:cstheme="minorHAnsi"/>
                <w:sz w:val="22"/>
                <w:szCs w:val="22"/>
              </w:rPr>
              <w:t>with</w:t>
            </w:r>
            <w:r w:rsidRPr="00E346D6">
              <w:rPr>
                <w:rFonts w:asciiTheme="minorHAnsi" w:hAnsiTheme="minorHAnsi" w:cstheme="minorHAnsi"/>
                <w:sz w:val="22"/>
                <w:szCs w:val="22"/>
              </w:rPr>
              <w:t xml:space="preserve"> a new child payment for the costs of children and young people to complete education and transition to work. </w:t>
            </w:r>
          </w:p>
          <w:p w:rsidR="00E346D6" w:rsidRPr="00E346D6" w:rsidRDefault="00E346D6" w:rsidP="00E346D6">
            <w:pPr>
              <w:pStyle w:val="BodyText"/>
              <w:rPr>
                <w:rFonts w:asciiTheme="minorHAnsi" w:hAnsiTheme="minorHAnsi" w:cstheme="minorHAnsi"/>
                <w:sz w:val="22"/>
                <w:szCs w:val="22"/>
              </w:rPr>
            </w:pPr>
          </w:p>
          <w:p w:rsidR="00E346D6" w:rsidRPr="00E346D6" w:rsidRDefault="00E346D6" w:rsidP="00E346D6">
            <w:pPr>
              <w:pStyle w:val="BodyText"/>
              <w:rPr>
                <w:rFonts w:asciiTheme="minorHAnsi" w:hAnsiTheme="minorHAnsi" w:cstheme="minorHAnsi"/>
                <w:sz w:val="22"/>
                <w:szCs w:val="22"/>
              </w:rPr>
            </w:pPr>
            <w:r w:rsidRPr="00E346D6">
              <w:rPr>
                <w:rFonts w:asciiTheme="minorHAnsi" w:hAnsiTheme="minorHAnsi" w:cstheme="minorHAnsi"/>
                <w:sz w:val="22"/>
                <w:szCs w:val="22"/>
              </w:rPr>
              <w:t>Paymen</w:t>
            </w:r>
            <w:r>
              <w:rPr>
                <w:rFonts w:asciiTheme="minorHAnsi" w:hAnsiTheme="minorHAnsi" w:cstheme="minorHAnsi"/>
                <w:sz w:val="22"/>
                <w:szCs w:val="22"/>
              </w:rPr>
              <w:t>t rates in a new child payment sh</w:t>
            </w:r>
            <w:r w:rsidRPr="00E346D6">
              <w:rPr>
                <w:rFonts w:asciiTheme="minorHAnsi" w:hAnsiTheme="minorHAnsi" w:cstheme="minorHAnsi"/>
                <w:sz w:val="22"/>
                <w:szCs w:val="22"/>
              </w:rPr>
              <w:t xml:space="preserve">ould increase progressively to </w:t>
            </w:r>
            <w:proofErr w:type="spellStart"/>
            <w:r w:rsidRPr="00E346D6">
              <w:rPr>
                <w:rFonts w:asciiTheme="minorHAnsi" w:hAnsiTheme="minorHAnsi" w:cstheme="minorHAnsi"/>
                <w:sz w:val="22"/>
                <w:szCs w:val="22"/>
              </w:rPr>
              <w:t>recognise</w:t>
            </w:r>
            <w:proofErr w:type="spellEnd"/>
            <w:r w:rsidRPr="00E346D6">
              <w:rPr>
                <w:rFonts w:asciiTheme="minorHAnsi" w:hAnsiTheme="minorHAnsi" w:cstheme="minorHAnsi"/>
                <w:sz w:val="22"/>
                <w:szCs w:val="22"/>
              </w:rPr>
              <w:t xml:space="preserve"> the increasing costs as children grow up. </w:t>
            </w:r>
          </w:p>
          <w:p w:rsidR="00E346D6" w:rsidRDefault="00E346D6" w:rsidP="00E346D6">
            <w:pPr>
              <w:pStyle w:val="BodyText"/>
              <w:rPr>
                <w:rFonts w:asciiTheme="minorHAnsi" w:hAnsiTheme="minorHAnsi" w:cstheme="minorHAnsi"/>
                <w:sz w:val="22"/>
                <w:szCs w:val="22"/>
              </w:rPr>
            </w:pPr>
          </w:p>
          <w:p w:rsidR="00E346D6" w:rsidRPr="00E346D6" w:rsidRDefault="00E346D6" w:rsidP="00E346D6">
            <w:pPr>
              <w:pStyle w:val="BodyText"/>
              <w:rPr>
                <w:rFonts w:asciiTheme="minorHAnsi" w:hAnsiTheme="minorHAnsi" w:cstheme="minorHAnsi"/>
                <w:sz w:val="22"/>
                <w:szCs w:val="22"/>
              </w:rPr>
            </w:pPr>
            <w:r>
              <w:rPr>
                <w:rFonts w:asciiTheme="minorHAnsi" w:hAnsiTheme="minorHAnsi" w:cstheme="minorHAnsi"/>
                <w:sz w:val="22"/>
                <w:szCs w:val="22"/>
              </w:rPr>
              <w:t>Supplements sh</w:t>
            </w:r>
            <w:r w:rsidRPr="00E346D6">
              <w:rPr>
                <w:rFonts w:asciiTheme="minorHAnsi" w:hAnsiTheme="minorHAnsi" w:cstheme="minorHAnsi"/>
                <w:sz w:val="22"/>
                <w:szCs w:val="22"/>
              </w:rPr>
              <w:t xml:space="preserve">ould be paid to </w:t>
            </w:r>
            <w:proofErr w:type="spellStart"/>
            <w:r w:rsidRPr="00E346D6">
              <w:rPr>
                <w:rFonts w:asciiTheme="minorHAnsi" w:hAnsiTheme="minorHAnsi" w:cstheme="minorHAnsi"/>
                <w:sz w:val="22"/>
                <w:szCs w:val="22"/>
              </w:rPr>
              <w:t>recognise</w:t>
            </w:r>
            <w:proofErr w:type="spellEnd"/>
            <w:r w:rsidRPr="00E346D6">
              <w:rPr>
                <w:rFonts w:asciiTheme="minorHAnsi" w:hAnsiTheme="minorHAnsi" w:cstheme="minorHAnsi"/>
                <w:sz w:val="22"/>
                <w:szCs w:val="22"/>
              </w:rPr>
              <w:t xml:space="preserve"> additional costs in particular circumstances, such as living away from home to study, the costs of studying in a remote location</w:t>
            </w:r>
            <w:r w:rsidR="00920717">
              <w:rPr>
                <w:rFonts w:asciiTheme="minorHAnsi" w:hAnsiTheme="minorHAnsi" w:cstheme="minorHAnsi"/>
                <w:sz w:val="22"/>
                <w:szCs w:val="22"/>
              </w:rPr>
              <w:t>, children and young people with additional needs</w:t>
            </w:r>
            <w:r w:rsidRPr="00E346D6">
              <w:rPr>
                <w:rFonts w:asciiTheme="minorHAnsi" w:hAnsiTheme="minorHAnsi" w:cstheme="minorHAnsi"/>
                <w:sz w:val="22"/>
                <w:szCs w:val="22"/>
              </w:rPr>
              <w:t xml:space="preserve"> and the costs of living across more than one household. </w:t>
            </w:r>
          </w:p>
          <w:p w:rsidR="00E346D6" w:rsidRDefault="00E346D6" w:rsidP="00E346D6">
            <w:pPr>
              <w:pStyle w:val="BodyText"/>
              <w:rPr>
                <w:rFonts w:asciiTheme="minorHAnsi" w:hAnsiTheme="minorHAnsi" w:cstheme="minorHAnsi"/>
                <w:sz w:val="22"/>
                <w:szCs w:val="22"/>
              </w:rPr>
            </w:pPr>
          </w:p>
          <w:p w:rsidR="001C2BE7" w:rsidRDefault="00E346D6" w:rsidP="00920717">
            <w:pPr>
              <w:pStyle w:val="BodyText"/>
              <w:rPr>
                <w:rFonts w:asciiTheme="minorHAnsi" w:hAnsiTheme="minorHAnsi" w:cstheme="minorHAnsi"/>
                <w:sz w:val="22"/>
                <w:szCs w:val="22"/>
              </w:rPr>
            </w:pPr>
            <w:r w:rsidRPr="00E346D6">
              <w:rPr>
                <w:rFonts w:asciiTheme="minorHAnsi" w:hAnsiTheme="minorHAnsi" w:cstheme="minorHAnsi"/>
                <w:sz w:val="22"/>
                <w:szCs w:val="22"/>
              </w:rPr>
              <w:t xml:space="preserve">A clearer policy framework should be developed </w:t>
            </w:r>
            <w:r w:rsidR="00911F3C">
              <w:rPr>
                <w:rFonts w:asciiTheme="minorHAnsi" w:hAnsiTheme="minorHAnsi" w:cstheme="minorHAnsi"/>
                <w:sz w:val="22"/>
                <w:szCs w:val="22"/>
              </w:rPr>
              <w:t>on the basis of</w:t>
            </w:r>
            <w:r>
              <w:rPr>
                <w:rFonts w:asciiTheme="minorHAnsi" w:hAnsiTheme="minorHAnsi" w:cstheme="minorHAnsi"/>
                <w:sz w:val="22"/>
                <w:szCs w:val="22"/>
              </w:rPr>
              <w:t xml:space="preserve"> when young people are independent from their families</w:t>
            </w:r>
            <w:r w:rsidR="00920717">
              <w:rPr>
                <w:rFonts w:asciiTheme="minorHAnsi" w:hAnsiTheme="minorHAnsi" w:cstheme="minorHAnsi"/>
                <w:sz w:val="22"/>
                <w:szCs w:val="22"/>
              </w:rPr>
              <w:t xml:space="preserve"> rather than an age criteria</w:t>
            </w:r>
            <w:r w:rsidR="00911F3C">
              <w:rPr>
                <w:rFonts w:asciiTheme="minorHAnsi" w:hAnsiTheme="minorHAnsi" w:cstheme="minorHAnsi"/>
                <w:sz w:val="22"/>
                <w:szCs w:val="22"/>
              </w:rPr>
              <w:t>. Such a framework</w:t>
            </w:r>
            <w:r>
              <w:rPr>
                <w:rFonts w:asciiTheme="minorHAnsi" w:hAnsiTheme="minorHAnsi" w:cstheme="minorHAnsi"/>
                <w:sz w:val="22"/>
                <w:szCs w:val="22"/>
              </w:rPr>
              <w:t xml:space="preserve"> would </w:t>
            </w:r>
            <w:r w:rsidR="00911F3C">
              <w:rPr>
                <w:rFonts w:asciiTheme="minorHAnsi" w:hAnsiTheme="minorHAnsi" w:cstheme="minorHAnsi"/>
                <w:sz w:val="22"/>
                <w:szCs w:val="22"/>
              </w:rPr>
              <w:t>use</w:t>
            </w:r>
            <w:r>
              <w:rPr>
                <w:rFonts w:asciiTheme="minorHAnsi" w:hAnsiTheme="minorHAnsi" w:cstheme="minorHAnsi"/>
                <w:sz w:val="22"/>
                <w:szCs w:val="22"/>
              </w:rPr>
              <w:t xml:space="preserve"> the young person’s receipt of an income in their own right</w:t>
            </w:r>
            <w:r w:rsidR="00911F3C">
              <w:rPr>
                <w:rFonts w:asciiTheme="minorHAnsi" w:hAnsiTheme="minorHAnsi" w:cstheme="minorHAnsi"/>
                <w:sz w:val="22"/>
                <w:szCs w:val="22"/>
              </w:rPr>
              <w:t xml:space="preserve"> as a determining factor for independence</w:t>
            </w:r>
            <w:r>
              <w:rPr>
                <w:rFonts w:asciiTheme="minorHAnsi" w:hAnsiTheme="minorHAnsi" w:cstheme="minorHAnsi"/>
                <w:sz w:val="22"/>
                <w:szCs w:val="22"/>
              </w:rPr>
              <w:t xml:space="preserve">. </w:t>
            </w:r>
            <w:r w:rsidR="00920717">
              <w:rPr>
                <w:rFonts w:asciiTheme="minorHAnsi" w:hAnsiTheme="minorHAnsi" w:cstheme="minorHAnsi"/>
                <w:sz w:val="22"/>
                <w:szCs w:val="22"/>
              </w:rPr>
              <w:t xml:space="preserve">Child payments should however continue, </w:t>
            </w:r>
            <w:r w:rsidR="002F1B11">
              <w:rPr>
                <w:rFonts w:asciiTheme="minorHAnsi" w:hAnsiTheme="minorHAnsi" w:cstheme="minorHAnsi"/>
                <w:sz w:val="22"/>
                <w:szCs w:val="22"/>
              </w:rPr>
              <w:t>tapering off</w:t>
            </w:r>
            <w:r w:rsidR="00920717">
              <w:rPr>
                <w:rFonts w:asciiTheme="minorHAnsi" w:hAnsiTheme="minorHAnsi" w:cstheme="minorHAnsi"/>
                <w:sz w:val="22"/>
                <w:szCs w:val="22"/>
              </w:rPr>
              <w:t>, as young people complete th</w:t>
            </w:r>
            <w:r w:rsidR="002F1B11">
              <w:rPr>
                <w:rFonts w:asciiTheme="minorHAnsi" w:hAnsiTheme="minorHAnsi" w:cstheme="minorHAnsi"/>
                <w:sz w:val="22"/>
                <w:szCs w:val="22"/>
              </w:rPr>
              <w:t>e transition to work. This is in recognition of</w:t>
            </w:r>
            <w:r w:rsidR="00920717">
              <w:rPr>
                <w:rFonts w:asciiTheme="minorHAnsi" w:hAnsiTheme="minorHAnsi" w:cstheme="minorHAnsi"/>
                <w:sz w:val="22"/>
                <w:szCs w:val="22"/>
              </w:rPr>
              <w:t xml:space="preserve"> the often unstable nature of work and low pay that young workers receive. Such a policy would also help alleviate housing stress created for the family (when payments</w:t>
            </w:r>
            <w:r w:rsidR="002F1B11">
              <w:rPr>
                <w:rFonts w:asciiTheme="minorHAnsi" w:hAnsiTheme="minorHAnsi" w:cstheme="minorHAnsi"/>
                <w:sz w:val="22"/>
                <w:szCs w:val="22"/>
              </w:rPr>
              <w:t xml:space="preserve"> abruptly</w:t>
            </w:r>
            <w:r w:rsidR="00920717">
              <w:rPr>
                <w:rFonts w:asciiTheme="minorHAnsi" w:hAnsiTheme="minorHAnsi" w:cstheme="minorHAnsi"/>
                <w:sz w:val="22"/>
                <w:szCs w:val="22"/>
              </w:rPr>
              <w:t xml:space="preserve"> cease) or for the young person in having to seek out other forms of accommodation.</w:t>
            </w:r>
          </w:p>
          <w:p w:rsidR="00920717" w:rsidRPr="00920717" w:rsidRDefault="00920717" w:rsidP="00920717">
            <w:pPr>
              <w:pStyle w:val="BodyText"/>
              <w:rPr>
                <w:rFonts w:asciiTheme="minorHAnsi" w:hAnsiTheme="minorHAnsi" w:cstheme="minorHAnsi"/>
                <w:sz w:val="22"/>
                <w:szCs w:val="22"/>
              </w:rPr>
            </w:pP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rsidTr="00920717">
        <w:trPr>
          <w:trHeight w:val="361"/>
          <w:tblHeader/>
        </w:trPr>
        <w:tc>
          <w:tcPr>
            <w:tcW w:w="10065" w:type="dxa"/>
          </w:tcPr>
          <w:p w:rsidR="00920717" w:rsidRPr="00920717" w:rsidRDefault="00920717" w:rsidP="001C2BE7">
            <w:pPr>
              <w:spacing w:after="840"/>
              <w:rPr>
                <w:rFonts w:cstheme="minorHAnsi"/>
              </w:rPr>
            </w:pPr>
            <w:r>
              <w:rPr>
                <w:rFonts w:cstheme="minorHAnsi"/>
              </w:rPr>
              <w:t>No response.</w:t>
            </w: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rsidTr="008C5A75">
        <w:trPr>
          <w:tblHeader/>
        </w:trPr>
        <w:tc>
          <w:tcPr>
            <w:tcW w:w="10065" w:type="dxa"/>
          </w:tcPr>
          <w:p w:rsidR="001C2BE7" w:rsidRDefault="002F14A2" w:rsidP="001C2BE7">
            <w:pPr>
              <w:spacing w:after="840"/>
              <w:rPr>
                <w:i/>
                <w:iCs/>
                <w:smallCaps/>
              </w:rPr>
            </w:pPr>
            <w:r>
              <w:rPr>
                <w:rFonts w:cstheme="minorHAnsi"/>
              </w:rPr>
              <w:t>No response.</w:t>
            </w:r>
          </w:p>
        </w:tc>
      </w:tr>
    </w:tbl>
    <w:p w:rsidR="002F14A2" w:rsidRDefault="002F14A2" w:rsidP="008C5A75">
      <w:pPr>
        <w:pStyle w:val="Heading2"/>
      </w:pPr>
    </w:p>
    <w:p w:rsidR="002F1B11" w:rsidRDefault="002F1B11">
      <w:pPr>
        <w:rPr>
          <w:b/>
          <w:sz w:val="25"/>
          <w:szCs w:val="25"/>
          <w:lang w:eastAsia="en-AU"/>
        </w:rPr>
      </w:pPr>
      <w:r>
        <w:br w:type="page"/>
      </w:r>
    </w:p>
    <w:p w:rsidR="001C2BE7" w:rsidRPr="00356FEC" w:rsidRDefault="001C2BE7" w:rsidP="008C5A75">
      <w:pPr>
        <w:pStyle w:val="Heading2"/>
        <w:rPr>
          <w:i/>
          <w:iCs/>
          <w:smallCaps/>
        </w:rPr>
      </w:pPr>
      <w:r w:rsidRPr="00447EA6">
        <w:lastRenderedPageBreak/>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2F14A2" w:rsidRDefault="001C2BE7" w:rsidP="001C2BE7">
      <w:pPr>
        <w:pStyle w:val="ListParagraph"/>
        <w:rPr>
          <w:i/>
          <w:iCs/>
          <w:smallCaps/>
        </w:rPr>
      </w:pPr>
      <w:r w:rsidRPr="007D7F83">
        <w:t>In what circumstances should income management be applied?</w:t>
      </w:r>
    </w:p>
    <w:p w:rsidR="002F14A2" w:rsidRPr="007D7F83" w:rsidRDefault="002F14A2" w:rsidP="002F14A2">
      <w:pPr>
        <w:pStyle w:val="ListParagraph"/>
        <w:numPr>
          <w:ilvl w:val="0"/>
          <w:numId w:val="0"/>
        </w:numPr>
        <w:ind w:left="426"/>
        <w:rPr>
          <w:i/>
          <w:iCs/>
          <w:smallCaps/>
        </w:rPr>
      </w:pPr>
    </w:p>
    <w:tbl>
      <w:tblPr>
        <w:tblStyle w:val="TableGrid"/>
        <w:tblW w:w="0" w:type="auto"/>
        <w:tblInd w:w="108" w:type="dxa"/>
        <w:tblLook w:val="04A0" w:firstRow="1" w:lastRow="0" w:firstColumn="1" w:lastColumn="0" w:noHBand="0" w:noVBand="1"/>
        <w:tblDescription w:val="Mutual obligation"/>
      </w:tblPr>
      <w:tblGrid>
        <w:gridCol w:w="10206"/>
      </w:tblGrid>
      <w:tr w:rsidR="001C2BE7" w:rsidTr="008C5A75">
        <w:trPr>
          <w:tblHeader/>
        </w:trPr>
        <w:tc>
          <w:tcPr>
            <w:tcW w:w="10206" w:type="dxa"/>
          </w:tcPr>
          <w:p w:rsidR="003E3BBA" w:rsidRPr="001942F1" w:rsidRDefault="003E3BBA" w:rsidP="003E3BBA">
            <w:pPr>
              <w:pStyle w:val="BodyText"/>
              <w:rPr>
                <w:rFonts w:asciiTheme="minorHAnsi" w:hAnsiTheme="minorHAnsi" w:cstheme="minorHAnsi"/>
                <w:sz w:val="22"/>
                <w:szCs w:val="22"/>
              </w:rPr>
            </w:pPr>
            <w:r w:rsidRPr="001942F1">
              <w:rPr>
                <w:rFonts w:asciiTheme="minorHAnsi" w:hAnsiTheme="minorHAnsi" w:cstheme="minorHAnsi"/>
                <w:sz w:val="22"/>
                <w:szCs w:val="22"/>
              </w:rPr>
              <w:lastRenderedPageBreak/>
              <w:t xml:space="preserve">SDN supports the position that participation in employment should be a priority across the whole social support system. Individually tailored requirements rather than the current categories would also </w:t>
            </w:r>
            <w:proofErr w:type="spellStart"/>
            <w:r w:rsidRPr="001942F1">
              <w:rPr>
                <w:rFonts w:asciiTheme="minorHAnsi" w:hAnsiTheme="minorHAnsi" w:cstheme="minorHAnsi"/>
                <w:sz w:val="22"/>
                <w:szCs w:val="22"/>
              </w:rPr>
              <w:t>recognise</w:t>
            </w:r>
            <w:proofErr w:type="spellEnd"/>
            <w:r w:rsidRPr="001942F1">
              <w:rPr>
                <w:rFonts w:asciiTheme="minorHAnsi" w:hAnsiTheme="minorHAnsi" w:cstheme="minorHAnsi"/>
                <w:sz w:val="22"/>
                <w:szCs w:val="22"/>
              </w:rPr>
              <w:t xml:space="preserve"> the diversity of people receiving income support.</w:t>
            </w:r>
          </w:p>
          <w:p w:rsidR="003E3BBA" w:rsidRPr="001942F1" w:rsidRDefault="003E3BBA" w:rsidP="003E3BBA">
            <w:pPr>
              <w:pStyle w:val="BodyText"/>
              <w:rPr>
                <w:rFonts w:asciiTheme="minorHAnsi" w:hAnsiTheme="minorHAnsi" w:cstheme="minorHAnsi"/>
                <w:sz w:val="22"/>
                <w:szCs w:val="22"/>
              </w:rPr>
            </w:pPr>
          </w:p>
          <w:p w:rsidR="003E3BBA" w:rsidRPr="001942F1" w:rsidRDefault="003E3BBA" w:rsidP="003E3BBA">
            <w:pPr>
              <w:pStyle w:val="BodyText"/>
              <w:rPr>
                <w:rFonts w:asciiTheme="minorHAnsi" w:hAnsiTheme="minorHAnsi" w:cstheme="minorHAnsi"/>
                <w:sz w:val="22"/>
                <w:szCs w:val="22"/>
              </w:rPr>
            </w:pPr>
            <w:r w:rsidRPr="001942F1">
              <w:rPr>
                <w:rFonts w:asciiTheme="minorHAnsi" w:hAnsiTheme="minorHAnsi" w:cstheme="minorHAnsi"/>
                <w:sz w:val="22"/>
                <w:szCs w:val="22"/>
              </w:rPr>
              <w:t xml:space="preserve">Arbitrary exemptions from participation requirements should be avoided. For people who are not currently available to work, such as </w:t>
            </w:r>
            <w:proofErr w:type="spellStart"/>
            <w:r w:rsidRPr="001942F1">
              <w:rPr>
                <w:rFonts w:asciiTheme="minorHAnsi" w:hAnsiTheme="minorHAnsi" w:cstheme="minorHAnsi"/>
                <w:sz w:val="22"/>
                <w:szCs w:val="22"/>
              </w:rPr>
              <w:t>carers</w:t>
            </w:r>
            <w:proofErr w:type="spellEnd"/>
            <w:r w:rsidRPr="001942F1">
              <w:rPr>
                <w:rFonts w:asciiTheme="minorHAnsi" w:hAnsiTheme="minorHAnsi" w:cstheme="minorHAnsi"/>
                <w:sz w:val="22"/>
                <w:szCs w:val="22"/>
              </w:rPr>
              <w:t xml:space="preserve"> and parents of young children, the participation focus should simply involve a discussion about future plans. </w:t>
            </w:r>
          </w:p>
          <w:p w:rsidR="003E3BBA" w:rsidRPr="001942F1" w:rsidRDefault="003E3BBA" w:rsidP="003E3BBA">
            <w:pPr>
              <w:pStyle w:val="BodyText"/>
              <w:rPr>
                <w:rFonts w:asciiTheme="minorHAnsi" w:hAnsiTheme="minorHAnsi" w:cstheme="minorHAnsi"/>
                <w:sz w:val="22"/>
                <w:szCs w:val="22"/>
              </w:rPr>
            </w:pPr>
          </w:p>
          <w:p w:rsidR="003E3BBA" w:rsidRPr="001942F1" w:rsidRDefault="003E3BBA" w:rsidP="003E3BBA">
            <w:pPr>
              <w:pStyle w:val="BodyText"/>
              <w:rPr>
                <w:rFonts w:asciiTheme="minorHAnsi" w:hAnsiTheme="minorHAnsi" w:cstheme="minorHAnsi"/>
                <w:sz w:val="22"/>
                <w:szCs w:val="22"/>
              </w:rPr>
            </w:pPr>
            <w:r w:rsidRPr="001942F1">
              <w:rPr>
                <w:rFonts w:asciiTheme="minorHAnsi" w:hAnsiTheme="minorHAnsi" w:cstheme="minorHAnsi"/>
                <w:sz w:val="22"/>
                <w:szCs w:val="22"/>
              </w:rPr>
              <w:t>SDN supports the broadening of mutual obligation to include building life skills, promoting parental responsibility and improving outcomes for children, particularly for those living in jobless families who are dependent on income support.</w:t>
            </w:r>
          </w:p>
          <w:p w:rsidR="003E3BBA" w:rsidRPr="001942F1" w:rsidRDefault="003E3BBA" w:rsidP="00F93E4B">
            <w:pPr>
              <w:rPr>
                <w:rFonts w:cstheme="minorHAnsi"/>
              </w:rPr>
            </w:pPr>
          </w:p>
          <w:p w:rsidR="00E23EDC" w:rsidRPr="001942F1" w:rsidRDefault="00E23EDC" w:rsidP="001942F1">
            <w:pPr>
              <w:rPr>
                <w:rFonts w:cstheme="minorHAnsi"/>
              </w:rPr>
            </w:pPr>
            <w:r w:rsidRPr="001942F1">
              <w:rPr>
                <w:rFonts w:cstheme="minorHAnsi"/>
              </w:rPr>
              <w:t xml:space="preserve">For families and individuals facing multiple </w:t>
            </w:r>
            <w:proofErr w:type="gramStart"/>
            <w:r w:rsidRPr="001942F1">
              <w:rPr>
                <w:rFonts w:cstheme="minorHAnsi"/>
              </w:rPr>
              <w:t>disadvantage</w:t>
            </w:r>
            <w:proofErr w:type="gramEnd"/>
            <w:r w:rsidRPr="001942F1">
              <w:rPr>
                <w:rFonts w:cstheme="minorHAnsi"/>
              </w:rPr>
              <w:t>, the main barrier t</w:t>
            </w:r>
            <w:r w:rsidR="001942F1">
              <w:rPr>
                <w:rFonts w:cstheme="minorHAnsi"/>
              </w:rPr>
              <w:t xml:space="preserve">o employment is not necessarily </w:t>
            </w:r>
            <w:r w:rsidRPr="001942F1">
              <w:rPr>
                <w:rFonts w:cstheme="minorHAnsi"/>
              </w:rPr>
              <w:t xml:space="preserve">availability of work or the need for relevant skills, but can also include a lack of the soft skills necessary to participate in a workplace. Other barriers can include lack of self-esteem, inability to access child care, no access to stable housing, personal and family health issues, cultural and language barriers, and other personal or family circumstances that can interfere with the ability to consistently attend work. </w:t>
            </w:r>
          </w:p>
          <w:p w:rsidR="00E23EDC" w:rsidRPr="001942F1" w:rsidRDefault="00E23EDC" w:rsidP="001942F1">
            <w:pPr>
              <w:pStyle w:val="ListParagraph"/>
              <w:numPr>
                <w:ilvl w:val="0"/>
                <w:numId w:val="0"/>
              </w:numPr>
              <w:rPr>
                <w:rFonts w:cstheme="minorHAnsi"/>
              </w:rPr>
            </w:pPr>
          </w:p>
          <w:p w:rsidR="00E23EDC" w:rsidRPr="001942F1" w:rsidRDefault="00E23EDC" w:rsidP="001942F1">
            <w:pPr>
              <w:pStyle w:val="ListParagraph"/>
              <w:numPr>
                <w:ilvl w:val="0"/>
                <w:numId w:val="0"/>
              </w:numPr>
              <w:rPr>
                <w:rFonts w:cstheme="minorHAnsi"/>
              </w:rPr>
            </w:pPr>
            <w:r w:rsidRPr="001942F1">
              <w:rPr>
                <w:rFonts w:cstheme="minorHAnsi"/>
              </w:rPr>
              <w:t xml:space="preserve">The creation of jobs alone will not address these issues, and education and training models need to include a focus on the soft skills required as well as technical skills, particularly for young people from a background of multi-generational unemployment. </w:t>
            </w:r>
          </w:p>
          <w:p w:rsidR="00E23EDC" w:rsidRPr="001942F1" w:rsidRDefault="00E23EDC" w:rsidP="001942F1">
            <w:pPr>
              <w:pStyle w:val="ListParagraph"/>
              <w:numPr>
                <w:ilvl w:val="0"/>
                <w:numId w:val="0"/>
              </w:numPr>
              <w:rPr>
                <w:rFonts w:cstheme="minorHAnsi"/>
              </w:rPr>
            </w:pPr>
          </w:p>
          <w:p w:rsidR="00E23EDC" w:rsidRPr="001942F1" w:rsidRDefault="00E23EDC" w:rsidP="001942F1">
            <w:pPr>
              <w:pStyle w:val="ListParagraph"/>
              <w:numPr>
                <w:ilvl w:val="0"/>
                <w:numId w:val="0"/>
              </w:numPr>
              <w:rPr>
                <w:rFonts w:cstheme="minorHAnsi"/>
              </w:rPr>
            </w:pPr>
            <w:r w:rsidRPr="001942F1">
              <w:rPr>
                <w:rFonts w:cstheme="minorHAnsi"/>
              </w:rPr>
              <w:t xml:space="preserve">Services such as affordable childcare, respite care, parenting support, stable housing, appropriate health care need to be overcome before many people facing disadvantage are in a place to even consider employment. </w:t>
            </w:r>
          </w:p>
          <w:p w:rsidR="00E23EDC" w:rsidRPr="001942F1" w:rsidRDefault="00E23EDC" w:rsidP="001942F1">
            <w:pPr>
              <w:pStyle w:val="ListParagraph"/>
              <w:numPr>
                <w:ilvl w:val="0"/>
                <w:numId w:val="0"/>
              </w:numPr>
              <w:rPr>
                <w:rFonts w:cstheme="minorHAnsi"/>
              </w:rPr>
            </w:pPr>
          </w:p>
          <w:p w:rsidR="00E23EDC" w:rsidRPr="001942F1" w:rsidRDefault="00E23EDC" w:rsidP="001942F1">
            <w:pPr>
              <w:pStyle w:val="ListParagraph"/>
              <w:numPr>
                <w:ilvl w:val="0"/>
                <w:numId w:val="0"/>
              </w:numPr>
              <w:rPr>
                <w:rFonts w:cstheme="minorHAnsi"/>
                <w:lang w:val="en-US"/>
              </w:rPr>
            </w:pPr>
            <w:r w:rsidRPr="001942F1">
              <w:rPr>
                <w:rFonts w:cstheme="minorHAnsi"/>
              </w:rPr>
              <w:t xml:space="preserve">SDN’s Brighter Futures </w:t>
            </w:r>
            <w:r w:rsidRPr="001942F1">
              <w:rPr>
                <w:rFonts w:cstheme="minorHAnsi"/>
                <w:lang w:val="en-US"/>
              </w:rPr>
              <w:t>is a voluntary program for families who are expecting a child or have children up to and including eight years of age, and who are facing problems that are affecting their ability to care for their children. The program is one of a range of NSW Government early intervention and placement prevention services.</w:t>
            </w:r>
          </w:p>
          <w:p w:rsidR="00E23EDC" w:rsidRPr="001942F1" w:rsidRDefault="00E23EDC" w:rsidP="001942F1">
            <w:pPr>
              <w:pStyle w:val="ListParagraph"/>
              <w:numPr>
                <w:ilvl w:val="0"/>
                <w:numId w:val="0"/>
              </w:numPr>
              <w:rPr>
                <w:rFonts w:cstheme="minorHAnsi"/>
                <w:lang w:val="en-US"/>
              </w:rPr>
            </w:pPr>
          </w:p>
          <w:p w:rsidR="00E23EDC" w:rsidRPr="001942F1" w:rsidRDefault="00E23EDC" w:rsidP="001942F1">
            <w:pPr>
              <w:pStyle w:val="ListParagraph"/>
              <w:numPr>
                <w:ilvl w:val="0"/>
                <w:numId w:val="0"/>
              </w:numPr>
              <w:rPr>
                <w:rFonts w:cstheme="minorHAnsi"/>
                <w:lang w:val="en-US"/>
              </w:rPr>
            </w:pPr>
            <w:r w:rsidRPr="001942F1">
              <w:rPr>
                <w:rFonts w:cstheme="minorHAnsi"/>
                <w:lang w:val="en-US"/>
              </w:rPr>
              <w:t xml:space="preserve">SDN Brighter Futures works in partnership with different services to provide tailored and effective support for families, which may include parenting programs, access to </w:t>
            </w:r>
            <w:proofErr w:type="spellStart"/>
            <w:r w:rsidRPr="001942F1">
              <w:rPr>
                <w:rFonts w:cstheme="minorHAnsi"/>
                <w:lang w:val="en-US"/>
              </w:rPr>
              <w:t>subsidised</w:t>
            </w:r>
            <w:proofErr w:type="spellEnd"/>
            <w:r w:rsidRPr="001942F1">
              <w:rPr>
                <w:rFonts w:cstheme="minorHAnsi"/>
                <w:lang w:val="en-US"/>
              </w:rPr>
              <w:t xml:space="preserve"> early childhood education and care services, and home visits. </w:t>
            </w:r>
          </w:p>
          <w:p w:rsidR="00E23EDC" w:rsidRPr="001942F1" w:rsidRDefault="00E23EDC" w:rsidP="001942F1">
            <w:pPr>
              <w:pStyle w:val="ListParagraph"/>
              <w:numPr>
                <w:ilvl w:val="0"/>
                <w:numId w:val="0"/>
              </w:numPr>
              <w:rPr>
                <w:rFonts w:cstheme="minorHAnsi"/>
                <w:lang w:val="en-US"/>
              </w:rPr>
            </w:pPr>
          </w:p>
          <w:p w:rsidR="00E23EDC" w:rsidRPr="001942F1" w:rsidRDefault="00E23EDC" w:rsidP="001942F1">
            <w:pPr>
              <w:pStyle w:val="ListParagraph"/>
              <w:numPr>
                <w:ilvl w:val="0"/>
                <w:numId w:val="0"/>
              </w:numPr>
              <w:rPr>
                <w:rFonts w:cstheme="minorHAnsi"/>
                <w:lang w:val="en-US"/>
              </w:rPr>
            </w:pPr>
            <w:r w:rsidRPr="001942F1">
              <w:rPr>
                <w:rFonts w:cstheme="minorHAnsi"/>
                <w:lang w:val="en-US"/>
              </w:rPr>
              <w:t>Brighter Futures provides families with the necessary support and services to help prevent an escalation of the problems they are facing. Supporting families before problems reach a crisis improves family resilience, promotes healthy child development, and reduces child abuse and neglect.</w:t>
            </w:r>
          </w:p>
          <w:p w:rsidR="00E23EDC" w:rsidRPr="001942F1" w:rsidRDefault="00E23EDC" w:rsidP="001942F1">
            <w:pPr>
              <w:pStyle w:val="ListParagraph"/>
              <w:numPr>
                <w:ilvl w:val="0"/>
                <w:numId w:val="0"/>
              </w:numPr>
              <w:rPr>
                <w:rFonts w:cstheme="minorHAnsi"/>
              </w:rPr>
            </w:pPr>
          </w:p>
          <w:p w:rsidR="00E23EDC" w:rsidRPr="001942F1" w:rsidRDefault="00E23EDC" w:rsidP="001942F1">
            <w:pPr>
              <w:pStyle w:val="ListParagraph"/>
              <w:numPr>
                <w:ilvl w:val="0"/>
                <w:numId w:val="0"/>
              </w:numPr>
              <w:rPr>
                <w:rFonts w:cstheme="minorHAnsi"/>
              </w:rPr>
            </w:pPr>
            <w:r w:rsidRPr="001942F1">
              <w:rPr>
                <w:rFonts w:cstheme="minorHAnsi"/>
              </w:rPr>
              <w:t xml:space="preserve">SDN’s experience working with Aboriginal women </w:t>
            </w:r>
            <w:r w:rsidR="00F93E4B" w:rsidRPr="001942F1">
              <w:rPr>
                <w:rFonts w:cstheme="minorHAnsi"/>
              </w:rPr>
              <w:t>in partnership with</w:t>
            </w:r>
            <w:r w:rsidRPr="001942F1">
              <w:rPr>
                <w:rFonts w:cstheme="minorHAnsi"/>
              </w:rPr>
              <w:t xml:space="preserve"> TAFE is </w:t>
            </w:r>
            <w:r w:rsidR="00F93E4B" w:rsidRPr="001942F1">
              <w:rPr>
                <w:rFonts w:cstheme="minorHAnsi"/>
              </w:rPr>
              <w:t>another</w:t>
            </w:r>
            <w:r w:rsidRPr="001942F1">
              <w:rPr>
                <w:rFonts w:cstheme="minorHAnsi"/>
              </w:rPr>
              <w:t xml:space="preserve"> example of how an integrated approach to individual and family capacity building can lead to engagement in education and training. This model should be continued and replicated in other areas.</w:t>
            </w:r>
          </w:p>
          <w:p w:rsidR="00F93E4B" w:rsidRPr="001942F1" w:rsidRDefault="00F93E4B" w:rsidP="001942F1">
            <w:pPr>
              <w:pStyle w:val="ListParagraph"/>
              <w:numPr>
                <w:ilvl w:val="0"/>
                <w:numId w:val="0"/>
              </w:numPr>
              <w:rPr>
                <w:rFonts w:cstheme="minorHAnsi"/>
              </w:rPr>
            </w:pPr>
          </w:p>
          <w:p w:rsidR="00F93E4B" w:rsidRPr="001942F1" w:rsidRDefault="00F93E4B" w:rsidP="00F93E4B">
            <w:pPr>
              <w:pStyle w:val="BodyText"/>
              <w:rPr>
                <w:rFonts w:asciiTheme="minorHAnsi" w:hAnsiTheme="minorHAnsi" w:cstheme="minorHAnsi"/>
                <w:sz w:val="22"/>
                <w:szCs w:val="22"/>
              </w:rPr>
            </w:pPr>
            <w:r w:rsidRPr="001942F1">
              <w:rPr>
                <w:rFonts w:asciiTheme="minorHAnsi" w:hAnsiTheme="minorHAnsi" w:cstheme="minorHAnsi"/>
                <w:sz w:val="22"/>
                <w:szCs w:val="22"/>
              </w:rPr>
              <w:t>However, SDN cautions about the use of sanctions for non-compliance and agrees that the application of sanctions should take into account the likely impact on child welfare where applicable.</w:t>
            </w:r>
          </w:p>
          <w:p w:rsidR="00F93E4B" w:rsidRPr="001942F1" w:rsidRDefault="00F93E4B" w:rsidP="00F93E4B">
            <w:pPr>
              <w:pStyle w:val="BodyText"/>
              <w:rPr>
                <w:rFonts w:asciiTheme="minorHAnsi" w:hAnsiTheme="minorHAnsi" w:cstheme="minorHAnsi"/>
                <w:sz w:val="22"/>
                <w:szCs w:val="22"/>
              </w:rPr>
            </w:pPr>
          </w:p>
          <w:p w:rsidR="001C2BE7" w:rsidRDefault="00F93E4B" w:rsidP="00B6347F">
            <w:pPr>
              <w:pStyle w:val="BodyText"/>
              <w:rPr>
                <w:rFonts w:asciiTheme="minorHAnsi" w:hAnsiTheme="minorHAnsi" w:cstheme="minorHAnsi"/>
                <w:sz w:val="22"/>
                <w:szCs w:val="22"/>
              </w:rPr>
            </w:pPr>
            <w:r w:rsidRPr="001942F1">
              <w:rPr>
                <w:rFonts w:asciiTheme="minorHAnsi" w:hAnsiTheme="minorHAnsi" w:cstheme="minorHAnsi"/>
                <w:sz w:val="22"/>
                <w:szCs w:val="22"/>
              </w:rPr>
              <w:t xml:space="preserve">Similarly, care should be applied to the application of income management on whole groups of people. Income management should only be used as part of an individualized case-management approach for the most vulnerable job seekers who need to build foundational skills and </w:t>
            </w:r>
            <w:proofErr w:type="spellStart"/>
            <w:r w:rsidRPr="001942F1">
              <w:rPr>
                <w:rFonts w:asciiTheme="minorHAnsi" w:hAnsiTheme="minorHAnsi" w:cstheme="minorHAnsi"/>
                <w:sz w:val="22"/>
                <w:szCs w:val="22"/>
              </w:rPr>
              <w:t>stabilise</w:t>
            </w:r>
            <w:proofErr w:type="spellEnd"/>
            <w:r w:rsidRPr="001942F1">
              <w:rPr>
                <w:rFonts w:asciiTheme="minorHAnsi" w:hAnsiTheme="minorHAnsi" w:cstheme="minorHAnsi"/>
                <w:sz w:val="22"/>
                <w:szCs w:val="22"/>
              </w:rPr>
              <w:t xml:space="preserve"> their circumstances, as a platform</w:t>
            </w:r>
            <w:r w:rsidR="00B6347F">
              <w:rPr>
                <w:rFonts w:asciiTheme="minorHAnsi" w:hAnsiTheme="minorHAnsi" w:cstheme="minorHAnsi"/>
                <w:sz w:val="22"/>
                <w:szCs w:val="22"/>
              </w:rPr>
              <w:t xml:space="preserve"> to move into work or study.</w:t>
            </w:r>
          </w:p>
          <w:p w:rsidR="002F1B11" w:rsidRPr="00B6347F" w:rsidRDefault="002F1B11" w:rsidP="00B6347F">
            <w:pPr>
              <w:pStyle w:val="BodyText"/>
              <w:rPr>
                <w:rFonts w:asciiTheme="minorHAnsi" w:hAnsiTheme="minorHAnsi" w:cstheme="minorHAnsi"/>
                <w:sz w:val="22"/>
                <w:szCs w:val="22"/>
              </w:rPr>
            </w:pPr>
          </w:p>
        </w:tc>
      </w:tr>
    </w:tbl>
    <w:p w:rsidR="008C5A75" w:rsidRPr="008C5A75" w:rsidRDefault="008C5A75" w:rsidP="008C5A75"/>
    <w:p w:rsidR="002F1B11" w:rsidRDefault="002F1B11">
      <w:pPr>
        <w:rPr>
          <w:b/>
          <w:lang w:eastAsia="en-AU"/>
        </w:rPr>
      </w:pPr>
      <w:r>
        <w:br w:type="page"/>
      </w:r>
    </w:p>
    <w:p w:rsidR="001C2BE7" w:rsidRPr="00C42353" w:rsidRDefault="001C2BE7" w:rsidP="008C5A75">
      <w:pPr>
        <w:pStyle w:val="Heading3"/>
        <w:rPr>
          <w:iCs/>
          <w:smallCaps/>
        </w:rPr>
      </w:pPr>
      <w:r w:rsidRPr="00C42353">
        <w:lastRenderedPageBreak/>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rsidTr="008C5A75">
        <w:trPr>
          <w:tblHeader/>
        </w:trPr>
        <w:tc>
          <w:tcPr>
            <w:tcW w:w="10206" w:type="dxa"/>
          </w:tcPr>
          <w:p w:rsidR="00B6347F" w:rsidRPr="00B6347F" w:rsidRDefault="00B6347F" w:rsidP="00B6347F">
            <w:pPr>
              <w:rPr>
                <w:rFonts w:cstheme="minorHAnsi"/>
              </w:rPr>
            </w:pPr>
            <w:r w:rsidRPr="00B6347F">
              <w:rPr>
                <w:rFonts w:cstheme="minorHAnsi"/>
              </w:rPr>
              <w:t xml:space="preserve">SDN believes that ongoing support should be given to policies and programmes that target children at risk. </w:t>
            </w:r>
          </w:p>
          <w:p w:rsidR="001C2BE7" w:rsidRPr="00B6347F" w:rsidRDefault="001C2BE7" w:rsidP="00B6347F">
            <w:pPr>
              <w:pStyle w:val="ListParagraph"/>
              <w:numPr>
                <w:ilvl w:val="0"/>
                <w:numId w:val="0"/>
              </w:numPr>
              <w:ind w:left="426"/>
              <w:rPr>
                <w:rFonts w:cstheme="minorHAnsi"/>
              </w:rPr>
            </w:pPr>
          </w:p>
          <w:p w:rsidR="00B6347F" w:rsidRPr="00B6347F" w:rsidRDefault="00B6347F" w:rsidP="00B6347F">
            <w:pPr>
              <w:pStyle w:val="BodyText"/>
              <w:rPr>
                <w:rFonts w:asciiTheme="minorHAnsi" w:hAnsiTheme="minorHAnsi" w:cstheme="minorHAnsi"/>
                <w:sz w:val="22"/>
                <w:szCs w:val="22"/>
              </w:rPr>
            </w:pPr>
            <w:r w:rsidRPr="00B6347F">
              <w:rPr>
                <w:rFonts w:asciiTheme="minorHAnsi" w:hAnsiTheme="minorHAnsi" w:cstheme="minorHAnsi"/>
                <w:sz w:val="22"/>
                <w:szCs w:val="22"/>
              </w:rPr>
              <w:t xml:space="preserve">Investing in young children can increase levels of schooling, reduce crime, improve productivity in the workplace, improve adult health and reduce teenage pregnancy. </w:t>
            </w:r>
          </w:p>
          <w:p w:rsidR="00B6347F" w:rsidRPr="00B6347F" w:rsidRDefault="00B6347F" w:rsidP="00B6347F">
            <w:pPr>
              <w:pStyle w:val="BodyText"/>
              <w:rPr>
                <w:rFonts w:asciiTheme="minorHAnsi" w:hAnsiTheme="minorHAnsi" w:cstheme="minorHAnsi"/>
                <w:sz w:val="22"/>
                <w:szCs w:val="22"/>
              </w:rPr>
            </w:pPr>
          </w:p>
          <w:p w:rsidR="00B6347F" w:rsidRPr="00B6347F" w:rsidRDefault="00B6347F" w:rsidP="00B6347F">
            <w:pPr>
              <w:pStyle w:val="BodyText"/>
              <w:rPr>
                <w:rFonts w:asciiTheme="minorHAnsi" w:hAnsiTheme="minorHAnsi" w:cstheme="minorHAnsi"/>
                <w:sz w:val="22"/>
                <w:szCs w:val="22"/>
              </w:rPr>
            </w:pPr>
            <w:r w:rsidRPr="00B6347F">
              <w:rPr>
                <w:rFonts w:asciiTheme="minorHAnsi" w:hAnsiTheme="minorHAnsi" w:cstheme="minorHAnsi"/>
                <w:sz w:val="22"/>
                <w:szCs w:val="22"/>
              </w:rPr>
              <w:t xml:space="preserve">SDN supports the analysis that child care plays a significant role in the development of children, particularly when there is a focus on early education. It is acknowledged that for disadvantaged families with limited skills and resources to raise their children, child care can also be an early intervention and prevention tool to </w:t>
            </w:r>
            <w:proofErr w:type="spellStart"/>
            <w:r w:rsidRPr="00B6347F">
              <w:rPr>
                <w:rFonts w:asciiTheme="minorHAnsi" w:hAnsiTheme="minorHAnsi" w:cstheme="minorHAnsi"/>
                <w:sz w:val="22"/>
                <w:szCs w:val="22"/>
              </w:rPr>
              <w:t>maximise</w:t>
            </w:r>
            <w:proofErr w:type="spellEnd"/>
            <w:r w:rsidRPr="00B6347F">
              <w:rPr>
                <w:rFonts w:asciiTheme="minorHAnsi" w:hAnsiTheme="minorHAnsi" w:cstheme="minorHAnsi"/>
                <w:sz w:val="22"/>
                <w:szCs w:val="22"/>
              </w:rPr>
              <w:t xml:space="preserve"> children’s developmental outcomes. </w:t>
            </w:r>
          </w:p>
          <w:p w:rsidR="00B6347F" w:rsidRPr="00B6347F" w:rsidRDefault="00B6347F" w:rsidP="00B6347F">
            <w:pPr>
              <w:pStyle w:val="BodyText"/>
              <w:rPr>
                <w:rFonts w:asciiTheme="minorHAnsi" w:hAnsiTheme="minorHAnsi" w:cstheme="minorHAnsi"/>
                <w:sz w:val="22"/>
                <w:szCs w:val="22"/>
              </w:rPr>
            </w:pPr>
          </w:p>
          <w:p w:rsidR="00B6347F" w:rsidRPr="00B6347F" w:rsidRDefault="00B6347F" w:rsidP="00B6347F">
            <w:pPr>
              <w:pStyle w:val="BodyText"/>
              <w:rPr>
                <w:rFonts w:asciiTheme="minorHAnsi" w:hAnsiTheme="minorHAnsi" w:cstheme="minorHAnsi"/>
                <w:sz w:val="22"/>
                <w:szCs w:val="22"/>
              </w:rPr>
            </w:pPr>
            <w:r w:rsidRPr="00B6347F">
              <w:rPr>
                <w:rFonts w:asciiTheme="minorHAnsi" w:hAnsiTheme="minorHAnsi" w:cstheme="minorHAnsi"/>
                <w:sz w:val="22"/>
                <w:szCs w:val="22"/>
              </w:rPr>
              <w:t xml:space="preserve">Child care can assist families by providing </w:t>
            </w:r>
            <w:proofErr w:type="spellStart"/>
            <w:r w:rsidRPr="00B6347F">
              <w:rPr>
                <w:rFonts w:asciiTheme="minorHAnsi" w:hAnsiTheme="minorHAnsi" w:cstheme="minorHAnsi"/>
                <w:sz w:val="22"/>
                <w:szCs w:val="22"/>
              </w:rPr>
              <w:t>carers</w:t>
            </w:r>
            <w:proofErr w:type="spellEnd"/>
            <w:r w:rsidRPr="00B6347F">
              <w:rPr>
                <w:rFonts w:asciiTheme="minorHAnsi" w:hAnsiTheme="minorHAnsi" w:cstheme="minorHAnsi"/>
                <w:sz w:val="22"/>
                <w:szCs w:val="22"/>
              </w:rPr>
              <w:t xml:space="preserve"> who have the </w:t>
            </w:r>
            <w:proofErr w:type="gramStart"/>
            <w:r w:rsidRPr="00B6347F">
              <w:rPr>
                <w:rFonts w:asciiTheme="minorHAnsi" w:hAnsiTheme="minorHAnsi" w:cstheme="minorHAnsi"/>
                <w:sz w:val="22"/>
                <w:szCs w:val="22"/>
              </w:rPr>
              <w:t>skills,</w:t>
            </w:r>
            <w:proofErr w:type="gramEnd"/>
            <w:r w:rsidRPr="00B6347F">
              <w:rPr>
                <w:rFonts w:asciiTheme="minorHAnsi" w:hAnsiTheme="minorHAnsi" w:cstheme="minorHAnsi"/>
                <w:sz w:val="22"/>
                <w:szCs w:val="22"/>
              </w:rPr>
              <w:t xml:space="preserve"> time and environment to support children develop. Child care can provide disadvantaged parents with the opportunity to find a job or participate in education or training. </w:t>
            </w:r>
          </w:p>
          <w:p w:rsidR="00B6347F" w:rsidRPr="00B6347F" w:rsidRDefault="00B6347F" w:rsidP="00B6347F">
            <w:pPr>
              <w:pStyle w:val="BodyText"/>
              <w:rPr>
                <w:rFonts w:asciiTheme="minorHAnsi" w:hAnsiTheme="minorHAnsi" w:cstheme="minorHAnsi"/>
                <w:sz w:val="22"/>
                <w:szCs w:val="22"/>
              </w:rPr>
            </w:pPr>
          </w:p>
          <w:p w:rsidR="00B6347F" w:rsidRPr="00B6347F" w:rsidRDefault="00B6347F" w:rsidP="00B6347F">
            <w:pPr>
              <w:pStyle w:val="BodyText"/>
              <w:rPr>
                <w:rFonts w:asciiTheme="minorHAnsi" w:hAnsiTheme="minorHAnsi" w:cstheme="minorHAnsi"/>
                <w:sz w:val="22"/>
                <w:szCs w:val="22"/>
              </w:rPr>
            </w:pPr>
            <w:r w:rsidRPr="00B6347F">
              <w:rPr>
                <w:rFonts w:asciiTheme="minorHAnsi" w:hAnsiTheme="minorHAnsi" w:cstheme="minorHAnsi"/>
                <w:sz w:val="22"/>
                <w:szCs w:val="22"/>
              </w:rPr>
              <w:t xml:space="preserve">SDN also supports the provision of home based parenting education and support </w:t>
            </w:r>
            <w:proofErr w:type="spellStart"/>
            <w:r w:rsidRPr="00B6347F">
              <w:rPr>
                <w:rFonts w:asciiTheme="minorHAnsi" w:hAnsiTheme="minorHAnsi" w:cstheme="minorHAnsi"/>
                <w:sz w:val="22"/>
                <w:szCs w:val="22"/>
              </w:rPr>
              <w:t>programmes</w:t>
            </w:r>
            <w:proofErr w:type="spellEnd"/>
            <w:r w:rsidRPr="00B6347F">
              <w:rPr>
                <w:rFonts w:asciiTheme="minorHAnsi" w:hAnsiTheme="minorHAnsi" w:cstheme="minorHAnsi"/>
                <w:sz w:val="22"/>
                <w:szCs w:val="22"/>
              </w:rPr>
              <w:t xml:space="preserve"> which complement child care. Such </w:t>
            </w:r>
            <w:proofErr w:type="spellStart"/>
            <w:r w:rsidRPr="00B6347F">
              <w:rPr>
                <w:rFonts w:asciiTheme="minorHAnsi" w:hAnsiTheme="minorHAnsi" w:cstheme="minorHAnsi"/>
                <w:sz w:val="22"/>
                <w:szCs w:val="22"/>
              </w:rPr>
              <w:t>programmes</w:t>
            </w:r>
            <w:proofErr w:type="spellEnd"/>
            <w:r w:rsidRPr="00B6347F">
              <w:rPr>
                <w:rFonts w:asciiTheme="minorHAnsi" w:hAnsiTheme="minorHAnsi" w:cstheme="minorHAnsi"/>
                <w:sz w:val="22"/>
                <w:szCs w:val="22"/>
              </w:rPr>
              <w:t xml:space="preserve"> are vital in building the confidence and skills of parents and </w:t>
            </w:r>
            <w:proofErr w:type="spellStart"/>
            <w:r w:rsidRPr="00B6347F">
              <w:rPr>
                <w:rFonts w:asciiTheme="minorHAnsi" w:hAnsiTheme="minorHAnsi" w:cstheme="minorHAnsi"/>
                <w:sz w:val="22"/>
                <w:szCs w:val="22"/>
              </w:rPr>
              <w:t>carers</w:t>
            </w:r>
            <w:proofErr w:type="spellEnd"/>
            <w:r w:rsidRPr="00B6347F">
              <w:rPr>
                <w:rFonts w:asciiTheme="minorHAnsi" w:hAnsiTheme="minorHAnsi" w:cstheme="minorHAnsi"/>
                <w:sz w:val="22"/>
                <w:szCs w:val="22"/>
              </w:rPr>
              <w:t xml:space="preserve"> to create a positive learning environment to prepare their child for school.</w:t>
            </w:r>
          </w:p>
          <w:p w:rsidR="00B6347F" w:rsidRPr="002A74D8" w:rsidRDefault="00B6347F" w:rsidP="00B6347F">
            <w:pPr>
              <w:pStyle w:val="BodyText"/>
            </w:pP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 xml:space="preserve">How can a focus on ‘earn or learn’ for young Australians </w:t>
      </w:r>
      <w:proofErr w:type="gramStart"/>
      <w:r w:rsidRPr="001C2BE7">
        <w:t>be</w:t>
      </w:r>
      <w:proofErr w:type="gramEnd"/>
      <w:r w:rsidRPr="001C2BE7">
        <w:t xml:space="preserv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rsidTr="008C5A75">
        <w:trPr>
          <w:tblHeader/>
        </w:trPr>
        <w:tc>
          <w:tcPr>
            <w:tcW w:w="10206" w:type="dxa"/>
          </w:tcPr>
          <w:p w:rsidR="001C2BE7" w:rsidRDefault="004259A6" w:rsidP="001C2BE7">
            <w:pPr>
              <w:spacing w:after="840"/>
              <w:rPr>
                <w:i/>
                <w:iCs/>
                <w:smallCaps/>
              </w:rPr>
            </w:pPr>
            <w:r>
              <w:rPr>
                <w:rFonts w:cstheme="minorHAnsi"/>
              </w:rPr>
              <w:t>No response.</w:t>
            </w: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rsidTr="008C5A75">
        <w:trPr>
          <w:tblHeader/>
        </w:trPr>
        <w:tc>
          <w:tcPr>
            <w:tcW w:w="10206" w:type="dxa"/>
          </w:tcPr>
          <w:p w:rsidR="001C2BE7" w:rsidRDefault="004259A6" w:rsidP="001C2BE7">
            <w:pPr>
              <w:spacing w:after="840"/>
              <w:rPr>
                <w:i/>
                <w:iCs/>
                <w:smallCaps/>
              </w:rPr>
            </w:pPr>
            <w:r>
              <w:rPr>
                <w:rFonts w:cstheme="minorHAnsi"/>
              </w:rPr>
              <w:lastRenderedPageBreak/>
              <w:t>No response</w:t>
            </w:r>
            <w:r>
              <w:rPr>
                <w:i/>
                <w:iCs/>
                <w:smallCaps/>
              </w:rPr>
              <w:t>.</w:t>
            </w: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rsidTr="008C5A75">
        <w:trPr>
          <w:tblHeader/>
        </w:trPr>
        <w:tc>
          <w:tcPr>
            <w:tcW w:w="10206" w:type="dxa"/>
          </w:tcPr>
          <w:p w:rsidR="001C2BE7" w:rsidRDefault="004259A6" w:rsidP="001C2BE7">
            <w:pPr>
              <w:spacing w:after="840"/>
              <w:rPr>
                <w:i/>
                <w:iCs/>
                <w:smallCaps/>
              </w:rPr>
            </w:pPr>
            <w:r>
              <w:rPr>
                <w:rFonts w:cstheme="minorHAnsi"/>
              </w:rPr>
              <w:t>No response.</w:t>
            </w: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rsidTr="004259A6">
        <w:trPr>
          <w:trHeight w:val="336"/>
          <w:tblHeader/>
        </w:trPr>
        <w:tc>
          <w:tcPr>
            <w:tcW w:w="10206" w:type="dxa"/>
          </w:tcPr>
          <w:p w:rsidR="001C2BE7" w:rsidRDefault="004259A6" w:rsidP="004259A6">
            <w:pPr>
              <w:pStyle w:val="Bullet1"/>
              <w:numPr>
                <w:ilvl w:val="0"/>
                <w:numId w:val="0"/>
              </w:numPr>
              <w:rPr>
                <w:rFonts w:asciiTheme="minorHAnsi" w:hAnsiTheme="minorHAnsi" w:cstheme="minorHAnsi"/>
                <w:sz w:val="22"/>
                <w:szCs w:val="22"/>
              </w:rPr>
            </w:pPr>
            <w:r>
              <w:rPr>
                <w:rFonts w:asciiTheme="minorHAnsi" w:hAnsiTheme="minorHAnsi" w:cstheme="minorHAnsi"/>
                <w:sz w:val="22"/>
                <w:szCs w:val="22"/>
              </w:rPr>
              <w:t>No response.</w:t>
            </w:r>
          </w:p>
          <w:p w:rsidR="004259A6" w:rsidRPr="004259A6" w:rsidRDefault="004259A6" w:rsidP="004259A6">
            <w:pPr>
              <w:pStyle w:val="Bullet1"/>
              <w:numPr>
                <w:ilvl w:val="0"/>
                <w:numId w:val="0"/>
              </w:numPr>
              <w:rPr>
                <w:rFonts w:asciiTheme="minorHAnsi" w:hAnsiTheme="minorHAnsi" w:cstheme="minorHAnsi"/>
                <w:sz w:val="22"/>
                <w:szCs w:val="22"/>
              </w:rPr>
            </w:pPr>
          </w:p>
        </w:tc>
      </w:tr>
    </w:tbl>
    <w:p w:rsidR="004259A6" w:rsidRDefault="004259A6" w:rsidP="008C5A75">
      <w:pPr>
        <w:pStyle w:val="Heading3"/>
        <w:rPr>
          <w:b w:val="0"/>
          <w:lang w:eastAsia="en-US"/>
        </w:rPr>
      </w:pPr>
    </w:p>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rsidTr="00D009BF">
        <w:trPr>
          <w:trHeight w:val="4251"/>
          <w:tblHeader/>
        </w:trPr>
        <w:tc>
          <w:tcPr>
            <w:tcW w:w="10206" w:type="dxa"/>
          </w:tcPr>
          <w:p w:rsidR="004259A6" w:rsidRPr="004259A6" w:rsidRDefault="004259A6" w:rsidP="004259A6">
            <w:pPr>
              <w:rPr>
                <w:rFonts w:cstheme="minorHAnsi"/>
              </w:rPr>
            </w:pPr>
            <w:r w:rsidRPr="004259A6">
              <w:rPr>
                <w:rFonts w:cstheme="minorHAnsi"/>
              </w:rPr>
              <w:lastRenderedPageBreak/>
              <w:t xml:space="preserve">SDN is an employer of approximately 700 people and has experience providing employment for disadvantaged job seekers. SDN also has a proven experience in providing employment-related </w:t>
            </w:r>
            <w:proofErr w:type="spellStart"/>
            <w:r w:rsidRPr="004259A6">
              <w:rPr>
                <w:rFonts w:cstheme="minorHAnsi"/>
              </w:rPr>
              <w:t>upskilling</w:t>
            </w:r>
            <w:proofErr w:type="spellEnd"/>
            <w:r w:rsidRPr="004259A6">
              <w:rPr>
                <w:rFonts w:cstheme="minorHAnsi"/>
              </w:rPr>
              <w:t xml:space="preserve"> and opportunities for young people through its student placement program, which links to our recruitment of both casual and permanent staff.</w:t>
            </w:r>
          </w:p>
          <w:p w:rsidR="004259A6" w:rsidRPr="004259A6" w:rsidRDefault="004259A6" w:rsidP="004259A6">
            <w:pPr>
              <w:tabs>
                <w:tab w:val="left" w:pos="3576"/>
              </w:tabs>
              <w:rPr>
                <w:rFonts w:cstheme="minorHAnsi"/>
              </w:rPr>
            </w:pPr>
            <w:r w:rsidRPr="004259A6">
              <w:rPr>
                <w:rFonts w:cstheme="minorHAnsi"/>
              </w:rPr>
              <w:tab/>
            </w:r>
          </w:p>
          <w:p w:rsidR="004259A6" w:rsidRPr="004259A6" w:rsidRDefault="004259A6" w:rsidP="004259A6">
            <w:pPr>
              <w:rPr>
                <w:rFonts w:cstheme="minorHAnsi"/>
              </w:rPr>
            </w:pPr>
            <w:r w:rsidRPr="004259A6">
              <w:rPr>
                <w:rFonts w:cstheme="minorHAnsi"/>
              </w:rPr>
              <w:t>These initiatives could be extended in the following ways:</w:t>
            </w:r>
          </w:p>
          <w:p w:rsidR="004259A6" w:rsidRPr="004259A6" w:rsidRDefault="004259A6" w:rsidP="004259A6">
            <w:pPr>
              <w:rPr>
                <w:rFonts w:cstheme="minorHAnsi"/>
              </w:rPr>
            </w:pPr>
          </w:p>
          <w:p w:rsidR="004259A6" w:rsidRPr="004259A6" w:rsidRDefault="004259A6" w:rsidP="004259A6">
            <w:pPr>
              <w:pStyle w:val="Bullet1"/>
              <w:rPr>
                <w:rFonts w:asciiTheme="minorHAnsi" w:hAnsiTheme="minorHAnsi" w:cstheme="minorHAnsi"/>
                <w:sz w:val="22"/>
                <w:szCs w:val="22"/>
              </w:rPr>
            </w:pPr>
            <w:r w:rsidRPr="004259A6">
              <w:rPr>
                <w:rFonts w:asciiTheme="minorHAnsi" w:hAnsiTheme="minorHAnsi" w:cstheme="minorHAnsi"/>
                <w:sz w:val="22"/>
                <w:szCs w:val="22"/>
              </w:rPr>
              <w:t xml:space="preserve">Extending student placements to work experience </w:t>
            </w:r>
            <w:proofErr w:type="spellStart"/>
            <w:r>
              <w:rPr>
                <w:rFonts w:asciiTheme="minorHAnsi" w:hAnsiTheme="minorHAnsi" w:cstheme="minorHAnsi"/>
                <w:sz w:val="22"/>
                <w:szCs w:val="22"/>
              </w:rPr>
              <w:t>programmes</w:t>
            </w:r>
            <w:proofErr w:type="spellEnd"/>
            <w:r>
              <w:rPr>
                <w:rFonts w:asciiTheme="minorHAnsi" w:hAnsiTheme="minorHAnsi" w:cstheme="minorHAnsi"/>
                <w:sz w:val="22"/>
                <w:szCs w:val="22"/>
              </w:rPr>
              <w:t xml:space="preserve"> </w:t>
            </w:r>
            <w:r w:rsidRPr="004259A6">
              <w:rPr>
                <w:rFonts w:asciiTheme="minorHAnsi" w:hAnsiTheme="minorHAnsi" w:cstheme="minorHAnsi"/>
                <w:sz w:val="22"/>
                <w:szCs w:val="22"/>
              </w:rPr>
              <w:t>for disadvantaged job seekers by partnering with appropriate employment agencies.</w:t>
            </w:r>
          </w:p>
          <w:p w:rsidR="004259A6" w:rsidRPr="004259A6" w:rsidRDefault="004259A6" w:rsidP="004259A6">
            <w:pPr>
              <w:pStyle w:val="Bullet1"/>
              <w:numPr>
                <w:ilvl w:val="0"/>
                <w:numId w:val="0"/>
              </w:numPr>
              <w:ind w:left="720"/>
              <w:rPr>
                <w:rFonts w:asciiTheme="minorHAnsi" w:hAnsiTheme="minorHAnsi" w:cstheme="minorHAnsi"/>
                <w:sz w:val="22"/>
                <w:szCs w:val="22"/>
              </w:rPr>
            </w:pPr>
          </w:p>
          <w:p w:rsidR="00D009BF" w:rsidRDefault="004259A6" w:rsidP="00D009BF">
            <w:pPr>
              <w:pStyle w:val="Bullet1"/>
              <w:rPr>
                <w:rFonts w:asciiTheme="minorHAnsi" w:hAnsiTheme="minorHAnsi" w:cstheme="minorHAnsi"/>
                <w:sz w:val="22"/>
                <w:szCs w:val="22"/>
              </w:rPr>
            </w:pPr>
            <w:r w:rsidRPr="004259A6">
              <w:rPr>
                <w:rFonts w:asciiTheme="minorHAnsi" w:hAnsiTheme="minorHAnsi" w:cstheme="minorHAnsi"/>
                <w:sz w:val="22"/>
                <w:szCs w:val="22"/>
              </w:rPr>
              <w:t xml:space="preserve">Employment of </w:t>
            </w:r>
            <w:r>
              <w:rPr>
                <w:rFonts w:asciiTheme="minorHAnsi" w:hAnsiTheme="minorHAnsi" w:cstheme="minorHAnsi"/>
                <w:sz w:val="22"/>
                <w:szCs w:val="22"/>
              </w:rPr>
              <w:t>mentors</w:t>
            </w:r>
            <w:r w:rsidRPr="004259A6">
              <w:rPr>
                <w:rFonts w:asciiTheme="minorHAnsi" w:hAnsiTheme="minorHAnsi" w:cstheme="minorHAnsi"/>
                <w:sz w:val="22"/>
                <w:szCs w:val="22"/>
              </w:rPr>
              <w:t xml:space="preserve"> for disadvantaged job seekers undertaking work experience, to facilitate successful placements, transition to further training</w:t>
            </w:r>
            <w:r w:rsidR="00D009BF">
              <w:rPr>
                <w:rFonts w:asciiTheme="minorHAnsi" w:hAnsiTheme="minorHAnsi" w:cstheme="minorHAnsi"/>
                <w:sz w:val="22"/>
                <w:szCs w:val="22"/>
              </w:rPr>
              <w:t xml:space="preserve"> and ongoing employment at SDN.</w:t>
            </w:r>
          </w:p>
          <w:p w:rsidR="00D009BF" w:rsidRPr="00D009BF" w:rsidRDefault="00D009BF" w:rsidP="00D009BF">
            <w:pPr>
              <w:pStyle w:val="ListParagraph"/>
              <w:numPr>
                <w:ilvl w:val="0"/>
                <w:numId w:val="0"/>
              </w:numPr>
              <w:ind w:left="426"/>
              <w:rPr>
                <w:rFonts w:cstheme="minorHAnsi"/>
              </w:rPr>
            </w:pPr>
          </w:p>
          <w:p w:rsidR="001C2BE7" w:rsidRDefault="004259A6" w:rsidP="00D009BF">
            <w:pPr>
              <w:pStyle w:val="Bullet1"/>
              <w:rPr>
                <w:rFonts w:asciiTheme="minorHAnsi" w:hAnsiTheme="minorHAnsi" w:cstheme="minorHAnsi"/>
                <w:sz w:val="22"/>
                <w:szCs w:val="22"/>
              </w:rPr>
            </w:pPr>
            <w:r w:rsidRPr="00D009BF">
              <w:rPr>
                <w:rFonts w:asciiTheme="minorHAnsi" w:hAnsiTheme="minorHAnsi" w:cstheme="minorHAnsi"/>
                <w:sz w:val="22"/>
                <w:szCs w:val="22"/>
              </w:rPr>
              <w:t>Expansion of traineeship opportunities to support young people in their local community to gain workplace skills and qualifications.</w:t>
            </w:r>
          </w:p>
          <w:p w:rsidR="0021636B" w:rsidRDefault="0021636B" w:rsidP="0021636B">
            <w:pPr>
              <w:pStyle w:val="ListParagraph"/>
              <w:numPr>
                <w:ilvl w:val="0"/>
                <w:numId w:val="0"/>
              </w:numPr>
              <w:ind w:left="426"/>
            </w:pPr>
          </w:p>
          <w:p w:rsidR="0021636B" w:rsidRPr="0021636B" w:rsidRDefault="0021636B" w:rsidP="0021636B">
            <w:pPr>
              <w:pStyle w:val="ListParagraph"/>
              <w:numPr>
                <w:ilvl w:val="0"/>
                <w:numId w:val="0"/>
              </w:numPr>
              <w:ind w:left="743"/>
              <w:rPr>
                <w:rFonts w:cstheme="minorHAnsi"/>
              </w:rPr>
            </w:pPr>
            <w:r>
              <w:t xml:space="preserve">SDN currently offers traineeships in early childhood education at one of regional our long day care centres. We are currently assessing this model for the potential of rolling it out into other of our regional locations and in the metropolitan area. As part of our investigations we are considering appropriate models for offering Aboriginal-specific traineeships. </w:t>
            </w:r>
          </w:p>
          <w:p w:rsidR="0021636B" w:rsidRPr="00D009BF" w:rsidRDefault="0021636B" w:rsidP="0021636B">
            <w:pPr>
              <w:pStyle w:val="Bullet1"/>
              <w:numPr>
                <w:ilvl w:val="0"/>
                <w:numId w:val="0"/>
              </w:numPr>
              <w:ind w:left="720"/>
              <w:rPr>
                <w:rFonts w:asciiTheme="minorHAnsi" w:hAnsiTheme="minorHAnsi" w:cstheme="minorHAnsi"/>
                <w:sz w:val="22"/>
                <w:szCs w:val="22"/>
              </w:rPr>
            </w:pP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rsidTr="00F2295E">
        <w:trPr>
          <w:trHeight w:val="1882"/>
          <w:tblHeader/>
        </w:trPr>
        <w:tc>
          <w:tcPr>
            <w:tcW w:w="10206" w:type="dxa"/>
          </w:tcPr>
          <w:p w:rsidR="008D7469" w:rsidRPr="00F2295E" w:rsidRDefault="008D7469" w:rsidP="008A1AF6">
            <w:pPr>
              <w:pStyle w:val="BodyText"/>
              <w:rPr>
                <w:rFonts w:asciiTheme="minorHAnsi" w:hAnsiTheme="minorHAnsi" w:cstheme="minorHAnsi"/>
                <w:sz w:val="22"/>
                <w:szCs w:val="22"/>
              </w:rPr>
            </w:pPr>
            <w:r w:rsidRPr="00F2295E">
              <w:rPr>
                <w:rFonts w:asciiTheme="minorHAnsi" w:hAnsiTheme="minorHAnsi" w:cstheme="minorHAnsi"/>
                <w:sz w:val="22"/>
                <w:szCs w:val="22"/>
              </w:rPr>
              <w:t>SDN believes that the system can better support employers such as SDN by assigning ‘employment service managers’</w:t>
            </w:r>
            <w:r w:rsidR="002F1B11">
              <w:rPr>
                <w:rFonts w:asciiTheme="minorHAnsi" w:hAnsiTheme="minorHAnsi" w:cstheme="minorHAnsi"/>
                <w:sz w:val="22"/>
                <w:szCs w:val="22"/>
              </w:rPr>
              <w:t xml:space="preserve"> to individual medium and large</w:t>
            </w:r>
            <w:r w:rsidRPr="00F2295E">
              <w:rPr>
                <w:rFonts w:asciiTheme="minorHAnsi" w:hAnsiTheme="minorHAnsi" w:cstheme="minorHAnsi"/>
                <w:sz w:val="22"/>
                <w:szCs w:val="22"/>
              </w:rPr>
              <w:t xml:space="preserve"> </w:t>
            </w:r>
            <w:r w:rsidR="008A1AF6" w:rsidRPr="00F2295E">
              <w:rPr>
                <w:rFonts w:asciiTheme="minorHAnsi" w:hAnsiTheme="minorHAnsi" w:cstheme="minorHAnsi"/>
                <w:sz w:val="22"/>
                <w:szCs w:val="22"/>
              </w:rPr>
              <w:t>companies</w:t>
            </w:r>
            <w:r w:rsidRPr="00F2295E">
              <w:rPr>
                <w:rFonts w:asciiTheme="minorHAnsi" w:hAnsiTheme="minorHAnsi" w:cstheme="minorHAnsi"/>
                <w:sz w:val="22"/>
                <w:szCs w:val="22"/>
              </w:rPr>
              <w:t xml:space="preserve"> in order to design assistance packages tailored to the specific needs of the employer.</w:t>
            </w:r>
          </w:p>
          <w:p w:rsidR="008D7469" w:rsidRPr="00F2295E" w:rsidRDefault="008D7469" w:rsidP="008A1AF6">
            <w:pPr>
              <w:pStyle w:val="Bullet1"/>
              <w:numPr>
                <w:ilvl w:val="0"/>
                <w:numId w:val="0"/>
              </w:numPr>
              <w:rPr>
                <w:rFonts w:asciiTheme="minorHAnsi" w:hAnsiTheme="minorHAnsi" w:cstheme="minorHAnsi"/>
                <w:sz w:val="22"/>
                <w:szCs w:val="22"/>
              </w:rPr>
            </w:pPr>
          </w:p>
          <w:p w:rsidR="001C2BE7" w:rsidRDefault="008D7469" w:rsidP="00F2295E">
            <w:pPr>
              <w:pStyle w:val="Bullet1"/>
              <w:numPr>
                <w:ilvl w:val="0"/>
                <w:numId w:val="0"/>
              </w:numPr>
              <w:ind w:hanging="360"/>
              <w:rPr>
                <w:rFonts w:asciiTheme="minorHAnsi" w:hAnsiTheme="minorHAnsi" w:cstheme="minorHAnsi"/>
                <w:sz w:val="22"/>
                <w:szCs w:val="22"/>
              </w:rPr>
            </w:pPr>
            <w:proofErr w:type="spellStart"/>
            <w:proofErr w:type="gramStart"/>
            <w:r w:rsidRPr="00F2295E">
              <w:rPr>
                <w:rFonts w:asciiTheme="minorHAnsi" w:hAnsiTheme="minorHAnsi" w:cstheme="minorHAnsi"/>
                <w:sz w:val="22"/>
                <w:szCs w:val="22"/>
              </w:rPr>
              <w:t>Th</w:t>
            </w:r>
            <w:proofErr w:type="spellEnd"/>
            <w:r w:rsidR="008A1AF6" w:rsidRPr="00F2295E">
              <w:rPr>
                <w:rFonts w:asciiTheme="minorHAnsi" w:hAnsiTheme="minorHAnsi" w:cstheme="minorHAnsi"/>
                <w:sz w:val="22"/>
                <w:szCs w:val="22"/>
              </w:rPr>
              <w:t xml:space="preserve">  </w:t>
            </w:r>
            <w:r w:rsidR="00F2295E" w:rsidRPr="00F2295E">
              <w:rPr>
                <w:rFonts w:asciiTheme="minorHAnsi" w:hAnsiTheme="minorHAnsi" w:cstheme="minorHAnsi"/>
                <w:sz w:val="22"/>
                <w:szCs w:val="22"/>
              </w:rPr>
              <w:t>This</w:t>
            </w:r>
            <w:proofErr w:type="gramEnd"/>
            <w:r w:rsidR="00F2295E" w:rsidRPr="00F2295E">
              <w:rPr>
                <w:rFonts w:asciiTheme="minorHAnsi" w:hAnsiTheme="minorHAnsi" w:cstheme="minorHAnsi"/>
                <w:sz w:val="22"/>
                <w:szCs w:val="22"/>
              </w:rPr>
              <w:t xml:space="preserve"> would enable </w:t>
            </w:r>
            <w:r w:rsidR="00F2295E">
              <w:rPr>
                <w:rFonts w:asciiTheme="minorHAnsi" w:hAnsiTheme="minorHAnsi" w:cstheme="minorHAnsi"/>
                <w:sz w:val="22"/>
                <w:szCs w:val="22"/>
              </w:rPr>
              <w:t xml:space="preserve">employers to </w:t>
            </w:r>
            <w:proofErr w:type="spellStart"/>
            <w:r w:rsidR="00F2295E">
              <w:rPr>
                <w:rFonts w:asciiTheme="minorHAnsi" w:hAnsiTheme="minorHAnsi" w:cstheme="minorHAnsi"/>
                <w:sz w:val="22"/>
                <w:szCs w:val="22"/>
              </w:rPr>
              <w:t>maximise</w:t>
            </w:r>
            <w:proofErr w:type="spellEnd"/>
            <w:r w:rsidRPr="00F2295E">
              <w:rPr>
                <w:rFonts w:asciiTheme="minorHAnsi" w:hAnsiTheme="minorHAnsi" w:cstheme="minorHAnsi"/>
                <w:sz w:val="22"/>
                <w:szCs w:val="22"/>
              </w:rPr>
              <w:t xml:space="preserve"> employment outco</w:t>
            </w:r>
            <w:r w:rsidR="008A1AF6" w:rsidRPr="00F2295E">
              <w:rPr>
                <w:rFonts w:asciiTheme="minorHAnsi" w:hAnsiTheme="minorHAnsi" w:cstheme="minorHAnsi"/>
                <w:sz w:val="22"/>
                <w:szCs w:val="22"/>
              </w:rPr>
              <w:t xml:space="preserve">mes for disadvantaged groups by </w:t>
            </w:r>
            <w:r w:rsidRPr="00F2295E">
              <w:rPr>
                <w:rFonts w:asciiTheme="minorHAnsi" w:hAnsiTheme="minorHAnsi" w:cstheme="minorHAnsi"/>
                <w:sz w:val="22"/>
                <w:szCs w:val="22"/>
              </w:rPr>
              <w:t>improving job matching and more effective upfront assessment of needs</w:t>
            </w:r>
            <w:r w:rsidR="008A1AF6" w:rsidRPr="00F2295E">
              <w:rPr>
                <w:rFonts w:asciiTheme="minorHAnsi" w:hAnsiTheme="minorHAnsi" w:cstheme="minorHAnsi"/>
                <w:sz w:val="22"/>
                <w:szCs w:val="22"/>
              </w:rPr>
              <w:t xml:space="preserve"> as well as </w:t>
            </w:r>
            <w:r w:rsidRPr="00F2295E">
              <w:rPr>
                <w:rFonts w:asciiTheme="minorHAnsi" w:hAnsiTheme="minorHAnsi" w:cstheme="minorHAnsi"/>
                <w:sz w:val="22"/>
                <w:szCs w:val="22"/>
              </w:rPr>
              <w:t>reducing admin</w:t>
            </w:r>
            <w:r w:rsidR="00F2295E" w:rsidRPr="00F2295E">
              <w:rPr>
                <w:rFonts w:asciiTheme="minorHAnsi" w:hAnsiTheme="minorHAnsi" w:cstheme="minorHAnsi"/>
                <w:sz w:val="22"/>
                <w:szCs w:val="22"/>
              </w:rPr>
              <w:t>istrative burdens on employers.</w:t>
            </w:r>
          </w:p>
          <w:p w:rsidR="002F1B11" w:rsidRPr="00F2295E" w:rsidRDefault="002F1B11" w:rsidP="00F2295E">
            <w:pPr>
              <w:pStyle w:val="Bullet1"/>
              <w:numPr>
                <w:ilvl w:val="0"/>
                <w:numId w:val="0"/>
              </w:numPr>
              <w:ind w:hanging="360"/>
            </w:pPr>
          </w:p>
        </w:tc>
      </w:tr>
    </w:tbl>
    <w:p w:rsidR="008C5A75" w:rsidRPr="008C5A75" w:rsidRDefault="008C5A75" w:rsidP="008C5A75"/>
    <w:p w:rsidR="002F1B11" w:rsidRDefault="002F1B11">
      <w:pPr>
        <w:rPr>
          <w:b/>
          <w:sz w:val="25"/>
          <w:szCs w:val="25"/>
          <w:lang w:eastAsia="en-AU"/>
        </w:rPr>
      </w:pPr>
      <w:r>
        <w:br w:type="page"/>
      </w:r>
    </w:p>
    <w:p w:rsidR="001C2BE7" w:rsidRPr="001C2BE7" w:rsidRDefault="001C2BE7" w:rsidP="008C5A75">
      <w:pPr>
        <w:pStyle w:val="Heading2"/>
      </w:pPr>
      <w:r w:rsidRPr="001C2BE7">
        <w:lastRenderedPageBreak/>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rsidTr="008C5A75">
        <w:trPr>
          <w:tblHeader/>
        </w:trPr>
        <w:tc>
          <w:tcPr>
            <w:tcW w:w="10206" w:type="dxa"/>
          </w:tcPr>
          <w:p w:rsidR="00E23EDC" w:rsidRPr="0021636B" w:rsidRDefault="00E23EDC" w:rsidP="00E23EDC">
            <w:pPr>
              <w:pStyle w:val="ListParagraph"/>
              <w:numPr>
                <w:ilvl w:val="0"/>
                <w:numId w:val="0"/>
              </w:numPr>
              <w:ind w:left="426"/>
              <w:rPr>
                <w:rFonts w:cstheme="minorHAnsi"/>
              </w:rPr>
            </w:pPr>
          </w:p>
          <w:p w:rsidR="00256EB4" w:rsidRPr="0021636B" w:rsidRDefault="00256EB4" w:rsidP="00256EB4">
            <w:pPr>
              <w:pStyle w:val="BodyText"/>
              <w:rPr>
                <w:rFonts w:asciiTheme="minorHAnsi" w:hAnsiTheme="minorHAnsi" w:cstheme="minorHAnsi"/>
                <w:sz w:val="22"/>
                <w:szCs w:val="22"/>
              </w:rPr>
            </w:pPr>
            <w:r w:rsidRPr="0021636B">
              <w:rPr>
                <w:rFonts w:asciiTheme="minorHAnsi" w:hAnsiTheme="minorHAnsi" w:cstheme="minorHAnsi"/>
                <w:sz w:val="22"/>
                <w:szCs w:val="22"/>
              </w:rPr>
              <w:t xml:space="preserve">Civil society </w:t>
            </w:r>
            <w:proofErr w:type="spellStart"/>
            <w:r w:rsidRPr="0021636B">
              <w:rPr>
                <w:rFonts w:asciiTheme="minorHAnsi" w:hAnsiTheme="minorHAnsi" w:cstheme="minorHAnsi"/>
                <w:sz w:val="22"/>
                <w:szCs w:val="22"/>
              </w:rPr>
              <w:t>organisations</w:t>
            </w:r>
            <w:proofErr w:type="spellEnd"/>
            <w:r w:rsidRPr="0021636B">
              <w:rPr>
                <w:rFonts w:asciiTheme="minorHAnsi" w:hAnsiTheme="minorHAnsi" w:cstheme="minorHAnsi"/>
                <w:sz w:val="22"/>
                <w:szCs w:val="22"/>
              </w:rPr>
              <w:t xml:space="preserve"> such as SDN play a major role in Australia in providing services to disadvantaged groups and individuals. The Productivity Commission’s 2010 research report, </w:t>
            </w:r>
            <w:r w:rsidRPr="0021636B">
              <w:rPr>
                <w:rFonts w:asciiTheme="minorHAnsi" w:hAnsiTheme="minorHAnsi" w:cstheme="minorHAnsi"/>
                <w:i/>
                <w:sz w:val="22"/>
                <w:szCs w:val="22"/>
              </w:rPr>
              <w:t>Contribution of the Not-for-Profit Sector</w:t>
            </w:r>
            <w:r w:rsidRPr="0021636B">
              <w:rPr>
                <w:rFonts w:asciiTheme="minorHAnsi" w:hAnsiTheme="minorHAnsi" w:cstheme="minorHAnsi"/>
                <w:sz w:val="22"/>
                <w:szCs w:val="22"/>
              </w:rPr>
              <w:t>, noted that civil society is large and diverse, contributes $43 billion to Australia’s gross domestic product, and represents 8.5 per cent of employment in Australia.</w:t>
            </w:r>
          </w:p>
          <w:p w:rsidR="00256EB4" w:rsidRPr="0021636B" w:rsidRDefault="00256EB4" w:rsidP="00256EB4">
            <w:pPr>
              <w:pStyle w:val="BodyText"/>
              <w:rPr>
                <w:rFonts w:asciiTheme="minorHAnsi" w:hAnsiTheme="minorHAnsi" w:cstheme="minorHAnsi"/>
                <w:sz w:val="22"/>
                <w:szCs w:val="22"/>
              </w:rPr>
            </w:pPr>
          </w:p>
          <w:p w:rsidR="00256EB4" w:rsidRPr="0021636B" w:rsidRDefault="00256EB4" w:rsidP="0021636B">
            <w:pPr>
              <w:pStyle w:val="BodyText"/>
              <w:rPr>
                <w:rFonts w:asciiTheme="minorHAnsi" w:hAnsiTheme="minorHAnsi" w:cstheme="minorHAnsi"/>
                <w:sz w:val="22"/>
                <w:szCs w:val="22"/>
              </w:rPr>
            </w:pPr>
            <w:r w:rsidRPr="0021636B">
              <w:rPr>
                <w:rFonts w:asciiTheme="minorHAnsi" w:hAnsiTheme="minorHAnsi" w:cstheme="minorHAnsi"/>
                <w:sz w:val="22"/>
                <w:szCs w:val="22"/>
              </w:rPr>
              <w:t xml:space="preserve">SDN shares much in common with the sector, with (more than) half its income coming from fees for goods and services and one third coming from government funding. While it has less than one tenth of its income from philanthropic sources, this is a growing source of income. As such, SDN would support </w:t>
            </w:r>
            <w:r w:rsidR="0021636B" w:rsidRPr="0021636B">
              <w:rPr>
                <w:rFonts w:asciiTheme="minorHAnsi" w:hAnsiTheme="minorHAnsi" w:cstheme="minorHAnsi"/>
                <w:sz w:val="22"/>
                <w:szCs w:val="22"/>
              </w:rPr>
              <w:t xml:space="preserve">measures to increase philanthropic contributions to </w:t>
            </w:r>
            <w:proofErr w:type="spellStart"/>
            <w:r w:rsidR="0021636B" w:rsidRPr="0021636B">
              <w:rPr>
                <w:rFonts w:asciiTheme="minorHAnsi" w:hAnsiTheme="minorHAnsi" w:cstheme="minorHAnsi"/>
                <w:sz w:val="22"/>
                <w:szCs w:val="22"/>
              </w:rPr>
              <w:t>organisations</w:t>
            </w:r>
            <w:proofErr w:type="spellEnd"/>
            <w:r w:rsidR="0021636B" w:rsidRPr="0021636B">
              <w:rPr>
                <w:rFonts w:asciiTheme="minorHAnsi" w:hAnsiTheme="minorHAnsi" w:cstheme="minorHAnsi"/>
                <w:sz w:val="22"/>
                <w:szCs w:val="22"/>
              </w:rPr>
              <w:t xml:space="preserve"> like SDN through venture philanthropy and </w:t>
            </w:r>
            <w:r w:rsidRPr="0021636B">
              <w:rPr>
                <w:rFonts w:asciiTheme="minorHAnsi" w:hAnsiTheme="minorHAnsi" w:cstheme="minorHAnsi"/>
                <w:sz w:val="22"/>
                <w:szCs w:val="22"/>
              </w:rPr>
              <w:t xml:space="preserve">the development of Private Ancillary Funds. </w:t>
            </w:r>
          </w:p>
          <w:p w:rsidR="0021636B" w:rsidRPr="0021636B" w:rsidRDefault="0021636B" w:rsidP="00256EB4">
            <w:pPr>
              <w:pStyle w:val="BodyText"/>
              <w:rPr>
                <w:rFonts w:asciiTheme="minorHAnsi" w:hAnsiTheme="minorHAnsi" w:cstheme="minorHAnsi"/>
                <w:sz w:val="22"/>
                <w:szCs w:val="22"/>
              </w:rPr>
            </w:pPr>
          </w:p>
          <w:p w:rsidR="00256EB4" w:rsidRPr="0021636B" w:rsidRDefault="0021636B" w:rsidP="00256EB4">
            <w:pPr>
              <w:pStyle w:val="BodyText"/>
              <w:rPr>
                <w:rFonts w:asciiTheme="minorHAnsi" w:hAnsiTheme="minorHAnsi" w:cstheme="minorHAnsi"/>
                <w:sz w:val="22"/>
                <w:szCs w:val="22"/>
              </w:rPr>
            </w:pPr>
            <w:r w:rsidRPr="0021636B">
              <w:rPr>
                <w:rFonts w:asciiTheme="minorHAnsi" w:hAnsiTheme="minorHAnsi" w:cstheme="minorHAnsi"/>
                <w:sz w:val="22"/>
                <w:szCs w:val="22"/>
              </w:rPr>
              <w:t>SDN agrees with the position that i</w:t>
            </w:r>
            <w:r w:rsidR="00256EB4" w:rsidRPr="0021636B">
              <w:rPr>
                <w:rFonts w:asciiTheme="minorHAnsi" w:hAnsiTheme="minorHAnsi" w:cstheme="minorHAnsi"/>
                <w:sz w:val="22"/>
                <w:szCs w:val="22"/>
              </w:rPr>
              <w:t xml:space="preserve">nnovative solutions are required to address the multiple issues faced by disadvantaged communities. These solutions need to bring together corporates, philanthropic </w:t>
            </w:r>
            <w:proofErr w:type="spellStart"/>
            <w:r w:rsidR="00256EB4" w:rsidRPr="0021636B">
              <w:rPr>
                <w:rFonts w:asciiTheme="minorHAnsi" w:hAnsiTheme="minorHAnsi" w:cstheme="minorHAnsi"/>
                <w:sz w:val="22"/>
                <w:szCs w:val="22"/>
              </w:rPr>
              <w:t>organisations</w:t>
            </w:r>
            <w:proofErr w:type="spellEnd"/>
            <w:r w:rsidR="00256EB4" w:rsidRPr="0021636B">
              <w:rPr>
                <w:rFonts w:asciiTheme="minorHAnsi" w:hAnsiTheme="minorHAnsi" w:cstheme="minorHAnsi"/>
                <w:sz w:val="22"/>
                <w:szCs w:val="22"/>
              </w:rPr>
              <w:t>, government and the community to address these issues.</w:t>
            </w:r>
          </w:p>
          <w:p w:rsidR="0021636B" w:rsidRPr="0021636B" w:rsidRDefault="0021636B" w:rsidP="00256EB4">
            <w:pPr>
              <w:pStyle w:val="BodyText"/>
              <w:rPr>
                <w:rFonts w:asciiTheme="minorHAnsi" w:hAnsiTheme="minorHAnsi" w:cstheme="minorHAnsi"/>
                <w:sz w:val="22"/>
                <w:szCs w:val="22"/>
              </w:rPr>
            </w:pPr>
          </w:p>
          <w:p w:rsidR="0021636B" w:rsidRPr="0021636B" w:rsidRDefault="0021636B" w:rsidP="00256EB4">
            <w:pPr>
              <w:pStyle w:val="BodyText"/>
              <w:rPr>
                <w:rFonts w:asciiTheme="minorHAnsi" w:hAnsiTheme="minorHAnsi" w:cstheme="minorHAnsi"/>
                <w:sz w:val="22"/>
                <w:szCs w:val="22"/>
              </w:rPr>
            </w:pPr>
            <w:r w:rsidRPr="0021636B">
              <w:rPr>
                <w:rFonts w:asciiTheme="minorHAnsi" w:hAnsiTheme="minorHAnsi" w:cstheme="minorHAnsi"/>
                <w:sz w:val="22"/>
                <w:szCs w:val="22"/>
              </w:rPr>
              <w:t xml:space="preserve">In particular, SDN </w:t>
            </w:r>
            <w:r w:rsidR="002F1B11">
              <w:rPr>
                <w:rFonts w:asciiTheme="minorHAnsi" w:hAnsiTheme="minorHAnsi" w:cstheme="minorHAnsi"/>
                <w:sz w:val="22"/>
                <w:szCs w:val="22"/>
              </w:rPr>
              <w:t>support further work</w:t>
            </w:r>
            <w:r w:rsidRPr="0021636B">
              <w:rPr>
                <w:rFonts w:asciiTheme="minorHAnsi" w:hAnsiTheme="minorHAnsi" w:cstheme="minorHAnsi"/>
                <w:sz w:val="22"/>
                <w:szCs w:val="22"/>
              </w:rPr>
              <w:t xml:space="preserve"> into the development of Social Impact Bonds for the provision of childcare</w:t>
            </w:r>
            <w:r w:rsidR="002F1B11">
              <w:rPr>
                <w:rFonts w:asciiTheme="minorHAnsi" w:hAnsiTheme="minorHAnsi" w:cstheme="minorHAnsi"/>
                <w:sz w:val="22"/>
                <w:szCs w:val="22"/>
              </w:rPr>
              <w:t>, family support programs and job creation</w:t>
            </w:r>
            <w:r w:rsidRPr="0021636B">
              <w:rPr>
                <w:rFonts w:asciiTheme="minorHAnsi" w:hAnsiTheme="minorHAnsi" w:cstheme="minorHAnsi"/>
                <w:sz w:val="22"/>
                <w:szCs w:val="22"/>
              </w:rPr>
              <w:t xml:space="preserve"> in disadvantaged communities. </w:t>
            </w:r>
          </w:p>
          <w:p w:rsidR="00256EB4" w:rsidRPr="0021636B" w:rsidRDefault="00256EB4" w:rsidP="00E23EDC">
            <w:pPr>
              <w:pStyle w:val="ListParagraph"/>
              <w:numPr>
                <w:ilvl w:val="0"/>
                <w:numId w:val="0"/>
              </w:numPr>
              <w:ind w:left="426"/>
              <w:rPr>
                <w:rFonts w:cstheme="minorHAnsi"/>
              </w:rPr>
            </w:pPr>
          </w:p>
          <w:p w:rsidR="00E23EDC" w:rsidRPr="0021636B" w:rsidRDefault="00E23EDC" w:rsidP="0021636B">
            <w:pPr>
              <w:pStyle w:val="ListParagraph"/>
              <w:numPr>
                <w:ilvl w:val="0"/>
                <w:numId w:val="0"/>
              </w:numPr>
              <w:rPr>
                <w:rFonts w:cstheme="minorHAnsi"/>
              </w:rPr>
            </w:pPr>
            <w:r w:rsidRPr="0021636B">
              <w:rPr>
                <w:rFonts w:cstheme="minorHAnsi"/>
              </w:rPr>
              <w:t xml:space="preserve">SDN’s experience working with Aboriginal women </w:t>
            </w:r>
            <w:r w:rsidR="0021636B" w:rsidRPr="0021636B">
              <w:rPr>
                <w:rFonts w:cstheme="minorHAnsi"/>
              </w:rPr>
              <w:t>in partnership with</w:t>
            </w:r>
            <w:r w:rsidRPr="0021636B">
              <w:rPr>
                <w:rFonts w:cstheme="minorHAnsi"/>
              </w:rPr>
              <w:t xml:space="preserve"> TAFE is a good example of how community capacity initiatives lead to job creation in disadvantaged communities. This model should be continued and replicated in other areas.</w:t>
            </w:r>
          </w:p>
          <w:p w:rsidR="00E23EDC" w:rsidRPr="0021636B" w:rsidRDefault="0021636B" w:rsidP="0021636B">
            <w:pPr>
              <w:pStyle w:val="ListParagraph"/>
              <w:numPr>
                <w:ilvl w:val="0"/>
                <w:numId w:val="0"/>
              </w:numPr>
              <w:rPr>
                <w:rFonts w:cstheme="minorHAnsi"/>
              </w:rPr>
            </w:pPr>
            <w:r w:rsidRPr="0021636B">
              <w:rPr>
                <w:rFonts w:cstheme="minorHAnsi"/>
              </w:rPr>
              <w:tab/>
            </w:r>
          </w:p>
          <w:p w:rsidR="00E23EDC" w:rsidRPr="0021636B" w:rsidRDefault="00E23EDC" w:rsidP="0021636B">
            <w:pPr>
              <w:pStyle w:val="ListParagraph"/>
              <w:numPr>
                <w:ilvl w:val="0"/>
                <w:numId w:val="0"/>
              </w:numPr>
              <w:rPr>
                <w:rFonts w:cstheme="minorHAnsi"/>
              </w:rPr>
            </w:pPr>
            <w:r w:rsidRPr="0021636B">
              <w:rPr>
                <w:rFonts w:cstheme="minorHAnsi"/>
              </w:rPr>
              <w:t xml:space="preserve">Our experience shows us that working locally within a community, providing culturally appropriate mentoring, and supporting transition to work helps </w:t>
            </w:r>
            <w:r w:rsidR="0021636B" w:rsidRPr="0021636B">
              <w:rPr>
                <w:rFonts w:cstheme="minorHAnsi"/>
              </w:rPr>
              <w:t>disadvantaged job seekers</w:t>
            </w:r>
            <w:r w:rsidRPr="0021636B">
              <w:rPr>
                <w:rFonts w:cstheme="minorHAnsi"/>
              </w:rPr>
              <w:t xml:space="preserve"> to successfully acquire qualifications </w:t>
            </w:r>
            <w:r w:rsidR="0021636B" w:rsidRPr="0021636B">
              <w:rPr>
                <w:rFonts w:cstheme="minorHAnsi"/>
              </w:rPr>
              <w:t xml:space="preserve">to </w:t>
            </w:r>
            <w:r w:rsidRPr="0021636B">
              <w:rPr>
                <w:rFonts w:cstheme="minorHAnsi"/>
              </w:rPr>
              <w:t xml:space="preserve">move into </w:t>
            </w:r>
            <w:r w:rsidR="0021636B" w:rsidRPr="0021636B">
              <w:rPr>
                <w:rFonts w:cstheme="minorHAnsi"/>
              </w:rPr>
              <w:t xml:space="preserve">sustainable </w:t>
            </w:r>
            <w:r w:rsidRPr="0021636B">
              <w:rPr>
                <w:rFonts w:cstheme="minorHAnsi"/>
              </w:rPr>
              <w:t xml:space="preserve">employment.  </w:t>
            </w:r>
          </w:p>
          <w:p w:rsidR="001C2BE7" w:rsidRDefault="001C2BE7" w:rsidP="00E23EDC">
            <w:pPr>
              <w:pStyle w:val="ListParagraph"/>
              <w:numPr>
                <w:ilvl w:val="0"/>
                <w:numId w:val="0"/>
              </w:numPr>
              <w:ind w:left="426"/>
            </w:pP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rsidTr="008C5A75">
        <w:trPr>
          <w:tblHeader/>
        </w:trPr>
        <w:tc>
          <w:tcPr>
            <w:tcW w:w="10206" w:type="dxa"/>
          </w:tcPr>
          <w:p w:rsidR="004A4F44" w:rsidRPr="004A4F44" w:rsidRDefault="004A4F44" w:rsidP="004A4F44">
            <w:pPr>
              <w:rPr>
                <w:rFonts w:cstheme="minorHAnsi"/>
              </w:rPr>
            </w:pPr>
            <w:r w:rsidRPr="004A4F44">
              <w:rPr>
                <w:rFonts w:cstheme="minorHAnsi"/>
              </w:rPr>
              <w:lastRenderedPageBreak/>
              <w:t>SDN believes that Government has a vital role to play in the development and coordination of place based initiatives across Australia to improve outcomes for specific target groups in disadvantaged areas. SDN believes that such an approach is vital in addressing localised issues and the needs of specific groups of disadvantages people.</w:t>
            </w:r>
          </w:p>
          <w:p w:rsidR="001C2BE7" w:rsidRPr="004A4F44" w:rsidRDefault="001C2BE7" w:rsidP="004A4F44">
            <w:pPr>
              <w:rPr>
                <w:rFonts w:cstheme="minorHAnsi"/>
              </w:rPr>
            </w:pPr>
          </w:p>
          <w:p w:rsidR="004A4F44" w:rsidRPr="004A4F44" w:rsidRDefault="004A4F44" w:rsidP="004A4F44">
            <w:pPr>
              <w:rPr>
                <w:rFonts w:cstheme="minorHAnsi"/>
              </w:rPr>
            </w:pPr>
            <w:r w:rsidRPr="004A4F44">
              <w:rPr>
                <w:rFonts w:cstheme="minorHAnsi"/>
              </w:rPr>
              <w:t>It is essential that place based initiatives include multiple and integrated programmes addressing issues such as unemployment, skills improvement, family dysfunction, community capacity building, school attendance, safety, parenting and transition to/from school.</w:t>
            </w:r>
          </w:p>
          <w:p w:rsidR="004A4F44" w:rsidRPr="004A4F44" w:rsidRDefault="004A4F44" w:rsidP="004A4F44">
            <w:pPr>
              <w:rPr>
                <w:rFonts w:cstheme="minorHAnsi"/>
              </w:rPr>
            </w:pPr>
          </w:p>
          <w:p w:rsidR="004A4F44" w:rsidRDefault="004A4F44" w:rsidP="004A4F44">
            <w:pPr>
              <w:pStyle w:val="BodyText"/>
              <w:rPr>
                <w:rFonts w:asciiTheme="minorHAnsi" w:hAnsiTheme="minorHAnsi" w:cstheme="minorHAnsi"/>
                <w:sz w:val="22"/>
                <w:szCs w:val="22"/>
              </w:rPr>
            </w:pPr>
            <w:r w:rsidRPr="004A4F44">
              <w:rPr>
                <w:rFonts w:asciiTheme="minorHAnsi" w:hAnsiTheme="minorHAnsi" w:cstheme="minorHAnsi"/>
                <w:sz w:val="22"/>
                <w:szCs w:val="22"/>
              </w:rPr>
              <w:t xml:space="preserve">SDN supports the Government’s focus on the three critical priorities in Indigenous affairs: that children attend school, that adults have real jobs and that communities are safe with the law of the land observed. </w:t>
            </w:r>
          </w:p>
          <w:p w:rsidR="002F1B11" w:rsidRDefault="002F1B11" w:rsidP="004A4F44">
            <w:pPr>
              <w:pStyle w:val="BodyText"/>
            </w:pP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rsidTr="008C5A75">
        <w:trPr>
          <w:tblHeader/>
        </w:trPr>
        <w:tc>
          <w:tcPr>
            <w:tcW w:w="10206" w:type="dxa"/>
          </w:tcPr>
          <w:p w:rsidR="001C2BE7" w:rsidRDefault="004A4F44" w:rsidP="001C2BE7">
            <w:pPr>
              <w:spacing w:after="840"/>
              <w:rPr>
                <w:i/>
                <w:iCs/>
                <w:smallCaps/>
              </w:rPr>
            </w:pPr>
            <w:r>
              <w:rPr>
                <w:rFonts w:cstheme="minorHAnsi"/>
              </w:rPr>
              <w:t>No response.</w:t>
            </w: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rsidTr="008C5A75">
        <w:trPr>
          <w:tblHeader/>
        </w:trPr>
        <w:tc>
          <w:tcPr>
            <w:tcW w:w="10206" w:type="dxa"/>
          </w:tcPr>
          <w:p w:rsidR="001C2BE7" w:rsidRDefault="004A4F44" w:rsidP="001C2BE7">
            <w:pPr>
              <w:spacing w:after="840"/>
              <w:rPr>
                <w:i/>
                <w:iCs/>
                <w:smallCaps/>
              </w:rPr>
            </w:pPr>
            <w:r>
              <w:rPr>
                <w:rFonts w:cstheme="minorHAnsi"/>
              </w:rPr>
              <w:t>No response.</w:t>
            </w:r>
          </w:p>
        </w:tc>
      </w:tr>
    </w:tbl>
    <w:p w:rsidR="004A4F44" w:rsidRDefault="004A4F44" w:rsidP="004A4F44"/>
    <w:p w:rsidR="001C2BE7" w:rsidRPr="004A4F44" w:rsidRDefault="001C2BE7" w:rsidP="004A4F44">
      <w:pPr>
        <w:rPr>
          <w:b/>
          <w:lang w:eastAsia="en-AU"/>
        </w:rPr>
      </w:pPr>
      <w:r w:rsidRPr="004A4F44">
        <w:rPr>
          <w:b/>
        </w:rPr>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rsidTr="008C5A75">
        <w:trPr>
          <w:trHeight w:val="710"/>
          <w:tblHeader/>
        </w:trPr>
        <w:tc>
          <w:tcPr>
            <w:tcW w:w="10206" w:type="dxa"/>
          </w:tcPr>
          <w:p w:rsidR="001C2BE7" w:rsidRDefault="00E878FF" w:rsidP="001C2BE7">
            <w:pPr>
              <w:spacing w:after="840"/>
              <w:rPr>
                <w:i/>
                <w:iCs/>
                <w:smallCaps/>
              </w:rPr>
            </w:pPr>
            <w:r>
              <w:rPr>
                <w:rFonts w:cstheme="minorHAnsi"/>
              </w:rPr>
              <w:t>No response.</w:t>
            </w: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3C" w:rsidRDefault="00911F3C" w:rsidP="00214210">
      <w:pPr>
        <w:spacing w:after="0" w:line="240" w:lineRule="auto"/>
      </w:pPr>
      <w:r>
        <w:separator/>
      </w:r>
    </w:p>
  </w:endnote>
  <w:endnote w:type="continuationSeparator" w:id="0">
    <w:p w:rsidR="00911F3C" w:rsidRDefault="00911F3C"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3C" w:rsidRPr="006F436A" w:rsidRDefault="00911F3C">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3C" w:rsidRDefault="00911F3C" w:rsidP="00214210">
      <w:pPr>
        <w:spacing w:after="0" w:line="240" w:lineRule="auto"/>
      </w:pPr>
      <w:r>
        <w:separator/>
      </w:r>
    </w:p>
  </w:footnote>
  <w:footnote w:type="continuationSeparator" w:id="0">
    <w:p w:rsidR="00911F3C" w:rsidRDefault="00911F3C"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635395"/>
    <w:multiLevelType w:val="hybridMultilevel"/>
    <w:tmpl w:val="79CE491E"/>
    <w:lvl w:ilvl="0" w:tplc="132A9B38">
      <w:start w:val="1"/>
      <w:numFmt w:val="bullet"/>
      <w:pStyle w:val="Bullet1"/>
      <w:lvlText w:val=""/>
      <w:lvlJc w:val="left"/>
      <w:pPr>
        <w:ind w:left="720" w:hanging="360"/>
      </w:pPr>
      <w:rPr>
        <w:rFonts w:ascii="Symbol" w:hAnsi="Symbol" w:hint="default"/>
      </w:rPr>
    </w:lvl>
    <w:lvl w:ilvl="1" w:tplc="6F323FB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8"/>
  </w:num>
  <w:num w:numId="3">
    <w:abstractNumId w:val="24"/>
  </w:num>
  <w:num w:numId="4">
    <w:abstractNumId w:val="7"/>
  </w:num>
  <w:num w:numId="5">
    <w:abstractNumId w:val="5"/>
  </w:num>
  <w:num w:numId="6">
    <w:abstractNumId w:val="27"/>
  </w:num>
  <w:num w:numId="7">
    <w:abstractNumId w:val="25"/>
  </w:num>
  <w:num w:numId="8">
    <w:abstractNumId w:val="9"/>
  </w:num>
  <w:num w:numId="9">
    <w:abstractNumId w:val="0"/>
  </w:num>
  <w:num w:numId="10">
    <w:abstractNumId w:val="6"/>
  </w:num>
  <w:num w:numId="11">
    <w:abstractNumId w:val="4"/>
  </w:num>
  <w:num w:numId="12">
    <w:abstractNumId w:val="2"/>
  </w:num>
  <w:num w:numId="13">
    <w:abstractNumId w:val="23"/>
  </w:num>
  <w:num w:numId="14">
    <w:abstractNumId w:val="13"/>
  </w:num>
  <w:num w:numId="15">
    <w:abstractNumId w:val="19"/>
  </w:num>
  <w:num w:numId="16">
    <w:abstractNumId w:val="10"/>
  </w:num>
  <w:num w:numId="17">
    <w:abstractNumId w:val="12"/>
  </w:num>
  <w:num w:numId="18">
    <w:abstractNumId w:val="16"/>
  </w:num>
  <w:num w:numId="19">
    <w:abstractNumId w:val="26"/>
  </w:num>
  <w:num w:numId="20">
    <w:abstractNumId w:val="21"/>
  </w:num>
  <w:num w:numId="21">
    <w:abstractNumId w:val="14"/>
  </w:num>
  <w:num w:numId="22">
    <w:abstractNumId w:val="22"/>
  </w:num>
  <w:num w:numId="23">
    <w:abstractNumId w:val="11"/>
  </w:num>
  <w:num w:numId="24">
    <w:abstractNumId w:val="8"/>
  </w:num>
  <w:num w:numId="25">
    <w:abstractNumId w:val="15"/>
  </w:num>
  <w:num w:numId="26">
    <w:abstractNumId w:val="18"/>
  </w:num>
  <w:num w:numId="27">
    <w:abstractNumId w:val="17"/>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67CB2"/>
    <w:rsid w:val="00080BCE"/>
    <w:rsid w:val="00085D36"/>
    <w:rsid w:val="0009727B"/>
    <w:rsid w:val="000A676D"/>
    <w:rsid w:val="000B0DFF"/>
    <w:rsid w:val="000E12CC"/>
    <w:rsid w:val="000F2CD5"/>
    <w:rsid w:val="000F44EA"/>
    <w:rsid w:val="00122D0C"/>
    <w:rsid w:val="00127D81"/>
    <w:rsid w:val="00135FB7"/>
    <w:rsid w:val="0014745C"/>
    <w:rsid w:val="001536C8"/>
    <w:rsid w:val="00162BCB"/>
    <w:rsid w:val="00166710"/>
    <w:rsid w:val="001775AB"/>
    <w:rsid w:val="001942F1"/>
    <w:rsid w:val="001A1E5E"/>
    <w:rsid w:val="001A4D8F"/>
    <w:rsid w:val="001C2BE7"/>
    <w:rsid w:val="001D02A4"/>
    <w:rsid w:val="001E2E3B"/>
    <w:rsid w:val="001E3EA9"/>
    <w:rsid w:val="001E630D"/>
    <w:rsid w:val="001F4C15"/>
    <w:rsid w:val="00214210"/>
    <w:rsid w:val="0021636B"/>
    <w:rsid w:val="00223BB8"/>
    <w:rsid w:val="0023096B"/>
    <w:rsid w:val="0023686F"/>
    <w:rsid w:val="00237E0B"/>
    <w:rsid w:val="00256EB4"/>
    <w:rsid w:val="0029140D"/>
    <w:rsid w:val="002F14A2"/>
    <w:rsid w:val="002F1B11"/>
    <w:rsid w:val="00315FC6"/>
    <w:rsid w:val="0035362A"/>
    <w:rsid w:val="00356F1B"/>
    <w:rsid w:val="00373641"/>
    <w:rsid w:val="003B2BB8"/>
    <w:rsid w:val="003B5339"/>
    <w:rsid w:val="003D34FF"/>
    <w:rsid w:val="003E3BBA"/>
    <w:rsid w:val="003E56A6"/>
    <w:rsid w:val="003E5FD4"/>
    <w:rsid w:val="0041533F"/>
    <w:rsid w:val="004259A6"/>
    <w:rsid w:val="00443F1C"/>
    <w:rsid w:val="004527AB"/>
    <w:rsid w:val="0046471F"/>
    <w:rsid w:val="00494CBC"/>
    <w:rsid w:val="004A148C"/>
    <w:rsid w:val="004A4F44"/>
    <w:rsid w:val="004B54CA"/>
    <w:rsid w:val="004E5CBF"/>
    <w:rsid w:val="004F6157"/>
    <w:rsid w:val="005057B8"/>
    <w:rsid w:val="00515AF7"/>
    <w:rsid w:val="00555E3E"/>
    <w:rsid w:val="00585179"/>
    <w:rsid w:val="005935E6"/>
    <w:rsid w:val="00596EEA"/>
    <w:rsid w:val="005A3CC0"/>
    <w:rsid w:val="005C3AA9"/>
    <w:rsid w:val="005D3EAB"/>
    <w:rsid w:val="005D4A60"/>
    <w:rsid w:val="00617EBD"/>
    <w:rsid w:val="00625EE2"/>
    <w:rsid w:val="00626096"/>
    <w:rsid w:val="00631B41"/>
    <w:rsid w:val="00634475"/>
    <w:rsid w:val="00634728"/>
    <w:rsid w:val="00635EE5"/>
    <w:rsid w:val="006371EE"/>
    <w:rsid w:val="006770A7"/>
    <w:rsid w:val="00696ED6"/>
    <w:rsid w:val="006A4CE7"/>
    <w:rsid w:val="006B37FE"/>
    <w:rsid w:val="006B61A4"/>
    <w:rsid w:val="006C775B"/>
    <w:rsid w:val="006F436A"/>
    <w:rsid w:val="00707EF3"/>
    <w:rsid w:val="00714720"/>
    <w:rsid w:val="00731565"/>
    <w:rsid w:val="00734082"/>
    <w:rsid w:val="0073584F"/>
    <w:rsid w:val="0075282F"/>
    <w:rsid w:val="00767CF1"/>
    <w:rsid w:val="00770E22"/>
    <w:rsid w:val="00785261"/>
    <w:rsid w:val="00791FBE"/>
    <w:rsid w:val="007B0256"/>
    <w:rsid w:val="007D6D64"/>
    <w:rsid w:val="00824A02"/>
    <w:rsid w:val="00826024"/>
    <w:rsid w:val="00835484"/>
    <w:rsid w:val="00847FA0"/>
    <w:rsid w:val="008647F0"/>
    <w:rsid w:val="008A1AF6"/>
    <w:rsid w:val="008C5A75"/>
    <w:rsid w:val="008D7469"/>
    <w:rsid w:val="008D7A5A"/>
    <w:rsid w:val="008E09AA"/>
    <w:rsid w:val="008F770A"/>
    <w:rsid w:val="00911F3C"/>
    <w:rsid w:val="00915C67"/>
    <w:rsid w:val="00920717"/>
    <w:rsid w:val="009225F0"/>
    <w:rsid w:val="0096286F"/>
    <w:rsid w:val="00974D68"/>
    <w:rsid w:val="00977EED"/>
    <w:rsid w:val="009836E4"/>
    <w:rsid w:val="00987FA0"/>
    <w:rsid w:val="009A7546"/>
    <w:rsid w:val="009E7724"/>
    <w:rsid w:val="00A06548"/>
    <w:rsid w:val="00A17AFA"/>
    <w:rsid w:val="00A32D61"/>
    <w:rsid w:val="00A66E14"/>
    <w:rsid w:val="00A673D9"/>
    <w:rsid w:val="00A70E1E"/>
    <w:rsid w:val="00A90945"/>
    <w:rsid w:val="00A92138"/>
    <w:rsid w:val="00AA451B"/>
    <w:rsid w:val="00AC0B89"/>
    <w:rsid w:val="00AC0E82"/>
    <w:rsid w:val="00AC21F5"/>
    <w:rsid w:val="00B01913"/>
    <w:rsid w:val="00B01B10"/>
    <w:rsid w:val="00B06238"/>
    <w:rsid w:val="00B5345A"/>
    <w:rsid w:val="00B6347F"/>
    <w:rsid w:val="00B63CF5"/>
    <w:rsid w:val="00B74B28"/>
    <w:rsid w:val="00B81C57"/>
    <w:rsid w:val="00B87E99"/>
    <w:rsid w:val="00B9617A"/>
    <w:rsid w:val="00BA2DB9"/>
    <w:rsid w:val="00BC5D99"/>
    <w:rsid w:val="00BE1097"/>
    <w:rsid w:val="00BE7148"/>
    <w:rsid w:val="00C542F9"/>
    <w:rsid w:val="00C5438C"/>
    <w:rsid w:val="00C559F8"/>
    <w:rsid w:val="00C640EA"/>
    <w:rsid w:val="00CA3C95"/>
    <w:rsid w:val="00CC5C1C"/>
    <w:rsid w:val="00CF2A95"/>
    <w:rsid w:val="00D009BF"/>
    <w:rsid w:val="00D17402"/>
    <w:rsid w:val="00D21839"/>
    <w:rsid w:val="00D24567"/>
    <w:rsid w:val="00D3285D"/>
    <w:rsid w:val="00DA301B"/>
    <w:rsid w:val="00DB5908"/>
    <w:rsid w:val="00DC1A8C"/>
    <w:rsid w:val="00DE3E32"/>
    <w:rsid w:val="00DF3B4B"/>
    <w:rsid w:val="00DF4413"/>
    <w:rsid w:val="00E05B7E"/>
    <w:rsid w:val="00E23EDC"/>
    <w:rsid w:val="00E30D47"/>
    <w:rsid w:val="00E346D6"/>
    <w:rsid w:val="00E35FE7"/>
    <w:rsid w:val="00E878FF"/>
    <w:rsid w:val="00E90279"/>
    <w:rsid w:val="00EC2F88"/>
    <w:rsid w:val="00ED1C85"/>
    <w:rsid w:val="00F2295E"/>
    <w:rsid w:val="00F255FE"/>
    <w:rsid w:val="00F47B32"/>
    <w:rsid w:val="00F623DF"/>
    <w:rsid w:val="00F73BA1"/>
    <w:rsid w:val="00F93E4B"/>
    <w:rsid w:val="00F943BD"/>
    <w:rsid w:val="00FA05A4"/>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customStyle="1" w:styleId="Bullet1">
    <w:name w:val="Bullet_1"/>
    <w:basedOn w:val="Normal"/>
    <w:link w:val="Bullet1Char"/>
    <w:qFormat/>
    <w:rsid w:val="00E23EDC"/>
    <w:pPr>
      <w:numPr>
        <w:numId w:val="29"/>
      </w:numPr>
      <w:spacing w:line="240" w:lineRule="auto"/>
    </w:pPr>
    <w:rPr>
      <w:rFonts w:asciiTheme="majorHAnsi" w:eastAsiaTheme="minorEastAsia" w:hAnsiTheme="majorHAnsi"/>
      <w:sz w:val="24"/>
      <w:szCs w:val="24"/>
      <w:lang w:val="en-US" w:eastAsia="ja-JP"/>
    </w:rPr>
  </w:style>
  <w:style w:type="character" w:customStyle="1" w:styleId="Bullet1Char">
    <w:name w:val="Bullet_1 Char"/>
    <w:basedOn w:val="DefaultParagraphFont"/>
    <w:link w:val="Bullet1"/>
    <w:rsid w:val="00E23EDC"/>
    <w:rPr>
      <w:rFonts w:asciiTheme="majorHAnsi" w:eastAsiaTheme="minorEastAsia" w:hAnsiTheme="majorHAnsi"/>
      <w:sz w:val="24"/>
      <w:szCs w:val="24"/>
      <w:lang w:val="en-US" w:eastAsia="ja-JP"/>
    </w:rPr>
  </w:style>
  <w:style w:type="paragraph" w:customStyle="1" w:styleId="BodyText">
    <w:name w:val="Body_Text"/>
    <w:basedOn w:val="Normal"/>
    <w:link w:val="BodyTextChar"/>
    <w:qFormat/>
    <w:rsid w:val="00BE1097"/>
    <w:pPr>
      <w:spacing w:line="240" w:lineRule="auto"/>
    </w:pPr>
    <w:rPr>
      <w:rFonts w:asciiTheme="majorHAnsi" w:eastAsiaTheme="minorEastAsia" w:hAnsiTheme="majorHAnsi"/>
      <w:sz w:val="24"/>
      <w:szCs w:val="24"/>
      <w:lang w:val="en-US" w:eastAsia="ja-JP"/>
    </w:rPr>
  </w:style>
  <w:style w:type="character" w:customStyle="1" w:styleId="BodyTextChar">
    <w:name w:val="Body_Text Char"/>
    <w:basedOn w:val="DefaultParagraphFont"/>
    <w:link w:val="BodyText"/>
    <w:rsid w:val="00BE1097"/>
    <w:rPr>
      <w:rFonts w:asciiTheme="majorHAnsi" w:eastAsiaTheme="minorEastAsia" w:hAnsiTheme="majorHAnsi"/>
      <w:sz w:val="24"/>
      <w:szCs w:val="24"/>
      <w:lang w:val="en-US" w:eastAsia="ja-JP"/>
    </w:rPr>
  </w:style>
  <w:style w:type="paragraph" w:customStyle="1" w:styleId="Highlighttext">
    <w:name w:val="Highlight_text"/>
    <w:basedOn w:val="BodyText"/>
    <w:link w:val="HighlighttextChar"/>
    <w:qFormat/>
    <w:rsid w:val="00BE1097"/>
    <w:pPr>
      <w:ind w:left="720"/>
    </w:pPr>
    <w:rPr>
      <w:i/>
    </w:rPr>
  </w:style>
  <w:style w:type="character" w:customStyle="1" w:styleId="HighlighttextChar">
    <w:name w:val="Highlight_text Char"/>
    <w:basedOn w:val="BodyTextChar"/>
    <w:link w:val="Highlighttext"/>
    <w:rsid w:val="00BE1097"/>
    <w:rPr>
      <w:rFonts w:asciiTheme="majorHAnsi" w:eastAsiaTheme="minorEastAsia" w:hAnsiTheme="majorHAnsi"/>
      <w:i/>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customStyle="1" w:styleId="Bullet1">
    <w:name w:val="Bullet_1"/>
    <w:basedOn w:val="Normal"/>
    <w:link w:val="Bullet1Char"/>
    <w:qFormat/>
    <w:rsid w:val="00E23EDC"/>
    <w:pPr>
      <w:numPr>
        <w:numId w:val="29"/>
      </w:numPr>
      <w:spacing w:line="240" w:lineRule="auto"/>
    </w:pPr>
    <w:rPr>
      <w:rFonts w:asciiTheme="majorHAnsi" w:eastAsiaTheme="minorEastAsia" w:hAnsiTheme="majorHAnsi"/>
      <w:sz w:val="24"/>
      <w:szCs w:val="24"/>
      <w:lang w:val="en-US" w:eastAsia="ja-JP"/>
    </w:rPr>
  </w:style>
  <w:style w:type="character" w:customStyle="1" w:styleId="Bullet1Char">
    <w:name w:val="Bullet_1 Char"/>
    <w:basedOn w:val="DefaultParagraphFont"/>
    <w:link w:val="Bullet1"/>
    <w:rsid w:val="00E23EDC"/>
    <w:rPr>
      <w:rFonts w:asciiTheme="majorHAnsi" w:eastAsiaTheme="minorEastAsia" w:hAnsiTheme="majorHAnsi"/>
      <w:sz w:val="24"/>
      <w:szCs w:val="24"/>
      <w:lang w:val="en-US" w:eastAsia="ja-JP"/>
    </w:rPr>
  </w:style>
  <w:style w:type="paragraph" w:customStyle="1" w:styleId="BodyText">
    <w:name w:val="Body_Text"/>
    <w:basedOn w:val="Normal"/>
    <w:link w:val="BodyTextChar"/>
    <w:qFormat/>
    <w:rsid w:val="00BE1097"/>
    <w:pPr>
      <w:spacing w:line="240" w:lineRule="auto"/>
    </w:pPr>
    <w:rPr>
      <w:rFonts w:asciiTheme="majorHAnsi" w:eastAsiaTheme="minorEastAsia" w:hAnsiTheme="majorHAnsi"/>
      <w:sz w:val="24"/>
      <w:szCs w:val="24"/>
      <w:lang w:val="en-US" w:eastAsia="ja-JP"/>
    </w:rPr>
  </w:style>
  <w:style w:type="character" w:customStyle="1" w:styleId="BodyTextChar">
    <w:name w:val="Body_Text Char"/>
    <w:basedOn w:val="DefaultParagraphFont"/>
    <w:link w:val="BodyText"/>
    <w:rsid w:val="00BE1097"/>
    <w:rPr>
      <w:rFonts w:asciiTheme="majorHAnsi" w:eastAsiaTheme="minorEastAsia" w:hAnsiTheme="majorHAnsi"/>
      <w:sz w:val="24"/>
      <w:szCs w:val="24"/>
      <w:lang w:val="en-US" w:eastAsia="ja-JP"/>
    </w:rPr>
  </w:style>
  <w:style w:type="paragraph" w:customStyle="1" w:styleId="Highlighttext">
    <w:name w:val="Highlight_text"/>
    <w:basedOn w:val="BodyText"/>
    <w:link w:val="HighlighttextChar"/>
    <w:qFormat/>
    <w:rsid w:val="00BE1097"/>
    <w:pPr>
      <w:ind w:left="720"/>
    </w:pPr>
    <w:rPr>
      <w:i/>
    </w:rPr>
  </w:style>
  <w:style w:type="character" w:customStyle="1" w:styleId="HighlighttextChar">
    <w:name w:val="Highlight_text Char"/>
    <w:basedOn w:val="BodyTextChar"/>
    <w:link w:val="Highlighttext"/>
    <w:rsid w:val="00BE1097"/>
    <w:rPr>
      <w:rFonts w:asciiTheme="majorHAnsi" w:eastAsiaTheme="minorEastAsia" w:hAnsiTheme="majorHAnsi"/>
      <w:i/>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790A-C84C-4BB6-81E3-9C78D7A9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3730</Words>
  <Characters>21262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24943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2014-05-12T02:02:00Z</cp:lastPrinted>
  <dcterms:created xsi:type="dcterms:W3CDTF">2014-08-25T05:00:00Z</dcterms:created>
  <dcterms:modified xsi:type="dcterms:W3CDTF">2014-08-25T05:00:00Z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