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rsidTr="008C5A75">
        <w:trPr>
          <w:tblHeader/>
        </w:trPr>
        <w:tc>
          <w:tcPr>
            <w:tcW w:w="10065" w:type="dxa"/>
          </w:tcPr>
          <w:p w:rsidR="00C05748" w:rsidRDefault="00C05748" w:rsidP="00C05748">
            <w:pPr>
              <w:spacing w:after="840"/>
              <w:rPr>
                <w:i/>
                <w:iCs/>
                <w:smallCaps/>
              </w:rPr>
            </w:pPr>
            <w:r>
              <w:rPr>
                <w:i/>
                <w:iCs/>
                <w:smallCaps/>
              </w:rPr>
              <w:t>I agree that the supplemental benefits should be simplified, but as a DSP recipient, who also works part- time, I am concerned that reform to payments could leave me significantly disadvantaged if I am reclassified and moved to then “Working Age Payment”. Although I do receive some income from my employment, my medical costs would be prohibitive if I were to lose some of the benefits associated with the DSP, such as Mobility Allowance, Medical travel allowance, Carer Allowance for my mother (with whom I reside) and Pharmaceutical Benefits and the Medicare Co-Payment Exemption (when it is introduced). Should I be reclassified to the “Working Age Payment” and subsequently become unable to work, due to a deterioration of my health, which is an all too likely possibility, would I then have to undergo the same exhaustive process to be moved back to the DSP? And would I be ineligible for the supplementary benefits until SUCH TIME as my assessment is approved?</w:t>
            </w:r>
          </w:p>
          <w:p w:rsidR="00C05748" w:rsidRDefault="00C05748" w:rsidP="00DD7341">
            <w:pPr>
              <w:spacing w:after="840"/>
              <w:rPr>
                <w:i/>
                <w:iCs/>
                <w:smallCaps/>
              </w:rPr>
            </w:pPr>
            <w:r>
              <w:rPr>
                <w:i/>
                <w:iCs/>
                <w:smallCaps/>
              </w:rPr>
              <w:t>My suggestion in regard to the distribution of the supplemental benefits is that they should be avai</w:t>
            </w:r>
            <w:r w:rsidR="00DD7341">
              <w:rPr>
                <w:i/>
                <w:iCs/>
                <w:smallCaps/>
              </w:rPr>
              <w:t>l</w:t>
            </w:r>
            <w:r>
              <w:rPr>
                <w:i/>
                <w:iCs/>
                <w:smallCaps/>
              </w:rPr>
              <w:t xml:space="preserve">able as a package, </w:t>
            </w:r>
            <w:r w:rsidR="00DD7341">
              <w:rPr>
                <w:i/>
                <w:iCs/>
                <w:smallCaps/>
              </w:rPr>
              <w:t>determined as either being for</w:t>
            </w:r>
            <w:r>
              <w:rPr>
                <w:i/>
                <w:iCs/>
                <w:smallCaps/>
              </w:rPr>
              <w:t xml:space="preserve"> Medical </w:t>
            </w:r>
            <w:r w:rsidR="00DD7341">
              <w:rPr>
                <w:i/>
                <w:iCs/>
                <w:smallCaps/>
              </w:rPr>
              <w:t>Needs or Family Needs- dependent on a Means Test.</w:t>
            </w: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rsidTr="008C5A75">
        <w:trPr>
          <w:tblHeader/>
        </w:trPr>
        <w:tc>
          <w:tcPr>
            <w:tcW w:w="10065" w:type="dxa"/>
          </w:tcPr>
          <w:p w:rsidR="001C2BE7" w:rsidRDefault="00DD7341" w:rsidP="001C2BE7">
            <w:pPr>
              <w:spacing w:after="840"/>
              <w:rPr>
                <w:i/>
                <w:iCs/>
                <w:smallCaps/>
              </w:rPr>
            </w:pPr>
            <w:r>
              <w:rPr>
                <w:i/>
                <w:iCs/>
                <w:smallCaps/>
              </w:rPr>
              <w:lastRenderedPageBreak/>
              <w:t>Everyone should receive the equivalent of the Minimum Wage for adults, with extra supplemental benefits packages being assigned for either Medical or Family Needs, determined by an application form and a means test.</w:t>
            </w: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rsidTr="008C5A75">
        <w:trPr>
          <w:tblHeader/>
        </w:trPr>
        <w:tc>
          <w:tcPr>
            <w:tcW w:w="10065" w:type="dxa"/>
          </w:tcPr>
          <w:p w:rsidR="001C2BE7" w:rsidRDefault="00DD7341" w:rsidP="001C2BE7">
            <w:pPr>
              <w:spacing w:after="840"/>
              <w:rPr>
                <w:i/>
                <w:iCs/>
                <w:smallCaps/>
              </w:rPr>
            </w:pPr>
            <w:r>
              <w:rPr>
                <w:i/>
                <w:iCs/>
                <w:smallCaps/>
              </w:rPr>
              <w:t>Payments should follow adjustments to the Minimum Wage, with CPI adjustments.</w:t>
            </w: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rsidTr="008C5A75">
        <w:trPr>
          <w:tblHeader/>
        </w:trPr>
        <w:tc>
          <w:tcPr>
            <w:tcW w:w="10065" w:type="dxa"/>
          </w:tcPr>
          <w:p w:rsidR="001C2BE7" w:rsidRDefault="00DD7341" w:rsidP="001C2BE7">
            <w:pPr>
              <w:spacing w:after="840"/>
              <w:rPr>
                <w:i/>
                <w:iCs/>
                <w:smallCaps/>
              </w:rPr>
            </w:pPr>
            <w:r>
              <w:rPr>
                <w:i/>
                <w:iCs/>
                <w:smallCaps/>
              </w:rPr>
              <w:t>Young people should be able to access income support when they are no longer being financially supported by their parents- whether they still live at home or not.</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8C5A75">
        <w:trPr>
          <w:tblHeader/>
        </w:trPr>
        <w:tc>
          <w:tcPr>
            <w:tcW w:w="10065" w:type="dxa"/>
          </w:tcPr>
          <w:p w:rsidR="001C2BE7" w:rsidRDefault="00DD7341" w:rsidP="001C2BE7">
            <w:pPr>
              <w:spacing w:after="840"/>
              <w:rPr>
                <w:i/>
                <w:iCs/>
                <w:smallCaps/>
              </w:rPr>
            </w:pPr>
            <w:r>
              <w:rPr>
                <w:i/>
                <w:iCs/>
                <w:smallCaps/>
              </w:rPr>
              <w:t>Rent assistance should be adjusted by the median house rental for the area of the residence, with extra payments for regional areas and for people living where there is poor access to public transport.</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lastRenderedPageBreak/>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rsidTr="008C5A75">
        <w:trPr>
          <w:tblHeader/>
        </w:trPr>
        <w:tc>
          <w:tcPr>
            <w:tcW w:w="10065" w:type="dxa"/>
          </w:tcPr>
          <w:p w:rsidR="001C2BE7" w:rsidRDefault="00DD7341" w:rsidP="001C2BE7">
            <w:pPr>
              <w:spacing w:after="840"/>
              <w:rPr>
                <w:i/>
                <w:iCs/>
                <w:smallCaps/>
              </w:rPr>
            </w:pPr>
            <w:r>
              <w:rPr>
                <w:i/>
                <w:iCs/>
                <w:smallCaps/>
              </w:rPr>
              <w:t>There should be a higher threshold for people on the DSP , many of who have very high cost of living expenses. There should also be  higher threshold for long-term unemployed and those living in regional areas, who have extra travel expenses and accumulated debts to pay off.</w:t>
            </w: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1C2BE7" w:rsidRDefault="00DD7341" w:rsidP="006B61A4">
            <w:pPr>
              <w:spacing w:after="840"/>
              <w:rPr>
                <w:i/>
                <w:iCs/>
                <w:smallCaps/>
              </w:rPr>
            </w:pPr>
            <w:r>
              <w:rPr>
                <w:i/>
                <w:iCs/>
                <w:smallCaps/>
              </w:rPr>
              <w:t>Setting finite figures for jobseekers is ridiculous for people living in regional areas.</w:t>
            </w: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rsidTr="008C5A75">
        <w:trPr>
          <w:tblHeader/>
        </w:trPr>
        <w:tc>
          <w:tcPr>
            <w:tcW w:w="10206" w:type="dxa"/>
          </w:tcPr>
          <w:p w:rsidR="001C2BE7" w:rsidRPr="002A74D8" w:rsidRDefault="001C2BE7" w:rsidP="001C2BE7">
            <w:pPr>
              <w:spacing w:after="840"/>
              <w:rPr>
                <w:i/>
                <w:iCs/>
                <w:smallCaps/>
              </w:rPr>
            </w:pPr>
          </w:p>
        </w:tc>
      </w:tr>
    </w:tbl>
    <w:p w:rsidR="008C5A75" w:rsidRPr="008C5A75" w:rsidRDefault="008C5A75" w:rsidP="008C5A75"/>
    <w:p w:rsidR="001C2BE7" w:rsidRPr="008C5A75" w:rsidRDefault="001C2BE7" w:rsidP="008C5A75">
      <w:pPr>
        <w:pStyle w:val="Heading3"/>
      </w:pPr>
      <w:r w:rsidRPr="007D7F83">
        <w:lastRenderedPageBreak/>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1C2BE7" w:rsidRDefault="009451AC" w:rsidP="001C2BE7">
            <w:pPr>
              <w:spacing w:after="840"/>
              <w:rPr>
                <w:i/>
                <w:iCs/>
                <w:smallCaps/>
              </w:rPr>
            </w:pPr>
            <w:r>
              <w:rPr>
                <w:i/>
                <w:iCs/>
                <w:smallCaps/>
              </w:rPr>
              <w:t>Marketplace programs in shopping centre store fronts would encourage people who are reluctant to go to TAFE Colleges to enter into LLN Programs.</w:t>
            </w: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lastRenderedPageBreak/>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rsidTr="008C5A75">
        <w:trPr>
          <w:tblHeader/>
        </w:trPr>
        <w:tc>
          <w:tcPr>
            <w:tcW w:w="10206" w:type="dxa"/>
          </w:tcPr>
          <w:p w:rsidR="001C2BE7" w:rsidRDefault="009451AC" w:rsidP="001C2BE7">
            <w:pPr>
              <w:spacing w:after="840"/>
              <w:rPr>
                <w:i/>
                <w:iCs/>
                <w:smallCaps/>
              </w:rPr>
            </w:pPr>
            <w:r>
              <w:rPr>
                <w:i/>
                <w:iCs/>
                <w:smallCaps/>
              </w:rPr>
              <w:t>Removing end dates for subsidy payments and incentives- make employer payments ongoing. Many workers are retrenched at 26 weeks + 1 week.</w:t>
            </w: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w:t>
      </w:r>
      <w:r>
        <w:lastRenderedPageBreak/>
        <w:t xml:space="preserve">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rsidTr="008C5A75">
        <w:trPr>
          <w:trHeight w:val="710"/>
          <w:tblHeader/>
        </w:trPr>
        <w:tc>
          <w:tcPr>
            <w:tcW w:w="10206" w:type="dxa"/>
          </w:tcPr>
          <w:p w:rsidR="001C2BE7" w:rsidRDefault="001C2BE7" w:rsidP="001C2BE7">
            <w:pPr>
              <w:spacing w:after="840"/>
              <w:rPr>
                <w:i/>
                <w:iCs/>
                <w:smallCaps/>
              </w:rPr>
            </w:pP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48" w:rsidRDefault="00C05748" w:rsidP="00214210">
      <w:pPr>
        <w:spacing w:after="0" w:line="240" w:lineRule="auto"/>
      </w:pPr>
      <w:r>
        <w:separator/>
      </w:r>
    </w:p>
  </w:endnote>
  <w:endnote w:type="continuationSeparator" w:id="0">
    <w:p w:rsidR="00C05748" w:rsidRDefault="00C05748"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48" w:rsidRPr="006F436A" w:rsidRDefault="00C05748">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48" w:rsidRDefault="00C05748" w:rsidP="00214210">
      <w:pPr>
        <w:spacing w:after="0" w:line="240" w:lineRule="auto"/>
      </w:pPr>
      <w:r>
        <w:separator/>
      </w:r>
    </w:p>
  </w:footnote>
  <w:footnote w:type="continuationSeparator" w:id="0">
    <w:p w:rsidR="00C05748" w:rsidRDefault="00C05748"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Formattin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80BCE"/>
    <w:rsid w:val="00085D36"/>
    <w:rsid w:val="0009727B"/>
    <w:rsid w:val="000A676D"/>
    <w:rsid w:val="000B0DFF"/>
    <w:rsid w:val="000E12CC"/>
    <w:rsid w:val="000F2CD5"/>
    <w:rsid w:val="000F44EA"/>
    <w:rsid w:val="00122D0C"/>
    <w:rsid w:val="00127D81"/>
    <w:rsid w:val="00135FB7"/>
    <w:rsid w:val="0014745C"/>
    <w:rsid w:val="001536C8"/>
    <w:rsid w:val="00162BCB"/>
    <w:rsid w:val="00166710"/>
    <w:rsid w:val="001775AB"/>
    <w:rsid w:val="001A1E5E"/>
    <w:rsid w:val="001A4D8F"/>
    <w:rsid w:val="001C2BE7"/>
    <w:rsid w:val="001D02A4"/>
    <w:rsid w:val="001E2E3B"/>
    <w:rsid w:val="001E3EA9"/>
    <w:rsid w:val="001E630D"/>
    <w:rsid w:val="001F4C15"/>
    <w:rsid w:val="00214210"/>
    <w:rsid w:val="00223BB8"/>
    <w:rsid w:val="0023096B"/>
    <w:rsid w:val="0023686F"/>
    <w:rsid w:val="00237E0B"/>
    <w:rsid w:val="0029140D"/>
    <w:rsid w:val="00315FC6"/>
    <w:rsid w:val="0035362A"/>
    <w:rsid w:val="00356F1B"/>
    <w:rsid w:val="00373641"/>
    <w:rsid w:val="003B2BB8"/>
    <w:rsid w:val="003B5339"/>
    <w:rsid w:val="003D34FF"/>
    <w:rsid w:val="003E56A6"/>
    <w:rsid w:val="003E5FD4"/>
    <w:rsid w:val="0041533F"/>
    <w:rsid w:val="00443F1C"/>
    <w:rsid w:val="0046471F"/>
    <w:rsid w:val="00494CBC"/>
    <w:rsid w:val="004A148C"/>
    <w:rsid w:val="004B54CA"/>
    <w:rsid w:val="004E5CBF"/>
    <w:rsid w:val="004F6157"/>
    <w:rsid w:val="005057B8"/>
    <w:rsid w:val="00515AF7"/>
    <w:rsid w:val="00555E3E"/>
    <w:rsid w:val="00585179"/>
    <w:rsid w:val="005935E6"/>
    <w:rsid w:val="00596EEA"/>
    <w:rsid w:val="005C3AA9"/>
    <w:rsid w:val="005D3EAB"/>
    <w:rsid w:val="005D4A60"/>
    <w:rsid w:val="00617EBD"/>
    <w:rsid w:val="00625EE2"/>
    <w:rsid w:val="00626096"/>
    <w:rsid w:val="00631B41"/>
    <w:rsid w:val="00634728"/>
    <w:rsid w:val="00635EE5"/>
    <w:rsid w:val="006371EE"/>
    <w:rsid w:val="006770A7"/>
    <w:rsid w:val="00696ED6"/>
    <w:rsid w:val="006A4CE7"/>
    <w:rsid w:val="006B61A4"/>
    <w:rsid w:val="006C775B"/>
    <w:rsid w:val="006F436A"/>
    <w:rsid w:val="00707EF3"/>
    <w:rsid w:val="00714720"/>
    <w:rsid w:val="00731565"/>
    <w:rsid w:val="00734082"/>
    <w:rsid w:val="0073584F"/>
    <w:rsid w:val="0075282F"/>
    <w:rsid w:val="00767CF1"/>
    <w:rsid w:val="00770E22"/>
    <w:rsid w:val="00785261"/>
    <w:rsid w:val="00791FBE"/>
    <w:rsid w:val="007B0256"/>
    <w:rsid w:val="00824A02"/>
    <w:rsid w:val="00826024"/>
    <w:rsid w:val="00835484"/>
    <w:rsid w:val="00847FA0"/>
    <w:rsid w:val="008647F0"/>
    <w:rsid w:val="008C5A75"/>
    <w:rsid w:val="008D7A5A"/>
    <w:rsid w:val="008F770A"/>
    <w:rsid w:val="00903498"/>
    <w:rsid w:val="00915C67"/>
    <w:rsid w:val="009225F0"/>
    <w:rsid w:val="009451AC"/>
    <w:rsid w:val="0096286F"/>
    <w:rsid w:val="00977EED"/>
    <w:rsid w:val="009836E4"/>
    <w:rsid w:val="00987FA0"/>
    <w:rsid w:val="009A7546"/>
    <w:rsid w:val="009E7724"/>
    <w:rsid w:val="00A06548"/>
    <w:rsid w:val="00A17AFA"/>
    <w:rsid w:val="00A32D61"/>
    <w:rsid w:val="00A673D9"/>
    <w:rsid w:val="00A70E1E"/>
    <w:rsid w:val="00A90945"/>
    <w:rsid w:val="00A92138"/>
    <w:rsid w:val="00AA451B"/>
    <w:rsid w:val="00AC0B89"/>
    <w:rsid w:val="00AC0E82"/>
    <w:rsid w:val="00AC21F5"/>
    <w:rsid w:val="00B01913"/>
    <w:rsid w:val="00B01B10"/>
    <w:rsid w:val="00B06238"/>
    <w:rsid w:val="00B5345A"/>
    <w:rsid w:val="00B63CF5"/>
    <w:rsid w:val="00B74B28"/>
    <w:rsid w:val="00B81C57"/>
    <w:rsid w:val="00B87E99"/>
    <w:rsid w:val="00B9617A"/>
    <w:rsid w:val="00BA2DB9"/>
    <w:rsid w:val="00BC5D99"/>
    <w:rsid w:val="00BE7148"/>
    <w:rsid w:val="00C05748"/>
    <w:rsid w:val="00C542F9"/>
    <w:rsid w:val="00C5438C"/>
    <w:rsid w:val="00C640EA"/>
    <w:rsid w:val="00CC5C1C"/>
    <w:rsid w:val="00D17402"/>
    <w:rsid w:val="00D21839"/>
    <w:rsid w:val="00D24567"/>
    <w:rsid w:val="00D3285D"/>
    <w:rsid w:val="00DA301B"/>
    <w:rsid w:val="00DB5908"/>
    <w:rsid w:val="00DC1A8C"/>
    <w:rsid w:val="00DD7341"/>
    <w:rsid w:val="00DE3E32"/>
    <w:rsid w:val="00DF3B4B"/>
    <w:rsid w:val="00DF4413"/>
    <w:rsid w:val="00E05B7E"/>
    <w:rsid w:val="00E30D47"/>
    <w:rsid w:val="00E35FE7"/>
    <w:rsid w:val="00E90279"/>
    <w:rsid w:val="00ED1C85"/>
    <w:rsid w:val="00F255FE"/>
    <w:rsid w:val="00F47B32"/>
    <w:rsid w:val="00F623DF"/>
    <w:rsid w:val="00F73BA1"/>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E1FD-D0F2-409A-9137-4A628CEF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2186</Words>
  <Characters>12461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2014-08-25T04:33:00Z</dcterms:created>
  <dcterms:modified xsi:type="dcterms:W3CDTF">2014-08-25T04:33:00Z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