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F6" w:rsidRPr="007D2AF6" w:rsidRDefault="007D2AF6" w:rsidP="007D2AF6">
      <w:pPr>
        <w:spacing w:after="0" w:line="240" w:lineRule="auto"/>
        <w:rPr>
          <w:rFonts w:ascii="Calibri" w:eastAsia="Times New Roman" w:hAnsi="Calibri" w:cs="Times New Roman"/>
          <w:sz w:val="24"/>
          <w:szCs w:val="24"/>
        </w:rPr>
      </w:pPr>
      <w:bookmarkStart w:id="0" w:name="_GoBack"/>
      <w:bookmarkEnd w:id="0"/>
      <w:r w:rsidRPr="007D2AF6">
        <w:rPr>
          <w:rFonts w:ascii="Times New Roman" w:eastAsia="Times New Roman" w:hAnsi="Times New Roman" w:cs="Times New Roman"/>
          <w:noProof/>
          <w:sz w:val="24"/>
          <w:szCs w:val="24"/>
          <w:lang w:eastAsia="en-AU"/>
        </w:rPr>
        <w:drawing>
          <wp:anchor distT="0" distB="0" distL="114300" distR="114300" simplePos="0" relativeHeight="251659264" behindDoc="1" locked="0" layoutInCell="1" allowOverlap="1" wp14:anchorId="03EB12CC" wp14:editId="6C3CDB92">
            <wp:simplePos x="0" y="0"/>
            <wp:positionH relativeFrom="column">
              <wp:posOffset>-257175</wp:posOffset>
            </wp:positionH>
            <wp:positionV relativeFrom="paragraph">
              <wp:posOffset>-552451</wp:posOffset>
            </wp:positionV>
            <wp:extent cx="2854219" cy="1419225"/>
            <wp:effectExtent l="0" t="0" r="3810" b="0"/>
            <wp:wrapNone/>
            <wp:docPr id="1" name="Picture 1" descr="logo4 - Georgia and Arial Blue and Red 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4 - Georgia and Arial Blue and Red mov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9163" cy="14266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AF6">
        <w:rPr>
          <w:rFonts w:ascii="Calibri" w:eastAsia="Times New Roman" w:hAnsi="Calibri" w:cs="Times New Roman"/>
          <w:noProof/>
          <w:sz w:val="24"/>
          <w:szCs w:val="24"/>
          <w:lang w:eastAsia="en-AU"/>
        </w:rPr>
        <mc:AlternateContent>
          <mc:Choice Requires="wpg">
            <w:drawing>
              <wp:anchor distT="0" distB="0" distL="457200" distR="457200" simplePos="0" relativeHeight="251660288" behindDoc="0" locked="0" layoutInCell="1" allowOverlap="1" wp14:anchorId="75C06A78" wp14:editId="71C1764D">
                <wp:simplePos x="4838700" y="22860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2934970" cy="9372600"/>
                <wp:effectExtent l="0" t="0" r="0" b="0"/>
                <wp:wrapSquare wrapText="bothSides"/>
                <wp:docPr id="186" name="Group 186"/>
                <wp:cNvGraphicFramePr/>
                <a:graphic xmlns:a="http://schemas.openxmlformats.org/drawingml/2006/main">
                  <a:graphicData uri="http://schemas.microsoft.com/office/word/2010/wordprocessingGroup">
                    <wpg:wgp>
                      <wpg:cNvGrpSpPr/>
                      <wpg:grpSpPr>
                        <a:xfrm>
                          <a:off x="0" y="0"/>
                          <a:ext cx="2934970" cy="9372600"/>
                          <a:chOff x="0" y="0"/>
                          <a:chExt cx="2933967" cy="9372600"/>
                        </a:xfrm>
                      </wpg:grpSpPr>
                      <wps:wsp>
                        <wps:cNvPr id="187" name="Text Box 187"/>
                        <wps:cNvSpPr txBox="1"/>
                        <wps:spPr>
                          <a:xfrm>
                            <a:off x="0" y="2162175"/>
                            <a:ext cx="2057400" cy="6729408"/>
                          </a:xfrm>
                          <a:prstGeom prst="rect">
                            <a:avLst/>
                          </a:prstGeom>
                          <a:noFill/>
                          <a:ln w="6350">
                            <a:noFill/>
                          </a:ln>
                          <a:effectLst/>
                        </wps:spPr>
                        <wps:txbx>
                          <w:txbxContent>
                            <w:p w:rsidR="007D2AF6" w:rsidRDefault="007D2AF6" w:rsidP="007D2AF6">
                              <w:pPr>
                                <w:pStyle w:val="TOCHeading"/>
                                <w:spacing w:before="120"/>
                                <w:rPr>
                                  <w:color w:val="5B9BD5" w:themeColor="accent1"/>
                                  <w:sz w:val="26"/>
                                  <w:szCs w:val="26"/>
                                </w:rPr>
                              </w:pPr>
                              <w:r>
                                <w:rPr>
                                  <w:color w:val="5B9BD5" w:themeColor="accent1"/>
                                  <w:sz w:val="26"/>
                                  <w:szCs w:val="26"/>
                                </w:rPr>
                                <w:t xml:space="preserve">Submission to: </w:t>
                              </w:r>
                            </w:p>
                            <w:p w:rsidR="007D2AF6" w:rsidRDefault="007D2AF6" w:rsidP="007D2AF6">
                              <w:pPr>
                                <w:rPr>
                                  <w:lang w:val="en-US"/>
                                </w:rPr>
                              </w:pPr>
                            </w:p>
                            <w:p w:rsidR="007D2AF6" w:rsidRPr="00B2358B" w:rsidRDefault="007D2AF6" w:rsidP="007D2AF6">
                              <w:pPr>
                                <w:rPr>
                                  <w:lang w:val="en-US"/>
                                </w:rPr>
                              </w:pPr>
                              <w:r w:rsidRPr="00B2358B">
                                <w:rPr>
                                  <w:lang w:val="en-US"/>
                                </w:rPr>
                                <w:t>Welfare Review</w:t>
                              </w:r>
                            </w:p>
                            <w:p w:rsidR="007D2AF6" w:rsidRPr="00B2358B" w:rsidRDefault="007D2AF6" w:rsidP="007D2AF6">
                              <w:pPr>
                                <w:rPr>
                                  <w:lang w:val="en-US"/>
                                </w:rPr>
                              </w:pPr>
                              <w:r w:rsidRPr="00B2358B">
                                <w:rPr>
                                  <w:lang w:val="en-US"/>
                                </w:rPr>
                                <w:t>Welfare System Taskforce</w:t>
                              </w:r>
                            </w:p>
                            <w:p w:rsidR="007D2AF6" w:rsidRPr="00B2358B" w:rsidRDefault="007D2AF6" w:rsidP="007D2AF6">
                              <w:pPr>
                                <w:rPr>
                                  <w:lang w:val="en-US"/>
                                </w:rPr>
                              </w:pPr>
                              <w:r w:rsidRPr="00B2358B">
                                <w:rPr>
                                  <w:lang w:val="en-US"/>
                                </w:rPr>
                                <w:t>Department of Social Services</w:t>
                              </w:r>
                            </w:p>
                            <w:p w:rsidR="007D2AF6" w:rsidRPr="00B2358B" w:rsidRDefault="007D2AF6" w:rsidP="007D2AF6">
                              <w:pPr>
                                <w:rPr>
                                  <w:lang w:val="en-US"/>
                                </w:rPr>
                              </w:pPr>
                              <w:r w:rsidRPr="00B2358B">
                                <w:rPr>
                                  <w:lang w:val="en-US"/>
                                </w:rPr>
                                <w:t xml:space="preserve">PO Box 7576 </w:t>
                              </w:r>
                            </w:p>
                            <w:p w:rsidR="007D2AF6" w:rsidRPr="00B2358B" w:rsidRDefault="007D2AF6" w:rsidP="007D2AF6">
                              <w:pPr>
                                <w:rPr>
                                  <w:lang w:val="en-US"/>
                                </w:rPr>
                              </w:pPr>
                              <w:r w:rsidRPr="00B2358B">
                                <w:rPr>
                                  <w:lang w:val="en-US"/>
                                </w:rPr>
                                <w:t>Canberra Business Centre</w:t>
                              </w:r>
                            </w:p>
                            <w:p w:rsidR="007D2AF6" w:rsidRPr="00B2358B" w:rsidRDefault="007D2AF6" w:rsidP="007D2AF6">
                              <w:pPr>
                                <w:rPr>
                                  <w:lang w:val="en-US"/>
                                </w:rPr>
                              </w:pPr>
                              <w:proofErr w:type="gramStart"/>
                              <w:r w:rsidRPr="00B2358B">
                                <w:rPr>
                                  <w:lang w:val="en-US"/>
                                </w:rPr>
                                <w:t>ACT  2610</w:t>
                              </w:r>
                              <w:proofErr w:type="gramEnd"/>
                            </w:p>
                            <w:p w:rsidR="007D2AF6" w:rsidRDefault="007D2AF6" w:rsidP="007D2AF6">
                              <w:pPr>
                                <w:rPr>
                                  <w:color w:val="7F7F7F" w:themeColor="text1" w:themeTint="80"/>
                                  <w:sz w:val="20"/>
                                  <w:szCs w:val="20"/>
                                </w:rPr>
                              </w:pPr>
                            </w:p>
                            <w:p w:rsidR="007D2AF6" w:rsidRDefault="007D2AF6" w:rsidP="007D2AF6">
                              <w:pPr>
                                <w:rPr>
                                  <w:color w:val="7F7F7F" w:themeColor="text1" w:themeTint="80"/>
                                  <w:sz w:val="20"/>
                                  <w:szCs w:val="20"/>
                                </w:rPr>
                              </w:pPr>
                            </w:p>
                            <w:p w:rsidR="007D2AF6" w:rsidRDefault="007D2AF6" w:rsidP="007D2AF6">
                              <w:pPr>
                                <w:rPr>
                                  <w:color w:val="7F7F7F" w:themeColor="text1" w:themeTint="80"/>
                                  <w:sz w:val="20"/>
                                  <w:szCs w:val="20"/>
                                </w:rPr>
                              </w:pPr>
                            </w:p>
                            <w:p w:rsidR="007D2AF6" w:rsidRDefault="007D2AF6" w:rsidP="007D2AF6">
                              <w:pPr>
                                <w:rPr>
                                  <w:color w:val="7F7F7F" w:themeColor="text1" w:themeTint="80"/>
                                  <w:sz w:val="20"/>
                                  <w:szCs w:val="20"/>
                                </w:rPr>
                              </w:pPr>
                              <w:r>
                                <w:rPr>
                                  <w:color w:val="7F7F7F" w:themeColor="text1" w:themeTint="80"/>
                                  <w:sz w:val="20"/>
                                  <w:szCs w:val="20"/>
                                </w:rPr>
                                <w:t>Written by</w:t>
                              </w:r>
                            </w:p>
                            <w:p w:rsidR="007D2AF6" w:rsidRDefault="007D2AF6" w:rsidP="007D2AF6">
                              <w:pPr>
                                <w:rPr>
                                  <w:color w:val="7F7F7F" w:themeColor="text1" w:themeTint="80"/>
                                  <w:sz w:val="20"/>
                                  <w:szCs w:val="20"/>
                                </w:rPr>
                              </w:pPr>
                            </w:p>
                            <w:p w:rsidR="007D2AF6" w:rsidRDefault="007D2AF6" w:rsidP="007D2AF6">
                              <w:pPr>
                                <w:rPr>
                                  <w:color w:val="7F7F7F" w:themeColor="text1" w:themeTint="80"/>
                                  <w:sz w:val="20"/>
                                  <w:szCs w:val="20"/>
                                </w:rPr>
                              </w:pPr>
                              <w:r>
                                <w:rPr>
                                  <w:color w:val="7F7F7F" w:themeColor="text1" w:themeTint="80"/>
                                  <w:sz w:val="20"/>
                                  <w:szCs w:val="20"/>
                                </w:rPr>
                                <w:t>Desiree Walsh &amp; Felix Palmer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oup 188"/>
                        <wpg:cNvGrpSpPr/>
                        <wpg:grpSpPr>
                          <a:xfrm>
                            <a:off x="2019300" y="0"/>
                            <a:ext cx="914667" cy="9372600"/>
                            <a:chOff x="0" y="0"/>
                            <a:chExt cx="914667" cy="9372600"/>
                          </a:xfrm>
                        </wpg:grpSpPr>
                        <wps:wsp>
                          <wps:cNvPr id="189" name="Rectangle 189"/>
                          <wps:cNvSpPr/>
                          <wps:spPr>
                            <a:xfrm>
                              <a:off x="0" y="0"/>
                              <a:ext cx="914667"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Rectangle 8"/>
                          <wps:cNvSpPr/>
                          <wps:spPr>
                            <a:xfrm>
                              <a:off x="18407" y="0"/>
                              <a:ext cx="667393"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solidFill>
                              <a:srgbClr val="5B9BD5">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75C06A78" id="Group 186" o:spid="_x0000_s1026" style="position:absolute;margin-left:179.9pt;margin-top:0;width:231.1pt;height:738pt;z-index:251660288;mso-top-percent:23;mso-wrap-distance-left:36pt;mso-wrap-distance-right:36pt;mso-position-horizontal:right;mso-position-horizontal-relative:page;mso-position-vertical-relative:page;mso-top-percent:23;mso-width-relative:margin" coordsize="29339,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">
                <v:shapetype id="_x0000_t202" coordsize="21600,21600" o:spt="202" path="m,l,21600r21600,l21600,xe">
                  <v:stroke joinstyle="miter"/>
                  <v:path gradientshapeok="t" o:connecttype="rect"/>
                </v:shapetype>
                <v:shape id="Text Box 187" o:spid="_x0000_s1027" type="#_x0000_t202" style="position:absolute;top:21621;width:20574;height:67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WBcQA&#10;AADcAAAADwAAAGRycy9kb3ducmV2LnhtbERPS2vCQBC+F/wPywi91Y09tJK6itgWeuhLbaHexuyY&#10;BLOzYXeM6b93hUJv8/E9ZzrvXaM6CrH2bGA8ykARF97WXBr42jzfTEBFQbbYeCYDvxRhPhtcTTG3&#10;/sQr6tZSqhTCMUcDlUibax2LihzGkW+JE7f3waEkGEptA55SuGv0bZbdaYc1p4YKW1pWVBzWR2eg&#10;+YnhdZfJtnss3+TzQx+/n8bvxlwP+8UDKKFe/sV/7heb5k/u4fJMukDP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bVgXEAAAA3AAAAA8AAAAAAAAAAAAAAAAAmAIAAGRycy9k&#10;b3ducmV2LnhtbFBLBQYAAAAABAAEAPUAAACJAwAAAAA=&#10;" filled="f" stroked="f" strokeweight=".5pt">
                  <v:textbox inset="0,0,0,0">
                    <w:txbxContent>
                      <w:p w:rsidR="007D2AF6" w:rsidRDefault="007D2AF6" w:rsidP="007D2AF6">
                        <w:pPr>
                          <w:pStyle w:val="TOCHeading"/>
                          <w:spacing w:before="120"/>
                          <w:rPr>
                            <w:color w:val="5B9BD5" w:themeColor="accent1"/>
                            <w:sz w:val="26"/>
                            <w:szCs w:val="26"/>
                          </w:rPr>
                        </w:pPr>
                        <w:r>
                          <w:rPr>
                            <w:color w:val="5B9BD5" w:themeColor="accent1"/>
                            <w:sz w:val="26"/>
                            <w:szCs w:val="26"/>
                          </w:rPr>
                          <w:t xml:space="preserve">Submission to: </w:t>
                        </w:r>
                      </w:p>
                      <w:p w:rsidR="007D2AF6" w:rsidRDefault="007D2AF6" w:rsidP="007D2AF6">
                        <w:pPr>
                          <w:rPr>
                            <w:lang w:val="en-US"/>
                          </w:rPr>
                        </w:pPr>
                      </w:p>
                      <w:p w:rsidR="007D2AF6" w:rsidRPr="00B2358B" w:rsidRDefault="007D2AF6" w:rsidP="007D2AF6">
                        <w:pPr>
                          <w:rPr>
                            <w:lang w:val="en-US"/>
                          </w:rPr>
                        </w:pPr>
                        <w:r w:rsidRPr="00B2358B">
                          <w:rPr>
                            <w:lang w:val="en-US"/>
                          </w:rPr>
                          <w:t>Welfare Review</w:t>
                        </w:r>
                      </w:p>
                      <w:p w:rsidR="007D2AF6" w:rsidRPr="00B2358B" w:rsidRDefault="007D2AF6" w:rsidP="007D2AF6">
                        <w:pPr>
                          <w:rPr>
                            <w:lang w:val="en-US"/>
                          </w:rPr>
                        </w:pPr>
                        <w:r w:rsidRPr="00B2358B">
                          <w:rPr>
                            <w:lang w:val="en-US"/>
                          </w:rPr>
                          <w:t>Welfare System Taskforce</w:t>
                        </w:r>
                      </w:p>
                      <w:p w:rsidR="007D2AF6" w:rsidRPr="00B2358B" w:rsidRDefault="007D2AF6" w:rsidP="007D2AF6">
                        <w:pPr>
                          <w:rPr>
                            <w:lang w:val="en-US"/>
                          </w:rPr>
                        </w:pPr>
                        <w:r w:rsidRPr="00B2358B">
                          <w:rPr>
                            <w:lang w:val="en-US"/>
                          </w:rPr>
                          <w:t>Department of Social Services</w:t>
                        </w:r>
                      </w:p>
                      <w:p w:rsidR="007D2AF6" w:rsidRPr="00B2358B" w:rsidRDefault="007D2AF6" w:rsidP="007D2AF6">
                        <w:pPr>
                          <w:rPr>
                            <w:lang w:val="en-US"/>
                          </w:rPr>
                        </w:pPr>
                        <w:r w:rsidRPr="00B2358B">
                          <w:rPr>
                            <w:lang w:val="en-US"/>
                          </w:rPr>
                          <w:t xml:space="preserve">PO Box 7576 </w:t>
                        </w:r>
                      </w:p>
                      <w:p w:rsidR="007D2AF6" w:rsidRPr="00B2358B" w:rsidRDefault="007D2AF6" w:rsidP="007D2AF6">
                        <w:pPr>
                          <w:rPr>
                            <w:lang w:val="en-US"/>
                          </w:rPr>
                        </w:pPr>
                        <w:r w:rsidRPr="00B2358B">
                          <w:rPr>
                            <w:lang w:val="en-US"/>
                          </w:rPr>
                          <w:t>Canberra Business Centre</w:t>
                        </w:r>
                      </w:p>
                      <w:p w:rsidR="007D2AF6" w:rsidRPr="00B2358B" w:rsidRDefault="007D2AF6" w:rsidP="007D2AF6">
                        <w:pPr>
                          <w:rPr>
                            <w:lang w:val="en-US"/>
                          </w:rPr>
                        </w:pPr>
                        <w:r w:rsidRPr="00B2358B">
                          <w:rPr>
                            <w:lang w:val="en-US"/>
                          </w:rPr>
                          <w:t>ACT  2610</w:t>
                        </w:r>
                      </w:p>
                      <w:p w:rsidR="007D2AF6" w:rsidRDefault="007D2AF6" w:rsidP="007D2AF6">
                        <w:pPr>
                          <w:rPr>
                            <w:color w:val="7F7F7F" w:themeColor="text1" w:themeTint="80"/>
                            <w:sz w:val="20"/>
                            <w:szCs w:val="20"/>
                          </w:rPr>
                        </w:pPr>
                      </w:p>
                      <w:p w:rsidR="007D2AF6" w:rsidRDefault="007D2AF6" w:rsidP="007D2AF6">
                        <w:pPr>
                          <w:rPr>
                            <w:color w:val="7F7F7F" w:themeColor="text1" w:themeTint="80"/>
                            <w:sz w:val="20"/>
                            <w:szCs w:val="20"/>
                          </w:rPr>
                        </w:pPr>
                      </w:p>
                      <w:p w:rsidR="007D2AF6" w:rsidRDefault="007D2AF6" w:rsidP="007D2AF6">
                        <w:pPr>
                          <w:rPr>
                            <w:color w:val="7F7F7F" w:themeColor="text1" w:themeTint="80"/>
                            <w:sz w:val="20"/>
                            <w:szCs w:val="20"/>
                          </w:rPr>
                        </w:pPr>
                      </w:p>
                      <w:p w:rsidR="007D2AF6" w:rsidRDefault="007D2AF6" w:rsidP="007D2AF6">
                        <w:pPr>
                          <w:rPr>
                            <w:color w:val="7F7F7F" w:themeColor="text1" w:themeTint="80"/>
                            <w:sz w:val="20"/>
                            <w:szCs w:val="20"/>
                          </w:rPr>
                        </w:pPr>
                        <w:r>
                          <w:rPr>
                            <w:color w:val="7F7F7F" w:themeColor="text1" w:themeTint="80"/>
                            <w:sz w:val="20"/>
                            <w:szCs w:val="20"/>
                          </w:rPr>
                          <w:t>Written by</w:t>
                        </w:r>
                      </w:p>
                      <w:p w:rsidR="007D2AF6" w:rsidRDefault="007D2AF6" w:rsidP="007D2AF6">
                        <w:pPr>
                          <w:rPr>
                            <w:color w:val="7F7F7F" w:themeColor="text1" w:themeTint="80"/>
                            <w:sz w:val="20"/>
                            <w:szCs w:val="20"/>
                          </w:rPr>
                        </w:pPr>
                      </w:p>
                      <w:p w:rsidR="007D2AF6" w:rsidRDefault="007D2AF6" w:rsidP="007D2AF6">
                        <w:pPr>
                          <w:rPr>
                            <w:color w:val="7F7F7F" w:themeColor="text1" w:themeTint="80"/>
                            <w:sz w:val="20"/>
                            <w:szCs w:val="20"/>
                          </w:rPr>
                        </w:pPr>
                        <w:r>
                          <w:rPr>
                            <w:color w:val="7F7F7F" w:themeColor="text1" w:themeTint="80"/>
                            <w:sz w:val="20"/>
                            <w:szCs w:val="20"/>
                          </w:rPr>
                          <w:t>Desiree Walsh &amp; Felix Palmer</w:t>
                        </w:r>
                      </w:p>
                    </w:txbxContent>
                  </v:textbox>
                </v:shape>
                <v:group id="Group 188" o:spid="_x0000_s1028" style="position:absolute;left:20193;width:9146;height:93726" coordsize="9146,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rect id="Rectangle 189" o:spid="_x0000_s1029" style="position:absolute;width:9146;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aNOcMA&#10;AADcAAAADwAAAGRycy9kb3ducmV2LnhtbERPTWvCQBC9C/0PyxR6000tio3ZSLFU69FYEG9Ddpqk&#10;zc6G7FbX/npXELzN431OtgimFUfqXWNZwfMoAUFcWt1wpeBr9zGcgXAeWWNrmRScycEifxhkmGp7&#10;4i0dC1+JGMIuRQW1910qpStrMuhGtiOO3LftDfoI+0rqHk8x3LRynCRTabDh2FBjR8uayt/izyig&#10;9fsy7Hfuf/oSDkX5005W481BqafH8DYH4Sn4u/jm/tRx/uwVrs/EC2R+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aNOcMAAADcAAAADwAAAAAAAAAAAAAAAACYAgAAZHJzL2Rv&#10;d25yZXYueG1sUEsFBgAAAAAEAAQA9QAAAIgDAAAAAA==&#10;" fillcolor="window" stroked="f" strokeweight="1pt">
                    <v:fill opacity="0"/>
                  </v:rect>
                  <v:shape id="Rectangle 8" o:spid="_x0000_s1030" style="position:absolute;left:184;width:6674;height:93634;visibility:visible;mso-wrap-style:square;v-text-anchor:middle" coordsize="667679,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BQhMIA&#10;AADcAAAADwAAAGRycy9kb3ducmV2LnhtbERPTWsCMRC9F/wPYYReimbtwepqFBEE8VDa1YPHYTO7&#10;G9xMwia6679vCoXe5vE+Z70dbCse1AXjWMFsmoEgLp02XCu4nA+TBYgQkTW2jknBkwJsN6OXNeba&#10;9fxNjyLWIoVwyFFBE6PPpQxlQxbD1HnixFWusxgT7GqpO+xTuG3le5bNpUXDqaFBT/uGyltxtwqq&#10;a/XlMGs/e0Mfb6ezQe/LuVKv42G3AhFpiP/iP/dRp/nLGfw+ky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0FCEwgAAANwAAAAPAAAAAAAAAAAAAAAAAJgCAABkcnMvZG93&#10;bnJldi54bWxQSwUGAAAAAAQABAD1AAAAhwMAAAAA&#10;" path="m,l667679,r,9363456l,9363456,219021,5372097,,xe" fillcolor="#1f4e79" stroked="f" strokeweight="1pt">
                    <v:stroke joinstyle="miter"/>
                    <v:path arrowok="t" o:connecttype="custom" o:connectlocs="0,0;667393,0;667393,9363456;0,9363456;218927,5372097;0,0" o:connectangles="0,0,0,0,0,0"/>
                  </v:shape>
                </v:group>
                <w10:wrap type="square" anchorx="page" anchory="page"/>
              </v:group>
            </w:pict>
          </mc:Fallback>
        </mc:AlternateContent>
      </w:r>
    </w:p>
    <w:p w:rsidR="007D2AF6" w:rsidRPr="007D2AF6" w:rsidRDefault="007D2AF6" w:rsidP="007D2AF6">
      <w:pPr>
        <w:spacing w:after="0" w:line="240" w:lineRule="auto"/>
        <w:rPr>
          <w:rFonts w:ascii="Calibri" w:eastAsia="Times New Roman" w:hAnsi="Calibri" w:cs="Times New Roman"/>
          <w:sz w:val="24"/>
          <w:szCs w:val="24"/>
        </w:rPr>
      </w:pPr>
    </w:p>
    <w:p w:rsidR="007D2AF6" w:rsidRPr="007D2AF6" w:rsidRDefault="007D2AF6" w:rsidP="007D2AF6">
      <w:pPr>
        <w:spacing w:after="0" w:line="240" w:lineRule="auto"/>
        <w:rPr>
          <w:rFonts w:ascii="Calibri" w:eastAsia="Times New Roman" w:hAnsi="Calibri" w:cs="Times New Roman"/>
          <w:sz w:val="24"/>
          <w:szCs w:val="24"/>
        </w:rPr>
      </w:pPr>
    </w:p>
    <w:p w:rsidR="007D2AF6" w:rsidRPr="007D2AF6" w:rsidRDefault="007D2AF6" w:rsidP="007D2AF6">
      <w:pPr>
        <w:spacing w:after="0" w:line="240" w:lineRule="auto"/>
        <w:rPr>
          <w:rFonts w:ascii="Calibri" w:eastAsia="Times New Roman" w:hAnsi="Calibri" w:cs="Times New Roman"/>
          <w:sz w:val="24"/>
          <w:szCs w:val="24"/>
        </w:rPr>
      </w:pPr>
    </w:p>
    <w:p w:rsidR="007D2AF6" w:rsidRPr="007D2AF6" w:rsidRDefault="007D2AF6" w:rsidP="007D2AF6">
      <w:pPr>
        <w:tabs>
          <w:tab w:val="num" w:pos="0"/>
        </w:tabs>
        <w:spacing w:after="0" w:line="240" w:lineRule="auto"/>
        <w:ind w:left="426" w:hanging="426"/>
        <w:jc w:val="both"/>
        <w:rPr>
          <w:rFonts w:ascii="Arial" w:eastAsia="Times New Roman" w:hAnsi="Arial" w:cs="Arial"/>
          <w:sz w:val="24"/>
          <w:szCs w:val="24"/>
          <w:lang w:val="en-US"/>
        </w:rPr>
      </w:pPr>
    </w:p>
    <w:p w:rsidR="007D2AF6" w:rsidRPr="007D2AF6" w:rsidRDefault="007D2AF6" w:rsidP="007D2AF6">
      <w:pPr>
        <w:spacing w:after="0" w:line="240" w:lineRule="auto"/>
        <w:rPr>
          <w:rFonts w:ascii="Calibri" w:eastAsia="Times New Roman" w:hAnsi="Calibri" w:cs="Times New Roman"/>
          <w:sz w:val="24"/>
          <w:szCs w:val="24"/>
        </w:rPr>
      </w:pPr>
    </w:p>
    <w:p w:rsidR="007D2AF6" w:rsidRPr="007D2AF6" w:rsidRDefault="007D2AF6" w:rsidP="007D2AF6">
      <w:pPr>
        <w:spacing w:after="0" w:line="240" w:lineRule="auto"/>
        <w:rPr>
          <w:rFonts w:ascii="Calibri" w:eastAsia="Times New Roman" w:hAnsi="Calibri" w:cs="Times New Roman"/>
          <w:sz w:val="24"/>
          <w:szCs w:val="24"/>
        </w:rPr>
      </w:pPr>
      <w:r w:rsidRPr="007D2AF6">
        <w:rPr>
          <w:rFonts w:ascii="Calibri" w:eastAsia="Times New Roman" w:hAnsi="Calibri" w:cs="Times New Roman"/>
          <w:sz w:val="24"/>
          <w:szCs w:val="24"/>
        </w:rPr>
        <w:t xml:space="preserve">  </w:t>
      </w:r>
    </w:p>
    <w:p w:rsidR="007D2AF6" w:rsidRPr="007D2AF6" w:rsidRDefault="007D2AF6" w:rsidP="007D2AF6">
      <w:pPr>
        <w:spacing w:after="0" w:line="240" w:lineRule="auto"/>
        <w:rPr>
          <w:rFonts w:ascii="Times New Roman" w:eastAsia="Times New Roman" w:hAnsi="Times New Roman" w:cs="Times New Roman"/>
          <w:sz w:val="24"/>
          <w:szCs w:val="24"/>
          <w:vertAlign w:val="superscript"/>
        </w:rPr>
      </w:pPr>
    </w:p>
    <w:p w:rsidR="007D2AF6" w:rsidRPr="007D2AF6" w:rsidRDefault="007D2AF6" w:rsidP="007D2AF6">
      <w:pPr>
        <w:spacing w:after="0" w:line="240" w:lineRule="auto"/>
        <w:rPr>
          <w:rFonts w:ascii="Times New Roman" w:eastAsia="Times New Roman" w:hAnsi="Times New Roman" w:cs="Times New Roman"/>
          <w:sz w:val="24"/>
          <w:szCs w:val="24"/>
        </w:rPr>
      </w:pPr>
    </w:p>
    <w:p w:rsidR="007D2AF6" w:rsidRPr="007D2AF6" w:rsidRDefault="007D2AF6" w:rsidP="007D2AF6">
      <w:pPr>
        <w:spacing w:after="0" w:line="240" w:lineRule="auto"/>
        <w:jc w:val="center"/>
        <w:rPr>
          <w:rFonts w:ascii="Calibri" w:eastAsia="Times New Roman" w:hAnsi="Calibri" w:cs="Times New Roman"/>
          <w:sz w:val="24"/>
          <w:szCs w:val="24"/>
        </w:rPr>
      </w:pPr>
    </w:p>
    <w:p w:rsidR="007D2AF6" w:rsidRPr="007D2AF6" w:rsidRDefault="007D2AF6" w:rsidP="007D2AF6">
      <w:pPr>
        <w:spacing w:after="0" w:line="240" w:lineRule="auto"/>
        <w:jc w:val="center"/>
        <w:rPr>
          <w:rFonts w:ascii="Calibri" w:eastAsia="Times New Roman" w:hAnsi="Calibri" w:cs="Times New Roman"/>
          <w:sz w:val="24"/>
          <w:szCs w:val="24"/>
        </w:rPr>
      </w:pPr>
    </w:p>
    <w:p w:rsidR="00D46E48" w:rsidRPr="00B5608D" w:rsidRDefault="00D46E48">
      <w:pPr>
        <w:rPr>
          <w:i/>
        </w:rPr>
      </w:pPr>
    </w:p>
    <w:p w:rsidR="00421C3B" w:rsidRDefault="00AB4B4D" w:rsidP="00A8217E">
      <w:pPr>
        <w:spacing w:line="360" w:lineRule="auto"/>
      </w:pPr>
      <w:r w:rsidRPr="00B5608D">
        <w:br/>
      </w:r>
    </w:p>
    <w:p w:rsidR="00421C3B" w:rsidRDefault="00421C3B" w:rsidP="00A8217E">
      <w:pPr>
        <w:spacing w:line="360" w:lineRule="auto"/>
      </w:pPr>
    </w:p>
    <w:p w:rsidR="00421C3B" w:rsidRDefault="00421C3B" w:rsidP="00A8217E">
      <w:pPr>
        <w:spacing w:line="360" w:lineRule="auto"/>
      </w:pPr>
    </w:p>
    <w:p w:rsidR="00421C3B" w:rsidRDefault="00421C3B" w:rsidP="00A8217E">
      <w:pPr>
        <w:spacing w:line="360" w:lineRule="auto"/>
      </w:pPr>
    </w:p>
    <w:p w:rsidR="00421C3B" w:rsidRDefault="00421C3B" w:rsidP="00A8217E">
      <w:pPr>
        <w:spacing w:line="360" w:lineRule="auto"/>
      </w:pPr>
    </w:p>
    <w:p w:rsidR="00421C3B" w:rsidRDefault="00421C3B" w:rsidP="00A8217E">
      <w:pPr>
        <w:spacing w:line="360" w:lineRule="auto"/>
      </w:pPr>
    </w:p>
    <w:p w:rsidR="00421C3B" w:rsidRDefault="00421C3B" w:rsidP="00A8217E">
      <w:pPr>
        <w:spacing w:line="360" w:lineRule="auto"/>
      </w:pPr>
    </w:p>
    <w:p w:rsidR="00421C3B" w:rsidRDefault="00421C3B" w:rsidP="00A8217E">
      <w:pPr>
        <w:spacing w:line="360" w:lineRule="auto"/>
      </w:pPr>
    </w:p>
    <w:p w:rsidR="00421C3B" w:rsidRDefault="00421C3B" w:rsidP="00A8217E">
      <w:pPr>
        <w:spacing w:line="360" w:lineRule="auto"/>
      </w:pPr>
    </w:p>
    <w:p w:rsidR="00421C3B" w:rsidRDefault="00421C3B" w:rsidP="00A8217E">
      <w:pPr>
        <w:spacing w:line="360" w:lineRule="auto"/>
      </w:pPr>
    </w:p>
    <w:p w:rsidR="00421C3B" w:rsidRDefault="00421C3B" w:rsidP="00A8217E">
      <w:pPr>
        <w:spacing w:line="360" w:lineRule="auto"/>
      </w:pPr>
    </w:p>
    <w:p w:rsidR="00421C3B" w:rsidRDefault="00421C3B" w:rsidP="00A8217E">
      <w:pPr>
        <w:spacing w:line="360" w:lineRule="auto"/>
      </w:pPr>
    </w:p>
    <w:tbl>
      <w:tblPr>
        <w:tblpPr w:leftFromText="180" w:rightFromText="180" w:vertAnchor="text" w:horzAnchor="page" w:tblpX="736" w:tblpY="128"/>
        <w:tblW w:w="7266" w:type="dxa"/>
        <w:tblLook w:val="01E0" w:firstRow="1" w:lastRow="1" w:firstColumn="1" w:lastColumn="1" w:noHBand="0" w:noVBand="0"/>
      </w:tblPr>
      <w:tblGrid>
        <w:gridCol w:w="2526"/>
        <w:gridCol w:w="2433"/>
        <w:gridCol w:w="2307"/>
      </w:tblGrid>
      <w:tr w:rsidR="007D2AF6" w:rsidRPr="007D2AF6" w:rsidTr="007D2AF6">
        <w:trPr>
          <w:trHeight w:val="968"/>
        </w:trPr>
        <w:tc>
          <w:tcPr>
            <w:tcW w:w="2526" w:type="dxa"/>
            <w:tcBorders>
              <w:top w:val="nil"/>
              <w:left w:val="nil"/>
              <w:bottom w:val="nil"/>
              <w:right w:val="single" w:sz="4" w:space="0" w:color="auto"/>
            </w:tcBorders>
            <w:shd w:val="clear" w:color="auto" w:fill="auto"/>
          </w:tcPr>
          <w:p w:rsidR="007D2AF6" w:rsidRPr="007D2AF6" w:rsidRDefault="007D2AF6" w:rsidP="007D2AF6">
            <w:pPr>
              <w:tabs>
                <w:tab w:val="left" w:pos="540"/>
              </w:tabs>
              <w:spacing w:after="0" w:line="240" w:lineRule="auto"/>
              <w:rPr>
                <w:rFonts w:ascii="Calibri" w:eastAsia="Times New Roman" w:hAnsi="Calibri" w:cs="Times New Roman"/>
                <w:b/>
                <w:noProof/>
                <w:sz w:val="16"/>
                <w:szCs w:val="16"/>
              </w:rPr>
            </w:pPr>
            <w:r w:rsidRPr="007D2AF6">
              <w:rPr>
                <w:rFonts w:ascii="Calibri" w:eastAsia="Times New Roman" w:hAnsi="Calibri" w:cs="Times New Roman"/>
                <w:b/>
                <w:noProof/>
                <w:sz w:val="16"/>
                <w:szCs w:val="16"/>
              </w:rPr>
              <w:t>Head Office</w:t>
            </w:r>
          </w:p>
          <w:p w:rsidR="007D2AF6" w:rsidRPr="007D2AF6" w:rsidRDefault="007D2AF6" w:rsidP="007D2AF6">
            <w:pPr>
              <w:tabs>
                <w:tab w:val="left" w:pos="540"/>
              </w:tabs>
              <w:spacing w:after="0" w:line="240" w:lineRule="auto"/>
              <w:rPr>
                <w:rFonts w:ascii="Calibri" w:eastAsia="Times New Roman" w:hAnsi="Calibri" w:cs="Times New Roman"/>
                <w:bCs/>
                <w:noProof/>
                <w:sz w:val="16"/>
                <w:szCs w:val="16"/>
              </w:rPr>
            </w:pPr>
            <w:smartTag w:uri="urn:schemas-microsoft-com:office:smarttags" w:element="Street">
              <w:smartTag w:uri="urn:schemas-microsoft-com:office:smarttags" w:element="address">
                <w:r w:rsidRPr="007D2AF6">
                  <w:rPr>
                    <w:rFonts w:ascii="Calibri" w:eastAsia="Times New Roman" w:hAnsi="Calibri" w:cs="Times New Roman"/>
                    <w:bCs/>
                    <w:noProof/>
                    <w:sz w:val="16"/>
                    <w:szCs w:val="16"/>
                  </w:rPr>
                  <w:t>11 Patrick Court</w:t>
                </w:r>
              </w:smartTag>
            </w:smartTag>
          </w:p>
          <w:p w:rsidR="007D2AF6" w:rsidRPr="007D2AF6" w:rsidRDefault="007D2AF6" w:rsidP="007D2AF6">
            <w:pPr>
              <w:tabs>
                <w:tab w:val="left" w:pos="540"/>
              </w:tabs>
              <w:spacing w:after="0" w:line="240" w:lineRule="auto"/>
              <w:rPr>
                <w:rFonts w:ascii="Calibri" w:eastAsia="Times New Roman" w:hAnsi="Calibri" w:cs="Times New Roman"/>
                <w:bCs/>
                <w:noProof/>
                <w:sz w:val="16"/>
                <w:szCs w:val="16"/>
              </w:rPr>
            </w:pPr>
            <w:smartTag w:uri="urn:schemas-microsoft-com:office:smarttags" w:element="place">
              <w:smartTag w:uri="urn:schemas-microsoft-com:office:smarttags" w:element="City">
                <w:r w:rsidRPr="007D2AF6">
                  <w:rPr>
                    <w:rFonts w:ascii="Calibri" w:eastAsia="Times New Roman" w:hAnsi="Calibri" w:cs="Times New Roman"/>
                    <w:bCs/>
                    <w:noProof/>
                    <w:sz w:val="16"/>
                    <w:szCs w:val="16"/>
                  </w:rPr>
                  <w:t>Girrawheen</w:t>
                </w:r>
              </w:smartTag>
              <w:r w:rsidRPr="007D2AF6">
                <w:rPr>
                  <w:rFonts w:ascii="Calibri" w:eastAsia="Times New Roman" w:hAnsi="Calibri" w:cs="Times New Roman"/>
                  <w:bCs/>
                  <w:noProof/>
                  <w:sz w:val="16"/>
                  <w:szCs w:val="16"/>
                </w:rPr>
                <w:t xml:space="preserve"> </w:t>
              </w:r>
              <w:smartTag w:uri="urn:schemas-microsoft-com:office:smarttags" w:element="State">
                <w:r w:rsidRPr="007D2AF6">
                  <w:rPr>
                    <w:rFonts w:ascii="Calibri" w:eastAsia="Times New Roman" w:hAnsi="Calibri" w:cs="Times New Roman"/>
                    <w:bCs/>
                    <w:noProof/>
                    <w:sz w:val="16"/>
                    <w:szCs w:val="16"/>
                  </w:rPr>
                  <w:t>WA</w:t>
                </w:r>
              </w:smartTag>
            </w:smartTag>
            <w:r w:rsidRPr="007D2AF6">
              <w:rPr>
                <w:rFonts w:ascii="Calibri" w:eastAsia="Times New Roman" w:hAnsi="Calibri" w:cs="Times New Roman"/>
                <w:bCs/>
                <w:noProof/>
                <w:sz w:val="16"/>
                <w:szCs w:val="16"/>
              </w:rPr>
              <w:t xml:space="preserve"> 6064</w:t>
            </w:r>
          </w:p>
          <w:p w:rsidR="007D2AF6" w:rsidRPr="007D2AF6" w:rsidRDefault="007D2AF6" w:rsidP="007D2AF6">
            <w:pPr>
              <w:tabs>
                <w:tab w:val="left" w:pos="540"/>
              </w:tabs>
              <w:spacing w:after="0" w:line="240" w:lineRule="auto"/>
              <w:rPr>
                <w:rFonts w:ascii="Calibri" w:eastAsia="Times New Roman" w:hAnsi="Calibri" w:cs="Times New Roman"/>
                <w:noProof/>
                <w:sz w:val="16"/>
                <w:szCs w:val="16"/>
              </w:rPr>
            </w:pPr>
            <w:smartTag w:uri="urn:schemas-microsoft-com:office:smarttags" w:element="address">
              <w:smartTag w:uri="urn:schemas-microsoft-com:office:smarttags" w:element="Street">
                <w:r w:rsidRPr="007D2AF6">
                  <w:rPr>
                    <w:rFonts w:ascii="Calibri" w:eastAsia="Times New Roman" w:hAnsi="Calibri" w:cs="Times New Roman"/>
                    <w:bCs/>
                    <w:noProof/>
                    <w:sz w:val="16"/>
                    <w:szCs w:val="16"/>
                  </w:rPr>
                  <w:t>PO Box 6127</w:t>
                </w:r>
              </w:smartTag>
              <w:r w:rsidRPr="007D2AF6">
                <w:rPr>
                  <w:rFonts w:ascii="Calibri" w:eastAsia="Times New Roman" w:hAnsi="Calibri" w:cs="Times New Roman"/>
                  <w:bCs/>
                  <w:noProof/>
                  <w:sz w:val="16"/>
                  <w:szCs w:val="16"/>
                </w:rPr>
                <w:t xml:space="preserve">, </w:t>
              </w:r>
              <w:smartTag w:uri="urn:schemas-microsoft-com:office:smarttags" w:element="City">
                <w:r w:rsidRPr="007D2AF6">
                  <w:rPr>
                    <w:rFonts w:ascii="Calibri" w:eastAsia="Times New Roman" w:hAnsi="Calibri" w:cs="Times New Roman"/>
                    <w:bCs/>
                    <w:noProof/>
                    <w:sz w:val="16"/>
                    <w:szCs w:val="16"/>
                  </w:rPr>
                  <w:t>Girrawheen</w:t>
                </w:r>
              </w:smartTag>
              <w:r w:rsidRPr="007D2AF6">
                <w:rPr>
                  <w:rFonts w:ascii="Calibri" w:eastAsia="Times New Roman" w:hAnsi="Calibri" w:cs="Times New Roman"/>
                  <w:bCs/>
                  <w:noProof/>
                  <w:sz w:val="16"/>
                  <w:szCs w:val="16"/>
                </w:rPr>
                <w:t xml:space="preserve"> </w:t>
              </w:r>
              <w:smartTag w:uri="urn:schemas-microsoft-com:office:smarttags" w:element="State">
                <w:r w:rsidRPr="007D2AF6">
                  <w:rPr>
                    <w:rFonts w:ascii="Calibri" w:eastAsia="Times New Roman" w:hAnsi="Calibri" w:cs="Times New Roman"/>
                    <w:bCs/>
                    <w:noProof/>
                    <w:sz w:val="16"/>
                    <w:szCs w:val="16"/>
                  </w:rPr>
                  <w:t>WA</w:t>
                </w:r>
              </w:smartTag>
            </w:smartTag>
            <w:r w:rsidRPr="007D2AF6">
              <w:rPr>
                <w:rFonts w:ascii="Calibri" w:eastAsia="Times New Roman" w:hAnsi="Calibri" w:cs="Times New Roman"/>
                <w:bCs/>
                <w:noProof/>
                <w:sz w:val="16"/>
                <w:szCs w:val="16"/>
              </w:rPr>
              <w:t xml:space="preserve"> 6064</w:t>
            </w:r>
          </w:p>
          <w:p w:rsidR="007D2AF6" w:rsidRPr="007D2AF6" w:rsidRDefault="007D2AF6" w:rsidP="007D2AF6">
            <w:pPr>
              <w:tabs>
                <w:tab w:val="left" w:pos="540"/>
              </w:tabs>
              <w:spacing w:after="0" w:line="240" w:lineRule="auto"/>
              <w:rPr>
                <w:rFonts w:ascii="Calibri" w:eastAsia="Times New Roman" w:hAnsi="Calibri" w:cs="Times New Roman"/>
                <w:bCs/>
                <w:noProof/>
                <w:sz w:val="16"/>
                <w:szCs w:val="16"/>
              </w:rPr>
            </w:pPr>
            <w:r w:rsidRPr="007D2AF6">
              <w:rPr>
                <w:rFonts w:ascii="Calibri" w:eastAsia="Times New Roman" w:hAnsi="Calibri" w:cs="Times New Roman"/>
                <w:bCs/>
                <w:noProof/>
                <w:sz w:val="16"/>
                <w:szCs w:val="16"/>
              </w:rPr>
              <w:t>Ph:</w:t>
            </w:r>
            <w:r w:rsidRPr="007D2AF6">
              <w:rPr>
                <w:rFonts w:ascii="Calibri" w:eastAsia="Times New Roman" w:hAnsi="Calibri" w:cs="Times New Roman"/>
                <w:bCs/>
                <w:noProof/>
                <w:sz w:val="16"/>
                <w:szCs w:val="16"/>
              </w:rPr>
              <w:tab/>
              <w:t>(08) 9247 0600</w:t>
            </w:r>
          </w:p>
          <w:p w:rsidR="007D2AF6" w:rsidRPr="007D2AF6" w:rsidRDefault="007D2AF6" w:rsidP="007D2AF6">
            <w:pPr>
              <w:tabs>
                <w:tab w:val="left" w:pos="540"/>
              </w:tabs>
              <w:spacing w:after="0" w:line="240" w:lineRule="auto"/>
              <w:rPr>
                <w:rFonts w:ascii="Calibri" w:eastAsia="Times New Roman" w:hAnsi="Calibri" w:cs="Times New Roman"/>
                <w:bCs/>
                <w:noProof/>
                <w:sz w:val="16"/>
                <w:szCs w:val="16"/>
              </w:rPr>
            </w:pPr>
            <w:r w:rsidRPr="007D2AF6">
              <w:rPr>
                <w:rFonts w:ascii="Calibri" w:eastAsia="Times New Roman" w:hAnsi="Calibri" w:cs="Times New Roman"/>
                <w:bCs/>
                <w:noProof/>
                <w:sz w:val="16"/>
                <w:szCs w:val="16"/>
              </w:rPr>
              <w:t>Fax:</w:t>
            </w:r>
            <w:r w:rsidRPr="007D2AF6">
              <w:rPr>
                <w:rFonts w:ascii="Calibri" w:eastAsia="Times New Roman" w:hAnsi="Calibri" w:cs="Times New Roman"/>
                <w:bCs/>
                <w:noProof/>
                <w:sz w:val="16"/>
                <w:szCs w:val="16"/>
              </w:rPr>
              <w:tab/>
              <w:t>(08) 9247 0655</w:t>
            </w:r>
          </w:p>
          <w:p w:rsidR="007D2AF6" w:rsidRPr="007D2AF6" w:rsidRDefault="007D2AF6" w:rsidP="007D2AF6">
            <w:pPr>
              <w:tabs>
                <w:tab w:val="left" w:pos="2310"/>
              </w:tabs>
              <w:spacing w:after="0" w:line="240" w:lineRule="auto"/>
              <w:rPr>
                <w:rFonts w:ascii="Calibri" w:eastAsia="Times New Roman" w:hAnsi="Calibri" w:cs="Times New Roman"/>
                <w:bCs/>
                <w:noProof/>
                <w:sz w:val="16"/>
                <w:szCs w:val="16"/>
              </w:rPr>
            </w:pPr>
            <w:r w:rsidRPr="007D2AF6">
              <w:rPr>
                <w:rFonts w:ascii="Calibri" w:eastAsia="Times New Roman" w:hAnsi="Calibri" w:cs="Times New Roman"/>
                <w:bCs/>
                <w:noProof/>
                <w:sz w:val="16"/>
                <w:szCs w:val="16"/>
              </w:rPr>
              <w:tab/>
            </w:r>
          </w:p>
        </w:tc>
        <w:tc>
          <w:tcPr>
            <w:tcW w:w="2433" w:type="dxa"/>
            <w:tcBorders>
              <w:top w:val="nil"/>
              <w:left w:val="single" w:sz="4" w:space="0" w:color="auto"/>
              <w:bottom w:val="nil"/>
              <w:right w:val="single" w:sz="4" w:space="0" w:color="auto"/>
            </w:tcBorders>
            <w:shd w:val="clear" w:color="auto" w:fill="auto"/>
          </w:tcPr>
          <w:p w:rsidR="007D2AF6" w:rsidRPr="007D2AF6" w:rsidRDefault="007D2AF6" w:rsidP="007D2AF6">
            <w:pPr>
              <w:tabs>
                <w:tab w:val="left" w:pos="540"/>
              </w:tabs>
              <w:spacing w:after="0" w:line="240" w:lineRule="auto"/>
              <w:rPr>
                <w:rFonts w:ascii="Calibri" w:eastAsia="Times New Roman" w:hAnsi="Calibri" w:cs="Times New Roman"/>
                <w:b/>
                <w:bCs/>
                <w:noProof/>
                <w:sz w:val="16"/>
                <w:szCs w:val="16"/>
              </w:rPr>
            </w:pPr>
          </w:p>
          <w:p w:rsidR="007D2AF6" w:rsidRPr="007D2AF6" w:rsidRDefault="007D2AF6" w:rsidP="007D2AF6">
            <w:pPr>
              <w:tabs>
                <w:tab w:val="left" w:pos="505"/>
              </w:tabs>
              <w:spacing w:after="0" w:line="240" w:lineRule="auto"/>
              <w:rPr>
                <w:rFonts w:ascii="Calibri" w:eastAsia="Times New Roman" w:hAnsi="Calibri" w:cs="Times New Roman"/>
                <w:bCs/>
                <w:noProof/>
                <w:sz w:val="16"/>
                <w:szCs w:val="16"/>
              </w:rPr>
            </w:pPr>
            <w:r w:rsidRPr="007D2AF6">
              <w:rPr>
                <w:rFonts w:ascii="Calibri" w:eastAsia="Times New Roman" w:hAnsi="Calibri" w:cs="Times New Roman"/>
                <w:bCs/>
                <w:noProof/>
                <w:sz w:val="16"/>
                <w:szCs w:val="16"/>
              </w:rPr>
              <w:t xml:space="preserve">21F </w:t>
            </w:r>
            <w:smartTag w:uri="urn:schemas-microsoft-com:office:smarttags" w:element="Street">
              <w:smartTag w:uri="urn:schemas-microsoft-com:office:smarttags" w:element="address">
                <w:r w:rsidRPr="007D2AF6">
                  <w:rPr>
                    <w:rFonts w:ascii="Calibri" w:eastAsia="Times New Roman" w:hAnsi="Calibri" w:cs="Times New Roman"/>
                    <w:bCs/>
                    <w:noProof/>
                    <w:sz w:val="16"/>
                    <w:szCs w:val="16"/>
                  </w:rPr>
                  <w:t>Endeavour Road</w:t>
                </w:r>
              </w:smartTag>
            </w:smartTag>
          </w:p>
          <w:p w:rsidR="007D2AF6" w:rsidRPr="007D2AF6" w:rsidRDefault="007D2AF6" w:rsidP="007D2AF6">
            <w:pPr>
              <w:tabs>
                <w:tab w:val="left" w:pos="505"/>
              </w:tabs>
              <w:spacing w:after="0" w:line="240" w:lineRule="auto"/>
              <w:rPr>
                <w:rFonts w:ascii="Calibri" w:eastAsia="Times New Roman" w:hAnsi="Calibri" w:cs="Times New Roman"/>
                <w:bCs/>
                <w:noProof/>
                <w:sz w:val="16"/>
                <w:szCs w:val="16"/>
              </w:rPr>
            </w:pPr>
            <w:r w:rsidRPr="007D2AF6">
              <w:rPr>
                <w:rFonts w:ascii="Calibri" w:eastAsia="Times New Roman" w:hAnsi="Calibri" w:cs="Times New Roman"/>
                <w:bCs/>
                <w:noProof/>
                <w:sz w:val="16"/>
                <w:szCs w:val="16"/>
              </w:rPr>
              <w:t xml:space="preserve">Hillarys </w:t>
            </w:r>
            <w:smartTag w:uri="urn:schemas-microsoft-com:office:smarttags" w:element="State">
              <w:r w:rsidRPr="007D2AF6">
                <w:rPr>
                  <w:rFonts w:ascii="Calibri" w:eastAsia="Times New Roman" w:hAnsi="Calibri" w:cs="Times New Roman"/>
                  <w:bCs/>
                  <w:noProof/>
                  <w:sz w:val="16"/>
                  <w:szCs w:val="16"/>
                </w:rPr>
                <w:t>WA</w:t>
              </w:r>
            </w:smartTag>
            <w:r w:rsidRPr="007D2AF6">
              <w:rPr>
                <w:rFonts w:ascii="Calibri" w:eastAsia="Times New Roman" w:hAnsi="Calibri" w:cs="Times New Roman"/>
                <w:bCs/>
                <w:noProof/>
                <w:sz w:val="16"/>
                <w:szCs w:val="16"/>
              </w:rPr>
              <w:t xml:space="preserve"> 6025</w:t>
            </w:r>
          </w:p>
          <w:p w:rsidR="007D2AF6" w:rsidRPr="007D2AF6" w:rsidRDefault="007D2AF6" w:rsidP="007D2AF6">
            <w:pPr>
              <w:tabs>
                <w:tab w:val="left" w:pos="540"/>
              </w:tabs>
              <w:spacing w:after="0" w:line="240" w:lineRule="auto"/>
              <w:rPr>
                <w:rFonts w:ascii="Calibri" w:eastAsia="Times New Roman" w:hAnsi="Calibri" w:cs="Times New Roman"/>
                <w:noProof/>
                <w:sz w:val="16"/>
                <w:szCs w:val="16"/>
              </w:rPr>
            </w:pPr>
            <w:smartTag w:uri="urn:schemas-microsoft-com:office:smarttags" w:element="address">
              <w:smartTag w:uri="urn:schemas-microsoft-com:office:smarttags" w:element="Street">
                <w:r w:rsidRPr="007D2AF6">
                  <w:rPr>
                    <w:rFonts w:ascii="Calibri" w:eastAsia="Times New Roman" w:hAnsi="Calibri" w:cs="Times New Roman"/>
                    <w:bCs/>
                    <w:noProof/>
                    <w:sz w:val="16"/>
                    <w:szCs w:val="16"/>
                  </w:rPr>
                  <w:t>PO Box 6127</w:t>
                </w:r>
              </w:smartTag>
              <w:r w:rsidRPr="007D2AF6">
                <w:rPr>
                  <w:rFonts w:ascii="Calibri" w:eastAsia="Times New Roman" w:hAnsi="Calibri" w:cs="Times New Roman"/>
                  <w:bCs/>
                  <w:noProof/>
                  <w:sz w:val="16"/>
                  <w:szCs w:val="16"/>
                </w:rPr>
                <w:t xml:space="preserve">, </w:t>
              </w:r>
              <w:smartTag w:uri="urn:schemas-microsoft-com:office:smarttags" w:element="City">
                <w:r w:rsidRPr="007D2AF6">
                  <w:rPr>
                    <w:rFonts w:ascii="Calibri" w:eastAsia="Times New Roman" w:hAnsi="Calibri" w:cs="Times New Roman"/>
                    <w:bCs/>
                    <w:noProof/>
                    <w:sz w:val="16"/>
                    <w:szCs w:val="16"/>
                  </w:rPr>
                  <w:t>Girrawheen</w:t>
                </w:r>
              </w:smartTag>
              <w:r w:rsidRPr="007D2AF6">
                <w:rPr>
                  <w:rFonts w:ascii="Calibri" w:eastAsia="Times New Roman" w:hAnsi="Calibri" w:cs="Times New Roman"/>
                  <w:bCs/>
                  <w:noProof/>
                  <w:sz w:val="16"/>
                  <w:szCs w:val="16"/>
                </w:rPr>
                <w:t xml:space="preserve"> </w:t>
              </w:r>
              <w:smartTag w:uri="urn:schemas-microsoft-com:office:smarttags" w:element="State">
                <w:r w:rsidRPr="007D2AF6">
                  <w:rPr>
                    <w:rFonts w:ascii="Calibri" w:eastAsia="Times New Roman" w:hAnsi="Calibri" w:cs="Times New Roman"/>
                    <w:bCs/>
                    <w:noProof/>
                    <w:sz w:val="16"/>
                    <w:szCs w:val="16"/>
                  </w:rPr>
                  <w:t>WA</w:t>
                </w:r>
              </w:smartTag>
            </w:smartTag>
            <w:r w:rsidRPr="007D2AF6">
              <w:rPr>
                <w:rFonts w:ascii="Calibri" w:eastAsia="Times New Roman" w:hAnsi="Calibri" w:cs="Times New Roman"/>
                <w:bCs/>
                <w:noProof/>
                <w:sz w:val="16"/>
                <w:szCs w:val="16"/>
              </w:rPr>
              <w:t xml:space="preserve"> 6064</w:t>
            </w:r>
          </w:p>
          <w:p w:rsidR="007D2AF6" w:rsidRPr="007D2AF6" w:rsidRDefault="007D2AF6" w:rsidP="007D2AF6">
            <w:pPr>
              <w:tabs>
                <w:tab w:val="left" w:pos="505"/>
              </w:tabs>
              <w:spacing w:after="0" w:line="240" w:lineRule="auto"/>
              <w:rPr>
                <w:rFonts w:ascii="Calibri" w:eastAsia="Times New Roman" w:hAnsi="Calibri" w:cs="Times New Roman"/>
                <w:bCs/>
                <w:noProof/>
                <w:sz w:val="16"/>
                <w:szCs w:val="16"/>
              </w:rPr>
            </w:pPr>
            <w:r w:rsidRPr="007D2AF6">
              <w:rPr>
                <w:rFonts w:ascii="Calibri" w:eastAsia="Times New Roman" w:hAnsi="Calibri" w:cs="Times New Roman"/>
                <w:bCs/>
                <w:noProof/>
                <w:sz w:val="16"/>
                <w:szCs w:val="16"/>
              </w:rPr>
              <w:t>Ph:</w:t>
            </w:r>
            <w:r w:rsidRPr="007D2AF6">
              <w:rPr>
                <w:rFonts w:ascii="Calibri" w:eastAsia="Times New Roman" w:hAnsi="Calibri" w:cs="Times New Roman"/>
                <w:bCs/>
                <w:noProof/>
                <w:sz w:val="16"/>
                <w:szCs w:val="16"/>
              </w:rPr>
              <w:tab/>
              <w:t xml:space="preserve"> (08) 9300 3322 </w:t>
            </w:r>
          </w:p>
          <w:p w:rsidR="007D2AF6" w:rsidRPr="007D2AF6" w:rsidRDefault="007D2AF6" w:rsidP="007D2AF6">
            <w:pPr>
              <w:tabs>
                <w:tab w:val="left" w:pos="540"/>
              </w:tabs>
              <w:spacing w:after="0" w:line="240" w:lineRule="auto"/>
              <w:rPr>
                <w:rFonts w:ascii="Calibri" w:eastAsia="Times New Roman" w:hAnsi="Calibri" w:cs="Times New Roman"/>
                <w:bCs/>
                <w:noProof/>
                <w:sz w:val="16"/>
                <w:szCs w:val="16"/>
              </w:rPr>
            </w:pPr>
            <w:r w:rsidRPr="007D2AF6">
              <w:rPr>
                <w:rFonts w:ascii="Calibri" w:eastAsia="Times New Roman" w:hAnsi="Calibri" w:cs="Times New Roman"/>
                <w:bCs/>
                <w:noProof/>
                <w:sz w:val="16"/>
                <w:szCs w:val="16"/>
              </w:rPr>
              <w:t>Fax:</w:t>
            </w:r>
            <w:r w:rsidRPr="007D2AF6">
              <w:rPr>
                <w:rFonts w:ascii="Calibri" w:eastAsia="Times New Roman" w:hAnsi="Calibri" w:cs="Times New Roman"/>
                <w:bCs/>
                <w:noProof/>
                <w:sz w:val="16"/>
                <w:szCs w:val="16"/>
              </w:rPr>
              <w:tab/>
              <w:t>(08) 9300 3244</w:t>
            </w:r>
          </w:p>
          <w:p w:rsidR="007D2AF6" w:rsidRPr="007D2AF6" w:rsidRDefault="007D2AF6" w:rsidP="007D2AF6">
            <w:pPr>
              <w:tabs>
                <w:tab w:val="left" w:pos="540"/>
              </w:tabs>
              <w:spacing w:after="0" w:line="240" w:lineRule="auto"/>
              <w:rPr>
                <w:rFonts w:ascii="Calibri" w:eastAsia="Times New Roman" w:hAnsi="Calibri" w:cs="Times New Roman"/>
                <w:bCs/>
                <w:noProof/>
                <w:sz w:val="16"/>
                <w:szCs w:val="16"/>
              </w:rPr>
            </w:pPr>
          </w:p>
        </w:tc>
        <w:tc>
          <w:tcPr>
            <w:tcW w:w="2307" w:type="dxa"/>
            <w:tcBorders>
              <w:top w:val="nil"/>
              <w:left w:val="single" w:sz="4" w:space="0" w:color="auto"/>
              <w:bottom w:val="nil"/>
              <w:right w:val="single" w:sz="4" w:space="0" w:color="auto"/>
            </w:tcBorders>
          </w:tcPr>
          <w:p w:rsidR="007D2AF6" w:rsidRPr="007D2AF6" w:rsidRDefault="007D2AF6" w:rsidP="007D2AF6">
            <w:pPr>
              <w:tabs>
                <w:tab w:val="left" w:pos="540"/>
              </w:tabs>
              <w:spacing w:after="0" w:line="240" w:lineRule="auto"/>
              <w:rPr>
                <w:rFonts w:ascii="Calibri" w:eastAsia="Times New Roman" w:hAnsi="Calibri" w:cs="Times New Roman"/>
                <w:b/>
                <w:bCs/>
                <w:noProof/>
                <w:sz w:val="16"/>
                <w:szCs w:val="16"/>
              </w:rPr>
            </w:pPr>
          </w:p>
          <w:p w:rsidR="007D2AF6" w:rsidRPr="007D2AF6" w:rsidRDefault="007D2AF6" w:rsidP="007D2AF6">
            <w:pPr>
              <w:tabs>
                <w:tab w:val="left" w:pos="505"/>
              </w:tabs>
              <w:spacing w:after="0" w:line="240" w:lineRule="auto"/>
              <w:rPr>
                <w:rFonts w:ascii="Calibri" w:eastAsia="Times New Roman" w:hAnsi="Calibri" w:cs="Times New Roman"/>
                <w:bCs/>
                <w:noProof/>
                <w:sz w:val="16"/>
                <w:szCs w:val="16"/>
              </w:rPr>
            </w:pPr>
            <w:r w:rsidRPr="007D2AF6">
              <w:rPr>
                <w:rFonts w:ascii="Calibri" w:eastAsia="Times New Roman" w:hAnsi="Calibri" w:cs="Times New Roman"/>
                <w:bCs/>
                <w:noProof/>
                <w:sz w:val="16"/>
                <w:szCs w:val="16"/>
              </w:rPr>
              <w:t>Club Capricorn – Seminar Room</w:t>
            </w:r>
          </w:p>
          <w:p w:rsidR="007D2AF6" w:rsidRPr="007D2AF6" w:rsidRDefault="007D2AF6" w:rsidP="007D2AF6">
            <w:pPr>
              <w:tabs>
                <w:tab w:val="left" w:pos="505"/>
              </w:tabs>
              <w:spacing w:after="0" w:line="240" w:lineRule="auto"/>
              <w:rPr>
                <w:rFonts w:ascii="Calibri" w:eastAsia="Times New Roman" w:hAnsi="Calibri" w:cs="Times New Roman"/>
                <w:bCs/>
                <w:noProof/>
                <w:sz w:val="16"/>
                <w:szCs w:val="16"/>
              </w:rPr>
            </w:pPr>
            <w:r w:rsidRPr="007D2AF6">
              <w:rPr>
                <w:rFonts w:ascii="Calibri" w:eastAsia="Times New Roman" w:hAnsi="Calibri" w:cs="Times New Roman"/>
                <w:bCs/>
                <w:noProof/>
                <w:sz w:val="16"/>
                <w:szCs w:val="16"/>
              </w:rPr>
              <w:t>510 Two Rocks Road</w:t>
            </w:r>
          </w:p>
          <w:p w:rsidR="007D2AF6" w:rsidRPr="007D2AF6" w:rsidRDefault="007D2AF6" w:rsidP="007D2AF6">
            <w:pPr>
              <w:tabs>
                <w:tab w:val="left" w:pos="505"/>
              </w:tabs>
              <w:spacing w:after="0" w:line="240" w:lineRule="auto"/>
              <w:rPr>
                <w:rFonts w:ascii="Calibri" w:eastAsia="Times New Roman" w:hAnsi="Calibri" w:cs="Times New Roman"/>
                <w:bCs/>
                <w:noProof/>
                <w:sz w:val="16"/>
                <w:szCs w:val="16"/>
              </w:rPr>
            </w:pPr>
            <w:r w:rsidRPr="007D2AF6">
              <w:rPr>
                <w:rFonts w:ascii="Calibri" w:eastAsia="Times New Roman" w:hAnsi="Calibri" w:cs="Times New Roman"/>
                <w:bCs/>
                <w:noProof/>
                <w:sz w:val="16"/>
                <w:szCs w:val="16"/>
              </w:rPr>
              <w:t>Yanchep WA 6037</w:t>
            </w:r>
          </w:p>
          <w:p w:rsidR="007D2AF6" w:rsidRPr="007D2AF6" w:rsidRDefault="007D2AF6" w:rsidP="007D2AF6">
            <w:pPr>
              <w:tabs>
                <w:tab w:val="left" w:pos="540"/>
              </w:tabs>
              <w:spacing w:after="0" w:line="240" w:lineRule="auto"/>
              <w:rPr>
                <w:rFonts w:ascii="Calibri" w:eastAsia="Times New Roman" w:hAnsi="Calibri" w:cs="Times New Roman"/>
                <w:noProof/>
                <w:sz w:val="16"/>
                <w:szCs w:val="16"/>
              </w:rPr>
            </w:pPr>
            <w:smartTag w:uri="urn:schemas-microsoft-com:office:smarttags" w:element="address">
              <w:smartTag w:uri="urn:schemas-microsoft-com:office:smarttags" w:element="Street">
                <w:r w:rsidRPr="007D2AF6">
                  <w:rPr>
                    <w:rFonts w:ascii="Calibri" w:eastAsia="Times New Roman" w:hAnsi="Calibri" w:cs="Times New Roman"/>
                    <w:bCs/>
                    <w:noProof/>
                    <w:sz w:val="16"/>
                    <w:szCs w:val="16"/>
                  </w:rPr>
                  <w:t>PO Box 6127</w:t>
                </w:r>
              </w:smartTag>
              <w:r w:rsidRPr="007D2AF6">
                <w:rPr>
                  <w:rFonts w:ascii="Calibri" w:eastAsia="Times New Roman" w:hAnsi="Calibri" w:cs="Times New Roman"/>
                  <w:bCs/>
                  <w:noProof/>
                  <w:sz w:val="16"/>
                  <w:szCs w:val="16"/>
                </w:rPr>
                <w:t xml:space="preserve">, </w:t>
              </w:r>
              <w:smartTag w:uri="urn:schemas-microsoft-com:office:smarttags" w:element="City">
                <w:r w:rsidRPr="007D2AF6">
                  <w:rPr>
                    <w:rFonts w:ascii="Calibri" w:eastAsia="Times New Roman" w:hAnsi="Calibri" w:cs="Times New Roman"/>
                    <w:bCs/>
                    <w:noProof/>
                    <w:sz w:val="16"/>
                    <w:szCs w:val="16"/>
                  </w:rPr>
                  <w:t>Girrawheen</w:t>
                </w:r>
              </w:smartTag>
              <w:r w:rsidRPr="007D2AF6">
                <w:rPr>
                  <w:rFonts w:ascii="Calibri" w:eastAsia="Times New Roman" w:hAnsi="Calibri" w:cs="Times New Roman"/>
                  <w:bCs/>
                  <w:noProof/>
                  <w:sz w:val="16"/>
                  <w:szCs w:val="16"/>
                </w:rPr>
                <w:t xml:space="preserve"> </w:t>
              </w:r>
              <w:smartTag w:uri="urn:schemas-microsoft-com:office:smarttags" w:element="State">
                <w:r w:rsidRPr="007D2AF6">
                  <w:rPr>
                    <w:rFonts w:ascii="Calibri" w:eastAsia="Times New Roman" w:hAnsi="Calibri" w:cs="Times New Roman"/>
                    <w:bCs/>
                    <w:noProof/>
                    <w:sz w:val="16"/>
                    <w:szCs w:val="16"/>
                  </w:rPr>
                  <w:t>WA</w:t>
                </w:r>
              </w:smartTag>
            </w:smartTag>
            <w:r w:rsidRPr="007D2AF6">
              <w:rPr>
                <w:rFonts w:ascii="Calibri" w:eastAsia="Times New Roman" w:hAnsi="Calibri" w:cs="Times New Roman"/>
                <w:bCs/>
                <w:noProof/>
                <w:sz w:val="16"/>
                <w:szCs w:val="16"/>
              </w:rPr>
              <w:t xml:space="preserve"> 6064</w:t>
            </w:r>
          </w:p>
          <w:p w:rsidR="007D2AF6" w:rsidRPr="007D2AF6" w:rsidRDefault="007D2AF6" w:rsidP="007D2AF6">
            <w:pPr>
              <w:tabs>
                <w:tab w:val="left" w:pos="505"/>
              </w:tabs>
              <w:spacing w:after="0" w:line="240" w:lineRule="auto"/>
              <w:rPr>
                <w:rFonts w:ascii="Calibri" w:eastAsia="Times New Roman" w:hAnsi="Calibri" w:cs="Times New Roman"/>
                <w:bCs/>
                <w:noProof/>
                <w:sz w:val="16"/>
                <w:szCs w:val="16"/>
              </w:rPr>
            </w:pPr>
            <w:r w:rsidRPr="007D2AF6">
              <w:rPr>
                <w:rFonts w:ascii="Calibri" w:eastAsia="Times New Roman" w:hAnsi="Calibri" w:cs="Times New Roman"/>
                <w:bCs/>
                <w:noProof/>
                <w:sz w:val="16"/>
                <w:szCs w:val="16"/>
              </w:rPr>
              <w:t>Ph:</w:t>
            </w:r>
            <w:r w:rsidRPr="007D2AF6">
              <w:rPr>
                <w:rFonts w:ascii="Calibri" w:eastAsia="Times New Roman" w:hAnsi="Calibri" w:cs="Times New Roman"/>
                <w:bCs/>
                <w:noProof/>
                <w:sz w:val="16"/>
                <w:szCs w:val="16"/>
              </w:rPr>
              <w:tab/>
              <w:t xml:space="preserve"> (08) 9247 0600 </w:t>
            </w:r>
          </w:p>
          <w:p w:rsidR="007D2AF6" w:rsidRPr="007D2AF6" w:rsidRDefault="007D2AF6" w:rsidP="007D2AF6">
            <w:pPr>
              <w:tabs>
                <w:tab w:val="left" w:pos="540"/>
              </w:tabs>
              <w:spacing w:after="0" w:line="240" w:lineRule="auto"/>
              <w:rPr>
                <w:rFonts w:ascii="Calibri" w:eastAsia="Times New Roman" w:hAnsi="Calibri" w:cs="Times New Roman"/>
                <w:bCs/>
                <w:noProof/>
                <w:sz w:val="16"/>
                <w:szCs w:val="16"/>
              </w:rPr>
            </w:pPr>
            <w:r w:rsidRPr="007D2AF6">
              <w:rPr>
                <w:rFonts w:ascii="Calibri" w:eastAsia="Times New Roman" w:hAnsi="Calibri" w:cs="Times New Roman"/>
                <w:bCs/>
                <w:noProof/>
                <w:sz w:val="16"/>
                <w:szCs w:val="16"/>
              </w:rPr>
              <w:t>Fax:</w:t>
            </w:r>
            <w:r w:rsidRPr="007D2AF6">
              <w:rPr>
                <w:rFonts w:ascii="Calibri" w:eastAsia="Times New Roman" w:hAnsi="Calibri" w:cs="Times New Roman"/>
                <w:bCs/>
                <w:noProof/>
                <w:sz w:val="16"/>
                <w:szCs w:val="16"/>
              </w:rPr>
              <w:tab/>
              <w:t>(08) 9247 0655</w:t>
            </w:r>
          </w:p>
          <w:p w:rsidR="007D2AF6" w:rsidRPr="007D2AF6" w:rsidRDefault="007D2AF6" w:rsidP="007D2AF6">
            <w:pPr>
              <w:tabs>
                <w:tab w:val="left" w:pos="540"/>
              </w:tabs>
              <w:spacing w:after="0" w:line="240" w:lineRule="auto"/>
              <w:rPr>
                <w:rFonts w:ascii="Calibri" w:eastAsia="Times New Roman" w:hAnsi="Calibri" w:cs="Times New Roman"/>
                <w:bCs/>
                <w:noProof/>
                <w:sz w:val="16"/>
                <w:szCs w:val="16"/>
              </w:rPr>
            </w:pPr>
          </w:p>
        </w:tc>
      </w:tr>
    </w:tbl>
    <w:p w:rsidR="007D2AF6" w:rsidRDefault="007D2AF6" w:rsidP="00A8217E">
      <w:pPr>
        <w:spacing w:line="360" w:lineRule="auto"/>
      </w:pPr>
    </w:p>
    <w:p w:rsidR="007D2AF6" w:rsidRPr="007D2AF6" w:rsidRDefault="007D2AF6" w:rsidP="00A8217E">
      <w:pPr>
        <w:spacing w:line="360" w:lineRule="auto"/>
        <w:rPr>
          <w:b/>
          <w:u w:val="single"/>
        </w:rPr>
      </w:pPr>
      <w:r w:rsidRPr="007D2AF6">
        <w:rPr>
          <w:b/>
          <w:u w:val="single"/>
        </w:rPr>
        <w:lastRenderedPageBreak/>
        <w:t>1:   Introduction</w:t>
      </w:r>
    </w:p>
    <w:p w:rsidR="007D2AF6" w:rsidRDefault="007D2AF6" w:rsidP="00A8217E">
      <w:pPr>
        <w:spacing w:line="360" w:lineRule="auto"/>
      </w:pPr>
      <w:r>
        <w:t>BJL Connecting Communities (BJL) welcomes the opportunity to make a submission to the Department of Social Services</w:t>
      </w:r>
      <w:r w:rsidR="00A76D46">
        <w:t xml:space="preserve"> as part of the review of the welfare system</w:t>
      </w:r>
      <w:r w:rsidR="00551FAB">
        <w:t xml:space="preserve"> c</w:t>
      </w:r>
      <w:r>
        <w:t>ommissioned by the Hon Kevin Andrews</w:t>
      </w:r>
      <w:r w:rsidR="00A76D46">
        <w:t>, Minister of Social Services</w:t>
      </w:r>
      <w:r>
        <w:t xml:space="preserve"> upon the release of “A New System for Better Employment and Social Outcomes”</w:t>
      </w:r>
      <w:r w:rsidR="00551FAB">
        <w:t xml:space="preserve">, </w:t>
      </w:r>
      <w:r w:rsidR="00A76D46">
        <w:t xml:space="preserve">its </w:t>
      </w:r>
      <w:r>
        <w:t>Reference Group’s Inter</w:t>
      </w:r>
      <w:r w:rsidR="00A76D46">
        <w:t>i</w:t>
      </w:r>
      <w:r>
        <w:t xml:space="preserve">m Report.  </w:t>
      </w:r>
      <w:r w:rsidR="00A76D46">
        <w:t xml:space="preserve"> </w:t>
      </w:r>
      <w:r>
        <w:t xml:space="preserve"> </w:t>
      </w:r>
    </w:p>
    <w:p w:rsidR="009A0E73" w:rsidRDefault="00832E85" w:rsidP="00A8217E">
      <w:pPr>
        <w:spacing w:line="360" w:lineRule="auto"/>
      </w:pPr>
      <w:r>
        <w:t xml:space="preserve">Since the newly created Commonwealth of Australia enacted its Invalid and Old-Age Pension Act </w:t>
      </w:r>
      <w:r w:rsidR="00551FAB">
        <w:t>(1908) nearly every Australian at some point in</w:t>
      </w:r>
      <w:r>
        <w:t xml:space="preserve"> their lifetime, has received benefit from our national system of soc</w:t>
      </w:r>
      <w:r w:rsidR="00551FAB">
        <w:t>ial security.  The system is part of the whole all social and economic framework of Australia for example benefit is gained by</w:t>
      </w:r>
      <w:r>
        <w:t xml:space="preserve"> the private providers of health insurance, workers compensation, life</w:t>
      </w:r>
      <w:r w:rsidR="003564A9">
        <w:t xml:space="preserve"> insurances</w:t>
      </w:r>
      <w:r>
        <w:t xml:space="preserve">, superannuation all of which receive </w:t>
      </w:r>
      <w:r w:rsidR="00551FAB">
        <w:t xml:space="preserve">or depend on some form of safety net </w:t>
      </w:r>
      <w:r>
        <w:t>support</w:t>
      </w:r>
      <w:r w:rsidR="00551FAB">
        <w:t xml:space="preserve">.  </w:t>
      </w:r>
      <w:r w:rsidR="003564A9">
        <w:t xml:space="preserve">The </w:t>
      </w:r>
      <w:r w:rsidR="001F4E2D">
        <w:t xml:space="preserve">economic and social </w:t>
      </w:r>
      <w:r w:rsidR="003564A9">
        <w:t>role played by the system is far more than</w:t>
      </w:r>
      <w:r w:rsidR="00551FAB">
        <w:t xml:space="preserve"> just</w:t>
      </w:r>
      <w:r w:rsidR="003564A9">
        <w:t xml:space="preserve"> </w:t>
      </w:r>
      <w:r w:rsidR="001F4E2D">
        <w:t xml:space="preserve">its distribution of </w:t>
      </w:r>
      <w:r w:rsidR="003564A9">
        <w:t>Job Seeker Allowance and o</w:t>
      </w:r>
      <w:r w:rsidR="004A4E59">
        <w:t xml:space="preserve">ver the test of </w:t>
      </w:r>
      <w:r>
        <w:t>time</w:t>
      </w:r>
      <w:r w:rsidR="00551FAB">
        <w:t xml:space="preserve"> has proven itself a</w:t>
      </w:r>
      <w:r>
        <w:t xml:space="preserve"> remarkably resilient </w:t>
      </w:r>
      <w:r w:rsidRPr="005463B3">
        <w:t>system</w:t>
      </w:r>
      <w:r w:rsidR="005463B3">
        <w:rPr>
          <w:rStyle w:val="EndnoteReference"/>
        </w:rPr>
        <w:t>1</w:t>
      </w:r>
      <w:r w:rsidR="00F0275F">
        <w:t xml:space="preserve">  </w:t>
      </w:r>
    </w:p>
    <w:p w:rsidR="00652766" w:rsidRDefault="00F0275F" w:rsidP="00B0484B">
      <w:pPr>
        <w:spacing w:line="360" w:lineRule="auto"/>
      </w:pPr>
      <w:r>
        <w:t>W</w:t>
      </w:r>
      <w:r w:rsidR="004A4E59">
        <w:t xml:space="preserve">hilst </w:t>
      </w:r>
      <w:r w:rsidR="00AB4B4D" w:rsidRPr="00B5608D">
        <w:t xml:space="preserve">BJL </w:t>
      </w:r>
      <w:r w:rsidR="004A4E59">
        <w:t>may agree</w:t>
      </w:r>
      <w:r w:rsidR="00AB4B4D" w:rsidRPr="00B5608D">
        <w:t xml:space="preserve"> </w:t>
      </w:r>
      <w:r>
        <w:t xml:space="preserve">in part </w:t>
      </w:r>
      <w:r w:rsidR="00AB4B4D" w:rsidRPr="00B5608D">
        <w:t xml:space="preserve">with the </w:t>
      </w:r>
      <w:r w:rsidR="00E34E97" w:rsidRPr="00B5608D">
        <w:t>assertion</w:t>
      </w:r>
      <w:r w:rsidR="00D46E48" w:rsidRPr="00B5608D">
        <w:t xml:space="preserve"> </w:t>
      </w:r>
      <w:r w:rsidR="00551FAB">
        <w:t>made</w:t>
      </w:r>
      <w:r w:rsidR="00D46E48" w:rsidRPr="00B5608D">
        <w:t xml:space="preserve"> </w:t>
      </w:r>
      <w:r w:rsidR="00F25D43">
        <w:t xml:space="preserve">in the report that </w:t>
      </w:r>
      <w:r w:rsidR="00D46E48" w:rsidRPr="00B5608D">
        <w:t>Australia’s soci</w:t>
      </w:r>
      <w:r w:rsidR="00EB27E3">
        <w:t>al sec</w:t>
      </w:r>
      <w:r w:rsidR="004A4E59">
        <w:t xml:space="preserve">urity system has developed over </w:t>
      </w:r>
      <w:r>
        <w:t xml:space="preserve">that </w:t>
      </w:r>
      <w:r w:rsidR="004A4E59">
        <w:t>time</w:t>
      </w:r>
      <w:r w:rsidR="00EB27E3">
        <w:t xml:space="preserve"> </w:t>
      </w:r>
      <w:r w:rsidR="004A4E59">
        <w:t xml:space="preserve">with </w:t>
      </w:r>
      <w:r w:rsidR="00487865">
        <w:t>“</w:t>
      </w:r>
      <w:r w:rsidR="004A4E59" w:rsidRPr="00487865">
        <w:rPr>
          <w:i/>
        </w:rPr>
        <w:t>some</w:t>
      </w:r>
      <w:r w:rsidR="00D46E48" w:rsidRPr="00487865">
        <w:rPr>
          <w:i/>
        </w:rPr>
        <w:t xml:space="preserve"> unintended complexities, inconsiste</w:t>
      </w:r>
      <w:r w:rsidRPr="00487865">
        <w:rPr>
          <w:i/>
        </w:rPr>
        <w:t>ncies and disincentives</w:t>
      </w:r>
      <w:r w:rsidR="00487865">
        <w:rPr>
          <w:i/>
        </w:rPr>
        <w:t>”</w:t>
      </w:r>
      <w:r w:rsidR="00551FAB">
        <w:rPr>
          <w:i/>
        </w:rPr>
        <w:t>;</w:t>
      </w:r>
      <w:r w:rsidRPr="00487865">
        <w:rPr>
          <w:i/>
        </w:rPr>
        <w:t xml:space="preserve"> </w:t>
      </w:r>
      <w:r w:rsidR="001F4E2D">
        <w:t>we find that the</w:t>
      </w:r>
      <w:r w:rsidR="00551FAB">
        <w:t xml:space="preserve"> justification and support for</w:t>
      </w:r>
      <w:r w:rsidR="00F25D43">
        <w:t xml:space="preserve"> </w:t>
      </w:r>
      <w:r w:rsidR="00551FAB">
        <w:t xml:space="preserve">some of the </w:t>
      </w:r>
      <w:r>
        <w:t xml:space="preserve">welfare </w:t>
      </w:r>
      <w:r w:rsidR="00551FAB">
        <w:t xml:space="preserve">reforms argued for in </w:t>
      </w:r>
      <w:r w:rsidR="004A4E59">
        <w:t>“A New S</w:t>
      </w:r>
      <w:r w:rsidR="00E34E97" w:rsidRPr="00B5608D">
        <w:t>ystem</w:t>
      </w:r>
      <w:r w:rsidR="004A4E59">
        <w:t xml:space="preserve"> for Better Employment and Social Outcomes”</w:t>
      </w:r>
      <w:r w:rsidR="00E34E97" w:rsidRPr="00B5608D">
        <w:t xml:space="preserve"> </w:t>
      </w:r>
      <w:r w:rsidR="00F25D43">
        <w:t>would</w:t>
      </w:r>
      <w:r w:rsidR="004A3388" w:rsidRPr="00B5608D">
        <w:t xml:space="preserve"> </w:t>
      </w:r>
      <w:r w:rsidR="00D46E48" w:rsidRPr="00B5608D">
        <w:t>be detrimental to the overall common</w:t>
      </w:r>
      <w:r w:rsidR="00A8217E">
        <w:t xml:space="preserve"> </w:t>
      </w:r>
      <w:r w:rsidR="00D46E48" w:rsidRPr="00B5608D">
        <w:t xml:space="preserve">wealth </w:t>
      </w:r>
      <w:r w:rsidR="00A8217E">
        <w:t xml:space="preserve">and well-being </w:t>
      </w:r>
      <w:r w:rsidR="00D46E48" w:rsidRPr="00B5608D">
        <w:t>of the Australian</w:t>
      </w:r>
      <w:r w:rsidR="009A0E73">
        <w:t xml:space="preserve"> people</w:t>
      </w:r>
      <w:r w:rsidR="00DA77BE">
        <w:t xml:space="preserve">.  In addition, to </w:t>
      </w:r>
      <w:r w:rsidR="001F4E2D">
        <w:t xml:space="preserve">the very socio economic environment it is in place to provide </w:t>
      </w:r>
      <w:r w:rsidR="00F25D43">
        <w:t>and in place to protect Australians.</w:t>
      </w:r>
      <w:r w:rsidR="001F4E2D">
        <w:t xml:space="preserve">  </w:t>
      </w:r>
      <w:r w:rsidR="00652766">
        <w:t>That some of the very reforms suggested will not cure the system of unintended complexities, inconsist</w:t>
      </w:r>
      <w:r w:rsidR="00853F81">
        <w:t>encies and disincentives</w:t>
      </w:r>
      <w:r w:rsidR="00DA77BE">
        <w:t xml:space="preserve"> in the social security system we think they </w:t>
      </w:r>
      <w:r w:rsidR="00652766">
        <w:t xml:space="preserve">will add to them.  </w:t>
      </w:r>
    </w:p>
    <w:p w:rsidR="00652766" w:rsidRDefault="009333DD" w:rsidP="00B0484B">
      <w:pPr>
        <w:spacing w:line="360" w:lineRule="auto"/>
      </w:pPr>
      <w:r>
        <w:t xml:space="preserve">The Australian social security system is more than just </w:t>
      </w:r>
      <w:r w:rsidRPr="00DA77BE">
        <w:rPr>
          <w:i/>
        </w:rPr>
        <w:t xml:space="preserve">an individual income system in desperate need of an employment focus </w:t>
      </w:r>
      <w:r w:rsidR="008B0AB4">
        <w:t xml:space="preserve">which is </w:t>
      </w:r>
      <w:r w:rsidR="00F25D43">
        <w:t xml:space="preserve">themed and </w:t>
      </w:r>
      <w:r w:rsidR="00DA77BE">
        <w:t>suggested</w:t>
      </w:r>
      <w:r>
        <w:t xml:space="preserve"> in the report</w:t>
      </w:r>
      <w:r w:rsidR="008B0AB4">
        <w:t xml:space="preserve">.  That </w:t>
      </w:r>
      <w:r w:rsidR="00DA77BE">
        <w:t xml:space="preserve">in itself </w:t>
      </w:r>
      <w:r w:rsidR="008B0AB4">
        <w:t>suggests a</w:t>
      </w:r>
      <w:r w:rsidR="00F25D43">
        <w:t xml:space="preserve">ll </w:t>
      </w:r>
      <w:r w:rsidR="00DA77BE">
        <w:t>benefit recipients</w:t>
      </w:r>
      <w:r w:rsidR="00853F81">
        <w:t xml:space="preserve"> of </w:t>
      </w:r>
      <w:r w:rsidR="008B0AB4">
        <w:t xml:space="preserve">the system are </w:t>
      </w:r>
      <w:r w:rsidR="00F45462">
        <w:t xml:space="preserve">individuals </w:t>
      </w:r>
      <w:r w:rsidR="00853F81">
        <w:t xml:space="preserve">on Job Search Allowance who should simply </w:t>
      </w:r>
      <w:r w:rsidR="00DA77BE">
        <w:t xml:space="preserve">go get a job.  That is unfair and inaccurate. </w:t>
      </w:r>
      <w:r w:rsidR="00853F81">
        <w:t>The social security system acts to support our aged, our children, our sick and it complements</w:t>
      </w:r>
      <w:r w:rsidR="00F25D43">
        <w:t xml:space="preserve"> and plays </w:t>
      </w:r>
      <w:r w:rsidR="00DA77BE">
        <w:t xml:space="preserve">a </w:t>
      </w:r>
      <w:r w:rsidR="00F25D43">
        <w:t>vital roles in</w:t>
      </w:r>
      <w:r w:rsidR="00853F81">
        <w:t xml:space="preserve"> the health system, the education system, </w:t>
      </w:r>
      <w:r w:rsidR="00F25D43">
        <w:t xml:space="preserve">the tax system, the wage system, labour market activation and intervention, the redistribution of opportunity and adds valuable support to </w:t>
      </w:r>
      <w:r w:rsidR="00853F81">
        <w:t>the economic system itself</w:t>
      </w:r>
      <w:r w:rsidR="00DA77BE">
        <w:t xml:space="preserve"> (</w:t>
      </w:r>
      <w:r w:rsidR="00F25D43">
        <w:t xml:space="preserve">including those </w:t>
      </w:r>
      <w:r w:rsidR="00487865">
        <w:t xml:space="preserve">examples of </w:t>
      </w:r>
      <w:r w:rsidR="00853F81">
        <w:t xml:space="preserve">private </w:t>
      </w:r>
      <w:r w:rsidR="00F25D43">
        <w:t xml:space="preserve">sector </w:t>
      </w:r>
      <w:r w:rsidR="00853F81">
        <w:t>systems</w:t>
      </w:r>
      <w:r w:rsidR="00F25D43">
        <w:t xml:space="preserve"> mentioned above</w:t>
      </w:r>
      <w:r w:rsidR="00DA77BE">
        <w:t>)</w:t>
      </w:r>
      <w:r w:rsidR="00853F81">
        <w:t xml:space="preserve">.  </w:t>
      </w:r>
      <w:r w:rsidR="00817529">
        <w:t>BJL would argue that the 6</w:t>
      </w:r>
      <w:r w:rsidR="00B97AE3">
        <w:t>% of GNP cost is not an expense, it is an investment because</w:t>
      </w:r>
      <w:r w:rsidR="00487865">
        <w:t xml:space="preserve"> of what it adds to overall Australian Capital and the value gained through</w:t>
      </w:r>
      <w:r w:rsidR="00B97AE3">
        <w:t xml:space="preserve"> </w:t>
      </w:r>
      <w:r w:rsidR="00DA77BE">
        <w:t xml:space="preserve">its </w:t>
      </w:r>
      <w:r w:rsidR="00487865">
        <w:t>economic/</w:t>
      </w:r>
      <w:r w:rsidR="00B97AE3">
        <w:t xml:space="preserve">social </w:t>
      </w:r>
      <w:r w:rsidR="00696467">
        <w:t>return</w:t>
      </w:r>
      <w:r w:rsidR="00DA77BE">
        <w:t>s and adjustments</w:t>
      </w:r>
      <w:r w:rsidR="00696467">
        <w:t xml:space="preserve">.  </w:t>
      </w:r>
    </w:p>
    <w:p w:rsidR="00652766" w:rsidRPr="00652766" w:rsidRDefault="00652766" w:rsidP="00B0484B">
      <w:pPr>
        <w:spacing w:line="360" w:lineRule="auto"/>
        <w:rPr>
          <w:b/>
          <w:u w:val="single"/>
        </w:rPr>
      </w:pPr>
      <w:r w:rsidRPr="00652766">
        <w:rPr>
          <w:b/>
          <w:u w:val="single"/>
        </w:rPr>
        <w:lastRenderedPageBreak/>
        <w:t xml:space="preserve">2: </w:t>
      </w:r>
      <w:r>
        <w:rPr>
          <w:b/>
          <w:u w:val="single"/>
        </w:rPr>
        <w:t>Complexities</w:t>
      </w:r>
    </w:p>
    <w:p w:rsidR="00487865" w:rsidRDefault="00B0484B" w:rsidP="00487865">
      <w:pPr>
        <w:spacing w:line="360" w:lineRule="auto"/>
      </w:pPr>
      <w:r w:rsidRPr="00B5608D">
        <w:t>There is clear evidenc</w:t>
      </w:r>
      <w:r>
        <w:t xml:space="preserve">e that our social security system </w:t>
      </w:r>
      <w:r w:rsidRPr="00B5608D">
        <w:t xml:space="preserve"> is one of the most economical (in terms of percentage of GDP spent on welfare) compared to OECD countries</w:t>
      </w:r>
      <w:r w:rsidRPr="005463B3">
        <w:t>.</w:t>
      </w:r>
      <w:r w:rsidRPr="005463B3">
        <w:rPr>
          <w:vertAlign w:val="superscript"/>
        </w:rPr>
        <w:t>2</w:t>
      </w:r>
      <w:r w:rsidRPr="00B5608D">
        <w:t xml:space="preserve"> Our spending on the aged pension, at 3.5% is considerably lower than other OECD countries, like France (6%), Italy (15%), and the United Kingdom (6%). Australia also spends less on unemployment benefits than the USA, Italy, France and Germany. In fact, overall spending on social expenditure is comparatively low</w:t>
      </w:r>
      <w:r w:rsidRPr="005463B3">
        <w:t>.</w:t>
      </w:r>
      <w:r w:rsidRPr="005463B3">
        <w:rPr>
          <w:vertAlign w:val="superscript"/>
        </w:rPr>
        <w:t>3</w:t>
      </w:r>
      <w:r w:rsidR="00487865">
        <w:t xml:space="preserve"> </w:t>
      </w:r>
      <w:r w:rsidR="00DA77BE">
        <w:t xml:space="preserve">One of the reasons Australia </w:t>
      </w:r>
      <w:r>
        <w:t>spends less per person per population</w:t>
      </w:r>
      <w:r w:rsidR="00487865">
        <w:t xml:space="preserve"> on its social security system</w:t>
      </w:r>
      <w:r>
        <w:t xml:space="preserve"> the</w:t>
      </w:r>
      <w:r w:rsidR="00DA77BE">
        <w:t xml:space="preserve">n the USA is because we have </w:t>
      </w:r>
      <w:r>
        <w:t xml:space="preserve">efficient </w:t>
      </w:r>
      <w:r w:rsidR="00487865">
        <w:t>and effective safety net</w:t>
      </w:r>
      <w:r w:rsidR="00DA77BE">
        <w:t xml:space="preserve"> in place.  It is </w:t>
      </w:r>
      <w:r w:rsidR="00487865">
        <w:t>fixed at the right</w:t>
      </w:r>
      <w:r>
        <w:t xml:space="preserve"> tension </w:t>
      </w:r>
      <w:r w:rsidR="00487865">
        <w:t xml:space="preserve">because it </w:t>
      </w:r>
      <w:r w:rsidR="00DA77BE">
        <w:t xml:space="preserve">does </w:t>
      </w:r>
      <w:r w:rsidR="00487865">
        <w:t xml:space="preserve">allows for the right </w:t>
      </w:r>
      <w:r>
        <w:t>intervention</w:t>
      </w:r>
      <w:r w:rsidR="00487865">
        <w:t xml:space="preserve"> at the right time</w:t>
      </w:r>
      <w:r>
        <w:t xml:space="preserve"> which is socially and economically responsible and </w:t>
      </w:r>
      <w:r w:rsidR="00DA77BE">
        <w:t xml:space="preserve">because it does </w:t>
      </w:r>
      <w:r>
        <w:t>reduces</w:t>
      </w:r>
      <w:r w:rsidR="00487865">
        <w:t xml:space="preserve"> </w:t>
      </w:r>
      <w:r w:rsidR="00DA77BE">
        <w:t xml:space="preserve">overall </w:t>
      </w:r>
      <w:r w:rsidR="00487865">
        <w:t>expenditure</w:t>
      </w:r>
      <w:r w:rsidR="00DA77BE">
        <w:t>,</w:t>
      </w:r>
      <w:r w:rsidR="00487865">
        <w:t xml:space="preserve"> both </w:t>
      </w:r>
      <w:r>
        <w:t xml:space="preserve">in the </w:t>
      </w:r>
      <w:r w:rsidR="00487865">
        <w:t>short and l</w:t>
      </w:r>
      <w:r w:rsidR="00DA77BE">
        <w:t>onger term as evidenced by the US comparison</w:t>
      </w:r>
      <w:r>
        <w:t xml:space="preserve">.  </w:t>
      </w:r>
      <w:r w:rsidR="00487865">
        <w:t xml:space="preserve"> </w:t>
      </w:r>
      <w:r w:rsidR="00DA77BE">
        <w:t>Reducing that tension and a</w:t>
      </w:r>
      <w:r>
        <w:t xml:space="preserve">llowing citizens to fall through cracks </w:t>
      </w:r>
      <w:r w:rsidR="00DA77BE">
        <w:t xml:space="preserve">or not access the safety net at all makes for a </w:t>
      </w:r>
      <w:r>
        <w:t>much m</w:t>
      </w:r>
      <w:r w:rsidR="00487865">
        <w:t>ore expensive proposition</w:t>
      </w:r>
      <w:r w:rsidR="00DA77BE">
        <w:t xml:space="preserve">.  That expensive cost will </w:t>
      </w:r>
      <w:r>
        <w:t>not just in econom</w:t>
      </w:r>
      <w:r w:rsidR="00E632E9">
        <w:t xml:space="preserve">ic terms but </w:t>
      </w:r>
      <w:proofErr w:type="spellStart"/>
      <w:r w:rsidR="00E632E9">
        <w:t>its</w:t>
      </w:r>
      <w:proofErr w:type="spellEnd"/>
      <w:r w:rsidR="00E632E9">
        <w:t xml:space="preserve"> the social cost.</w:t>
      </w:r>
    </w:p>
    <w:p w:rsidR="00487865" w:rsidRDefault="00487865" w:rsidP="00487865">
      <w:pPr>
        <w:spacing w:line="360" w:lineRule="auto"/>
      </w:pPr>
    </w:p>
    <w:p w:rsidR="00487865" w:rsidRDefault="00920083" w:rsidP="00487865">
      <w:pPr>
        <w:spacing w:line="360" w:lineRule="auto"/>
      </w:pPr>
      <w:r w:rsidRPr="005463B3">
        <w:t>Compared</w:t>
      </w:r>
      <w:r w:rsidR="005965F0" w:rsidRPr="005463B3">
        <w:t xml:space="preserve"> to other O</w:t>
      </w:r>
      <w:r w:rsidR="00EA454F" w:rsidRPr="005463B3">
        <w:t>ECD countries Australia spends</w:t>
      </w:r>
      <w:r w:rsidR="00487865" w:rsidRPr="005463B3">
        <w:t xml:space="preserve"> lower </w:t>
      </w:r>
      <w:r w:rsidR="00544D93" w:rsidRPr="005463B3">
        <w:t>In a study conducted by Australia Policy Online</w:t>
      </w:r>
      <w:r w:rsidR="005463B3" w:rsidRPr="005463B3">
        <w:rPr>
          <w:vertAlign w:val="superscript"/>
        </w:rPr>
        <w:t>4</w:t>
      </w:r>
      <w:r w:rsidR="00544D93" w:rsidRPr="005463B3">
        <w:t>, it can be said that</w:t>
      </w:r>
      <w:r w:rsidR="00D0474F" w:rsidRPr="005463B3">
        <w:t>:</w:t>
      </w:r>
      <w:r w:rsidR="00544D93" w:rsidRPr="00B5608D">
        <w:t xml:space="preserve"> </w:t>
      </w:r>
    </w:p>
    <w:p w:rsidR="00A8217E" w:rsidRDefault="00544D93" w:rsidP="00A8217E">
      <w:pPr>
        <w:spacing w:line="360" w:lineRule="auto"/>
      </w:pPr>
      <w:r w:rsidRPr="00B5608D">
        <w:br/>
      </w:r>
      <w:r w:rsidR="004A3388" w:rsidRPr="00B5608D">
        <w:rPr>
          <w:rStyle w:val="apple-converted-space"/>
          <w:rFonts w:cs="Arial"/>
          <w:color w:val="333333"/>
          <w:shd w:val="clear" w:color="auto" w:fill="FFFFFF"/>
        </w:rPr>
        <w:t>[Australia]</w:t>
      </w:r>
      <w:r w:rsidRPr="00B5608D">
        <w:rPr>
          <w:rStyle w:val="apple-converted-space"/>
          <w:rFonts w:cs="Arial"/>
          <w:i/>
          <w:color w:val="333333"/>
          <w:shd w:val="clear" w:color="auto" w:fill="FFFFFF"/>
        </w:rPr>
        <w:t> “</w:t>
      </w:r>
      <w:r w:rsidRPr="00B5608D">
        <w:rPr>
          <w:rFonts w:cs="Arial"/>
          <w:i/>
          <w:color w:val="333333"/>
          <w:shd w:val="clear" w:color="auto" w:fill="FFFFFF"/>
        </w:rPr>
        <w:t>has the most efficient system of benefits in inequality and poverty reduction of any developed country – for each dollar of spending on benefits Australia reduces income inequality by about 50 per cent more than the United States, Denmark or Norway, twice as much as Korea, roughly two and a half times as much as Japan or Italy, and three times as much as France”</w:t>
      </w:r>
    </w:p>
    <w:p w:rsidR="00487865" w:rsidRDefault="00487865" w:rsidP="00A8217E">
      <w:pPr>
        <w:spacing w:line="360" w:lineRule="auto"/>
      </w:pPr>
    </w:p>
    <w:p w:rsidR="00652766" w:rsidRDefault="00A8217E" w:rsidP="00A8217E">
      <w:pPr>
        <w:spacing w:line="360" w:lineRule="auto"/>
      </w:pPr>
      <w:r>
        <w:t>Australia P</w:t>
      </w:r>
      <w:r w:rsidR="00E34E97" w:rsidRPr="00B5608D">
        <w:t xml:space="preserve">olicy </w:t>
      </w:r>
      <w:proofErr w:type="spellStart"/>
      <w:r w:rsidR="00E34E97" w:rsidRPr="00B5608D">
        <w:t>Online’s</w:t>
      </w:r>
      <w:proofErr w:type="spellEnd"/>
      <w:r w:rsidR="00E34E97" w:rsidRPr="00B5608D">
        <w:t xml:space="preserve"> </w:t>
      </w:r>
      <w:r w:rsidR="001D0C64" w:rsidRPr="00B5608D">
        <w:t>study goes</w:t>
      </w:r>
      <w:r w:rsidR="007B568F" w:rsidRPr="00B5608D">
        <w:t xml:space="preserve"> on to</w:t>
      </w:r>
      <w:r w:rsidR="00544D93" w:rsidRPr="00B5608D">
        <w:t xml:space="preserve"> state that Australia’s social secu</w:t>
      </w:r>
      <w:r w:rsidR="00487865">
        <w:t>rity system redistributes economic opportunity</w:t>
      </w:r>
      <w:r w:rsidR="00544D93" w:rsidRPr="00B5608D">
        <w:t xml:space="preserve"> effectively, with the poorest 20 per cent of the households receiving 42 per cent </w:t>
      </w:r>
      <w:r w:rsidR="00E632E9">
        <w:t xml:space="preserve">of benefits. In comparison, </w:t>
      </w:r>
      <w:r w:rsidR="00544D93" w:rsidRPr="00B5608D">
        <w:t>Japan gives the same group 26 per cent, and the United States of America 25 per cent. As such, Australia’s social welfare system is on par with Scandinavian countries, with redistribution of wealth to the lowest 20 per cent second (in OECD countries) behind Denmark.</w:t>
      </w:r>
      <w:r w:rsidR="007B568F" w:rsidRPr="00B5608D">
        <w:t xml:space="preserve"> BJL agrees that we </w:t>
      </w:r>
      <w:r w:rsidR="00E34E97" w:rsidRPr="00B5608D">
        <w:t xml:space="preserve">have </w:t>
      </w:r>
      <w:r w:rsidR="007B568F" w:rsidRPr="00B5608D">
        <w:t xml:space="preserve">an effective and efficient social security system, and </w:t>
      </w:r>
      <w:r w:rsidR="00FA7790">
        <w:t xml:space="preserve">not, as </w:t>
      </w:r>
      <w:r w:rsidR="00544D93" w:rsidRPr="00B5608D">
        <w:t>A New System for Better Emplo</w:t>
      </w:r>
      <w:r w:rsidR="00B0484B">
        <w:t>yment and Social Outcomes states “</w:t>
      </w:r>
      <w:r w:rsidR="00B0484B" w:rsidRPr="00487865">
        <w:rPr>
          <w:i/>
        </w:rPr>
        <w:t xml:space="preserve">that it is </w:t>
      </w:r>
      <w:r w:rsidR="007A5F3D" w:rsidRPr="00487865">
        <w:rPr>
          <w:i/>
        </w:rPr>
        <w:t>out of step with today’s labour market realit</w:t>
      </w:r>
      <w:r w:rsidR="00B0484B" w:rsidRPr="00487865">
        <w:rPr>
          <w:i/>
        </w:rPr>
        <w:t>ies and community expectations”</w:t>
      </w:r>
      <w:r w:rsidR="00E632E9">
        <w:t>.  Nor that</w:t>
      </w:r>
      <w:r w:rsidR="00B0484B">
        <w:t xml:space="preserve"> “</w:t>
      </w:r>
      <w:r w:rsidR="00B0484B" w:rsidRPr="00FA7790">
        <w:rPr>
          <w:i/>
        </w:rPr>
        <w:t>t</w:t>
      </w:r>
      <w:r w:rsidR="007A5F3D" w:rsidRPr="00FA7790">
        <w:rPr>
          <w:i/>
        </w:rPr>
        <w:t xml:space="preserve">he Income support system is </w:t>
      </w:r>
      <w:r w:rsidR="00544D93" w:rsidRPr="00FA7790">
        <w:rPr>
          <w:i/>
        </w:rPr>
        <w:t>in need of major reform to deliver bett</w:t>
      </w:r>
      <w:r w:rsidR="00B0484B" w:rsidRPr="00FA7790">
        <w:rPr>
          <w:i/>
        </w:rPr>
        <w:t>er outcomes for all Australians”.</w:t>
      </w:r>
      <w:r w:rsidR="007A5F3D" w:rsidRPr="00B0484B">
        <w:br/>
      </w:r>
      <w:r w:rsidR="00E34E97" w:rsidRPr="00B5608D">
        <w:lastRenderedPageBreak/>
        <w:br/>
      </w:r>
      <w:r w:rsidR="00652766" w:rsidRPr="00652766">
        <w:rPr>
          <w:b/>
          <w:u w:val="single"/>
        </w:rPr>
        <w:t>3: Inconsistencies</w:t>
      </w:r>
      <w:r w:rsidR="00652766">
        <w:t xml:space="preserve"> </w:t>
      </w:r>
    </w:p>
    <w:p w:rsidR="00E0382B" w:rsidRPr="00B5608D" w:rsidRDefault="00E0382B" w:rsidP="00E0382B">
      <w:pPr>
        <w:spacing w:line="360" w:lineRule="auto"/>
      </w:pPr>
      <w:r w:rsidRPr="00B5608D">
        <w:t xml:space="preserve">A New System for Better </w:t>
      </w:r>
      <w:r w:rsidR="00FA7790">
        <w:t xml:space="preserve">Employment and Social Outcomes </w:t>
      </w:r>
      <w:r w:rsidRPr="00B5608D">
        <w:t>advocates for an increased level of workforce participation, stating that “</w:t>
      </w:r>
      <w:r w:rsidRPr="00B5608D">
        <w:rPr>
          <w:i/>
        </w:rPr>
        <w:t>Participation in employment should be a priority across the whole social support system</w:t>
      </w:r>
      <w:r w:rsidRPr="00B5608D">
        <w:t>”</w:t>
      </w:r>
      <w:r w:rsidR="00FA7790">
        <w:t xml:space="preserve">.  </w:t>
      </w:r>
    </w:p>
    <w:p w:rsidR="00E632E9" w:rsidRDefault="00FA7790" w:rsidP="00E0382B">
      <w:pPr>
        <w:spacing w:line="360" w:lineRule="auto"/>
      </w:pPr>
      <w:r>
        <w:t>There is good reason why people are eligible for Pensions and others are eligible for Job Search Allowance and that distinguish is</w:t>
      </w:r>
      <w:r w:rsidR="00E632E9">
        <w:t xml:space="preserve"> made – put logically and simply</w:t>
      </w:r>
      <w:r>
        <w:t xml:space="preserve"> not all recipients are Job Seekers.  </w:t>
      </w:r>
      <w:r w:rsidR="001509C3">
        <w:t xml:space="preserve">.  Job </w:t>
      </w:r>
      <w:r w:rsidR="00E632E9">
        <w:t xml:space="preserve">Search Allowance is a payment calculated at a rate that corresponds with to a work ready person </w:t>
      </w:r>
      <w:r w:rsidR="001509C3">
        <w:t xml:space="preserve"> minimal living and job sear</w:t>
      </w:r>
      <w:r w:rsidR="00E632E9">
        <w:t>ch expenses</w:t>
      </w:r>
      <w:r w:rsidR="001509C3">
        <w:t xml:space="preserve">. </w:t>
      </w:r>
      <w:r w:rsidR="00E632E9">
        <w:t xml:space="preserve"> </w:t>
      </w:r>
      <w:r w:rsidR="001509C3" w:rsidRPr="00B5608D">
        <w:t xml:space="preserve">It is currently estimated by </w:t>
      </w:r>
      <w:r w:rsidR="001509C3" w:rsidRPr="00B5608D">
        <w:rPr>
          <w:i/>
        </w:rPr>
        <w:t>Trading Economics</w:t>
      </w:r>
      <w:r w:rsidR="001509C3" w:rsidRPr="00B5608D">
        <w:t xml:space="preserve"> that for every job vacancy, there are five unemployment job seekers</w:t>
      </w:r>
      <w:r w:rsidR="009D6F46" w:rsidRPr="009D6F46">
        <w:rPr>
          <w:vertAlign w:val="superscript"/>
        </w:rPr>
        <w:t>5</w:t>
      </w:r>
      <w:r w:rsidR="001509C3" w:rsidRPr="009D6F46">
        <w:t>.</w:t>
      </w:r>
      <w:r w:rsidR="001509C3" w:rsidRPr="00B5608D">
        <w:t xml:space="preserve"> If the gover</w:t>
      </w:r>
      <w:r w:rsidR="001509C3">
        <w:t xml:space="preserve">nment decides to incentivise payment </w:t>
      </w:r>
      <w:r w:rsidR="001509C3" w:rsidRPr="00B5608D">
        <w:t>recipients to join the workforce by reduc</w:t>
      </w:r>
      <w:r w:rsidR="001509C3" w:rsidRPr="00523B89">
        <w:t>ing</w:t>
      </w:r>
      <w:r w:rsidR="001509C3" w:rsidRPr="00B5608D">
        <w:t xml:space="preserve"> </w:t>
      </w:r>
      <w:r w:rsidR="001509C3">
        <w:t xml:space="preserve">those </w:t>
      </w:r>
      <w:r w:rsidR="001509C3" w:rsidRPr="00B5608D">
        <w:t>payments it would be setting an unreachable stand</w:t>
      </w:r>
      <w:r w:rsidR="001509C3">
        <w:t xml:space="preserve">ard for the majority of </w:t>
      </w:r>
      <w:r w:rsidR="001509C3" w:rsidRPr="00B5608D">
        <w:t xml:space="preserve">recipients. </w:t>
      </w:r>
      <w:r w:rsidR="00E632E9">
        <w:t xml:space="preserve"> </w:t>
      </w:r>
      <w:r w:rsidR="001509C3" w:rsidRPr="00E632E9">
        <w:t>According to the University of Sydney Workplace Research Centre there are there are approximately 146 000 job vacancies in Australia, 727 000 unemployed people, 922 000 unemployed.</w:t>
      </w:r>
      <w:r w:rsidR="009D6F46" w:rsidRPr="00E632E9">
        <w:rPr>
          <w:vertAlign w:val="superscript"/>
        </w:rPr>
        <w:t>6</w:t>
      </w:r>
      <w:r w:rsidR="001509C3">
        <w:t xml:space="preserve">  There is not </w:t>
      </w:r>
      <w:r w:rsidR="00E632E9">
        <w:t>a job available for every job seeker</w:t>
      </w:r>
      <w:r w:rsidR="001509C3">
        <w:t xml:space="preserve">.  </w:t>
      </w:r>
      <w:r w:rsidR="00E632E9">
        <w:t xml:space="preserve"> </w:t>
      </w:r>
    </w:p>
    <w:p w:rsidR="00E632E9" w:rsidRDefault="00E632E9" w:rsidP="00E0382B">
      <w:pPr>
        <w:spacing w:line="360" w:lineRule="auto"/>
      </w:pPr>
    </w:p>
    <w:p w:rsidR="00FA7790" w:rsidRDefault="00E632E9" w:rsidP="00E0382B">
      <w:pPr>
        <w:spacing w:line="360" w:lineRule="auto"/>
      </w:pPr>
      <w:r>
        <w:t>It should be remembered n</w:t>
      </w:r>
      <w:r w:rsidR="001509C3">
        <w:t xml:space="preserve">ot all Job Seekers are on Job Search Allowance. Some Job Seekers that have employment are </w:t>
      </w:r>
      <w:r>
        <w:t xml:space="preserve">still </w:t>
      </w:r>
      <w:r w:rsidR="001509C3">
        <w:t xml:space="preserve">eligible for </w:t>
      </w:r>
      <w:r>
        <w:t xml:space="preserve">part-payment of </w:t>
      </w:r>
      <w:r w:rsidR="001509C3">
        <w:t>Job Seeker Allowance because they are under employed.   Some Job Seekers are not eligible for any payment because their spouse is working and rely on Family Allowa</w:t>
      </w:r>
      <w:r>
        <w:t xml:space="preserve">nce to make up the shortfall </w:t>
      </w:r>
      <w:r w:rsidR="001509C3">
        <w:t>their unemployment</w:t>
      </w:r>
      <w:r>
        <w:t xml:space="preserve"> brings their family budget</w:t>
      </w:r>
      <w:r w:rsidR="001509C3">
        <w:t>.  The social security system has different payment structures because ther</w:t>
      </w:r>
      <w:r>
        <w:t>e is difference in circumstances – complexities in the payment system are sometimes about being flexible.</w:t>
      </w:r>
    </w:p>
    <w:p w:rsidR="00106B0C" w:rsidRDefault="005C2F51" w:rsidP="00A8217E">
      <w:pPr>
        <w:spacing w:line="360" w:lineRule="auto"/>
      </w:pPr>
      <w:r>
        <w:t>The policy document Real Solution</w:t>
      </w:r>
      <w:r w:rsidRPr="009D6F46">
        <w:t>s</w:t>
      </w:r>
      <w:r w:rsidR="009D6F46">
        <w:rPr>
          <w:vertAlign w:val="superscript"/>
        </w:rPr>
        <w:t>7</w:t>
      </w:r>
      <w:r>
        <w:t xml:space="preserve"> for all Australians which sets out the values and priorities of the Government </w:t>
      </w:r>
      <w:r w:rsidR="00790BCA">
        <w:t xml:space="preserve">informs the report.  We are referencing this report because it makes transparent a philosophical view that runs through “A New System for Better Employment and Social Outcomes”.  </w:t>
      </w:r>
      <w:r w:rsidR="00F56B83">
        <w:t xml:space="preserve"> Real Solutions states that </w:t>
      </w:r>
      <w:r w:rsidR="00DD0367">
        <w:t>work-for-the dole should be</w:t>
      </w:r>
      <w:r>
        <w:t xml:space="preserve"> mandatory </w:t>
      </w:r>
      <w:r w:rsidR="00DD0367">
        <w:t xml:space="preserve">and reinvigorating the program because of that programs past success.  </w:t>
      </w:r>
      <w:r w:rsidR="00B57D5B">
        <w:t>Research in 2004 by t</w:t>
      </w:r>
      <w:r w:rsidR="00FA7790">
        <w:t xml:space="preserve">he Melbourne University on the </w:t>
      </w:r>
      <w:r w:rsidR="00B57D5B">
        <w:t>Work for the Dole Progr</w:t>
      </w:r>
      <w:r w:rsidR="00FA7790">
        <w:t xml:space="preserve">am </w:t>
      </w:r>
      <w:r w:rsidR="00B57D5B">
        <w:t xml:space="preserve">found it </w:t>
      </w:r>
      <w:r w:rsidR="00FA7790">
        <w:t>“</w:t>
      </w:r>
      <w:r w:rsidR="00B57D5B">
        <w:t>counterproductiv</w:t>
      </w:r>
      <w:r w:rsidR="00B57D5B" w:rsidRPr="009D6F46">
        <w:t>e</w:t>
      </w:r>
      <w:r w:rsidR="00FA7790" w:rsidRPr="009D6F46">
        <w:t>”</w:t>
      </w:r>
      <w:r w:rsidR="00B57D5B" w:rsidRPr="009D6F46">
        <w:t>.</w:t>
      </w:r>
      <w:r w:rsidR="009D6F46">
        <w:rPr>
          <w:vertAlign w:val="superscript"/>
        </w:rPr>
        <w:t>8</w:t>
      </w:r>
      <w:r w:rsidR="00B57D5B">
        <w:t xml:space="preserve">  This was based on a series of reasoning but none more transparent as when exemplified by over</w:t>
      </w:r>
      <w:r w:rsidR="000A7E7A">
        <w:t>laying data of those on Job Search Allowance</w:t>
      </w:r>
      <w:r w:rsidR="00B57D5B">
        <w:t xml:space="preserve"> that participated in Work for the D</w:t>
      </w:r>
      <w:r w:rsidR="000A7E7A">
        <w:t>ole and those on Job Search Allowance that</w:t>
      </w:r>
      <w:r w:rsidR="00B57D5B">
        <w:t xml:space="preserve"> did not and found that those not participating in Work for the Dole were more successful in finding employment.  </w:t>
      </w:r>
      <w:r w:rsidR="004F472F">
        <w:lastRenderedPageBreak/>
        <w:t>Work for the Dole is an expensive program to deliver</w:t>
      </w:r>
      <w:r w:rsidR="000A7E7A">
        <w:t>, to manage, to administrate</w:t>
      </w:r>
      <w:r w:rsidR="004F472F">
        <w:t xml:space="preserve"> and </w:t>
      </w:r>
      <w:r w:rsidR="000A7E7A">
        <w:t xml:space="preserve">to </w:t>
      </w:r>
      <w:r w:rsidR="004F472F">
        <w:t>operate</w:t>
      </w:r>
      <w:r w:rsidR="000A7E7A">
        <w:t xml:space="preserve">.  </w:t>
      </w:r>
      <w:r w:rsidR="001509C3">
        <w:t>It is not just about the cost paid for registration but cost for the overall management, administration and operations of the program nationwide.   BJL experience in servicing the community and working with employers would suggest t</w:t>
      </w:r>
      <w:r w:rsidR="000A7E7A">
        <w:t>he Government would be far better to offer employers the $</w:t>
      </w:r>
      <w:r w:rsidR="001509C3">
        <w:t xml:space="preserve">1200 participant </w:t>
      </w:r>
      <w:r w:rsidR="000A7E7A">
        <w:t>registration fee as an incentive to them to cover the</w:t>
      </w:r>
      <w:r w:rsidR="00CA591F">
        <w:t>ir</w:t>
      </w:r>
      <w:r w:rsidR="000A7E7A">
        <w:t xml:space="preserve"> additional costs of labour market entrance supervision and training post twelve weeks</w:t>
      </w:r>
      <w:r w:rsidR="00106B0C">
        <w:t xml:space="preserve"> and put the savings from the bulk which makes back into the under 30 category.</w:t>
      </w:r>
      <w:r w:rsidR="000A7E7A">
        <w:t xml:space="preserve"> </w:t>
      </w:r>
      <w:r w:rsidR="00106B0C">
        <w:t xml:space="preserve">  The $1200 better spent as a</w:t>
      </w:r>
      <w:r w:rsidR="000A7E7A">
        <w:t xml:space="preserve">n employer reward, if you like, </w:t>
      </w:r>
      <w:r w:rsidR="00106B0C">
        <w:t>for</w:t>
      </w:r>
      <w:r w:rsidR="000A7E7A">
        <w:t xml:space="preserve"> giving a young person a go.  </w:t>
      </w:r>
    </w:p>
    <w:p w:rsidR="00106B0C" w:rsidRDefault="00106B0C" w:rsidP="00A8217E">
      <w:pPr>
        <w:spacing w:line="360" w:lineRule="auto"/>
      </w:pPr>
    </w:p>
    <w:p w:rsidR="006A354C" w:rsidRDefault="000A7E7A" w:rsidP="00A8217E">
      <w:pPr>
        <w:spacing w:line="360" w:lineRule="auto"/>
      </w:pPr>
      <w:r>
        <w:t>The Australian Y</w:t>
      </w:r>
      <w:r w:rsidR="005077CE">
        <w:t>outh unemployment is too high and is hig</w:t>
      </w:r>
      <w:r>
        <w:t>her than all other population</w:t>
      </w:r>
      <w:r w:rsidRPr="007574E6">
        <w:t>s.</w:t>
      </w:r>
      <w:r w:rsidR="005077CE">
        <w:t xml:space="preserve"> Through</w:t>
      </w:r>
      <w:r>
        <w:t xml:space="preserve"> BJL’s </w:t>
      </w:r>
      <w:r w:rsidR="005077CE">
        <w:t xml:space="preserve">26 years of delivering youth programs knows that they are the first to suffer in a downturn and the last category to recover.  </w:t>
      </w:r>
      <w:r w:rsidR="009B007D">
        <w:t>BJL fails to see how an ex</w:t>
      </w:r>
      <w:r w:rsidR="006A354C">
        <w:t>pansion of the social security</w:t>
      </w:r>
      <w:r w:rsidR="00106B0C">
        <w:t xml:space="preserve"> definition of</w:t>
      </w:r>
      <w:r w:rsidR="006A354C">
        <w:t xml:space="preserve"> </w:t>
      </w:r>
      <w:r w:rsidR="009B007D">
        <w:t xml:space="preserve">“Young People” </w:t>
      </w:r>
      <w:r w:rsidR="00E632E9">
        <w:t>to</w:t>
      </w:r>
      <w:r w:rsidR="00CA591F">
        <w:t xml:space="preserve"> include up to</w:t>
      </w:r>
      <w:r w:rsidR="00E632E9">
        <w:t xml:space="preserve"> 30 </w:t>
      </w:r>
      <w:r w:rsidR="00CA591F">
        <w:t xml:space="preserve">years of age </w:t>
      </w:r>
      <w:r w:rsidR="00850518">
        <w:t xml:space="preserve">works to address or to decrease Youth Unemployment or assists </w:t>
      </w:r>
      <w:r w:rsidR="006A354C">
        <w:t xml:space="preserve">labour market </w:t>
      </w:r>
      <w:r w:rsidR="00CA591F">
        <w:t>entrance.  It would</w:t>
      </w:r>
      <w:r w:rsidR="00850518">
        <w:t xml:space="preserve"> simply acts to make the individual responsible </w:t>
      </w:r>
      <w:r w:rsidR="00280773">
        <w:t xml:space="preserve">for an economic and labour market </w:t>
      </w:r>
      <w:r w:rsidR="006A354C">
        <w:t>sit</w:t>
      </w:r>
      <w:r w:rsidR="00850518">
        <w:t>u</w:t>
      </w:r>
      <w:r w:rsidR="00CA591F">
        <w:t xml:space="preserve">ation.   </w:t>
      </w:r>
      <w:r w:rsidR="00E632E9">
        <w:t>What is more it targets</w:t>
      </w:r>
      <w:r w:rsidR="00280773">
        <w:t xml:space="preserve"> the individual</w:t>
      </w:r>
      <w:r w:rsidR="001D676A">
        <w:t xml:space="preserve"> who has the least power to change the</w:t>
      </w:r>
      <w:r w:rsidR="00E632E9">
        <w:t xml:space="preserve"> situation.  </w:t>
      </w:r>
    </w:p>
    <w:p w:rsidR="001D676A" w:rsidRDefault="001D676A" w:rsidP="00A8217E">
      <w:pPr>
        <w:spacing w:line="360" w:lineRule="auto"/>
      </w:pPr>
    </w:p>
    <w:p w:rsidR="00106B0C" w:rsidRDefault="009B007D" w:rsidP="00A8217E">
      <w:pPr>
        <w:spacing w:line="360" w:lineRule="auto"/>
      </w:pPr>
      <w:r>
        <w:t xml:space="preserve">As it is in our communities, as with all others throughout Australia, youth programs that act complimentary to and </w:t>
      </w:r>
      <w:r w:rsidR="00CA591F">
        <w:t xml:space="preserve">work with </w:t>
      </w:r>
      <w:proofErr w:type="spellStart"/>
      <w:r w:rsidR="00CA591F">
        <w:t>Centrelink</w:t>
      </w:r>
      <w:proofErr w:type="spellEnd"/>
      <w:r w:rsidR="00CA591F">
        <w:t xml:space="preserve"> will tell you - “Youth” eligibility to a “Youth Program” is </w:t>
      </w:r>
      <w:r>
        <w:t xml:space="preserve"> </w:t>
      </w:r>
      <w:r w:rsidR="00CA591F">
        <w:t xml:space="preserve">generally people </w:t>
      </w:r>
      <w:r>
        <w:t xml:space="preserve">between the range of 12-21yrs.  </w:t>
      </w:r>
      <w:r w:rsidR="000E4E6A">
        <w:t xml:space="preserve">Youth Allowance is calculated at a rate that includes </w:t>
      </w:r>
      <w:r w:rsidR="00CA591F">
        <w:t xml:space="preserve">and depends upon that </w:t>
      </w:r>
      <w:r w:rsidR="000E4E6A">
        <w:t xml:space="preserve">additional support in place.  </w:t>
      </w:r>
      <w:r>
        <w:t xml:space="preserve">There are </w:t>
      </w:r>
      <w:r w:rsidR="000E4E6A">
        <w:t xml:space="preserve">youth </w:t>
      </w:r>
      <w:r>
        <w:t>programs for 15/16 – 19 years, programs for 16 -21 years but none from 22-30 years.   Youth Accommodation S</w:t>
      </w:r>
      <w:r w:rsidR="00C541A1">
        <w:t>ervices will not cater for</w:t>
      </w:r>
      <w:r>
        <w:t xml:space="preserve"> 22 – 30 year olds; </w:t>
      </w:r>
      <w:r w:rsidR="00D331BE">
        <w:t xml:space="preserve">22 – 30 year olds will not be eligible for </w:t>
      </w:r>
      <w:r>
        <w:t>Youth At</w:t>
      </w:r>
      <w:r w:rsidR="00D331BE">
        <w:t xml:space="preserve"> Risk </w:t>
      </w:r>
      <w:r w:rsidR="000E4E6A">
        <w:t xml:space="preserve">Programs </w:t>
      </w:r>
      <w:r w:rsidR="00C541A1">
        <w:t xml:space="preserve">despite </w:t>
      </w:r>
      <w:r w:rsidR="00D331BE">
        <w:t xml:space="preserve">the changes </w:t>
      </w:r>
      <w:r w:rsidR="00795E5E">
        <w:t xml:space="preserve">now exposing 18 – 30 years olds </w:t>
      </w:r>
      <w:r w:rsidR="00CA591F">
        <w:t xml:space="preserve">to </w:t>
      </w:r>
      <w:r w:rsidR="00795E5E">
        <w:t xml:space="preserve">the </w:t>
      </w:r>
      <w:r w:rsidR="00C63DAE">
        <w:t xml:space="preserve">very </w:t>
      </w:r>
      <w:r w:rsidR="00795E5E">
        <w:t>high risk</w:t>
      </w:r>
      <w:r w:rsidR="00CA591F">
        <w:t>s</w:t>
      </w:r>
      <w:r w:rsidR="00795E5E">
        <w:t xml:space="preserve"> of </w:t>
      </w:r>
      <w:r w:rsidR="00CA591F">
        <w:t xml:space="preserve">actually </w:t>
      </w:r>
      <w:r w:rsidR="00795E5E">
        <w:t xml:space="preserve">having no income.  </w:t>
      </w:r>
      <w:r>
        <w:t xml:space="preserve">No other Government (local/state/commonwealth department); </w:t>
      </w:r>
      <w:r w:rsidR="00306430">
        <w:t>n</w:t>
      </w:r>
      <w:r>
        <w:t>o social/community service</w:t>
      </w:r>
      <w:r w:rsidR="00C541A1">
        <w:t xml:space="preserve">, no one but </w:t>
      </w:r>
      <w:proofErr w:type="spellStart"/>
      <w:r w:rsidR="00C541A1">
        <w:t>Centrelink</w:t>
      </w:r>
      <w:proofErr w:type="spellEnd"/>
      <w:r w:rsidR="00C541A1">
        <w:t xml:space="preserve"> will define nor prescribe that a</w:t>
      </w:r>
      <w:r w:rsidR="00CA591F">
        <w:t xml:space="preserve"> person </w:t>
      </w:r>
      <w:r>
        <w:t>22 – 30 year old</w:t>
      </w:r>
      <w:r w:rsidR="00CA591F">
        <w:t>s as “Youth” or “Young Person”.</w:t>
      </w:r>
      <w:r w:rsidR="000E4E6A">
        <w:t xml:space="preserve">  </w:t>
      </w:r>
      <w:r w:rsidR="00C541A1">
        <w:t>T</w:t>
      </w:r>
      <w:r>
        <w:t>hey will be on t</w:t>
      </w:r>
      <w:r w:rsidR="00306430">
        <w:t>heir own with no income support</w:t>
      </w:r>
      <w:r w:rsidR="00CA591F">
        <w:t>, defined as Young Person</w:t>
      </w:r>
      <w:r w:rsidR="00683CE0">
        <w:t xml:space="preserve"> but not able to access any youth speciality </w:t>
      </w:r>
      <w:r w:rsidR="00403914">
        <w:t xml:space="preserve">program or/and </w:t>
      </w:r>
      <w:r w:rsidR="00683CE0">
        <w:t>support.</w:t>
      </w:r>
      <w:r w:rsidR="0063712D">
        <w:t xml:space="preserve">  </w:t>
      </w:r>
      <w:r w:rsidR="00C83270">
        <w:t>In other words</w:t>
      </w:r>
      <w:r w:rsidR="00CA591F">
        <w:t>,</w:t>
      </w:r>
      <w:r w:rsidR="00C83270">
        <w:t xml:space="preserve"> the</w:t>
      </w:r>
      <w:r w:rsidR="00CA591F">
        <w:t xml:space="preserve"> existing infrastructure does not allow or take into consideration</w:t>
      </w:r>
      <w:r w:rsidR="00C83270">
        <w:t xml:space="preserve"> such a radical expansion of the definition of “Young Person”.   Banning young people for applying for Job Sea</w:t>
      </w:r>
      <w:r w:rsidR="00CA591F">
        <w:t>rch Allowance bans them from</w:t>
      </w:r>
      <w:r w:rsidR="00C83270">
        <w:t xml:space="preserve"> </w:t>
      </w:r>
      <w:r w:rsidR="00CA591F">
        <w:lastRenderedPageBreak/>
        <w:t>monetary means to enter the labour mark</w:t>
      </w:r>
      <w:r w:rsidR="005C7586">
        <w:t xml:space="preserve">et; the </w:t>
      </w:r>
      <w:r w:rsidR="00CA591F">
        <w:t xml:space="preserve">means by which </w:t>
      </w:r>
      <w:r w:rsidR="005C7586">
        <w:t xml:space="preserve">they can </w:t>
      </w:r>
      <w:r w:rsidR="00C83270">
        <w:t xml:space="preserve">develop and become independent economic and social participants.   </w:t>
      </w:r>
    </w:p>
    <w:p w:rsidR="00106B0C" w:rsidRDefault="00106B0C" w:rsidP="00A8217E">
      <w:pPr>
        <w:spacing w:line="360" w:lineRule="auto"/>
      </w:pPr>
    </w:p>
    <w:p w:rsidR="000E4E6A" w:rsidRDefault="00702CA4" w:rsidP="00A8217E">
      <w:pPr>
        <w:spacing w:line="360" w:lineRule="auto"/>
      </w:pPr>
      <w:r>
        <w:t xml:space="preserve">There is enough barriers as the record high Youth Unemployment figures attests to. </w:t>
      </w:r>
    </w:p>
    <w:p w:rsidR="00106B0C" w:rsidRDefault="00106B0C" w:rsidP="00A8217E">
      <w:pPr>
        <w:spacing w:line="360" w:lineRule="auto"/>
      </w:pPr>
    </w:p>
    <w:p w:rsidR="005077CE" w:rsidRDefault="0063712D" w:rsidP="00A8217E">
      <w:pPr>
        <w:spacing w:line="360" w:lineRule="auto"/>
      </w:pPr>
      <w:r>
        <w:t xml:space="preserve">Homelessness; issues of poverty; </w:t>
      </w:r>
      <w:r w:rsidR="00790BCA">
        <w:t>trauma; unique economic and civil disparities; social disadvantaged; transition to labour market issues (to name a f</w:t>
      </w:r>
      <w:r w:rsidR="00C83270">
        <w:t>ew) pertain to Young People, these real</w:t>
      </w:r>
      <w:r w:rsidR="00790BCA">
        <w:t xml:space="preserve"> employability </w:t>
      </w:r>
      <w:r w:rsidR="005C7586">
        <w:t xml:space="preserve">issues </w:t>
      </w:r>
      <w:r w:rsidR="00790BCA">
        <w:t>act as barriers to employment</w:t>
      </w:r>
      <w:r w:rsidR="005C7586">
        <w:t xml:space="preserve"> al</w:t>
      </w:r>
      <w:r w:rsidR="00C83270">
        <w:t>ready</w:t>
      </w:r>
      <w:r w:rsidR="00790BCA">
        <w:t xml:space="preserve">.  </w:t>
      </w:r>
      <w:proofErr w:type="spellStart"/>
      <w:r w:rsidR="00790BCA">
        <w:t>Centrelink</w:t>
      </w:r>
      <w:proofErr w:type="spellEnd"/>
      <w:r w:rsidR="00790BCA">
        <w:t xml:space="preserve"> depends on an integrated approach of youth servicing to deal with those employ</w:t>
      </w:r>
      <w:r w:rsidR="00F56B83">
        <w:t>ability</w:t>
      </w:r>
      <w:r w:rsidR="00790BCA">
        <w:t xml:space="preserve"> issues</w:t>
      </w:r>
      <w:r w:rsidR="00F56B83">
        <w:t xml:space="preserve"> because employment will not happen unless those barriers are dealt with.  Taking away income support</w:t>
      </w:r>
      <w:r w:rsidR="00C83270">
        <w:t xml:space="preserve"> expanding the definition </w:t>
      </w:r>
      <w:r w:rsidR="00F56B83">
        <w:t xml:space="preserve">will not enable Young People to get employment </w:t>
      </w:r>
      <w:r w:rsidR="00C83270">
        <w:t xml:space="preserve">it will </w:t>
      </w:r>
      <w:r w:rsidR="00F56B83">
        <w:t>exacerbate those employability issue</w:t>
      </w:r>
      <w:r w:rsidR="005C7586">
        <w:t>s and apply them now to other young people</w:t>
      </w:r>
      <w:r w:rsidR="00C83270">
        <w:t xml:space="preserve"> that were not of risk of them</w:t>
      </w:r>
      <w:r w:rsidR="00702CA4">
        <w:t xml:space="preserve"> yesterday</w:t>
      </w:r>
      <w:r w:rsidR="00F56B83">
        <w:t>.  Expanding the</w:t>
      </w:r>
      <w:r w:rsidR="00C83270">
        <w:t>m by</w:t>
      </w:r>
      <w:r w:rsidR="00F56B83">
        <w:t xml:space="preserve"> definition </w:t>
      </w:r>
      <w:r w:rsidR="00C83270">
        <w:t xml:space="preserve">to the majority of those aged between 17 – 30 </w:t>
      </w:r>
      <w:r w:rsidR="00F56B83">
        <w:t xml:space="preserve">without </w:t>
      </w:r>
      <w:r w:rsidR="00C83270">
        <w:t xml:space="preserve">allowing all </w:t>
      </w:r>
      <w:r w:rsidR="00F56B83">
        <w:t>access to the in</w:t>
      </w:r>
      <w:r w:rsidR="00C83270">
        <w:t xml:space="preserve">tegrated youth services </w:t>
      </w:r>
      <w:r w:rsidR="005C7586">
        <w:t xml:space="preserve">(now the practise of seen </w:t>
      </w:r>
      <w:r w:rsidR="00F56B83">
        <w:t xml:space="preserve">by the Department of Social Security </w:t>
      </w:r>
      <w:proofErr w:type="spellStart"/>
      <w:r w:rsidR="00F56B83">
        <w:t>Centrelink</w:t>
      </w:r>
      <w:proofErr w:type="spellEnd"/>
      <w:r w:rsidR="00F56B83">
        <w:t xml:space="preserve"> operations as best </w:t>
      </w:r>
      <w:r w:rsidR="005C7586">
        <w:t xml:space="preserve">global </w:t>
      </w:r>
      <w:r w:rsidR="00F56B83">
        <w:t>practise</w:t>
      </w:r>
      <w:r w:rsidR="005C7586">
        <w:t xml:space="preserve">) makes no sense.  It </w:t>
      </w:r>
      <w:r w:rsidR="00F56B83">
        <w:t>will make community/socia</w:t>
      </w:r>
      <w:r w:rsidR="00C83270">
        <w:t>l servicing at the coal face even more difficult than it is a</w:t>
      </w:r>
      <w:r w:rsidR="00702CA4">
        <w:t xml:space="preserve">nd even more difficult to the people themselves. </w:t>
      </w:r>
    </w:p>
    <w:p w:rsidR="005C7586" w:rsidRDefault="005C7586" w:rsidP="00FA7790">
      <w:pPr>
        <w:spacing w:line="360" w:lineRule="auto"/>
      </w:pPr>
    </w:p>
    <w:p w:rsidR="00702CA4" w:rsidRDefault="001D17F6" w:rsidP="00FA7790">
      <w:pPr>
        <w:spacing w:line="360" w:lineRule="auto"/>
      </w:pPr>
      <w:r>
        <w:t xml:space="preserve">Real Solutions talks about “the </w:t>
      </w:r>
      <w:r w:rsidR="005C2F51">
        <w:t xml:space="preserve">adoption of a smarter approach to the disability pension that distinguishes between </w:t>
      </w:r>
      <w:r>
        <w:t>disabilities</w:t>
      </w:r>
      <w:r w:rsidR="005C2F51">
        <w:t xml:space="preserve"> that are likely to be permanent and those that are not which will prevent older unemployed people being parked on welfare”.  </w:t>
      </w:r>
      <w:r>
        <w:t xml:space="preserve">The Disability </w:t>
      </w:r>
      <w:r w:rsidR="005C7586">
        <w:t xml:space="preserve">Support </w:t>
      </w:r>
      <w:r>
        <w:t xml:space="preserve">Pension </w:t>
      </w:r>
      <w:r w:rsidR="005C7586">
        <w:t xml:space="preserve">(DSP) </w:t>
      </w:r>
      <w:r>
        <w:t xml:space="preserve">according to the Department </w:t>
      </w:r>
      <w:r w:rsidRPr="001D676A">
        <w:t>of Social Security own report stated over 127,000 claims</w:t>
      </w:r>
      <w:r>
        <w:t xml:space="preserve"> were made, 72 000 were rejected.  BJL </w:t>
      </w:r>
      <w:r w:rsidR="005C7586">
        <w:t>(</w:t>
      </w:r>
      <w:r w:rsidR="00702CA4">
        <w:t>from the perspective of those working with people with disabilities and advoc</w:t>
      </w:r>
      <w:r w:rsidR="005C7586">
        <w:t>ating for the DSP)</w:t>
      </w:r>
      <w:r w:rsidR="00702CA4">
        <w:t xml:space="preserve"> </w:t>
      </w:r>
      <w:r w:rsidR="005C7586">
        <w:t>agree with what is indicated by those figures</w:t>
      </w:r>
      <w:r w:rsidR="00702CA4">
        <w:t xml:space="preserve"> </w:t>
      </w:r>
      <w:r w:rsidR="005C7586">
        <w:t>that DSP is</w:t>
      </w:r>
      <w:r>
        <w:t xml:space="preserve"> difficult to apply for </w:t>
      </w:r>
      <w:r w:rsidR="005077CE">
        <w:t xml:space="preserve">and </w:t>
      </w:r>
      <w:r w:rsidR="005C7586">
        <w:t xml:space="preserve">to </w:t>
      </w:r>
      <w:r w:rsidR="005077CE">
        <w:t>prove eligibility</w:t>
      </w:r>
      <w:r w:rsidR="005C7586">
        <w:t xml:space="preserve"> for</w:t>
      </w:r>
      <w:r w:rsidR="005077CE">
        <w:t xml:space="preserve">.  </w:t>
      </w:r>
      <w:r w:rsidR="005C7586">
        <w:t xml:space="preserve"> Post proving and obtaining </w:t>
      </w:r>
      <w:r w:rsidR="005077CE">
        <w:t xml:space="preserve">eligibility </w:t>
      </w:r>
      <w:r>
        <w:t>Periodic Reviews</w:t>
      </w:r>
      <w:r w:rsidR="005C7586">
        <w:t xml:space="preserve"> are </w:t>
      </w:r>
      <w:r>
        <w:t>built in</w:t>
      </w:r>
      <w:r w:rsidR="005C7586">
        <w:t>to</w:t>
      </w:r>
      <w:r>
        <w:t xml:space="preserve"> the </w:t>
      </w:r>
      <w:proofErr w:type="spellStart"/>
      <w:r>
        <w:t>Centrelink</w:t>
      </w:r>
      <w:proofErr w:type="spellEnd"/>
      <w:r>
        <w:t xml:space="preserve"> system </w:t>
      </w:r>
      <w:r w:rsidR="005C7586">
        <w:t>alread</w:t>
      </w:r>
      <w:r w:rsidR="00702CA4">
        <w:t>y</w:t>
      </w:r>
      <w:r w:rsidR="005C7586">
        <w:t xml:space="preserve"> and </w:t>
      </w:r>
      <w:r>
        <w:t>regardless of whether disabilities are permanent or not and no one is parked on welfare.  BJL have the privilege of delivering one of the nation-wide Disability Employment Services (DES Program).  The DES Program has best retention into employment outcomes of all the current Government employment services.  Anyone on the Disability Pensi</w:t>
      </w:r>
      <w:r w:rsidR="00702CA4">
        <w:t xml:space="preserve">on is eligible for that program, people with Disabilities are referred to that program.  </w:t>
      </w:r>
      <w:r>
        <w:t xml:space="preserve"> </w:t>
      </w:r>
      <w:r w:rsidR="005C7586">
        <w:t xml:space="preserve">That system works.  </w:t>
      </w:r>
      <w:r w:rsidR="00702CA4">
        <w:t xml:space="preserve">What doesn’t work is when the Government suggests that the Disability Pension is a hammock </w:t>
      </w:r>
      <w:r w:rsidR="001D676A">
        <w:lastRenderedPageBreak/>
        <w:t xml:space="preserve">which suggests that it is </w:t>
      </w:r>
      <w:r w:rsidR="00CC2D9A">
        <w:t>not highly</w:t>
      </w:r>
      <w:r w:rsidR="00702CA4">
        <w:t xml:space="preserve"> regulated</w:t>
      </w:r>
      <w:r w:rsidR="001D676A">
        <w:t xml:space="preserve"> and </w:t>
      </w:r>
      <w:r w:rsidR="00CC2D9A">
        <w:t>evidence</w:t>
      </w:r>
      <w:r w:rsidR="001D676A">
        <w:t>d</w:t>
      </w:r>
      <w:r w:rsidR="00CC2D9A">
        <w:t xml:space="preserve"> by independent and Government Medical Authoriti</w:t>
      </w:r>
      <w:r w:rsidR="001D676A">
        <w:t xml:space="preserve">es subjected to review.  </w:t>
      </w:r>
      <w:r w:rsidR="00702CA4">
        <w:t xml:space="preserve">Or that people seeking work are job snobs, </w:t>
      </w:r>
      <w:r w:rsidR="00CC2D9A">
        <w:t xml:space="preserve">dole bludgers – that </w:t>
      </w:r>
      <w:r w:rsidR="00702CA4">
        <w:t>somehow</w:t>
      </w:r>
      <w:r w:rsidR="00CC2D9A">
        <w:t xml:space="preserve"> people with disabilities and the unemployed are</w:t>
      </w:r>
      <w:r w:rsidR="00702CA4">
        <w:t xml:space="preserve"> exploiting their own unemployment </w:t>
      </w:r>
      <w:r w:rsidR="005C7586">
        <w:t xml:space="preserve">and/or disability </w:t>
      </w:r>
      <w:r w:rsidR="00CC2D9A">
        <w:t xml:space="preserve">for gain </w:t>
      </w:r>
      <w:r w:rsidR="00702CA4">
        <w:t xml:space="preserve">and </w:t>
      </w:r>
      <w:r w:rsidR="005C7586">
        <w:t xml:space="preserve">therefore </w:t>
      </w:r>
      <w:r w:rsidR="00702CA4">
        <w:t>punish</w:t>
      </w:r>
      <w:r w:rsidR="00CC2D9A">
        <w:t>ing</w:t>
      </w:r>
      <w:r w:rsidR="00702CA4">
        <w:t xml:space="preserve"> them publically</w:t>
      </w:r>
      <w:r w:rsidR="00CC2D9A">
        <w:t xml:space="preserve"> is justified</w:t>
      </w:r>
      <w:r w:rsidR="00702CA4">
        <w:t xml:space="preserve">.  </w:t>
      </w:r>
      <w:r w:rsidR="00CC2D9A">
        <w:t xml:space="preserve">If you want the unemployed to be employed, if you want people to see the ability of people living with disabilities BJL would advocate positive Government led marketing to employers, it would be far more proactive and a lot less mean.   </w:t>
      </w:r>
    </w:p>
    <w:p w:rsidR="00CC2D9A" w:rsidRDefault="00CC2D9A" w:rsidP="00FA7790">
      <w:pPr>
        <w:spacing w:line="360" w:lineRule="auto"/>
      </w:pPr>
    </w:p>
    <w:p w:rsidR="005C2F51" w:rsidRPr="00106B0C" w:rsidRDefault="00CC2D9A" w:rsidP="00A8217E">
      <w:pPr>
        <w:spacing w:line="360" w:lineRule="auto"/>
        <w:rPr>
          <w:highlight w:val="yellow"/>
        </w:rPr>
      </w:pPr>
      <w:r>
        <w:t xml:space="preserve">There is a theme of hostility towards social system recipients’ which does very little else but support the ideal of mutual obligation.  Around 150 000 job seekers are expected to complete </w:t>
      </w:r>
      <w:r w:rsidR="003F3253">
        <w:t>15 – 25 hours per week.  Work for the Dole is not a training program that leads to employment and there is strong empirical evidence that it is not a pathway to employment.  Pro</w:t>
      </w:r>
      <w:r w:rsidR="005C7586">
        <w:t>fessor of E</w:t>
      </w:r>
      <w:r w:rsidR="0092438B">
        <w:t>conomics Jeff Bo</w:t>
      </w:r>
      <w:r w:rsidR="003F3253">
        <w:t xml:space="preserve">rland from the University of Melbourne was </w:t>
      </w:r>
      <w:r w:rsidR="003F3253" w:rsidRPr="0092438B">
        <w:t>another to review Work for the Dole said</w:t>
      </w:r>
      <w:r w:rsidR="003F3253">
        <w:t xml:space="preserve"> that participants on Work for the Dole actually spend more time on payments in the first 12 months than those that had not par</w:t>
      </w:r>
      <w:r w:rsidR="00AA3084">
        <w:t xml:space="preserve">ticipated in Work for The Dole. </w:t>
      </w:r>
      <w:r w:rsidR="003F3253">
        <w:t xml:space="preserve"> That alongside its own name makes it seem more punitive than productive.  BJL has ran employment and labour market programs for over a quarter of a decade and Government Funding Bodies demand no less return for monies they allocate for a job seeker (as a matter of contractual arrangement/agreement) than an actual employment placement with an actual employment outcome as standard service delivery and nor should th</w:t>
      </w:r>
      <w:r w:rsidR="00B9128D">
        <w:t xml:space="preserve">ey.  Knowing </w:t>
      </w:r>
      <w:r w:rsidR="003F3253">
        <w:t xml:space="preserve">Work for Dole goes </w:t>
      </w:r>
      <w:r w:rsidR="00B9128D">
        <w:t xml:space="preserve">does not led to employment outcomes completely against </w:t>
      </w:r>
      <w:r w:rsidR="00617799">
        <w:t xml:space="preserve">due </w:t>
      </w:r>
      <w:r w:rsidR="00B9128D">
        <w:t xml:space="preserve">economic/socio due </w:t>
      </w:r>
      <w:r w:rsidR="00617799">
        <w:t>diligence</w:t>
      </w:r>
      <w:r w:rsidR="00106B0C">
        <w:t xml:space="preserve"> that they Government ensures applies to the  Job S</w:t>
      </w:r>
      <w:r w:rsidR="00B9128D">
        <w:t xml:space="preserve">earch </w:t>
      </w:r>
      <w:r w:rsidR="00106B0C">
        <w:t>A</w:t>
      </w:r>
      <w:r w:rsidR="00B9128D">
        <w:t>llowance</w:t>
      </w:r>
      <w:r w:rsidR="00106B0C">
        <w:t>.</w:t>
      </w:r>
    </w:p>
    <w:p w:rsidR="001D676A" w:rsidRDefault="001D676A" w:rsidP="00B57D5B">
      <w:pPr>
        <w:spacing w:line="360" w:lineRule="auto"/>
        <w:rPr>
          <w:b/>
          <w:u w:val="single"/>
        </w:rPr>
      </w:pPr>
    </w:p>
    <w:p w:rsidR="00B57D5B" w:rsidRPr="005C2F51" w:rsidRDefault="00B57D5B" w:rsidP="00B57D5B">
      <w:pPr>
        <w:spacing w:line="360" w:lineRule="auto"/>
        <w:rPr>
          <w:b/>
          <w:u w:val="single"/>
        </w:rPr>
      </w:pPr>
      <w:r w:rsidRPr="005C2F51">
        <w:rPr>
          <w:b/>
          <w:u w:val="single"/>
        </w:rPr>
        <w:t>4: Disincentives</w:t>
      </w:r>
    </w:p>
    <w:p w:rsidR="001D676A" w:rsidRDefault="001D676A" w:rsidP="00A8217E">
      <w:pPr>
        <w:spacing w:line="360" w:lineRule="auto"/>
      </w:pPr>
    </w:p>
    <w:p w:rsidR="005C6FBB" w:rsidRDefault="007B568F" w:rsidP="00A8217E">
      <w:pPr>
        <w:spacing w:line="360" w:lineRule="auto"/>
      </w:pPr>
      <w:r w:rsidRPr="00B5608D">
        <w:t xml:space="preserve">The report </w:t>
      </w:r>
      <w:r w:rsidR="009467B0" w:rsidRPr="00B5608D">
        <w:t xml:space="preserve">calls for an expansion of </w:t>
      </w:r>
      <w:r w:rsidR="00652766">
        <w:t xml:space="preserve">income management, stating that </w:t>
      </w:r>
      <w:r w:rsidR="009467B0" w:rsidRPr="00652766">
        <w:t>“</w:t>
      </w:r>
      <w:r w:rsidR="00652766" w:rsidRPr="00106B0C">
        <w:rPr>
          <w:i/>
        </w:rPr>
        <w:t>i</w:t>
      </w:r>
      <w:r w:rsidR="009467B0" w:rsidRPr="00106B0C">
        <w:rPr>
          <w:i/>
        </w:rPr>
        <w:t>ncome management can be an effective tool in building community capacity, by contributing to, and encouraging adherence to, broad social norms as well as re</w:t>
      </w:r>
      <w:r w:rsidR="00522396" w:rsidRPr="00106B0C">
        <w:rPr>
          <w:i/>
        </w:rPr>
        <w:t>ducing community dysfunction</w:t>
      </w:r>
      <w:r w:rsidR="00522396" w:rsidRPr="00652766">
        <w:t>.”</w:t>
      </w:r>
      <w:r w:rsidR="00652766">
        <w:rPr>
          <w:i/>
        </w:rPr>
        <w:t xml:space="preserve">  </w:t>
      </w:r>
      <w:r w:rsidR="00652766">
        <w:t>It</w:t>
      </w:r>
      <w:r w:rsidR="00F603E6" w:rsidRPr="00B5608D">
        <w:t xml:space="preserve"> cites evaluations</w:t>
      </w:r>
      <w:r w:rsidR="009467B0" w:rsidRPr="00B5608D">
        <w:t xml:space="preserve"> claiming that there are positive perceptions of income management in “</w:t>
      </w:r>
      <w:r w:rsidR="009467B0" w:rsidRPr="00106B0C">
        <w:rPr>
          <w:i/>
        </w:rPr>
        <w:t>promoting social responsible behaviour and improving the wellbeing of communities and children</w:t>
      </w:r>
      <w:r w:rsidR="009467B0" w:rsidRPr="00B5608D">
        <w:t xml:space="preserve">”. </w:t>
      </w:r>
      <w:r w:rsidR="00106B0C">
        <w:t xml:space="preserve"> This assumes that all people on income management </w:t>
      </w:r>
      <w:r w:rsidR="005C6FBB">
        <w:t>or</w:t>
      </w:r>
      <w:r w:rsidR="00AA3084">
        <w:t xml:space="preserve"> will</w:t>
      </w:r>
      <w:r w:rsidR="005C6FBB">
        <w:t xml:space="preserve"> </w:t>
      </w:r>
      <w:r w:rsidR="00106B0C">
        <w:t xml:space="preserve">contribute </w:t>
      </w:r>
      <w:r w:rsidR="00AA3084">
        <w:t>(</w:t>
      </w:r>
      <w:r w:rsidR="00106B0C">
        <w:t>by way of being on Job Search Allowance</w:t>
      </w:r>
      <w:r w:rsidR="00AA3084">
        <w:t>)</w:t>
      </w:r>
      <w:r w:rsidR="00106B0C">
        <w:t xml:space="preserve"> to community </w:t>
      </w:r>
      <w:r w:rsidR="00106B0C">
        <w:lastRenderedPageBreak/>
        <w:t>dysfunction</w:t>
      </w:r>
      <w:r w:rsidR="005C6FBB">
        <w:t xml:space="preserve"> by contributing to socially irresponsible behaviour, contributing to the lowering of communi</w:t>
      </w:r>
      <w:r w:rsidR="00AA3084">
        <w:t xml:space="preserve">ties and children well-being.  That is unfair and unjust. </w:t>
      </w:r>
    </w:p>
    <w:p w:rsidR="00DE43EE" w:rsidRPr="00B5608D" w:rsidRDefault="009467B0" w:rsidP="00A8217E">
      <w:pPr>
        <w:spacing w:line="360" w:lineRule="auto"/>
      </w:pPr>
      <w:r w:rsidRPr="00B5608D">
        <w:t xml:space="preserve">The reality is, however, that income management remains </w:t>
      </w:r>
      <w:r w:rsidR="004A3388" w:rsidRPr="00B5608D">
        <w:t>an inefficient program</w:t>
      </w:r>
      <w:r w:rsidRPr="00B5608D">
        <w:t xml:space="preserve"> and a costly way to control how pe</w:t>
      </w:r>
      <w:r w:rsidR="00652766">
        <w:t>ople spend their support payments</w:t>
      </w:r>
      <w:r w:rsidRPr="00B5608D">
        <w:t xml:space="preserve">. </w:t>
      </w:r>
      <w:r w:rsidR="00652766">
        <w:t xml:space="preserve">  </w:t>
      </w:r>
      <w:r w:rsidR="00FD7F52" w:rsidRPr="00B5608D">
        <w:t>Income management has been proven to be ineffective as a strategy to combat the squandering of government money. A</w:t>
      </w:r>
      <w:r w:rsidR="0009585A" w:rsidRPr="00B5608D">
        <w:t>ccording to a study</w:t>
      </w:r>
      <w:r w:rsidR="008D720D" w:rsidRPr="00B5608D">
        <w:rPr>
          <w:vertAlign w:val="superscript"/>
        </w:rPr>
        <w:t>4</w:t>
      </w:r>
      <w:r w:rsidR="0009585A" w:rsidRPr="00B5608D">
        <w:t xml:space="preserve"> for the Department of Social Services conducted by the University of New South W</w:t>
      </w:r>
      <w:r w:rsidR="00A207A6" w:rsidRPr="00B5608D">
        <w:t>ales, in conjunction with the So</w:t>
      </w:r>
      <w:r w:rsidR="0009585A" w:rsidRPr="00B5608D">
        <w:t xml:space="preserve">cial Policy Research Centre and the </w:t>
      </w:r>
      <w:r w:rsidR="00FD7F52" w:rsidRPr="00B5608D">
        <w:t>Australian National University</w:t>
      </w:r>
    </w:p>
    <w:p w:rsidR="00FD7F52" w:rsidRPr="00B5608D" w:rsidRDefault="00FD7F52" w:rsidP="00652766">
      <w:pPr>
        <w:spacing w:line="360" w:lineRule="auto"/>
        <w:ind w:left="720"/>
        <w:rPr>
          <w:i/>
        </w:rPr>
      </w:pPr>
      <w:r w:rsidRPr="00B5608D">
        <w:t xml:space="preserve">[Income management] </w:t>
      </w:r>
      <w:r w:rsidR="0009585A" w:rsidRPr="00B5608D">
        <w:t>“</w:t>
      </w:r>
      <w:r w:rsidR="0009585A" w:rsidRPr="00B5608D">
        <w:rPr>
          <w:i/>
        </w:rPr>
        <w:t>has had a diverse set of impacts. For some it has been positive, for others negative and for others it has had little effect. Taken as a whole there is not strong evidence that, at this stage, the program</w:t>
      </w:r>
      <w:r w:rsidR="004A3388" w:rsidRPr="00B5608D">
        <w:rPr>
          <w:i/>
        </w:rPr>
        <w:t xml:space="preserve"> </w:t>
      </w:r>
      <w:r w:rsidR="0009585A" w:rsidRPr="00B5608D">
        <w:rPr>
          <w:i/>
        </w:rPr>
        <w:t xml:space="preserve"> has had a major impact on improving outcomes overall, but many individuals report some gains, while others report more negative effects”</w:t>
      </w:r>
    </w:p>
    <w:p w:rsidR="00FD7F52" w:rsidRPr="00B5608D" w:rsidRDefault="00FD7F52" w:rsidP="00A8217E">
      <w:pPr>
        <w:spacing w:line="360" w:lineRule="auto"/>
        <w:rPr>
          <w:i/>
        </w:rPr>
      </w:pPr>
      <w:r w:rsidRPr="00B5608D">
        <w:t xml:space="preserve">The study goes on to state that there are a large number of people subject to compulsory income management who are not addicted to alcohol, drugs, or gambling, and are able to manage money effectively. </w:t>
      </w:r>
    </w:p>
    <w:p w:rsidR="0009585A" w:rsidRPr="00B5608D" w:rsidRDefault="00FD7F52" w:rsidP="00652766">
      <w:pPr>
        <w:spacing w:line="360" w:lineRule="auto"/>
        <w:ind w:left="720"/>
        <w:rPr>
          <w:i/>
        </w:rPr>
      </w:pPr>
      <w:r w:rsidRPr="00B5608D">
        <w:rPr>
          <w:i/>
        </w:rPr>
        <w:t>“</w:t>
      </w:r>
      <w:r w:rsidR="0009585A" w:rsidRPr="00B5608D">
        <w:rPr>
          <w:i/>
        </w:rPr>
        <w:t>Thus there appears to be a large number of people subject to Compulsory Income Management who are unlikely to benefit from this measure, and for whom the restrictions of income management can create frustrations and challenges. This raises questions about the application of income management to people who do not n</w:t>
      </w:r>
      <w:r w:rsidRPr="00B5608D">
        <w:rPr>
          <w:i/>
        </w:rPr>
        <w:t>eed it.</w:t>
      </w:r>
      <w:r w:rsidR="0009585A" w:rsidRPr="00B5608D">
        <w:rPr>
          <w:i/>
        </w:rPr>
        <w:t>“</w:t>
      </w:r>
    </w:p>
    <w:p w:rsidR="001D676A" w:rsidRDefault="001D676A" w:rsidP="00A8217E">
      <w:pPr>
        <w:spacing w:after="0" w:line="360" w:lineRule="auto"/>
        <w:textAlignment w:val="baseline"/>
      </w:pPr>
    </w:p>
    <w:p w:rsidR="003B10DE" w:rsidRDefault="00064502" w:rsidP="00A8217E">
      <w:pPr>
        <w:spacing w:after="0" w:line="360" w:lineRule="auto"/>
        <w:textAlignment w:val="baseline"/>
        <w:rPr>
          <w:rFonts w:eastAsia="Times New Roman" w:cs="Lucida Sans Unicode"/>
          <w:i/>
          <w:color w:val="000000"/>
          <w:lang w:eastAsia="en-AU"/>
        </w:rPr>
      </w:pPr>
      <w:r>
        <w:t xml:space="preserve">The report intention is to recommend an expansion of this policy.   </w:t>
      </w:r>
      <w:r w:rsidR="005C6FBB">
        <w:t xml:space="preserve">Why?  </w:t>
      </w:r>
      <w:r>
        <w:t>BJL</w:t>
      </w:r>
      <w:r w:rsidR="00652766">
        <w:t xml:space="preserve"> believe income management is a pat</w:t>
      </w:r>
      <w:r w:rsidR="00981CB6">
        <w:t>ernal</w:t>
      </w:r>
      <w:r w:rsidR="00AB701C">
        <w:t>/maternal</w:t>
      </w:r>
      <w:r w:rsidR="00981CB6">
        <w:t xml:space="preserve"> system</w:t>
      </w:r>
      <w:r w:rsidR="005C6FBB">
        <w:t xml:space="preserve"> which only furthers dependency and humiliates proud Australians who find themselves in the situation of having </w:t>
      </w:r>
      <w:r w:rsidR="00AB701C">
        <w:t xml:space="preserve">done nothing more than be eligible and receiving </w:t>
      </w:r>
      <w:r w:rsidR="005C6FBB">
        <w:t>f</w:t>
      </w:r>
      <w:r w:rsidR="00AB701C">
        <w:t>or a payment</w:t>
      </w:r>
      <w:r w:rsidR="005C6FBB">
        <w:t xml:space="preserve"> they are fully entitled to.  </w:t>
      </w:r>
      <w:r w:rsidR="00981CB6">
        <w:t xml:space="preserve"> </w:t>
      </w:r>
      <w:r w:rsidR="005C6FBB">
        <w:t xml:space="preserve">This attitude </w:t>
      </w:r>
      <w:r w:rsidR="00981CB6">
        <w:t xml:space="preserve">is inconsistent with one of the reports own Pillars Two which </w:t>
      </w:r>
      <w:r>
        <w:t xml:space="preserve">does nothing towards </w:t>
      </w:r>
      <w:r w:rsidR="00981CB6">
        <w:t>peop</w:t>
      </w:r>
      <w:r>
        <w:t>le building their own capacity.  Instead BJL agrees with Parliaments own brief it creates</w:t>
      </w:r>
      <w:r w:rsidR="003B10DE" w:rsidRPr="00B5608D">
        <w:t xml:space="preserve"> ”</w:t>
      </w:r>
      <w:r w:rsidR="003B10DE" w:rsidRPr="00B5608D">
        <w:rPr>
          <w:rFonts w:eastAsia="Times New Roman" w:cs="Lucida Sans Unicode"/>
          <w:i/>
          <w:color w:val="000000"/>
          <w:lang w:eastAsia="en-AU"/>
        </w:rPr>
        <w:t>considerable feelings of disempowerment and unfairness among those who are compulsorily subject to the scheme.</w:t>
      </w:r>
      <w:r w:rsidR="0092438B" w:rsidRPr="0092438B">
        <w:rPr>
          <w:rFonts w:eastAsia="Times New Roman" w:cs="Lucida Sans Unicode"/>
          <w:color w:val="000000"/>
          <w:vertAlign w:val="superscript"/>
          <w:lang w:eastAsia="en-AU"/>
        </w:rPr>
        <w:t>9</w:t>
      </w:r>
      <w:r w:rsidR="004877F7" w:rsidRPr="00B5608D">
        <w:rPr>
          <w:rFonts w:eastAsia="Times New Roman" w:cs="Lucida Sans Unicode"/>
          <w:i/>
          <w:color w:val="000000"/>
          <w:lang w:eastAsia="en-AU"/>
        </w:rPr>
        <w:t xml:space="preserve"> </w:t>
      </w:r>
      <w:r w:rsidR="003B10DE" w:rsidRPr="00B5608D">
        <w:rPr>
          <w:rFonts w:eastAsia="Times New Roman" w:cs="Lucida Sans Unicode"/>
          <w:i/>
          <w:color w:val="000000"/>
          <w:lang w:eastAsia="en-AU"/>
        </w:rPr>
        <w:t>[PARLIAMENTARY BRIEFS]</w:t>
      </w:r>
      <w:r>
        <w:rPr>
          <w:rFonts w:eastAsia="Times New Roman" w:cs="Lucida Sans Unicode"/>
          <w:i/>
          <w:color w:val="000000"/>
          <w:lang w:eastAsia="en-AU"/>
        </w:rPr>
        <w:t>.</w:t>
      </w:r>
    </w:p>
    <w:p w:rsidR="006D0A87" w:rsidRDefault="006D0A87" w:rsidP="00A8217E">
      <w:pPr>
        <w:spacing w:after="0" w:line="360" w:lineRule="auto"/>
        <w:textAlignment w:val="baseline"/>
        <w:rPr>
          <w:rFonts w:eastAsia="Times New Roman" w:cs="Lucida Sans Unicode"/>
          <w:color w:val="000000"/>
          <w:lang w:eastAsia="en-AU"/>
        </w:rPr>
      </w:pPr>
    </w:p>
    <w:p w:rsidR="0009585A" w:rsidRPr="00406189" w:rsidRDefault="006D0A87" w:rsidP="00406189">
      <w:pPr>
        <w:spacing w:after="0" w:line="360" w:lineRule="auto"/>
        <w:textAlignment w:val="baseline"/>
        <w:rPr>
          <w:rFonts w:eastAsia="Times New Roman" w:cs="Lucida Sans Unicode"/>
          <w:color w:val="000000"/>
          <w:lang w:eastAsia="en-AU"/>
        </w:rPr>
      </w:pPr>
      <w:r>
        <w:rPr>
          <w:rFonts w:eastAsia="Times New Roman" w:cs="Lucida Sans Unicode"/>
          <w:color w:val="000000"/>
          <w:lang w:eastAsia="en-AU"/>
        </w:rPr>
        <w:t>Recipients</w:t>
      </w:r>
      <w:r w:rsidR="00064502">
        <w:rPr>
          <w:rFonts w:eastAsia="Times New Roman" w:cs="Lucida Sans Unicode"/>
          <w:color w:val="000000"/>
          <w:lang w:eastAsia="en-AU"/>
        </w:rPr>
        <w:t xml:space="preserve"> of social security payments can seek </w:t>
      </w:r>
      <w:r>
        <w:rPr>
          <w:rFonts w:eastAsia="Times New Roman" w:cs="Lucida Sans Unicode"/>
          <w:color w:val="000000"/>
          <w:lang w:eastAsia="en-AU"/>
        </w:rPr>
        <w:t xml:space="preserve">financial counselling through </w:t>
      </w:r>
      <w:proofErr w:type="spellStart"/>
      <w:r>
        <w:rPr>
          <w:rFonts w:eastAsia="Times New Roman" w:cs="Lucida Sans Unicode"/>
          <w:color w:val="000000"/>
          <w:lang w:eastAsia="en-AU"/>
        </w:rPr>
        <w:t>Centrelink</w:t>
      </w:r>
      <w:proofErr w:type="spellEnd"/>
      <w:r>
        <w:rPr>
          <w:rFonts w:eastAsia="Times New Roman" w:cs="Lucida Sans Unicode"/>
          <w:color w:val="000000"/>
          <w:lang w:eastAsia="en-AU"/>
        </w:rPr>
        <w:t xml:space="preserve"> and there are excellent services in the community including those run by NFP organisations.  </w:t>
      </w:r>
      <w:r w:rsidR="00E0382B">
        <w:rPr>
          <w:rFonts w:eastAsia="Times New Roman" w:cs="Lucida Sans Unicode"/>
          <w:color w:val="000000"/>
          <w:lang w:eastAsia="en-AU"/>
        </w:rPr>
        <w:t>These services are built on the foundations of empowering the participant and teaching financial lessons that can be appli</w:t>
      </w:r>
      <w:r w:rsidR="005C6FBB">
        <w:rPr>
          <w:rFonts w:eastAsia="Times New Roman" w:cs="Lucida Sans Unicode"/>
          <w:color w:val="000000"/>
          <w:lang w:eastAsia="en-AU"/>
        </w:rPr>
        <w:t>ed throughout their</w:t>
      </w:r>
      <w:r w:rsidR="00E0382B">
        <w:rPr>
          <w:rFonts w:eastAsia="Times New Roman" w:cs="Lucida Sans Unicode"/>
          <w:color w:val="000000"/>
          <w:lang w:eastAsia="en-AU"/>
        </w:rPr>
        <w:t xml:space="preserve"> lifetime.  </w:t>
      </w:r>
      <w:r>
        <w:rPr>
          <w:rFonts w:eastAsia="Times New Roman" w:cs="Lucida Sans Unicode"/>
          <w:color w:val="000000"/>
          <w:lang w:eastAsia="en-AU"/>
        </w:rPr>
        <w:t xml:space="preserve">Many of BJL’s clients have benefited from these services </w:t>
      </w:r>
      <w:r>
        <w:rPr>
          <w:rFonts w:eastAsia="Times New Roman" w:cs="Lucida Sans Unicode"/>
          <w:color w:val="000000"/>
          <w:lang w:eastAsia="en-AU"/>
        </w:rPr>
        <w:lastRenderedPageBreak/>
        <w:t>financially and have felt empowered by the experience of gaining the tools to solve their situation</w:t>
      </w:r>
      <w:r w:rsidR="00E0382B">
        <w:rPr>
          <w:rFonts w:eastAsia="Times New Roman" w:cs="Lucida Sans Unicode"/>
          <w:color w:val="000000"/>
          <w:lang w:eastAsia="en-AU"/>
        </w:rPr>
        <w:t>s</w:t>
      </w:r>
      <w:r>
        <w:rPr>
          <w:rFonts w:eastAsia="Times New Roman" w:cs="Lucida Sans Unicode"/>
          <w:color w:val="000000"/>
          <w:lang w:eastAsia="en-AU"/>
        </w:rPr>
        <w:t xml:space="preserve">.  </w:t>
      </w:r>
      <w:proofErr w:type="spellStart"/>
      <w:r>
        <w:rPr>
          <w:rFonts w:eastAsia="Times New Roman" w:cs="Lucida Sans Unicode"/>
          <w:color w:val="000000"/>
          <w:lang w:eastAsia="en-AU"/>
        </w:rPr>
        <w:t>Centre</w:t>
      </w:r>
      <w:r w:rsidR="00E0382B">
        <w:rPr>
          <w:rFonts w:eastAsia="Times New Roman" w:cs="Lucida Sans Unicode"/>
          <w:color w:val="000000"/>
          <w:lang w:eastAsia="en-AU"/>
        </w:rPr>
        <w:t>link</w:t>
      </w:r>
      <w:proofErr w:type="spellEnd"/>
      <w:r w:rsidR="00E0382B">
        <w:rPr>
          <w:rFonts w:eastAsia="Times New Roman" w:cs="Lucida Sans Unicode"/>
          <w:color w:val="000000"/>
          <w:lang w:eastAsia="en-AU"/>
        </w:rPr>
        <w:t xml:space="preserve"> could make this compulsory </w:t>
      </w:r>
      <w:r w:rsidR="00406189">
        <w:rPr>
          <w:rFonts w:eastAsia="Times New Roman" w:cs="Lucida Sans Unicode"/>
          <w:color w:val="000000"/>
          <w:lang w:eastAsia="en-AU"/>
        </w:rPr>
        <w:t xml:space="preserve">facilitated </w:t>
      </w:r>
      <w:r w:rsidR="00E0382B">
        <w:rPr>
          <w:rFonts w:eastAsia="Times New Roman" w:cs="Lucida Sans Unicode"/>
          <w:color w:val="000000"/>
          <w:lang w:eastAsia="en-AU"/>
        </w:rPr>
        <w:t xml:space="preserve">counselling with minimal adjustment to the current system </w:t>
      </w:r>
      <w:r w:rsidR="00406189">
        <w:rPr>
          <w:rFonts w:eastAsia="Times New Roman" w:cs="Lucida Sans Unicode"/>
          <w:color w:val="000000"/>
          <w:lang w:eastAsia="en-AU"/>
        </w:rPr>
        <w:t xml:space="preserve">without the drastic, demeaning action of quarantine.  </w:t>
      </w:r>
      <w:r w:rsidR="0009585A" w:rsidRPr="00B5608D">
        <w:t>The cost of Income management through 2014-15 has been estimated to within the range of $1 billion</w:t>
      </w:r>
      <w:r w:rsidR="0092438B" w:rsidRPr="0092438B">
        <w:rPr>
          <w:vertAlign w:val="superscript"/>
        </w:rPr>
        <w:t>9</w:t>
      </w:r>
      <w:r w:rsidR="0009585A" w:rsidRPr="0092438B">
        <w:t>.</w:t>
      </w:r>
      <w:r w:rsidR="0009585A" w:rsidRPr="00B5608D">
        <w:t xml:space="preserve"> With a report that is focused on cutting the cost of social welfare to the Australian government and taxpayer, and increasing the efficiency and returns of current programs in place, it seems ludicrous that the government would be expanding the</w:t>
      </w:r>
      <w:r w:rsidR="00B752C4" w:rsidRPr="00B5608D">
        <w:t xml:space="preserve"> costly</w:t>
      </w:r>
      <w:r w:rsidR="00F603E6" w:rsidRPr="00B5608D">
        <w:t xml:space="preserve"> and inefficient</w:t>
      </w:r>
      <w:r w:rsidR="0009585A" w:rsidRPr="00B5608D">
        <w:t xml:space="preserve"> Income Management program. </w:t>
      </w:r>
    </w:p>
    <w:p w:rsidR="00B11081" w:rsidRPr="005C2F51" w:rsidRDefault="002C37F4" w:rsidP="00E0382B">
      <w:pPr>
        <w:spacing w:line="360" w:lineRule="auto"/>
        <w:rPr>
          <w:b/>
          <w:u w:val="single"/>
        </w:rPr>
      </w:pPr>
      <w:r w:rsidRPr="00B5608D">
        <w:br/>
      </w:r>
    </w:p>
    <w:p w:rsidR="00A405DA" w:rsidRPr="00B5608D" w:rsidRDefault="00EF1CE7" w:rsidP="00A8217E">
      <w:pPr>
        <w:spacing w:line="360" w:lineRule="auto"/>
      </w:pPr>
      <w:r w:rsidRPr="00B5608D">
        <w:t>BJL Connecting Commu</w:t>
      </w:r>
      <w:r w:rsidR="00AB701C">
        <w:t xml:space="preserve">nities believes that the social security </w:t>
      </w:r>
      <w:r w:rsidRPr="00B5608D">
        <w:t>system does not need the level o</w:t>
      </w:r>
      <w:r w:rsidR="00AB701C">
        <w:t xml:space="preserve">f reform this report calls for and the areas the reforms target themselves are intended, complex and are will act as disincentives.   </w:t>
      </w:r>
      <w:r w:rsidRPr="00B5608D">
        <w:t>There is clear e</w:t>
      </w:r>
      <w:r w:rsidR="00AB701C">
        <w:t xml:space="preserve">vidence that our </w:t>
      </w:r>
      <w:r w:rsidRPr="00B5608D">
        <w:t>system is one of the m</w:t>
      </w:r>
      <w:r w:rsidR="00F507D4" w:rsidRPr="00B5608D">
        <w:t>ost effective and ec</w:t>
      </w:r>
      <w:r w:rsidR="003C6AF9">
        <w:t xml:space="preserve">onomical in the OECD countries and the reforms supported by this report are radically outside what is required to strengthen that system nor will it stimulate nor produce employment growth.  It will marginalise people when they most need and </w:t>
      </w:r>
      <w:r w:rsidR="00E45200">
        <w:t xml:space="preserve">they </w:t>
      </w:r>
      <w:r w:rsidR="003C6AF9">
        <w:t xml:space="preserve">want to be included.  </w:t>
      </w:r>
    </w:p>
    <w:p w:rsidR="00141BD4" w:rsidRPr="00B5608D" w:rsidRDefault="00141BD4"/>
    <w:p w:rsidR="005463B3" w:rsidRDefault="005463B3" w:rsidP="005463B3">
      <w:pPr>
        <w:pStyle w:val="EndnoteText"/>
      </w:pPr>
      <w:r>
        <w:t xml:space="preserve">1 Andrew </w:t>
      </w:r>
      <w:proofErr w:type="spellStart"/>
      <w:r>
        <w:t>Herscovitch</w:t>
      </w:r>
      <w:proofErr w:type="spellEnd"/>
      <w:r>
        <w:t xml:space="preserve"> &amp; David Stanton “History of Social Security” available </w:t>
      </w:r>
      <w:hyperlink r:id="rId10" w:history="1">
        <w:r w:rsidRPr="000B1D27">
          <w:rPr>
            <w:rStyle w:val="Hyperlink"/>
          </w:rPr>
          <w:t>http://www.aifs.gov.au/institute/pubs/fm2008/fm80/hs.pdf</w:t>
        </w:r>
      </w:hyperlink>
      <w:r>
        <w:t xml:space="preserve">  or Australian Institute of Family Studies 2008</w:t>
      </w:r>
    </w:p>
    <w:p w:rsidR="00141BD4" w:rsidRPr="00B5608D" w:rsidRDefault="00141BD4"/>
    <w:p w:rsidR="00141BD4" w:rsidRDefault="005463B3">
      <w:r>
        <w:rPr>
          <w:vertAlign w:val="superscript"/>
        </w:rPr>
        <w:t>2</w:t>
      </w:r>
      <w:r w:rsidR="00A207A6" w:rsidRPr="00B5608D">
        <w:t xml:space="preserve"> </w:t>
      </w:r>
      <w:r w:rsidR="00B5608D" w:rsidRPr="00B5608D">
        <w:t xml:space="preserve">ABC News, </w:t>
      </w:r>
      <w:r w:rsidR="00A207A6" w:rsidRPr="00B5608D">
        <w:t>‘Is Australia’s welfare spending heading down the same path as Europe’s?’, Uncredited, 3</w:t>
      </w:r>
      <w:r w:rsidR="00A207A6" w:rsidRPr="00B5608D">
        <w:rPr>
          <w:vertAlign w:val="superscript"/>
        </w:rPr>
        <w:t>rd</w:t>
      </w:r>
      <w:r w:rsidR="00A207A6" w:rsidRPr="00B5608D">
        <w:t xml:space="preserve"> Feb 2014, Access at </w:t>
      </w:r>
      <w:hyperlink r:id="rId11" w:history="1">
        <w:r w:rsidR="00A207A6" w:rsidRPr="00B5608D">
          <w:rPr>
            <w:rStyle w:val="Hyperlink"/>
          </w:rPr>
          <w:t>http://www.abc.net.au/news/2014-02-03/kevin-andrews--makes-unfounded-welfare-claim/5215798</w:t>
        </w:r>
      </w:hyperlink>
      <w:r w:rsidR="00A207A6" w:rsidRPr="00B5608D">
        <w:t xml:space="preserve"> </w:t>
      </w:r>
    </w:p>
    <w:p w:rsidR="005463B3" w:rsidRDefault="005463B3">
      <w:r>
        <w:rPr>
          <w:vertAlign w:val="superscript"/>
        </w:rPr>
        <w:t>3</w:t>
      </w:r>
      <w:r w:rsidRPr="00B5608D">
        <w:t xml:space="preserve"> Australia’s ‘overly generous’ welfare in context’, Jake Stevens, Crikey, 30</w:t>
      </w:r>
      <w:r w:rsidRPr="00B5608D">
        <w:rPr>
          <w:vertAlign w:val="superscript"/>
        </w:rPr>
        <w:t>th</w:t>
      </w:r>
      <w:r w:rsidRPr="00B5608D">
        <w:t xml:space="preserve"> May 2014, Accessed at  </w:t>
      </w:r>
      <w:hyperlink r:id="rId12" w:history="1">
        <w:r w:rsidRPr="00B5608D">
          <w:rPr>
            <w:rStyle w:val="Hyperlink"/>
          </w:rPr>
          <w:t>http://www.crikey.com.au/2014/05/30/australias-overly-generous-welfare-in-context/</w:t>
        </w:r>
      </w:hyperlink>
      <w:r w:rsidRPr="00B5608D">
        <w:t xml:space="preserve"> </w:t>
      </w:r>
      <w:r>
        <w:br/>
      </w:r>
    </w:p>
    <w:p w:rsidR="005463B3" w:rsidRPr="00B5608D" w:rsidRDefault="005463B3" w:rsidP="005463B3">
      <w:r>
        <w:rPr>
          <w:vertAlign w:val="superscript"/>
        </w:rPr>
        <w:t>4</w:t>
      </w:r>
      <w:r w:rsidRPr="00B5608D">
        <w:t xml:space="preserve">Australia Policy Online, ‘Pulling our Welfare Weight’, Peter </w:t>
      </w:r>
      <w:proofErr w:type="spellStart"/>
      <w:r w:rsidRPr="00B5608D">
        <w:t>Whitford</w:t>
      </w:r>
      <w:proofErr w:type="spellEnd"/>
      <w:r w:rsidRPr="00B5608D">
        <w:t xml:space="preserve">, 5 Aug 2009, Accessed at </w:t>
      </w:r>
      <w:hyperlink r:id="rId13" w:history="1">
        <w:r w:rsidRPr="00B5608D">
          <w:rPr>
            <w:rStyle w:val="Hyperlink"/>
          </w:rPr>
          <w:t>http://apo.org.au/commentary/pulling-our-welfare-weight</w:t>
        </w:r>
      </w:hyperlink>
      <w:r w:rsidRPr="00B5608D">
        <w:t xml:space="preserve"> </w:t>
      </w:r>
    </w:p>
    <w:p w:rsidR="009D6F46" w:rsidRPr="00B5608D" w:rsidRDefault="009D6F46" w:rsidP="009D6F46">
      <w:pPr>
        <w:rPr>
          <w:vertAlign w:val="superscript"/>
        </w:rPr>
      </w:pPr>
      <w:r>
        <w:rPr>
          <w:vertAlign w:val="superscript"/>
        </w:rPr>
        <w:t>5</w:t>
      </w:r>
      <w:r w:rsidRPr="00B5608D">
        <w:t xml:space="preserve"> Sydney Morning Herald, Peter Martin, ‘Head east for the jobs, new data reveals’, June 27</w:t>
      </w:r>
      <w:r w:rsidRPr="00B5608D">
        <w:rPr>
          <w:vertAlign w:val="superscript"/>
        </w:rPr>
        <w:t>th</w:t>
      </w:r>
      <w:r w:rsidRPr="00B5608D">
        <w:t xml:space="preserve"> 2014.Accessed at </w:t>
      </w:r>
      <w:hyperlink r:id="rId14" w:anchor="ixzz35zU1eg2x" w:history="1">
        <w:r w:rsidRPr="00B5608D">
          <w:rPr>
            <w:rStyle w:val="Hyperlink"/>
          </w:rPr>
          <w:t>http://www.smh.com.au/federal-politics/political-news/head-east-for-the-jobs-new-data-reveals-20140626-3awgl.html#ixzz35zU1eg2x</w:t>
        </w:r>
      </w:hyperlink>
    </w:p>
    <w:p w:rsidR="005463B3" w:rsidRDefault="009D6F46">
      <w:pPr>
        <w:rPr>
          <w:vertAlign w:val="superscript"/>
        </w:rPr>
      </w:pPr>
      <w:r>
        <w:rPr>
          <w:vertAlign w:val="superscript"/>
        </w:rPr>
        <w:t>6</w:t>
      </w:r>
    </w:p>
    <w:p w:rsidR="009D6F46" w:rsidRDefault="009D6F46">
      <w:r>
        <w:rPr>
          <w:vertAlign w:val="superscript"/>
        </w:rPr>
        <w:t>7</w:t>
      </w:r>
      <w:r>
        <w:t xml:space="preserve"> The Nationals, ‘Our Plan Real Solutions for all Australians’, Jan 2013, Accessed at: </w:t>
      </w:r>
      <w:hyperlink r:id="rId15" w:history="1">
        <w:r w:rsidRPr="00850244">
          <w:rPr>
            <w:rStyle w:val="Hyperlink"/>
          </w:rPr>
          <w:t>http://www.nationals.org.au/Portals/0/2013/Real%20Solutions%20-%20Our%20Plan%20Policy%20Booklet.pdf</w:t>
        </w:r>
      </w:hyperlink>
      <w:r>
        <w:t xml:space="preserve"> </w:t>
      </w:r>
    </w:p>
    <w:p w:rsidR="009D6F46" w:rsidRDefault="009D6F46">
      <w:r>
        <w:rPr>
          <w:vertAlign w:val="superscript"/>
        </w:rPr>
        <w:lastRenderedPageBreak/>
        <w:t>8</w:t>
      </w:r>
      <w:r>
        <w:t xml:space="preserve"> University of Melbourne, ‘Work for the Dole’, 2004, Accessed at: </w:t>
      </w:r>
      <w:hyperlink r:id="rId16" w:history="1">
        <w:r w:rsidRPr="00850244">
          <w:rPr>
            <w:rStyle w:val="Hyperlink"/>
          </w:rPr>
          <w:t>http://cf.fbe.unimelb.edu.au/staff/jib/documents/wfdwp.pdf</w:t>
        </w:r>
      </w:hyperlink>
      <w:r>
        <w:t xml:space="preserve"> </w:t>
      </w:r>
    </w:p>
    <w:p w:rsidR="0092438B" w:rsidRPr="00B5608D" w:rsidRDefault="0092438B" w:rsidP="0092438B">
      <w:r>
        <w:rPr>
          <w:vertAlign w:val="superscript"/>
        </w:rPr>
        <w:t>9</w:t>
      </w:r>
      <w:r w:rsidRPr="0092438B">
        <w:t xml:space="preserve"> </w:t>
      </w:r>
      <w:r w:rsidRPr="00B5608D">
        <w:t>Parliament of Australia, Dr Luke Buckmaster, ‘Does Income Management Work?’, 18</w:t>
      </w:r>
      <w:r w:rsidRPr="00B5608D">
        <w:rPr>
          <w:vertAlign w:val="superscript"/>
        </w:rPr>
        <w:t>th</w:t>
      </w:r>
      <w:r w:rsidRPr="00B5608D">
        <w:t xml:space="preserve"> July 2013, Accessed at </w:t>
      </w:r>
      <w:hyperlink r:id="rId17" w:history="1">
        <w:r w:rsidRPr="00B5608D">
          <w:rPr>
            <w:rStyle w:val="Hyperlink"/>
          </w:rPr>
          <w:t>http://www.aph.gov.au/About_Parliament/Parliamentary_Departments/Parliamentary_Library/pubs/BriefingBook44p/IncomeManagement</w:t>
        </w:r>
      </w:hyperlink>
    </w:p>
    <w:p w:rsidR="0092438B" w:rsidRPr="0092438B" w:rsidRDefault="0092438B"/>
    <w:p w:rsidR="00141BD4" w:rsidRPr="00B5608D" w:rsidRDefault="00B5608D" w:rsidP="00A207A6">
      <w:r w:rsidRPr="00B5608D">
        <w:t xml:space="preserve">Social Policy Research Centre UNSW on behalf of Department of Social Services, </w:t>
      </w:r>
      <w:r w:rsidR="00A207A6" w:rsidRPr="00B5608D">
        <w:t xml:space="preserve">‘Evaluating New Income Management in the Northern Territory: First Evaluation Report’, J Rob Bray, Matthew </w:t>
      </w:r>
      <w:proofErr w:type="spellStart"/>
      <w:r w:rsidR="00A207A6" w:rsidRPr="00B5608D">
        <w:t>Gray</w:t>
      </w:r>
      <w:proofErr w:type="spellEnd"/>
      <w:r w:rsidR="00A207A6" w:rsidRPr="00B5608D">
        <w:t xml:space="preserve">, Kelly Hand, Bruce Bradbury, Christine Eastman and </w:t>
      </w:r>
      <w:proofErr w:type="spellStart"/>
      <w:r w:rsidR="00A207A6" w:rsidRPr="00B5608D">
        <w:t>Ilan</w:t>
      </w:r>
      <w:proofErr w:type="spellEnd"/>
      <w:r w:rsidR="00A207A6" w:rsidRPr="00B5608D">
        <w:t xml:space="preserve"> Katz,  July 2012. Accessed at </w:t>
      </w:r>
      <w:hyperlink r:id="rId18" w:history="1">
        <w:r w:rsidRPr="00B5608D">
          <w:rPr>
            <w:rStyle w:val="Hyperlink"/>
          </w:rPr>
          <w:t>http://www.dss.gov.au/our-responsibilities/families-and-children/programs-services/income-management/evaluating-new-income-management-in-the-northern-territory-first-evaluation-report</w:t>
        </w:r>
      </w:hyperlink>
      <w:r w:rsidRPr="00B5608D">
        <w:t xml:space="preserve"> </w:t>
      </w:r>
    </w:p>
    <w:p w:rsidR="00141BD4" w:rsidRPr="00B5608D" w:rsidRDefault="00141BD4"/>
    <w:p w:rsidR="00B5608D" w:rsidRPr="00B5608D" w:rsidRDefault="00B5608D" w:rsidP="003C6AF9">
      <w:pPr>
        <w:pStyle w:val="BodyText"/>
      </w:pPr>
      <w:r w:rsidRPr="00B5608D">
        <w:t>The Conversation, Eva Cox,  ‘An 800,000-plus jobs gap between ‘welfare to work’ and reality’, 23</w:t>
      </w:r>
      <w:r w:rsidRPr="00B5608D">
        <w:rPr>
          <w:vertAlign w:val="superscript"/>
        </w:rPr>
        <w:t>rd</w:t>
      </w:r>
      <w:r w:rsidRPr="00B5608D">
        <w:t xml:space="preserve"> January 2014. </w:t>
      </w:r>
    </w:p>
    <w:p w:rsidR="00B5608D" w:rsidRPr="00B5608D" w:rsidRDefault="00B5608D"/>
    <w:sectPr w:rsidR="00B5608D" w:rsidRPr="00B5608D">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4EB" w:rsidRDefault="001734EB" w:rsidP="007D2AF6">
      <w:pPr>
        <w:spacing w:after="0" w:line="240" w:lineRule="auto"/>
      </w:pPr>
      <w:r>
        <w:separator/>
      </w:r>
    </w:p>
  </w:endnote>
  <w:endnote w:type="continuationSeparator" w:id="0">
    <w:p w:rsidR="001734EB" w:rsidRDefault="001734EB" w:rsidP="007D2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41"/>
      <w:gridCol w:w="4615"/>
    </w:tblGrid>
    <w:tr w:rsidR="007D2AF6">
      <w:trPr>
        <w:trHeight w:hRule="exact" w:val="115"/>
        <w:jc w:val="center"/>
      </w:trPr>
      <w:tc>
        <w:tcPr>
          <w:tcW w:w="4686" w:type="dxa"/>
          <w:shd w:val="clear" w:color="auto" w:fill="5B9BD5" w:themeFill="accent1"/>
          <w:tcMar>
            <w:top w:w="0" w:type="dxa"/>
            <w:bottom w:w="0" w:type="dxa"/>
          </w:tcMar>
        </w:tcPr>
        <w:p w:rsidR="007D2AF6" w:rsidRDefault="007D2AF6">
          <w:pPr>
            <w:pStyle w:val="Header"/>
            <w:rPr>
              <w:caps/>
              <w:sz w:val="18"/>
            </w:rPr>
          </w:pPr>
        </w:p>
      </w:tc>
      <w:tc>
        <w:tcPr>
          <w:tcW w:w="4674" w:type="dxa"/>
          <w:shd w:val="clear" w:color="auto" w:fill="5B9BD5" w:themeFill="accent1"/>
          <w:tcMar>
            <w:top w:w="0" w:type="dxa"/>
            <w:bottom w:w="0" w:type="dxa"/>
          </w:tcMar>
        </w:tcPr>
        <w:p w:rsidR="007D2AF6" w:rsidRDefault="007D2AF6">
          <w:pPr>
            <w:pStyle w:val="Header"/>
            <w:jc w:val="right"/>
            <w:rPr>
              <w:caps/>
              <w:sz w:val="18"/>
            </w:rPr>
          </w:pPr>
        </w:p>
      </w:tc>
    </w:tr>
    <w:tr w:rsidR="007D2AF6">
      <w:trPr>
        <w:jc w:val="center"/>
      </w:trPr>
      <w:tc>
        <w:tcPr>
          <w:tcW w:w="4686" w:type="dxa"/>
          <w:shd w:val="clear" w:color="auto" w:fill="auto"/>
          <w:vAlign w:val="center"/>
        </w:tcPr>
        <w:p w:rsidR="007D2AF6" w:rsidRDefault="007D2AF6">
          <w:pPr>
            <w:pStyle w:val="Footer"/>
            <w:rPr>
              <w:caps/>
              <w:color w:val="808080" w:themeColor="background1" w:themeShade="80"/>
              <w:sz w:val="18"/>
              <w:szCs w:val="18"/>
            </w:rPr>
          </w:pPr>
          <w:r>
            <w:rPr>
              <w:caps/>
              <w:color w:val="808080" w:themeColor="background1" w:themeShade="80"/>
              <w:sz w:val="18"/>
              <w:szCs w:val="18"/>
            </w:rPr>
            <w:t>BJL COnnecting Communities Response to</w:t>
          </w:r>
        </w:p>
        <w:p w:rsidR="007D2AF6" w:rsidRDefault="007D2AF6">
          <w:pPr>
            <w:pStyle w:val="Footer"/>
            <w:rPr>
              <w:caps/>
              <w:color w:val="808080" w:themeColor="background1" w:themeShade="80"/>
              <w:sz w:val="18"/>
              <w:szCs w:val="18"/>
            </w:rPr>
          </w:pPr>
          <w:r>
            <w:rPr>
              <w:caps/>
              <w:color w:val="808080" w:themeColor="background1" w:themeShade="80"/>
              <w:sz w:val="18"/>
              <w:szCs w:val="18"/>
            </w:rPr>
            <w:t xml:space="preserve"> “A New System for Better Employment and Social OUtcomes”    D Walsh &amp; F Palmer </w:t>
          </w:r>
        </w:p>
      </w:tc>
      <w:tc>
        <w:tcPr>
          <w:tcW w:w="4674" w:type="dxa"/>
          <w:shd w:val="clear" w:color="auto" w:fill="auto"/>
          <w:vAlign w:val="center"/>
        </w:tcPr>
        <w:p w:rsidR="007D2AF6" w:rsidRDefault="007D2AF6">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4726E1">
            <w:rPr>
              <w:caps/>
              <w:noProof/>
              <w:color w:val="808080" w:themeColor="background1" w:themeShade="80"/>
              <w:sz w:val="18"/>
              <w:szCs w:val="18"/>
            </w:rPr>
            <w:t>1</w:t>
          </w:r>
          <w:r>
            <w:rPr>
              <w:caps/>
              <w:noProof/>
              <w:color w:val="808080" w:themeColor="background1" w:themeShade="80"/>
              <w:sz w:val="18"/>
              <w:szCs w:val="18"/>
            </w:rPr>
            <w:fldChar w:fldCharType="end"/>
          </w:r>
        </w:p>
      </w:tc>
    </w:tr>
  </w:tbl>
  <w:p w:rsidR="007D2AF6" w:rsidRDefault="007D2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4EB" w:rsidRDefault="001734EB" w:rsidP="007D2AF6">
      <w:pPr>
        <w:spacing w:after="0" w:line="240" w:lineRule="auto"/>
      </w:pPr>
      <w:r>
        <w:separator/>
      </w:r>
    </w:p>
  </w:footnote>
  <w:footnote w:type="continuationSeparator" w:id="0">
    <w:p w:rsidR="001734EB" w:rsidRDefault="001734EB" w:rsidP="007D2A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E4A95"/>
    <w:multiLevelType w:val="multilevel"/>
    <w:tmpl w:val="DAB8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AB031C"/>
    <w:multiLevelType w:val="hybridMultilevel"/>
    <w:tmpl w:val="2AD21992"/>
    <w:lvl w:ilvl="0" w:tplc="2DD49B10">
      <w:start w:val="1"/>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48"/>
    <w:rsid w:val="00031124"/>
    <w:rsid w:val="00032226"/>
    <w:rsid w:val="0003301C"/>
    <w:rsid w:val="00064502"/>
    <w:rsid w:val="000916D7"/>
    <w:rsid w:val="0009585A"/>
    <w:rsid w:val="000A7E7A"/>
    <w:rsid w:val="000E4E6A"/>
    <w:rsid w:val="000F1084"/>
    <w:rsid w:val="00106B0C"/>
    <w:rsid w:val="00141BD4"/>
    <w:rsid w:val="001509C3"/>
    <w:rsid w:val="001734EB"/>
    <w:rsid w:val="001A7349"/>
    <w:rsid w:val="001D0C64"/>
    <w:rsid w:val="001D17F6"/>
    <w:rsid w:val="001D676A"/>
    <w:rsid w:val="001F4E2D"/>
    <w:rsid w:val="0022049A"/>
    <w:rsid w:val="00232881"/>
    <w:rsid w:val="00271E18"/>
    <w:rsid w:val="00280773"/>
    <w:rsid w:val="002924A5"/>
    <w:rsid w:val="002C37F4"/>
    <w:rsid w:val="002D5016"/>
    <w:rsid w:val="00303CD5"/>
    <w:rsid w:val="00306430"/>
    <w:rsid w:val="00306661"/>
    <w:rsid w:val="00307DB3"/>
    <w:rsid w:val="003461AE"/>
    <w:rsid w:val="003531BD"/>
    <w:rsid w:val="003564A9"/>
    <w:rsid w:val="0036681B"/>
    <w:rsid w:val="003B10DE"/>
    <w:rsid w:val="003B12ED"/>
    <w:rsid w:val="003C6AF9"/>
    <w:rsid w:val="003F3253"/>
    <w:rsid w:val="00403914"/>
    <w:rsid w:val="00406189"/>
    <w:rsid w:val="00421C3B"/>
    <w:rsid w:val="00433FAC"/>
    <w:rsid w:val="004726E1"/>
    <w:rsid w:val="004877F7"/>
    <w:rsid w:val="00487865"/>
    <w:rsid w:val="00491A3E"/>
    <w:rsid w:val="004A3388"/>
    <w:rsid w:val="004A4E59"/>
    <w:rsid w:val="004F472F"/>
    <w:rsid w:val="005077CE"/>
    <w:rsid w:val="005103E5"/>
    <w:rsid w:val="00522396"/>
    <w:rsid w:val="00523B89"/>
    <w:rsid w:val="00544D93"/>
    <w:rsid w:val="005463B3"/>
    <w:rsid w:val="00551FAB"/>
    <w:rsid w:val="005965F0"/>
    <w:rsid w:val="005B72F9"/>
    <w:rsid w:val="005C2F51"/>
    <w:rsid w:val="005C6FBB"/>
    <w:rsid w:val="005C7586"/>
    <w:rsid w:val="00617799"/>
    <w:rsid w:val="0063712D"/>
    <w:rsid w:val="00651501"/>
    <w:rsid w:val="00652766"/>
    <w:rsid w:val="006616FF"/>
    <w:rsid w:val="00683CE0"/>
    <w:rsid w:val="00696467"/>
    <w:rsid w:val="006A354C"/>
    <w:rsid w:val="006B70FB"/>
    <w:rsid w:val="006D0A87"/>
    <w:rsid w:val="00702CA4"/>
    <w:rsid w:val="007574E6"/>
    <w:rsid w:val="00790BCA"/>
    <w:rsid w:val="00795E5E"/>
    <w:rsid w:val="00795F49"/>
    <w:rsid w:val="007A5F3D"/>
    <w:rsid w:val="007B568F"/>
    <w:rsid w:val="007C5C8F"/>
    <w:rsid w:val="007D2AF6"/>
    <w:rsid w:val="00817529"/>
    <w:rsid w:val="00826A71"/>
    <w:rsid w:val="00832E85"/>
    <w:rsid w:val="00850518"/>
    <w:rsid w:val="00853F81"/>
    <w:rsid w:val="008A5CE6"/>
    <w:rsid w:val="008A65FB"/>
    <w:rsid w:val="008B0AB4"/>
    <w:rsid w:val="008B55FF"/>
    <w:rsid w:val="008D720D"/>
    <w:rsid w:val="009115DB"/>
    <w:rsid w:val="00920083"/>
    <w:rsid w:val="0092438B"/>
    <w:rsid w:val="009333DD"/>
    <w:rsid w:val="009467B0"/>
    <w:rsid w:val="00981CB6"/>
    <w:rsid w:val="009A0E73"/>
    <w:rsid w:val="009B007D"/>
    <w:rsid w:val="009D6F46"/>
    <w:rsid w:val="00A207A6"/>
    <w:rsid w:val="00A405DA"/>
    <w:rsid w:val="00A76D46"/>
    <w:rsid w:val="00A8217E"/>
    <w:rsid w:val="00A94D9B"/>
    <w:rsid w:val="00AA3084"/>
    <w:rsid w:val="00AB4B4D"/>
    <w:rsid w:val="00AB701C"/>
    <w:rsid w:val="00AC3EFA"/>
    <w:rsid w:val="00AF484C"/>
    <w:rsid w:val="00B04605"/>
    <w:rsid w:val="00B0484B"/>
    <w:rsid w:val="00B11081"/>
    <w:rsid w:val="00B521EB"/>
    <w:rsid w:val="00B5608D"/>
    <w:rsid w:val="00B57D5B"/>
    <w:rsid w:val="00B752C4"/>
    <w:rsid w:val="00B837DA"/>
    <w:rsid w:val="00B9128D"/>
    <w:rsid w:val="00B97AE3"/>
    <w:rsid w:val="00BC0E97"/>
    <w:rsid w:val="00BC1C8B"/>
    <w:rsid w:val="00C34DA9"/>
    <w:rsid w:val="00C541A1"/>
    <w:rsid w:val="00C56850"/>
    <w:rsid w:val="00C63DAE"/>
    <w:rsid w:val="00C71FD3"/>
    <w:rsid w:val="00C8269D"/>
    <w:rsid w:val="00C83270"/>
    <w:rsid w:val="00C83D3B"/>
    <w:rsid w:val="00CA591F"/>
    <w:rsid w:val="00CC2D9A"/>
    <w:rsid w:val="00CC3EFC"/>
    <w:rsid w:val="00CD3C20"/>
    <w:rsid w:val="00CE00BE"/>
    <w:rsid w:val="00CE26EA"/>
    <w:rsid w:val="00D0474F"/>
    <w:rsid w:val="00D331BE"/>
    <w:rsid w:val="00D46C72"/>
    <w:rsid w:val="00D46E48"/>
    <w:rsid w:val="00DA77BE"/>
    <w:rsid w:val="00DC61C4"/>
    <w:rsid w:val="00DD0367"/>
    <w:rsid w:val="00DE11B4"/>
    <w:rsid w:val="00DE43EE"/>
    <w:rsid w:val="00E0382B"/>
    <w:rsid w:val="00E14F46"/>
    <w:rsid w:val="00E34E97"/>
    <w:rsid w:val="00E45200"/>
    <w:rsid w:val="00E60C4B"/>
    <w:rsid w:val="00E632E9"/>
    <w:rsid w:val="00EA454F"/>
    <w:rsid w:val="00EB27E3"/>
    <w:rsid w:val="00EF1CE7"/>
    <w:rsid w:val="00F0275F"/>
    <w:rsid w:val="00F043A1"/>
    <w:rsid w:val="00F25D43"/>
    <w:rsid w:val="00F45462"/>
    <w:rsid w:val="00F507D4"/>
    <w:rsid w:val="00F56B83"/>
    <w:rsid w:val="00F603E6"/>
    <w:rsid w:val="00F857CC"/>
    <w:rsid w:val="00FA7790"/>
    <w:rsid w:val="00FD7F52"/>
    <w:rsid w:val="00FF72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2A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85A"/>
    <w:pPr>
      <w:ind w:left="720"/>
      <w:contextualSpacing/>
    </w:pPr>
  </w:style>
  <w:style w:type="character" w:customStyle="1" w:styleId="apple-converted-space">
    <w:name w:val="apple-converted-space"/>
    <w:basedOn w:val="DefaultParagraphFont"/>
    <w:rsid w:val="0009585A"/>
  </w:style>
  <w:style w:type="character" w:styleId="Hyperlink">
    <w:name w:val="Hyperlink"/>
    <w:basedOn w:val="DefaultParagraphFont"/>
    <w:uiPriority w:val="99"/>
    <w:unhideWhenUsed/>
    <w:rsid w:val="0009585A"/>
    <w:rPr>
      <w:color w:val="0000FF"/>
      <w:u w:val="single"/>
    </w:rPr>
  </w:style>
  <w:style w:type="paragraph" w:styleId="NormalWeb">
    <w:name w:val="Normal (Web)"/>
    <w:basedOn w:val="Normal"/>
    <w:uiPriority w:val="99"/>
    <w:unhideWhenUsed/>
    <w:rsid w:val="00095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8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7F7"/>
    <w:rPr>
      <w:rFonts w:ascii="Segoe UI" w:hAnsi="Segoe UI" w:cs="Segoe UI"/>
      <w:sz w:val="18"/>
      <w:szCs w:val="18"/>
    </w:rPr>
  </w:style>
  <w:style w:type="character" w:styleId="FollowedHyperlink">
    <w:name w:val="FollowedHyperlink"/>
    <w:basedOn w:val="DefaultParagraphFont"/>
    <w:uiPriority w:val="99"/>
    <w:semiHidden/>
    <w:unhideWhenUsed/>
    <w:rsid w:val="00141BD4"/>
    <w:rPr>
      <w:color w:val="954F72" w:themeColor="followedHyperlink"/>
      <w:u w:val="single"/>
    </w:rPr>
  </w:style>
  <w:style w:type="character" w:customStyle="1" w:styleId="Heading1Char">
    <w:name w:val="Heading 1 Char"/>
    <w:basedOn w:val="DefaultParagraphFont"/>
    <w:link w:val="Heading1"/>
    <w:uiPriority w:val="9"/>
    <w:rsid w:val="007D2AF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7D2AF6"/>
    <w:pPr>
      <w:outlineLvl w:val="9"/>
    </w:pPr>
  </w:style>
  <w:style w:type="paragraph" w:styleId="Header">
    <w:name w:val="header"/>
    <w:basedOn w:val="Normal"/>
    <w:link w:val="HeaderChar"/>
    <w:uiPriority w:val="99"/>
    <w:unhideWhenUsed/>
    <w:rsid w:val="007D2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AF6"/>
  </w:style>
  <w:style w:type="paragraph" w:styleId="Footer">
    <w:name w:val="footer"/>
    <w:basedOn w:val="Normal"/>
    <w:link w:val="FooterChar"/>
    <w:uiPriority w:val="99"/>
    <w:unhideWhenUsed/>
    <w:rsid w:val="007D2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AF6"/>
  </w:style>
  <w:style w:type="paragraph" w:styleId="EndnoteText">
    <w:name w:val="endnote text"/>
    <w:basedOn w:val="Normal"/>
    <w:link w:val="EndnoteTextChar"/>
    <w:uiPriority w:val="99"/>
    <w:semiHidden/>
    <w:unhideWhenUsed/>
    <w:rsid w:val="00832E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2E85"/>
    <w:rPr>
      <w:sz w:val="20"/>
      <w:szCs w:val="20"/>
    </w:rPr>
  </w:style>
  <w:style w:type="character" w:styleId="EndnoteReference">
    <w:name w:val="endnote reference"/>
    <w:basedOn w:val="DefaultParagraphFont"/>
    <w:uiPriority w:val="99"/>
    <w:semiHidden/>
    <w:unhideWhenUsed/>
    <w:rsid w:val="00832E85"/>
    <w:rPr>
      <w:vertAlign w:val="superscript"/>
    </w:rPr>
  </w:style>
  <w:style w:type="paragraph" w:customStyle="1" w:styleId="BodyText">
    <w:name w:val="Body_Text"/>
    <w:basedOn w:val="Normal"/>
    <w:link w:val="BodyTextChar"/>
    <w:qFormat/>
    <w:rsid w:val="009333DD"/>
    <w:pPr>
      <w:spacing w:after="200" w:line="240" w:lineRule="auto"/>
    </w:pPr>
    <w:rPr>
      <w:rFonts w:asciiTheme="majorHAnsi" w:eastAsiaTheme="minorEastAsia" w:hAnsiTheme="majorHAnsi"/>
      <w:sz w:val="24"/>
      <w:szCs w:val="24"/>
      <w:lang w:val="en-US" w:eastAsia="ja-JP"/>
    </w:rPr>
  </w:style>
  <w:style w:type="character" w:customStyle="1" w:styleId="BodyTextChar">
    <w:name w:val="Body_Text Char"/>
    <w:basedOn w:val="DefaultParagraphFont"/>
    <w:link w:val="BodyText"/>
    <w:rsid w:val="009333DD"/>
    <w:rPr>
      <w:rFonts w:asciiTheme="majorHAnsi" w:eastAsiaTheme="minorEastAsia" w:hAnsiTheme="majorHAnsi"/>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2A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85A"/>
    <w:pPr>
      <w:ind w:left="720"/>
      <w:contextualSpacing/>
    </w:pPr>
  </w:style>
  <w:style w:type="character" w:customStyle="1" w:styleId="apple-converted-space">
    <w:name w:val="apple-converted-space"/>
    <w:basedOn w:val="DefaultParagraphFont"/>
    <w:rsid w:val="0009585A"/>
  </w:style>
  <w:style w:type="character" w:styleId="Hyperlink">
    <w:name w:val="Hyperlink"/>
    <w:basedOn w:val="DefaultParagraphFont"/>
    <w:uiPriority w:val="99"/>
    <w:unhideWhenUsed/>
    <w:rsid w:val="0009585A"/>
    <w:rPr>
      <w:color w:val="0000FF"/>
      <w:u w:val="single"/>
    </w:rPr>
  </w:style>
  <w:style w:type="paragraph" w:styleId="NormalWeb">
    <w:name w:val="Normal (Web)"/>
    <w:basedOn w:val="Normal"/>
    <w:uiPriority w:val="99"/>
    <w:unhideWhenUsed/>
    <w:rsid w:val="000958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8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7F7"/>
    <w:rPr>
      <w:rFonts w:ascii="Segoe UI" w:hAnsi="Segoe UI" w:cs="Segoe UI"/>
      <w:sz w:val="18"/>
      <w:szCs w:val="18"/>
    </w:rPr>
  </w:style>
  <w:style w:type="character" w:styleId="FollowedHyperlink">
    <w:name w:val="FollowedHyperlink"/>
    <w:basedOn w:val="DefaultParagraphFont"/>
    <w:uiPriority w:val="99"/>
    <w:semiHidden/>
    <w:unhideWhenUsed/>
    <w:rsid w:val="00141BD4"/>
    <w:rPr>
      <w:color w:val="954F72" w:themeColor="followedHyperlink"/>
      <w:u w:val="single"/>
    </w:rPr>
  </w:style>
  <w:style w:type="character" w:customStyle="1" w:styleId="Heading1Char">
    <w:name w:val="Heading 1 Char"/>
    <w:basedOn w:val="DefaultParagraphFont"/>
    <w:link w:val="Heading1"/>
    <w:uiPriority w:val="9"/>
    <w:rsid w:val="007D2AF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7D2AF6"/>
    <w:pPr>
      <w:outlineLvl w:val="9"/>
    </w:pPr>
  </w:style>
  <w:style w:type="paragraph" w:styleId="Header">
    <w:name w:val="header"/>
    <w:basedOn w:val="Normal"/>
    <w:link w:val="HeaderChar"/>
    <w:uiPriority w:val="99"/>
    <w:unhideWhenUsed/>
    <w:rsid w:val="007D2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AF6"/>
  </w:style>
  <w:style w:type="paragraph" w:styleId="Footer">
    <w:name w:val="footer"/>
    <w:basedOn w:val="Normal"/>
    <w:link w:val="FooterChar"/>
    <w:uiPriority w:val="99"/>
    <w:unhideWhenUsed/>
    <w:rsid w:val="007D2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AF6"/>
  </w:style>
  <w:style w:type="paragraph" w:styleId="EndnoteText">
    <w:name w:val="endnote text"/>
    <w:basedOn w:val="Normal"/>
    <w:link w:val="EndnoteTextChar"/>
    <w:uiPriority w:val="99"/>
    <w:semiHidden/>
    <w:unhideWhenUsed/>
    <w:rsid w:val="00832E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2E85"/>
    <w:rPr>
      <w:sz w:val="20"/>
      <w:szCs w:val="20"/>
    </w:rPr>
  </w:style>
  <w:style w:type="character" w:styleId="EndnoteReference">
    <w:name w:val="endnote reference"/>
    <w:basedOn w:val="DefaultParagraphFont"/>
    <w:uiPriority w:val="99"/>
    <w:semiHidden/>
    <w:unhideWhenUsed/>
    <w:rsid w:val="00832E85"/>
    <w:rPr>
      <w:vertAlign w:val="superscript"/>
    </w:rPr>
  </w:style>
  <w:style w:type="paragraph" w:customStyle="1" w:styleId="BodyText">
    <w:name w:val="Body_Text"/>
    <w:basedOn w:val="Normal"/>
    <w:link w:val="BodyTextChar"/>
    <w:qFormat/>
    <w:rsid w:val="009333DD"/>
    <w:pPr>
      <w:spacing w:after="200" w:line="240" w:lineRule="auto"/>
    </w:pPr>
    <w:rPr>
      <w:rFonts w:asciiTheme="majorHAnsi" w:eastAsiaTheme="minorEastAsia" w:hAnsiTheme="majorHAnsi"/>
      <w:sz w:val="24"/>
      <w:szCs w:val="24"/>
      <w:lang w:val="en-US" w:eastAsia="ja-JP"/>
    </w:rPr>
  </w:style>
  <w:style w:type="character" w:customStyle="1" w:styleId="BodyTextChar">
    <w:name w:val="Body_Text Char"/>
    <w:basedOn w:val="DefaultParagraphFont"/>
    <w:link w:val="BodyText"/>
    <w:rsid w:val="009333DD"/>
    <w:rPr>
      <w:rFonts w:asciiTheme="majorHAnsi" w:eastAsiaTheme="minorEastAsia" w:hAnsiTheme="majorHAnsi"/>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0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o.org.au/commentary/pulling-our-welfare-weight" TargetMode="External"/><Relationship Id="rId18" Type="http://schemas.openxmlformats.org/officeDocument/2006/relationships/hyperlink" Target="http://www.dss.gov.au/our-responsibilities/families-and-children/programs-services/income-management/evaluating-new-income-management-in-the-northern-territory-first-evaluation-repor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rikey.com.au/2014/05/30/australias-overly-generous-welfare-in-context/" TargetMode="External"/><Relationship Id="rId17" Type="http://schemas.openxmlformats.org/officeDocument/2006/relationships/hyperlink" Target="http://www.aph.gov.au/About_Parliament/Parliamentary_Departments/Parliamentary_Library/pubs/BriefingBook44p/IncomeManagement" TargetMode="External"/><Relationship Id="rId2" Type="http://schemas.openxmlformats.org/officeDocument/2006/relationships/numbering" Target="numbering.xml"/><Relationship Id="rId16" Type="http://schemas.openxmlformats.org/officeDocument/2006/relationships/hyperlink" Target="http://cf.fbe.unimelb.edu.au/staff/jib/documents/wfdwp.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c.net.au/news/2014-02-03/kevin-andrews--makes-unfounded-welfare-claim/5215798" TargetMode="External"/><Relationship Id="rId5" Type="http://schemas.openxmlformats.org/officeDocument/2006/relationships/settings" Target="settings.xml"/><Relationship Id="rId15" Type="http://schemas.openxmlformats.org/officeDocument/2006/relationships/hyperlink" Target="http://www.nationals.org.au/Portals/0/2013/Real%20Solutions%20-%20Our%20Plan%20Policy%20Booklet.pdf" TargetMode="External"/><Relationship Id="rId10" Type="http://schemas.openxmlformats.org/officeDocument/2006/relationships/hyperlink" Target="http://www.aifs.gov.au/institute/pubs/fm2008/fm80/hs.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mh.com.au/federal-politics/political-news/head-east-for-the-jobs-new-data-reveals-20140626-3awg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3C24C-815A-42B7-830C-B4AB11A0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3403</Words>
  <Characters>19402</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Balga Job Link Inc</Company>
  <LinksUpToDate>false</LinksUpToDate>
  <CharactersWithSpaces>22760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B. Palmer</dc:creator>
  <cp:keywords/>
  <dc:description/>
  <cp:lastModifiedBy>JOYCE, Peta</cp:lastModifiedBy>
  <cp:revision>2</cp:revision>
  <cp:lastPrinted>2014-07-28T06:46:00Z</cp:lastPrinted>
  <dcterms:created xsi:type="dcterms:W3CDTF">2014-08-21T03:16:00Z</dcterms:created>
  <dcterms:modified xsi:type="dcterms:W3CDTF">2014-08-21T03:16:00Z</dcterms:modified>
</cp:coreProperties>
</file>