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A2" w:rsidRPr="002A100A" w:rsidRDefault="00493C2F" w:rsidP="001A148F">
      <w:pPr>
        <w:spacing w:after="0" w:line="240" w:lineRule="auto"/>
        <w:jc w:val="center"/>
        <w:rPr>
          <w:color w:val="000000" w:themeColor="text1"/>
          <w:sz w:val="24"/>
          <w:szCs w:val="24"/>
        </w:rPr>
      </w:pPr>
      <w:bookmarkStart w:id="0" w:name="_GoBack"/>
      <w:bookmarkEnd w:id="0"/>
      <w:r w:rsidRPr="002A100A">
        <w:rPr>
          <w:noProof/>
          <w:color w:val="000000" w:themeColor="text1"/>
          <w:sz w:val="24"/>
          <w:szCs w:val="24"/>
          <w:lang w:eastAsia="en-AU"/>
        </w:rPr>
        <w:drawing>
          <wp:inline distT="0" distB="0" distL="0" distR="0" wp14:anchorId="5DCF5C0E" wp14:editId="770B8031">
            <wp:extent cx="1752600" cy="1857375"/>
            <wp:effectExtent l="0" t="0" r="0" b="952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530" cy="1877437"/>
                    </a:xfrm>
                    <a:prstGeom prst="rect">
                      <a:avLst/>
                    </a:prstGeom>
                    <a:noFill/>
                    <a:extLst/>
                  </pic:spPr>
                </pic:pic>
              </a:graphicData>
            </a:graphic>
          </wp:inline>
        </w:drawing>
      </w:r>
    </w:p>
    <w:p w:rsidR="00095DA2" w:rsidRPr="002A100A" w:rsidRDefault="00095DA2" w:rsidP="001A148F">
      <w:pPr>
        <w:spacing w:after="0" w:line="240" w:lineRule="auto"/>
        <w:jc w:val="both"/>
        <w:rPr>
          <w:color w:val="000000" w:themeColor="text1"/>
          <w:sz w:val="24"/>
          <w:szCs w:val="24"/>
        </w:rPr>
      </w:pPr>
    </w:p>
    <w:p w:rsidR="00493C2F" w:rsidRPr="002A100A" w:rsidRDefault="00493C2F" w:rsidP="001A148F">
      <w:pPr>
        <w:spacing w:after="0" w:line="240" w:lineRule="auto"/>
        <w:jc w:val="both"/>
        <w:rPr>
          <w:color w:val="000000" w:themeColor="text1"/>
          <w:sz w:val="24"/>
          <w:szCs w:val="24"/>
        </w:rPr>
      </w:pPr>
    </w:p>
    <w:p w:rsidR="00493C2F" w:rsidRPr="002A100A" w:rsidRDefault="00493C2F" w:rsidP="001A148F">
      <w:pPr>
        <w:spacing w:after="0" w:line="240" w:lineRule="auto"/>
        <w:jc w:val="both"/>
        <w:rPr>
          <w:color w:val="000000" w:themeColor="text1"/>
          <w:sz w:val="24"/>
          <w:szCs w:val="24"/>
        </w:rPr>
      </w:pPr>
    </w:p>
    <w:p w:rsidR="00493C2F" w:rsidRPr="002A100A" w:rsidRDefault="00493C2F" w:rsidP="001A148F">
      <w:pPr>
        <w:spacing w:after="0" w:line="240" w:lineRule="auto"/>
        <w:jc w:val="both"/>
        <w:rPr>
          <w:color w:val="000000" w:themeColor="text1"/>
          <w:sz w:val="24"/>
          <w:szCs w:val="24"/>
        </w:rPr>
      </w:pPr>
    </w:p>
    <w:p w:rsidR="00493C2F" w:rsidRPr="002A100A" w:rsidRDefault="00493C2F" w:rsidP="001A148F">
      <w:pPr>
        <w:spacing w:after="0" w:line="240" w:lineRule="auto"/>
        <w:jc w:val="both"/>
        <w:rPr>
          <w:color w:val="000000" w:themeColor="text1"/>
          <w:sz w:val="24"/>
          <w:szCs w:val="24"/>
        </w:rPr>
      </w:pPr>
    </w:p>
    <w:p w:rsidR="00095DA2" w:rsidRPr="002A100A" w:rsidRDefault="00095DA2" w:rsidP="001A148F">
      <w:pPr>
        <w:spacing w:after="0" w:line="240" w:lineRule="auto"/>
        <w:jc w:val="center"/>
        <w:rPr>
          <w:color w:val="000000" w:themeColor="text1"/>
          <w:sz w:val="24"/>
          <w:szCs w:val="24"/>
        </w:rPr>
      </w:pPr>
    </w:p>
    <w:p w:rsidR="00493C2F" w:rsidRPr="002A100A" w:rsidRDefault="00493C2F" w:rsidP="001A148F">
      <w:pPr>
        <w:spacing w:after="0" w:line="240" w:lineRule="auto"/>
        <w:jc w:val="center"/>
        <w:rPr>
          <w:color w:val="000000" w:themeColor="text1"/>
          <w:sz w:val="24"/>
          <w:szCs w:val="24"/>
        </w:rPr>
      </w:pPr>
    </w:p>
    <w:p w:rsidR="00095DA2" w:rsidRPr="002A100A" w:rsidRDefault="00095DA2" w:rsidP="001A148F">
      <w:pPr>
        <w:spacing w:after="0" w:line="240" w:lineRule="auto"/>
        <w:jc w:val="center"/>
        <w:rPr>
          <w:b/>
          <w:color w:val="000000" w:themeColor="text1"/>
          <w:sz w:val="24"/>
          <w:szCs w:val="24"/>
        </w:rPr>
      </w:pPr>
      <w:r w:rsidRPr="002A100A">
        <w:rPr>
          <w:b/>
          <w:color w:val="000000" w:themeColor="text1"/>
          <w:sz w:val="24"/>
          <w:szCs w:val="24"/>
        </w:rPr>
        <w:t>Submission in response to a New</w:t>
      </w:r>
      <w:bookmarkStart w:id="1" w:name="OLE_LINK5"/>
      <w:bookmarkStart w:id="2" w:name="OLE_LINK6"/>
      <w:r w:rsidRPr="002A100A">
        <w:rPr>
          <w:b/>
          <w:color w:val="000000" w:themeColor="text1"/>
          <w:sz w:val="24"/>
          <w:szCs w:val="24"/>
        </w:rPr>
        <w:t xml:space="preserve"> System for Better Employment and Social Outcome: Welfare </w:t>
      </w:r>
      <w:r w:rsidR="00DC5A5D" w:rsidRPr="002A100A">
        <w:rPr>
          <w:b/>
          <w:color w:val="000000" w:themeColor="text1"/>
          <w:sz w:val="24"/>
          <w:szCs w:val="24"/>
        </w:rPr>
        <w:t>Reform to</w:t>
      </w:r>
      <w:r w:rsidRPr="002A100A">
        <w:rPr>
          <w:b/>
          <w:color w:val="000000" w:themeColor="text1"/>
          <w:sz w:val="24"/>
          <w:szCs w:val="24"/>
        </w:rPr>
        <w:t xml:space="preserve"> the Minister for Social Servi</w:t>
      </w:r>
      <w:bookmarkEnd w:id="1"/>
      <w:bookmarkEnd w:id="2"/>
      <w:r w:rsidRPr="002A100A">
        <w:rPr>
          <w:b/>
          <w:color w:val="000000" w:themeColor="text1"/>
          <w:sz w:val="24"/>
          <w:szCs w:val="24"/>
        </w:rPr>
        <w:t>ce</w:t>
      </w:r>
      <w:r w:rsidR="00A51BE8" w:rsidRPr="002A100A">
        <w:rPr>
          <w:b/>
          <w:color w:val="000000" w:themeColor="text1"/>
          <w:sz w:val="24"/>
          <w:szCs w:val="24"/>
        </w:rPr>
        <w:t>s</w:t>
      </w:r>
    </w:p>
    <w:p w:rsidR="00095DA2" w:rsidRPr="002A100A" w:rsidRDefault="00095DA2" w:rsidP="001A148F">
      <w:pPr>
        <w:spacing w:after="0" w:line="240" w:lineRule="auto"/>
        <w:jc w:val="both"/>
        <w:rPr>
          <w:b/>
          <w:i/>
          <w:color w:val="000000" w:themeColor="text1"/>
          <w:sz w:val="24"/>
          <w:szCs w:val="24"/>
        </w:rPr>
      </w:pPr>
    </w:p>
    <w:p w:rsidR="00493C2F" w:rsidRPr="002A100A" w:rsidRDefault="00493C2F" w:rsidP="001A148F">
      <w:pPr>
        <w:spacing w:after="0" w:line="240" w:lineRule="auto"/>
        <w:jc w:val="both"/>
        <w:rPr>
          <w:b/>
          <w:i/>
          <w:color w:val="000000" w:themeColor="text1"/>
          <w:sz w:val="24"/>
          <w:szCs w:val="24"/>
        </w:rPr>
      </w:pPr>
    </w:p>
    <w:p w:rsidR="00095DA2" w:rsidRPr="002A100A" w:rsidRDefault="00076B76" w:rsidP="001A148F">
      <w:pPr>
        <w:spacing w:after="0" w:line="240" w:lineRule="auto"/>
        <w:jc w:val="center"/>
        <w:rPr>
          <w:b/>
          <w:color w:val="000000" w:themeColor="text1"/>
          <w:sz w:val="24"/>
          <w:szCs w:val="24"/>
        </w:rPr>
      </w:pPr>
      <w:r w:rsidRPr="002A100A">
        <w:rPr>
          <w:b/>
          <w:color w:val="000000" w:themeColor="text1"/>
          <w:sz w:val="24"/>
          <w:szCs w:val="24"/>
        </w:rPr>
        <w:t xml:space="preserve">August </w:t>
      </w:r>
      <w:r w:rsidR="00095DA2" w:rsidRPr="002A100A">
        <w:rPr>
          <w:b/>
          <w:color w:val="000000" w:themeColor="text1"/>
          <w:sz w:val="24"/>
          <w:szCs w:val="24"/>
        </w:rPr>
        <w:t>2014</w:t>
      </w:r>
    </w:p>
    <w:p w:rsidR="00095DA2" w:rsidRPr="002A100A" w:rsidRDefault="00095DA2" w:rsidP="001A148F">
      <w:pPr>
        <w:spacing w:after="0" w:line="240" w:lineRule="auto"/>
        <w:jc w:val="both"/>
        <w:rPr>
          <w:i/>
          <w:color w:val="000000" w:themeColor="text1"/>
          <w:sz w:val="24"/>
          <w:szCs w:val="24"/>
        </w:rPr>
      </w:pPr>
    </w:p>
    <w:p w:rsidR="00095DA2" w:rsidRDefault="00095DA2" w:rsidP="001A148F">
      <w:pPr>
        <w:spacing w:after="0" w:line="240" w:lineRule="auto"/>
        <w:jc w:val="both"/>
        <w:rPr>
          <w:i/>
          <w:color w:val="000000" w:themeColor="text1"/>
          <w:sz w:val="24"/>
          <w:szCs w:val="24"/>
        </w:rPr>
      </w:pPr>
    </w:p>
    <w:p w:rsidR="002013CE" w:rsidRDefault="002013CE" w:rsidP="001A148F">
      <w:pPr>
        <w:spacing w:after="0" w:line="240" w:lineRule="auto"/>
        <w:jc w:val="both"/>
        <w:rPr>
          <w:i/>
          <w:color w:val="000000" w:themeColor="text1"/>
          <w:sz w:val="24"/>
          <w:szCs w:val="24"/>
        </w:rPr>
      </w:pPr>
    </w:p>
    <w:p w:rsidR="002013CE" w:rsidRDefault="002013CE" w:rsidP="001A148F">
      <w:pPr>
        <w:spacing w:after="0" w:line="240" w:lineRule="auto"/>
        <w:jc w:val="both"/>
        <w:rPr>
          <w:i/>
          <w:color w:val="000000" w:themeColor="text1"/>
          <w:sz w:val="24"/>
          <w:szCs w:val="24"/>
        </w:rPr>
      </w:pPr>
    </w:p>
    <w:p w:rsidR="002013CE" w:rsidRDefault="002013CE" w:rsidP="001A148F">
      <w:pPr>
        <w:spacing w:after="0" w:line="240" w:lineRule="auto"/>
        <w:jc w:val="both"/>
        <w:rPr>
          <w:i/>
          <w:color w:val="000000" w:themeColor="text1"/>
          <w:sz w:val="24"/>
          <w:szCs w:val="24"/>
        </w:rPr>
      </w:pPr>
    </w:p>
    <w:p w:rsidR="002013CE" w:rsidRDefault="002013CE" w:rsidP="001A148F">
      <w:pPr>
        <w:spacing w:after="0" w:line="240" w:lineRule="auto"/>
        <w:jc w:val="both"/>
        <w:rPr>
          <w:i/>
          <w:color w:val="000000" w:themeColor="text1"/>
          <w:sz w:val="24"/>
          <w:szCs w:val="24"/>
        </w:rPr>
      </w:pPr>
    </w:p>
    <w:p w:rsidR="002013CE" w:rsidRDefault="002013CE" w:rsidP="001A148F">
      <w:pPr>
        <w:spacing w:after="0" w:line="240" w:lineRule="auto"/>
        <w:jc w:val="both"/>
        <w:rPr>
          <w:i/>
          <w:color w:val="000000" w:themeColor="text1"/>
          <w:sz w:val="24"/>
          <w:szCs w:val="24"/>
        </w:rPr>
      </w:pPr>
    </w:p>
    <w:p w:rsidR="002013CE" w:rsidRPr="002A100A" w:rsidRDefault="002013CE" w:rsidP="001A148F">
      <w:pPr>
        <w:spacing w:after="0" w:line="240" w:lineRule="auto"/>
        <w:jc w:val="both"/>
        <w:rPr>
          <w:i/>
          <w:color w:val="000000" w:themeColor="text1"/>
          <w:sz w:val="24"/>
          <w:szCs w:val="24"/>
        </w:rPr>
      </w:pPr>
    </w:p>
    <w:p w:rsidR="00095DA2" w:rsidRPr="002A100A" w:rsidRDefault="00095DA2" w:rsidP="001A148F">
      <w:pPr>
        <w:spacing w:after="0" w:line="240" w:lineRule="auto"/>
        <w:jc w:val="both"/>
        <w:rPr>
          <w:i/>
          <w:color w:val="000000" w:themeColor="text1"/>
          <w:sz w:val="24"/>
          <w:szCs w:val="24"/>
        </w:rPr>
      </w:pPr>
    </w:p>
    <w:p w:rsidR="00095DA2" w:rsidRPr="002A100A" w:rsidRDefault="00095DA2" w:rsidP="001A148F">
      <w:pPr>
        <w:spacing w:after="0" w:line="240" w:lineRule="auto"/>
        <w:jc w:val="both"/>
        <w:rPr>
          <w:i/>
          <w:color w:val="000000" w:themeColor="text1"/>
          <w:sz w:val="24"/>
          <w:szCs w:val="24"/>
        </w:rPr>
      </w:pPr>
    </w:p>
    <w:p w:rsidR="00095DA2" w:rsidRPr="002A100A" w:rsidRDefault="00095DA2" w:rsidP="001A148F">
      <w:pPr>
        <w:autoSpaceDE w:val="0"/>
        <w:autoSpaceDN w:val="0"/>
        <w:adjustRightInd w:val="0"/>
        <w:spacing w:after="0" w:line="240" w:lineRule="auto"/>
        <w:jc w:val="both"/>
        <w:rPr>
          <w:rFonts w:cs="TT15Ct00"/>
          <w:color w:val="000000" w:themeColor="text1"/>
          <w:sz w:val="24"/>
          <w:szCs w:val="24"/>
        </w:rPr>
      </w:pPr>
      <w:r w:rsidRPr="002A100A">
        <w:rPr>
          <w:rFonts w:cs="TT15Ct00"/>
          <w:color w:val="000000" w:themeColor="text1"/>
          <w:sz w:val="24"/>
          <w:szCs w:val="24"/>
        </w:rPr>
        <w:t>Ethnic Disability Advocacy Centre</w:t>
      </w:r>
    </w:p>
    <w:p w:rsidR="00095DA2" w:rsidRPr="002A100A" w:rsidRDefault="00095DA2" w:rsidP="001A148F">
      <w:pPr>
        <w:autoSpaceDE w:val="0"/>
        <w:autoSpaceDN w:val="0"/>
        <w:adjustRightInd w:val="0"/>
        <w:spacing w:after="0" w:line="240" w:lineRule="auto"/>
        <w:jc w:val="both"/>
        <w:rPr>
          <w:rFonts w:cs="TT15Ct00"/>
          <w:color w:val="000000" w:themeColor="text1"/>
          <w:sz w:val="24"/>
          <w:szCs w:val="24"/>
        </w:rPr>
      </w:pPr>
      <w:r w:rsidRPr="002A100A">
        <w:rPr>
          <w:rFonts w:cs="TT15Ct00"/>
          <w:color w:val="000000" w:themeColor="text1"/>
          <w:sz w:val="24"/>
          <w:szCs w:val="24"/>
        </w:rPr>
        <w:t>320 Rokeby Road,</w:t>
      </w:r>
    </w:p>
    <w:p w:rsidR="00095DA2" w:rsidRPr="002A100A" w:rsidRDefault="00095DA2" w:rsidP="001A148F">
      <w:pPr>
        <w:autoSpaceDE w:val="0"/>
        <w:autoSpaceDN w:val="0"/>
        <w:adjustRightInd w:val="0"/>
        <w:spacing w:after="0" w:line="240" w:lineRule="auto"/>
        <w:jc w:val="both"/>
        <w:rPr>
          <w:rFonts w:cs="TT15Ct00"/>
          <w:color w:val="000000" w:themeColor="text1"/>
          <w:sz w:val="24"/>
          <w:szCs w:val="24"/>
        </w:rPr>
      </w:pPr>
      <w:r w:rsidRPr="002A100A">
        <w:rPr>
          <w:rFonts w:cs="TT15Ct00"/>
          <w:color w:val="000000" w:themeColor="text1"/>
          <w:sz w:val="24"/>
          <w:szCs w:val="24"/>
        </w:rPr>
        <w:t>Subiaco WA 6008</w:t>
      </w:r>
    </w:p>
    <w:p w:rsidR="00095DA2" w:rsidRPr="002A100A" w:rsidRDefault="00095DA2" w:rsidP="001A148F">
      <w:pPr>
        <w:autoSpaceDE w:val="0"/>
        <w:autoSpaceDN w:val="0"/>
        <w:adjustRightInd w:val="0"/>
        <w:spacing w:after="0" w:line="240" w:lineRule="auto"/>
        <w:jc w:val="both"/>
        <w:rPr>
          <w:rFonts w:cs="TT15Ct00"/>
          <w:color w:val="000000" w:themeColor="text1"/>
          <w:sz w:val="24"/>
          <w:szCs w:val="24"/>
        </w:rPr>
      </w:pPr>
      <w:proofErr w:type="gramStart"/>
      <w:r w:rsidRPr="002A100A">
        <w:rPr>
          <w:rFonts w:cs="TT15Ct00"/>
          <w:color w:val="000000" w:themeColor="text1"/>
          <w:sz w:val="24"/>
          <w:szCs w:val="24"/>
        </w:rPr>
        <w:t>Phone:</w:t>
      </w:r>
      <w:proofErr w:type="gramEnd"/>
      <w:r w:rsidRPr="002A100A">
        <w:rPr>
          <w:rFonts w:cs="TT15Ct00"/>
          <w:color w:val="000000" w:themeColor="text1"/>
          <w:sz w:val="24"/>
          <w:szCs w:val="24"/>
        </w:rPr>
        <w:t>(08)  9388 7455</w:t>
      </w:r>
    </w:p>
    <w:p w:rsidR="00095DA2" w:rsidRPr="002A100A" w:rsidRDefault="00095DA2" w:rsidP="001A148F">
      <w:pPr>
        <w:autoSpaceDE w:val="0"/>
        <w:autoSpaceDN w:val="0"/>
        <w:adjustRightInd w:val="0"/>
        <w:spacing w:after="0" w:line="240" w:lineRule="auto"/>
        <w:jc w:val="both"/>
        <w:rPr>
          <w:rFonts w:cs="TT15Ct00"/>
          <w:color w:val="000000" w:themeColor="text1"/>
          <w:sz w:val="24"/>
          <w:szCs w:val="24"/>
        </w:rPr>
      </w:pPr>
      <w:r w:rsidRPr="002A100A">
        <w:rPr>
          <w:rFonts w:cs="TT15Ct00"/>
          <w:color w:val="000000" w:themeColor="text1"/>
          <w:sz w:val="24"/>
          <w:szCs w:val="24"/>
        </w:rPr>
        <w:t>Email: admin@edac.org.au</w:t>
      </w:r>
    </w:p>
    <w:p w:rsidR="00095DA2" w:rsidRDefault="00095DA2" w:rsidP="001A148F">
      <w:pPr>
        <w:spacing w:after="0" w:line="240" w:lineRule="auto"/>
        <w:jc w:val="both"/>
        <w:rPr>
          <w:rStyle w:val="Hyperlink"/>
          <w:rFonts w:cs="TT15Ct00"/>
          <w:color w:val="000000" w:themeColor="text1"/>
          <w:sz w:val="24"/>
          <w:szCs w:val="24"/>
        </w:rPr>
      </w:pPr>
      <w:r w:rsidRPr="002A100A">
        <w:rPr>
          <w:rFonts w:cs="TT15Ct00"/>
          <w:color w:val="000000" w:themeColor="text1"/>
          <w:sz w:val="24"/>
          <w:szCs w:val="24"/>
        </w:rPr>
        <w:t xml:space="preserve">Website: </w:t>
      </w:r>
      <w:hyperlink r:id="rId9" w:history="1">
        <w:r w:rsidRPr="002A100A">
          <w:rPr>
            <w:rStyle w:val="Hyperlink"/>
            <w:rFonts w:cs="TT15Ct00"/>
            <w:color w:val="000000" w:themeColor="text1"/>
            <w:sz w:val="24"/>
            <w:szCs w:val="24"/>
          </w:rPr>
          <w:t>http://www.edac.org.au</w:t>
        </w:r>
      </w:hyperlink>
    </w:p>
    <w:p w:rsidR="001A148F" w:rsidRDefault="001A148F" w:rsidP="001A148F">
      <w:pPr>
        <w:spacing w:after="0" w:line="240" w:lineRule="auto"/>
        <w:jc w:val="both"/>
        <w:rPr>
          <w:rStyle w:val="Hyperlink"/>
          <w:rFonts w:cs="TT15Ct00"/>
          <w:color w:val="000000" w:themeColor="text1"/>
          <w:sz w:val="24"/>
          <w:szCs w:val="24"/>
        </w:rPr>
      </w:pPr>
    </w:p>
    <w:p w:rsidR="001A148F" w:rsidRDefault="001A148F" w:rsidP="001A148F">
      <w:pPr>
        <w:spacing w:after="0" w:line="240" w:lineRule="auto"/>
        <w:jc w:val="both"/>
        <w:rPr>
          <w:rStyle w:val="Hyperlink"/>
          <w:rFonts w:cs="TT15Ct00"/>
          <w:color w:val="000000" w:themeColor="text1"/>
          <w:sz w:val="24"/>
          <w:szCs w:val="24"/>
        </w:rPr>
      </w:pPr>
    </w:p>
    <w:p w:rsidR="001A148F" w:rsidRDefault="001A148F" w:rsidP="001A148F">
      <w:pPr>
        <w:spacing w:after="0" w:line="240" w:lineRule="auto"/>
        <w:jc w:val="both"/>
        <w:rPr>
          <w:rStyle w:val="Hyperlink"/>
          <w:rFonts w:cs="TT15Ct00"/>
          <w:color w:val="000000" w:themeColor="text1"/>
          <w:sz w:val="24"/>
          <w:szCs w:val="24"/>
        </w:rPr>
      </w:pPr>
    </w:p>
    <w:p w:rsidR="001A148F" w:rsidRDefault="001A148F" w:rsidP="001A148F">
      <w:pPr>
        <w:spacing w:after="0" w:line="240" w:lineRule="auto"/>
        <w:jc w:val="both"/>
        <w:rPr>
          <w:rStyle w:val="Hyperlink"/>
          <w:rFonts w:cs="TT15Ct00"/>
          <w:color w:val="000000" w:themeColor="text1"/>
          <w:sz w:val="24"/>
          <w:szCs w:val="24"/>
        </w:rPr>
      </w:pPr>
    </w:p>
    <w:p w:rsidR="001A148F" w:rsidRDefault="001A148F" w:rsidP="001A148F">
      <w:pPr>
        <w:spacing w:after="0" w:line="240" w:lineRule="auto"/>
        <w:jc w:val="both"/>
        <w:rPr>
          <w:rStyle w:val="Hyperlink"/>
          <w:rFonts w:cs="TT15Ct00"/>
          <w:color w:val="000000" w:themeColor="text1"/>
          <w:sz w:val="24"/>
          <w:szCs w:val="24"/>
        </w:rPr>
      </w:pPr>
    </w:p>
    <w:p w:rsidR="001A148F" w:rsidRDefault="001A148F" w:rsidP="001A148F">
      <w:pPr>
        <w:spacing w:after="0" w:line="240" w:lineRule="auto"/>
        <w:jc w:val="both"/>
        <w:rPr>
          <w:rStyle w:val="Hyperlink"/>
          <w:rFonts w:cs="TT15Ct00"/>
          <w:color w:val="000000" w:themeColor="text1"/>
          <w:sz w:val="24"/>
          <w:szCs w:val="24"/>
        </w:rPr>
      </w:pPr>
    </w:p>
    <w:p w:rsidR="001A148F" w:rsidRDefault="001A148F" w:rsidP="001A148F">
      <w:pPr>
        <w:spacing w:after="0" w:line="240" w:lineRule="auto"/>
        <w:jc w:val="both"/>
        <w:rPr>
          <w:rStyle w:val="Hyperlink"/>
          <w:rFonts w:cs="TT15Ct00"/>
          <w:color w:val="000000" w:themeColor="text1"/>
          <w:sz w:val="24"/>
          <w:szCs w:val="24"/>
        </w:rPr>
      </w:pPr>
    </w:p>
    <w:p w:rsidR="001A148F" w:rsidRDefault="001A148F" w:rsidP="001A148F">
      <w:pPr>
        <w:spacing w:after="0" w:line="240" w:lineRule="auto"/>
        <w:jc w:val="both"/>
        <w:rPr>
          <w:rStyle w:val="Hyperlink"/>
          <w:rFonts w:cs="TT15Ct00"/>
          <w:color w:val="000000" w:themeColor="text1"/>
          <w:sz w:val="24"/>
          <w:szCs w:val="24"/>
        </w:rPr>
      </w:pPr>
    </w:p>
    <w:p w:rsidR="001A148F" w:rsidRDefault="001A148F" w:rsidP="001A148F">
      <w:pPr>
        <w:spacing w:after="0" w:line="240" w:lineRule="auto"/>
        <w:jc w:val="both"/>
        <w:rPr>
          <w:rStyle w:val="Hyperlink"/>
          <w:rFonts w:cs="TT15Ct00"/>
          <w:color w:val="000000" w:themeColor="text1"/>
          <w:sz w:val="24"/>
          <w:szCs w:val="24"/>
        </w:rPr>
      </w:pPr>
    </w:p>
    <w:p w:rsidR="00352338" w:rsidRPr="002A100A" w:rsidRDefault="00352338" w:rsidP="001A148F">
      <w:pPr>
        <w:spacing w:after="0" w:line="240" w:lineRule="auto"/>
        <w:jc w:val="both"/>
        <w:rPr>
          <w:rStyle w:val="Hyperlink"/>
          <w:rFonts w:cs="TT15Ct00"/>
          <w:color w:val="000000" w:themeColor="text1"/>
          <w:sz w:val="24"/>
          <w:szCs w:val="24"/>
        </w:rPr>
      </w:pPr>
    </w:p>
    <w:p w:rsidR="00352338" w:rsidRPr="002A100A" w:rsidRDefault="00352338" w:rsidP="001A148F">
      <w:pPr>
        <w:spacing w:after="0" w:line="240" w:lineRule="auto"/>
        <w:jc w:val="both"/>
        <w:rPr>
          <w:rFonts w:cs="TT15Ct00"/>
          <w:color w:val="000000" w:themeColor="text1"/>
          <w:sz w:val="24"/>
          <w:szCs w:val="24"/>
        </w:rPr>
      </w:pPr>
    </w:p>
    <w:p w:rsidR="00095DA2" w:rsidRPr="002A100A" w:rsidRDefault="00095DA2" w:rsidP="001A148F">
      <w:pPr>
        <w:spacing w:after="0" w:line="240" w:lineRule="auto"/>
        <w:jc w:val="center"/>
        <w:rPr>
          <w:b/>
          <w:color w:val="000000" w:themeColor="text1"/>
          <w:sz w:val="24"/>
          <w:szCs w:val="24"/>
        </w:rPr>
      </w:pPr>
      <w:r w:rsidRPr="002A100A">
        <w:rPr>
          <w:b/>
          <w:color w:val="000000" w:themeColor="text1"/>
          <w:sz w:val="24"/>
          <w:szCs w:val="24"/>
        </w:rPr>
        <w:t>Contents</w:t>
      </w:r>
    </w:p>
    <w:p w:rsidR="003821F3" w:rsidRPr="002A100A" w:rsidRDefault="003821F3" w:rsidP="001A148F">
      <w:pPr>
        <w:spacing w:after="0" w:line="240" w:lineRule="auto"/>
        <w:jc w:val="center"/>
        <w:rPr>
          <w:b/>
          <w:color w:val="000000" w:themeColor="text1"/>
          <w:sz w:val="24"/>
          <w:szCs w:val="24"/>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6779"/>
        <w:gridCol w:w="993"/>
      </w:tblGrid>
      <w:tr w:rsidR="002A100A" w:rsidRPr="002A100A" w:rsidTr="005A68E4">
        <w:tc>
          <w:tcPr>
            <w:tcW w:w="1267" w:type="dxa"/>
          </w:tcPr>
          <w:p w:rsidR="00FA55FD" w:rsidRPr="002A100A" w:rsidRDefault="00FA55FD" w:rsidP="001A148F">
            <w:pPr>
              <w:jc w:val="center"/>
              <w:rPr>
                <w:color w:val="000000" w:themeColor="text1"/>
                <w:sz w:val="24"/>
                <w:szCs w:val="24"/>
              </w:rPr>
            </w:pPr>
            <w:r w:rsidRPr="002A100A">
              <w:rPr>
                <w:color w:val="000000" w:themeColor="text1"/>
                <w:sz w:val="24"/>
                <w:szCs w:val="24"/>
              </w:rPr>
              <w:t>1</w:t>
            </w:r>
          </w:p>
        </w:tc>
        <w:tc>
          <w:tcPr>
            <w:tcW w:w="6779" w:type="dxa"/>
          </w:tcPr>
          <w:p w:rsidR="00FA55FD" w:rsidRPr="002A100A" w:rsidRDefault="00FA55FD" w:rsidP="001A148F">
            <w:pPr>
              <w:rPr>
                <w:color w:val="000000" w:themeColor="text1"/>
                <w:sz w:val="24"/>
                <w:szCs w:val="24"/>
              </w:rPr>
            </w:pPr>
            <w:r w:rsidRPr="002A100A">
              <w:rPr>
                <w:color w:val="000000" w:themeColor="text1"/>
                <w:sz w:val="24"/>
                <w:szCs w:val="24"/>
              </w:rPr>
              <w:t>Background to EDAC</w:t>
            </w:r>
          </w:p>
        </w:tc>
        <w:tc>
          <w:tcPr>
            <w:tcW w:w="993" w:type="dxa"/>
          </w:tcPr>
          <w:p w:rsidR="00FA55FD" w:rsidRPr="002A100A" w:rsidRDefault="00FA55FD" w:rsidP="001A148F">
            <w:pPr>
              <w:jc w:val="center"/>
              <w:rPr>
                <w:color w:val="000000" w:themeColor="text1"/>
                <w:sz w:val="24"/>
                <w:szCs w:val="24"/>
              </w:rPr>
            </w:pPr>
            <w:r w:rsidRPr="002A100A">
              <w:rPr>
                <w:color w:val="000000" w:themeColor="text1"/>
                <w:sz w:val="24"/>
                <w:szCs w:val="24"/>
              </w:rPr>
              <w:t>3</w:t>
            </w:r>
          </w:p>
          <w:p w:rsidR="003821F3" w:rsidRPr="002A100A" w:rsidRDefault="003821F3" w:rsidP="001A148F">
            <w:pPr>
              <w:jc w:val="center"/>
              <w:rPr>
                <w:color w:val="000000" w:themeColor="text1"/>
                <w:sz w:val="24"/>
                <w:szCs w:val="24"/>
              </w:rPr>
            </w:pPr>
          </w:p>
        </w:tc>
      </w:tr>
      <w:tr w:rsidR="002A100A" w:rsidRPr="002A100A" w:rsidTr="005A68E4">
        <w:tc>
          <w:tcPr>
            <w:tcW w:w="1267" w:type="dxa"/>
          </w:tcPr>
          <w:p w:rsidR="00FA55FD" w:rsidRPr="002A100A" w:rsidRDefault="00FA55FD" w:rsidP="001A148F">
            <w:pPr>
              <w:jc w:val="center"/>
              <w:rPr>
                <w:color w:val="000000" w:themeColor="text1"/>
                <w:sz w:val="24"/>
                <w:szCs w:val="24"/>
              </w:rPr>
            </w:pPr>
            <w:r w:rsidRPr="002A100A">
              <w:rPr>
                <w:color w:val="000000" w:themeColor="text1"/>
                <w:sz w:val="24"/>
                <w:szCs w:val="24"/>
              </w:rPr>
              <w:t>2</w:t>
            </w:r>
          </w:p>
        </w:tc>
        <w:tc>
          <w:tcPr>
            <w:tcW w:w="6779" w:type="dxa"/>
          </w:tcPr>
          <w:p w:rsidR="00FA55FD" w:rsidRPr="002A100A" w:rsidRDefault="00FA55FD" w:rsidP="001A148F">
            <w:pPr>
              <w:ind w:left="426" w:hanging="426"/>
              <w:rPr>
                <w:color w:val="000000" w:themeColor="text1"/>
                <w:sz w:val="24"/>
                <w:szCs w:val="24"/>
              </w:rPr>
            </w:pPr>
            <w:r w:rsidRPr="002A100A">
              <w:rPr>
                <w:color w:val="000000" w:themeColor="text1"/>
                <w:sz w:val="24"/>
                <w:szCs w:val="24"/>
              </w:rPr>
              <w:t>The need for a simpler architecture for the income support</w:t>
            </w:r>
          </w:p>
        </w:tc>
        <w:tc>
          <w:tcPr>
            <w:tcW w:w="993" w:type="dxa"/>
          </w:tcPr>
          <w:p w:rsidR="00FA55FD" w:rsidRDefault="001A148F" w:rsidP="001A148F">
            <w:pPr>
              <w:jc w:val="center"/>
              <w:rPr>
                <w:color w:val="000000" w:themeColor="text1"/>
                <w:sz w:val="24"/>
                <w:szCs w:val="24"/>
              </w:rPr>
            </w:pPr>
            <w:r>
              <w:rPr>
                <w:color w:val="000000" w:themeColor="text1"/>
                <w:sz w:val="24"/>
                <w:szCs w:val="24"/>
              </w:rPr>
              <w:t>4</w:t>
            </w:r>
          </w:p>
          <w:p w:rsidR="005104EE" w:rsidRPr="002A100A" w:rsidRDefault="005104EE" w:rsidP="001A148F">
            <w:pPr>
              <w:jc w:val="center"/>
              <w:rPr>
                <w:color w:val="000000" w:themeColor="text1"/>
                <w:sz w:val="24"/>
                <w:szCs w:val="24"/>
              </w:rPr>
            </w:pPr>
          </w:p>
        </w:tc>
      </w:tr>
      <w:tr w:rsidR="002A100A" w:rsidRPr="002A100A" w:rsidTr="005A68E4">
        <w:tc>
          <w:tcPr>
            <w:tcW w:w="1267" w:type="dxa"/>
          </w:tcPr>
          <w:p w:rsidR="00FA55FD" w:rsidRPr="002A100A" w:rsidRDefault="00FA55FD" w:rsidP="001A148F">
            <w:pPr>
              <w:jc w:val="center"/>
              <w:rPr>
                <w:color w:val="000000" w:themeColor="text1"/>
                <w:sz w:val="24"/>
                <w:szCs w:val="24"/>
              </w:rPr>
            </w:pPr>
            <w:r w:rsidRPr="002A100A">
              <w:rPr>
                <w:color w:val="000000" w:themeColor="text1"/>
                <w:sz w:val="24"/>
                <w:szCs w:val="24"/>
              </w:rPr>
              <w:t>3</w:t>
            </w:r>
          </w:p>
        </w:tc>
        <w:tc>
          <w:tcPr>
            <w:tcW w:w="6779" w:type="dxa"/>
          </w:tcPr>
          <w:p w:rsidR="00FA55FD" w:rsidRPr="002A100A" w:rsidRDefault="00FA55FD" w:rsidP="001A148F">
            <w:pPr>
              <w:ind w:left="426" w:hanging="426"/>
              <w:rPr>
                <w:color w:val="000000" w:themeColor="text1"/>
                <w:sz w:val="24"/>
                <w:szCs w:val="24"/>
              </w:rPr>
            </w:pPr>
            <w:r w:rsidRPr="002A100A">
              <w:rPr>
                <w:color w:val="000000" w:themeColor="text1"/>
                <w:sz w:val="24"/>
                <w:szCs w:val="24"/>
              </w:rPr>
              <w:t xml:space="preserve">Strengthening individual and family capability </w:t>
            </w:r>
          </w:p>
        </w:tc>
        <w:tc>
          <w:tcPr>
            <w:tcW w:w="993" w:type="dxa"/>
          </w:tcPr>
          <w:p w:rsidR="00FA55FD" w:rsidRDefault="00FA55FD" w:rsidP="001A148F">
            <w:pPr>
              <w:jc w:val="center"/>
              <w:rPr>
                <w:color w:val="000000" w:themeColor="text1"/>
                <w:sz w:val="24"/>
                <w:szCs w:val="24"/>
              </w:rPr>
            </w:pPr>
            <w:r w:rsidRPr="002A100A">
              <w:rPr>
                <w:color w:val="000000" w:themeColor="text1"/>
                <w:sz w:val="24"/>
                <w:szCs w:val="24"/>
              </w:rPr>
              <w:t>5</w:t>
            </w:r>
          </w:p>
          <w:p w:rsidR="005104EE" w:rsidRPr="002A100A" w:rsidRDefault="005104EE" w:rsidP="001A148F">
            <w:pPr>
              <w:jc w:val="center"/>
              <w:rPr>
                <w:color w:val="000000" w:themeColor="text1"/>
                <w:sz w:val="24"/>
                <w:szCs w:val="24"/>
              </w:rPr>
            </w:pPr>
          </w:p>
        </w:tc>
      </w:tr>
      <w:tr w:rsidR="002A100A" w:rsidRPr="002A100A" w:rsidTr="005A68E4">
        <w:tc>
          <w:tcPr>
            <w:tcW w:w="1267" w:type="dxa"/>
          </w:tcPr>
          <w:p w:rsidR="00FA55FD" w:rsidRPr="002A100A" w:rsidRDefault="00FA55FD" w:rsidP="001A148F">
            <w:pPr>
              <w:jc w:val="center"/>
              <w:rPr>
                <w:color w:val="000000" w:themeColor="text1"/>
                <w:sz w:val="24"/>
                <w:szCs w:val="24"/>
              </w:rPr>
            </w:pPr>
            <w:r w:rsidRPr="002A100A">
              <w:rPr>
                <w:color w:val="000000" w:themeColor="text1"/>
                <w:sz w:val="24"/>
                <w:szCs w:val="24"/>
              </w:rPr>
              <w:t>4</w:t>
            </w:r>
          </w:p>
        </w:tc>
        <w:tc>
          <w:tcPr>
            <w:tcW w:w="6779" w:type="dxa"/>
          </w:tcPr>
          <w:p w:rsidR="00FA55FD" w:rsidRPr="002A100A" w:rsidRDefault="00FA55FD" w:rsidP="005104EE">
            <w:pPr>
              <w:ind w:left="426" w:hanging="426"/>
              <w:rPr>
                <w:color w:val="000000" w:themeColor="text1"/>
                <w:sz w:val="24"/>
                <w:szCs w:val="24"/>
              </w:rPr>
            </w:pPr>
            <w:r w:rsidRPr="002A100A">
              <w:rPr>
                <w:color w:val="000000" w:themeColor="text1"/>
                <w:sz w:val="24"/>
                <w:szCs w:val="24"/>
              </w:rPr>
              <w:t>Ensuring sustainability in employment</w:t>
            </w:r>
          </w:p>
        </w:tc>
        <w:tc>
          <w:tcPr>
            <w:tcW w:w="993" w:type="dxa"/>
          </w:tcPr>
          <w:p w:rsidR="00FA55FD" w:rsidRDefault="00695FCB" w:rsidP="005104EE">
            <w:pPr>
              <w:rPr>
                <w:color w:val="000000" w:themeColor="text1"/>
                <w:sz w:val="24"/>
                <w:szCs w:val="24"/>
              </w:rPr>
            </w:pPr>
            <w:r>
              <w:rPr>
                <w:color w:val="000000" w:themeColor="text1"/>
                <w:sz w:val="24"/>
                <w:szCs w:val="24"/>
              </w:rPr>
              <w:t xml:space="preserve">    </w:t>
            </w:r>
            <w:r w:rsidR="005104EE">
              <w:rPr>
                <w:color w:val="000000" w:themeColor="text1"/>
                <w:sz w:val="24"/>
                <w:szCs w:val="24"/>
              </w:rPr>
              <w:t>5-7</w:t>
            </w:r>
          </w:p>
          <w:p w:rsidR="005104EE" w:rsidRPr="002A100A" w:rsidRDefault="005104EE" w:rsidP="005104EE">
            <w:pPr>
              <w:rPr>
                <w:color w:val="000000" w:themeColor="text1"/>
                <w:sz w:val="24"/>
                <w:szCs w:val="24"/>
              </w:rPr>
            </w:pPr>
          </w:p>
        </w:tc>
      </w:tr>
      <w:tr w:rsidR="002A100A" w:rsidRPr="002A100A" w:rsidTr="005A68E4">
        <w:tc>
          <w:tcPr>
            <w:tcW w:w="1267" w:type="dxa"/>
          </w:tcPr>
          <w:p w:rsidR="00FA55FD" w:rsidRPr="002A100A" w:rsidRDefault="00FA55FD" w:rsidP="001A148F">
            <w:pPr>
              <w:jc w:val="center"/>
              <w:rPr>
                <w:color w:val="000000" w:themeColor="text1"/>
                <w:sz w:val="24"/>
                <w:szCs w:val="24"/>
              </w:rPr>
            </w:pPr>
            <w:r w:rsidRPr="002A100A">
              <w:rPr>
                <w:color w:val="000000" w:themeColor="text1"/>
                <w:sz w:val="24"/>
                <w:szCs w:val="24"/>
              </w:rPr>
              <w:t>5</w:t>
            </w:r>
          </w:p>
        </w:tc>
        <w:tc>
          <w:tcPr>
            <w:tcW w:w="6779" w:type="dxa"/>
          </w:tcPr>
          <w:p w:rsidR="00FA55FD" w:rsidRDefault="00FA55FD" w:rsidP="001A148F">
            <w:pPr>
              <w:pStyle w:val="ListParagraph"/>
              <w:numPr>
                <w:ilvl w:val="0"/>
                <w:numId w:val="0"/>
              </w:numPr>
              <w:jc w:val="both"/>
              <w:rPr>
                <w:color w:val="000000" w:themeColor="text1"/>
                <w:sz w:val="24"/>
                <w:szCs w:val="24"/>
              </w:rPr>
            </w:pPr>
            <w:r w:rsidRPr="002A100A">
              <w:rPr>
                <w:color w:val="000000" w:themeColor="text1"/>
                <w:sz w:val="24"/>
                <w:szCs w:val="24"/>
              </w:rPr>
              <w:t>The need to build community capacity in shaping people’s capabilities by providing and promoting an environment within which they develop their attitudes, aspirations and values.</w:t>
            </w:r>
          </w:p>
          <w:p w:rsidR="005104EE" w:rsidRPr="002A100A" w:rsidRDefault="005104EE" w:rsidP="001A148F">
            <w:pPr>
              <w:pStyle w:val="ListParagraph"/>
              <w:numPr>
                <w:ilvl w:val="0"/>
                <w:numId w:val="0"/>
              </w:numPr>
              <w:jc w:val="both"/>
              <w:rPr>
                <w:color w:val="000000" w:themeColor="text1"/>
                <w:sz w:val="24"/>
                <w:szCs w:val="24"/>
              </w:rPr>
            </w:pPr>
          </w:p>
        </w:tc>
        <w:tc>
          <w:tcPr>
            <w:tcW w:w="993" w:type="dxa"/>
          </w:tcPr>
          <w:p w:rsidR="003821F3" w:rsidRPr="002A100A" w:rsidRDefault="00695FCB" w:rsidP="005104EE">
            <w:pPr>
              <w:rPr>
                <w:color w:val="000000" w:themeColor="text1"/>
                <w:sz w:val="24"/>
                <w:szCs w:val="24"/>
              </w:rPr>
            </w:pPr>
            <w:r>
              <w:rPr>
                <w:color w:val="000000" w:themeColor="text1"/>
                <w:sz w:val="24"/>
                <w:szCs w:val="24"/>
              </w:rPr>
              <w:t xml:space="preserve">   </w:t>
            </w:r>
            <w:r w:rsidR="005104EE">
              <w:rPr>
                <w:color w:val="000000" w:themeColor="text1"/>
                <w:sz w:val="24"/>
                <w:szCs w:val="24"/>
              </w:rPr>
              <w:t>7-</w:t>
            </w:r>
            <w:r w:rsidR="005A68E4">
              <w:rPr>
                <w:color w:val="000000" w:themeColor="text1"/>
                <w:sz w:val="24"/>
                <w:szCs w:val="24"/>
              </w:rPr>
              <w:t>10</w:t>
            </w:r>
          </w:p>
          <w:p w:rsidR="00FA55FD" w:rsidRDefault="00FA55FD" w:rsidP="001A148F">
            <w:pPr>
              <w:jc w:val="center"/>
              <w:rPr>
                <w:color w:val="000000" w:themeColor="text1"/>
                <w:sz w:val="24"/>
                <w:szCs w:val="24"/>
              </w:rPr>
            </w:pPr>
          </w:p>
          <w:p w:rsidR="005104EE" w:rsidRPr="002A100A" w:rsidRDefault="005104EE" w:rsidP="001A148F">
            <w:pPr>
              <w:jc w:val="center"/>
              <w:rPr>
                <w:color w:val="000000" w:themeColor="text1"/>
                <w:sz w:val="24"/>
                <w:szCs w:val="24"/>
              </w:rPr>
            </w:pPr>
          </w:p>
        </w:tc>
      </w:tr>
      <w:tr w:rsidR="002A100A" w:rsidRPr="002A100A" w:rsidTr="005A68E4">
        <w:tc>
          <w:tcPr>
            <w:tcW w:w="1267" w:type="dxa"/>
          </w:tcPr>
          <w:p w:rsidR="00FA55FD" w:rsidRPr="002A100A" w:rsidRDefault="00FA55FD" w:rsidP="001A148F">
            <w:pPr>
              <w:jc w:val="center"/>
              <w:rPr>
                <w:color w:val="000000" w:themeColor="text1"/>
                <w:sz w:val="24"/>
                <w:szCs w:val="24"/>
              </w:rPr>
            </w:pPr>
            <w:r w:rsidRPr="002A100A">
              <w:rPr>
                <w:color w:val="000000" w:themeColor="text1"/>
                <w:sz w:val="24"/>
                <w:szCs w:val="24"/>
              </w:rPr>
              <w:t>6</w:t>
            </w:r>
          </w:p>
        </w:tc>
        <w:tc>
          <w:tcPr>
            <w:tcW w:w="6779" w:type="dxa"/>
          </w:tcPr>
          <w:p w:rsidR="00FA55FD" w:rsidRPr="002A100A" w:rsidRDefault="00FA55FD" w:rsidP="001A148F">
            <w:pPr>
              <w:jc w:val="both"/>
              <w:rPr>
                <w:color w:val="000000" w:themeColor="text1"/>
                <w:sz w:val="24"/>
                <w:szCs w:val="24"/>
              </w:rPr>
            </w:pPr>
            <w:r w:rsidRPr="002A100A">
              <w:rPr>
                <w:color w:val="000000" w:themeColor="text1"/>
                <w:sz w:val="24"/>
                <w:szCs w:val="24"/>
              </w:rPr>
              <w:t xml:space="preserve">Recommendations </w:t>
            </w:r>
          </w:p>
        </w:tc>
        <w:tc>
          <w:tcPr>
            <w:tcW w:w="993" w:type="dxa"/>
          </w:tcPr>
          <w:p w:rsidR="00FA55FD" w:rsidRPr="002A100A" w:rsidRDefault="00695FCB" w:rsidP="007D168D">
            <w:pPr>
              <w:rPr>
                <w:color w:val="000000" w:themeColor="text1"/>
                <w:sz w:val="24"/>
                <w:szCs w:val="24"/>
              </w:rPr>
            </w:pPr>
            <w:r>
              <w:rPr>
                <w:color w:val="000000" w:themeColor="text1"/>
                <w:sz w:val="24"/>
                <w:szCs w:val="24"/>
              </w:rPr>
              <w:t xml:space="preserve">  </w:t>
            </w:r>
            <w:r w:rsidR="005A68E4">
              <w:rPr>
                <w:color w:val="000000" w:themeColor="text1"/>
                <w:sz w:val="24"/>
                <w:szCs w:val="24"/>
              </w:rPr>
              <w:t>1</w:t>
            </w:r>
            <w:r w:rsidR="007D168D">
              <w:rPr>
                <w:color w:val="000000" w:themeColor="text1"/>
                <w:sz w:val="24"/>
                <w:szCs w:val="24"/>
              </w:rPr>
              <w:t>1</w:t>
            </w:r>
            <w:r w:rsidR="005A68E4">
              <w:rPr>
                <w:color w:val="000000" w:themeColor="text1"/>
                <w:sz w:val="24"/>
                <w:szCs w:val="24"/>
              </w:rPr>
              <w:t>-12</w:t>
            </w:r>
          </w:p>
        </w:tc>
      </w:tr>
    </w:tbl>
    <w:p w:rsidR="00095DA2" w:rsidRPr="002A100A" w:rsidRDefault="00095DA2" w:rsidP="001A148F">
      <w:pPr>
        <w:spacing w:after="0" w:line="240" w:lineRule="auto"/>
        <w:jc w:val="both"/>
        <w:rPr>
          <w:color w:val="000000" w:themeColor="text1"/>
          <w:sz w:val="24"/>
          <w:szCs w:val="24"/>
        </w:rPr>
      </w:pPr>
    </w:p>
    <w:p w:rsidR="004C3988" w:rsidRPr="002A100A" w:rsidRDefault="004C3988" w:rsidP="001A148F">
      <w:pPr>
        <w:spacing w:after="0" w:line="240" w:lineRule="auto"/>
        <w:jc w:val="both"/>
        <w:rPr>
          <w:color w:val="000000" w:themeColor="text1"/>
          <w:sz w:val="24"/>
          <w:szCs w:val="24"/>
        </w:rPr>
      </w:pPr>
    </w:p>
    <w:p w:rsidR="004C3988" w:rsidRPr="002A100A" w:rsidRDefault="004C3988" w:rsidP="001A148F">
      <w:pPr>
        <w:spacing w:after="0" w:line="240" w:lineRule="auto"/>
        <w:jc w:val="both"/>
        <w:rPr>
          <w:color w:val="000000" w:themeColor="text1"/>
          <w:sz w:val="24"/>
          <w:szCs w:val="24"/>
        </w:rPr>
      </w:pPr>
    </w:p>
    <w:p w:rsidR="00095DA2" w:rsidRPr="002A100A" w:rsidRDefault="00095DA2" w:rsidP="001A148F">
      <w:pPr>
        <w:spacing w:after="0" w:line="240" w:lineRule="auto"/>
        <w:jc w:val="both"/>
        <w:rPr>
          <w:color w:val="000000" w:themeColor="text1"/>
          <w:sz w:val="24"/>
          <w:szCs w:val="24"/>
        </w:rPr>
      </w:pPr>
    </w:p>
    <w:p w:rsidR="00095DA2" w:rsidRDefault="00095DA2" w:rsidP="001A148F">
      <w:pPr>
        <w:spacing w:after="0" w:line="240" w:lineRule="auto"/>
        <w:jc w:val="both"/>
        <w:rPr>
          <w:color w:val="000000" w:themeColor="text1"/>
          <w:sz w:val="24"/>
          <w:szCs w:val="24"/>
        </w:rPr>
      </w:pPr>
    </w:p>
    <w:p w:rsidR="001A148F" w:rsidRDefault="001A148F" w:rsidP="001A148F">
      <w:pPr>
        <w:spacing w:after="0" w:line="240" w:lineRule="auto"/>
        <w:jc w:val="both"/>
        <w:rPr>
          <w:color w:val="000000" w:themeColor="text1"/>
          <w:sz w:val="24"/>
          <w:szCs w:val="24"/>
        </w:rPr>
      </w:pPr>
    </w:p>
    <w:p w:rsidR="001A148F" w:rsidRDefault="001A148F" w:rsidP="001A148F">
      <w:pPr>
        <w:spacing w:after="0" w:line="240" w:lineRule="auto"/>
        <w:jc w:val="both"/>
        <w:rPr>
          <w:color w:val="000000" w:themeColor="text1"/>
          <w:sz w:val="24"/>
          <w:szCs w:val="24"/>
        </w:rPr>
      </w:pPr>
    </w:p>
    <w:p w:rsidR="001A148F" w:rsidRDefault="001A148F" w:rsidP="001A148F">
      <w:pPr>
        <w:spacing w:after="0" w:line="240" w:lineRule="auto"/>
        <w:jc w:val="both"/>
        <w:rPr>
          <w:color w:val="000000" w:themeColor="text1"/>
          <w:sz w:val="24"/>
          <w:szCs w:val="24"/>
        </w:rPr>
      </w:pPr>
    </w:p>
    <w:p w:rsidR="001A148F" w:rsidRDefault="001A148F" w:rsidP="001A148F">
      <w:pPr>
        <w:spacing w:after="0" w:line="240" w:lineRule="auto"/>
        <w:jc w:val="both"/>
        <w:rPr>
          <w:color w:val="000000" w:themeColor="text1"/>
          <w:sz w:val="24"/>
          <w:szCs w:val="24"/>
        </w:rPr>
      </w:pPr>
    </w:p>
    <w:p w:rsidR="001A148F" w:rsidRDefault="001A148F" w:rsidP="001A148F">
      <w:pPr>
        <w:spacing w:after="0" w:line="240" w:lineRule="auto"/>
        <w:jc w:val="both"/>
        <w:rPr>
          <w:color w:val="000000" w:themeColor="text1"/>
          <w:sz w:val="24"/>
          <w:szCs w:val="24"/>
        </w:rPr>
      </w:pPr>
    </w:p>
    <w:p w:rsidR="001A148F" w:rsidRDefault="001A148F" w:rsidP="001A148F">
      <w:pPr>
        <w:spacing w:after="0" w:line="240" w:lineRule="auto"/>
        <w:jc w:val="both"/>
        <w:rPr>
          <w:color w:val="000000" w:themeColor="text1"/>
          <w:sz w:val="24"/>
          <w:szCs w:val="24"/>
        </w:rPr>
      </w:pPr>
    </w:p>
    <w:p w:rsidR="001A148F" w:rsidRDefault="001A148F" w:rsidP="001A148F">
      <w:pPr>
        <w:spacing w:after="0" w:line="240" w:lineRule="auto"/>
        <w:jc w:val="both"/>
        <w:rPr>
          <w:color w:val="000000" w:themeColor="text1"/>
          <w:sz w:val="24"/>
          <w:szCs w:val="24"/>
        </w:rPr>
      </w:pPr>
    </w:p>
    <w:p w:rsidR="001A148F" w:rsidRDefault="001A148F" w:rsidP="001A148F">
      <w:pPr>
        <w:spacing w:after="0" w:line="240" w:lineRule="auto"/>
        <w:jc w:val="both"/>
        <w:rPr>
          <w:color w:val="000000" w:themeColor="text1"/>
          <w:sz w:val="24"/>
          <w:szCs w:val="24"/>
        </w:rPr>
      </w:pPr>
    </w:p>
    <w:p w:rsidR="001A148F" w:rsidRDefault="001A148F" w:rsidP="001A148F">
      <w:pPr>
        <w:spacing w:after="0" w:line="240" w:lineRule="auto"/>
        <w:jc w:val="both"/>
        <w:rPr>
          <w:color w:val="000000" w:themeColor="text1"/>
          <w:sz w:val="24"/>
          <w:szCs w:val="24"/>
        </w:rPr>
      </w:pPr>
    </w:p>
    <w:p w:rsidR="001A148F" w:rsidRDefault="001A148F" w:rsidP="001A148F">
      <w:pPr>
        <w:spacing w:after="0" w:line="240" w:lineRule="auto"/>
        <w:jc w:val="both"/>
        <w:rPr>
          <w:color w:val="000000" w:themeColor="text1"/>
          <w:sz w:val="24"/>
          <w:szCs w:val="24"/>
        </w:rPr>
      </w:pPr>
    </w:p>
    <w:p w:rsidR="001A148F" w:rsidRDefault="001A148F" w:rsidP="001A148F">
      <w:pPr>
        <w:spacing w:after="0" w:line="240" w:lineRule="auto"/>
        <w:jc w:val="both"/>
        <w:rPr>
          <w:color w:val="000000" w:themeColor="text1"/>
          <w:sz w:val="24"/>
          <w:szCs w:val="24"/>
        </w:rPr>
      </w:pPr>
    </w:p>
    <w:p w:rsidR="001A148F" w:rsidRDefault="001A148F" w:rsidP="001A148F">
      <w:pPr>
        <w:spacing w:after="0" w:line="240" w:lineRule="auto"/>
        <w:jc w:val="both"/>
        <w:rPr>
          <w:color w:val="000000" w:themeColor="text1"/>
          <w:sz w:val="24"/>
          <w:szCs w:val="24"/>
        </w:rPr>
      </w:pPr>
    </w:p>
    <w:p w:rsidR="001A148F" w:rsidRDefault="001A148F" w:rsidP="001A148F">
      <w:pPr>
        <w:spacing w:after="0" w:line="240" w:lineRule="auto"/>
        <w:jc w:val="both"/>
        <w:rPr>
          <w:color w:val="000000" w:themeColor="text1"/>
          <w:sz w:val="24"/>
          <w:szCs w:val="24"/>
        </w:rPr>
      </w:pPr>
    </w:p>
    <w:p w:rsidR="001A148F" w:rsidRDefault="001A148F" w:rsidP="001A148F">
      <w:pPr>
        <w:spacing w:after="0" w:line="240" w:lineRule="auto"/>
        <w:jc w:val="both"/>
        <w:rPr>
          <w:color w:val="000000" w:themeColor="text1"/>
          <w:sz w:val="24"/>
          <w:szCs w:val="24"/>
        </w:rPr>
      </w:pPr>
    </w:p>
    <w:p w:rsidR="001A148F" w:rsidRDefault="001A148F" w:rsidP="001A148F">
      <w:pPr>
        <w:spacing w:after="0" w:line="240" w:lineRule="auto"/>
        <w:jc w:val="both"/>
        <w:rPr>
          <w:color w:val="000000" w:themeColor="text1"/>
          <w:sz w:val="24"/>
          <w:szCs w:val="24"/>
        </w:rPr>
      </w:pPr>
    </w:p>
    <w:p w:rsidR="001A148F" w:rsidRDefault="001A148F" w:rsidP="001A148F">
      <w:pPr>
        <w:spacing w:after="0" w:line="240" w:lineRule="auto"/>
        <w:jc w:val="both"/>
        <w:rPr>
          <w:color w:val="000000" w:themeColor="text1"/>
          <w:sz w:val="24"/>
          <w:szCs w:val="24"/>
        </w:rPr>
      </w:pPr>
    </w:p>
    <w:p w:rsidR="001A148F" w:rsidRDefault="001A148F" w:rsidP="001A148F">
      <w:pPr>
        <w:spacing w:after="0" w:line="240" w:lineRule="auto"/>
        <w:jc w:val="both"/>
        <w:rPr>
          <w:color w:val="000000" w:themeColor="text1"/>
          <w:sz w:val="24"/>
          <w:szCs w:val="24"/>
        </w:rPr>
      </w:pPr>
    </w:p>
    <w:p w:rsidR="001A148F" w:rsidRDefault="001A148F" w:rsidP="001A148F">
      <w:pPr>
        <w:spacing w:after="0" w:line="240" w:lineRule="auto"/>
        <w:jc w:val="both"/>
        <w:rPr>
          <w:color w:val="000000" w:themeColor="text1"/>
          <w:sz w:val="24"/>
          <w:szCs w:val="24"/>
        </w:rPr>
      </w:pPr>
    </w:p>
    <w:p w:rsidR="001A148F" w:rsidRDefault="001A148F" w:rsidP="001A148F">
      <w:pPr>
        <w:spacing w:after="0" w:line="240" w:lineRule="auto"/>
        <w:jc w:val="both"/>
        <w:rPr>
          <w:color w:val="000000" w:themeColor="text1"/>
          <w:sz w:val="24"/>
          <w:szCs w:val="24"/>
        </w:rPr>
      </w:pPr>
    </w:p>
    <w:p w:rsidR="001A148F" w:rsidRDefault="001A148F" w:rsidP="001A148F">
      <w:pPr>
        <w:spacing w:after="0" w:line="240" w:lineRule="auto"/>
        <w:jc w:val="both"/>
        <w:rPr>
          <w:color w:val="000000" w:themeColor="text1"/>
          <w:sz w:val="24"/>
          <w:szCs w:val="24"/>
        </w:rPr>
      </w:pPr>
    </w:p>
    <w:p w:rsidR="001A148F" w:rsidRPr="002A100A" w:rsidRDefault="001A148F" w:rsidP="001A148F">
      <w:pPr>
        <w:spacing w:after="0" w:line="240" w:lineRule="auto"/>
        <w:jc w:val="both"/>
        <w:rPr>
          <w:color w:val="000000" w:themeColor="text1"/>
          <w:sz w:val="24"/>
          <w:szCs w:val="24"/>
        </w:rPr>
      </w:pPr>
    </w:p>
    <w:p w:rsidR="00095DA2" w:rsidRPr="002A100A" w:rsidRDefault="00095DA2" w:rsidP="001A148F">
      <w:pPr>
        <w:spacing w:after="0" w:line="240" w:lineRule="auto"/>
        <w:jc w:val="both"/>
        <w:rPr>
          <w:color w:val="000000" w:themeColor="text1"/>
          <w:sz w:val="24"/>
          <w:szCs w:val="24"/>
        </w:rPr>
      </w:pPr>
    </w:p>
    <w:p w:rsidR="003D3985" w:rsidRPr="002A100A" w:rsidRDefault="003D3985" w:rsidP="001A148F">
      <w:pPr>
        <w:spacing w:after="0" w:line="240" w:lineRule="auto"/>
        <w:jc w:val="both"/>
        <w:rPr>
          <w:color w:val="000000" w:themeColor="text1"/>
          <w:sz w:val="24"/>
          <w:szCs w:val="24"/>
        </w:rPr>
      </w:pPr>
    </w:p>
    <w:p w:rsidR="00922AB4" w:rsidRPr="002A100A" w:rsidRDefault="00922AB4" w:rsidP="001A148F">
      <w:pPr>
        <w:spacing w:after="0" w:line="240" w:lineRule="auto"/>
        <w:jc w:val="both"/>
        <w:rPr>
          <w:color w:val="000000" w:themeColor="text1"/>
          <w:sz w:val="24"/>
          <w:szCs w:val="24"/>
        </w:rPr>
      </w:pPr>
    </w:p>
    <w:p w:rsidR="00922AB4" w:rsidRPr="002A100A" w:rsidRDefault="00922AB4" w:rsidP="001A148F">
      <w:pPr>
        <w:spacing w:after="0" w:line="240" w:lineRule="auto"/>
        <w:jc w:val="both"/>
        <w:rPr>
          <w:color w:val="000000" w:themeColor="text1"/>
          <w:sz w:val="24"/>
          <w:szCs w:val="24"/>
        </w:rPr>
      </w:pPr>
    </w:p>
    <w:p w:rsidR="00A51BE8" w:rsidRPr="002A100A" w:rsidRDefault="00A51BE8" w:rsidP="001A148F">
      <w:pPr>
        <w:pStyle w:val="ListParagraph"/>
        <w:numPr>
          <w:ilvl w:val="3"/>
          <w:numId w:val="2"/>
        </w:numPr>
        <w:autoSpaceDE w:val="0"/>
        <w:autoSpaceDN w:val="0"/>
        <w:adjustRightInd w:val="0"/>
        <w:spacing w:after="0" w:line="240" w:lineRule="auto"/>
        <w:ind w:left="567" w:hanging="567"/>
        <w:jc w:val="both"/>
        <w:rPr>
          <w:rFonts w:cs="Helvetica"/>
          <w:b/>
          <w:color w:val="000000" w:themeColor="text1"/>
          <w:sz w:val="24"/>
          <w:szCs w:val="24"/>
        </w:rPr>
      </w:pPr>
      <w:r w:rsidRPr="002A100A">
        <w:rPr>
          <w:rFonts w:cs="Helvetica"/>
          <w:b/>
          <w:color w:val="000000" w:themeColor="text1"/>
          <w:sz w:val="24"/>
          <w:szCs w:val="24"/>
        </w:rPr>
        <w:lastRenderedPageBreak/>
        <w:t>Background to EDAC:</w:t>
      </w:r>
    </w:p>
    <w:p w:rsidR="00A51BE8" w:rsidRPr="002A100A" w:rsidRDefault="00A51BE8" w:rsidP="001A148F">
      <w:pPr>
        <w:autoSpaceDE w:val="0"/>
        <w:autoSpaceDN w:val="0"/>
        <w:adjustRightInd w:val="0"/>
        <w:spacing w:after="0" w:line="240" w:lineRule="auto"/>
        <w:jc w:val="both"/>
        <w:rPr>
          <w:rFonts w:cs="Helvetica"/>
          <w:color w:val="000000" w:themeColor="text1"/>
          <w:sz w:val="24"/>
          <w:szCs w:val="24"/>
        </w:rPr>
      </w:pPr>
    </w:p>
    <w:p w:rsidR="00A51BE8" w:rsidRPr="002A100A" w:rsidRDefault="00A51BE8" w:rsidP="001A148F">
      <w:pPr>
        <w:autoSpaceDE w:val="0"/>
        <w:autoSpaceDN w:val="0"/>
        <w:adjustRightInd w:val="0"/>
        <w:spacing w:after="0" w:line="240" w:lineRule="auto"/>
        <w:jc w:val="both"/>
        <w:rPr>
          <w:rFonts w:cs="TT15Ct00"/>
          <w:color w:val="000000" w:themeColor="text1"/>
          <w:sz w:val="24"/>
          <w:szCs w:val="24"/>
        </w:rPr>
      </w:pPr>
      <w:r w:rsidRPr="002A100A">
        <w:rPr>
          <w:rFonts w:cs="Helvetica"/>
          <w:color w:val="000000" w:themeColor="text1"/>
          <w:sz w:val="24"/>
          <w:szCs w:val="24"/>
        </w:rPr>
        <w:t>The Ethnic Disability Advocacy Centre (EDAC) is a Western Australian not-for-profit community-based organisation that advocates for the rights and interests of people from culturally and linguistically diverse (</w:t>
      </w:r>
      <w:proofErr w:type="spellStart"/>
      <w:r w:rsidRPr="002A100A">
        <w:rPr>
          <w:rFonts w:cs="Helvetica"/>
          <w:color w:val="000000" w:themeColor="text1"/>
          <w:sz w:val="24"/>
          <w:szCs w:val="24"/>
        </w:rPr>
        <w:t>CaLD</w:t>
      </w:r>
      <w:proofErr w:type="spellEnd"/>
      <w:r w:rsidRPr="002A100A">
        <w:rPr>
          <w:rFonts w:cs="Helvetica"/>
          <w:color w:val="000000" w:themeColor="text1"/>
          <w:sz w:val="24"/>
          <w:szCs w:val="24"/>
        </w:rPr>
        <w:t>)</w:t>
      </w:r>
      <w:r w:rsidR="00942856" w:rsidRPr="002A100A">
        <w:rPr>
          <w:rFonts w:cs="Helvetica"/>
          <w:color w:val="000000" w:themeColor="text1"/>
          <w:sz w:val="24"/>
          <w:szCs w:val="24"/>
        </w:rPr>
        <w:t xml:space="preserve"> backgrounds with disability</w:t>
      </w:r>
      <w:r w:rsidRPr="002A100A">
        <w:rPr>
          <w:rFonts w:cs="Helvetica"/>
          <w:color w:val="000000" w:themeColor="text1"/>
          <w:sz w:val="24"/>
          <w:szCs w:val="24"/>
        </w:rPr>
        <w:t>, their fa</w:t>
      </w:r>
      <w:r w:rsidR="00942856" w:rsidRPr="002A100A">
        <w:rPr>
          <w:rFonts w:cs="Helvetica"/>
          <w:color w:val="000000" w:themeColor="text1"/>
          <w:sz w:val="24"/>
          <w:szCs w:val="24"/>
        </w:rPr>
        <w:t>milies</w:t>
      </w:r>
      <w:r w:rsidRPr="002A100A">
        <w:rPr>
          <w:rFonts w:cs="Helvetica"/>
          <w:color w:val="000000" w:themeColor="text1"/>
          <w:sz w:val="24"/>
          <w:szCs w:val="24"/>
        </w:rPr>
        <w:t xml:space="preserve"> </w:t>
      </w:r>
      <w:r w:rsidR="00942856" w:rsidRPr="002A100A">
        <w:rPr>
          <w:rFonts w:cs="Helvetica"/>
          <w:color w:val="000000" w:themeColor="text1"/>
          <w:sz w:val="24"/>
          <w:szCs w:val="24"/>
        </w:rPr>
        <w:t xml:space="preserve">and </w:t>
      </w:r>
      <w:r w:rsidRPr="002A100A">
        <w:rPr>
          <w:rFonts w:cs="Helvetica"/>
          <w:color w:val="000000" w:themeColor="text1"/>
          <w:sz w:val="24"/>
          <w:szCs w:val="24"/>
        </w:rPr>
        <w:t xml:space="preserve">carers. </w:t>
      </w:r>
      <w:r w:rsidRPr="002A100A">
        <w:rPr>
          <w:rFonts w:cs="TT15Ct00"/>
          <w:color w:val="000000" w:themeColor="text1"/>
          <w:sz w:val="24"/>
          <w:szCs w:val="24"/>
        </w:rPr>
        <w:t xml:space="preserve"> EDAC provides individual and systemic advocacy to migrants and refugees with disability living in Western Australia. </w:t>
      </w:r>
      <w:r w:rsidRPr="002A100A">
        <w:rPr>
          <w:rFonts w:cs="Helvetica"/>
          <w:color w:val="000000" w:themeColor="text1"/>
          <w:sz w:val="24"/>
          <w:szCs w:val="24"/>
        </w:rPr>
        <w:t xml:space="preserve">EDAC represents Western Australia as a member of the National Ethnic Disability Alliance (NEDA) </w:t>
      </w:r>
      <w:r w:rsidRPr="002A100A">
        <w:rPr>
          <w:rFonts w:cs="TT15Ct00"/>
          <w:color w:val="000000" w:themeColor="text1"/>
          <w:sz w:val="24"/>
          <w:szCs w:val="24"/>
        </w:rPr>
        <w:t>and is funded by the Department of Social Services (DSS) and the Disability Services Commission (DSC).</w:t>
      </w:r>
    </w:p>
    <w:p w:rsidR="00A51BE8" w:rsidRPr="002A100A" w:rsidRDefault="00A51BE8" w:rsidP="001A148F">
      <w:pPr>
        <w:autoSpaceDE w:val="0"/>
        <w:autoSpaceDN w:val="0"/>
        <w:adjustRightInd w:val="0"/>
        <w:spacing w:after="0" w:line="240" w:lineRule="auto"/>
        <w:jc w:val="both"/>
        <w:rPr>
          <w:rFonts w:cs="TT15Ct00"/>
          <w:color w:val="000000" w:themeColor="text1"/>
          <w:sz w:val="24"/>
          <w:szCs w:val="24"/>
        </w:rPr>
      </w:pPr>
    </w:p>
    <w:p w:rsidR="00A51BE8" w:rsidRPr="002A100A" w:rsidRDefault="00A51BE8" w:rsidP="001A148F">
      <w:pPr>
        <w:autoSpaceDE w:val="0"/>
        <w:autoSpaceDN w:val="0"/>
        <w:adjustRightInd w:val="0"/>
        <w:spacing w:after="0" w:line="240" w:lineRule="auto"/>
        <w:jc w:val="both"/>
        <w:rPr>
          <w:rFonts w:cs="Arial"/>
          <w:color w:val="000000" w:themeColor="text1"/>
          <w:sz w:val="24"/>
          <w:szCs w:val="24"/>
          <w:lang w:eastAsia="en-AU"/>
        </w:rPr>
      </w:pPr>
      <w:r w:rsidRPr="002A100A">
        <w:rPr>
          <w:rFonts w:cs="TT15Ct00"/>
          <w:color w:val="000000" w:themeColor="text1"/>
          <w:sz w:val="24"/>
          <w:szCs w:val="24"/>
        </w:rPr>
        <w:t xml:space="preserve">EDAC vigorously supports the promotion and protection of the rights of </w:t>
      </w:r>
      <w:proofErr w:type="spellStart"/>
      <w:r w:rsidRPr="002A100A">
        <w:rPr>
          <w:rFonts w:cs="TT15Ct00"/>
          <w:color w:val="000000" w:themeColor="text1"/>
          <w:sz w:val="24"/>
          <w:szCs w:val="24"/>
        </w:rPr>
        <w:t>CaLD</w:t>
      </w:r>
      <w:proofErr w:type="spellEnd"/>
      <w:r w:rsidRPr="002A100A">
        <w:rPr>
          <w:rFonts w:cs="TT15Ct00"/>
          <w:color w:val="000000" w:themeColor="text1"/>
          <w:sz w:val="24"/>
          <w:szCs w:val="24"/>
        </w:rPr>
        <w:t xml:space="preserve"> people with disability   in order that they reach their full potential as active participants in the community. </w:t>
      </w:r>
      <w:r w:rsidRPr="002A100A">
        <w:rPr>
          <w:color w:val="000000" w:themeColor="text1"/>
          <w:sz w:val="24"/>
          <w:szCs w:val="24"/>
        </w:rPr>
        <w:t xml:space="preserve">EDAC, as a peak voice of advocacy for </w:t>
      </w:r>
      <w:proofErr w:type="spellStart"/>
      <w:r w:rsidRPr="002A100A">
        <w:rPr>
          <w:color w:val="000000" w:themeColor="text1"/>
          <w:sz w:val="24"/>
          <w:szCs w:val="24"/>
        </w:rPr>
        <w:t>CaLD</w:t>
      </w:r>
      <w:proofErr w:type="spellEnd"/>
      <w:r w:rsidRPr="002A100A">
        <w:rPr>
          <w:color w:val="000000" w:themeColor="text1"/>
          <w:sz w:val="24"/>
          <w:szCs w:val="24"/>
        </w:rPr>
        <w:t xml:space="preserve"> people with disability and their </w:t>
      </w:r>
      <w:proofErr w:type="spellStart"/>
      <w:r w:rsidRPr="002A100A">
        <w:rPr>
          <w:color w:val="000000" w:themeColor="text1"/>
          <w:sz w:val="24"/>
          <w:szCs w:val="24"/>
        </w:rPr>
        <w:t>carers</w:t>
      </w:r>
      <w:proofErr w:type="spellEnd"/>
      <w:r w:rsidRPr="002A100A">
        <w:rPr>
          <w:color w:val="000000" w:themeColor="text1"/>
          <w:sz w:val="24"/>
          <w:szCs w:val="24"/>
        </w:rPr>
        <w:t xml:space="preserve"> in Western Australia, note that people with disability generally face barriers to social participation; access to employment, technology, social activity and economic wellbeing. However people from non-English speaking backgrounds with disability are a vulnerable, high risk group and </w:t>
      </w:r>
      <w:r w:rsidRPr="002A100A">
        <w:rPr>
          <w:rFonts w:cs="Arial"/>
          <w:color w:val="000000" w:themeColor="text1"/>
          <w:sz w:val="24"/>
          <w:szCs w:val="24"/>
          <w:lang w:eastAsia="en-AU"/>
        </w:rPr>
        <w:t xml:space="preserve">are prone to ‘triple discrimination’. They are discriminated against due to their ethnicity and disability in mainstream society, and their disability within their own cultural community due to negative cultural perceptions of disability. </w:t>
      </w:r>
    </w:p>
    <w:p w:rsidR="00A51BE8" w:rsidRPr="002A100A" w:rsidRDefault="00A51BE8" w:rsidP="001A148F">
      <w:pPr>
        <w:autoSpaceDE w:val="0"/>
        <w:autoSpaceDN w:val="0"/>
        <w:adjustRightInd w:val="0"/>
        <w:spacing w:after="0" w:line="240" w:lineRule="auto"/>
        <w:jc w:val="both"/>
        <w:rPr>
          <w:color w:val="000000" w:themeColor="text1"/>
          <w:sz w:val="24"/>
          <w:szCs w:val="24"/>
        </w:rPr>
      </w:pPr>
    </w:p>
    <w:p w:rsidR="00334B31" w:rsidRDefault="00A51BE8" w:rsidP="001A148F">
      <w:pPr>
        <w:spacing w:after="0" w:line="240" w:lineRule="auto"/>
        <w:jc w:val="both"/>
        <w:rPr>
          <w:color w:val="000000" w:themeColor="text1"/>
          <w:sz w:val="24"/>
          <w:szCs w:val="24"/>
        </w:rPr>
      </w:pPr>
      <w:r w:rsidRPr="002A100A">
        <w:rPr>
          <w:color w:val="000000" w:themeColor="text1"/>
          <w:sz w:val="24"/>
          <w:szCs w:val="24"/>
        </w:rPr>
        <w:t xml:space="preserve">EDAC appreciates the opportunity to provide a submission in response to the </w:t>
      </w:r>
      <w:r w:rsidR="00FC3727" w:rsidRPr="002A100A">
        <w:rPr>
          <w:color w:val="000000" w:themeColor="text1"/>
          <w:sz w:val="24"/>
          <w:szCs w:val="24"/>
        </w:rPr>
        <w:t xml:space="preserve">New Welfare Reform </w:t>
      </w:r>
      <w:r w:rsidR="003F63F4" w:rsidRPr="002A100A">
        <w:rPr>
          <w:color w:val="000000" w:themeColor="text1"/>
          <w:sz w:val="24"/>
          <w:szCs w:val="24"/>
        </w:rPr>
        <w:t>Interim Report</w:t>
      </w:r>
      <w:r w:rsidR="004E14DF" w:rsidRPr="002A100A">
        <w:rPr>
          <w:color w:val="000000" w:themeColor="text1"/>
          <w:sz w:val="24"/>
          <w:szCs w:val="24"/>
        </w:rPr>
        <w:t xml:space="preserve"> and </w:t>
      </w:r>
      <w:r w:rsidR="008B65AC" w:rsidRPr="002A100A">
        <w:rPr>
          <w:color w:val="000000" w:themeColor="text1"/>
          <w:sz w:val="24"/>
          <w:szCs w:val="24"/>
        </w:rPr>
        <w:t>we desperately need structur</w:t>
      </w:r>
      <w:r w:rsidR="00982860" w:rsidRPr="002A100A">
        <w:rPr>
          <w:color w:val="000000" w:themeColor="text1"/>
          <w:sz w:val="24"/>
          <w:szCs w:val="24"/>
        </w:rPr>
        <w:t>ed</w:t>
      </w:r>
      <w:r w:rsidR="008B65AC" w:rsidRPr="002A100A">
        <w:rPr>
          <w:color w:val="000000" w:themeColor="text1"/>
          <w:sz w:val="24"/>
          <w:szCs w:val="24"/>
        </w:rPr>
        <w:t xml:space="preserve"> a</w:t>
      </w:r>
      <w:r w:rsidR="00982860" w:rsidRPr="002A100A">
        <w:rPr>
          <w:color w:val="000000" w:themeColor="text1"/>
          <w:sz w:val="24"/>
          <w:szCs w:val="24"/>
        </w:rPr>
        <w:t>nd</w:t>
      </w:r>
      <w:r w:rsidR="008B65AC" w:rsidRPr="002A100A">
        <w:rPr>
          <w:color w:val="000000" w:themeColor="text1"/>
          <w:sz w:val="24"/>
          <w:szCs w:val="24"/>
        </w:rPr>
        <w:t xml:space="preserve"> sustainable welfare system that will bring meaningful improvement to the lives of </w:t>
      </w:r>
      <w:proofErr w:type="spellStart"/>
      <w:r w:rsidR="008B65AC" w:rsidRPr="002A100A">
        <w:rPr>
          <w:color w:val="000000" w:themeColor="text1"/>
          <w:sz w:val="24"/>
          <w:szCs w:val="24"/>
        </w:rPr>
        <w:t>CaLD</w:t>
      </w:r>
      <w:proofErr w:type="spellEnd"/>
      <w:r w:rsidR="008B65AC" w:rsidRPr="002A100A">
        <w:rPr>
          <w:color w:val="000000" w:themeColor="text1"/>
          <w:sz w:val="24"/>
          <w:szCs w:val="24"/>
        </w:rPr>
        <w:t xml:space="preserve"> people with disability, their families and carers.</w:t>
      </w:r>
      <w:r w:rsidR="00FD6264">
        <w:rPr>
          <w:color w:val="000000" w:themeColor="text1"/>
          <w:sz w:val="24"/>
          <w:szCs w:val="24"/>
        </w:rPr>
        <w:t xml:space="preserve"> </w:t>
      </w:r>
      <w:r w:rsidR="00352338" w:rsidRPr="002A100A">
        <w:rPr>
          <w:color w:val="000000" w:themeColor="text1"/>
          <w:sz w:val="24"/>
          <w:szCs w:val="24"/>
        </w:rPr>
        <w:t xml:space="preserve">EDAC </w:t>
      </w:r>
      <w:r w:rsidR="00E57E92" w:rsidRPr="002A100A">
        <w:rPr>
          <w:color w:val="000000" w:themeColor="text1"/>
          <w:sz w:val="24"/>
          <w:szCs w:val="24"/>
        </w:rPr>
        <w:t xml:space="preserve">believes that </w:t>
      </w:r>
      <w:r w:rsidR="00DC5A5D" w:rsidRPr="002A100A">
        <w:rPr>
          <w:color w:val="000000" w:themeColor="text1"/>
          <w:sz w:val="24"/>
          <w:szCs w:val="24"/>
        </w:rPr>
        <w:t>a major</w:t>
      </w:r>
      <w:r w:rsidR="00E57E92" w:rsidRPr="002A100A">
        <w:rPr>
          <w:color w:val="000000" w:themeColor="text1"/>
          <w:sz w:val="24"/>
          <w:szCs w:val="24"/>
        </w:rPr>
        <w:t xml:space="preserve"> long-term reform in Australia’s income support system is overdue and more adequate supports need to be made available to increase employment pathways for people with disabilities</w:t>
      </w:r>
      <w:r w:rsidR="00334B31" w:rsidRPr="002A100A">
        <w:rPr>
          <w:color w:val="000000" w:themeColor="text1"/>
          <w:sz w:val="24"/>
          <w:szCs w:val="24"/>
        </w:rPr>
        <w:t xml:space="preserve"> and to support them in working to their capacity.</w:t>
      </w:r>
    </w:p>
    <w:p w:rsidR="001A148F" w:rsidRPr="002A100A" w:rsidRDefault="001A148F" w:rsidP="001A148F">
      <w:pPr>
        <w:spacing w:after="0" w:line="240" w:lineRule="auto"/>
        <w:jc w:val="both"/>
        <w:rPr>
          <w:color w:val="000000" w:themeColor="text1"/>
          <w:sz w:val="24"/>
          <w:szCs w:val="24"/>
        </w:rPr>
      </w:pPr>
    </w:p>
    <w:p w:rsidR="0088301C" w:rsidRDefault="00982860" w:rsidP="001A148F">
      <w:pPr>
        <w:spacing w:after="0" w:line="240" w:lineRule="auto"/>
        <w:jc w:val="both"/>
        <w:rPr>
          <w:color w:val="000000" w:themeColor="text1"/>
          <w:sz w:val="24"/>
          <w:szCs w:val="24"/>
        </w:rPr>
      </w:pPr>
      <w:r w:rsidRPr="002A100A">
        <w:rPr>
          <w:color w:val="000000" w:themeColor="text1"/>
          <w:sz w:val="24"/>
          <w:szCs w:val="24"/>
        </w:rPr>
        <w:t>A simpler welfare system is a laudable goal,</w:t>
      </w:r>
      <w:r w:rsidR="00D8417B" w:rsidRPr="002A100A">
        <w:rPr>
          <w:color w:val="000000" w:themeColor="text1"/>
          <w:sz w:val="24"/>
          <w:szCs w:val="24"/>
        </w:rPr>
        <w:t xml:space="preserve"> h</w:t>
      </w:r>
      <w:r w:rsidR="001F4AD9" w:rsidRPr="002A100A">
        <w:rPr>
          <w:color w:val="000000" w:themeColor="text1"/>
          <w:sz w:val="24"/>
          <w:szCs w:val="24"/>
        </w:rPr>
        <w:t xml:space="preserve">owever, we are concerned if this results in </w:t>
      </w:r>
      <w:proofErr w:type="spellStart"/>
      <w:r w:rsidR="001F4AD9" w:rsidRPr="002A100A">
        <w:rPr>
          <w:color w:val="000000" w:themeColor="text1"/>
          <w:sz w:val="24"/>
          <w:szCs w:val="24"/>
        </w:rPr>
        <w:t>CaL</w:t>
      </w:r>
      <w:r w:rsidR="003B7BB6">
        <w:rPr>
          <w:color w:val="000000" w:themeColor="text1"/>
          <w:sz w:val="24"/>
          <w:szCs w:val="24"/>
        </w:rPr>
        <w:t>D</w:t>
      </w:r>
      <w:proofErr w:type="spellEnd"/>
      <w:r w:rsidR="001F4AD9" w:rsidRPr="002A100A">
        <w:rPr>
          <w:color w:val="000000" w:themeColor="text1"/>
          <w:sz w:val="24"/>
          <w:szCs w:val="24"/>
        </w:rPr>
        <w:t xml:space="preserve"> people with disabilities, their families and carers further marginalised from the proposed recommendations to consolidate 20 payments and 55 supp</w:t>
      </w:r>
      <w:r w:rsidR="0088301C" w:rsidRPr="002A100A">
        <w:rPr>
          <w:color w:val="000000" w:themeColor="text1"/>
          <w:sz w:val="24"/>
          <w:szCs w:val="24"/>
        </w:rPr>
        <w:t>lements into four main payments -the age pension; the disability support pension; a tiered work-age payment and a child payment.</w:t>
      </w:r>
    </w:p>
    <w:p w:rsidR="001A148F" w:rsidRPr="002A100A" w:rsidRDefault="001A148F" w:rsidP="001A148F">
      <w:pPr>
        <w:spacing w:after="0" w:line="240" w:lineRule="auto"/>
        <w:jc w:val="both"/>
        <w:rPr>
          <w:color w:val="000000" w:themeColor="text1"/>
          <w:sz w:val="24"/>
          <w:szCs w:val="24"/>
        </w:rPr>
      </w:pPr>
    </w:p>
    <w:p w:rsidR="007B5989" w:rsidRDefault="00A51BE8" w:rsidP="001A148F">
      <w:pPr>
        <w:spacing w:after="0" w:line="240" w:lineRule="auto"/>
        <w:jc w:val="both"/>
        <w:rPr>
          <w:color w:val="000000" w:themeColor="text1"/>
          <w:sz w:val="24"/>
          <w:szCs w:val="24"/>
        </w:rPr>
      </w:pPr>
      <w:r w:rsidRPr="002A100A">
        <w:rPr>
          <w:color w:val="000000" w:themeColor="text1"/>
          <w:sz w:val="24"/>
          <w:szCs w:val="24"/>
        </w:rPr>
        <w:t xml:space="preserve">In this submission, EDAC will </w:t>
      </w:r>
      <w:r w:rsidR="007B5989" w:rsidRPr="002A100A">
        <w:rPr>
          <w:color w:val="000000" w:themeColor="text1"/>
          <w:sz w:val="24"/>
          <w:szCs w:val="24"/>
        </w:rPr>
        <w:t xml:space="preserve">only </w:t>
      </w:r>
      <w:r w:rsidRPr="002A100A">
        <w:rPr>
          <w:color w:val="000000" w:themeColor="text1"/>
          <w:sz w:val="24"/>
          <w:szCs w:val="24"/>
        </w:rPr>
        <w:t xml:space="preserve">focus on </w:t>
      </w:r>
      <w:r w:rsidR="007B5989" w:rsidRPr="002A100A">
        <w:rPr>
          <w:color w:val="000000" w:themeColor="text1"/>
          <w:sz w:val="24"/>
          <w:szCs w:val="24"/>
        </w:rPr>
        <w:t xml:space="preserve">‘high priority’ </w:t>
      </w:r>
      <w:r w:rsidRPr="002A100A">
        <w:rPr>
          <w:color w:val="000000" w:themeColor="text1"/>
          <w:sz w:val="24"/>
          <w:szCs w:val="24"/>
        </w:rPr>
        <w:t xml:space="preserve">areas </w:t>
      </w:r>
      <w:r w:rsidR="007B5989" w:rsidRPr="002A100A">
        <w:rPr>
          <w:color w:val="000000" w:themeColor="text1"/>
          <w:sz w:val="24"/>
          <w:szCs w:val="24"/>
        </w:rPr>
        <w:t xml:space="preserve">which will have a significant impact on </w:t>
      </w:r>
      <w:proofErr w:type="spellStart"/>
      <w:r w:rsidR="007B5989" w:rsidRPr="002A100A">
        <w:rPr>
          <w:color w:val="000000" w:themeColor="text1"/>
          <w:sz w:val="24"/>
          <w:szCs w:val="24"/>
        </w:rPr>
        <w:t>CaLD</w:t>
      </w:r>
      <w:proofErr w:type="spellEnd"/>
      <w:r w:rsidR="007B5989" w:rsidRPr="002A100A">
        <w:rPr>
          <w:color w:val="000000" w:themeColor="text1"/>
          <w:sz w:val="24"/>
          <w:szCs w:val="24"/>
        </w:rPr>
        <w:t xml:space="preserve"> people with disabilities, their families and carers.</w:t>
      </w:r>
    </w:p>
    <w:p w:rsidR="001A148F" w:rsidRPr="002A100A" w:rsidRDefault="001A148F" w:rsidP="001A148F">
      <w:pPr>
        <w:spacing w:after="0" w:line="240" w:lineRule="auto"/>
        <w:jc w:val="both"/>
        <w:rPr>
          <w:color w:val="000000" w:themeColor="text1"/>
          <w:sz w:val="24"/>
          <w:szCs w:val="24"/>
        </w:rPr>
      </w:pPr>
    </w:p>
    <w:p w:rsidR="005F26F7" w:rsidRDefault="005F26F7" w:rsidP="001A148F">
      <w:pPr>
        <w:spacing w:after="0" w:line="240" w:lineRule="auto"/>
        <w:jc w:val="both"/>
        <w:rPr>
          <w:color w:val="000000" w:themeColor="text1"/>
          <w:sz w:val="24"/>
          <w:szCs w:val="24"/>
        </w:rPr>
      </w:pPr>
      <w:r w:rsidRPr="002A100A">
        <w:rPr>
          <w:color w:val="000000" w:themeColor="text1"/>
          <w:sz w:val="24"/>
          <w:szCs w:val="24"/>
        </w:rPr>
        <w:t xml:space="preserve">National Ethnic Disability Alliance (NEDA 2010) data analysis estimates more than 1 million people (18%) with disability are from non-English speaking backgrounds. Some form of recent migration heritage is a characteristic for over 40% of people with disability. All people with disability face barriers to social participation – access to employment, technology, social activity and economic wellbeing, however people from non-English speaking backgrounds are more likely to face deeper forms of marginalization. There is a higher prevalence of impairment for people born in non-English speaking countries aged over 45 years, especially for ‘first wave’ non English </w:t>
      </w:r>
      <w:r w:rsidRPr="002A100A">
        <w:rPr>
          <w:color w:val="000000" w:themeColor="text1"/>
          <w:sz w:val="24"/>
          <w:szCs w:val="24"/>
        </w:rPr>
        <w:lastRenderedPageBreak/>
        <w:t xml:space="preserve">speaking migrants, up to 3 times that of the Australian born population.   For further information, please see NEDA’s website at: </w:t>
      </w:r>
      <w:hyperlink r:id="rId10" w:history="1">
        <w:r w:rsidR="001A148F" w:rsidRPr="00D236D4">
          <w:rPr>
            <w:rStyle w:val="Hyperlink"/>
            <w:sz w:val="24"/>
            <w:szCs w:val="24"/>
          </w:rPr>
          <w:t>www.neda.org.au</w:t>
        </w:r>
      </w:hyperlink>
    </w:p>
    <w:p w:rsidR="003B7BB6" w:rsidRDefault="003B7BB6" w:rsidP="001A148F">
      <w:pPr>
        <w:spacing w:after="0" w:line="240" w:lineRule="auto"/>
        <w:jc w:val="both"/>
        <w:rPr>
          <w:color w:val="000000" w:themeColor="text1"/>
          <w:sz w:val="24"/>
          <w:szCs w:val="24"/>
        </w:rPr>
      </w:pPr>
    </w:p>
    <w:p w:rsidR="001A148F" w:rsidRPr="002A100A" w:rsidRDefault="001A148F" w:rsidP="001A148F">
      <w:pPr>
        <w:spacing w:after="0" w:line="240" w:lineRule="auto"/>
        <w:jc w:val="both"/>
        <w:rPr>
          <w:color w:val="000000" w:themeColor="text1"/>
          <w:sz w:val="24"/>
          <w:szCs w:val="24"/>
        </w:rPr>
      </w:pPr>
    </w:p>
    <w:p w:rsidR="002F148B" w:rsidRDefault="00B4600F" w:rsidP="001A148F">
      <w:pPr>
        <w:pStyle w:val="ListParagraph"/>
        <w:numPr>
          <w:ilvl w:val="0"/>
          <w:numId w:val="2"/>
        </w:numPr>
        <w:spacing w:after="0" w:line="240" w:lineRule="auto"/>
        <w:ind w:left="567" w:hanging="720"/>
        <w:jc w:val="both"/>
        <w:rPr>
          <w:b/>
          <w:color w:val="000000" w:themeColor="text1"/>
          <w:sz w:val="24"/>
          <w:szCs w:val="24"/>
        </w:rPr>
      </w:pPr>
      <w:r w:rsidRPr="002A100A">
        <w:rPr>
          <w:b/>
          <w:color w:val="000000" w:themeColor="text1"/>
          <w:sz w:val="24"/>
          <w:szCs w:val="24"/>
        </w:rPr>
        <w:t>T</w:t>
      </w:r>
      <w:r w:rsidR="002F148B" w:rsidRPr="002A100A">
        <w:rPr>
          <w:b/>
          <w:color w:val="000000" w:themeColor="text1"/>
          <w:sz w:val="24"/>
          <w:szCs w:val="24"/>
        </w:rPr>
        <w:t>he need for a simpler architecture for the income support</w:t>
      </w:r>
    </w:p>
    <w:p w:rsidR="001A148F" w:rsidRPr="002A100A" w:rsidRDefault="001A148F" w:rsidP="001A148F">
      <w:pPr>
        <w:pStyle w:val="ListParagraph"/>
        <w:numPr>
          <w:ilvl w:val="0"/>
          <w:numId w:val="0"/>
        </w:numPr>
        <w:spacing w:after="0" w:line="240" w:lineRule="auto"/>
        <w:ind w:left="567"/>
        <w:jc w:val="both"/>
        <w:rPr>
          <w:b/>
          <w:color w:val="000000" w:themeColor="text1"/>
          <w:sz w:val="24"/>
          <w:szCs w:val="24"/>
        </w:rPr>
      </w:pPr>
    </w:p>
    <w:p w:rsidR="00CD40C1" w:rsidRPr="002A100A" w:rsidRDefault="006C3C67" w:rsidP="001A148F">
      <w:pPr>
        <w:spacing w:after="0" w:line="240" w:lineRule="auto"/>
        <w:jc w:val="both"/>
        <w:rPr>
          <w:color w:val="000000" w:themeColor="text1"/>
          <w:sz w:val="24"/>
          <w:szCs w:val="24"/>
        </w:rPr>
      </w:pPr>
      <w:r w:rsidRPr="002A100A">
        <w:rPr>
          <w:color w:val="000000" w:themeColor="text1"/>
          <w:sz w:val="24"/>
          <w:szCs w:val="24"/>
        </w:rPr>
        <w:t xml:space="preserve">In Reference to pg.51 of the Interim Report, </w:t>
      </w:r>
      <w:r w:rsidR="00CD40C1" w:rsidRPr="002A100A">
        <w:rPr>
          <w:color w:val="000000" w:themeColor="text1"/>
          <w:sz w:val="24"/>
          <w:szCs w:val="24"/>
        </w:rPr>
        <w:t xml:space="preserve">It is suggested that DSP would be reserved only for people with a permanent impairment and no capacity to work. </w:t>
      </w:r>
    </w:p>
    <w:p w:rsidR="007B226C" w:rsidRPr="002A100A" w:rsidRDefault="00CD40C1" w:rsidP="001A148F">
      <w:pPr>
        <w:spacing w:after="0" w:line="240" w:lineRule="auto"/>
        <w:jc w:val="both"/>
        <w:rPr>
          <w:color w:val="000000" w:themeColor="text1"/>
          <w:sz w:val="24"/>
          <w:szCs w:val="24"/>
        </w:rPr>
      </w:pPr>
      <w:r w:rsidRPr="002A100A">
        <w:rPr>
          <w:color w:val="000000" w:themeColor="text1"/>
          <w:sz w:val="24"/>
          <w:szCs w:val="24"/>
        </w:rPr>
        <w:t xml:space="preserve">This </w:t>
      </w:r>
      <w:r w:rsidR="006C3C67" w:rsidRPr="002A100A">
        <w:rPr>
          <w:color w:val="000000" w:themeColor="text1"/>
          <w:sz w:val="24"/>
          <w:szCs w:val="24"/>
        </w:rPr>
        <w:t>differentiates between permanent and temporary incapacity.</w:t>
      </w:r>
      <w:r w:rsidR="007B226C" w:rsidRPr="002A100A">
        <w:rPr>
          <w:color w:val="000000" w:themeColor="text1"/>
          <w:sz w:val="24"/>
          <w:szCs w:val="24"/>
        </w:rPr>
        <w:t xml:space="preserve"> </w:t>
      </w:r>
    </w:p>
    <w:p w:rsidR="006C3C67" w:rsidRDefault="006C3C67" w:rsidP="001A148F">
      <w:pPr>
        <w:spacing w:after="0" w:line="240" w:lineRule="auto"/>
        <w:jc w:val="both"/>
        <w:rPr>
          <w:color w:val="000000" w:themeColor="text1"/>
          <w:sz w:val="24"/>
          <w:szCs w:val="24"/>
        </w:rPr>
      </w:pPr>
      <w:r w:rsidRPr="002A100A">
        <w:rPr>
          <w:color w:val="000000" w:themeColor="text1"/>
          <w:sz w:val="24"/>
          <w:szCs w:val="24"/>
        </w:rPr>
        <w:t>This would recognise that people who can never work need pension-level assistance, and people with disability who have capacity to work could be assisted through t</w:t>
      </w:r>
      <w:r w:rsidR="00CD40C1" w:rsidRPr="002A100A">
        <w:rPr>
          <w:color w:val="000000" w:themeColor="text1"/>
          <w:sz w:val="24"/>
          <w:szCs w:val="24"/>
        </w:rPr>
        <w:t>he tiered working age payment.</w:t>
      </w:r>
    </w:p>
    <w:p w:rsidR="001A148F" w:rsidRPr="002A100A" w:rsidRDefault="001A148F" w:rsidP="001A148F">
      <w:pPr>
        <w:spacing w:after="0" w:line="240" w:lineRule="auto"/>
        <w:jc w:val="both"/>
        <w:rPr>
          <w:color w:val="000000" w:themeColor="text1"/>
          <w:sz w:val="24"/>
          <w:szCs w:val="24"/>
        </w:rPr>
      </w:pPr>
    </w:p>
    <w:p w:rsidR="00DD1E20" w:rsidRPr="002A100A" w:rsidRDefault="008E42D7" w:rsidP="001A148F">
      <w:pPr>
        <w:spacing w:after="0" w:line="240" w:lineRule="auto"/>
        <w:jc w:val="both"/>
        <w:rPr>
          <w:color w:val="000000" w:themeColor="text1"/>
          <w:sz w:val="24"/>
          <w:szCs w:val="24"/>
        </w:rPr>
      </w:pPr>
      <w:r w:rsidRPr="002A100A">
        <w:rPr>
          <w:color w:val="000000" w:themeColor="text1"/>
          <w:sz w:val="24"/>
          <w:szCs w:val="24"/>
        </w:rPr>
        <w:t xml:space="preserve">While we consider the idea of putting DSP clients in to level of productivity commendable, the </w:t>
      </w:r>
      <w:r w:rsidR="006C3C67" w:rsidRPr="002A100A">
        <w:rPr>
          <w:color w:val="000000" w:themeColor="text1"/>
          <w:sz w:val="24"/>
          <w:szCs w:val="24"/>
        </w:rPr>
        <w:t>proposed changes focus more on the extent to which a person is impaired from working and less on whether a person has been diagnosed with a disabling condition.</w:t>
      </w:r>
      <w:r w:rsidRPr="002A100A">
        <w:rPr>
          <w:color w:val="000000" w:themeColor="text1"/>
          <w:sz w:val="24"/>
          <w:szCs w:val="24"/>
        </w:rPr>
        <w:t xml:space="preserve"> However, it is worth noting that high productivity achieved through work-intensification practices is demanded in most employment situations and </w:t>
      </w:r>
      <w:proofErr w:type="spellStart"/>
      <w:r w:rsidRPr="002A100A">
        <w:rPr>
          <w:color w:val="000000" w:themeColor="text1"/>
          <w:sz w:val="24"/>
          <w:szCs w:val="24"/>
        </w:rPr>
        <w:t>CaL</w:t>
      </w:r>
      <w:r w:rsidR="002A100A">
        <w:rPr>
          <w:color w:val="000000" w:themeColor="text1"/>
          <w:sz w:val="24"/>
          <w:szCs w:val="24"/>
        </w:rPr>
        <w:t>D</w:t>
      </w:r>
      <w:proofErr w:type="spellEnd"/>
      <w:r w:rsidRPr="002A100A">
        <w:rPr>
          <w:color w:val="000000" w:themeColor="text1"/>
          <w:sz w:val="24"/>
          <w:szCs w:val="24"/>
        </w:rPr>
        <w:t xml:space="preserve"> people with disability will find this level of performance difficult to achieve. </w:t>
      </w:r>
    </w:p>
    <w:p w:rsidR="00DD1E20" w:rsidRDefault="00DD1E20" w:rsidP="001A148F">
      <w:pPr>
        <w:spacing w:after="0" w:line="240" w:lineRule="auto"/>
        <w:jc w:val="both"/>
        <w:rPr>
          <w:color w:val="000000" w:themeColor="text1"/>
          <w:sz w:val="24"/>
          <w:szCs w:val="24"/>
        </w:rPr>
      </w:pPr>
      <w:r w:rsidRPr="002A100A">
        <w:rPr>
          <w:color w:val="000000" w:themeColor="text1"/>
          <w:sz w:val="24"/>
          <w:szCs w:val="24"/>
        </w:rPr>
        <w:t>EDAC considers that there needs to be a shift from the focus on how a person’s disability affects their capacity to work, and for the Government to consider the following:</w:t>
      </w:r>
    </w:p>
    <w:p w:rsidR="001A148F" w:rsidRPr="002A100A" w:rsidRDefault="001A148F" w:rsidP="001A148F">
      <w:pPr>
        <w:spacing w:after="0" w:line="240" w:lineRule="auto"/>
        <w:jc w:val="both"/>
        <w:rPr>
          <w:color w:val="000000" w:themeColor="text1"/>
          <w:sz w:val="24"/>
          <w:szCs w:val="24"/>
        </w:rPr>
      </w:pPr>
    </w:p>
    <w:p w:rsidR="00DD1E20" w:rsidRPr="001A148F" w:rsidRDefault="00DD1E20" w:rsidP="001A148F">
      <w:pPr>
        <w:pStyle w:val="ListParagraph"/>
        <w:numPr>
          <w:ilvl w:val="0"/>
          <w:numId w:val="19"/>
        </w:numPr>
        <w:spacing w:after="0" w:line="240" w:lineRule="auto"/>
        <w:jc w:val="both"/>
        <w:rPr>
          <w:color w:val="000000" w:themeColor="text1"/>
          <w:sz w:val="24"/>
          <w:szCs w:val="24"/>
        </w:rPr>
      </w:pPr>
      <w:r w:rsidRPr="001A148F">
        <w:rPr>
          <w:color w:val="000000" w:themeColor="text1"/>
          <w:sz w:val="24"/>
          <w:szCs w:val="24"/>
        </w:rPr>
        <w:t xml:space="preserve">The real opportunities for people with disabilities to enter the workforce; </w:t>
      </w:r>
    </w:p>
    <w:p w:rsidR="00DD1E20" w:rsidRPr="001A148F" w:rsidRDefault="00DD1E20" w:rsidP="001A148F">
      <w:pPr>
        <w:pStyle w:val="ListParagraph"/>
        <w:numPr>
          <w:ilvl w:val="0"/>
          <w:numId w:val="19"/>
        </w:numPr>
        <w:spacing w:after="0" w:line="240" w:lineRule="auto"/>
        <w:jc w:val="both"/>
        <w:rPr>
          <w:color w:val="000000" w:themeColor="text1"/>
          <w:sz w:val="24"/>
          <w:szCs w:val="24"/>
        </w:rPr>
      </w:pPr>
      <w:r w:rsidRPr="001A148F">
        <w:rPr>
          <w:color w:val="000000" w:themeColor="text1"/>
          <w:sz w:val="24"/>
          <w:szCs w:val="24"/>
        </w:rPr>
        <w:t>Provide incentive’s which encourage more people with disability to find work in the new welfare system;</w:t>
      </w:r>
    </w:p>
    <w:p w:rsidR="00DD1E20" w:rsidRPr="001A148F" w:rsidRDefault="00DD1E20" w:rsidP="001A148F">
      <w:pPr>
        <w:pStyle w:val="ListParagraph"/>
        <w:numPr>
          <w:ilvl w:val="0"/>
          <w:numId w:val="19"/>
        </w:numPr>
        <w:spacing w:after="0" w:line="240" w:lineRule="auto"/>
        <w:jc w:val="both"/>
        <w:rPr>
          <w:color w:val="000000" w:themeColor="text1"/>
          <w:sz w:val="24"/>
          <w:szCs w:val="24"/>
        </w:rPr>
      </w:pPr>
      <w:r w:rsidRPr="001A148F">
        <w:rPr>
          <w:color w:val="000000" w:themeColor="text1"/>
          <w:sz w:val="24"/>
          <w:szCs w:val="24"/>
        </w:rPr>
        <w:t xml:space="preserve">Examine if potential employers have the capacity or positive attitude to support people with disabilities; and </w:t>
      </w:r>
    </w:p>
    <w:p w:rsidR="00DD1E20" w:rsidRPr="001A148F" w:rsidRDefault="00DD1E20" w:rsidP="001A148F">
      <w:pPr>
        <w:pStyle w:val="ListParagraph"/>
        <w:numPr>
          <w:ilvl w:val="0"/>
          <w:numId w:val="19"/>
        </w:numPr>
        <w:spacing w:after="0" w:line="240" w:lineRule="auto"/>
        <w:jc w:val="both"/>
        <w:rPr>
          <w:color w:val="000000" w:themeColor="text1"/>
          <w:sz w:val="24"/>
          <w:szCs w:val="24"/>
        </w:rPr>
      </w:pPr>
      <w:r w:rsidRPr="001A148F">
        <w:rPr>
          <w:color w:val="000000" w:themeColor="text1"/>
          <w:sz w:val="24"/>
          <w:szCs w:val="24"/>
        </w:rPr>
        <w:t>Consider if there are appropriate supports available for people with disabilities to be trained.</w:t>
      </w:r>
    </w:p>
    <w:p w:rsidR="001A148F" w:rsidRPr="002A100A" w:rsidRDefault="001A148F" w:rsidP="001A148F">
      <w:pPr>
        <w:pStyle w:val="ListParagraph"/>
        <w:numPr>
          <w:ilvl w:val="0"/>
          <w:numId w:val="0"/>
        </w:numPr>
        <w:spacing w:after="0" w:line="240" w:lineRule="auto"/>
        <w:ind w:left="720"/>
        <w:jc w:val="both"/>
        <w:rPr>
          <w:color w:val="000000" w:themeColor="text1"/>
          <w:sz w:val="24"/>
          <w:szCs w:val="24"/>
        </w:rPr>
      </w:pPr>
    </w:p>
    <w:p w:rsidR="006E5CD2" w:rsidRDefault="003D7AB7" w:rsidP="001A148F">
      <w:pPr>
        <w:spacing w:after="0" w:line="240" w:lineRule="auto"/>
        <w:jc w:val="both"/>
        <w:rPr>
          <w:color w:val="000000" w:themeColor="text1"/>
          <w:sz w:val="24"/>
          <w:szCs w:val="24"/>
        </w:rPr>
      </w:pPr>
      <w:r w:rsidRPr="002A100A">
        <w:rPr>
          <w:color w:val="000000" w:themeColor="text1"/>
          <w:sz w:val="24"/>
          <w:szCs w:val="24"/>
        </w:rPr>
        <w:t>EDAC firmly believe</w:t>
      </w:r>
      <w:r w:rsidR="002A100A">
        <w:rPr>
          <w:color w:val="000000" w:themeColor="text1"/>
          <w:sz w:val="24"/>
          <w:szCs w:val="24"/>
        </w:rPr>
        <w:t>s</w:t>
      </w:r>
      <w:r w:rsidRPr="002A100A">
        <w:rPr>
          <w:color w:val="000000" w:themeColor="text1"/>
          <w:sz w:val="24"/>
          <w:szCs w:val="24"/>
        </w:rPr>
        <w:t xml:space="preserve"> that current allowance rates already place people in poverty and/or are at risk of it, and this tend to prevent the ability of people to find or transition to a sustainable employment.</w:t>
      </w:r>
      <w:r w:rsidR="00553AEA" w:rsidRPr="002A100A">
        <w:rPr>
          <w:color w:val="000000" w:themeColor="text1"/>
          <w:sz w:val="24"/>
          <w:szCs w:val="24"/>
        </w:rPr>
        <w:t xml:space="preserve"> We believe </w:t>
      </w:r>
      <w:r w:rsidR="00DC5A5D" w:rsidRPr="002A100A">
        <w:rPr>
          <w:color w:val="000000" w:themeColor="text1"/>
          <w:sz w:val="24"/>
          <w:szCs w:val="24"/>
        </w:rPr>
        <w:t>that denying</w:t>
      </w:r>
      <w:r w:rsidR="005326EA" w:rsidRPr="002A100A">
        <w:rPr>
          <w:color w:val="000000" w:themeColor="text1"/>
          <w:sz w:val="24"/>
          <w:szCs w:val="24"/>
        </w:rPr>
        <w:t xml:space="preserve"> access to the DSP for all except those with no capacity to work may inevitably result in extreme hardship and poverty.</w:t>
      </w:r>
      <w:r w:rsidR="009F34E5" w:rsidRPr="002A100A">
        <w:rPr>
          <w:color w:val="000000" w:themeColor="text1"/>
          <w:sz w:val="24"/>
          <w:szCs w:val="24"/>
        </w:rPr>
        <w:t xml:space="preserve"> </w:t>
      </w:r>
      <w:r w:rsidR="00085A9B" w:rsidRPr="002A100A">
        <w:rPr>
          <w:color w:val="000000" w:themeColor="text1"/>
          <w:sz w:val="24"/>
          <w:szCs w:val="24"/>
        </w:rPr>
        <w:t>Genuine welfare reform should consider taken off people from the DSP or the Carer Payment if only they have sustainable employment.</w:t>
      </w:r>
      <w:r w:rsidR="006E5CD2" w:rsidRPr="002A100A">
        <w:rPr>
          <w:color w:val="000000" w:themeColor="text1"/>
          <w:sz w:val="24"/>
          <w:szCs w:val="24"/>
        </w:rPr>
        <w:t xml:space="preserve"> Therefore, people on permanent impairment should not be reviewed further and the government need to provide clearer definition of ‘permanent impairment’ and ‘capacity to work’ in determining eligibility for DSP.</w:t>
      </w:r>
    </w:p>
    <w:p w:rsidR="001A148F" w:rsidRPr="002A100A" w:rsidRDefault="001A148F" w:rsidP="001A148F">
      <w:pPr>
        <w:spacing w:after="0" w:line="240" w:lineRule="auto"/>
        <w:jc w:val="both"/>
        <w:rPr>
          <w:color w:val="000000" w:themeColor="text1"/>
          <w:sz w:val="24"/>
          <w:szCs w:val="24"/>
        </w:rPr>
      </w:pPr>
    </w:p>
    <w:p w:rsidR="00553AEA" w:rsidRDefault="006E5CD2" w:rsidP="001A148F">
      <w:pPr>
        <w:spacing w:after="0" w:line="240" w:lineRule="auto"/>
        <w:jc w:val="both"/>
        <w:rPr>
          <w:color w:val="000000" w:themeColor="text1"/>
          <w:sz w:val="24"/>
          <w:szCs w:val="24"/>
        </w:rPr>
      </w:pPr>
      <w:r w:rsidRPr="002A100A">
        <w:rPr>
          <w:color w:val="000000" w:themeColor="text1"/>
          <w:sz w:val="24"/>
          <w:szCs w:val="24"/>
        </w:rPr>
        <w:t>It is our contention that</w:t>
      </w:r>
      <w:r w:rsidR="00DC5A5D" w:rsidRPr="002A100A">
        <w:rPr>
          <w:color w:val="000000" w:themeColor="text1"/>
          <w:sz w:val="24"/>
          <w:szCs w:val="24"/>
        </w:rPr>
        <w:t>, in</w:t>
      </w:r>
      <w:r w:rsidR="00553AEA" w:rsidRPr="002A100A">
        <w:rPr>
          <w:color w:val="000000" w:themeColor="text1"/>
          <w:sz w:val="24"/>
          <w:szCs w:val="24"/>
        </w:rPr>
        <w:t xml:space="preserve"> the process of reviewing the welfare system, attention is given to the appropriateness of the allowance, review of the payment system and how it can support individuals into work and the impact of the changing nature of the labour market.</w:t>
      </w:r>
    </w:p>
    <w:p w:rsidR="001A148F" w:rsidRPr="002A100A" w:rsidRDefault="001A148F" w:rsidP="001A148F">
      <w:pPr>
        <w:spacing w:after="0" w:line="240" w:lineRule="auto"/>
        <w:jc w:val="both"/>
        <w:rPr>
          <w:color w:val="000000" w:themeColor="text1"/>
          <w:sz w:val="24"/>
          <w:szCs w:val="24"/>
        </w:rPr>
      </w:pPr>
    </w:p>
    <w:p w:rsidR="006879BA" w:rsidRDefault="00F57CAF" w:rsidP="001A148F">
      <w:pPr>
        <w:spacing w:after="0" w:line="240" w:lineRule="auto"/>
        <w:jc w:val="both"/>
        <w:rPr>
          <w:color w:val="000000" w:themeColor="text1"/>
          <w:sz w:val="24"/>
          <w:szCs w:val="24"/>
        </w:rPr>
      </w:pPr>
      <w:r w:rsidRPr="002A100A">
        <w:rPr>
          <w:color w:val="000000" w:themeColor="text1"/>
          <w:sz w:val="24"/>
          <w:szCs w:val="24"/>
        </w:rPr>
        <w:lastRenderedPageBreak/>
        <w:t>Income support is a basic human right and essential for social and economic development.</w:t>
      </w:r>
      <w:r w:rsidR="009F34E5" w:rsidRPr="002A100A">
        <w:rPr>
          <w:color w:val="000000" w:themeColor="text1"/>
          <w:sz w:val="24"/>
          <w:szCs w:val="24"/>
        </w:rPr>
        <w:t xml:space="preserve"> </w:t>
      </w:r>
      <w:r w:rsidRPr="002A100A">
        <w:rPr>
          <w:color w:val="000000" w:themeColor="text1"/>
          <w:sz w:val="24"/>
          <w:szCs w:val="24"/>
        </w:rPr>
        <w:t>EDAC believes that the social support system is sustainable, effective and coherent, and encourages people to work when</w:t>
      </w:r>
      <w:r w:rsidR="001A148F">
        <w:rPr>
          <w:color w:val="000000" w:themeColor="text1"/>
          <w:sz w:val="24"/>
          <w:szCs w:val="24"/>
        </w:rPr>
        <w:t xml:space="preserve"> </w:t>
      </w:r>
      <w:r w:rsidRPr="002A100A">
        <w:rPr>
          <w:color w:val="000000" w:themeColor="text1"/>
          <w:sz w:val="24"/>
          <w:szCs w:val="24"/>
        </w:rPr>
        <w:t xml:space="preserve">the </w:t>
      </w:r>
      <w:r w:rsidR="009F34E5" w:rsidRPr="002A100A">
        <w:rPr>
          <w:color w:val="000000" w:themeColor="text1"/>
          <w:sz w:val="24"/>
          <w:szCs w:val="24"/>
        </w:rPr>
        <w:t xml:space="preserve">people’s </w:t>
      </w:r>
      <w:r w:rsidRPr="002A100A">
        <w:rPr>
          <w:color w:val="000000" w:themeColor="text1"/>
          <w:sz w:val="24"/>
          <w:szCs w:val="24"/>
        </w:rPr>
        <w:t>interest are beneficially advanced within a social justice framework.</w:t>
      </w:r>
      <w:r w:rsidR="006879BA" w:rsidRPr="002A100A">
        <w:rPr>
          <w:color w:val="000000" w:themeColor="text1"/>
          <w:sz w:val="24"/>
          <w:szCs w:val="24"/>
        </w:rPr>
        <w:t xml:space="preserve"> Therefore, the </w:t>
      </w:r>
      <w:r w:rsidR="004C4509" w:rsidRPr="002A100A">
        <w:rPr>
          <w:color w:val="000000" w:themeColor="text1"/>
          <w:sz w:val="24"/>
          <w:szCs w:val="24"/>
        </w:rPr>
        <w:t>government need</w:t>
      </w:r>
      <w:r w:rsidR="00B328DF" w:rsidRPr="002A100A">
        <w:rPr>
          <w:color w:val="000000" w:themeColor="text1"/>
          <w:sz w:val="24"/>
          <w:szCs w:val="24"/>
        </w:rPr>
        <w:t>s</w:t>
      </w:r>
      <w:r w:rsidR="004C4509" w:rsidRPr="002A100A">
        <w:rPr>
          <w:color w:val="000000" w:themeColor="text1"/>
          <w:sz w:val="24"/>
          <w:szCs w:val="24"/>
        </w:rPr>
        <w:t xml:space="preserve"> to recognise and firmly deal with the </w:t>
      </w:r>
      <w:r w:rsidR="006879BA" w:rsidRPr="002A100A">
        <w:rPr>
          <w:color w:val="000000" w:themeColor="text1"/>
          <w:sz w:val="24"/>
          <w:szCs w:val="24"/>
        </w:rPr>
        <w:t xml:space="preserve">systemic causes of social problems such as </w:t>
      </w:r>
      <w:r w:rsidR="00DC5A5D" w:rsidRPr="002A100A">
        <w:rPr>
          <w:color w:val="000000" w:themeColor="text1"/>
          <w:sz w:val="24"/>
          <w:szCs w:val="24"/>
        </w:rPr>
        <w:t>unemployment of</w:t>
      </w:r>
      <w:r w:rsidR="004C4509" w:rsidRPr="002A100A">
        <w:rPr>
          <w:color w:val="000000" w:themeColor="text1"/>
          <w:sz w:val="24"/>
          <w:szCs w:val="24"/>
        </w:rPr>
        <w:t xml:space="preserve"> people with disability.</w:t>
      </w:r>
    </w:p>
    <w:p w:rsidR="001A148F" w:rsidRDefault="001A148F" w:rsidP="001A148F">
      <w:pPr>
        <w:spacing w:after="0" w:line="240" w:lineRule="auto"/>
        <w:jc w:val="both"/>
        <w:rPr>
          <w:color w:val="000000" w:themeColor="text1"/>
          <w:sz w:val="24"/>
          <w:szCs w:val="24"/>
        </w:rPr>
      </w:pPr>
    </w:p>
    <w:p w:rsidR="003B7BB6" w:rsidRDefault="003B7BB6" w:rsidP="001A148F">
      <w:pPr>
        <w:spacing w:after="0" w:line="240" w:lineRule="auto"/>
        <w:jc w:val="both"/>
        <w:rPr>
          <w:color w:val="000000" w:themeColor="text1"/>
          <w:sz w:val="24"/>
          <w:szCs w:val="24"/>
        </w:rPr>
      </w:pPr>
    </w:p>
    <w:p w:rsidR="00B03024" w:rsidRDefault="00B03024" w:rsidP="001A148F">
      <w:pPr>
        <w:pStyle w:val="ListParagraph"/>
        <w:numPr>
          <w:ilvl w:val="0"/>
          <w:numId w:val="2"/>
        </w:numPr>
        <w:spacing w:after="0" w:line="240" w:lineRule="auto"/>
        <w:ind w:left="426" w:hanging="426"/>
        <w:jc w:val="both"/>
        <w:rPr>
          <w:b/>
          <w:color w:val="000000" w:themeColor="text1"/>
          <w:sz w:val="24"/>
          <w:szCs w:val="24"/>
        </w:rPr>
      </w:pPr>
      <w:r w:rsidRPr="002A100A">
        <w:rPr>
          <w:b/>
          <w:color w:val="000000" w:themeColor="text1"/>
          <w:sz w:val="24"/>
          <w:szCs w:val="24"/>
        </w:rPr>
        <w:t>Strengthening individual and family capability</w:t>
      </w:r>
    </w:p>
    <w:p w:rsidR="001A148F" w:rsidRPr="002A100A" w:rsidRDefault="001A148F" w:rsidP="001A148F">
      <w:pPr>
        <w:pStyle w:val="ListParagraph"/>
        <w:numPr>
          <w:ilvl w:val="0"/>
          <w:numId w:val="0"/>
        </w:numPr>
        <w:spacing w:after="0" w:line="240" w:lineRule="auto"/>
        <w:ind w:left="426"/>
        <w:jc w:val="both"/>
        <w:rPr>
          <w:b/>
          <w:color w:val="000000" w:themeColor="text1"/>
          <w:sz w:val="24"/>
          <w:szCs w:val="24"/>
        </w:rPr>
      </w:pPr>
    </w:p>
    <w:p w:rsidR="00AA58DF" w:rsidRDefault="00AA58DF" w:rsidP="001A148F">
      <w:pPr>
        <w:spacing w:after="0" w:line="240" w:lineRule="auto"/>
        <w:jc w:val="both"/>
        <w:rPr>
          <w:color w:val="000000" w:themeColor="text1"/>
          <w:sz w:val="24"/>
          <w:szCs w:val="24"/>
        </w:rPr>
      </w:pPr>
      <w:r w:rsidRPr="002A100A">
        <w:rPr>
          <w:color w:val="000000" w:themeColor="text1"/>
          <w:sz w:val="24"/>
          <w:szCs w:val="24"/>
        </w:rPr>
        <w:t>In the Interim Report (pg. 88)</w:t>
      </w:r>
      <w:r w:rsidR="00DC5A5D" w:rsidRPr="002A100A">
        <w:rPr>
          <w:color w:val="000000" w:themeColor="text1"/>
          <w:sz w:val="24"/>
          <w:szCs w:val="24"/>
        </w:rPr>
        <w:t>, it</w:t>
      </w:r>
      <w:r w:rsidRPr="002A100A">
        <w:rPr>
          <w:color w:val="000000" w:themeColor="text1"/>
          <w:sz w:val="24"/>
          <w:szCs w:val="24"/>
        </w:rPr>
        <w:t xml:space="preserve"> is noted that successful participation in work depends on having skills in three broad areas: core language, literacy and numeracy skills; employability skills and technic or discipline-specific skills.</w:t>
      </w:r>
    </w:p>
    <w:p w:rsidR="005104EE" w:rsidRPr="002A100A" w:rsidRDefault="005104EE" w:rsidP="001A148F">
      <w:pPr>
        <w:spacing w:after="0" w:line="240" w:lineRule="auto"/>
        <w:jc w:val="both"/>
        <w:rPr>
          <w:color w:val="000000" w:themeColor="text1"/>
          <w:sz w:val="24"/>
          <w:szCs w:val="24"/>
        </w:rPr>
      </w:pPr>
    </w:p>
    <w:p w:rsidR="00C25FB4" w:rsidRDefault="00C25FB4" w:rsidP="001A148F">
      <w:pPr>
        <w:spacing w:after="0" w:line="240" w:lineRule="auto"/>
        <w:jc w:val="both"/>
        <w:rPr>
          <w:color w:val="000000" w:themeColor="text1"/>
          <w:sz w:val="24"/>
          <w:szCs w:val="24"/>
        </w:rPr>
      </w:pPr>
      <w:r w:rsidRPr="002A100A">
        <w:rPr>
          <w:color w:val="000000" w:themeColor="text1"/>
          <w:sz w:val="24"/>
          <w:szCs w:val="24"/>
        </w:rPr>
        <w:t xml:space="preserve">EDAC fully supports the acquisition of literacy skills and relevant training to assist people from </w:t>
      </w:r>
      <w:proofErr w:type="spellStart"/>
      <w:r w:rsidRPr="002A100A">
        <w:rPr>
          <w:color w:val="000000" w:themeColor="text1"/>
          <w:sz w:val="24"/>
          <w:szCs w:val="24"/>
        </w:rPr>
        <w:t>CaLD</w:t>
      </w:r>
      <w:proofErr w:type="spellEnd"/>
      <w:r w:rsidRPr="002A100A">
        <w:rPr>
          <w:color w:val="000000" w:themeColor="text1"/>
          <w:sz w:val="24"/>
          <w:szCs w:val="24"/>
        </w:rPr>
        <w:t xml:space="preserve"> with a disability to fully participate and integrate into the broader Australian society, and more importantly, to increase their employability in the labour market.  Better access to literacy, numeracy and job relevant training will not only provide skills development, but will also allow individuals to be able to realise their full potential. </w:t>
      </w:r>
    </w:p>
    <w:p w:rsidR="005104EE" w:rsidRPr="002A100A" w:rsidRDefault="005104EE" w:rsidP="001A148F">
      <w:pPr>
        <w:spacing w:after="0" w:line="240" w:lineRule="auto"/>
        <w:jc w:val="both"/>
        <w:rPr>
          <w:color w:val="000000" w:themeColor="text1"/>
          <w:sz w:val="24"/>
          <w:szCs w:val="24"/>
        </w:rPr>
      </w:pPr>
    </w:p>
    <w:p w:rsidR="00B84852" w:rsidRDefault="00C25FB4" w:rsidP="001A148F">
      <w:pPr>
        <w:spacing w:after="0" w:line="240" w:lineRule="auto"/>
        <w:jc w:val="both"/>
        <w:rPr>
          <w:color w:val="000000" w:themeColor="text1"/>
          <w:sz w:val="24"/>
          <w:szCs w:val="24"/>
        </w:rPr>
      </w:pPr>
      <w:r w:rsidRPr="002A100A">
        <w:rPr>
          <w:color w:val="000000" w:themeColor="text1"/>
          <w:sz w:val="24"/>
          <w:szCs w:val="24"/>
        </w:rPr>
        <w:t xml:space="preserve"> </w:t>
      </w:r>
      <w:r w:rsidR="00AA58DF" w:rsidRPr="002A100A">
        <w:rPr>
          <w:color w:val="000000" w:themeColor="text1"/>
          <w:sz w:val="24"/>
          <w:szCs w:val="24"/>
        </w:rPr>
        <w:t>While it is argued that it is crucial to identify and support young people at risk early by identifying barriers to young people participating in education and employment</w:t>
      </w:r>
      <w:r w:rsidR="00DC5A5D" w:rsidRPr="002A100A">
        <w:rPr>
          <w:color w:val="000000" w:themeColor="text1"/>
          <w:sz w:val="24"/>
          <w:szCs w:val="24"/>
        </w:rPr>
        <w:t>, EDAC</w:t>
      </w:r>
      <w:r w:rsidR="00AA58DF" w:rsidRPr="002A100A">
        <w:rPr>
          <w:color w:val="000000" w:themeColor="text1"/>
          <w:sz w:val="24"/>
          <w:szCs w:val="24"/>
        </w:rPr>
        <w:t xml:space="preserve"> strongly argues that young people with disabilities, especially those from newly arrived and/or refugee backgrounds, are at risk of long-term unemployment as they are not supported in the transition of arriving in Australia and securing paid employment.</w:t>
      </w:r>
      <w:r w:rsidR="002A100A">
        <w:rPr>
          <w:color w:val="000000" w:themeColor="text1"/>
          <w:sz w:val="24"/>
          <w:szCs w:val="24"/>
        </w:rPr>
        <w:t xml:space="preserve"> Additionally, </w:t>
      </w:r>
      <w:proofErr w:type="spellStart"/>
      <w:r w:rsidR="00DD3EDF" w:rsidRPr="002A100A">
        <w:rPr>
          <w:color w:val="000000" w:themeColor="text1"/>
          <w:sz w:val="24"/>
          <w:szCs w:val="24"/>
        </w:rPr>
        <w:t>CaLD</w:t>
      </w:r>
      <w:proofErr w:type="spellEnd"/>
      <w:r w:rsidR="00DD3EDF" w:rsidRPr="002A100A">
        <w:rPr>
          <w:color w:val="000000" w:themeColor="text1"/>
          <w:sz w:val="24"/>
          <w:szCs w:val="24"/>
        </w:rPr>
        <w:t xml:space="preserve"> people with disabilities Barriers to paid employment </w:t>
      </w:r>
      <w:r w:rsidR="00B84852" w:rsidRPr="002A100A">
        <w:rPr>
          <w:color w:val="000000" w:themeColor="text1"/>
          <w:sz w:val="24"/>
          <w:szCs w:val="24"/>
        </w:rPr>
        <w:t>results from</w:t>
      </w:r>
      <w:r w:rsidR="00DD3EDF" w:rsidRPr="002A100A">
        <w:rPr>
          <w:color w:val="000000" w:themeColor="text1"/>
          <w:sz w:val="24"/>
          <w:szCs w:val="24"/>
        </w:rPr>
        <w:t xml:space="preserve"> employers’ and co-workers’ attitudes, poor job design, lack of attendant care, inflexible work arrangements, lack of access to education and training, lack of knowledge, lack of access to employment services, inadequate or expensive transport, lack of </w:t>
      </w:r>
      <w:r w:rsidR="002A100A" w:rsidRPr="002A100A">
        <w:rPr>
          <w:color w:val="000000" w:themeColor="text1"/>
          <w:sz w:val="24"/>
          <w:szCs w:val="24"/>
        </w:rPr>
        <w:t>self-confidence</w:t>
      </w:r>
      <w:r w:rsidR="00DD3EDF" w:rsidRPr="002A100A">
        <w:rPr>
          <w:color w:val="000000" w:themeColor="text1"/>
          <w:sz w:val="24"/>
          <w:szCs w:val="24"/>
        </w:rPr>
        <w:t xml:space="preserve"> and lack of assertiveness. </w:t>
      </w:r>
    </w:p>
    <w:p w:rsidR="005104EE" w:rsidRPr="002A100A" w:rsidRDefault="005104EE" w:rsidP="001A148F">
      <w:pPr>
        <w:spacing w:after="0" w:line="240" w:lineRule="auto"/>
        <w:jc w:val="both"/>
        <w:rPr>
          <w:color w:val="000000" w:themeColor="text1"/>
          <w:sz w:val="24"/>
          <w:szCs w:val="24"/>
        </w:rPr>
      </w:pPr>
    </w:p>
    <w:p w:rsidR="00B03024" w:rsidRDefault="00DD3EDF" w:rsidP="001A148F">
      <w:pPr>
        <w:spacing w:after="0" w:line="240" w:lineRule="auto"/>
        <w:jc w:val="both"/>
        <w:rPr>
          <w:color w:val="000000" w:themeColor="text1"/>
          <w:sz w:val="24"/>
          <w:szCs w:val="24"/>
        </w:rPr>
      </w:pPr>
      <w:r w:rsidRPr="002A100A">
        <w:rPr>
          <w:color w:val="000000" w:themeColor="text1"/>
          <w:sz w:val="24"/>
          <w:szCs w:val="24"/>
        </w:rPr>
        <w:t>The Interim Report</w:t>
      </w:r>
      <w:r w:rsidR="00BF1F33" w:rsidRPr="002A100A">
        <w:rPr>
          <w:color w:val="000000" w:themeColor="text1"/>
          <w:sz w:val="24"/>
          <w:szCs w:val="24"/>
        </w:rPr>
        <w:t xml:space="preserve"> addresses none of these issues –especially, mitigating the social inequity resulting from employment disparity.</w:t>
      </w:r>
      <w:r w:rsidR="002255D7" w:rsidRPr="002A100A">
        <w:rPr>
          <w:color w:val="000000" w:themeColor="text1"/>
          <w:sz w:val="24"/>
          <w:szCs w:val="24"/>
        </w:rPr>
        <w:t xml:space="preserve"> </w:t>
      </w:r>
      <w:r w:rsidR="00B74D5E" w:rsidRPr="002A100A">
        <w:rPr>
          <w:color w:val="000000" w:themeColor="text1"/>
          <w:sz w:val="24"/>
          <w:szCs w:val="24"/>
        </w:rPr>
        <w:t>The Interim Report does mention poverty alleviation but only in so far as it relates to how work is better t</w:t>
      </w:r>
      <w:r w:rsidR="008C7FB7" w:rsidRPr="002A100A">
        <w:rPr>
          <w:color w:val="000000" w:themeColor="text1"/>
          <w:sz w:val="24"/>
          <w:szCs w:val="24"/>
        </w:rPr>
        <w:t>han welfare. It does not expand</w:t>
      </w:r>
      <w:r w:rsidR="00B74D5E" w:rsidRPr="002A100A">
        <w:rPr>
          <w:color w:val="000000" w:themeColor="text1"/>
          <w:sz w:val="24"/>
          <w:szCs w:val="24"/>
        </w:rPr>
        <w:t xml:space="preserve"> how </w:t>
      </w:r>
      <w:r w:rsidR="00BF1F33" w:rsidRPr="002A100A">
        <w:rPr>
          <w:color w:val="000000" w:themeColor="text1"/>
          <w:sz w:val="24"/>
          <w:szCs w:val="24"/>
        </w:rPr>
        <w:t xml:space="preserve">welfare as a means </w:t>
      </w:r>
      <w:r w:rsidR="005E5E3E" w:rsidRPr="002A100A">
        <w:rPr>
          <w:color w:val="000000" w:themeColor="text1"/>
          <w:sz w:val="24"/>
          <w:szCs w:val="24"/>
        </w:rPr>
        <w:t xml:space="preserve">across society can be used to mitigate </w:t>
      </w:r>
      <w:r w:rsidR="00BF1F33" w:rsidRPr="002A100A">
        <w:rPr>
          <w:color w:val="000000" w:themeColor="text1"/>
          <w:sz w:val="24"/>
          <w:szCs w:val="24"/>
        </w:rPr>
        <w:t>disparities through pr</w:t>
      </w:r>
      <w:r w:rsidR="006D2A39" w:rsidRPr="002A100A">
        <w:rPr>
          <w:color w:val="000000" w:themeColor="text1"/>
          <w:sz w:val="24"/>
          <w:szCs w:val="24"/>
        </w:rPr>
        <w:t>ovision of basic income support or ensure how citizens can avoid the worst of poverty.</w:t>
      </w:r>
    </w:p>
    <w:p w:rsidR="005104EE" w:rsidRDefault="005104EE" w:rsidP="001A148F">
      <w:pPr>
        <w:spacing w:after="0" w:line="240" w:lineRule="auto"/>
        <w:jc w:val="both"/>
        <w:rPr>
          <w:color w:val="000000" w:themeColor="text1"/>
          <w:sz w:val="24"/>
          <w:szCs w:val="24"/>
        </w:rPr>
      </w:pPr>
    </w:p>
    <w:p w:rsidR="005104EE" w:rsidRPr="002A100A" w:rsidRDefault="005104EE" w:rsidP="001A148F">
      <w:pPr>
        <w:spacing w:after="0" w:line="240" w:lineRule="auto"/>
        <w:jc w:val="both"/>
        <w:rPr>
          <w:color w:val="000000" w:themeColor="text1"/>
          <w:sz w:val="24"/>
          <w:szCs w:val="24"/>
        </w:rPr>
      </w:pPr>
    </w:p>
    <w:p w:rsidR="00047000" w:rsidRDefault="00047000" w:rsidP="001A148F">
      <w:pPr>
        <w:pStyle w:val="ListParagraph"/>
        <w:numPr>
          <w:ilvl w:val="0"/>
          <w:numId w:val="2"/>
        </w:numPr>
        <w:spacing w:after="0" w:line="240" w:lineRule="auto"/>
        <w:ind w:left="426" w:hanging="426"/>
        <w:jc w:val="both"/>
        <w:rPr>
          <w:b/>
          <w:color w:val="000000" w:themeColor="text1"/>
          <w:sz w:val="24"/>
          <w:szCs w:val="24"/>
        </w:rPr>
      </w:pPr>
      <w:r w:rsidRPr="002A100A">
        <w:rPr>
          <w:b/>
          <w:color w:val="000000" w:themeColor="text1"/>
          <w:sz w:val="24"/>
          <w:szCs w:val="24"/>
        </w:rPr>
        <w:t xml:space="preserve">Ensuring sustainability </w:t>
      </w:r>
      <w:r w:rsidR="009C4E49" w:rsidRPr="002A100A">
        <w:rPr>
          <w:b/>
          <w:color w:val="000000" w:themeColor="text1"/>
          <w:sz w:val="24"/>
          <w:szCs w:val="24"/>
        </w:rPr>
        <w:t xml:space="preserve">in </w:t>
      </w:r>
      <w:r w:rsidRPr="002A100A">
        <w:rPr>
          <w:b/>
          <w:color w:val="000000" w:themeColor="text1"/>
          <w:sz w:val="24"/>
          <w:szCs w:val="24"/>
        </w:rPr>
        <w:t>employment</w:t>
      </w:r>
    </w:p>
    <w:p w:rsidR="005104EE" w:rsidRPr="002A100A" w:rsidRDefault="005104EE" w:rsidP="005104EE">
      <w:pPr>
        <w:pStyle w:val="ListParagraph"/>
        <w:numPr>
          <w:ilvl w:val="0"/>
          <w:numId w:val="0"/>
        </w:numPr>
        <w:spacing w:after="0" w:line="240" w:lineRule="auto"/>
        <w:ind w:left="426"/>
        <w:jc w:val="both"/>
        <w:rPr>
          <w:b/>
          <w:color w:val="000000" w:themeColor="text1"/>
          <w:sz w:val="24"/>
          <w:szCs w:val="24"/>
        </w:rPr>
      </w:pPr>
    </w:p>
    <w:p w:rsidR="00602F29" w:rsidRDefault="00DC5A5D" w:rsidP="001A148F">
      <w:pPr>
        <w:spacing w:after="0" w:line="240" w:lineRule="auto"/>
        <w:jc w:val="both"/>
        <w:rPr>
          <w:color w:val="000000" w:themeColor="text1"/>
          <w:sz w:val="24"/>
          <w:szCs w:val="24"/>
        </w:rPr>
      </w:pPr>
      <w:r w:rsidRPr="002A100A">
        <w:rPr>
          <w:color w:val="000000" w:themeColor="text1"/>
          <w:sz w:val="24"/>
          <w:szCs w:val="24"/>
        </w:rPr>
        <w:t>Improving</w:t>
      </w:r>
      <w:r w:rsidR="00602F29" w:rsidRPr="002A100A">
        <w:rPr>
          <w:color w:val="000000" w:themeColor="text1"/>
          <w:sz w:val="24"/>
          <w:szCs w:val="24"/>
        </w:rPr>
        <w:t xml:space="preserve"> engagement with employers and to consider reforms to make jobs available for </w:t>
      </w:r>
      <w:proofErr w:type="spellStart"/>
      <w:r w:rsidR="00602F29" w:rsidRPr="002A100A">
        <w:rPr>
          <w:color w:val="000000" w:themeColor="text1"/>
          <w:sz w:val="24"/>
          <w:szCs w:val="24"/>
        </w:rPr>
        <w:t>CaLD</w:t>
      </w:r>
      <w:proofErr w:type="spellEnd"/>
      <w:r w:rsidR="00602F29" w:rsidRPr="002A100A">
        <w:rPr>
          <w:color w:val="000000" w:themeColor="text1"/>
          <w:sz w:val="24"/>
          <w:szCs w:val="24"/>
        </w:rPr>
        <w:t xml:space="preserve"> </w:t>
      </w:r>
      <w:r w:rsidRPr="002A100A">
        <w:rPr>
          <w:color w:val="000000" w:themeColor="text1"/>
          <w:sz w:val="24"/>
          <w:szCs w:val="24"/>
        </w:rPr>
        <w:t>people with</w:t>
      </w:r>
      <w:r w:rsidR="00602F29" w:rsidRPr="002A100A">
        <w:rPr>
          <w:color w:val="000000" w:themeColor="text1"/>
          <w:sz w:val="24"/>
          <w:szCs w:val="24"/>
        </w:rPr>
        <w:t xml:space="preserve"> disability should be a priority. Due to the barriers outlined above, </w:t>
      </w:r>
      <w:proofErr w:type="spellStart"/>
      <w:r w:rsidR="00602F29" w:rsidRPr="002A100A">
        <w:rPr>
          <w:color w:val="000000" w:themeColor="text1"/>
          <w:sz w:val="24"/>
          <w:szCs w:val="24"/>
        </w:rPr>
        <w:t>CaLD</w:t>
      </w:r>
      <w:proofErr w:type="spellEnd"/>
      <w:r w:rsidR="00602F29" w:rsidRPr="002A100A">
        <w:rPr>
          <w:color w:val="000000" w:themeColor="text1"/>
          <w:sz w:val="24"/>
          <w:szCs w:val="24"/>
        </w:rPr>
        <w:t xml:space="preserve"> people with disability are missing out on the benefits of employment. </w:t>
      </w:r>
      <w:r w:rsidR="004E4BBE" w:rsidRPr="002A100A">
        <w:rPr>
          <w:color w:val="000000" w:themeColor="text1"/>
          <w:sz w:val="24"/>
          <w:szCs w:val="24"/>
        </w:rPr>
        <w:t>EDAC believes that</w:t>
      </w:r>
      <w:r w:rsidR="00602F29" w:rsidRPr="002A100A">
        <w:rPr>
          <w:color w:val="000000" w:themeColor="text1"/>
          <w:sz w:val="24"/>
          <w:szCs w:val="24"/>
        </w:rPr>
        <w:t xml:space="preserve"> improving pathways to employment and supporting </w:t>
      </w:r>
      <w:r w:rsidRPr="002A100A">
        <w:rPr>
          <w:color w:val="000000" w:themeColor="text1"/>
          <w:sz w:val="24"/>
          <w:szCs w:val="24"/>
        </w:rPr>
        <w:t>employers should</w:t>
      </w:r>
      <w:r w:rsidR="00602F29" w:rsidRPr="002A100A">
        <w:rPr>
          <w:color w:val="000000" w:themeColor="text1"/>
          <w:sz w:val="24"/>
          <w:szCs w:val="24"/>
        </w:rPr>
        <w:t xml:space="preserve"> </w:t>
      </w:r>
      <w:r w:rsidR="00602F29" w:rsidRPr="002A100A">
        <w:rPr>
          <w:color w:val="000000" w:themeColor="text1"/>
          <w:sz w:val="24"/>
          <w:szCs w:val="24"/>
        </w:rPr>
        <w:lastRenderedPageBreak/>
        <w:t xml:space="preserve">form part </w:t>
      </w:r>
      <w:r w:rsidRPr="002A100A">
        <w:rPr>
          <w:color w:val="000000" w:themeColor="text1"/>
          <w:sz w:val="24"/>
          <w:szCs w:val="24"/>
        </w:rPr>
        <w:t>of structured pathways</w:t>
      </w:r>
      <w:r w:rsidR="00602F29" w:rsidRPr="002A100A">
        <w:rPr>
          <w:color w:val="000000" w:themeColor="text1"/>
          <w:sz w:val="24"/>
          <w:szCs w:val="24"/>
        </w:rPr>
        <w:t xml:space="preserve"> for accessing employment services to </w:t>
      </w:r>
      <w:proofErr w:type="spellStart"/>
      <w:r w:rsidR="00602F29" w:rsidRPr="002A100A">
        <w:rPr>
          <w:color w:val="000000" w:themeColor="text1"/>
          <w:sz w:val="24"/>
          <w:szCs w:val="24"/>
        </w:rPr>
        <w:t>CaLD</w:t>
      </w:r>
      <w:proofErr w:type="spellEnd"/>
      <w:r w:rsidR="00602F29" w:rsidRPr="002A100A">
        <w:rPr>
          <w:color w:val="000000" w:themeColor="text1"/>
          <w:sz w:val="24"/>
          <w:szCs w:val="24"/>
        </w:rPr>
        <w:t xml:space="preserve"> communities a</w:t>
      </w:r>
      <w:r w:rsidR="005F4A8A" w:rsidRPr="002A100A">
        <w:rPr>
          <w:color w:val="000000" w:themeColor="text1"/>
          <w:sz w:val="24"/>
          <w:szCs w:val="24"/>
        </w:rPr>
        <w:t>nd Aboriginal and Torres Strait Islanders</w:t>
      </w:r>
      <w:r w:rsidR="00602F29" w:rsidRPr="002A100A">
        <w:rPr>
          <w:color w:val="000000" w:themeColor="text1"/>
          <w:sz w:val="24"/>
          <w:szCs w:val="24"/>
        </w:rPr>
        <w:t xml:space="preserve"> with disability. </w:t>
      </w:r>
    </w:p>
    <w:p w:rsidR="007D168D" w:rsidRPr="002A100A" w:rsidRDefault="007D168D" w:rsidP="001A148F">
      <w:pPr>
        <w:spacing w:after="0" w:line="240" w:lineRule="auto"/>
        <w:jc w:val="both"/>
        <w:rPr>
          <w:color w:val="000000" w:themeColor="text1"/>
          <w:sz w:val="24"/>
          <w:szCs w:val="24"/>
        </w:rPr>
      </w:pPr>
    </w:p>
    <w:p w:rsidR="00EC21A5" w:rsidRDefault="00EC21A5" w:rsidP="001A148F">
      <w:pPr>
        <w:spacing w:after="0" w:line="240" w:lineRule="auto"/>
        <w:jc w:val="both"/>
        <w:rPr>
          <w:color w:val="000000" w:themeColor="text1"/>
          <w:sz w:val="24"/>
          <w:szCs w:val="24"/>
        </w:rPr>
      </w:pPr>
      <w:r w:rsidRPr="002A100A">
        <w:rPr>
          <w:color w:val="000000" w:themeColor="text1"/>
          <w:sz w:val="24"/>
          <w:szCs w:val="24"/>
        </w:rPr>
        <w:t xml:space="preserve">The </w:t>
      </w:r>
      <w:r w:rsidR="002A100A" w:rsidRPr="002A100A">
        <w:rPr>
          <w:color w:val="000000" w:themeColor="text1"/>
          <w:sz w:val="24"/>
          <w:szCs w:val="24"/>
        </w:rPr>
        <w:t>use of Disability Employment Services (DES) has</w:t>
      </w:r>
      <w:r w:rsidRPr="002A100A">
        <w:rPr>
          <w:color w:val="000000" w:themeColor="text1"/>
          <w:sz w:val="24"/>
          <w:szCs w:val="24"/>
        </w:rPr>
        <w:t xml:space="preserve"> many shortcomings and is not serving the interest of </w:t>
      </w:r>
      <w:proofErr w:type="spellStart"/>
      <w:r w:rsidRPr="002A100A">
        <w:rPr>
          <w:color w:val="000000" w:themeColor="text1"/>
          <w:sz w:val="24"/>
          <w:szCs w:val="24"/>
        </w:rPr>
        <w:t>CaLD</w:t>
      </w:r>
      <w:proofErr w:type="spellEnd"/>
      <w:r w:rsidRPr="002A100A">
        <w:rPr>
          <w:color w:val="000000" w:themeColor="text1"/>
          <w:sz w:val="24"/>
          <w:szCs w:val="24"/>
        </w:rPr>
        <w:t xml:space="preserve"> people with disability. EDAC notes that some of the DES providers lack appropriate cultural competency in supporting </w:t>
      </w:r>
      <w:proofErr w:type="spellStart"/>
      <w:r w:rsidRPr="002A100A">
        <w:rPr>
          <w:color w:val="000000" w:themeColor="text1"/>
          <w:sz w:val="24"/>
          <w:szCs w:val="24"/>
        </w:rPr>
        <w:t>CaLD</w:t>
      </w:r>
      <w:proofErr w:type="spellEnd"/>
      <w:r w:rsidRPr="002A100A">
        <w:rPr>
          <w:color w:val="000000" w:themeColor="text1"/>
          <w:sz w:val="24"/>
          <w:szCs w:val="24"/>
        </w:rPr>
        <w:t xml:space="preserve"> people with disabilities to maximise their potential capacity in obtaining sustainable employment. For example, </w:t>
      </w:r>
      <w:proofErr w:type="spellStart"/>
      <w:r w:rsidRPr="002A100A">
        <w:rPr>
          <w:color w:val="000000" w:themeColor="text1"/>
          <w:sz w:val="24"/>
          <w:szCs w:val="24"/>
        </w:rPr>
        <w:t>CaLD</w:t>
      </w:r>
      <w:proofErr w:type="spellEnd"/>
      <w:r w:rsidRPr="002A100A">
        <w:rPr>
          <w:color w:val="000000" w:themeColor="text1"/>
          <w:sz w:val="24"/>
          <w:szCs w:val="24"/>
        </w:rPr>
        <w:t xml:space="preserve"> people with disability are given wrong career pathways, their qualifications and/or training gained overseas are not recognised and DES management is bureaucratic and out of touch with the aspirations of </w:t>
      </w:r>
      <w:proofErr w:type="spellStart"/>
      <w:r w:rsidRPr="002A100A">
        <w:rPr>
          <w:color w:val="000000" w:themeColor="text1"/>
          <w:sz w:val="24"/>
          <w:szCs w:val="24"/>
        </w:rPr>
        <w:t>CaLD</w:t>
      </w:r>
      <w:proofErr w:type="spellEnd"/>
      <w:r w:rsidRPr="002A100A">
        <w:rPr>
          <w:color w:val="000000" w:themeColor="text1"/>
          <w:sz w:val="24"/>
          <w:szCs w:val="24"/>
        </w:rPr>
        <w:t xml:space="preserve"> people with disability.</w:t>
      </w:r>
    </w:p>
    <w:p w:rsidR="005104EE" w:rsidRPr="002A100A" w:rsidRDefault="005104EE" w:rsidP="001A148F">
      <w:pPr>
        <w:spacing w:after="0" w:line="240" w:lineRule="auto"/>
        <w:jc w:val="both"/>
        <w:rPr>
          <w:color w:val="000000" w:themeColor="text1"/>
          <w:sz w:val="24"/>
          <w:szCs w:val="24"/>
        </w:rPr>
      </w:pPr>
    </w:p>
    <w:p w:rsidR="00EC21A5" w:rsidRDefault="00EC21A5" w:rsidP="001A148F">
      <w:pPr>
        <w:spacing w:after="0" w:line="240" w:lineRule="auto"/>
        <w:jc w:val="both"/>
        <w:rPr>
          <w:color w:val="000000" w:themeColor="text1"/>
          <w:sz w:val="24"/>
          <w:szCs w:val="24"/>
        </w:rPr>
      </w:pPr>
      <w:r w:rsidRPr="002A100A">
        <w:rPr>
          <w:color w:val="000000" w:themeColor="text1"/>
          <w:sz w:val="24"/>
          <w:szCs w:val="24"/>
        </w:rPr>
        <w:t xml:space="preserve">We suggest that </w:t>
      </w:r>
      <w:bookmarkStart w:id="3" w:name="OLE_LINK43"/>
      <w:bookmarkStart w:id="4" w:name="OLE_LINK44"/>
      <w:r w:rsidRPr="002A100A">
        <w:rPr>
          <w:color w:val="000000" w:themeColor="text1"/>
          <w:sz w:val="24"/>
          <w:szCs w:val="24"/>
        </w:rPr>
        <w:t xml:space="preserve">a central Career is developed to supervise DES activity and guide direction in supporting the mission and vision of providing sustainable </w:t>
      </w:r>
      <w:r w:rsidR="00AF719D" w:rsidRPr="002A100A">
        <w:rPr>
          <w:color w:val="000000" w:themeColor="text1"/>
          <w:sz w:val="24"/>
          <w:szCs w:val="24"/>
        </w:rPr>
        <w:t xml:space="preserve">and meaningful </w:t>
      </w:r>
      <w:r w:rsidRPr="002A100A">
        <w:rPr>
          <w:color w:val="000000" w:themeColor="text1"/>
          <w:sz w:val="24"/>
          <w:szCs w:val="24"/>
        </w:rPr>
        <w:t>employment according to the needs and aspirations of people with disability.</w:t>
      </w:r>
    </w:p>
    <w:p w:rsidR="005104EE" w:rsidRPr="002A100A" w:rsidRDefault="005104EE" w:rsidP="001A148F">
      <w:pPr>
        <w:spacing w:after="0" w:line="240" w:lineRule="auto"/>
        <w:jc w:val="both"/>
        <w:rPr>
          <w:color w:val="000000" w:themeColor="text1"/>
          <w:sz w:val="24"/>
          <w:szCs w:val="24"/>
        </w:rPr>
      </w:pPr>
    </w:p>
    <w:p w:rsidR="00060950" w:rsidRDefault="00602F29" w:rsidP="001A148F">
      <w:pPr>
        <w:spacing w:after="0" w:line="240" w:lineRule="auto"/>
        <w:jc w:val="both"/>
        <w:rPr>
          <w:color w:val="000000" w:themeColor="text1"/>
          <w:sz w:val="24"/>
          <w:szCs w:val="24"/>
        </w:rPr>
      </w:pPr>
      <w:r w:rsidRPr="002A100A">
        <w:rPr>
          <w:color w:val="000000" w:themeColor="text1"/>
          <w:sz w:val="24"/>
          <w:szCs w:val="24"/>
        </w:rPr>
        <w:t>T</w:t>
      </w:r>
      <w:bookmarkEnd w:id="3"/>
      <w:bookmarkEnd w:id="4"/>
      <w:r w:rsidRPr="002A100A">
        <w:rPr>
          <w:color w:val="000000" w:themeColor="text1"/>
          <w:sz w:val="24"/>
          <w:szCs w:val="24"/>
        </w:rPr>
        <w:t xml:space="preserve">his highlights the need for better strategies and employment pathways to gain entry into the labour market for economic security and empowerment for </w:t>
      </w:r>
      <w:proofErr w:type="spellStart"/>
      <w:r w:rsidRPr="002A100A">
        <w:rPr>
          <w:color w:val="000000" w:themeColor="text1"/>
          <w:sz w:val="24"/>
          <w:szCs w:val="24"/>
        </w:rPr>
        <w:t>CaLD</w:t>
      </w:r>
      <w:proofErr w:type="spellEnd"/>
      <w:r w:rsidRPr="002A100A">
        <w:rPr>
          <w:color w:val="000000" w:themeColor="text1"/>
          <w:sz w:val="24"/>
          <w:szCs w:val="24"/>
        </w:rPr>
        <w:t xml:space="preserve"> people with disability.</w:t>
      </w:r>
      <w:r w:rsidR="00705A1F" w:rsidRPr="002A100A">
        <w:rPr>
          <w:color w:val="000000" w:themeColor="text1"/>
          <w:sz w:val="24"/>
          <w:szCs w:val="24"/>
        </w:rPr>
        <w:t xml:space="preserve"> </w:t>
      </w:r>
    </w:p>
    <w:p w:rsidR="005104EE" w:rsidRPr="002A100A" w:rsidRDefault="005104EE" w:rsidP="001A148F">
      <w:pPr>
        <w:spacing w:after="0" w:line="240" w:lineRule="auto"/>
        <w:jc w:val="both"/>
        <w:rPr>
          <w:color w:val="000000" w:themeColor="text1"/>
          <w:sz w:val="24"/>
          <w:szCs w:val="24"/>
        </w:rPr>
      </w:pPr>
    </w:p>
    <w:p w:rsidR="00060950" w:rsidRDefault="00060950" w:rsidP="001A148F">
      <w:pPr>
        <w:spacing w:after="0" w:line="240" w:lineRule="auto"/>
        <w:jc w:val="both"/>
        <w:rPr>
          <w:color w:val="000000" w:themeColor="text1"/>
          <w:sz w:val="24"/>
          <w:szCs w:val="24"/>
        </w:rPr>
      </w:pPr>
      <w:r w:rsidRPr="002A100A">
        <w:rPr>
          <w:color w:val="000000" w:themeColor="text1"/>
          <w:sz w:val="24"/>
          <w:szCs w:val="24"/>
        </w:rPr>
        <w:t xml:space="preserve">The current assumption of the government seems to be that the people with disability are too lazy to get jobs and a burden on the welfare system. Most people with disability do want to work, however </w:t>
      </w:r>
      <w:proofErr w:type="gramStart"/>
      <w:r w:rsidRPr="002A100A">
        <w:rPr>
          <w:color w:val="000000" w:themeColor="text1"/>
          <w:sz w:val="24"/>
          <w:szCs w:val="24"/>
        </w:rPr>
        <w:t>do not</w:t>
      </w:r>
      <w:proofErr w:type="gramEnd"/>
      <w:r w:rsidRPr="002A100A">
        <w:rPr>
          <w:color w:val="000000" w:themeColor="text1"/>
          <w:sz w:val="24"/>
          <w:szCs w:val="24"/>
        </w:rPr>
        <w:t xml:space="preserve"> get opportunities in the open employment market to get jobs that are suitable for their own abilities, work-capacity and experience due to negative employer attitudes.  </w:t>
      </w:r>
    </w:p>
    <w:p w:rsidR="005104EE" w:rsidRPr="002A100A" w:rsidRDefault="005104EE" w:rsidP="001A148F">
      <w:pPr>
        <w:spacing w:after="0" w:line="240" w:lineRule="auto"/>
        <w:jc w:val="both"/>
        <w:rPr>
          <w:color w:val="000000" w:themeColor="text1"/>
          <w:sz w:val="24"/>
          <w:szCs w:val="24"/>
        </w:rPr>
      </w:pPr>
    </w:p>
    <w:p w:rsidR="00060950" w:rsidRDefault="00060950" w:rsidP="001A148F">
      <w:pPr>
        <w:spacing w:after="0" w:line="240" w:lineRule="auto"/>
        <w:jc w:val="both"/>
        <w:rPr>
          <w:color w:val="000000" w:themeColor="text1"/>
          <w:sz w:val="24"/>
          <w:szCs w:val="24"/>
        </w:rPr>
      </w:pPr>
      <w:r w:rsidRPr="002A100A">
        <w:rPr>
          <w:color w:val="000000" w:themeColor="text1"/>
          <w:sz w:val="24"/>
          <w:szCs w:val="24"/>
        </w:rPr>
        <w:t>EDAC would like to demonstrate the magnitude of these matters with 3 case examples:</w:t>
      </w:r>
    </w:p>
    <w:p w:rsidR="005104EE" w:rsidRPr="002A100A" w:rsidRDefault="005104EE" w:rsidP="001A148F">
      <w:pPr>
        <w:spacing w:after="0" w:line="240" w:lineRule="auto"/>
        <w:jc w:val="both"/>
        <w:rPr>
          <w:color w:val="000000" w:themeColor="text1"/>
          <w:sz w:val="24"/>
          <w:szCs w:val="24"/>
        </w:rPr>
      </w:pPr>
    </w:p>
    <w:p w:rsidR="00060950" w:rsidRDefault="00060950" w:rsidP="001A148F">
      <w:pPr>
        <w:spacing w:after="0" w:line="240" w:lineRule="auto"/>
        <w:jc w:val="both"/>
        <w:rPr>
          <w:b/>
          <w:color w:val="000000" w:themeColor="text1"/>
          <w:sz w:val="24"/>
          <w:szCs w:val="24"/>
        </w:rPr>
      </w:pPr>
      <w:r w:rsidRPr="002A100A">
        <w:rPr>
          <w:b/>
          <w:color w:val="000000" w:themeColor="text1"/>
          <w:sz w:val="24"/>
          <w:szCs w:val="24"/>
        </w:rPr>
        <w:t xml:space="preserve">Case </w:t>
      </w:r>
      <w:r w:rsidR="002A100A" w:rsidRPr="002A100A">
        <w:rPr>
          <w:b/>
          <w:color w:val="000000" w:themeColor="text1"/>
          <w:sz w:val="24"/>
          <w:szCs w:val="24"/>
        </w:rPr>
        <w:t>Study 1</w:t>
      </w:r>
    </w:p>
    <w:p w:rsidR="005104EE" w:rsidRPr="002A100A" w:rsidRDefault="005104EE" w:rsidP="001A148F">
      <w:pPr>
        <w:spacing w:after="0" w:line="240" w:lineRule="auto"/>
        <w:jc w:val="both"/>
        <w:rPr>
          <w:b/>
          <w:color w:val="000000" w:themeColor="text1"/>
          <w:sz w:val="24"/>
          <w:szCs w:val="24"/>
        </w:rPr>
      </w:pPr>
    </w:p>
    <w:p w:rsidR="00060950" w:rsidRDefault="00060950" w:rsidP="001A148F">
      <w:pPr>
        <w:spacing w:after="0" w:line="240" w:lineRule="auto"/>
        <w:jc w:val="both"/>
        <w:rPr>
          <w:color w:val="000000" w:themeColor="text1"/>
          <w:sz w:val="24"/>
          <w:szCs w:val="24"/>
        </w:rPr>
      </w:pPr>
      <w:r w:rsidRPr="002A100A">
        <w:rPr>
          <w:color w:val="000000" w:themeColor="text1"/>
          <w:sz w:val="24"/>
          <w:szCs w:val="24"/>
        </w:rPr>
        <w:t xml:space="preserve">A young man from </w:t>
      </w:r>
      <w:proofErr w:type="spellStart"/>
      <w:r w:rsidRPr="002A100A">
        <w:rPr>
          <w:color w:val="000000" w:themeColor="text1"/>
          <w:sz w:val="24"/>
          <w:szCs w:val="24"/>
        </w:rPr>
        <w:t>CaLD</w:t>
      </w:r>
      <w:proofErr w:type="spellEnd"/>
      <w:r w:rsidRPr="002A100A">
        <w:rPr>
          <w:color w:val="000000" w:themeColor="text1"/>
          <w:sz w:val="24"/>
          <w:szCs w:val="24"/>
        </w:rPr>
        <w:t xml:space="preserve"> background with intellectual disability was employed in open employment at a fast food restaurant. The people who employed him originally were supportive of his work and the man performed his duties with not much difficulty. About two years later the manager of the restaurant had changed and the new manager did not want the young man there because of his disability. She didn’t believe that he was able to perform his duties and first reduced his work hours, then stopped calling him to work altogether. </w:t>
      </w:r>
    </w:p>
    <w:p w:rsidR="005104EE" w:rsidRPr="002A100A" w:rsidRDefault="005104EE" w:rsidP="001A148F">
      <w:pPr>
        <w:spacing w:after="0" w:line="240" w:lineRule="auto"/>
        <w:jc w:val="both"/>
        <w:rPr>
          <w:color w:val="000000" w:themeColor="text1"/>
          <w:sz w:val="24"/>
          <w:szCs w:val="24"/>
        </w:rPr>
      </w:pPr>
    </w:p>
    <w:p w:rsidR="00060950" w:rsidRPr="002A100A" w:rsidRDefault="00060950" w:rsidP="001A148F">
      <w:pPr>
        <w:spacing w:after="0" w:line="240" w:lineRule="auto"/>
        <w:jc w:val="both"/>
        <w:rPr>
          <w:color w:val="000000" w:themeColor="text1"/>
          <w:sz w:val="24"/>
          <w:szCs w:val="24"/>
        </w:rPr>
      </w:pPr>
      <w:r w:rsidRPr="002A100A">
        <w:rPr>
          <w:color w:val="000000" w:themeColor="text1"/>
          <w:sz w:val="24"/>
          <w:szCs w:val="24"/>
        </w:rPr>
        <w:t xml:space="preserve">Through EDAC’s advocacy, this case was taken to the Equal Opportunity commission. The client did not want to continue to work in that hostile environment. However he wanted an apology from the employer; for the employer to re-evaluate their employment plan to give more opportunities for people with disability to work there and that the management staff to take disability awareness training. </w:t>
      </w:r>
    </w:p>
    <w:p w:rsidR="00060950" w:rsidRDefault="00060950" w:rsidP="001A148F">
      <w:pPr>
        <w:spacing w:after="0" w:line="240" w:lineRule="auto"/>
        <w:jc w:val="both"/>
        <w:rPr>
          <w:color w:val="000000" w:themeColor="text1"/>
          <w:sz w:val="24"/>
          <w:szCs w:val="24"/>
        </w:rPr>
      </w:pPr>
      <w:r w:rsidRPr="002A100A">
        <w:rPr>
          <w:color w:val="000000" w:themeColor="text1"/>
          <w:sz w:val="24"/>
          <w:szCs w:val="24"/>
        </w:rPr>
        <w:t xml:space="preserve">The apology was obtained and the management of the restaurant agreed to take disability awareness training. However we are not sure whether or not they did as they did not offer to re-instate the young man’s position. </w:t>
      </w:r>
    </w:p>
    <w:p w:rsidR="00060950" w:rsidRDefault="00060950" w:rsidP="001A148F">
      <w:pPr>
        <w:spacing w:after="0" w:line="240" w:lineRule="auto"/>
        <w:jc w:val="both"/>
        <w:rPr>
          <w:b/>
          <w:color w:val="000000" w:themeColor="text1"/>
          <w:sz w:val="24"/>
          <w:szCs w:val="24"/>
        </w:rPr>
      </w:pPr>
      <w:r w:rsidRPr="002A100A">
        <w:rPr>
          <w:b/>
          <w:color w:val="000000" w:themeColor="text1"/>
          <w:sz w:val="24"/>
          <w:szCs w:val="24"/>
        </w:rPr>
        <w:lastRenderedPageBreak/>
        <w:t xml:space="preserve">Case </w:t>
      </w:r>
      <w:r w:rsidR="002A100A" w:rsidRPr="002A100A">
        <w:rPr>
          <w:b/>
          <w:color w:val="000000" w:themeColor="text1"/>
          <w:sz w:val="24"/>
          <w:szCs w:val="24"/>
        </w:rPr>
        <w:t>Study 2</w:t>
      </w:r>
    </w:p>
    <w:p w:rsidR="005104EE" w:rsidRPr="002A100A" w:rsidRDefault="005104EE" w:rsidP="001A148F">
      <w:pPr>
        <w:spacing w:after="0" w:line="240" w:lineRule="auto"/>
        <w:jc w:val="both"/>
        <w:rPr>
          <w:b/>
          <w:color w:val="000000" w:themeColor="text1"/>
          <w:sz w:val="24"/>
          <w:szCs w:val="24"/>
        </w:rPr>
      </w:pPr>
    </w:p>
    <w:p w:rsidR="00060950" w:rsidRDefault="00060950" w:rsidP="001A148F">
      <w:pPr>
        <w:spacing w:after="0" w:line="240" w:lineRule="auto"/>
        <w:jc w:val="both"/>
        <w:rPr>
          <w:color w:val="000000" w:themeColor="text1"/>
          <w:sz w:val="24"/>
          <w:szCs w:val="24"/>
        </w:rPr>
      </w:pPr>
      <w:r w:rsidRPr="002A100A">
        <w:rPr>
          <w:color w:val="000000" w:themeColor="text1"/>
          <w:sz w:val="24"/>
          <w:szCs w:val="24"/>
        </w:rPr>
        <w:t xml:space="preserve">A young man from </w:t>
      </w:r>
      <w:proofErr w:type="spellStart"/>
      <w:r w:rsidRPr="002A100A">
        <w:rPr>
          <w:color w:val="000000" w:themeColor="text1"/>
          <w:sz w:val="24"/>
          <w:szCs w:val="24"/>
        </w:rPr>
        <w:t>CaLD</w:t>
      </w:r>
      <w:proofErr w:type="spellEnd"/>
      <w:r w:rsidRPr="002A100A">
        <w:rPr>
          <w:color w:val="000000" w:themeColor="text1"/>
          <w:sz w:val="24"/>
          <w:szCs w:val="24"/>
        </w:rPr>
        <w:t xml:space="preserve"> background with autism and intellectual disability has been working in open employment at a fast food restaurant on part time basis for three days a week for about 4.5 years. </w:t>
      </w:r>
    </w:p>
    <w:p w:rsidR="005104EE" w:rsidRPr="002A100A" w:rsidRDefault="005104EE" w:rsidP="001A148F">
      <w:pPr>
        <w:spacing w:after="0" w:line="240" w:lineRule="auto"/>
        <w:jc w:val="both"/>
        <w:rPr>
          <w:color w:val="000000" w:themeColor="text1"/>
          <w:sz w:val="24"/>
          <w:szCs w:val="24"/>
        </w:rPr>
      </w:pPr>
    </w:p>
    <w:p w:rsidR="00060950" w:rsidRDefault="00AF719D" w:rsidP="001A148F">
      <w:pPr>
        <w:spacing w:after="0" w:line="240" w:lineRule="auto"/>
        <w:jc w:val="both"/>
        <w:rPr>
          <w:color w:val="000000" w:themeColor="text1"/>
          <w:sz w:val="24"/>
          <w:szCs w:val="24"/>
        </w:rPr>
      </w:pPr>
      <w:r w:rsidRPr="002A100A">
        <w:rPr>
          <w:color w:val="000000" w:themeColor="text1"/>
          <w:sz w:val="24"/>
          <w:szCs w:val="24"/>
        </w:rPr>
        <w:t xml:space="preserve">Each </w:t>
      </w:r>
      <w:proofErr w:type="gramStart"/>
      <w:r w:rsidRPr="002A100A">
        <w:rPr>
          <w:color w:val="000000" w:themeColor="text1"/>
          <w:sz w:val="24"/>
          <w:szCs w:val="24"/>
        </w:rPr>
        <w:t>time</w:t>
      </w:r>
      <w:proofErr w:type="gramEnd"/>
      <w:r w:rsidR="00060950" w:rsidRPr="002A100A">
        <w:rPr>
          <w:color w:val="000000" w:themeColor="text1"/>
          <w:sz w:val="24"/>
          <w:szCs w:val="24"/>
        </w:rPr>
        <w:t xml:space="preserve"> his manager changes or the staff member from the Disability Employment Service (DES) provider who support the young man changes, the restaurant threatens to sack him. He requires strong advocacy each time to maintain his position which does not happen with any of the other staff members who don’t have a disability. The young man needs to prove himself over and over each time when he gets a new person to support him which causes him unnecessary anxiety and fear of losing his job. </w:t>
      </w:r>
    </w:p>
    <w:p w:rsidR="005104EE" w:rsidRPr="002A100A" w:rsidRDefault="005104EE" w:rsidP="001A148F">
      <w:pPr>
        <w:spacing w:after="0" w:line="240" w:lineRule="auto"/>
        <w:jc w:val="both"/>
        <w:rPr>
          <w:color w:val="000000" w:themeColor="text1"/>
          <w:sz w:val="24"/>
          <w:szCs w:val="24"/>
        </w:rPr>
      </w:pPr>
    </w:p>
    <w:p w:rsidR="00060950" w:rsidRDefault="00060950" w:rsidP="001A148F">
      <w:pPr>
        <w:spacing w:after="0" w:line="240" w:lineRule="auto"/>
        <w:jc w:val="both"/>
        <w:rPr>
          <w:b/>
          <w:color w:val="000000" w:themeColor="text1"/>
          <w:sz w:val="24"/>
          <w:szCs w:val="24"/>
        </w:rPr>
      </w:pPr>
      <w:r w:rsidRPr="002A100A">
        <w:rPr>
          <w:b/>
          <w:color w:val="000000" w:themeColor="text1"/>
          <w:sz w:val="24"/>
          <w:szCs w:val="24"/>
        </w:rPr>
        <w:t xml:space="preserve">Case </w:t>
      </w:r>
      <w:r w:rsidR="002A100A" w:rsidRPr="002A100A">
        <w:rPr>
          <w:b/>
          <w:color w:val="000000" w:themeColor="text1"/>
          <w:sz w:val="24"/>
          <w:szCs w:val="24"/>
        </w:rPr>
        <w:t>Study 3</w:t>
      </w:r>
    </w:p>
    <w:p w:rsidR="005104EE" w:rsidRPr="002A100A" w:rsidRDefault="005104EE" w:rsidP="001A148F">
      <w:pPr>
        <w:spacing w:after="0" w:line="240" w:lineRule="auto"/>
        <w:jc w:val="both"/>
        <w:rPr>
          <w:b/>
          <w:color w:val="000000" w:themeColor="text1"/>
          <w:sz w:val="24"/>
          <w:szCs w:val="24"/>
        </w:rPr>
      </w:pPr>
    </w:p>
    <w:p w:rsidR="00060950" w:rsidRDefault="00060950" w:rsidP="001A148F">
      <w:pPr>
        <w:spacing w:after="0" w:line="240" w:lineRule="auto"/>
        <w:jc w:val="both"/>
        <w:rPr>
          <w:color w:val="000000" w:themeColor="text1"/>
          <w:sz w:val="24"/>
          <w:szCs w:val="24"/>
        </w:rPr>
      </w:pPr>
      <w:r w:rsidRPr="002A100A">
        <w:rPr>
          <w:color w:val="000000" w:themeColor="text1"/>
          <w:sz w:val="24"/>
          <w:szCs w:val="24"/>
        </w:rPr>
        <w:t>A lady with cerebral palsy has been looking for part time work for many years with no success. Due to her health complications she would not be able to work full time.</w:t>
      </w:r>
      <w:r w:rsidR="00AF719D" w:rsidRPr="002A100A">
        <w:rPr>
          <w:color w:val="000000" w:themeColor="text1"/>
          <w:sz w:val="24"/>
          <w:szCs w:val="24"/>
        </w:rPr>
        <w:t xml:space="preserve"> Her health deteriorates further during cold winter months. This limits her opportunities to only seasonal work. </w:t>
      </w:r>
      <w:r w:rsidRPr="002A100A">
        <w:rPr>
          <w:color w:val="000000" w:themeColor="text1"/>
          <w:sz w:val="24"/>
          <w:szCs w:val="24"/>
        </w:rPr>
        <w:t xml:space="preserve">She is well educated and has managed short term projects very well which were audited and within the funding period. She completes her selection criteria to apply for positions but when she goes to job interviews in her large electric wheelchair, she loses her chances of getting jobs.   </w:t>
      </w:r>
    </w:p>
    <w:p w:rsidR="005104EE" w:rsidRPr="002A100A" w:rsidRDefault="005104EE" w:rsidP="001A148F">
      <w:pPr>
        <w:spacing w:after="0" w:line="240" w:lineRule="auto"/>
        <w:jc w:val="both"/>
        <w:rPr>
          <w:color w:val="000000" w:themeColor="text1"/>
          <w:sz w:val="24"/>
          <w:szCs w:val="24"/>
        </w:rPr>
      </w:pPr>
    </w:p>
    <w:p w:rsidR="00705A1F" w:rsidRDefault="005104EE" w:rsidP="001A148F">
      <w:pPr>
        <w:spacing w:after="0" w:line="240" w:lineRule="auto"/>
        <w:jc w:val="both"/>
        <w:rPr>
          <w:color w:val="000000" w:themeColor="text1"/>
          <w:sz w:val="24"/>
          <w:szCs w:val="24"/>
        </w:rPr>
      </w:pPr>
      <w:r>
        <w:rPr>
          <w:color w:val="000000" w:themeColor="text1"/>
          <w:sz w:val="24"/>
          <w:szCs w:val="24"/>
        </w:rPr>
        <w:t xml:space="preserve">From the above </w:t>
      </w:r>
      <w:r w:rsidR="00060950" w:rsidRPr="002A100A">
        <w:rPr>
          <w:color w:val="000000" w:themeColor="text1"/>
          <w:sz w:val="24"/>
          <w:szCs w:val="24"/>
        </w:rPr>
        <w:t xml:space="preserve">case examples, </w:t>
      </w:r>
      <w:r w:rsidR="00705A1F" w:rsidRPr="002A100A">
        <w:rPr>
          <w:color w:val="000000" w:themeColor="text1"/>
          <w:sz w:val="24"/>
          <w:szCs w:val="24"/>
        </w:rPr>
        <w:t xml:space="preserve">it is important </w:t>
      </w:r>
      <w:proofErr w:type="spellStart"/>
      <w:r>
        <w:rPr>
          <w:color w:val="000000" w:themeColor="text1"/>
          <w:sz w:val="24"/>
          <w:szCs w:val="24"/>
        </w:rPr>
        <w:t>tp</w:t>
      </w:r>
      <w:proofErr w:type="spellEnd"/>
      <w:r>
        <w:rPr>
          <w:color w:val="000000" w:themeColor="text1"/>
          <w:sz w:val="24"/>
          <w:szCs w:val="24"/>
        </w:rPr>
        <w:t xml:space="preserve"> note the need </w:t>
      </w:r>
      <w:r w:rsidR="00705A1F" w:rsidRPr="002A100A">
        <w:rPr>
          <w:color w:val="000000" w:themeColor="text1"/>
          <w:sz w:val="24"/>
          <w:szCs w:val="24"/>
        </w:rPr>
        <w:t xml:space="preserve">for the Government to be committed in removing structural and attitudinal barriers in order to increase employment participation rate for people with disabilities and to create a more inclusive community. </w:t>
      </w:r>
    </w:p>
    <w:p w:rsidR="005104EE" w:rsidRDefault="005104EE" w:rsidP="001A148F">
      <w:pPr>
        <w:spacing w:after="0" w:line="240" w:lineRule="auto"/>
        <w:jc w:val="both"/>
        <w:rPr>
          <w:color w:val="000000" w:themeColor="text1"/>
          <w:sz w:val="24"/>
          <w:szCs w:val="24"/>
        </w:rPr>
      </w:pPr>
    </w:p>
    <w:p w:rsidR="005104EE" w:rsidRPr="002A100A" w:rsidRDefault="005104EE" w:rsidP="001A148F">
      <w:pPr>
        <w:spacing w:after="0" w:line="240" w:lineRule="auto"/>
        <w:jc w:val="both"/>
        <w:rPr>
          <w:color w:val="000000" w:themeColor="text1"/>
          <w:sz w:val="24"/>
          <w:szCs w:val="24"/>
        </w:rPr>
      </w:pPr>
    </w:p>
    <w:p w:rsidR="00116DC7" w:rsidRDefault="00116DC7" w:rsidP="001A148F">
      <w:pPr>
        <w:pStyle w:val="ListParagraph"/>
        <w:numPr>
          <w:ilvl w:val="0"/>
          <w:numId w:val="2"/>
        </w:numPr>
        <w:spacing w:after="0" w:line="240" w:lineRule="auto"/>
        <w:ind w:left="426" w:hanging="426"/>
        <w:jc w:val="both"/>
        <w:rPr>
          <w:b/>
          <w:color w:val="000000" w:themeColor="text1"/>
          <w:sz w:val="24"/>
          <w:szCs w:val="24"/>
        </w:rPr>
      </w:pPr>
      <w:r w:rsidRPr="002A100A">
        <w:rPr>
          <w:b/>
          <w:color w:val="000000" w:themeColor="text1"/>
          <w:sz w:val="24"/>
          <w:szCs w:val="24"/>
        </w:rPr>
        <w:t>The need to build community capacity in shaping people’s capabilities by providing and promoting an environment within which they develop their attitudes, aspirations and values.</w:t>
      </w:r>
    </w:p>
    <w:p w:rsidR="005104EE" w:rsidRPr="002A100A" w:rsidRDefault="005104EE" w:rsidP="005104EE">
      <w:pPr>
        <w:pStyle w:val="ListParagraph"/>
        <w:numPr>
          <w:ilvl w:val="0"/>
          <w:numId w:val="0"/>
        </w:numPr>
        <w:spacing w:after="0" w:line="240" w:lineRule="auto"/>
        <w:ind w:left="426"/>
        <w:jc w:val="both"/>
        <w:rPr>
          <w:b/>
          <w:color w:val="000000" w:themeColor="text1"/>
          <w:sz w:val="24"/>
          <w:szCs w:val="24"/>
        </w:rPr>
      </w:pPr>
    </w:p>
    <w:p w:rsidR="00D201EC" w:rsidRPr="002A100A" w:rsidRDefault="005631E7" w:rsidP="001A148F">
      <w:pPr>
        <w:spacing w:after="0" w:line="240" w:lineRule="auto"/>
        <w:jc w:val="both"/>
        <w:rPr>
          <w:color w:val="000000" w:themeColor="text1"/>
          <w:sz w:val="24"/>
          <w:szCs w:val="24"/>
        </w:rPr>
      </w:pPr>
      <w:r w:rsidRPr="002A100A">
        <w:rPr>
          <w:color w:val="000000" w:themeColor="text1"/>
          <w:sz w:val="24"/>
          <w:szCs w:val="24"/>
        </w:rPr>
        <w:t xml:space="preserve">The negative effects of unemployment can result in increased isolation and alienation within a </w:t>
      </w:r>
      <w:r w:rsidR="00DC5A5D" w:rsidRPr="002A100A">
        <w:rPr>
          <w:color w:val="000000" w:themeColor="text1"/>
          <w:sz w:val="24"/>
          <w:szCs w:val="24"/>
        </w:rPr>
        <w:t>community</w:t>
      </w:r>
      <w:r w:rsidRPr="002A100A">
        <w:rPr>
          <w:color w:val="000000" w:themeColor="text1"/>
          <w:sz w:val="24"/>
          <w:szCs w:val="24"/>
        </w:rPr>
        <w:t xml:space="preserve"> and in some cases even </w:t>
      </w:r>
      <w:r w:rsidR="00DC5A5D" w:rsidRPr="002A100A">
        <w:rPr>
          <w:color w:val="000000" w:themeColor="text1"/>
          <w:sz w:val="24"/>
          <w:szCs w:val="24"/>
        </w:rPr>
        <w:t>reduces</w:t>
      </w:r>
      <w:r w:rsidRPr="002A100A">
        <w:rPr>
          <w:color w:val="000000" w:themeColor="text1"/>
          <w:sz w:val="24"/>
          <w:szCs w:val="24"/>
        </w:rPr>
        <w:t xml:space="preserve"> social participation.</w:t>
      </w:r>
    </w:p>
    <w:p w:rsidR="00116DC7" w:rsidRDefault="00116DC7" w:rsidP="001A148F">
      <w:pPr>
        <w:spacing w:after="0" w:line="240" w:lineRule="auto"/>
        <w:rPr>
          <w:sz w:val="24"/>
        </w:rPr>
      </w:pPr>
      <w:r w:rsidRPr="002A100A">
        <w:rPr>
          <w:sz w:val="24"/>
        </w:rPr>
        <w:t xml:space="preserve">EDAC advocate for a better community engagement to address the needs of disadvantaged communities such as the </w:t>
      </w:r>
      <w:proofErr w:type="spellStart"/>
      <w:r w:rsidR="002A100A" w:rsidRPr="002A100A">
        <w:rPr>
          <w:sz w:val="24"/>
        </w:rPr>
        <w:t>CaLD</w:t>
      </w:r>
      <w:proofErr w:type="spellEnd"/>
      <w:r w:rsidR="002A100A" w:rsidRPr="002A100A">
        <w:rPr>
          <w:sz w:val="24"/>
        </w:rPr>
        <w:t xml:space="preserve"> </w:t>
      </w:r>
      <w:r w:rsidRPr="002A100A">
        <w:rPr>
          <w:sz w:val="24"/>
        </w:rPr>
        <w:t>community with disability to provide better opportunities to increase their economic participation.</w:t>
      </w:r>
    </w:p>
    <w:p w:rsidR="005104EE" w:rsidRPr="002A100A" w:rsidRDefault="005104EE" w:rsidP="001A148F">
      <w:pPr>
        <w:spacing w:after="0" w:line="240" w:lineRule="auto"/>
        <w:rPr>
          <w:sz w:val="24"/>
        </w:rPr>
      </w:pPr>
    </w:p>
    <w:p w:rsidR="005F26F7" w:rsidRDefault="005F26F7" w:rsidP="001A148F">
      <w:pPr>
        <w:spacing w:after="0" w:line="240" w:lineRule="auto"/>
        <w:jc w:val="both"/>
        <w:rPr>
          <w:color w:val="000000" w:themeColor="text1"/>
          <w:sz w:val="24"/>
          <w:szCs w:val="24"/>
        </w:rPr>
      </w:pPr>
      <w:r w:rsidRPr="002A100A">
        <w:rPr>
          <w:color w:val="000000" w:themeColor="text1"/>
          <w:sz w:val="24"/>
          <w:szCs w:val="24"/>
        </w:rPr>
        <w:t>Restrictive government policies and legislations could also present as barriers. Public sector Act 1999 section 22 part (6) Conditions of Engagement requires both ongoing and non-ongoing employees to undergo health checks. Most employers confuse disability with health conditions and refuse to employ people with disability as this may breech their perception of ‘duty of care’.</w:t>
      </w:r>
    </w:p>
    <w:p w:rsidR="003B7BB6" w:rsidRDefault="003B7BB6" w:rsidP="001A148F">
      <w:pPr>
        <w:spacing w:after="0" w:line="240" w:lineRule="auto"/>
        <w:jc w:val="both"/>
        <w:rPr>
          <w:color w:val="000000" w:themeColor="text1"/>
          <w:sz w:val="24"/>
          <w:szCs w:val="24"/>
        </w:rPr>
      </w:pPr>
    </w:p>
    <w:p w:rsidR="005104EE" w:rsidRPr="002A100A" w:rsidRDefault="005104EE" w:rsidP="001A148F">
      <w:pPr>
        <w:spacing w:after="0" w:line="240" w:lineRule="auto"/>
        <w:jc w:val="both"/>
        <w:rPr>
          <w:color w:val="000000" w:themeColor="text1"/>
          <w:sz w:val="24"/>
          <w:szCs w:val="24"/>
        </w:rPr>
      </w:pPr>
    </w:p>
    <w:p w:rsidR="00FD6264" w:rsidRDefault="00FD6264" w:rsidP="001A148F">
      <w:pPr>
        <w:spacing w:after="0" w:line="240" w:lineRule="auto"/>
        <w:jc w:val="both"/>
        <w:rPr>
          <w:i/>
          <w:color w:val="000000" w:themeColor="text1"/>
          <w:sz w:val="24"/>
          <w:szCs w:val="24"/>
          <w:u w:val="single"/>
        </w:rPr>
      </w:pPr>
    </w:p>
    <w:p w:rsidR="00FD6264" w:rsidRPr="00FD6264" w:rsidRDefault="00FD6264" w:rsidP="001A148F">
      <w:pPr>
        <w:spacing w:after="0" w:line="240" w:lineRule="auto"/>
        <w:jc w:val="both"/>
        <w:rPr>
          <w:b/>
          <w:color w:val="000000" w:themeColor="text1"/>
          <w:sz w:val="24"/>
          <w:szCs w:val="24"/>
        </w:rPr>
      </w:pPr>
      <w:r w:rsidRPr="00FD6264">
        <w:rPr>
          <w:b/>
          <w:color w:val="000000" w:themeColor="text1"/>
          <w:sz w:val="24"/>
          <w:szCs w:val="24"/>
        </w:rPr>
        <w:lastRenderedPageBreak/>
        <w:t xml:space="preserve">Case Study 4 </w:t>
      </w:r>
    </w:p>
    <w:p w:rsidR="00FD6264" w:rsidRDefault="005F26F7" w:rsidP="001A148F">
      <w:pPr>
        <w:spacing w:after="0" w:line="240" w:lineRule="auto"/>
        <w:jc w:val="both"/>
        <w:rPr>
          <w:color w:val="000000" w:themeColor="text1"/>
          <w:sz w:val="24"/>
          <w:szCs w:val="24"/>
        </w:rPr>
      </w:pPr>
      <w:r w:rsidRPr="002A100A">
        <w:rPr>
          <w:color w:val="000000" w:themeColor="text1"/>
          <w:sz w:val="24"/>
          <w:szCs w:val="24"/>
        </w:rPr>
        <w:t xml:space="preserve"> </w:t>
      </w:r>
    </w:p>
    <w:p w:rsidR="005F26F7" w:rsidRDefault="00FD6264" w:rsidP="001A148F">
      <w:pPr>
        <w:spacing w:after="0" w:line="240" w:lineRule="auto"/>
        <w:jc w:val="both"/>
        <w:rPr>
          <w:color w:val="000000" w:themeColor="text1"/>
          <w:sz w:val="24"/>
          <w:szCs w:val="24"/>
        </w:rPr>
      </w:pPr>
      <w:r w:rsidRPr="002A100A">
        <w:rPr>
          <w:color w:val="000000" w:themeColor="text1"/>
          <w:sz w:val="24"/>
          <w:szCs w:val="24"/>
        </w:rPr>
        <w:t>Two</w:t>
      </w:r>
      <w:r w:rsidR="005F26F7" w:rsidRPr="002A100A">
        <w:rPr>
          <w:color w:val="000000" w:themeColor="text1"/>
          <w:sz w:val="24"/>
          <w:szCs w:val="24"/>
        </w:rPr>
        <w:t xml:space="preserve"> of EDAC’s clients were employed on 3 month contracts, extended over a one year period by a commonwealth government department. When they applied for permanency however, they were required to get health clearance by a medical officer assigned by the Department. The clients disclosed their disability to the medical officer who included this information in his medical report to the Department. On the basis of the health report, the Department decided not to make them permanent employees quoting ‘duty of care’ as a reason even though references from line managers indicated that the individuals’ disability was not an impediment to them fulfilling the requirements of the job.   </w:t>
      </w:r>
    </w:p>
    <w:p w:rsidR="005104EE" w:rsidRPr="002A100A" w:rsidRDefault="005104EE" w:rsidP="001A148F">
      <w:pPr>
        <w:spacing w:after="0" w:line="240" w:lineRule="auto"/>
        <w:jc w:val="both"/>
        <w:rPr>
          <w:color w:val="000000" w:themeColor="text1"/>
          <w:sz w:val="24"/>
          <w:szCs w:val="24"/>
        </w:rPr>
      </w:pPr>
    </w:p>
    <w:p w:rsidR="005F26F7" w:rsidRDefault="005F26F7" w:rsidP="001A148F">
      <w:pPr>
        <w:spacing w:after="0" w:line="240" w:lineRule="auto"/>
        <w:jc w:val="both"/>
        <w:rPr>
          <w:color w:val="000000" w:themeColor="text1"/>
          <w:sz w:val="24"/>
          <w:szCs w:val="24"/>
        </w:rPr>
      </w:pPr>
      <w:r w:rsidRPr="002A100A">
        <w:rPr>
          <w:color w:val="000000" w:themeColor="text1"/>
          <w:sz w:val="24"/>
          <w:szCs w:val="24"/>
        </w:rPr>
        <w:t xml:space="preserve">According to ABS statistics in 1996, number of people with disability in federal public service was 5.8 per cent which reduced to 3.6 per cent in 2006 and is continuing to reduce further. Unfortunately, the employment rate of people with disability in the Western Australian public sector is similar and is continuing to reduce. For details, please see census information on ABS website at: </w:t>
      </w:r>
      <w:hyperlink r:id="rId11" w:history="1">
        <w:r w:rsidR="005104EE" w:rsidRPr="00D236D4">
          <w:rPr>
            <w:rStyle w:val="Hyperlink"/>
            <w:sz w:val="24"/>
            <w:szCs w:val="24"/>
          </w:rPr>
          <w:t>www.abs.gov.au</w:t>
        </w:r>
      </w:hyperlink>
      <w:r w:rsidRPr="002A100A">
        <w:rPr>
          <w:color w:val="000000" w:themeColor="text1"/>
          <w:sz w:val="24"/>
          <w:szCs w:val="24"/>
        </w:rPr>
        <w:t xml:space="preserve">. </w:t>
      </w:r>
    </w:p>
    <w:p w:rsidR="005104EE" w:rsidRPr="002A100A" w:rsidRDefault="005104EE" w:rsidP="001A148F">
      <w:pPr>
        <w:spacing w:after="0" w:line="240" w:lineRule="auto"/>
        <w:jc w:val="both"/>
        <w:rPr>
          <w:color w:val="000000" w:themeColor="text1"/>
          <w:sz w:val="24"/>
          <w:szCs w:val="24"/>
        </w:rPr>
      </w:pPr>
    </w:p>
    <w:p w:rsidR="006348D3" w:rsidRPr="002A100A" w:rsidRDefault="006348D3" w:rsidP="001A148F">
      <w:pPr>
        <w:spacing w:after="0" w:line="240" w:lineRule="auto"/>
        <w:jc w:val="both"/>
        <w:rPr>
          <w:color w:val="000000" w:themeColor="text1"/>
          <w:sz w:val="24"/>
          <w:szCs w:val="24"/>
        </w:rPr>
      </w:pPr>
      <w:r w:rsidRPr="002A100A">
        <w:rPr>
          <w:color w:val="000000" w:themeColor="text1"/>
          <w:sz w:val="24"/>
          <w:szCs w:val="24"/>
        </w:rPr>
        <w:t>Some of the barriers for people with disability to get and keep jobs may include:</w:t>
      </w:r>
    </w:p>
    <w:p w:rsidR="005F26F7" w:rsidRDefault="005F26F7" w:rsidP="001A148F">
      <w:pPr>
        <w:spacing w:after="0" w:line="240" w:lineRule="auto"/>
        <w:jc w:val="both"/>
        <w:rPr>
          <w:color w:val="000000" w:themeColor="text1"/>
          <w:sz w:val="24"/>
          <w:szCs w:val="24"/>
        </w:rPr>
      </w:pPr>
      <w:r w:rsidRPr="002A100A">
        <w:rPr>
          <w:color w:val="000000" w:themeColor="text1"/>
          <w:sz w:val="24"/>
          <w:szCs w:val="24"/>
        </w:rPr>
        <w:t xml:space="preserve">Personal barriers may include lack of self-confidence to get and keep a job. If a person with disability attends a large number of interviews without receiving a job offer, they may lose confidence and give up looking for employment. Chances of getting and retaining employment are greatly reduced if they have not received any training in grooming, interview skills, up-skilling or work-experience in their chosen field of work. </w:t>
      </w:r>
    </w:p>
    <w:p w:rsidR="005104EE" w:rsidRPr="002A100A" w:rsidRDefault="005104EE" w:rsidP="001A148F">
      <w:pPr>
        <w:spacing w:after="0" w:line="240" w:lineRule="auto"/>
        <w:jc w:val="both"/>
        <w:rPr>
          <w:color w:val="000000" w:themeColor="text1"/>
          <w:sz w:val="24"/>
          <w:szCs w:val="24"/>
        </w:rPr>
      </w:pPr>
    </w:p>
    <w:p w:rsidR="005F26F7" w:rsidRDefault="005F26F7" w:rsidP="001A148F">
      <w:pPr>
        <w:spacing w:after="0" w:line="240" w:lineRule="auto"/>
        <w:jc w:val="both"/>
        <w:rPr>
          <w:color w:val="000000" w:themeColor="text1"/>
          <w:sz w:val="24"/>
          <w:szCs w:val="24"/>
        </w:rPr>
      </w:pPr>
      <w:r w:rsidRPr="002A100A">
        <w:rPr>
          <w:color w:val="000000" w:themeColor="text1"/>
          <w:sz w:val="24"/>
          <w:szCs w:val="24"/>
        </w:rPr>
        <w:t xml:space="preserve">There is a perception that DEN providers treat people with various disabilities and skills the same and put them into Entry level employment regardless of their skills and experiences. Due to the misconceptions by employers and therefor reluctance to employ people with disability, those clients seeking high level employment are usually placed in the “too hard basket” and do not get the help they need.  There also appears to be unrealistic targets and insufficient funds to support, in particular people with intellectual disability, access open employment. </w:t>
      </w:r>
    </w:p>
    <w:p w:rsidR="005104EE" w:rsidRPr="002A100A" w:rsidRDefault="005104EE" w:rsidP="001A148F">
      <w:pPr>
        <w:spacing w:after="0" w:line="240" w:lineRule="auto"/>
        <w:jc w:val="both"/>
        <w:rPr>
          <w:color w:val="000000" w:themeColor="text1"/>
          <w:sz w:val="24"/>
          <w:szCs w:val="24"/>
        </w:rPr>
      </w:pPr>
    </w:p>
    <w:p w:rsidR="005F26F7" w:rsidRDefault="005F26F7" w:rsidP="001A148F">
      <w:pPr>
        <w:spacing w:after="0" w:line="240" w:lineRule="auto"/>
        <w:jc w:val="both"/>
        <w:rPr>
          <w:color w:val="000000" w:themeColor="text1"/>
          <w:sz w:val="24"/>
          <w:szCs w:val="24"/>
        </w:rPr>
      </w:pPr>
      <w:r w:rsidRPr="002A100A">
        <w:rPr>
          <w:color w:val="000000" w:themeColor="text1"/>
          <w:sz w:val="24"/>
          <w:szCs w:val="24"/>
        </w:rPr>
        <w:t xml:space="preserve">Governments of all persuasions try and reduce the cost to the welfare system by moving people with disability off the Disability Support Pension (DSP) to encourage them to get a job without the creation of realistic job opportunities for them to meet their specific skills and experiences. While looking for work, people with disability are put on </w:t>
      </w:r>
      <w:proofErr w:type="spellStart"/>
      <w:r w:rsidRPr="002A100A">
        <w:rPr>
          <w:color w:val="000000" w:themeColor="text1"/>
          <w:sz w:val="24"/>
          <w:szCs w:val="24"/>
        </w:rPr>
        <w:t>Newstart</w:t>
      </w:r>
      <w:proofErr w:type="spellEnd"/>
      <w:r w:rsidRPr="002A100A">
        <w:rPr>
          <w:color w:val="000000" w:themeColor="text1"/>
          <w:sz w:val="24"/>
          <w:szCs w:val="24"/>
        </w:rPr>
        <w:t xml:space="preserve"> allowance, significantly less than the DSP, which creates a subclass of already disadvantaged people. </w:t>
      </w:r>
      <w:r w:rsidR="00752504">
        <w:rPr>
          <w:color w:val="000000" w:themeColor="text1"/>
          <w:sz w:val="24"/>
          <w:szCs w:val="24"/>
        </w:rPr>
        <w:t xml:space="preserve">Other barriers include: </w:t>
      </w:r>
    </w:p>
    <w:p w:rsidR="005104EE" w:rsidRPr="002A100A" w:rsidRDefault="005104EE" w:rsidP="001A148F">
      <w:pPr>
        <w:spacing w:after="0" w:line="240" w:lineRule="auto"/>
        <w:jc w:val="both"/>
        <w:rPr>
          <w:color w:val="000000" w:themeColor="text1"/>
          <w:sz w:val="24"/>
          <w:szCs w:val="24"/>
        </w:rPr>
      </w:pPr>
    </w:p>
    <w:p w:rsidR="005F26F7" w:rsidRPr="002A100A" w:rsidRDefault="005F26F7" w:rsidP="001A148F">
      <w:pPr>
        <w:pStyle w:val="ListParagraph"/>
        <w:numPr>
          <w:ilvl w:val="0"/>
          <w:numId w:val="9"/>
        </w:numPr>
        <w:spacing w:after="0" w:line="240" w:lineRule="auto"/>
        <w:jc w:val="both"/>
        <w:rPr>
          <w:color w:val="000000" w:themeColor="text1"/>
          <w:sz w:val="24"/>
          <w:szCs w:val="24"/>
        </w:rPr>
      </w:pPr>
      <w:r w:rsidRPr="002A100A">
        <w:rPr>
          <w:color w:val="000000" w:themeColor="text1"/>
          <w:sz w:val="24"/>
          <w:szCs w:val="24"/>
        </w:rPr>
        <w:t>Myths and negative perceptions and stereotypes that create barrier and isolation. These inhibit employability of people with a disability. For example, assumptions that work cover premium will go up, that the cost of work place modification will reduce the profit margin, the likelihood of increase risks, etc.</w:t>
      </w:r>
    </w:p>
    <w:p w:rsidR="005F26F7" w:rsidRPr="002A100A" w:rsidRDefault="005F26F7" w:rsidP="001A148F">
      <w:pPr>
        <w:pStyle w:val="ListParagraph"/>
        <w:numPr>
          <w:ilvl w:val="0"/>
          <w:numId w:val="9"/>
        </w:numPr>
        <w:spacing w:after="0" w:line="240" w:lineRule="auto"/>
        <w:jc w:val="both"/>
        <w:rPr>
          <w:color w:val="000000" w:themeColor="text1"/>
          <w:sz w:val="24"/>
          <w:szCs w:val="24"/>
        </w:rPr>
      </w:pPr>
      <w:r w:rsidRPr="002A100A">
        <w:rPr>
          <w:color w:val="000000" w:themeColor="text1"/>
          <w:sz w:val="24"/>
          <w:szCs w:val="24"/>
        </w:rPr>
        <w:t xml:space="preserve">Inadequate information and advice for employers. Lack of specific training packages tailored to meet disability workforce demonstrating the benefits of targeting disability employment in workforce participation. </w:t>
      </w:r>
    </w:p>
    <w:p w:rsidR="005F26F7" w:rsidRPr="002A100A" w:rsidRDefault="005F26F7" w:rsidP="001A148F">
      <w:pPr>
        <w:pStyle w:val="ListParagraph"/>
        <w:numPr>
          <w:ilvl w:val="0"/>
          <w:numId w:val="9"/>
        </w:numPr>
        <w:spacing w:after="0" w:line="240" w:lineRule="auto"/>
        <w:jc w:val="both"/>
        <w:rPr>
          <w:color w:val="000000" w:themeColor="text1"/>
          <w:sz w:val="24"/>
          <w:szCs w:val="24"/>
        </w:rPr>
      </w:pPr>
      <w:r w:rsidRPr="002A100A">
        <w:rPr>
          <w:color w:val="000000" w:themeColor="text1"/>
          <w:sz w:val="24"/>
          <w:szCs w:val="24"/>
        </w:rPr>
        <w:lastRenderedPageBreak/>
        <w:t>The direct cost for people with disability –transport, interpreters, aids and adaptations. For example, proximity to workplace, access to public transport, accommodation and interpreting costs.</w:t>
      </w:r>
    </w:p>
    <w:p w:rsidR="002A100A" w:rsidRPr="002A100A" w:rsidRDefault="005F26F7" w:rsidP="001A148F">
      <w:pPr>
        <w:pStyle w:val="ListParagraph"/>
        <w:numPr>
          <w:ilvl w:val="0"/>
          <w:numId w:val="9"/>
        </w:numPr>
        <w:spacing w:after="0" w:line="240" w:lineRule="auto"/>
        <w:jc w:val="both"/>
        <w:rPr>
          <w:color w:val="000000" w:themeColor="text1"/>
          <w:sz w:val="24"/>
          <w:szCs w:val="24"/>
        </w:rPr>
      </w:pPr>
      <w:r w:rsidRPr="002A100A">
        <w:rPr>
          <w:color w:val="000000" w:themeColor="text1"/>
          <w:sz w:val="24"/>
          <w:szCs w:val="24"/>
        </w:rPr>
        <w:t>These factors have potential risk discouraging employment participation for people with disability.</w:t>
      </w:r>
    </w:p>
    <w:p w:rsidR="002A100A" w:rsidRPr="002A100A" w:rsidRDefault="005F26F7" w:rsidP="001A148F">
      <w:pPr>
        <w:pStyle w:val="ListParagraph"/>
        <w:numPr>
          <w:ilvl w:val="0"/>
          <w:numId w:val="9"/>
        </w:numPr>
        <w:spacing w:after="0" w:line="240" w:lineRule="auto"/>
        <w:jc w:val="both"/>
        <w:rPr>
          <w:color w:val="000000" w:themeColor="text1"/>
          <w:sz w:val="24"/>
          <w:szCs w:val="24"/>
        </w:rPr>
      </w:pPr>
      <w:r w:rsidRPr="002A100A">
        <w:rPr>
          <w:color w:val="000000" w:themeColor="text1"/>
          <w:sz w:val="24"/>
          <w:szCs w:val="24"/>
        </w:rPr>
        <w:t>Lack of flexible work environment for people with mental illness and other episodic illnesses.</w:t>
      </w:r>
    </w:p>
    <w:p w:rsidR="005F26F7" w:rsidRDefault="005F26F7" w:rsidP="001A148F">
      <w:pPr>
        <w:pStyle w:val="ListParagraph"/>
        <w:numPr>
          <w:ilvl w:val="0"/>
          <w:numId w:val="9"/>
        </w:numPr>
        <w:spacing w:after="0" w:line="240" w:lineRule="auto"/>
        <w:jc w:val="both"/>
        <w:rPr>
          <w:color w:val="000000" w:themeColor="text1"/>
          <w:sz w:val="24"/>
          <w:szCs w:val="24"/>
        </w:rPr>
      </w:pPr>
      <w:r w:rsidRPr="002A100A">
        <w:rPr>
          <w:color w:val="000000" w:themeColor="text1"/>
          <w:sz w:val="24"/>
          <w:szCs w:val="24"/>
        </w:rPr>
        <w:t xml:space="preserve">Communication hurdles, inadequate training, lack of ’Australian work experience’ faced by </w:t>
      </w:r>
      <w:proofErr w:type="spellStart"/>
      <w:r w:rsidRPr="002A100A">
        <w:rPr>
          <w:color w:val="000000" w:themeColor="text1"/>
          <w:sz w:val="24"/>
          <w:szCs w:val="24"/>
        </w:rPr>
        <w:t>CaLD</w:t>
      </w:r>
      <w:proofErr w:type="spellEnd"/>
      <w:r w:rsidRPr="002A100A">
        <w:rPr>
          <w:color w:val="000000" w:themeColor="text1"/>
          <w:sz w:val="24"/>
          <w:szCs w:val="24"/>
        </w:rPr>
        <w:t xml:space="preserve"> people with disability.</w:t>
      </w:r>
    </w:p>
    <w:p w:rsidR="005104EE" w:rsidRPr="002A100A" w:rsidRDefault="005104EE" w:rsidP="005104EE">
      <w:pPr>
        <w:pStyle w:val="ListParagraph"/>
        <w:numPr>
          <w:ilvl w:val="0"/>
          <w:numId w:val="0"/>
        </w:numPr>
        <w:spacing w:after="0" w:line="240" w:lineRule="auto"/>
        <w:ind w:left="720"/>
        <w:jc w:val="both"/>
        <w:rPr>
          <w:color w:val="000000" w:themeColor="text1"/>
          <w:sz w:val="24"/>
          <w:szCs w:val="24"/>
        </w:rPr>
      </w:pPr>
    </w:p>
    <w:p w:rsidR="005F26F7" w:rsidRDefault="005F26F7" w:rsidP="001A148F">
      <w:pPr>
        <w:spacing w:after="0" w:line="240" w:lineRule="auto"/>
        <w:jc w:val="both"/>
        <w:rPr>
          <w:color w:val="000000" w:themeColor="text1"/>
          <w:sz w:val="24"/>
          <w:szCs w:val="24"/>
        </w:rPr>
      </w:pPr>
      <w:r w:rsidRPr="002A100A">
        <w:rPr>
          <w:color w:val="000000" w:themeColor="text1"/>
          <w:sz w:val="24"/>
          <w:szCs w:val="24"/>
        </w:rPr>
        <w:t>Whilst Australia continues to increase the cultural diversity of its workforce to address Australia’s skill shortages, people with disability from non-English speaking backgrounds (NESB) are not being supported appropriately in gaining and maintaining meaningful open employment based on their skills and experience as other Australians. The process for recognition of skills of overseas trained people in some industries is mired in red tape and in some instances the requirements may be more demanding than for those who have completed their training in Australia. This leads to people seeking unskilled, low paid jobs or missing opportunities for employment in their chosen field of work.</w:t>
      </w:r>
    </w:p>
    <w:p w:rsidR="005104EE" w:rsidRDefault="005104EE" w:rsidP="001A148F">
      <w:pPr>
        <w:spacing w:after="0" w:line="240" w:lineRule="auto"/>
        <w:jc w:val="both"/>
        <w:rPr>
          <w:color w:val="000000" w:themeColor="text1"/>
          <w:sz w:val="24"/>
          <w:szCs w:val="24"/>
        </w:rPr>
      </w:pPr>
    </w:p>
    <w:p w:rsidR="005F26F7" w:rsidRDefault="005F26F7" w:rsidP="001A148F">
      <w:pPr>
        <w:spacing w:after="0" w:line="240" w:lineRule="auto"/>
        <w:jc w:val="both"/>
        <w:rPr>
          <w:color w:val="000000" w:themeColor="text1"/>
          <w:sz w:val="24"/>
          <w:szCs w:val="24"/>
        </w:rPr>
      </w:pPr>
      <w:r w:rsidRPr="002A100A">
        <w:rPr>
          <w:color w:val="000000" w:themeColor="text1"/>
          <w:sz w:val="24"/>
          <w:szCs w:val="24"/>
        </w:rPr>
        <w:t>Strategic Improvements to the employment of people with disability may include:</w:t>
      </w:r>
    </w:p>
    <w:p w:rsidR="005104EE" w:rsidRPr="002A100A" w:rsidRDefault="005104EE" w:rsidP="001A148F">
      <w:pPr>
        <w:spacing w:after="0" w:line="240" w:lineRule="auto"/>
        <w:jc w:val="both"/>
        <w:rPr>
          <w:color w:val="000000" w:themeColor="text1"/>
          <w:sz w:val="24"/>
          <w:szCs w:val="24"/>
        </w:rPr>
      </w:pPr>
    </w:p>
    <w:p w:rsidR="005F26F7" w:rsidRPr="002A100A" w:rsidRDefault="005F26F7" w:rsidP="001A148F">
      <w:pPr>
        <w:pStyle w:val="ListParagraph"/>
        <w:numPr>
          <w:ilvl w:val="0"/>
          <w:numId w:val="10"/>
        </w:numPr>
        <w:spacing w:after="0" w:line="240" w:lineRule="auto"/>
        <w:jc w:val="both"/>
        <w:rPr>
          <w:color w:val="000000" w:themeColor="text1"/>
          <w:sz w:val="24"/>
          <w:szCs w:val="24"/>
        </w:rPr>
      </w:pPr>
      <w:r w:rsidRPr="002A100A">
        <w:rPr>
          <w:color w:val="000000" w:themeColor="text1"/>
          <w:sz w:val="24"/>
          <w:szCs w:val="24"/>
        </w:rPr>
        <w:t xml:space="preserve">Reviewing the PSA 1999 section 22 part (6) Conditions of Engagement and clarifying the differences between health, disability and duty of care. Why should health condition or disability be a barrier for people to be employed in public sector, if the person has the right skills to perform their duties? </w:t>
      </w:r>
    </w:p>
    <w:p w:rsidR="005F26F7" w:rsidRPr="002A100A" w:rsidRDefault="005F26F7" w:rsidP="001A148F">
      <w:pPr>
        <w:pStyle w:val="ListParagraph"/>
        <w:numPr>
          <w:ilvl w:val="0"/>
          <w:numId w:val="10"/>
        </w:numPr>
        <w:spacing w:after="0" w:line="240" w:lineRule="auto"/>
        <w:jc w:val="both"/>
        <w:rPr>
          <w:color w:val="000000" w:themeColor="text1"/>
          <w:sz w:val="24"/>
          <w:szCs w:val="24"/>
        </w:rPr>
      </w:pPr>
      <w:r w:rsidRPr="002A100A">
        <w:rPr>
          <w:color w:val="000000" w:themeColor="text1"/>
          <w:sz w:val="24"/>
          <w:szCs w:val="24"/>
        </w:rPr>
        <w:t>Providing meaningful employment that matches the needs of people with disability. This should start with training –creating positions that match the skills and qualifications. There are benefits and economic productivity from such development in the employment sector.</w:t>
      </w:r>
    </w:p>
    <w:p w:rsidR="005F26F7" w:rsidRDefault="005F26F7" w:rsidP="001A148F">
      <w:pPr>
        <w:pStyle w:val="ListParagraph"/>
        <w:numPr>
          <w:ilvl w:val="0"/>
          <w:numId w:val="10"/>
        </w:numPr>
        <w:tabs>
          <w:tab w:val="left" w:pos="1418"/>
        </w:tabs>
        <w:spacing w:after="0" w:line="240" w:lineRule="auto"/>
        <w:rPr>
          <w:color w:val="000000" w:themeColor="text1"/>
          <w:sz w:val="24"/>
          <w:szCs w:val="24"/>
        </w:rPr>
      </w:pPr>
      <w:r w:rsidRPr="002A100A">
        <w:rPr>
          <w:color w:val="000000" w:themeColor="text1"/>
          <w:sz w:val="24"/>
          <w:szCs w:val="24"/>
        </w:rPr>
        <w:t>No person with disability should fear losing Centrelink benefits if they pursue employment.</w:t>
      </w:r>
    </w:p>
    <w:p w:rsidR="005104EE" w:rsidRPr="002A100A" w:rsidRDefault="005104EE" w:rsidP="005104EE">
      <w:pPr>
        <w:pStyle w:val="ListParagraph"/>
        <w:numPr>
          <w:ilvl w:val="0"/>
          <w:numId w:val="0"/>
        </w:numPr>
        <w:tabs>
          <w:tab w:val="left" w:pos="1418"/>
        </w:tabs>
        <w:spacing w:after="0" w:line="240" w:lineRule="auto"/>
        <w:ind w:left="720"/>
        <w:rPr>
          <w:color w:val="000000" w:themeColor="text1"/>
          <w:sz w:val="24"/>
          <w:szCs w:val="24"/>
        </w:rPr>
      </w:pPr>
    </w:p>
    <w:p w:rsidR="005F26F7" w:rsidRDefault="00173012" w:rsidP="001A148F">
      <w:pPr>
        <w:tabs>
          <w:tab w:val="left" w:pos="993"/>
        </w:tabs>
        <w:spacing w:after="0" w:line="240" w:lineRule="auto"/>
        <w:rPr>
          <w:color w:val="000000" w:themeColor="text1"/>
          <w:sz w:val="24"/>
          <w:szCs w:val="24"/>
        </w:rPr>
      </w:pPr>
      <w:r>
        <w:rPr>
          <w:color w:val="000000" w:themeColor="text1"/>
          <w:sz w:val="24"/>
          <w:szCs w:val="24"/>
        </w:rPr>
        <w:t>S</w:t>
      </w:r>
      <w:r w:rsidR="005F26F7" w:rsidRPr="002A100A">
        <w:rPr>
          <w:color w:val="000000" w:themeColor="text1"/>
          <w:sz w:val="24"/>
          <w:szCs w:val="24"/>
        </w:rPr>
        <w:t>tructural disincentives to employment</w:t>
      </w:r>
      <w:r w:rsidR="00752504">
        <w:rPr>
          <w:color w:val="000000" w:themeColor="text1"/>
          <w:sz w:val="24"/>
          <w:szCs w:val="24"/>
        </w:rPr>
        <w:t xml:space="preserve"> </w:t>
      </w:r>
      <w:r>
        <w:rPr>
          <w:color w:val="000000" w:themeColor="text1"/>
          <w:sz w:val="24"/>
          <w:szCs w:val="24"/>
        </w:rPr>
        <w:t xml:space="preserve">also need to be addressed by the </w:t>
      </w:r>
      <w:r w:rsidR="005104EE">
        <w:rPr>
          <w:color w:val="000000" w:themeColor="text1"/>
          <w:sz w:val="24"/>
          <w:szCs w:val="24"/>
        </w:rPr>
        <w:t>g</w:t>
      </w:r>
      <w:r>
        <w:rPr>
          <w:color w:val="000000" w:themeColor="text1"/>
          <w:sz w:val="24"/>
          <w:szCs w:val="24"/>
        </w:rPr>
        <w:t xml:space="preserve">overnment </w:t>
      </w:r>
      <w:r w:rsidR="00752504">
        <w:rPr>
          <w:color w:val="000000" w:themeColor="text1"/>
          <w:sz w:val="24"/>
          <w:szCs w:val="24"/>
        </w:rPr>
        <w:t xml:space="preserve">through the following: </w:t>
      </w:r>
    </w:p>
    <w:p w:rsidR="005104EE" w:rsidRPr="002A100A" w:rsidRDefault="005104EE" w:rsidP="001A148F">
      <w:pPr>
        <w:tabs>
          <w:tab w:val="left" w:pos="993"/>
        </w:tabs>
        <w:spacing w:after="0" w:line="240" w:lineRule="auto"/>
        <w:rPr>
          <w:color w:val="000000" w:themeColor="text1"/>
          <w:sz w:val="24"/>
          <w:szCs w:val="24"/>
        </w:rPr>
      </w:pPr>
    </w:p>
    <w:p w:rsidR="005F26F7" w:rsidRPr="00752504" w:rsidRDefault="005F26F7" w:rsidP="001A148F">
      <w:pPr>
        <w:pStyle w:val="ListParagraph"/>
        <w:numPr>
          <w:ilvl w:val="0"/>
          <w:numId w:val="11"/>
        </w:numPr>
        <w:spacing w:after="0" w:line="240" w:lineRule="auto"/>
        <w:jc w:val="both"/>
        <w:rPr>
          <w:color w:val="000000" w:themeColor="text1"/>
          <w:sz w:val="24"/>
          <w:szCs w:val="24"/>
        </w:rPr>
      </w:pPr>
      <w:r w:rsidRPr="00752504">
        <w:rPr>
          <w:color w:val="000000" w:themeColor="text1"/>
          <w:sz w:val="24"/>
          <w:szCs w:val="24"/>
        </w:rPr>
        <w:t xml:space="preserve">Introduce affirmative action in the hiring of people with disability, that is, if two people - one with disability and one without, with similar skills and experiences apply for a position, one with disability should be hired in both public and private sector. </w:t>
      </w:r>
    </w:p>
    <w:p w:rsidR="005F26F7" w:rsidRPr="00752504" w:rsidRDefault="005F26F7" w:rsidP="001A148F">
      <w:pPr>
        <w:pStyle w:val="ListParagraph"/>
        <w:numPr>
          <w:ilvl w:val="0"/>
          <w:numId w:val="11"/>
        </w:numPr>
        <w:spacing w:after="0" w:line="240" w:lineRule="auto"/>
        <w:jc w:val="both"/>
        <w:rPr>
          <w:color w:val="000000" w:themeColor="text1"/>
          <w:sz w:val="24"/>
          <w:szCs w:val="24"/>
        </w:rPr>
      </w:pPr>
      <w:r w:rsidRPr="00752504">
        <w:rPr>
          <w:color w:val="000000" w:themeColor="text1"/>
          <w:sz w:val="24"/>
          <w:szCs w:val="24"/>
        </w:rPr>
        <w:t>Facilities should be accessible and useable by people with disabilities</w:t>
      </w:r>
      <w:r w:rsidR="00AD5377">
        <w:rPr>
          <w:color w:val="000000" w:themeColor="text1"/>
          <w:sz w:val="24"/>
          <w:szCs w:val="24"/>
        </w:rPr>
        <w:t xml:space="preserve"> - c</w:t>
      </w:r>
      <w:r w:rsidRPr="00752504">
        <w:rPr>
          <w:color w:val="000000" w:themeColor="text1"/>
          <w:sz w:val="24"/>
          <w:szCs w:val="24"/>
        </w:rPr>
        <w:t>ar modifications, adaptive technology facilities and accessible buildings.</w:t>
      </w:r>
    </w:p>
    <w:p w:rsidR="005F26F7" w:rsidRPr="00752504" w:rsidRDefault="005F26F7" w:rsidP="001A148F">
      <w:pPr>
        <w:pStyle w:val="ListParagraph"/>
        <w:numPr>
          <w:ilvl w:val="0"/>
          <w:numId w:val="11"/>
        </w:numPr>
        <w:spacing w:after="0" w:line="240" w:lineRule="auto"/>
        <w:jc w:val="both"/>
        <w:rPr>
          <w:color w:val="000000" w:themeColor="text1"/>
          <w:sz w:val="24"/>
          <w:szCs w:val="24"/>
        </w:rPr>
      </w:pPr>
      <w:r w:rsidRPr="00752504">
        <w:rPr>
          <w:color w:val="000000" w:themeColor="text1"/>
          <w:sz w:val="24"/>
          <w:szCs w:val="24"/>
        </w:rPr>
        <w:t>Introduce work schedules (flexible work environment) to match individual lifestyle and choice –flexible choice for parents with a disability, those with mental health; for those using Auslan, it would be appropriate to provide them professional and qualified interpreters.</w:t>
      </w:r>
    </w:p>
    <w:p w:rsidR="005F26F7" w:rsidRPr="00173012" w:rsidRDefault="005F26F7" w:rsidP="001A148F">
      <w:pPr>
        <w:pStyle w:val="ListParagraph"/>
        <w:numPr>
          <w:ilvl w:val="0"/>
          <w:numId w:val="11"/>
        </w:numPr>
        <w:spacing w:after="0" w:line="240" w:lineRule="auto"/>
        <w:jc w:val="both"/>
        <w:rPr>
          <w:color w:val="000000" w:themeColor="text1"/>
          <w:sz w:val="24"/>
          <w:szCs w:val="24"/>
        </w:rPr>
      </w:pPr>
      <w:r w:rsidRPr="00173012">
        <w:rPr>
          <w:color w:val="000000" w:themeColor="text1"/>
          <w:sz w:val="24"/>
          <w:szCs w:val="24"/>
        </w:rPr>
        <w:lastRenderedPageBreak/>
        <w:t>The Federal, State and Territories governmen</w:t>
      </w:r>
      <w:r w:rsidR="00752504" w:rsidRPr="00173012">
        <w:rPr>
          <w:color w:val="000000" w:themeColor="text1"/>
          <w:sz w:val="24"/>
          <w:szCs w:val="24"/>
        </w:rPr>
        <w:t>t</w:t>
      </w:r>
      <w:r w:rsidR="00173012">
        <w:rPr>
          <w:color w:val="000000" w:themeColor="text1"/>
          <w:sz w:val="24"/>
          <w:szCs w:val="24"/>
        </w:rPr>
        <w:t>s</w:t>
      </w:r>
      <w:r w:rsidR="00752504" w:rsidRPr="00173012">
        <w:rPr>
          <w:color w:val="000000" w:themeColor="text1"/>
          <w:sz w:val="24"/>
          <w:szCs w:val="24"/>
        </w:rPr>
        <w:t xml:space="preserve"> should be a model employer of </w:t>
      </w:r>
      <w:r w:rsidRPr="00173012">
        <w:rPr>
          <w:color w:val="000000" w:themeColor="text1"/>
          <w:sz w:val="24"/>
          <w:szCs w:val="24"/>
        </w:rPr>
        <w:t>individuals with disabilities –this could be a starting point influencing the employability of people with disability in the private sector.</w:t>
      </w:r>
    </w:p>
    <w:p w:rsidR="005F26F7" w:rsidRPr="00173012" w:rsidRDefault="005F26F7" w:rsidP="001A148F">
      <w:pPr>
        <w:pStyle w:val="ListParagraph"/>
        <w:numPr>
          <w:ilvl w:val="0"/>
          <w:numId w:val="11"/>
        </w:numPr>
        <w:spacing w:after="0" w:line="240" w:lineRule="auto"/>
        <w:jc w:val="both"/>
        <w:rPr>
          <w:color w:val="000000" w:themeColor="text1"/>
          <w:sz w:val="24"/>
          <w:szCs w:val="24"/>
        </w:rPr>
      </w:pPr>
      <w:r w:rsidRPr="00173012">
        <w:rPr>
          <w:color w:val="000000" w:themeColor="text1"/>
          <w:sz w:val="24"/>
          <w:szCs w:val="24"/>
        </w:rPr>
        <w:t>Commitment to improving employment outcome by being employers of choice devoting resources to creating inclusive workplace policies and practices.</w:t>
      </w:r>
    </w:p>
    <w:p w:rsidR="005F26F7" w:rsidRPr="00173012" w:rsidRDefault="005F26F7" w:rsidP="001A148F">
      <w:pPr>
        <w:pStyle w:val="ListParagraph"/>
        <w:numPr>
          <w:ilvl w:val="0"/>
          <w:numId w:val="11"/>
        </w:numPr>
        <w:spacing w:after="0" w:line="240" w:lineRule="auto"/>
        <w:jc w:val="both"/>
        <w:rPr>
          <w:color w:val="000000" w:themeColor="text1"/>
          <w:sz w:val="24"/>
          <w:szCs w:val="24"/>
        </w:rPr>
      </w:pPr>
      <w:r w:rsidRPr="00173012">
        <w:rPr>
          <w:color w:val="000000" w:themeColor="text1"/>
          <w:sz w:val="24"/>
          <w:szCs w:val="24"/>
        </w:rPr>
        <w:t>Bold statement policy should be in place to design model recruitment and employment strategies that would increase employment of people with disability.</w:t>
      </w:r>
      <w:r w:rsidR="00173012" w:rsidRPr="00173012">
        <w:rPr>
          <w:color w:val="000000" w:themeColor="text1"/>
          <w:sz w:val="24"/>
          <w:szCs w:val="24"/>
        </w:rPr>
        <w:t xml:space="preserve"> </w:t>
      </w:r>
    </w:p>
    <w:p w:rsidR="005F26F7" w:rsidRPr="00173012" w:rsidRDefault="005F26F7" w:rsidP="001A148F">
      <w:pPr>
        <w:pStyle w:val="ListParagraph"/>
        <w:numPr>
          <w:ilvl w:val="0"/>
          <w:numId w:val="11"/>
        </w:numPr>
        <w:spacing w:after="0" w:line="240" w:lineRule="auto"/>
        <w:jc w:val="both"/>
        <w:rPr>
          <w:color w:val="000000" w:themeColor="text1"/>
          <w:sz w:val="24"/>
          <w:szCs w:val="24"/>
        </w:rPr>
      </w:pPr>
      <w:r w:rsidRPr="00173012">
        <w:rPr>
          <w:color w:val="000000" w:themeColor="text1"/>
          <w:sz w:val="24"/>
          <w:szCs w:val="24"/>
        </w:rPr>
        <w:t>Employers should declare and present their action and inclusion plan for promoting employment opportunity for people with disability. This should also include annual reporting as a mandatory measure to demonstrate that something is done –a progress report. This would significantly make a difference in the employment rate of people with disability. Putting in place a quota system in the earlier stages may also increase the employment rates of people with disability.</w:t>
      </w:r>
    </w:p>
    <w:p w:rsidR="005F26F7" w:rsidRPr="00173012" w:rsidRDefault="005F26F7" w:rsidP="001A148F">
      <w:pPr>
        <w:pStyle w:val="ListParagraph"/>
        <w:numPr>
          <w:ilvl w:val="0"/>
          <w:numId w:val="11"/>
        </w:numPr>
        <w:spacing w:after="0" w:line="240" w:lineRule="auto"/>
        <w:jc w:val="both"/>
        <w:rPr>
          <w:color w:val="000000" w:themeColor="text1"/>
          <w:sz w:val="24"/>
          <w:szCs w:val="24"/>
        </w:rPr>
      </w:pPr>
      <w:r w:rsidRPr="00173012">
        <w:rPr>
          <w:color w:val="000000" w:themeColor="text1"/>
          <w:sz w:val="24"/>
          <w:szCs w:val="24"/>
        </w:rPr>
        <w:t xml:space="preserve">The government should adapt collaborative efforts to promote positive employment outcomes by encouraging employers and the community to recognise the value and the talent people with disability bring to the workplace.  </w:t>
      </w:r>
    </w:p>
    <w:p w:rsidR="005F26F7" w:rsidRPr="00173012" w:rsidRDefault="005F26F7" w:rsidP="001A148F">
      <w:pPr>
        <w:pStyle w:val="ListParagraph"/>
        <w:numPr>
          <w:ilvl w:val="0"/>
          <w:numId w:val="11"/>
        </w:numPr>
        <w:spacing w:after="0" w:line="240" w:lineRule="auto"/>
        <w:jc w:val="both"/>
        <w:rPr>
          <w:color w:val="000000" w:themeColor="text1"/>
          <w:sz w:val="24"/>
          <w:szCs w:val="24"/>
        </w:rPr>
      </w:pPr>
      <w:r w:rsidRPr="00173012">
        <w:rPr>
          <w:color w:val="000000" w:themeColor="text1"/>
          <w:sz w:val="24"/>
          <w:szCs w:val="24"/>
        </w:rPr>
        <w:t xml:space="preserve">The employment and workforce development strategies that are available for Aboriginal people through all levels of government should be made available for people with disability to increase their workforce participation. </w:t>
      </w:r>
    </w:p>
    <w:p w:rsidR="005F26F7" w:rsidRPr="00173012" w:rsidRDefault="005F26F7" w:rsidP="001A148F">
      <w:pPr>
        <w:pStyle w:val="ListParagraph"/>
        <w:numPr>
          <w:ilvl w:val="0"/>
          <w:numId w:val="11"/>
        </w:numPr>
        <w:spacing w:after="0" w:line="240" w:lineRule="auto"/>
        <w:jc w:val="both"/>
        <w:rPr>
          <w:color w:val="000000" w:themeColor="text1"/>
          <w:sz w:val="24"/>
          <w:szCs w:val="24"/>
        </w:rPr>
      </w:pPr>
      <w:r w:rsidRPr="00173012">
        <w:rPr>
          <w:color w:val="000000" w:themeColor="text1"/>
          <w:sz w:val="24"/>
          <w:szCs w:val="24"/>
        </w:rPr>
        <w:t xml:space="preserve">Graduate Employment Program should be available for people with disability through both the commonwealth and state and territory public sectors where people with disability are supported with advocacy to gain employment and the employer is provided with incentives to employ people with disability. </w:t>
      </w:r>
    </w:p>
    <w:p w:rsidR="005F26F7" w:rsidRDefault="005F26F7" w:rsidP="001A148F">
      <w:pPr>
        <w:pStyle w:val="ListParagraph"/>
        <w:numPr>
          <w:ilvl w:val="0"/>
          <w:numId w:val="11"/>
        </w:numPr>
        <w:spacing w:after="0" w:line="240" w:lineRule="auto"/>
        <w:jc w:val="both"/>
        <w:rPr>
          <w:color w:val="000000" w:themeColor="text1"/>
          <w:sz w:val="24"/>
          <w:szCs w:val="24"/>
        </w:rPr>
      </w:pPr>
      <w:r w:rsidRPr="00173012">
        <w:rPr>
          <w:color w:val="000000" w:themeColor="text1"/>
          <w:sz w:val="24"/>
          <w:szCs w:val="24"/>
        </w:rPr>
        <w:t xml:space="preserve">Acting positions in higher level employment should be made available for people with disability with appropriate supports, training and mentoring to encourage them to gain and maintain higher level permanent employment. Currently there are no organisations including disability support organisations in WA that are led by a person with disability. </w:t>
      </w:r>
    </w:p>
    <w:p w:rsidR="005104EE" w:rsidRPr="00173012" w:rsidRDefault="005104EE" w:rsidP="005104EE">
      <w:pPr>
        <w:pStyle w:val="ListParagraph"/>
        <w:numPr>
          <w:ilvl w:val="0"/>
          <w:numId w:val="0"/>
        </w:numPr>
        <w:spacing w:after="0" w:line="240" w:lineRule="auto"/>
        <w:ind w:left="720"/>
        <w:jc w:val="both"/>
        <w:rPr>
          <w:color w:val="000000" w:themeColor="text1"/>
          <w:sz w:val="24"/>
          <w:szCs w:val="24"/>
        </w:rPr>
      </w:pPr>
    </w:p>
    <w:p w:rsidR="00FB350F" w:rsidRDefault="006044F4" w:rsidP="001A148F">
      <w:pPr>
        <w:spacing w:after="0" w:line="240" w:lineRule="auto"/>
        <w:jc w:val="both"/>
        <w:rPr>
          <w:color w:val="000000" w:themeColor="text1"/>
          <w:sz w:val="24"/>
          <w:szCs w:val="24"/>
        </w:rPr>
      </w:pPr>
      <w:r w:rsidRPr="00D85484">
        <w:rPr>
          <w:color w:val="000000" w:themeColor="text1"/>
          <w:sz w:val="24"/>
          <w:szCs w:val="24"/>
        </w:rPr>
        <w:t>E</w:t>
      </w:r>
      <w:r w:rsidR="00FB350F" w:rsidRPr="00D85484">
        <w:rPr>
          <w:color w:val="000000" w:themeColor="text1"/>
          <w:sz w:val="24"/>
          <w:szCs w:val="24"/>
        </w:rPr>
        <w:t>DAC suggests the following ways:</w:t>
      </w:r>
    </w:p>
    <w:p w:rsidR="005104EE" w:rsidRPr="00D85484" w:rsidRDefault="005104EE" w:rsidP="001A148F">
      <w:pPr>
        <w:spacing w:after="0" w:line="240" w:lineRule="auto"/>
        <w:jc w:val="both"/>
        <w:rPr>
          <w:color w:val="000000" w:themeColor="text1"/>
          <w:sz w:val="24"/>
          <w:szCs w:val="24"/>
        </w:rPr>
      </w:pPr>
    </w:p>
    <w:p w:rsidR="00FB350F" w:rsidRPr="001E25FE" w:rsidRDefault="001E25FE" w:rsidP="001A148F">
      <w:pPr>
        <w:pStyle w:val="ListParagraph"/>
        <w:numPr>
          <w:ilvl w:val="0"/>
          <w:numId w:val="12"/>
        </w:numPr>
        <w:spacing w:after="0" w:line="240" w:lineRule="auto"/>
        <w:ind w:left="709"/>
        <w:jc w:val="both"/>
        <w:rPr>
          <w:color w:val="000000" w:themeColor="text1"/>
          <w:sz w:val="24"/>
          <w:szCs w:val="24"/>
        </w:rPr>
      </w:pPr>
      <w:r w:rsidRPr="001E25FE">
        <w:rPr>
          <w:color w:val="000000" w:themeColor="text1"/>
          <w:sz w:val="24"/>
          <w:szCs w:val="24"/>
        </w:rPr>
        <w:t>Provide a</w:t>
      </w:r>
      <w:r w:rsidR="00FB350F" w:rsidRPr="001E25FE">
        <w:rPr>
          <w:color w:val="000000" w:themeColor="text1"/>
          <w:sz w:val="24"/>
          <w:szCs w:val="24"/>
        </w:rPr>
        <w:t xml:space="preserve">ccess to </w:t>
      </w:r>
      <w:r w:rsidR="00173012" w:rsidRPr="001E25FE">
        <w:rPr>
          <w:color w:val="000000" w:themeColor="text1"/>
          <w:sz w:val="24"/>
          <w:szCs w:val="24"/>
        </w:rPr>
        <w:t xml:space="preserve">appropriate </w:t>
      </w:r>
      <w:r w:rsidR="00FB350F" w:rsidRPr="001E25FE">
        <w:rPr>
          <w:color w:val="000000" w:themeColor="text1"/>
          <w:sz w:val="24"/>
          <w:szCs w:val="24"/>
        </w:rPr>
        <w:t>technology</w:t>
      </w:r>
      <w:r w:rsidRPr="001E25FE">
        <w:rPr>
          <w:color w:val="000000" w:themeColor="text1"/>
          <w:sz w:val="24"/>
          <w:szCs w:val="24"/>
        </w:rPr>
        <w:t xml:space="preserve">. </w:t>
      </w:r>
      <w:r>
        <w:rPr>
          <w:color w:val="000000" w:themeColor="text1"/>
          <w:sz w:val="24"/>
          <w:szCs w:val="24"/>
        </w:rPr>
        <w:t xml:space="preserve">The provision of </w:t>
      </w:r>
      <w:bookmarkStart w:id="5" w:name="OLE_LINK47"/>
      <w:bookmarkStart w:id="6" w:name="OLE_LINK48"/>
      <w:r>
        <w:rPr>
          <w:color w:val="000000" w:themeColor="text1"/>
          <w:sz w:val="24"/>
          <w:szCs w:val="24"/>
        </w:rPr>
        <w:t>i</w:t>
      </w:r>
      <w:r w:rsidR="00FB350F" w:rsidRPr="001E25FE">
        <w:rPr>
          <w:color w:val="000000" w:themeColor="text1"/>
          <w:sz w:val="24"/>
          <w:szCs w:val="24"/>
        </w:rPr>
        <w:t xml:space="preserve">nformation in a range of formats </w:t>
      </w:r>
      <w:r w:rsidRPr="001E25FE">
        <w:rPr>
          <w:color w:val="000000" w:themeColor="text1"/>
          <w:sz w:val="24"/>
          <w:szCs w:val="24"/>
        </w:rPr>
        <w:t>that is</w:t>
      </w:r>
      <w:r w:rsidR="00FB350F" w:rsidRPr="001E25FE">
        <w:rPr>
          <w:color w:val="000000" w:themeColor="text1"/>
          <w:sz w:val="24"/>
          <w:szCs w:val="24"/>
        </w:rPr>
        <w:t xml:space="preserve"> accessible to people with disability.</w:t>
      </w:r>
      <w:bookmarkEnd w:id="5"/>
      <w:bookmarkEnd w:id="6"/>
      <w:r w:rsidR="00173012" w:rsidRPr="001E25FE">
        <w:rPr>
          <w:color w:val="000000" w:themeColor="text1"/>
          <w:sz w:val="24"/>
          <w:szCs w:val="24"/>
        </w:rPr>
        <w:t xml:space="preserve"> </w:t>
      </w:r>
      <w:r w:rsidR="00FB350F" w:rsidRPr="001E25FE">
        <w:rPr>
          <w:color w:val="000000" w:themeColor="text1"/>
          <w:sz w:val="24"/>
          <w:szCs w:val="24"/>
        </w:rPr>
        <w:t xml:space="preserve">This will provide information available to job seekers as well as facilitate </w:t>
      </w:r>
      <w:proofErr w:type="spellStart"/>
      <w:r w:rsidR="00FB350F" w:rsidRPr="001E25FE">
        <w:rPr>
          <w:color w:val="000000" w:themeColor="text1"/>
          <w:sz w:val="24"/>
          <w:szCs w:val="24"/>
        </w:rPr>
        <w:t>Jobsearch</w:t>
      </w:r>
      <w:proofErr w:type="spellEnd"/>
      <w:r w:rsidR="00FB350F" w:rsidRPr="001E25FE">
        <w:rPr>
          <w:color w:val="000000" w:themeColor="text1"/>
          <w:sz w:val="24"/>
          <w:szCs w:val="24"/>
        </w:rPr>
        <w:t xml:space="preserve"> among </w:t>
      </w:r>
      <w:proofErr w:type="spellStart"/>
      <w:r w:rsidR="00FB350F" w:rsidRPr="001E25FE">
        <w:rPr>
          <w:color w:val="000000" w:themeColor="text1"/>
          <w:sz w:val="24"/>
          <w:szCs w:val="24"/>
        </w:rPr>
        <w:t>CaLD</w:t>
      </w:r>
      <w:proofErr w:type="spellEnd"/>
      <w:r w:rsidR="00FB350F" w:rsidRPr="001E25FE">
        <w:rPr>
          <w:color w:val="000000" w:themeColor="text1"/>
          <w:sz w:val="24"/>
          <w:szCs w:val="24"/>
        </w:rPr>
        <w:t xml:space="preserve"> people with disability.</w:t>
      </w:r>
    </w:p>
    <w:p w:rsidR="00C72DA4" w:rsidRDefault="00FB350F" w:rsidP="001A148F">
      <w:pPr>
        <w:pStyle w:val="ListParagraph"/>
        <w:numPr>
          <w:ilvl w:val="0"/>
          <w:numId w:val="12"/>
        </w:numPr>
        <w:spacing w:after="0" w:line="240" w:lineRule="auto"/>
        <w:ind w:left="709"/>
        <w:jc w:val="both"/>
        <w:rPr>
          <w:color w:val="000000" w:themeColor="text1"/>
          <w:sz w:val="24"/>
          <w:szCs w:val="24"/>
        </w:rPr>
      </w:pPr>
      <w:r w:rsidRPr="00C72DA4">
        <w:rPr>
          <w:color w:val="000000" w:themeColor="text1"/>
          <w:sz w:val="24"/>
          <w:szCs w:val="24"/>
        </w:rPr>
        <w:t>Add translation, speech and reading support tools to job-websites online content and provide cheap internet infrastructure.</w:t>
      </w:r>
      <w:r w:rsidR="00C72DA4" w:rsidRPr="00C72DA4">
        <w:rPr>
          <w:color w:val="000000" w:themeColor="text1"/>
          <w:sz w:val="24"/>
          <w:szCs w:val="24"/>
        </w:rPr>
        <w:t xml:space="preserve"> </w:t>
      </w:r>
      <w:r w:rsidRPr="00C72DA4">
        <w:rPr>
          <w:color w:val="000000" w:themeColor="text1"/>
          <w:sz w:val="24"/>
          <w:szCs w:val="24"/>
        </w:rPr>
        <w:t xml:space="preserve">This will extend the reach of website for </w:t>
      </w:r>
      <w:r w:rsidR="00C72DA4">
        <w:rPr>
          <w:color w:val="000000" w:themeColor="text1"/>
          <w:sz w:val="24"/>
          <w:szCs w:val="24"/>
        </w:rPr>
        <w:t>job seekers with a disability;</w:t>
      </w:r>
      <w:r w:rsidRPr="00C72DA4">
        <w:rPr>
          <w:color w:val="000000" w:themeColor="text1"/>
          <w:sz w:val="24"/>
          <w:szCs w:val="24"/>
        </w:rPr>
        <w:t xml:space="preserve"> assist those who require reading support due to learning</w:t>
      </w:r>
      <w:r w:rsidR="00C72DA4">
        <w:rPr>
          <w:color w:val="000000" w:themeColor="text1"/>
          <w:sz w:val="24"/>
          <w:szCs w:val="24"/>
        </w:rPr>
        <w:t xml:space="preserve"> and those with </w:t>
      </w:r>
      <w:r w:rsidRPr="00C72DA4">
        <w:rPr>
          <w:color w:val="000000" w:themeColor="text1"/>
          <w:sz w:val="24"/>
          <w:szCs w:val="24"/>
        </w:rPr>
        <w:t xml:space="preserve">mild visual impairments </w:t>
      </w:r>
      <w:r w:rsidR="00C72DA4">
        <w:rPr>
          <w:color w:val="000000" w:themeColor="text1"/>
          <w:sz w:val="24"/>
          <w:szCs w:val="24"/>
        </w:rPr>
        <w:t xml:space="preserve">as well as assist those with low English language proficiency. </w:t>
      </w:r>
    </w:p>
    <w:p w:rsidR="005104EE" w:rsidRDefault="005104EE" w:rsidP="005104EE">
      <w:pPr>
        <w:spacing w:after="0" w:line="240" w:lineRule="auto"/>
        <w:jc w:val="both"/>
        <w:rPr>
          <w:color w:val="000000" w:themeColor="text1"/>
          <w:sz w:val="24"/>
          <w:szCs w:val="24"/>
        </w:rPr>
      </w:pPr>
    </w:p>
    <w:p w:rsidR="005104EE" w:rsidRDefault="005104EE" w:rsidP="005104EE">
      <w:pPr>
        <w:spacing w:after="0" w:line="240" w:lineRule="auto"/>
        <w:jc w:val="both"/>
        <w:rPr>
          <w:color w:val="000000" w:themeColor="text1"/>
          <w:sz w:val="24"/>
          <w:szCs w:val="24"/>
        </w:rPr>
      </w:pPr>
    </w:p>
    <w:p w:rsidR="007D168D" w:rsidRDefault="007D168D" w:rsidP="005104EE">
      <w:pPr>
        <w:spacing w:after="0" w:line="240" w:lineRule="auto"/>
        <w:jc w:val="both"/>
        <w:rPr>
          <w:color w:val="000000" w:themeColor="text1"/>
          <w:sz w:val="24"/>
          <w:szCs w:val="24"/>
        </w:rPr>
      </w:pPr>
    </w:p>
    <w:p w:rsidR="007D168D" w:rsidRDefault="007D168D" w:rsidP="005104EE">
      <w:pPr>
        <w:spacing w:after="0" w:line="240" w:lineRule="auto"/>
        <w:jc w:val="both"/>
        <w:rPr>
          <w:color w:val="000000" w:themeColor="text1"/>
          <w:sz w:val="24"/>
          <w:szCs w:val="24"/>
        </w:rPr>
      </w:pPr>
    </w:p>
    <w:p w:rsidR="00C95C3B" w:rsidRDefault="00C95C3B" w:rsidP="001A148F">
      <w:pPr>
        <w:pStyle w:val="ListParagraph"/>
        <w:numPr>
          <w:ilvl w:val="0"/>
          <w:numId w:val="2"/>
        </w:numPr>
        <w:spacing w:after="0" w:line="240" w:lineRule="auto"/>
        <w:ind w:left="426" w:hanging="426"/>
        <w:jc w:val="both"/>
        <w:rPr>
          <w:b/>
          <w:color w:val="000000" w:themeColor="text1"/>
          <w:sz w:val="24"/>
          <w:szCs w:val="24"/>
        </w:rPr>
      </w:pPr>
      <w:r w:rsidRPr="002A100A">
        <w:rPr>
          <w:b/>
          <w:color w:val="000000" w:themeColor="text1"/>
          <w:sz w:val="24"/>
          <w:szCs w:val="24"/>
        </w:rPr>
        <w:lastRenderedPageBreak/>
        <w:t>Recommendations</w:t>
      </w:r>
    </w:p>
    <w:p w:rsidR="005104EE" w:rsidRPr="002A100A" w:rsidRDefault="005104EE" w:rsidP="005104EE">
      <w:pPr>
        <w:pStyle w:val="ListParagraph"/>
        <w:numPr>
          <w:ilvl w:val="0"/>
          <w:numId w:val="0"/>
        </w:numPr>
        <w:spacing w:after="0" w:line="240" w:lineRule="auto"/>
        <w:ind w:left="426"/>
        <w:jc w:val="both"/>
        <w:rPr>
          <w:b/>
          <w:color w:val="000000" w:themeColor="text1"/>
          <w:sz w:val="24"/>
          <w:szCs w:val="24"/>
        </w:rPr>
      </w:pPr>
    </w:p>
    <w:p w:rsidR="00C95C3B" w:rsidRPr="002A100A" w:rsidRDefault="00C95C3B" w:rsidP="001A148F">
      <w:pPr>
        <w:spacing w:after="0" w:line="240" w:lineRule="auto"/>
        <w:jc w:val="both"/>
        <w:rPr>
          <w:color w:val="000000" w:themeColor="text1"/>
          <w:sz w:val="24"/>
          <w:szCs w:val="24"/>
        </w:rPr>
      </w:pPr>
      <w:r w:rsidRPr="002A100A">
        <w:rPr>
          <w:color w:val="000000" w:themeColor="text1"/>
          <w:sz w:val="24"/>
          <w:szCs w:val="24"/>
        </w:rPr>
        <w:t xml:space="preserve">EDAC suggests that before the Australian </w:t>
      </w:r>
      <w:r w:rsidR="00D85484">
        <w:rPr>
          <w:color w:val="000000" w:themeColor="text1"/>
          <w:sz w:val="24"/>
          <w:szCs w:val="24"/>
        </w:rPr>
        <w:t>G</w:t>
      </w:r>
      <w:r w:rsidRPr="002A100A">
        <w:rPr>
          <w:color w:val="000000" w:themeColor="text1"/>
          <w:sz w:val="24"/>
          <w:szCs w:val="24"/>
        </w:rPr>
        <w:t xml:space="preserve">overnment moves people with disability </w:t>
      </w:r>
      <w:r w:rsidR="00D85484">
        <w:rPr>
          <w:color w:val="000000" w:themeColor="text1"/>
          <w:sz w:val="24"/>
          <w:szCs w:val="24"/>
        </w:rPr>
        <w:t xml:space="preserve">and </w:t>
      </w:r>
      <w:r w:rsidRPr="002A100A">
        <w:rPr>
          <w:color w:val="000000" w:themeColor="text1"/>
          <w:sz w:val="24"/>
          <w:szCs w:val="24"/>
        </w:rPr>
        <w:t>capacity to work off the Disability Support Pension</w:t>
      </w:r>
      <w:r w:rsidR="00D85484">
        <w:rPr>
          <w:color w:val="000000" w:themeColor="text1"/>
          <w:sz w:val="24"/>
          <w:szCs w:val="24"/>
        </w:rPr>
        <w:t>. T</w:t>
      </w:r>
      <w:r w:rsidRPr="002A100A">
        <w:rPr>
          <w:color w:val="000000" w:themeColor="text1"/>
          <w:sz w:val="24"/>
          <w:szCs w:val="24"/>
        </w:rPr>
        <w:t xml:space="preserve">he government needs to: </w:t>
      </w:r>
    </w:p>
    <w:p w:rsidR="00C95C3B" w:rsidRPr="00D85484" w:rsidRDefault="00C95C3B" w:rsidP="001A148F">
      <w:pPr>
        <w:pStyle w:val="ListParagraph"/>
        <w:numPr>
          <w:ilvl w:val="0"/>
          <w:numId w:val="13"/>
        </w:numPr>
        <w:spacing w:after="0" w:line="240" w:lineRule="auto"/>
        <w:jc w:val="both"/>
        <w:rPr>
          <w:color w:val="000000" w:themeColor="text1"/>
          <w:sz w:val="24"/>
          <w:szCs w:val="24"/>
        </w:rPr>
      </w:pPr>
      <w:r w:rsidRPr="00D85484">
        <w:rPr>
          <w:color w:val="000000" w:themeColor="text1"/>
          <w:sz w:val="24"/>
          <w:szCs w:val="24"/>
        </w:rPr>
        <w:t xml:space="preserve">Do a business plan of increasing the employment rate of people with disability in meaningful positions in all levels of the public sector </w:t>
      </w:r>
      <w:r w:rsidR="00336B6F" w:rsidRPr="00D85484">
        <w:rPr>
          <w:color w:val="000000" w:themeColor="text1"/>
          <w:sz w:val="24"/>
          <w:szCs w:val="24"/>
        </w:rPr>
        <w:t xml:space="preserve">from admin to </w:t>
      </w:r>
      <w:r w:rsidRPr="00D85484">
        <w:rPr>
          <w:color w:val="000000" w:themeColor="text1"/>
          <w:sz w:val="24"/>
          <w:szCs w:val="24"/>
        </w:rPr>
        <w:t>the management and decision making capacities and strongly encourage the private sector to do the same;</w:t>
      </w:r>
    </w:p>
    <w:p w:rsidR="00336B6F" w:rsidRDefault="00336B6F" w:rsidP="001A148F">
      <w:pPr>
        <w:pStyle w:val="ListParagraph"/>
        <w:numPr>
          <w:ilvl w:val="0"/>
          <w:numId w:val="13"/>
        </w:numPr>
        <w:spacing w:after="0" w:line="240" w:lineRule="auto"/>
        <w:jc w:val="both"/>
        <w:rPr>
          <w:color w:val="000000" w:themeColor="text1"/>
          <w:sz w:val="24"/>
          <w:szCs w:val="24"/>
        </w:rPr>
      </w:pPr>
      <w:r w:rsidRPr="00D85484">
        <w:rPr>
          <w:color w:val="000000" w:themeColor="text1"/>
          <w:sz w:val="24"/>
          <w:szCs w:val="24"/>
        </w:rPr>
        <w:t>DES caseworkers to support each person with a diverse disability according to the person’s skills, work-experience and abilities, rather than treating them all the same which they currently do.</w:t>
      </w:r>
    </w:p>
    <w:p w:rsidR="005104EE" w:rsidRPr="00D85484" w:rsidRDefault="005104EE" w:rsidP="005104EE">
      <w:pPr>
        <w:pStyle w:val="ListParagraph"/>
        <w:numPr>
          <w:ilvl w:val="0"/>
          <w:numId w:val="0"/>
        </w:numPr>
        <w:spacing w:after="0" w:line="240" w:lineRule="auto"/>
        <w:ind w:left="720"/>
        <w:jc w:val="both"/>
        <w:rPr>
          <w:color w:val="000000" w:themeColor="text1"/>
          <w:sz w:val="24"/>
          <w:szCs w:val="24"/>
        </w:rPr>
      </w:pPr>
    </w:p>
    <w:p w:rsidR="00336B6F" w:rsidRDefault="00336B6F" w:rsidP="001A148F">
      <w:pPr>
        <w:spacing w:after="0" w:line="240" w:lineRule="auto"/>
        <w:jc w:val="both"/>
        <w:rPr>
          <w:color w:val="000000" w:themeColor="text1"/>
          <w:sz w:val="24"/>
          <w:szCs w:val="24"/>
        </w:rPr>
      </w:pPr>
      <w:r w:rsidRPr="002A100A">
        <w:rPr>
          <w:color w:val="000000" w:themeColor="text1"/>
          <w:sz w:val="24"/>
          <w:szCs w:val="24"/>
        </w:rPr>
        <w:t xml:space="preserve">People with disability should be given opportunities </w:t>
      </w:r>
      <w:r w:rsidR="00643621" w:rsidRPr="002A100A">
        <w:rPr>
          <w:color w:val="000000" w:themeColor="text1"/>
          <w:sz w:val="24"/>
          <w:szCs w:val="24"/>
        </w:rPr>
        <w:t xml:space="preserve">for secondments and </w:t>
      </w:r>
      <w:r w:rsidR="00D85484">
        <w:rPr>
          <w:color w:val="000000" w:themeColor="text1"/>
          <w:sz w:val="24"/>
          <w:szCs w:val="24"/>
        </w:rPr>
        <w:t xml:space="preserve">to act in </w:t>
      </w:r>
      <w:r w:rsidRPr="002A100A">
        <w:rPr>
          <w:color w:val="000000" w:themeColor="text1"/>
          <w:sz w:val="24"/>
          <w:szCs w:val="24"/>
        </w:rPr>
        <w:t xml:space="preserve">higher positions </w:t>
      </w:r>
      <w:r w:rsidR="00643621" w:rsidRPr="002A100A">
        <w:rPr>
          <w:color w:val="000000" w:themeColor="text1"/>
          <w:sz w:val="24"/>
          <w:szCs w:val="24"/>
        </w:rPr>
        <w:t>to gain experience and a possibility to gain higher level employment.</w:t>
      </w:r>
    </w:p>
    <w:p w:rsidR="005104EE" w:rsidRDefault="005104EE" w:rsidP="001A148F">
      <w:pPr>
        <w:spacing w:after="0" w:line="240" w:lineRule="auto"/>
        <w:jc w:val="both"/>
        <w:rPr>
          <w:color w:val="000000" w:themeColor="text1"/>
          <w:sz w:val="24"/>
          <w:szCs w:val="24"/>
        </w:rPr>
      </w:pPr>
      <w:r>
        <w:rPr>
          <w:color w:val="000000" w:themeColor="text1"/>
          <w:sz w:val="24"/>
          <w:szCs w:val="24"/>
        </w:rPr>
        <w:t>This can be done by:</w:t>
      </w:r>
    </w:p>
    <w:p w:rsidR="005104EE" w:rsidRPr="002A100A" w:rsidRDefault="005104EE" w:rsidP="001A148F">
      <w:pPr>
        <w:spacing w:after="0" w:line="240" w:lineRule="auto"/>
        <w:jc w:val="both"/>
        <w:rPr>
          <w:color w:val="000000" w:themeColor="text1"/>
          <w:sz w:val="24"/>
          <w:szCs w:val="24"/>
        </w:rPr>
      </w:pPr>
    </w:p>
    <w:p w:rsidR="00C95C3B" w:rsidRPr="00D85484" w:rsidRDefault="00C95C3B" w:rsidP="001A148F">
      <w:pPr>
        <w:pStyle w:val="ListParagraph"/>
        <w:numPr>
          <w:ilvl w:val="0"/>
          <w:numId w:val="18"/>
        </w:numPr>
        <w:spacing w:after="0" w:line="240" w:lineRule="auto"/>
        <w:jc w:val="both"/>
        <w:rPr>
          <w:color w:val="000000" w:themeColor="text1"/>
          <w:sz w:val="24"/>
          <w:szCs w:val="24"/>
        </w:rPr>
      </w:pPr>
      <w:r w:rsidRPr="00D85484">
        <w:rPr>
          <w:color w:val="000000" w:themeColor="text1"/>
          <w:sz w:val="24"/>
          <w:szCs w:val="24"/>
        </w:rPr>
        <w:t>All staff working in the human resources branches i</w:t>
      </w:r>
      <w:r w:rsidR="00D85484" w:rsidRPr="00D85484">
        <w:rPr>
          <w:color w:val="000000" w:themeColor="text1"/>
          <w:sz w:val="24"/>
          <w:szCs w:val="24"/>
        </w:rPr>
        <w:t>n public and private sectors to t</w:t>
      </w:r>
      <w:r w:rsidRPr="00D85484">
        <w:rPr>
          <w:color w:val="000000" w:themeColor="text1"/>
          <w:sz w:val="24"/>
          <w:szCs w:val="24"/>
        </w:rPr>
        <w:t xml:space="preserve">ake disability awareness training </w:t>
      </w:r>
      <w:r w:rsidR="00167742" w:rsidRPr="00D85484">
        <w:rPr>
          <w:color w:val="000000" w:themeColor="text1"/>
          <w:sz w:val="24"/>
          <w:szCs w:val="24"/>
        </w:rPr>
        <w:t xml:space="preserve">including the Disability Service Standards </w:t>
      </w:r>
      <w:r w:rsidRPr="00D85484">
        <w:rPr>
          <w:color w:val="000000" w:themeColor="text1"/>
          <w:sz w:val="24"/>
          <w:szCs w:val="24"/>
        </w:rPr>
        <w:t>to understand how and in what capacity people with disability may be employed according to each person’s skills and abilities;</w:t>
      </w:r>
    </w:p>
    <w:p w:rsidR="00C95C3B" w:rsidRPr="00D85484" w:rsidRDefault="00C95C3B" w:rsidP="001A148F">
      <w:pPr>
        <w:pStyle w:val="ListParagraph"/>
        <w:numPr>
          <w:ilvl w:val="0"/>
          <w:numId w:val="18"/>
        </w:numPr>
        <w:spacing w:after="0" w:line="240" w:lineRule="auto"/>
        <w:jc w:val="both"/>
        <w:rPr>
          <w:color w:val="000000" w:themeColor="text1"/>
          <w:sz w:val="24"/>
          <w:szCs w:val="24"/>
        </w:rPr>
      </w:pPr>
      <w:r w:rsidRPr="00D85484">
        <w:rPr>
          <w:color w:val="000000" w:themeColor="text1"/>
          <w:sz w:val="24"/>
          <w:szCs w:val="24"/>
        </w:rPr>
        <w:t xml:space="preserve">Government needs to work with stakeholders and people with lived experiences to develop strategies to change the </w:t>
      </w:r>
      <w:r w:rsidR="00DC5A5D" w:rsidRPr="00D85484">
        <w:rPr>
          <w:color w:val="000000" w:themeColor="text1"/>
          <w:sz w:val="24"/>
          <w:szCs w:val="24"/>
        </w:rPr>
        <w:t>attitudes</w:t>
      </w:r>
      <w:r w:rsidRPr="00D85484">
        <w:rPr>
          <w:color w:val="000000" w:themeColor="text1"/>
          <w:sz w:val="24"/>
          <w:szCs w:val="24"/>
        </w:rPr>
        <w:t xml:space="preserve"> of employers to give people with disability better and more fair opportunities for meaningful employment according to their skills, abilities and work-experience in the open market;</w:t>
      </w:r>
    </w:p>
    <w:p w:rsidR="00C95C3B" w:rsidRPr="00D85484" w:rsidRDefault="00C95C3B" w:rsidP="001A148F">
      <w:pPr>
        <w:pStyle w:val="ListParagraph"/>
        <w:numPr>
          <w:ilvl w:val="0"/>
          <w:numId w:val="18"/>
        </w:numPr>
        <w:spacing w:after="0" w:line="240" w:lineRule="auto"/>
        <w:jc w:val="both"/>
        <w:rPr>
          <w:color w:val="000000" w:themeColor="text1"/>
          <w:sz w:val="24"/>
          <w:szCs w:val="24"/>
        </w:rPr>
      </w:pPr>
      <w:r w:rsidRPr="00D85484">
        <w:rPr>
          <w:color w:val="000000" w:themeColor="text1"/>
          <w:sz w:val="24"/>
          <w:szCs w:val="24"/>
        </w:rPr>
        <w:t xml:space="preserve">People with disability living in regional, rural and remote areas have </w:t>
      </w:r>
      <w:r w:rsidR="006536EC" w:rsidRPr="00D85484">
        <w:rPr>
          <w:color w:val="000000" w:themeColor="text1"/>
          <w:sz w:val="24"/>
          <w:szCs w:val="24"/>
        </w:rPr>
        <w:t>less opportunity</w:t>
      </w:r>
      <w:r w:rsidRPr="00D85484">
        <w:rPr>
          <w:color w:val="000000" w:themeColor="text1"/>
          <w:sz w:val="24"/>
          <w:szCs w:val="24"/>
        </w:rPr>
        <w:t xml:space="preserve"> to access the employment market, and may not have access to other services as health, higher education, public transport, support workers to help them in their daily living and in employment, etc.</w:t>
      </w:r>
    </w:p>
    <w:p w:rsidR="00DC5A5D" w:rsidRPr="00D85484" w:rsidRDefault="00DC5A5D" w:rsidP="001A148F">
      <w:pPr>
        <w:pStyle w:val="ListParagraph"/>
        <w:numPr>
          <w:ilvl w:val="0"/>
          <w:numId w:val="18"/>
        </w:numPr>
        <w:spacing w:after="0" w:line="240" w:lineRule="auto"/>
        <w:jc w:val="both"/>
        <w:rPr>
          <w:color w:val="000000" w:themeColor="text1"/>
          <w:sz w:val="24"/>
          <w:szCs w:val="24"/>
        </w:rPr>
      </w:pPr>
      <w:r w:rsidRPr="00D85484">
        <w:rPr>
          <w:color w:val="000000" w:themeColor="text1"/>
          <w:sz w:val="24"/>
          <w:szCs w:val="24"/>
        </w:rPr>
        <w:t xml:space="preserve">A central Career Unit </w:t>
      </w:r>
      <w:r w:rsidR="00167742" w:rsidRPr="00D85484">
        <w:rPr>
          <w:color w:val="000000" w:themeColor="text1"/>
          <w:sz w:val="24"/>
          <w:szCs w:val="24"/>
        </w:rPr>
        <w:t xml:space="preserve">may be </w:t>
      </w:r>
      <w:r w:rsidRPr="00D85484">
        <w:rPr>
          <w:color w:val="000000" w:themeColor="text1"/>
          <w:sz w:val="24"/>
          <w:szCs w:val="24"/>
        </w:rPr>
        <w:t>developed to supervise DES</w:t>
      </w:r>
      <w:r w:rsidR="00D85484" w:rsidRPr="00D85484">
        <w:rPr>
          <w:color w:val="000000" w:themeColor="text1"/>
          <w:sz w:val="24"/>
          <w:szCs w:val="24"/>
        </w:rPr>
        <w:t xml:space="preserve"> activity and guide direction in </w:t>
      </w:r>
      <w:r w:rsidRPr="00D85484">
        <w:rPr>
          <w:color w:val="000000" w:themeColor="text1"/>
          <w:sz w:val="24"/>
          <w:szCs w:val="24"/>
        </w:rPr>
        <w:t xml:space="preserve">supporting the mission and vision of providing sustainable employment according to </w:t>
      </w:r>
      <w:r w:rsidR="004C3988" w:rsidRPr="00D85484">
        <w:rPr>
          <w:color w:val="000000" w:themeColor="text1"/>
          <w:sz w:val="24"/>
          <w:szCs w:val="24"/>
        </w:rPr>
        <w:t>the needs</w:t>
      </w:r>
      <w:r w:rsidRPr="00D85484">
        <w:rPr>
          <w:color w:val="000000" w:themeColor="text1"/>
          <w:sz w:val="24"/>
          <w:szCs w:val="24"/>
        </w:rPr>
        <w:t xml:space="preserve"> and aspirations of people with a disability.</w:t>
      </w:r>
    </w:p>
    <w:p w:rsidR="00DC5A5D" w:rsidRDefault="00DC5A5D" w:rsidP="001A148F">
      <w:pPr>
        <w:pStyle w:val="ListParagraph"/>
        <w:numPr>
          <w:ilvl w:val="0"/>
          <w:numId w:val="18"/>
        </w:numPr>
        <w:spacing w:after="0" w:line="240" w:lineRule="auto"/>
        <w:jc w:val="both"/>
        <w:rPr>
          <w:color w:val="000000" w:themeColor="text1"/>
          <w:sz w:val="24"/>
          <w:szCs w:val="24"/>
        </w:rPr>
      </w:pPr>
      <w:r w:rsidRPr="00D85484">
        <w:rPr>
          <w:color w:val="000000" w:themeColor="text1"/>
          <w:sz w:val="24"/>
          <w:szCs w:val="24"/>
        </w:rPr>
        <w:t>Improve access to technology, Internet services and pr</w:t>
      </w:r>
      <w:r w:rsidR="00D85484" w:rsidRPr="00D85484">
        <w:rPr>
          <w:color w:val="000000" w:themeColor="text1"/>
          <w:sz w:val="24"/>
          <w:szCs w:val="24"/>
        </w:rPr>
        <w:t xml:space="preserve">ovide information in a range of </w:t>
      </w:r>
      <w:r w:rsidRPr="00D85484">
        <w:rPr>
          <w:color w:val="000000" w:themeColor="text1"/>
          <w:sz w:val="24"/>
          <w:szCs w:val="24"/>
        </w:rPr>
        <w:t>formats that are accessible to people with disability.</w:t>
      </w:r>
    </w:p>
    <w:p w:rsidR="005104EE" w:rsidRDefault="005104EE" w:rsidP="005104EE">
      <w:pPr>
        <w:spacing w:after="0" w:line="240" w:lineRule="auto"/>
        <w:jc w:val="both"/>
        <w:rPr>
          <w:color w:val="000000" w:themeColor="text1"/>
          <w:sz w:val="24"/>
          <w:szCs w:val="24"/>
        </w:rPr>
      </w:pPr>
    </w:p>
    <w:p w:rsidR="005104EE" w:rsidRDefault="005104EE" w:rsidP="005104EE">
      <w:pPr>
        <w:spacing w:after="0" w:line="240" w:lineRule="auto"/>
        <w:jc w:val="both"/>
        <w:rPr>
          <w:color w:val="000000" w:themeColor="text1"/>
          <w:sz w:val="24"/>
          <w:szCs w:val="24"/>
        </w:rPr>
      </w:pPr>
    </w:p>
    <w:p w:rsidR="00FD6264" w:rsidRDefault="00FD6264" w:rsidP="005104EE">
      <w:pPr>
        <w:spacing w:after="0" w:line="240" w:lineRule="auto"/>
        <w:jc w:val="both"/>
        <w:rPr>
          <w:color w:val="000000" w:themeColor="text1"/>
          <w:sz w:val="24"/>
          <w:szCs w:val="24"/>
        </w:rPr>
      </w:pPr>
    </w:p>
    <w:p w:rsidR="005104EE" w:rsidRDefault="005104EE" w:rsidP="005104EE">
      <w:pPr>
        <w:spacing w:after="0" w:line="240" w:lineRule="auto"/>
        <w:jc w:val="both"/>
        <w:rPr>
          <w:color w:val="000000" w:themeColor="text1"/>
          <w:sz w:val="24"/>
          <w:szCs w:val="24"/>
        </w:rPr>
      </w:pPr>
    </w:p>
    <w:p w:rsidR="005104EE" w:rsidRDefault="005104EE" w:rsidP="005104EE">
      <w:pPr>
        <w:spacing w:after="0" w:line="240" w:lineRule="auto"/>
        <w:jc w:val="both"/>
        <w:rPr>
          <w:color w:val="000000" w:themeColor="text1"/>
          <w:sz w:val="24"/>
          <w:szCs w:val="24"/>
        </w:rPr>
      </w:pPr>
    </w:p>
    <w:p w:rsidR="005104EE" w:rsidRDefault="005104EE" w:rsidP="005104EE">
      <w:pPr>
        <w:spacing w:after="0" w:line="240" w:lineRule="auto"/>
        <w:jc w:val="both"/>
        <w:rPr>
          <w:color w:val="000000" w:themeColor="text1"/>
          <w:sz w:val="24"/>
          <w:szCs w:val="24"/>
        </w:rPr>
      </w:pPr>
    </w:p>
    <w:p w:rsidR="005104EE" w:rsidRDefault="005104EE" w:rsidP="005104EE">
      <w:pPr>
        <w:spacing w:after="0" w:line="240" w:lineRule="auto"/>
        <w:jc w:val="both"/>
        <w:rPr>
          <w:color w:val="000000" w:themeColor="text1"/>
          <w:sz w:val="24"/>
          <w:szCs w:val="24"/>
        </w:rPr>
      </w:pPr>
    </w:p>
    <w:p w:rsidR="005104EE" w:rsidRDefault="005104EE" w:rsidP="005104EE">
      <w:pPr>
        <w:spacing w:after="0" w:line="240" w:lineRule="auto"/>
        <w:jc w:val="both"/>
        <w:rPr>
          <w:color w:val="000000" w:themeColor="text1"/>
          <w:sz w:val="24"/>
          <w:szCs w:val="24"/>
        </w:rPr>
      </w:pPr>
    </w:p>
    <w:p w:rsidR="007D168D" w:rsidRDefault="007D168D" w:rsidP="005104EE">
      <w:pPr>
        <w:spacing w:after="0" w:line="240" w:lineRule="auto"/>
        <w:jc w:val="both"/>
        <w:rPr>
          <w:color w:val="000000" w:themeColor="text1"/>
          <w:sz w:val="24"/>
          <w:szCs w:val="24"/>
        </w:rPr>
      </w:pPr>
    </w:p>
    <w:p w:rsidR="005104EE" w:rsidRDefault="005104EE" w:rsidP="005104EE">
      <w:pPr>
        <w:spacing w:after="0" w:line="240" w:lineRule="auto"/>
        <w:jc w:val="both"/>
        <w:rPr>
          <w:color w:val="000000" w:themeColor="text1"/>
          <w:sz w:val="24"/>
          <w:szCs w:val="24"/>
        </w:rPr>
      </w:pPr>
    </w:p>
    <w:p w:rsidR="005104EE" w:rsidRDefault="005104EE" w:rsidP="005104EE">
      <w:pPr>
        <w:spacing w:after="0" w:line="240" w:lineRule="auto"/>
        <w:jc w:val="both"/>
        <w:rPr>
          <w:color w:val="000000" w:themeColor="text1"/>
          <w:sz w:val="24"/>
          <w:szCs w:val="24"/>
        </w:rPr>
      </w:pPr>
    </w:p>
    <w:p w:rsidR="005104EE" w:rsidRDefault="005104EE" w:rsidP="005104EE">
      <w:pPr>
        <w:spacing w:after="0" w:line="240" w:lineRule="auto"/>
        <w:jc w:val="both"/>
        <w:rPr>
          <w:color w:val="000000" w:themeColor="text1"/>
          <w:sz w:val="24"/>
          <w:szCs w:val="24"/>
        </w:rPr>
      </w:pPr>
    </w:p>
    <w:p w:rsidR="005104EE" w:rsidRPr="005104EE" w:rsidRDefault="005104EE" w:rsidP="005104EE">
      <w:pPr>
        <w:spacing w:after="0" w:line="240" w:lineRule="auto"/>
        <w:jc w:val="both"/>
        <w:rPr>
          <w:color w:val="000000" w:themeColor="text1"/>
          <w:sz w:val="24"/>
          <w:szCs w:val="24"/>
        </w:rPr>
      </w:pPr>
    </w:p>
    <w:p w:rsidR="004C3988" w:rsidRPr="002A100A" w:rsidRDefault="004C3988" w:rsidP="001A148F">
      <w:pPr>
        <w:pStyle w:val="ListParagraph"/>
        <w:numPr>
          <w:ilvl w:val="0"/>
          <w:numId w:val="0"/>
        </w:numPr>
        <w:spacing w:after="0" w:line="240" w:lineRule="auto"/>
        <w:ind w:left="426"/>
        <w:rPr>
          <w:color w:val="000000" w:themeColor="text1"/>
          <w:sz w:val="24"/>
          <w:szCs w:val="24"/>
        </w:rPr>
      </w:pPr>
    </w:p>
    <w:p w:rsidR="00C95C3B" w:rsidRDefault="00C95C3B" w:rsidP="001A148F">
      <w:pPr>
        <w:spacing w:after="0" w:line="240" w:lineRule="auto"/>
        <w:jc w:val="both"/>
        <w:rPr>
          <w:color w:val="000000" w:themeColor="text1"/>
          <w:sz w:val="24"/>
          <w:szCs w:val="24"/>
        </w:rPr>
      </w:pPr>
      <w:r w:rsidRPr="002A100A">
        <w:rPr>
          <w:color w:val="000000" w:themeColor="text1"/>
          <w:sz w:val="24"/>
          <w:szCs w:val="24"/>
        </w:rPr>
        <w:t xml:space="preserve">Without having taken the steps above, taking people off the DSP and putting them onto the </w:t>
      </w:r>
      <w:proofErr w:type="spellStart"/>
      <w:r w:rsidRPr="002A100A">
        <w:rPr>
          <w:color w:val="000000" w:themeColor="text1"/>
          <w:sz w:val="24"/>
          <w:szCs w:val="24"/>
        </w:rPr>
        <w:t>NewStart</w:t>
      </w:r>
      <w:proofErr w:type="spellEnd"/>
      <w:r w:rsidRPr="002A100A">
        <w:rPr>
          <w:color w:val="000000" w:themeColor="text1"/>
          <w:sz w:val="24"/>
          <w:szCs w:val="24"/>
        </w:rPr>
        <w:t xml:space="preserve"> Allowance and pushing them into part</w:t>
      </w:r>
      <w:r w:rsidR="00D85484">
        <w:rPr>
          <w:color w:val="000000" w:themeColor="text1"/>
          <w:sz w:val="24"/>
          <w:szCs w:val="24"/>
        </w:rPr>
        <w:t>-</w:t>
      </w:r>
      <w:r w:rsidRPr="002A100A">
        <w:rPr>
          <w:color w:val="000000" w:themeColor="text1"/>
          <w:sz w:val="24"/>
          <w:szCs w:val="24"/>
        </w:rPr>
        <w:t xml:space="preserve">time low level basic jobs, may contribute to the loss of their public housing </w:t>
      </w:r>
      <w:r w:rsidR="00D85484">
        <w:rPr>
          <w:color w:val="000000" w:themeColor="text1"/>
          <w:sz w:val="24"/>
          <w:szCs w:val="24"/>
        </w:rPr>
        <w:t>accommodation</w:t>
      </w:r>
      <w:r w:rsidRPr="002A100A">
        <w:rPr>
          <w:color w:val="000000" w:themeColor="text1"/>
          <w:sz w:val="24"/>
          <w:szCs w:val="24"/>
        </w:rPr>
        <w:t xml:space="preserve">, rent assistance, utility concessions an any other rebates. This will further </w:t>
      </w:r>
      <w:r w:rsidR="00F73BA9">
        <w:rPr>
          <w:color w:val="000000" w:themeColor="text1"/>
          <w:sz w:val="24"/>
          <w:szCs w:val="24"/>
        </w:rPr>
        <w:t xml:space="preserve">disadvantage </w:t>
      </w:r>
      <w:r w:rsidRPr="002A100A">
        <w:rPr>
          <w:color w:val="000000" w:themeColor="text1"/>
          <w:sz w:val="24"/>
          <w:szCs w:val="24"/>
        </w:rPr>
        <w:t xml:space="preserve">people with disability </w:t>
      </w:r>
      <w:r w:rsidR="00DC5A5D" w:rsidRPr="002A100A">
        <w:rPr>
          <w:color w:val="000000" w:themeColor="text1"/>
          <w:sz w:val="24"/>
          <w:szCs w:val="24"/>
        </w:rPr>
        <w:t>whose</w:t>
      </w:r>
      <w:r w:rsidRPr="002A100A">
        <w:rPr>
          <w:color w:val="000000" w:themeColor="text1"/>
          <w:sz w:val="24"/>
          <w:szCs w:val="24"/>
        </w:rPr>
        <w:t xml:space="preserve"> needs have been neglected for many years. </w:t>
      </w:r>
    </w:p>
    <w:p w:rsidR="00F73BA9" w:rsidRDefault="00F73BA9" w:rsidP="001A148F">
      <w:pPr>
        <w:spacing w:after="0" w:line="240" w:lineRule="auto"/>
        <w:jc w:val="both"/>
        <w:rPr>
          <w:color w:val="000000" w:themeColor="text1"/>
          <w:sz w:val="24"/>
          <w:szCs w:val="24"/>
        </w:rPr>
      </w:pPr>
    </w:p>
    <w:p w:rsidR="00F73BA9" w:rsidRPr="002A100A" w:rsidRDefault="00F73BA9" w:rsidP="00F73BA9">
      <w:pPr>
        <w:spacing w:after="0" w:line="240" w:lineRule="auto"/>
        <w:jc w:val="both"/>
        <w:rPr>
          <w:color w:val="000000" w:themeColor="text1"/>
          <w:sz w:val="24"/>
          <w:szCs w:val="24"/>
        </w:rPr>
      </w:pPr>
      <w:r w:rsidRPr="002A100A">
        <w:rPr>
          <w:color w:val="000000" w:themeColor="text1"/>
          <w:sz w:val="24"/>
          <w:szCs w:val="24"/>
        </w:rPr>
        <w:t xml:space="preserve">We believe people are better </w:t>
      </w:r>
      <w:r>
        <w:rPr>
          <w:color w:val="000000" w:themeColor="text1"/>
          <w:sz w:val="24"/>
          <w:szCs w:val="24"/>
        </w:rPr>
        <w:t>placed</w:t>
      </w:r>
      <w:r w:rsidRPr="002A100A">
        <w:rPr>
          <w:color w:val="000000" w:themeColor="text1"/>
          <w:sz w:val="24"/>
          <w:szCs w:val="24"/>
        </w:rPr>
        <w:t xml:space="preserve"> in paid work than on welfare; however those who are unable to maintain themselves financially, </w:t>
      </w:r>
      <w:r>
        <w:rPr>
          <w:color w:val="000000" w:themeColor="text1"/>
          <w:sz w:val="24"/>
          <w:szCs w:val="24"/>
        </w:rPr>
        <w:t xml:space="preserve">the </w:t>
      </w:r>
      <w:r w:rsidRPr="002A100A">
        <w:rPr>
          <w:color w:val="000000" w:themeColor="text1"/>
          <w:sz w:val="24"/>
          <w:szCs w:val="24"/>
        </w:rPr>
        <w:t xml:space="preserve">Australian </w:t>
      </w:r>
      <w:r>
        <w:rPr>
          <w:color w:val="000000" w:themeColor="text1"/>
          <w:sz w:val="24"/>
          <w:szCs w:val="24"/>
        </w:rPr>
        <w:t>G</w:t>
      </w:r>
      <w:r w:rsidRPr="002A100A">
        <w:rPr>
          <w:color w:val="000000" w:themeColor="text1"/>
          <w:sz w:val="24"/>
          <w:szCs w:val="24"/>
        </w:rPr>
        <w:t>overnment should have a social secur</w:t>
      </w:r>
      <w:r>
        <w:rPr>
          <w:color w:val="000000" w:themeColor="text1"/>
          <w:sz w:val="24"/>
          <w:szCs w:val="24"/>
        </w:rPr>
        <w:t>ity system based upon fairness and one that r</w:t>
      </w:r>
      <w:r w:rsidRPr="002A100A">
        <w:rPr>
          <w:color w:val="000000" w:themeColor="text1"/>
          <w:sz w:val="24"/>
          <w:szCs w:val="24"/>
        </w:rPr>
        <w:t>ecognises and accommodates diversity and facilitates economic and social contribution according to individual capacities.</w:t>
      </w:r>
    </w:p>
    <w:p w:rsidR="005104EE" w:rsidRPr="002A100A" w:rsidRDefault="005104EE" w:rsidP="001A148F">
      <w:pPr>
        <w:spacing w:after="0" w:line="240" w:lineRule="auto"/>
        <w:jc w:val="both"/>
        <w:rPr>
          <w:color w:val="000000" w:themeColor="text1"/>
          <w:sz w:val="24"/>
          <w:szCs w:val="24"/>
        </w:rPr>
      </w:pPr>
    </w:p>
    <w:p w:rsidR="00F776E8" w:rsidRDefault="00FB350F" w:rsidP="001A148F">
      <w:pPr>
        <w:spacing w:after="0" w:line="240" w:lineRule="auto"/>
        <w:jc w:val="both"/>
        <w:rPr>
          <w:color w:val="000000" w:themeColor="text1"/>
          <w:sz w:val="24"/>
          <w:szCs w:val="24"/>
        </w:rPr>
      </w:pPr>
      <w:r w:rsidRPr="002A100A">
        <w:rPr>
          <w:color w:val="000000" w:themeColor="text1"/>
          <w:sz w:val="24"/>
          <w:szCs w:val="24"/>
        </w:rPr>
        <w:t xml:space="preserve">In conclusion, the status of DSP recipients and proposed changes to the DSP need careful discussion with the sector, as well as individuals with disabilities, especially those from </w:t>
      </w:r>
      <w:proofErr w:type="spellStart"/>
      <w:r w:rsidRPr="002A100A">
        <w:rPr>
          <w:color w:val="000000" w:themeColor="text1"/>
          <w:sz w:val="24"/>
          <w:szCs w:val="24"/>
        </w:rPr>
        <w:t>CaLD</w:t>
      </w:r>
      <w:proofErr w:type="spellEnd"/>
      <w:r w:rsidRPr="002A100A">
        <w:rPr>
          <w:color w:val="000000" w:themeColor="text1"/>
          <w:sz w:val="24"/>
          <w:szCs w:val="24"/>
        </w:rPr>
        <w:t xml:space="preserve"> and Aboriginal </w:t>
      </w:r>
      <w:r w:rsidR="00167742" w:rsidRPr="002A100A">
        <w:rPr>
          <w:color w:val="000000" w:themeColor="text1"/>
          <w:sz w:val="24"/>
          <w:szCs w:val="24"/>
        </w:rPr>
        <w:t xml:space="preserve">backgrounds </w:t>
      </w:r>
      <w:r w:rsidRPr="002A100A">
        <w:rPr>
          <w:color w:val="000000" w:themeColor="text1"/>
          <w:sz w:val="24"/>
          <w:szCs w:val="24"/>
        </w:rPr>
        <w:t>with disability.</w:t>
      </w:r>
      <w:r w:rsidR="0089317E">
        <w:rPr>
          <w:color w:val="000000" w:themeColor="text1"/>
          <w:sz w:val="24"/>
          <w:szCs w:val="24"/>
        </w:rPr>
        <w:t xml:space="preserve"> </w:t>
      </w:r>
      <w:r w:rsidRPr="002A100A">
        <w:rPr>
          <w:color w:val="000000" w:themeColor="text1"/>
          <w:sz w:val="24"/>
          <w:szCs w:val="24"/>
        </w:rPr>
        <w:t>As such, EDAC, as a peak organisation advocating fo</w:t>
      </w:r>
      <w:r w:rsidR="007E53A3" w:rsidRPr="002A100A">
        <w:rPr>
          <w:color w:val="000000" w:themeColor="text1"/>
          <w:sz w:val="24"/>
          <w:szCs w:val="24"/>
        </w:rPr>
        <w:t xml:space="preserve">r </w:t>
      </w:r>
      <w:proofErr w:type="spellStart"/>
      <w:r w:rsidR="007E53A3" w:rsidRPr="002A100A">
        <w:rPr>
          <w:color w:val="000000" w:themeColor="text1"/>
          <w:sz w:val="24"/>
          <w:szCs w:val="24"/>
        </w:rPr>
        <w:t>CaLD</w:t>
      </w:r>
      <w:proofErr w:type="spellEnd"/>
      <w:r w:rsidR="007E53A3" w:rsidRPr="002A100A">
        <w:rPr>
          <w:color w:val="000000" w:themeColor="text1"/>
          <w:sz w:val="24"/>
          <w:szCs w:val="24"/>
        </w:rPr>
        <w:t xml:space="preserve"> people with disability in Western Australia,</w:t>
      </w:r>
      <w:r w:rsidRPr="002A100A">
        <w:rPr>
          <w:color w:val="000000" w:themeColor="text1"/>
          <w:sz w:val="24"/>
          <w:szCs w:val="24"/>
        </w:rPr>
        <w:t xml:space="preserve"> feel that six weeks to provide feedback to the interim report was insufficient. </w:t>
      </w:r>
    </w:p>
    <w:p w:rsidR="00601DC6" w:rsidRPr="002A100A" w:rsidRDefault="00601DC6" w:rsidP="001A148F">
      <w:pPr>
        <w:spacing w:after="0" w:line="240" w:lineRule="auto"/>
        <w:jc w:val="both"/>
        <w:rPr>
          <w:color w:val="000000" w:themeColor="text1"/>
          <w:sz w:val="24"/>
          <w:szCs w:val="24"/>
        </w:rPr>
      </w:pPr>
    </w:p>
    <w:sectPr w:rsidR="00601DC6" w:rsidRPr="002A100A" w:rsidSect="002013CE">
      <w:footerReference w:type="default" r:id="rId12"/>
      <w:pgSz w:w="11906" w:h="16838"/>
      <w:pgMar w:top="1440" w:right="1841" w:bottom="1440" w:left="156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144" w:rsidRDefault="00B96144" w:rsidP="009739FE">
      <w:pPr>
        <w:spacing w:after="0" w:line="240" w:lineRule="auto"/>
      </w:pPr>
      <w:r>
        <w:separator/>
      </w:r>
    </w:p>
  </w:endnote>
  <w:endnote w:type="continuationSeparator" w:id="0">
    <w:p w:rsidR="00B96144" w:rsidRDefault="00B96144" w:rsidP="00973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15C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112192"/>
      <w:docPartObj>
        <w:docPartGallery w:val="Page Numbers (Bottom of Page)"/>
        <w:docPartUnique/>
      </w:docPartObj>
    </w:sdtPr>
    <w:sdtEndPr>
      <w:rPr>
        <w:noProof/>
      </w:rPr>
    </w:sdtEndPr>
    <w:sdtContent>
      <w:p w:rsidR="00FA55FD" w:rsidRDefault="00FA55FD">
        <w:pPr>
          <w:pStyle w:val="Footer"/>
          <w:jc w:val="right"/>
        </w:pPr>
        <w:r>
          <w:fldChar w:fldCharType="begin"/>
        </w:r>
        <w:r>
          <w:instrText xml:space="preserve"> PAGE   \* MERGEFORMAT </w:instrText>
        </w:r>
        <w:r>
          <w:fldChar w:fldCharType="separate"/>
        </w:r>
        <w:r w:rsidR="00B33A0E">
          <w:rPr>
            <w:noProof/>
          </w:rPr>
          <w:t>1</w:t>
        </w:r>
        <w:r>
          <w:rPr>
            <w:noProof/>
          </w:rPr>
          <w:fldChar w:fldCharType="end"/>
        </w:r>
      </w:p>
    </w:sdtContent>
  </w:sdt>
  <w:p w:rsidR="009739FE" w:rsidRDefault="00973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144" w:rsidRDefault="00B96144" w:rsidP="009739FE">
      <w:pPr>
        <w:spacing w:after="0" w:line="240" w:lineRule="auto"/>
      </w:pPr>
      <w:r>
        <w:separator/>
      </w:r>
    </w:p>
  </w:footnote>
  <w:footnote w:type="continuationSeparator" w:id="0">
    <w:p w:rsidR="00B96144" w:rsidRDefault="00B96144" w:rsidP="00973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018CD"/>
    <w:multiLevelType w:val="hybridMultilevel"/>
    <w:tmpl w:val="7996F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006ADE"/>
    <w:multiLevelType w:val="hybridMultilevel"/>
    <w:tmpl w:val="040EE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753E14"/>
    <w:multiLevelType w:val="hybridMultilevel"/>
    <w:tmpl w:val="CE7280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2AC5732A"/>
    <w:multiLevelType w:val="hybridMultilevel"/>
    <w:tmpl w:val="D708ED52"/>
    <w:lvl w:ilvl="0" w:tplc="671E601E">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D524ED8"/>
    <w:multiLevelType w:val="hybridMultilevel"/>
    <w:tmpl w:val="FED02A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9C91DD9"/>
    <w:multiLevelType w:val="hybridMultilevel"/>
    <w:tmpl w:val="205CF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4E1211"/>
    <w:multiLevelType w:val="hybridMultilevel"/>
    <w:tmpl w:val="A71A0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3392B47"/>
    <w:multiLevelType w:val="hybridMultilevel"/>
    <w:tmpl w:val="E048E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4448E0"/>
    <w:multiLevelType w:val="hybridMultilevel"/>
    <w:tmpl w:val="701C73E2"/>
    <w:lvl w:ilvl="0" w:tplc="B914B3F0">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47653101"/>
    <w:multiLevelType w:val="hybridMultilevel"/>
    <w:tmpl w:val="59207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E5D10E5"/>
    <w:multiLevelType w:val="hybridMultilevel"/>
    <w:tmpl w:val="C6BA71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523E4A47"/>
    <w:multiLevelType w:val="hybridMultilevel"/>
    <w:tmpl w:val="76BA41AE"/>
    <w:lvl w:ilvl="0" w:tplc="F1165E7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66C3789"/>
    <w:multiLevelType w:val="hybridMultilevel"/>
    <w:tmpl w:val="7D280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E15190A"/>
    <w:multiLevelType w:val="hybridMultilevel"/>
    <w:tmpl w:val="E064FF9C"/>
    <w:lvl w:ilvl="0" w:tplc="671E601E">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64740349"/>
    <w:multiLevelType w:val="hybridMultilevel"/>
    <w:tmpl w:val="FCBC5CB8"/>
    <w:lvl w:ilvl="0" w:tplc="E6944A24">
      <w:start w:val="6"/>
      <w:numFmt w:val="bullet"/>
      <w:lvlText w:val="•"/>
      <w:lvlJc w:val="left"/>
      <w:pPr>
        <w:ind w:left="1069" w:hanging="360"/>
      </w:pPr>
      <w:rPr>
        <w:rFonts w:ascii="Calibri" w:eastAsiaTheme="minorHAnsi" w:hAnsi="Calibri" w:cstheme="minorBidi" w:hint="default"/>
      </w:rPr>
    </w:lvl>
    <w:lvl w:ilvl="1" w:tplc="0C090001">
      <w:start w:val="1"/>
      <w:numFmt w:val="bullet"/>
      <w:lvlText w:val=""/>
      <w:lvlJc w:val="left"/>
      <w:pPr>
        <w:ind w:left="1789" w:hanging="360"/>
      </w:pPr>
      <w:rPr>
        <w:rFonts w:ascii="Symbol" w:hAnsi="Symbol"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start w:val="1"/>
      <w:numFmt w:val="bullet"/>
      <w:lvlText w:val="o"/>
      <w:lvlJc w:val="left"/>
      <w:pPr>
        <w:ind w:left="6109" w:hanging="360"/>
      </w:pPr>
      <w:rPr>
        <w:rFonts w:ascii="Courier New" w:hAnsi="Courier New" w:cs="Courier New" w:hint="default"/>
      </w:rPr>
    </w:lvl>
    <w:lvl w:ilvl="8" w:tplc="0C090005">
      <w:start w:val="1"/>
      <w:numFmt w:val="bullet"/>
      <w:lvlText w:val=""/>
      <w:lvlJc w:val="left"/>
      <w:pPr>
        <w:ind w:left="6829" w:hanging="360"/>
      </w:pPr>
      <w:rPr>
        <w:rFonts w:ascii="Wingdings" w:hAnsi="Wingdings" w:hint="default"/>
      </w:rPr>
    </w:lvl>
  </w:abstractNum>
  <w:abstractNum w:abstractNumId="15">
    <w:nsid w:val="6C014144"/>
    <w:multiLevelType w:val="hybridMultilevel"/>
    <w:tmpl w:val="5C2C9208"/>
    <w:lvl w:ilvl="0" w:tplc="7C0E9A7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3497D94"/>
    <w:multiLevelType w:val="hybridMultilevel"/>
    <w:tmpl w:val="B3CAF3BA"/>
    <w:lvl w:ilvl="0" w:tplc="671E601E">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77F13C7B"/>
    <w:multiLevelType w:val="hybridMultilevel"/>
    <w:tmpl w:val="E64A4724"/>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13"/>
  </w:num>
  <w:num w:numId="6">
    <w:abstractNumId w:val="2"/>
  </w:num>
  <w:num w:numId="7">
    <w:abstractNumId w:val="15"/>
  </w:num>
  <w:num w:numId="8">
    <w:abstractNumId w:val="14"/>
  </w:num>
  <w:num w:numId="9">
    <w:abstractNumId w:val="6"/>
  </w:num>
  <w:num w:numId="10">
    <w:abstractNumId w:val="12"/>
  </w:num>
  <w:num w:numId="11">
    <w:abstractNumId w:val="9"/>
  </w:num>
  <w:num w:numId="12">
    <w:abstractNumId w:val="1"/>
  </w:num>
  <w:num w:numId="13">
    <w:abstractNumId w:val="0"/>
  </w:num>
  <w:num w:numId="14">
    <w:abstractNumId w:val="7"/>
  </w:num>
  <w:num w:numId="15">
    <w:abstractNumId w:val="3"/>
  </w:num>
  <w:num w:numId="16">
    <w:abstractNumId w:val="16"/>
  </w:num>
  <w:num w:numId="17">
    <w:abstractNumId w:val="4"/>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71"/>
    <w:rsid w:val="00015D0F"/>
    <w:rsid w:val="00020F0F"/>
    <w:rsid w:val="00034BE4"/>
    <w:rsid w:val="00047000"/>
    <w:rsid w:val="00060950"/>
    <w:rsid w:val="00076B76"/>
    <w:rsid w:val="00085A9B"/>
    <w:rsid w:val="00095DA2"/>
    <w:rsid w:val="00116DC7"/>
    <w:rsid w:val="00117EA6"/>
    <w:rsid w:val="00167742"/>
    <w:rsid w:val="00171571"/>
    <w:rsid w:val="00173012"/>
    <w:rsid w:val="001A148F"/>
    <w:rsid w:val="001E0EEF"/>
    <w:rsid w:val="001E25FE"/>
    <w:rsid w:val="001F4AD9"/>
    <w:rsid w:val="002013CE"/>
    <w:rsid w:val="002255D7"/>
    <w:rsid w:val="0024205C"/>
    <w:rsid w:val="00247DE2"/>
    <w:rsid w:val="002554DC"/>
    <w:rsid w:val="002A100A"/>
    <w:rsid w:val="002F148B"/>
    <w:rsid w:val="00334B31"/>
    <w:rsid w:val="00336B6F"/>
    <w:rsid w:val="00340F0B"/>
    <w:rsid w:val="003452D9"/>
    <w:rsid w:val="00352338"/>
    <w:rsid w:val="003821F3"/>
    <w:rsid w:val="003B1BF3"/>
    <w:rsid w:val="003B7BB6"/>
    <w:rsid w:val="003D3985"/>
    <w:rsid w:val="003D7AB7"/>
    <w:rsid w:val="003F63F4"/>
    <w:rsid w:val="00485F89"/>
    <w:rsid w:val="00491EC7"/>
    <w:rsid w:val="00493C2F"/>
    <w:rsid w:val="004C3988"/>
    <w:rsid w:val="004C4509"/>
    <w:rsid w:val="004E14DF"/>
    <w:rsid w:val="004E4BBE"/>
    <w:rsid w:val="005104EE"/>
    <w:rsid w:val="005326EA"/>
    <w:rsid w:val="00553AEA"/>
    <w:rsid w:val="005631E7"/>
    <w:rsid w:val="005A671A"/>
    <w:rsid w:val="005A68E4"/>
    <w:rsid w:val="005E5E3E"/>
    <w:rsid w:val="005F26F7"/>
    <w:rsid w:val="005F4A8A"/>
    <w:rsid w:val="00601DC6"/>
    <w:rsid w:val="00602F29"/>
    <w:rsid w:val="006044F4"/>
    <w:rsid w:val="006348D3"/>
    <w:rsid w:val="00643621"/>
    <w:rsid w:val="006536EC"/>
    <w:rsid w:val="006879BA"/>
    <w:rsid w:val="00695FCB"/>
    <w:rsid w:val="006C3C67"/>
    <w:rsid w:val="006D2A39"/>
    <w:rsid w:val="006E5CD2"/>
    <w:rsid w:val="00705A1F"/>
    <w:rsid w:val="00752504"/>
    <w:rsid w:val="007B226C"/>
    <w:rsid w:val="007B5989"/>
    <w:rsid w:val="007D168D"/>
    <w:rsid w:val="007E53A3"/>
    <w:rsid w:val="007F1218"/>
    <w:rsid w:val="00812B1E"/>
    <w:rsid w:val="0088301C"/>
    <w:rsid w:val="00885D72"/>
    <w:rsid w:val="0089317E"/>
    <w:rsid w:val="008B65AC"/>
    <w:rsid w:val="008C7FB7"/>
    <w:rsid w:val="008E42D7"/>
    <w:rsid w:val="00922AB4"/>
    <w:rsid w:val="00942856"/>
    <w:rsid w:val="009571B1"/>
    <w:rsid w:val="009739FE"/>
    <w:rsid w:val="00982860"/>
    <w:rsid w:val="009C4E49"/>
    <w:rsid w:val="009F34E5"/>
    <w:rsid w:val="00A51BE8"/>
    <w:rsid w:val="00AA58DF"/>
    <w:rsid w:val="00AD5377"/>
    <w:rsid w:val="00AF719D"/>
    <w:rsid w:val="00B03024"/>
    <w:rsid w:val="00B1448B"/>
    <w:rsid w:val="00B328DF"/>
    <w:rsid w:val="00B33A0E"/>
    <w:rsid w:val="00B4600F"/>
    <w:rsid w:val="00B74D5E"/>
    <w:rsid w:val="00B84852"/>
    <w:rsid w:val="00B96144"/>
    <w:rsid w:val="00BE5A3E"/>
    <w:rsid w:val="00BF1F33"/>
    <w:rsid w:val="00C25FB4"/>
    <w:rsid w:val="00C40F35"/>
    <w:rsid w:val="00C72DA4"/>
    <w:rsid w:val="00C77C76"/>
    <w:rsid w:val="00C84722"/>
    <w:rsid w:val="00C94E5F"/>
    <w:rsid w:val="00C95C3B"/>
    <w:rsid w:val="00CC714A"/>
    <w:rsid w:val="00CD40C1"/>
    <w:rsid w:val="00CE74F9"/>
    <w:rsid w:val="00D201EC"/>
    <w:rsid w:val="00D8417B"/>
    <w:rsid w:val="00D85484"/>
    <w:rsid w:val="00DC42EF"/>
    <w:rsid w:val="00DC5A5D"/>
    <w:rsid w:val="00DD1E20"/>
    <w:rsid w:val="00DD3EDF"/>
    <w:rsid w:val="00E01A79"/>
    <w:rsid w:val="00E17B76"/>
    <w:rsid w:val="00E57E92"/>
    <w:rsid w:val="00EB341C"/>
    <w:rsid w:val="00EC21A5"/>
    <w:rsid w:val="00F46085"/>
    <w:rsid w:val="00F57CAF"/>
    <w:rsid w:val="00F63544"/>
    <w:rsid w:val="00F73BA9"/>
    <w:rsid w:val="00F776E8"/>
    <w:rsid w:val="00FA55FD"/>
    <w:rsid w:val="00FB350F"/>
    <w:rsid w:val="00FB7093"/>
    <w:rsid w:val="00FC3727"/>
    <w:rsid w:val="00FD62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571"/>
    <w:pPr>
      <w:numPr>
        <w:numId w:val="1"/>
      </w:numPr>
      <w:ind w:left="426" w:hanging="426"/>
      <w:contextualSpacing/>
    </w:pPr>
  </w:style>
  <w:style w:type="character" w:styleId="Hyperlink">
    <w:name w:val="Hyperlink"/>
    <w:basedOn w:val="DefaultParagraphFont"/>
    <w:uiPriority w:val="99"/>
    <w:unhideWhenUsed/>
    <w:rsid w:val="00095DA2"/>
    <w:rPr>
      <w:color w:val="0000FF" w:themeColor="hyperlink"/>
      <w:u w:val="single"/>
    </w:rPr>
  </w:style>
  <w:style w:type="paragraph" w:styleId="BalloonText">
    <w:name w:val="Balloon Text"/>
    <w:basedOn w:val="Normal"/>
    <w:link w:val="BalloonTextChar"/>
    <w:uiPriority w:val="99"/>
    <w:semiHidden/>
    <w:unhideWhenUsed/>
    <w:rsid w:val="00493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C2F"/>
    <w:rPr>
      <w:rFonts w:ascii="Tahoma" w:hAnsi="Tahoma" w:cs="Tahoma"/>
      <w:sz w:val="16"/>
      <w:szCs w:val="16"/>
    </w:rPr>
  </w:style>
  <w:style w:type="paragraph" w:styleId="Header">
    <w:name w:val="header"/>
    <w:basedOn w:val="Normal"/>
    <w:link w:val="HeaderChar"/>
    <w:uiPriority w:val="99"/>
    <w:unhideWhenUsed/>
    <w:rsid w:val="00973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9FE"/>
  </w:style>
  <w:style w:type="paragraph" w:styleId="Footer">
    <w:name w:val="footer"/>
    <w:basedOn w:val="Normal"/>
    <w:link w:val="FooterChar"/>
    <w:uiPriority w:val="99"/>
    <w:unhideWhenUsed/>
    <w:rsid w:val="00973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9FE"/>
  </w:style>
  <w:style w:type="table" w:styleId="TableGrid">
    <w:name w:val="Table Grid"/>
    <w:basedOn w:val="TableNormal"/>
    <w:uiPriority w:val="59"/>
    <w:rsid w:val="00FA5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571"/>
    <w:pPr>
      <w:numPr>
        <w:numId w:val="1"/>
      </w:numPr>
      <w:ind w:left="426" w:hanging="426"/>
      <w:contextualSpacing/>
    </w:pPr>
  </w:style>
  <w:style w:type="character" w:styleId="Hyperlink">
    <w:name w:val="Hyperlink"/>
    <w:basedOn w:val="DefaultParagraphFont"/>
    <w:uiPriority w:val="99"/>
    <w:unhideWhenUsed/>
    <w:rsid w:val="00095DA2"/>
    <w:rPr>
      <w:color w:val="0000FF" w:themeColor="hyperlink"/>
      <w:u w:val="single"/>
    </w:rPr>
  </w:style>
  <w:style w:type="paragraph" w:styleId="BalloonText">
    <w:name w:val="Balloon Text"/>
    <w:basedOn w:val="Normal"/>
    <w:link w:val="BalloonTextChar"/>
    <w:uiPriority w:val="99"/>
    <w:semiHidden/>
    <w:unhideWhenUsed/>
    <w:rsid w:val="00493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C2F"/>
    <w:rPr>
      <w:rFonts w:ascii="Tahoma" w:hAnsi="Tahoma" w:cs="Tahoma"/>
      <w:sz w:val="16"/>
      <w:szCs w:val="16"/>
    </w:rPr>
  </w:style>
  <w:style w:type="paragraph" w:styleId="Header">
    <w:name w:val="header"/>
    <w:basedOn w:val="Normal"/>
    <w:link w:val="HeaderChar"/>
    <w:uiPriority w:val="99"/>
    <w:unhideWhenUsed/>
    <w:rsid w:val="00973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9FE"/>
  </w:style>
  <w:style w:type="paragraph" w:styleId="Footer">
    <w:name w:val="footer"/>
    <w:basedOn w:val="Normal"/>
    <w:link w:val="FooterChar"/>
    <w:uiPriority w:val="99"/>
    <w:unhideWhenUsed/>
    <w:rsid w:val="00973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9FE"/>
  </w:style>
  <w:style w:type="table" w:styleId="TableGrid">
    <w:name w:val="Table Grid"/>
    <w:basedOn w:val="TableNormal"/>
    <w:uiPriority w:val="59"/>
    <w:rsid w:val="00FA5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8660">
      <w:bodyDiv w:val="1"/>
      <w:marLeft w:val="0"/>
      <w:marRight w:val="0"/>
      <w:marTop w:val="0"/>
      <w:marBottom w:val="0"/>
      <w:divBdr>
        <w:top w:val="none" w:sz="0" w:space="0" w:color="auto"/>
        <w:left w:val="none" w:sz="0" w:space="0" w:color="auto"/>
        <w:bottom w:val="none" w:sz="0" w:space="0" w:color="auto"/>
        <w:right w:val="none" w:sz="0" w:space="0" w:color="auto"/>
      </w:divBdr>
    </w:div>
    <w:div w:id="331104772">
      <w:bodyDiv w:val="1"/>
      <w:marLeft w:val="0"/>
      <w:marRight w:val="0"/>
      <w:marTop w:val="0"/>
      <w:marBottom w:val="0"/>
      <w:divBdr>
        <w:top w:val="none" w:sz="0" w:space="0" w:color="auto"/>
        <w:left w:val="none" w:sz="0" w:space="0" w:color="auto"/>
        <w:bottom w:val="none" w:sz="0" w:space="0" w:color="auto"/>
        <w:right w:val="none" w:sz="0" w:space="0" w:color="auto"/>
      </w:divBdr>
    </w:div>
    <w:div w:id="534466363">
      <w:bodyDiv w:val="1"/>
      <w:marLeft w:val="0"/>
      <w:marRight w:val="0"/>
      <w:marTop w:val="0"/>
      <w:marBottom w:val="0"/>
      <w:divBdr>
        <w:top w:val="none" w:sz="0" w:space="0" w:color="auto"/>
        <w:left w:val="none" w:sz="0" w:space="0" w:color="auto"/>
        <w:bottom w:val="none" w:sz="0" w:space="0" w:color="auto"/>
        <w:right w:val="none" w:sz="0" w:space="0" w:color="auto"/>
      </w:divBdr>
    </w:div>
    <w:div w:id="535704243">
      <w:bodyDiv w:val="1"/>
      <w:marLeft w:val="0"/>
      <w:marRight w:val="0"/>
      <w:marTop w:val="0"/>
      <w:marBottom w:val="0"/>
      <w:divBdr>
        <w:top w:val="none" w:sz="0" w:space="0" w:color="auto"/>
        <w:left w:val="none" w:sz="0" w:space="0" w:color="auto"/>
        <w:bottom w:val="none" w:sz="0" w:space="0" w:color="auto"/>
        <w:right w:val="none" w:sz="0" w:space="0" w:color="auto"/>
      </w:divBdr>
    </w:div>
    <w:div w:id="632492192">
      <w:bodyDiv w:val="1"/>
      <w:marLeft w:val="0"/>
      <w:marRight w:val="0"/>
      <w:marTop w:val="0"/>
      <w:marBottom w:val="0"/>
      <w:divBdr>
        <w:top w:val="none" w:sz="0" w:space="0" w:color="auto"/>
        <w:left w:val="none" w:sz="0" w:space="0" w:color="auto"/>
        <w:bottom w:val="none" w:sz="0" w:space="0" w:color="auto"/>
        <w:right w:val="none" w:sz="0" w:space="0" w:color="auto"/>
      </w:divBdr>
    </w:div>
    <w:div w:id="724842522">
      <w:bodyDiv w:val="1"/>
      <w:marLeft w:val="0"/>
      <w:marRight w:val="0"/>
      <w:marTop w:val="0"/>
      <w:marBottom w:val="0"/>
      <w:divBdr>
        <w:top w:val="none" w:sz="0" w:space="0" w:color="auto"/>
        <w:left w:val="none" w:sz="0" w:space="0" w:color="auto"/>
        <w:bottom w:val="none" w:sz="0" w:space="0" w:color="auto"/>
        <w:right w:val="none" w:sz="0" w:space="0" w:color="auto"/>
      </w:divBdr>
    </w:div>
    <w:div w:id="813789260">
      <w:bodyDiv w:val="1"/>
      <w:marLeft w:val="0"/>
      <w:marRight w:val="0"/>
      <w:marTop w:val="0"/>
      <w:marBottom w:val="0"/>
      <w:divBdr>
        <w:top w:val="none" w:sz="0" w:space="0" w:color="auto"/>
        <w:left w:val="none" w:sz="0" w:space="0" w:color="auto"/>
        <w:bottom w:val="none" w:sz="0" w:space="0" w:color="auto"/>
        <w:right w:val="none" w:sz="0" w:space="0" w:color="auto"/>
      </w:divBdr>
    </w:div>
    <w:div w:id="813907190">
      <w:bodyDiv w:val="1"/>
      <w:marLeft w:val="0"/>
      <w:marRight w:val="0"/>
      <w:marTop w:val="0"/>
      <w:marBottom w:val="0"/>
      <w:divBdr>
        <w:top w:val="none" w:sz="0" w:space="0" w:color="auto"/>
        <w:left w:val="none" w:sz="0" w:space="0" w:color="auto"/>
        <w:bottom w:val="none" w:sz="0" w:space="0" w:color="auto"/>
        <w:right w:val="none" w:sz="0" w:space="0" w:color="auto"/>
      </w:divBdr>
    </w:div>
    <w:div w:id="817258816">
      <w:bodyDiv w:val="1"/>
      <w:marLeft w:val="0"/>
      <w:marRight w:val="0"/>
      <w:marTop w:val="0"/>
      <w:marBottom w:val="0"/>
      <w:divBdr>
        <w:top w:val="none" w:sz="0" w:space="0" w:color="auto"/>
        <w:left w:val="none" w:sz="0" w:space="0" w:color="auto"/>
        <w:bottom w:val="none" w:sz="0" w:space="0" w:color="auto"/>
        <w:right w:val="none" w:sz="0" w:space="0" w:color="auto"/>
      </w:divBdr>
    </w:div>
    <w:div w:id="868638196">
      <w:bodyDiv w:val="1"/>
      <w:marLeft w:val="0"/>
      <w:marRight w:val="0"/>
      <w:marTop w:val="0"/>
      <w:marBottom w:val="0"/>
      <w:divBdr>
        <w:top w:val="none" w:sz="0" w:space="0" w:color="auto"/>
        <w:left w:val="none" w:sz="0" w:space="0" w:color="auto"/>
        <w:bottom w:val="none" w:sz="0" w:space="0" w:color="auto"/>
        <w:right w:val="none" w:sz="0" w:space="0" w:color="auto"/>
      </w:divBdr>
    </w:div>
    <w:div w:id="883753097">
      <w:bodyDiv w:val="1"/>
      <w:marLeft w:val="0"/>
      <w:marRight w:val="0"/>
      <w:marTop w:val="0"/>
      <w:marBottom w:val="0"/>
      <w:divBdr>
        <w:top w:val="none" w:sz="0" w:space="0" w:color="auto"/>
        <w:left w:val="none" w:sz="0" w:space="0" w:color="auto"/>
        <w:bottom w:val="none" w:sz="0" w:space="0" w:color="auto"/>
        <w:right w:val="none" w:sz="0" w:space="0" w:color="auto"/>
      </w:divBdr>
    </w:div>
    <w:div w:id="918178625">
      <w:bodyDiv w:val="1"/>
      <w:marLeft w:val="0"/>
      <w:marRight w:val="0"/>
      <w:marTop w:val="0"/>
      <w:marBottom w:val="0"/>
      <w:divBdr>
        <w:top w:val="none" w:sz="0" w:space="0" w:color="auto"/>
        <w:left w:val="none" w:sz="0" w:space="0" w:color="auto"/>
        <w:bottom w:val="none" w:sz="0" w:space="0" w:color="auto"/>
        <w:right w:val="none" w:sz="0" w:space="0" w:color="auto"/>
      </w:divBdr>
    </w:div>
    <w:div w:id="920523745">
      <w:bodyDiv w:val="1"/>
      <w:marLeft w:val="0"/>
      <w:marRight w:val="0"/>
      <w:marTop w:val="0"/>
      <w:marBottom w:val="0"/>
      <w:divBdr>
        <w:top w:val="none" w:sz="0" w:space="0" w:color="auto"/>
        <w:left w:val="none" w:sz="0" w:space="0" w:color="auto"/>
        <w:bottom w:val="none" w:sz="0" w:space="0" w:color="auto"/>
        <w:right w:val="none" w:sz="0" w:space="0" w:color="auto"/>
      </w:divBdr>
    </w:div>
    <w:div w:id="961227824">
      <w:bodyDiv w:val="1"/>
      <w:marLeft w:val="0"/>
      <w:marRight w:val="0"/>
      <w:marTop w:val="0"/>
      <w:marBottom w:val="0"/>
      <w:divBdr>
        <w:top w:val="none" w:sz="0" w:space="0" w:color="auto"/>
        <w:left w:val="none" w:sz="0" w:space="0" w:color="auto"/>
        <w:bottom w:val="none" w:sz="0" w:space="0" w:color="auto"/>
        <w:right w:val="none" w:sz="0" w:space="0" w:color="auto"/>
      </w:divBdr>
    </w:div>
    <w:div w:id="998655847">
      <w:bodyDiv w:val="1"/>
      <w:marLeft w:val="0"/>
      <w:marRight w:val="0"/>
      <w:marTop w:val="0"/>
      <w:marBottom w:val="0"/>
      <w:divBdr>
        <w:top w:val="none" w:sz="0" w:space="0" w:color="auto"/>
        <w:left w:val="none" w:sz="0" w:space="0" w:color="auto"/>
        <w:bottom w:val="none" w:sz="0" w:space="0" w:color="auto"/>
        <w:right w:val="none" w:sz="0" w:space="0" w:color="auto"/>
      </w:divBdr>
    </w:div>
    <w:div w:id="1194424190">
      <w:bodyDiv w:val="1"/>
      <w:marLeft w:val="0"/>
      <w:marRight w:val="0"/>
      <w:marTop w:val="0"/>
      <w:marBottom w:val="0"/>
      <w:divBdr>
        <w:top w:val="none" w:sz="0" w:space="0" w:color="auto"/>
        <w:left w:val="none" w:sz="0" w:space="0" w:color="auto"/>
        <w:bottom w:val="none" w:sz="0" w:space="0" w:color="auto"/>
        <w:right w:val="none" w:sz="0" w:space="0" w:color="auto"/>
      </w:divBdr>
    </w:div>
    <w:div w:id="1219707878">
      <w:bodyDiv w:val="1"/>
      <w:marLeft w:val="0"/>
      <w:marRight w:val="0"/>
      <w:marTop w:val="0"/>
      <w:marBottom w:val="0"/>
      <w:divBdr>
        <w:top w:val="none" w:sz="0" w:space="0" w:color="auto"/>
        <w:left w:val="none" w:sz="0" w:space="0" w:color="auto"/>
        <w:bottom w:val="none" w:sz="0" w:space="0" w:color="auto"/>
        <w:right w:val="none" w:sz="0" w:space="0" w:color="auto"/>
      </w:divBdr>
    </w:div>
    <w:div w:id="1251934459">
      <w:bodyDiv w:val="1"/>
      <w:marLeft w:val="0"/>
      <w:marRight w:val="0"/>
      <w:marTop w:val="0"/>
      <w:marBottom w:val="0"/>
      <w:divBdr>
        <w:top w:val="none" w:sz="0" w:space="0" w:color="auto"/>
        <w:left w:val="none" w:sz="0" w:space="0" w:color="auto"/>
        <w:bottom w:val="none" w:sz="0" w:space="0" w:color="auto"/>
        <w:right w:val="none" w:sz="0" w:space="0" w:color="auto"/>
      </w:divBdr>
    </w:div>
    <w:div w:id="1390110089">
      <w:bodyDiv w:val="1"/>
      <w:marLeft w:val="0"/>
      <w:marRight w:val="0"/>
      <w:marTop w:val="0"/>
      <w:marBottom w:val="0"/>
      <w:divBdr>
        <w:top w:val="none" w:sz="0" w:space="0" w:color="auto"/>
        <w:left w:val="none" w:sz="0" w:space="0" w:color="auto"/>
        <w:bottom w:val="none" w:sz="0" w:space="0" w:color="auto"/>
        <w:right w:val="none" w:sz="0" w:space="0" w:color="auto"/>
      </w:divBdr>
    </w:div>
    <w:div w:id="1428622292">
      <w:bodyDiv w:val="1"/>
      <w:marLeft w:val="0"/>
      <w:marRight w:val="0"/>
      <w:marTop w:val="0"/>
      <w:marBottom w:val="0"/>
      <w:divBdr>
        <w:top w:val="none" w:sz="0" w:space="0" w:color="auto"/>
        <w:left w:val="none" w:sz="0" w:space="0" w:color="auto"/>
        <w:bottom w:val="none" w:sz="0" w:space="0" w:color="auto"/>
        <w:right w:val="none" w:sz="0" w:space="0" w:color="auto"/>
      </w:divBdr>
    </w:div>
    <w:div w:id="1433819021">
      <w:bodyDiv w:val="1"/>
      <w:marLeft w:val="0"/>
      <w:marRight w:val="0"/>
      <w:marTop w:val="0"/>
      <w:marBottom w:val="0"/>
      <w:divBdr>
        <w:top w:val="none" w:sz="0" w:space="0" w:color="auto"/>
        <w:left w:val="none" w:sz="0" w:space="0" w:color="auto"/>
        <w:bottom w:val="none" w:sz="0" w:space="0" w:color="auto"/>
        <w:right w:val="none" w:sz="0" w:space="0" w:color="auto"/>
      </w:divBdr>
    </w:div>
    <w:div w:id="1455631680">
      <w:bodyDiv w:val="1"/>
      <w:marLeft w:val="0"/>
      <w:marRight w:val="0"/>
      <w:marTop w:val="0"/>
      <w:marBottom w:val="0"/>
      <w:divBdr>
        <w:top w:val="none" w:sz="0" w:space="0" w:color="auto"/>
        <w:left w:val="none" w:sz="0" w:space="0" w:color="auto"/>
        <w:bottom w:val="none" w:sz="0" w:space="0" w:color="auto"/>
        <w:right w:val="none" w:sz="0" w:space="0" w:color="auto"/>
      </w:divBdr>
    </w:div>
    <w:div w:id="1514681566">
      <w:bodyDiv w:val="1"/>
      <w:marLeft w:val="0"/>
      <w:marRight w:val="0"/>
      <w:marTop w:val="0"/>
      <w:marBottom w:val="0"/>
      <w:divBdr>
        <w:top w:val="none" w:sz="0" w:space="0" w:color="auto"/>
        <w:left w:val="none" w:sz="0" w:space="0" w:color="auto"/>
        <w:bottom w:val="none" w:sz="0" w:space="0" w:color="auto"/>
        <w:right w:val="none" w:sz="0" w:space="0" w:color="auto"/>
      </w:divBdr>
    </w:div>
    <w:div w:id="1539782459">
      <w:bodyDiv w:val="1"/>
      <w:marLeft w:val="0"/>
      <w:marRight w:val="0"/>
      <w:marTop w:val="0"/>
      <w:marBottom w:val="0"/>
      <w:divBdr>
        <w:top w:val="none" w:sz="0" w:space="0" w:color="auto"/>
        <w:left w:val="none" w:sz="0" w:space="0" w:color="auto"/>
        <w:bottom w:val="none" w:sz="0" w:space="0" w:color="auto"/>
        <w:right w:val="none" w:sz="0" w:space="0" w:color="auto"/>
      </w:divBdr>
    </w:div>
    <w:div w:id="1550875029">
      <w:bodyDiv w:val="1"/>
      <w:marLeft w:val="0"/>
      <w:marRight w:val="0"/>
      <w:marTop w:val="0"/>
      <w:marBottom w:val="0"/>
      <w:divBdr>
        <w:top w:val="none" w:sz="0" w:space="0" w:color="auto"/>
        <w:left w:val="none" w:sz="0" w:space="0" w:color="auto"/>
        <w:bottom w:val="none" w:sz="0" w:space="0" w:color="auto"/>
        <w:right w:val="none" w:sz="0" w:space="0" w:color="auto"/>
      </w:divBdr>
    </w:div>
    <w:div w:id="1571691954">
      <w:bodyDiv w:val="1"/>
      <w:marLeft w:val="0"/>
      <w:marRight w:val="0"/>
      <w:marTop w:val="0"/>
      <w:marBottom w:val="0"/>
      <w:divBdr>
        <w:top w:val="none" w:sz="0" w:space="0" w:color="auto"/>
        <w:left w:val="none" w:sz="0" w:space="0" w:color="auto"/>
        <w:bottom w:val="none" w:sz="0" w:space="0" w:color="auto"/>
        <w:right w:val="none" w:sz="0" w:space="0" w:color="auto"/>
      </w:divBdr>
    </w:div>
    <w:div w:id="1611742612">
      <w:bodyDiv w:val="1"/>
      <w:marLeft w:val="0"/>
      <w:marRight w:val="0"/>
      <w:marTop w:val="0"/>
      <w:marBottom w:val="0"/>
      <w:divBdr>
        <w:top w:val="none" w:sz="0" w:space="0" w:color="auto"/>
        <w:left w:val="none" w:sz="0" w:space="0" w:color="auto"/>
        <w:bottom w:val="none" w:sz="0" w:space="0" w:color="auto"/>
        <w:right w:val="none" w:sz="0" w:space="0" w:color="auto"/>
      </w:divBdr>
    </w:div>
    <w:div w:id="1658920194">
      <w:bodyDiv w:val="1"/>
      <w:marLeft w:val="0"/>
      <w:marRight w:val="0"/>
      <w:marTop w:val="0"/>
      <w:marBottom w:val="0"/>
      <w:divBdr>
        <w:top w:val="none" w:sz="0" w:space="0" w:color="auto"/>
        <w:left w:val="none" w:sz="0" w:space="0" w:color="auto"/>
        <w:bottom w:val="none" w:sz="0" w:space="0" w:color="auto"/>
        <w:right w:val="none" w:sz="0" w:space="0" w:color="auto"/>
      </w:divBdr>
    </w:div>
    <w:div w:id="1714308740">
      <w:bodyDiv w:val="1"/>
      <w:marLeft w:val="0"/>
      <w:marRight w:val="0"/>
      <w:marTop w:val="0"/>
      <w:marBottom w:val="0"/>
      <w:divBdr>
        <w:top w:val="none" w:sz="0" w:space="0" w:color="auto"/>
        <w:left w:val="none" w:sz="0" w:space="0" w:color="auto"/>
        <w:bottom w:val="none" w:sz="0" w:space="0" w:color="auto"/>
        <w:right w:val="none" w:sz="0" w:space="0" w:color="auto"/>
      </w:divBdr>
    </w:div>
    <w:div w:id="1780056054">
      <w:bodyDiv w:val="1"/>
      <w:marLeft w:val="0"/>
      <w:marRight w:val="0"/>
      <w:marTop w:val="0"/>
      <w:marBottom w:val="0"/>
      <w:divBdr>
        <w:top w:val="none" w:sz="0" w:space="0" w:color="auto"/>
        <w:left w:val="none" w:sz="0" w:space="0" w:color="auto"/>
        <w:bottom w:val="none" w:sz="0" w:space="0" w:color="auto"/>
        <w:right w:val="none" w:sz="0" w:space="0" w:color="auto"/>
      </w:divBdr>
    </w:div>
    <w:div w:id="1829440798">
      <w:bodyDiv w:val="1"/>
      <w:marLeft w:val="0"/>
      <w:marRight w:val="0"/>
      <w:marTop w:val="0"/>
      <w:marBottom w:val="0"/>
      <w:divBdr>
        <w:top w:val="none" w:sz="0" w:space="0" w:color="auto"/>
        <w:left w:val="none" w:sz="0" w:space="0" w:color="auto"/>
        <w:bottom w:val="none" w:sz="0" w:space="0" w:color="auto"/>
        <w:right w:val="none" w:sz="0" w:space="0" w:color="auto"/>
      </w:divBdr>
    </w:div>
    <w:div w:id="1900481840">
      <w:bodyDiv w:val="1"/>
      <w:marLeft w:val="0"/>
      <w:marRight w:val="0"/>
      <w:marTop w:val="0"/>
      <w:marBottom w:val="0"/>
      <w:divBdr>
        <w:top w:val="none" w:sz="0" w:space="0" w:color="auto"/>
        <w:left w:val="none" w:sz="0" w:space="0" w:color="auto"/>
        <w:bottom w:val="none" w:sz="0" w:space="0" w:color="auto"/>
        <w:right w:val="none" w:sz="0" w:space="0" w:color="auto"/>
      </w:divBdr>
    </w:div>
    <w:div w:id="1933783324">
      <w:bodyDiv w:val="1"/>
      <w:marLeft w:val="0"/>
      <w:marRight w:val="0"/>
      <w:marTop w:val="0"/>
      <w:marBottom w:val="0"/>
      <w:divBdr>
        <w:top w:val="none" w:sz="0" w:space="0" w:color="auto"/>
        <w:left w:val="none" w:sz="0" w:space="0" w:color="auto"/>
        <w:bottom w:val="none" w:sz="0" w:space="0" w:color="auto"/>
        <w:right w:val="none" w:sz="0" w:space="0" w:color="auto"/>
      </w:divBdr>
    </w:div>
    <w:div w:id="1977180411">
      <w:bodyDiv w:val="1"/>
      <w:marLeft w:val="0"/>
      <w:marRight w:val="0"/>
      <w:marTop w:val="0"/>
      <w:marBottom w:val="0"/>
      <w:divBdr>
        <w:top w:val="none" w:sz="0" w:space="0" w:color="auto"/>
        <w:left w:val="none" w:sz="0" w:space="0" w:color="auto"/>
        <w:bottom w:val="none" w:sz="0" w:space="0" w:color="auto"/>
        <w:right w:val="none" w:sz="0" w:space="0" w:color="auto"/>
      </w:divBdr>
    </w:div>
    <w:div w:id="2031950028">
      <w:bodyDiv w:val="1"/>
      <w:marLeft w:val="0"/>
      <w:marRight w:val="0"/>
      <w:marTop w:val="0"/>
      <w:marBottom w:val="0"/>
      <w:divBdr>
        <w:top w:val="none" w:sz="0" w:space="0" w:color="auto"/>
        <w:left w:val="none" w:sz="0" w:space="0" w:color="auto"/>
        <w:bottom w:val="none" w:sz="0" w:space="0" w:color="auto"/>
        <w:right w:val="none" w:sz="0" w:space="0" w:color="auto"/>
      </w:divBdr>
    </w:div>
    <w:div w:id="2049840300">
      <w:bodyDiv w:val="1"/>
      <w:marLeft w:val="0"/>
      <w:marRight w:val="0"/>
      <w:marTop w:val="0"/>
      <w:marBottom w:val="0"/>
      <w:divBdr>
        <w:top w:val="none" w:sz="0" w:space="0" w:color="auto"/>
        <w:left w:val="none" w:sz="0" w:space="0" w:color="auto"/>
        <w:bottom w:val="none" w:sz="0" w:space="0" w:color="auto"/>
        <w:right w:val="none" w:sz="0" w:space="0" w:color="auto"/>
      </w:divBdr>
    </w:div>
    <w:div w:id="2075346976">
      <w:bodyDiv w:val="1"/>
      <w:marLeft w:val="0"/>
      <w:marRight w:val="0"/>
      <w:marTop w:val="0"/>
      <w:marBottom w:val="0"/>
      <w:divBdr>
        <w:top w:val="none" w:sz="0" w:space="0" w:color="auto"/>
        <w:left w:val="none" w:sz="0" w:space="0" w:color="auto"/>
        <w:bottom w:val="none" w:sz="0" w:space="0" w:color="auto"/>
        <w:right w:val="none" w:sz="0" w:space="0" w:color="auto"/>
      </w:divBdr>
    </w:div>
    <w:div w:id="2103722004">
      <w:bodyDiv w:val="1"/>
      <w:marLeft w:val="0"/>
      <w:marRight w:val="0"/>
      <w:marTop w:val="0"/>
      <w:marBottom w:val="0"/>
      <w:divBdr>
        <w:top w:val="none" w:sz="0" w:space="0" w:color="auto"/>
        <w:left w:val="none" w:sz="0" w:space="0" w:color="auto"/>
        <w:bottom w:val="none" w:sz="0" w:space="0" w:color="auto"/>
        <w:right w:val="none" w:sz="0" w:space="0" w:color="auto"/>
      </w:divBdr>
    </w:div>
    <w:div w:id="2135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bs.gov.au" TargetMode="External"/><Relationship Id="rId5" Type="http://schemas.openxmlformats.org/officeDocument/2006/relationships/webSettings" Target="webSettings.xml"/><Relationship Id="rId10" Type="http://schemas.openxmlformats.org/officeDocument/2006/relationships/hyperlink" Target="http://www.neda.org.au" TargetMode="External"/><Relationship Id="rId4" Type="http://schemas.openxmlformats.org/officeDocument/2006/relationships/settings" Target="settings.xml"/><Relationship Id="rId9" Type="http://schemas.openxmlformats.org/officeDocument/2006/relationships/hyperlink" Target="http://www.edac.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3985</Words>
  <Characters>22720</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Wajma Padshah</dc:creator>
  <cp:lastModifiedBy>JOYCE, Peta</cp:lastModifiedBy>
  <cp:revision>2</cp:revision>
  <cp:lastPrinted>2014-08-08T06:50:00Z</cp:lastPrinted>
  <dcterms:created xsi:type="dcterms:W3CDTF">2014-08-22T01:05:00Z</dcterms:created>
  <dcterms:modified xsi:type="dcterms:W3CDTF">2014-08-22T01:05:00Z</dcterms:modified>
</cp:coreProperties>
</file>