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Description w:val="Simpler architecture"/>
      </w:tblPr>
      <w:tblGrid>
        <w:gridCol w:w="10065"/>
      </w:tblGrid>
      <w:tr w:rsidR="001C2BE7" w:rsidTr="008C5A75">
        <w:trPr>
          <w:tblHeader/>
        </w:trPr>
        <w:tc>
          <w:tcPr>
            <w:tcW w:w="10065" w:type="dxa"/>
          </w:tcPr>
          <w:p w:rsidR="001C2BE7" w:rsidRDefault="004A2F89" w:rsidP="001C2BE7">
            <w:pPr>
              <w:spacing w:after="840"/>
              <w:rPr>
                <w:rFonts w:ascii="Arial" w:hAnsi="Arial" w:cs="Arial"/>
                <w:iCs/>
                <w:sz w:val="20"/>
                <w:szCs w:val="20"/>
              </w:rPr>
            </w:pPr>
            <w:r w:rsidRPr="004A2F89">
              <w:rPr>
                <w:rFonts w:ascii="Arial" w:hAnsi="Arial" w:cs="Arial"/>
                <w:iCs/>
                <w:sz w:val="20"/>
                <w:szCs w:val="20"/>
              </w:rPr>
              <w:t>The a</w:t>
            </w:r>
            <w:r>
              <w:rPr>
                <w:rFonts w:ascii="Arial" w:hAnsi="Arial" w:cs="Arial"/>
                <w:iCs/>
                <w:sz w:val="20"/>
                <w:szCs w:val="20"/>
              </w:rPr>
              <w:t>uthor refers to the recommendations of the attached report which are repeated below</w:t>
            </w:r>
          </w:p>
          <w:p w:rsidR="004A2F89" w:rsidRDefault="004A2F89" w:rsidP="004A2F89">
            <w:pPr>
              <w:pStyle w:val="ListParagraph"/>
              <w:numPr>
                <w:ilvl w:val="0"/>
                <w:numId w:val="29"/>
              </w:numPr>
              <w:rPr>
                <w:rFonts w:asciiTheme="minorBidi" w:hAnsiTheme="minorBidi"/>
                <w:bCs/>
                <w:sz w:val="24"/>
                <w:szCs w:val="24"/>
              </w:rPr>
            </w:pPr>
            <w:r>
              <w:rPr>
                <w:rFonts w:asciiTheme="minorBidi" w:hAnsiTheme="minorBidi"/>
                <w:bCs/>
                <w:sz w:val="24"/>
                <w:szCs w:val="24"/>
              </w:rPr>
              <w:t>A substantive integration of income support payment arrangements for people of working age moving towards the long term goal of aligning payments for beneficiaries on pensions and allowances assessed on the basis of need into a single unified payment system;</w:t>
            </w:r>
          </w:p>
          <w:p w:rsidR="004A2F89" w:rsidRDefault="004A2F89" w:rsidP="004A2F89">
            <w:pPr>
              <w:pStyle w:val="ListParagraph"/>
              <w:numPr>
                <w:ilvl w:val="0"/>
                <w:numId w:val="29"/>
              </w:numPr>
              <w:rPr>
                <w:rFonts w:asciiTheme="minorBidi" w:hAnsiTheme="minorBidi"/>
                <w:bCs/>
                <w:sz w:val="24"/>
                <w:szCs w:val="24"/>
              </w:rPr>
            </w:pPr>
            <w:r>
              <w:rPr>
                <w:rFonts w:asciiTheme="minorBidi" w:hAnsiTheme="minorBidi"/>
                <w:bCs/>
                <w:sz w:val="24"/>
                <w:szCs w:val="24"/>
              </w:rPr>
              <w:t>Provision of a participation payment supplement for persons with disability and a partial work capacity that ensures that their income support is retained at current DSP payment levels if they are moved onto a new participation benefit or into a tiered structure of income support;</w:t>
            </w:r>
          </w:p>
          <w:p w:rsidR="004A2F89" w:rsidRDefault="004A2F89" w:rsidP="004A2F89">
            <w:pPr>
              <w:pStyle w:val="ListParagraph"/>
              <w:numPr>
                <w:ilvl w:val="0"/>
                <w:numId w:val="29"/>
              </w:numPr>
              <w:rPr>
                <w:rFonts w:asciiTheme="minorBidi" w:hAnsiTheme="minorBidi"/>
                <w:bCs/>
                <w:sz w:val="24"/>
                <w:szCs w:val="24"/>
              </w:rPr>
            </w:pPr>
            <w:r>
              <w:rPr>
                <w:rFonts w:asciiTheme="minorBidi" w:hAnsiTheme="minorBidi"/>
                <w:bCs/>
                <w:sz w:val="24"/>
                <w:szCs w:val="24"/>
              </w:rPr>
              <w:t>Maintaining a 15 hour per week benchmark, rather than and 8 hour per week, benchmark as the basis of continued eligibility for DSP;</w:t>
            </w:r>
          </w:p>
          <w:p w:rsidR="004A2F89" w:rsidRDefault="004A2F89" w:rsidP="004A2F89">
            <w:pPr>
              <w:pStyle w:val="ListParagraph"/>
              <w:numPr>
                <w:ilvl w:val="0"/>
                <w:numId w:val="29"/>
              </w:numPr>
              <w:rPr>
                <w:rFonts w:asciiTheme="minorBidi" w:hAnsiTheme="minorBidi"/>
                <w:bCs/>
                <w:sz w:val="24"/>
                <w:szCs w:val="24"/>
              </w:rPr>
            </w:pPr>
            <w:r>
              <w:rPr>
                <w:rFonts w:asciiTheme="minorBidi" w:hAnsiTheme="minorBidi"/>
                <w:bCs/>
                <w:sz w:val="24"/>
                <w:szCs w:val="24"/>
              </w:rPr>
              <w:t>Sustained and increased funding for the DES program in real terms and support for funding of innovative early intervention programs on a pilot funding basis;</w:t>
            </w:r>
          </w:p>
          <w:p w:rsidR="004A2F89" w:rsidRDefault="004A2F89" w:rsidP="004A2F89">
            <w:pPr>
              <w:pStyle w:val="ListParagraph"/>
              <w:numPr>
                <w:ilvl w:val="0"/>
                <w:numId w:val="29"/>
              </w:numPr>
              <w:rPr>
                <w:rFonts w:asciiTheme="minorBidi" w:hAnsiTheme="minorBidi"/>
                <w:sz w:val="24"/>
                <w:szCs w:val="24"/>
              </w:rPr>
            </w:pPr>
            <w:r>
              <w:rPr>
                <w:rFonts w:asciiTheme="minorBidi" w:hAnsiTheme="minorBidi"/>
                <w:bCs/>
                <w:sz w:val="24"/>
                <w:szCs w:val="24"/>
              </w:rPr>
              <w:t>Alignment of income banking arrangements for people with disability with persons in receipt of the Aged Pension;</w:t>
            </w:r>
          </w:p>
          <w:p w:rsidR="004A2F89" w:rsidRDefault="004A2F89" w:rsidP="004A2F89">
            <w:pPr>
              <w:pStyle w:val="ListParagraph"/>
              <w:numPr>
                <w:ilvl w:val="0"/>
                <w:numId w:val="29"/>
              </w:numPr>
              <w:rPr>
                <w:rFonts w:asciiTheme="minorBidi" w:hAnsiTheme="minorBidi"/>
                <w:sz w:val="24"/>
                <w:szCs w:val="24"/>
              </w:rPr>
            </w:pPr>
            <w:r>
              <w:rPr>
                <w:rFonts w:asciiTheme="minorBidi" w:hAnsiTheme="minorBidi"/>
                <w:bCs/>
                <w:sz w:val="24"/>
                <w:szCs w:val="24"/>
              </w:rPr>
              <w:t>Adoption of a compassionate and non-draconian compliance framework for persons with disability and a partial work capacity currently on DSP who may be moved onto a new participation benefit or tiered structured payment regime.</w:t>
            </w:r>
          </w:p>
          <w:p w:rsidR="004A2F89" w:rsidRPr="004A2F89" w:rsidRDefault="004A2F89" w:rsidP="001C2BE7">
            <w:pPr>
              <w:spacing w:after="840"/>
              <w:rPr>
                <w:rFonts w:ascii="Arial" w:hAnsi="Arial" w:cs="Arial"/>
                <w:iCs/>
                <w:sz w:val="20"/>
                <w:szCs w:val="20"/>
              </w:rPr>
            </w:pPr>
          </w:p>
        </w:tc>
      </w:tr>
    </w:tbl>
    <w:p w:rsidR="008C5A75" w:rsidRPr="008C5A75" w:rsidRDefault="008C5A75" w:rsidP="008C5A75"/>
    <w:p w:rsidR="001C2BE7" w:rsidRDefault="001C2BE7" w:rsidP="008C5A75">
      <w:pPr>
        <w:pStyle w:val="Heading3"/>
        <w:rPr>
          <w:iCs/>
          <w:smallCaps/>
        </w:rPr>
      </w:pPr>
      <w:r w:rsidRPr="002C1795">
        <w:t>Fair rate structure</w:t>
      </w:r>
    </w:p>
    <w:p w:rsidR="001C2BE7" w:rsidRDefault="001C2BE7" w:rsidP="001C2BE7">
      <w:pPr>
        <w:rPr>
          <w:i/>
          <w:iCs/>
          <w:smallCaps/>
        </w:rPr>
      </w:pPr>
      <w:r w:rsidRPr="008C5A75">
        <w:rPr>
          <w:b/>
        </w:rPr>
        <w:lastRenderedPageBreak/>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Description w:val="Fair rate structure"/>
      </w:tblPr>
      <w:tblGrid>
        <w:gridCol w:w="10065"/>
      </w:tblGrid>
      <w:tr w:rsidR="001C2BE7" w:rsidTr="008C5A75">
        <w:trPr>
          <w:tblHeader/>
        </w:trPr>
        <w:tc>
          <w:tcPr>
            <w:tcW w:w="10065" w:type="dxa"/>
          </w:tcPr>
          <w:p w:rsidR="001C2BE7" w:rsidRDefault="004A2F89" w:rsidP="001C2BE7">
            <w:pPr>
              <w:spacing w:after="840"/>
              <w:rPr>
                <w:i/>
                <w:iCs/>
                <w:smallCaps/>
              </w:rPr>
            </w:pPr>
            <w:r>
              <w:rPr>
                <w:i/>
                <w:iCs/>
                <w:smallCaps/>
              </w:rPr>
              <w:t>As Above</w:t>
            </w:r>
          </w:p>
        </w:tc>
      </w:tr>
    </w:tbl>
    <w:p w:rsidR="008C5A75" w:rsidRPr="008C5A75" w:rsidRDefault="008C5A75" w:rsidP="008C5A75"/>
    <w:p w:rsidR="001C2BE7" w:rsidRDefault="001C2BE7" w:rsidP="008C5A75">
      <w:pPr>
        <w:pStyle w:val="Heading3"/>
        <w:rPr>
          <w:iCs/>
          <w:smallCaps/>
        </w:rPr>
      </w:pPr>
      <w:r w:rsidRPr="007120A4">
        <w:t xml:space="preserve">Common approach to </w:t>
      </w:r>
      <w:r w:rsidR="00A17AFA">
        <w:t>adjusting payments</w:t>
      </w:r>
    </w:p>
    <w:p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rsidR="001C2BE7" w:rsidRPr="00352EFF" w:rsidRDefault="001C2BE7" w:rsidP="001C2BE7">
      <w:pPr>
        <w:pStyle w:val="ListParagraph"/>
        <w:rPr>
          <w:i/>
          <w:iCs/>
          <w:smallCaps/>
        </w:rPr>
      </w:pPr>
      <w:r w:rsidRPr="00352EFF">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Description w:val="Common approach to adjusting payments"/>
      </w:tblPr>
      <w:tblGrid>
        <w:gridCol w:w="10065"/>
      </w:tblGrid>
      <w:tr w:rsidR="001C2BE7" w:rsidTr="008C5A75">
        <w:trPr>
          <w:tblHeader/>
        </w:trPr>
        <w:tc>
          <w:tcPr>
            <w:tcW w:w="10065" w:type="dxa"/>
          </w:tcPr>
          <w:p w:rsidR="001C2BE7" w:rsidRDefault="004A2F89" w:rsidP="001C2BE7">
            <w:pPr>
              <w:spacing w:after="840"/>
              <w:rPr>
                <w:i/>
                <w:iCs/>
                <w:smallCaps/>
              </w:rPr>
            </w:pPr>
            <w:r>
              <w:rPr>
                <w:i/>
                <w:iCs/>
                <w:smallCaps/>
              </w:rPr>
              <w:t>As Above</w:t>
            </w:r>
          </w:p>
        </w:tc>
      </w:tr>
    </w:tbl>
    <w:p w:rsidR="008C5A75" w:rsidRPr="008C5A75" w:rsidRDefault="008C5A75" w:rsidP="008C5A75"/>
    <w:p w:rsidR="001C2BE7" w:rsidRDefault="001C2BE7" w:rsidP="008C5A75">
      <w:pPr>
        <w:pStyle w:val="Heading3"/>
        <w:rPr>
          <w:iCs/>
          <w:smallCaps/>
        </w:rPr>
      </w:pPr>
      <w:r w:rsidRPr="00352EFF">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Description w:val="Support for families with children and young people"/>
      </w:tblPr>
      <w:tblGrid>
        <w:gridCol w:w="10065"/>
      </w:tblGrid>
      <w:tr w:rsidR="001C2BE7" w:rsidTr="008C5A75">
        <w:trPr>
          <w:tblHeader/>
        </w:trPr>
        <w:tc>
          <w:tcPr>
            <w:tcW w:w="10065" w:type="dxa"/>
          </w:tcPr>
          <w:p w:rsidR="001C2BE7" w:rsidRDefault="004A2F89" w:rsidP="001C2BE7">
            <w:pPr>
              <w:spacing w:after="840"/>
              <w:rPr>
                <w:i/>
                <w:iCs/>
                <w:smallCaps/>
              </w:rPr>
            </w:pPr>
            <w:r>
              <w:rPr>
                <w:i/>
                <w:iCs/>
                <w:smallCaps/>
              </w:rPr>
              <w:t>As above</w:t>
            </w:r>
          </w:p>
        </w:tc>
      </w:tr>
    </w:tbl>
    <w:p w:rsidR="008C5A75" w:rsidRPr="008C5A75" w:rsidRDefault="008C5A75" w:rsidP="008C5A75"/>
    <w:p w:rsidR="001C2BE7" w:rsidRPr="00D97B57" w:rsidRDefault="001C2BE7" w:rsidP="008C5A75">
      <w:pPr>
        <w:pStyle w:val="Heading3"/>
        <w:rPr>
          <w:iCs/>
          <w:smallCaps/>
        </w:rPr>
      </w:pPr>
      <w:r w:rsidRPr="00D97B57">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Description w:val="Effective rent assistance"/>
      </w:tblPr>
      <w:tblGrid>
        <w:gridCol w:w="10065"/>
      </w:tblGrid>
      <w:tr w:rsidR="001C2BE7" w:rsidTr="008C5A75">
        <w:trPr>
          <w:tblHeader/>
        </w:trPr>
        <w:tc>
          <w:tcPr>
            <w:tcW w:w="10065" w:type="dxa"/>
          </w:tcPr>
          <w:p w:rsidR="001C2BE7" w:rsidRDefault="004A2F89" w:rsidP="001C2BE7">
            <w:pPr>
              <w:spacing w:after="840"/>
              <w:rPr>
                <w:i/>
                <w:iCs/>
                <w:smallCaps/>
              </w:rPr>
            </w:pPr>
            <w:r>
              <w:rPr>
                <w:i/>
                <w:iCs/>
                <w:smallCaps/>
              </w:rPr>
              <w:t>As Above</w:t>
            </w:r>
          </w:p>
        </w:tc>
      </w:tr>
    </w:tbl>
    <w:p w:rsidR="008C5A75" w:rsidRPr="008C5A75" w:rsidRDefault="008C5A75" w:rsidP="008C5A75"/>
    <w:p w:rsidR="001C2BE7" w:rsidRDefault="001C2BE7" w:rsidP="008C5A75">
      <w:pPr>
        <w:pStyle w:val="Heading3"/>
        <w:rPr>
          <w:iCs/>
          <w:smallCaps/>
        </w:rPr>
      </w:pPr>
      <w:r w:rsidRPr="0070679F">
        <w:t>Rewards for work and targeting assistance to need</w:t>
      </w:r>
    </w:p>
    <w:p w:rsidR="001C2BE7" w:rsidRDefault="00085D36" w:rsidP="001C2BE7">
      <w:pPr>
        <w:rPr>
          <w:i/>
          <w:iCs/>
          <w:smallCaps/>
        </w:rPr>
      </w:pPr>
      <w:r w:rsidRPr="008C5A75">
        <w:rPr>
          <w:b/>
        </w:rPr>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rsidR="001C2BE7" w:rsidRPr="001C2BE7" w:rsidRDefault="001C2BE7" w:rsidP="001C2BE7">
      <w:pPr>
        <w:pStyle w:val="ListParagraph"/>
      </w:pPr>
      <w:r w:rsidRPr="001C2BE7">
        <w:t xml:space="preserve">How should means testing be designed to allow an appropriate reward for work? </w:t>
      </w:r>
    </w:p>
    <w:p w:rsidR="001C2BE7" w:rsidRPr="001C2BE7" w:rsidRDefault="001C2BE7" w:rsidP="001C2BE7">
      <w:pPr>
        <w:pStyle w:val="ListParagraph"/>
      </w:pPr>
      <w:r w:rsidRPr="001C2BE7">
        <w:t>At what income should income support cease?</w:t>
      </w:r>
    </w:p>
    <w:p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Description w:val="Rewards for work and targeting assistance to need"/>
      </w:tblPr>
      <w:tblGrid>
        <w:gridCol w:w="10065"/>
      </w:tblGrid>
      <w:tr w:rsidR="001C2BE7" w:rsidTr="008C5A75">
        <w:trPr>
          <w:tblHeader/>
        </w:trPr>
        <w:tc>
          <w:tcPr>
            <w:tcW w:w="10065" w:type="dxa"/>
          </w:tcPr>
          <w:p w:rsidR="001C2BE7" w:rsidRDefault="004A2F89" w:rsidP="001C2BE7">
            <w:pPr>
              <w:spacing w:after="840"/>
              <w:rPr>
                <w:i/>
                <w:iCs/>
                <w:smallCaps/>
              </w:rPr>
            </w:pPr>
            <w:r>
              <w:rPr>
                <w:i/>
                <w:iCs/>
                <w:smallCaps/>
              </w:rPr>
              <w:t>As Above</w:t>
            </w:r>
          </w:p>
        </w:tc>
      </w:tr>
    </w:tbl>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Description w:val="Mutual obligation"/>
      </w:tblPr>
      <w:tblGrid>
        <w:gridCol w:w="10206"/>
      </w:tblGrid>
      <w:tr w:rsidR="001C2BE7" w:rsidTr="008C5A75">
        <w:trPr>
          <w:tblHeader/>
        </w:trPr>
        <w:tc>
          <w:tcPr>
            <w:tcW w:w="10206" w:type="dxa"/>
          </w:tcPr>
          <w:p w:rsidR="001C2BE7" w:rsidRDefault="004A2F89" w:rsidP="006B61A4">
            <w:pPr>
              <w:spacing w:after="840"/>
              <w:rPr>
                <w:i/>
                <w:iCs/>
                <w:smallCaps/>
              </w:rPr>
            </w:pPr>
            <w:r>
              <w:rPr>
                <w:i/>
                <w:iCs/>
                <w:smallCaps/>
              </w:rPr>
              <w:t>As Above</w:t>
            </w:r>
          </w:p>
        </w:tc>
      </w:tr>
    </w:tbl>
    <w:p w:rsidR="008C5A75" w:rsidRPr="008C5A75" w:rsidRDefault="008C5A75" w:rsidP="008C5A75"/>
    <w:p w:rsidR="001C2BE7" w:rsidRPr="00C42353" w:rsidRDefault="001C2BE7" w:rsidP="008C5A75">
      <w:pPr>
        <w:pStyle w:val="Heading3"/>
        <w:rPr>
          <w:iCs/>
          <w:smallCaps/>
        </w:rPr>
      </w:pPr>
      <w:r w:rsidRPr="00C42353">
        <w:t>Early intervention</w:t>
      </w:r>
    </w:p>
    <w:p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Description w:val="Early intervention"/>
      </w:tblPr>
      <w:tblGrid>
        <w:gridCol w:w="10206"/>
      </w:tblGrid>
      <w:tr w:rsidR="001C2BE7" w:rsidTr="008C5A75">
        <w:trPr>
          <w:tblHeader/>
        </w:trPr>
        <w:tc>
          <w:tcPr>
            <w:tcW w:w="10206" w:type="dxa"/>
          </w:tcPr>
          <w:p w:rsidR="001C2BE7" w:rsidRPr="002A74D8" w:rsidRDefault="004A2F89" w:rsidP="001C2BE7">
            <w:pPr>
              <w:spacing w:after="840"/>
              <w:rPr>
                <w:i/>
                <w:iCs/>
                <w:smallCaps/>
              </w:rPr>
            </w:pPr>
            <w:r>
              <w:rPr>
                <w:i/>
                <w:iCs/>
                <w:smallCaps/>
              </w:rPr>
              <w:t>As Above</w:t>
            </w:r>
          </w:p>
        </w:tc>
      </w:tr>
    </w:tbl>
    <w:p w:rsidR="008C5A75" w:rsidRPr="008C5A75" w:rsidRDefault="008C5A75" w:rsidP="008C5A75"/>
    <w:p w:rsidR="001C2BE7" w:rsidRPr="008C5A75" w:rsidRDefault="001C2BE7" w:rsidP="008C5A75">
      <w:pPr>
        <w:pStyle w:val="Heading3"/>
      </w:pPr>
      <w:r w:rsidRPr="007D7F83">
        <w:t>Education and Training</w:t>
      </w:r>
    </w:p>
    <w:p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 xml:space="preserve">How can a focus on ‘earn or learn’ for young Australians </w:t>
      </w:r>
      <w:proofErr w:type="gramStart"/>
      <w:r w:rsidRPr="001C2BE7">
        <w:t>be</w:t>
      </w:r>
      <w:proofErr w:type="gramEnd"/>
      <w:r w:rsidRPr="001C2BE7">
        <w:t xml:space="preserve"> enhanced?</w:t>
      </w:r>
    </w:p>
    <w:tbl>
      <w:tblPr>
        <w:tblStyle w:val="TableGrid"/>
        <w:tblW w:w="0" w:type="auto"/>
        <w:tblInd w:w="108" w:type="dxa"/>
        <w:tblLook w:val="04A0" w:firstRow="1" w:lastRow="0" w:firstColumn="1" w:lastColumn="0" w:noHBand="0" w:noVBand="1"/>
        <w:tblDescription w:val="Education and Training"/>
      </w:tblPr>
      <w:tblGrid>
        <w:gridCol w:w="10206"/>
      </w:tblGrid>
      <w:tr w:rsidR="001C2BE7" w:rsidTr="008C5A75">
        <w:trPr>
          <w:tblHeader/>
        </w:trPr>
        <w:tc>
          <w:tcPr>
            <w:tcW w:w="10206" w:type="dxa"/>
          </w:tcPr>
          <w:p w:rsidR="001C2BE7" w:rsidRDefault="004A2F89" w:rsidP="001C2BE7">
            <w:pPr>
              <w:spacing w:after="840"/>
              <w:rPr>
                <w:i/>
                <w:iCs/>
                <w:smallCaps/>
              </w:rPr>
            </w:pPr>
            <w:r>
              <w:rPr>
                <w:i/>
                <w:iCs/>
                <w:smallCaps/>
              </w:rPr>
              <w:t>As Above</w:t>
            </w:r>
          </w:p>
        </w:tc>
      </w:tr>
    </w:tbl>
    <w:p w:rsidR="001C2BE7" w:rsidRPr="006C5254" w:rsidRDefault="001C2BE7" w:rsidP="008C5A75">
      <w:pPr>
        <w:pStyle w:val="Heading3"/>
        <w:rPr>
          <w:iCs/>
          <w:smallCaps/>
        </w:rPr>
      </w:pPr>
      <w:r w:rsidRPr="006C5254">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Description w:val="Improving individual and family functioning"/>
      </w:tblPr>
      <w:tblGrid>
        <w:gridCol w:w="10206"/>
      </w:tblGrid>
      <w:tr w:rsidR="001C2BE7" w:rsidTr="008C5A75">
        <w:trPr>
          <w:tblHeader/>
        </w:trPr>
        <w:tc>
          <w:tcPr>
            <w:tcW w:w="10206" w:type="dxa"/>
          </w:tcPr>
          <w:p w:rsidR="001C2BE7" w:rsidRDefault="004A2F89" w:rsidP="001C2BE7">
            <w:pPr>
              <w:spacing w:after="840"/>
              <w:rPr>
                <w:i/>
                <w:iCs/>
                <w:smallCaps/>
              </w:rPr>
            </w:pPr>
            <w:r>
              <w:rPr>
                <w:i/>
                <w:iCs/>
                <w:smallCaps/>
              </w:rPr>
              <w:t>As Above</w:t>
            </w:r>
          </w:p>
        </w:tc>
      </w:tr>
    </w:tbl>
    <w:p w:rsidR="008C5A75" w:rsidRPr="008C5A75" w:rsidRDefault="008C5A75" w:rsidP="008C5A75"/>
    <w:p w:rsidR="001C2BE7" w:rsidRPr="00D467B6" w:rsidRDefault="001C2BE7" w:rsidP="008C5A75">
      <w:pPr>
        <w:pStyle w:val="Heading3"/>
        <w:rPr>
          <w:iCs/>
          <w:smallCaps/>
        </w:rPr>
      </w:pPr>
      <w:r w:rsidRPr="00D467B6">
        <w:t>Evaluating outcomes</w:t>
      </w:r>
    </w:p>
    <w:p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Description w:val="Evaluating outcomes"/>
      </w:tblPr>
      <w:tblGrid>
        <w:gridCol w:w="10206"/>
      </w:tblGrid>
      <w:tr w:rsidR="001C2BE7" w:rsidTr="008C5A75">
        <w:trPr>
          <w:tblHeader/>
        </w:trPr>
        <w:tc>
          <w:tcPr>
            <w:tcW w:w="10206" w:type="dxa"/>
          </w:tcPr>
          <w:p w:rsidR="001C2BE7" w:rsidRDefault="004A2F89" w:rsidP="001C2BE7">
            <w:pPr>
              <w:spacing w:after="840"/>
              <w:rPr>
                <w:i/>
                <w:iCs/>
                <w:smallCaps/>
              </w:rPr>
            </w:pPr>
            <w:r>
              <w:rPr>
                <w:i/>
                <w:iCs/>
                <w:smallCaps/>
              </w:rPr>
              <w:t>As Above</w:t>
            </w:r>
          </w:p>
        </w:tc>
      </w:tr>
    </w:tbl>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lastRenderedPageBreak/>
        <w:t>Employment focus – making jobs available</w:t>
      </w:r>
    </w:p>
    <w:p w:rsidR="001C2BE7" w:rsidRDefault="001C2BE7" w:rsidP="001C2BE7">
      <w:pPr>
        <w:rPr>
          <w:i/>
          <w:iCs/>
          <w:smallCaps/>
        </w:rPr>
      </w:pPr>
      <w:r w:rsidRPr="008C5A75">
        <w:rPr>
          <w:b/>
        </w:rPr>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rsidR="001C2BE7" w:rsidRPr="00182BB2" w:rsidRDefault="001C2BE7" w:rsidP="0046471F">
      <w:pPr>
        <w:pStyle w:val="ListParagraph"/>
        <w:keepNext/>
        <w:ind w:left="425" w:hanging="425"/>
        <w:rPr>
          <w:i/>
          <w:iCs/>
          <w:smallCaps/>
        </w:rPr>
      </w:pPr>
      <w:r w:rsidRPr="00182BB2">
        <w:t>How can business-led covenants be developed to generate employment for people with disability and mental health conditions?</w:t>
      </w:r>
    </w:p>
    <w:p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Description w:val="Employment focus – making jobs available"/>
      </w:tblPr>
      <w:tblGrid>
        <w:gridCol w:w="10206"/>
      </w:tblGrid>
      <w:tr w:rsidR="001C2BE7" w:rsidTr="008C5A75">
        <w:trPr>
          <w:tblHeader/>
        </w:trPr>
        <w:tc>
          <w:tcPr>
            <w:tcW w:w="10206" w:type="dxa"/>
          </w:tcPr>
          <w:p w:rsidR="001C2BE7" w:rsidRDefault="004A2F89" w:rsidP="001C2BE7">
            <w:pPr>
              <w:spacing w:after="840"/>
              <w:rPr>
                <w:i/>
                <w:iCs/>
                <w:smallCaps/>
              </w:rPr>
            </w:pPr>
            <w:r>
              <w:rPr>
                <w:i/>
                <w:iCs/>
                <w:smallCaps/>
              </w:rPr>
              <w:t>As Above</w:t>
            </w:r>
          </w:p>
        </w:tc>
      </w:tr>
    </w:tbl>
    <w:p w:rsidR="008C5A75" w:rsidRPr="008C5A75" w:rsidRDefault="008C5A75" w:rsidP="008C5A75"/>
    <w:p w:rsidR="001C2BE7" w:rsidRPr="00182BB2" w:rsidRDefault="001C2BE7" w:rsidP="008C5A75">
      <w:pPr>
        <w:pStyle w:val="Heading3"/>
        <w:rPr>
          <w:iCs/>
          <w:smallCaps/>
        </w:rPr>
      </w:pPr>
      <w:r w:rsidRPr="00182BB2">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Description w:val="Improving pathways to employment"/>
      </w:tblPr>
      <w:tblGrid>
        <w:gridCol w:w="10206"/>
      </w:tblGrid>
      <w:tr w:rsidR="001C2BE7" w:rsidTr="008C5A75">
        <w:trPr>
          <w:tblHeader/>
        </w:trPr>
        <w:tc>
          <w:tcPr>
            <w:tcW w:w="10206" w:type="dxa"/>
          </w:tcPr>
          <w:p w:rsidR="001C2BE7" w:rsidRDefault="004A2F89" w:rsidP="001C2BE7">
            <w:pPr>
              <w:spacing w:after="840"/>
              <w:rPr>
                <w:i/>
                <w:iCs/>
                <w:smallCaps/>
              </w:rPr>
            </w:pPr>
            <w:r>
              <w:rPr>
                <w:i/>
                <w:iCs/>
                <w:smallCaps/>
              </w:rPr>
              <w:t>As Above</w:t>
            </w:r>
          </w:p>
        </w:tc>
      </w:tr>
    </w:tbl>
    <w:p w:rsidR="008C5A75" w:rsidRPr="008C5A75" w:rsidRDefault="008C5A75" w:rsidP="008C5A75"/>
    <w:p w:rsidR="001C2BE7" w:rsidRPr="00E758FE" w:rsidRDefault="001C2BE7" w:rsidP="008C5A75">
      <w:pPr>
        <w:pStyle w:val="Heading3"/>
        <w:rPr>
          <w:iCs/>
          <w:smallCaps/>
        </w:rPr>
      </w:pPr>
      <w:r w:rsidRPr="00E758FE">
        <w:t>Supporting employers</w:t>
      </w:r>
    </w:p>
    <w:p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Description w:val="Supporting employers"/>
      </w:tblPr>
      <w:tblGrid>
        <w:gridCol w:w="10206"/>
      </w:tblGrid>
      <w:tr w:rsidR="001C2BE7" w:rsidTr="008C5A75">
        <w:trPr>
          <w:tblHeader/>
        </w:trPr>
        <w:tc>
          <w:tcPr>
            <w:tcW w:w="10206" w:type="dxa"/>
          </w:tcPr>
          <w:p w:rsidR="001C2BE7" w:rsidRDefault="004A2F89" w:rsidP="001C2BE7">
            <w:pPr>
              <w:spacing w:after="840"/>
              <w:rPr>
                <w:i/>
                <w:iCs/>
                <w:smallCaps/>
              </w:rPr>
            </w:pPr>
            <w:r>
              <w:rPr>
                <w:i/>
                <w:iCs/>
                <w:smallCaps/>
              </w:rPr>
              <w:t>As Above</w:t>
            </w:r>
          </w:p>
        </w:tc>
      </w:tr>
    </w:tbl>
    <w:p w:rsidR="008C5A75" w:rsidRPr="008C5A75" w:rsidRDefault="008C5A75" w:rsidP="008C5A75"/>
    <w:p w:rsidR="001C2BE7" w:rsidRPr="001C2BE7" w:rsidRDefault="001C2BE7" w:rsidP="008C5A75">
      <w:pPr>
        <w:pStyle w:val="Heading2"/>
      </w:pPr>
      <w:r w:rsidRPr="001C2BE7">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w:t>
      </w:r>
      <w:r>
        <w:lastRenderedPageBreak/>
        <w:t xml:space="preserve">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Description w:val="Role of civil society"/>
      </w:tblPr>
      <w:tblGrid>
        <w:gridCol w:w="10206"/>
      </w:tblGrid>
      <w:tr w:rsidR="001C2BE7" w:rsidTr="008C5A75">
        <w:trPr>
          <w:tblHeader/>
        </w:trPr>
        <w:tc>
          <w:tcPr>
            <w:tcW w:w="10206" w:type="dxa"/>
          </w:tcPr>
          <w:p w:rsidR="001C2BE7" w:rsidRDefault="004A2F89" w:rsidP="001C2BE7">
            <w:pPr>
              <w:spacing w:after="840"/>
              <w:rPr>
                <w:i/>
                <w:iCs/>
                <w:smallCaps/>
              </w:rPr>
            </w:pPr>
            <w:r>
              <w:rPr>
                <w:i/>
                <w:iCs/>
                <w:smallCaps/>
              </w:rPr>
              <w:t>As Above</w:t>
            </w:r>
          </w:p>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Description w:val="Role of government"/>
      </w:tblPr>
      <w:tblGrid>
        <w:gridCol w:w="10206"/>
      </w:tblGrid>
      <w:tr w:rsidR="001C2BE7" w:rsidTr="008C5A75">
        <w:trPr>
          <w:tblHeader/>
        </w:trPr>
        <w:tc>
          <w:tcPr>
            <w:tcW w:w="10206" w:type="dxa"/>
          </w:tcPr>
          <w:p w:rsidR="001C2BE7" w:rsidRDefault="004A2F89" w:rsidP="001C2BE7">
            <w:pPr>
              <w:spacing w:after="840"/>
              <w:rPr>
                <w:i/>
                <w:iCs/>
                <w:smallCaps/>
              </w:rPr>
            </w:pPr>
            <w:r>
              <w:rPr>
                <w:i/>
                <w:iCs/>
                <w:smallCaps/>
              </w:rPr>
              <w:t>As Above</w:t>
            </w:r>
          </w:p>
        </w:tc>
      </w:tr>
    </w:tbl>
    <w:p w:rsidR="008C5A75" w:rsidRPr="008C5A75" w:rsidRDefault="008C5A75" w:rsidP="008C5A75"/>
    <w:p w:rsidR="001C2BE7" w:rsidRPr="00CE7674" w:rsidRDefault="001C2BE7" w:rsidP="008C5A75">
      <w:pPr>
        <w:pStyle w:val="Heading3"/>
        <w:rPr>
          <w:iCs/>
          <w:smallCaps/>
        </w:rPr>
      </w:pPr>
      <w:r w:rsidRPr="00CE7674">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t>How can communities generate opportunities for micro business to drive employment outcomes?</w:t>
      </w:r>
    </w:p>
    <w:p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Description w:val="Role of local business"/>
      </w:tblPr>
      <w:tblGrid>
        <w:gridCol w:w="10206"/>
      </w:tblGrid>
      <w:tr w:rsidR="001C2BE7" w:rsidTr="008C5A75">
        <w:trPr>
          <w:tblHeader/>
        </w:trPr>
        <w:tc>
          <w:tcPr>
            <w:tcW w:w="10206" w:type="dxa"/>
          </w:tcPr>
          <w:p w:rsidR="001C2BE7" w:rsidRDefault="004A2F89" w:rsidP="001C2BE7">
            <w:pPr>
              <w:spacing w:after="840"/>
              <w:rPr>
                <w:i/>
                <w:iCs/>
                <w:smallCaps/>
              </w:rPr>
            </w:pPr>
            <w:r>
              <w:rPr>
                <w:i/>
                <w:iCs/>
                <w:smallCaps/>
              </w:rPr>
              <w:t>As Above</w:t>
            </w:r>
          </w:p>
        </w:tc>
      </w:tr>
    </w:tbl>
    <w:p w:rsidR="008C5A75" w:rsidRPr="008C5A75" w:rsidRDefault="008C5A75" w:rsidP="008C5A75"/>
    <w:p w:rsidR="001C2BE7" w:rsidRPr="00CE7674" w:rsidRDefault="001C2BE7" w:rsidP="008C5A75">
      <w:pPr>
        <w:pStyle w:val="Heading3"/>
        <w:rPr>
          <w:iCs/>
          <w:smallCaps/>
        </w:rPr>
      </w:pPr>
      <w:r w:rsidRPr="00CE7674">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Description w:val="Access to technology"/>
      </w:tblPr>
      <w:tblGrid>
        <w:gridCol w:w="10206"/>
      </w:tblGrid>
      <w:tr w:rsidR="001C2BE7" w:rsidTr="008C5A75">
        <w:trPr>
          <w:tblHeader/>
        </w:trPr>
        <w:tc>
          <w:tcPr>
            <w:tcW w:w="10206" w:type="dxa"/>
          </w:tcPr>
          <w:p w:rsidR="001C2BE7" w:rsidRDefault="004A2F89" w:rsidP="001C2BE7">
            <w:pPr>
              <w:spacing w:after="840"/>
              <w:rPr>
                <w:i/>
                <w:iCs/>
                <w:smallCaps/>
              </w:rPr>
            </w:pPr>
            <w:r>
              <w:rPr>
                <w:i/>
                <w:iCs/>
                <w:smallCaps/>
              </w:rPr>
              <w:lastRenderedPageBreak/>
              <w:t>As Above</w:t>
            </w:r>
          </w:p>
        </w:tc>
      </w:tr>
    </w:tbl>
    <w:p w:rsidR="008C5A75" w:rsidRDefault="008C5A75">
      <w:pPr>
        <w:rPr>
          <w:b/>
          <w:lang w:eastAsia="en-AU"/>
        </w:rPr>
      </w:pPr>
      <w:r>
        <w:br w:type="page"/>
      </w:r>
    </w:p>
    <w:p w:rsidR="001C2BE7" w:rsidRPr="008C5A75" w:rsidRDefault="001C2BE7" w:rsidP="008C5A75">
      <w:pPr>
        <w:pStyle w:val="Heading3"/>
        <w:rPr>
          <w:iCs/>
          <w:smallCaps/>
        </w:rPr>
      </w:pPr>
      <w:r w:rsidRPr="008C5A75">
        <w:lastRenderedPageBreak/>
        <w:t>Community Resilience</w:t>
      </w:r>
    </w:p>
    <w:p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Description w:val="Community Resilience"/>
      </w:tblPr>
      <w:tblGrid>
        <w:gridCol w:w="10206"/>
      </w:tblGrid>
      <w:tr w:rsidR="001C2BE7" w:rsidTr="008C5A75">
        <w:trPr>
          <w:trHeight w:val="710"/>
          <w:tblHeader/>
        </w:trPr>
        <w:tc>
          <w:tcPr>
            <w:tcW w:w="10206" w:type="dxa"/>
          </w:tcPr>
          <w:p w:rsidR="001C2BE7" w:rsidRDefault="004A2F89" w:rsidP="001C2BE7">
            <w:pPr>
              <w:spacing w:after="840"/>
              <w:rPr>
                <w:i/>
                <w:iCs/>
                <w:smallCaps/>
              </w:rPr>
            </w:pPr>
            <w:r>
              <w:rPr>
                <w:i/>
                <w:iCs/>
                <w:smallCaps/>
              </w:rPr>
              <w:t>As Above</w:t>
            </w:r>
          </w:p>
        </w:tc>
      </w:tr>
    </w:tbl>
    <w:p w:rsidR="006B61A4" w:rsidRDefault="006B61A4" w:rsidP="008D7A5A">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48" w:rsidRDefault="00FC5B48" w:rsidP="00214210">
      <w:pPr>
        <w:spacing w:after="0" w:line="240" w:lineRule="auto"/>
      </w:pPr>
      <w:r>
        <w:separator/>
      </w:r>
    </w:p>
  </w:endnote>
  <w:endnote w:type="continuationSeparator" w:id="0">
    <w:p w:rsidR="00FC5B48" w:rsidRDefault="00FC5B48"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10" w:rsidRPr="006F436A" w:rsidRDefault="006F436A">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48" w:rsidRDefault="00FC5B48" w:rsidP="00214210">
      <w:pPr>
        <w:spacing w:after="0" w:line="240" w:lineRule="auto"/>
      </w:pPr>
      <w:r>
        <w:separator/>
      </w:r>
    </w:p>
  </w:footnote>
  <w:footnote w:type="continuationSeparator" w:id="0">
    <w:p w:rsidR="00FC5B48" w:rsidRDefault="00FC5B48"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1712E5"/>
    <w:multiLevelType w:val="hybridMultilevel"/>
    <w:tmpl w:val="7B280F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8"/>
  </w:num>
  <w:num w:numId="3">
    <w:abstractNumId w:val="24"/>
  </w:num>
  <w:num w:numId="4">
    <w:abstractNumId w:val="8"/>
  </w:num>
  <w:num w:numId="5">
    <w:abstractNumId w:val="6"/>
  </w:num>
  <w:num w:numId="6">
    <w:abstractNumId w:val="27"/>
  </w:num>
  <w:num w:numId="7">
    <w:abstractNumId w:val="25"/>
  </w:num>
  <w:num w:numId="8">
    <w:abstractNumId w:val="10"/>
  </w:num>
  <w:num w:numId="9">
    <w:abstractNumId w:val="0"/>
  </w:num>
  <w:num w:numId="10">
    <w:abstractNumId w:val="7"/>
  </w:num>
  <w:num w:numId="11">
    <w:abstractNumId w:val="5"/>
  </w:num>
  <w:num w:numId="12">
    <w:abstractNumId w:val="3"/>
  </w:num>
  <w:num w:numId="13">
    <w:abstractNumId w:val="23"/>
  </w:num>
  <w:num w:numId="14">
    <w:abstractNumId w:val="14"/>
  </w:num>
  <w:num w:numId="15">
    <w:abstractNumId w:val="20"/>
  </w:num>
  <w:num w:numId="16">
    <w:abstractNumId w:val="11"/>
  </w:num>
  <w:num w:numId="17">
    <w:abstractNumId w:val="13"/>
  </w:num>
  <w:num w:numId="18">
    <w:abstractNumId w:val="17"/>
  </w:num>
  <w:num w:numId="19">
    <w:abstractNumId w:val="26"/>
  </w:num>
  <w:num w:numId="20">
    <w:abstractNumId w:val="21"/>
  </w:num>
  <w:num w:numId="21">
    <w:abstractNumId w:val="15"/>
  </w:num>
  <w:num w:numId="22">
    <w:abstractNumId w:val="22"/>
  </w:num>
  <w:num w:numId="23">
    <w:abstractNumId w:val="12"/>
  </w:num>
  <w:num w:numId="24">
    <w:abstractNumId w:val="9"/>
  </w:num>
  <w:num w:numId="25">
    <w:abstractNumId w:val="16"/>
  </w:num>
  <w:num w:numId="26">
    <w:abstractNumId w:val="19"/>
  </w:num>
  <w:num w:numId="27">
    <w:abstractNumId w:val="18"/>
  </w:num>
  <w:num w:numId="28">
    <w:abstractNumId w:val="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8"/>
    <w:rsid w:val="000064C0"/>
    <w:rsid w:val="00007C52"/>
    <w:rsid w:val="00047DF2"/>
    <w:rsid w:val="00080BCE"/>
    <w:rsid w:val="00085D36"/>
    <w:rsid w:val="0009727B"/>
    <w:rsid w:val="000A3545"/>
    <w:rsid w:val="000A676D"/>
    <w:rsid w:val="000B0DFF"/>
    <w:rsid w:val="000E12CC"/>
    <w:rsid w:val="000F2CD5"/>
    <w:rsid w:val="000F44EA"/>
    <w:rsid w:val="00122D0C"/>
    <w:rsid w:val="00127D81"/>
    <w:rsid w:val="00135FB7"/>
    <w:rsid w:val="0014745C"/>
    <w:rsid w:val="001536C8"/>
    <w:rsid w:val="00162BCB"/>
    <w:rsid w:val="00166710"/>
    <w:rsid w:val="001775AB"/>
    <w:rsid w:val="001A1E5E"/>
    <w:rsid w:val="001A4D8F"/>
    <w:rsid w:val="001C2BE7"/>
    <w:rsid w:val="001D02A4"/>
    <w:rsid w:val="001E2E3B"/>
    <w:rsid w:val="001E3EA9"/>
    <w:rsid w:val="001E630D"/>
    <w:rsid w:val="001F4C15"/>
    <w:rsid w:val="00214210"/>
    <w:rsid w:val="00223BB8"/>
    <w:rsid w:val="0023096B"/>
    <w:rsid w:val="0023686F"/>
    <w:rsid w:val="00237E0B"/>
    <w:rsid w:val="00271743"/>
    <w:rsid w:val="0029140D"/>
    <w:rsid w:val="00315FC6"/>
    <w:rsid w:val="0035362A"/>
    <w:rsid w:val="00356F1B"/>
    <w:rsid w:val="00373641"/>
    <w:rsid w:val="003B2BB8"/>
    <w:rsid w:val="003B5339"/>
    <w:rsid w:val="003D34FF"/>
    <w:rsid w:val="003E56A6"/>
    <w:rsid w:val="003E5FD4"/>
    <w:rsid w:val="0041533F"/>
    <w:rsid w:val="00443F1C"/>
    <w:rsid w:val="0046471F"/>
    <w:rsid w:val="00494CBC"/>
    <w:rsid w:val="004A148C"/>
    <w:rsid w:val="004A2F89"/>
    <w:rsid w:val="004B54CA"/>
    <w:rsid w:val="004E5CBF"/>
    <w:rsid w:val="004F6157"/>
    <w:rsid w:val="005057B8"/>
    <w:rsid w:val="00515AF7"/>
    <w:rsid w:val="00555E3E"/>
    <w:rsid w:val="00585179"/>
    <w:rsid w:val="005935E6"/>
    <w:rsid w:val="00596EEA"/>
    <w:rsid w:val="005A2B76"/>
    <w:rsid w:val="005C3AA9"/>
    <w:rsid w:val="005D3EAB"/>
    <w:rsid w:val="005D4A60"/>
    <w:rsid w:val="00617EBD"/>
    <w:rsid w:val="00625EE2"/>
    <w:rsid w:val="00626096"/>
    <w:rsid w:val="00631B41"/>
    <w:rsid w:val="00634728"/>
    <w:rsid w:val="00635EE5"/>
    <w:rsid w:val="006371EE"/>
    <w:rsid w:val="006770A7"/>
    <w:rsid w:val="00696ED6"/>
    <w:rsid w:val="006A4CE7"/>
    <w:rsid w:val="006B61A4"/>
    <w:rsid w:val="006C775B"/>
    <w:rsid w:val="006F436A"/>
    <w:rsid w:val="00707EF3"/>
    <w:rsid w:val="00714720"/>
    <w:rsid w:val="00731565"/>
    <w:rsid w:val="00734082"/>
    <w:rsid w:val="0073584F"/>
    <w:rsid w:val="0075282F"/>
    <w:rsid w:val="00767CF1"/>
    <w:rsid w:val="00770E22"/>
    <w:rsid w:val="00785261"/>
    <w:rsid w:val="00791FBE"/>
    <w:rsid w:val="007B0256"/>
    <w:rsid w:val="00824A02"/>
    <w:rsid w:val="00826024"/>
    <w:rsid w:val="00835484"/>
    <w:rsid w:val="00847FA0"/>
    <w:rsid w:val="008647F0"/>
    <w:rsid w:val="008C5A75"/>
    <w:rsid w:val="008D7A5A"/>
    <w:rsid w:val="008F770A"/>
    <w:rsid w:val="00915C67"/>
    <w:rsid w:val="009225F0"/>
    <w:rsid w:val="0096286F"/>
    <w:rsid w:val="00977EED"/>
    <w:rsid w:val="009836E4"/>
    <w:rsid w:val="00987FA0"/>
    <w:rsid w:val="009A7546"/>
    <w:rsid w:val="009E7724"/>
    <w:rsid w:val="00A06548"/>
    <w:rsid w:val="00A17AFA"/>
    <w:rsid w:val="00A32D61"/>
    <w:rsid w:val="00A673D9"/>
    <w:rsid w:val="00A70E1E"/>
    <w:rsid w:val="00A90945"/>
    <w:rsid w:val="00A92138"/>
    <w:rsid w:val="00AA451B"/>
    <w:rsid w:val="00AC0B89"/>
    <w:rsid w:val="00AC0E82"/>
    <w:rsid w:val="00AC21F5"/>
    <w:rsid w:val="00B01913"/>
    <w:rsid w:val="00B01B10"/>
    <w:rsid w:val="00B06238"/>
    <w:rsid w:val="00B5345A"/>
    <w:rsid w:val="00B63CF5"/>
    <w:rsid w:val="00B74B28"/>
    <w:rsid w:val="00B81C57"/>
    <w:rsid w:val="00B87E99"/>
    <w:rsid w:val="00B9617A"/>
    <w:rsid w:val="00BA2DB9"/>
    <w:rsid w:val="00BC5D99"/>
    <w:rsid w:val="00BE7148"/>
    <w:rsid w:val="00C542F9"/>
    <w:rsid w:val="00C5438C"/>
    <w:rsid w:val="00C640EA"/>
    <w:rsid w:val="00CC5C1C"/>
    <w:rsid w:val="00D17402"/>
    <w:rsid w:val="00D21839"/>
    <w:rsid w:val="00D24567"/>
    <w:rsid w:val="00D3285D"/>
    <w:rsid w:val="00DA301B"/>
    <w:rsid w:val="00DB5908"/>
    <w:rsid w:val="00DC1A8C"/>
    <w:rsid w:val="00DE3E32"/>
    <w:rsid w:val="00DF3B4B"/>
    <w:rsid w:val="00DF4413"/>
    <w:rsid w:val="00E0260B"/>
    <w:rsid w:val="00E05B7E"/>
    <w:rsid w:val="00E30D47"/>
    <w:rsid w:val="00E35FE7"/>
    <w:rsid w:val="00E90279"/>
    <w:rsid w:val="00ED1C85"/>
    <w:rsid w:val="00F255FE"/>
    <w:rsid w:val="00F47B32"/>
    <w:rsid w:val="00F623DF"/>
    <w:rsid w:val="00F73BA1"/>
    <w:rsid w:val="00F943BD"/>
    <w:rsid w:val="00FA05A4"/>
    <w:rsid w:val="00FA6287"/>
    <w:rsid w:val="00FB6D4F"/>
    <w:rsid w:val="00FC5B48"/>
    <w:rsid w:val="00FD3D55"/>
    <w:rsid w:val="00FD6F10"/>
    <w:rsid w:val="00FF0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7565848">
      <w:bodyDiv w:val="1"/>
      <w:marLeft w:val="0"/>
      <w:marRight w:val="0"/>
      <w:marTop w:val="0"/>
      <w:marBottom w:val="0"/>
      <w:divBdr>
        <w:top w:val="none" w:sz="0" w:space="0" w:color="auto"/>
        <w:left w:val="none" w:sz="0" w:space="0" w:color="auto"/>
        <w:bottom w:val="none" w:sz="0" w:space="0" w:color="auto"/>
        <w:right w:val="none" w:sz="0" w:space="0" w:color="auto"/>
      </w:divBdr>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B5CD-4AE9-433A-B4EC-36AB56E1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2026</Words>
  <Characters>11550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JOYCE, Peta</cp:lastModifiedBy>
  <cp:revision>2</cp:revision>
  <cp:lastPrinted>2014-05-12T02:02:00Z</cp:lastPrinted>
  <dcterms:created xsi:type="dcterms:W3CDTF">2014-08-20T06:12:00Z</dcterms:created>
  <dcterms:modified xsi:type="dcterms:W3CDTF">2014-08-20T06:12:00Z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