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252117" w:rsidRDefault="006F436A" w:rsidP="008C5A75">
      <w:pPr>
        <w:pStyle w:val="Heading1"/>
        <w:rPr>
          <w:sz w:val="32"/>
        </w:rPr>
      </w:pPr>
      <w:bookmarkStart w:id="0" w:name="_GoBack"/>
      <w:bookmarkEnd w:id="0"/>
      <w:r w:rsidRPr="00252117">
        <w:rPr>
          <w:sz w:val="32"/>
        </w:rPr>
        <w:t xml:space="preserve">Welfare Review </w:t>
      </w:r>
      <w:r w:rsidR="001C2BE7" w:rsidRPr="00252117">
        <w:rPr>
          <w:sz w:val="32"/>
        </w:rPr>
        <w:t xml:space="preserve">Submission </w:t>
      </w:r>
      <w:r w:rsidR="007C1022" w:rsidRPr="00252117">
        <w:rPr>
          <w:sz w:val="32"/>
        </w:rPr>
        <w:t>– Victorian Public Tenants Association</w:t>
      </w:r>
    </w:p>
    <w:p w:rsidR="001C2BE7" w:rsidRPr="00181A5F" w:rsidRDefault="001C2BE7" w:rsidP="008C5A75">
      <w:pPr>
        <w:pStyle w:val="Heading2"/>
        <w:rPr>
          <w:sz w:val="22"/>
          <w:szCs w:val="22"/>
        </w:rPr>
      </w:pPr>
      <w:r w:rsidRPr="00181A5F">
        <w:rPr>
          <w:sz w:val="22"/>
          <w:szCs w:val="22"/>
        </w:rPr>
        <w:t>Pillar One: Simpler and sustainable income support system</w:t>
      </w:r>
    </w:p>
    <w:p w:rsidR="008E7B96" w:rsidRPr="00181A5F" w:rsidRDefault="008E7B96" w:rsidP="000C1C36">
      <w:pPr>
        <w:rPr>
          <w:b/>
        </w:rPr>
      </w:pPr>
      <w:r w:rsidRPr="00181A5F">
        <w:rPr>
          <w:b/>
        </w:rPr>
        <w:t>General Principles</w:t>
      </w:r>
    </w:p>
    <w:p w:rsidR="008E7B96" w:rsidRPr="00181A5F" w:rsidRDefault="000C1C36" w:rsidP="000C1C36">
      <w:pPr>
        <w:rPr>
          <w:color w:val="4F81BD" w:themeColor="accent1"/>
        </w:rPr>
      </w:pPr>
      <w:r w:rsidRPr="00181A5F">
        <w:rPr>
          <w:color w:val="4F81BD" w:themeColor="accent1"/>
        </w:rPr>
        <w:t>We should have a universal payment system</w:t>
      </w:r>
      <w:r w:rsidR="00517C45" w:rsidRPr="00181A5F">
        <w:rPr>
          <w:color w:val="4F81BD" w:themeColor="accent1"/>
        </w:rPr>
        <w:t>,</w:t>
      </w:r>
      <w:r w:rsidRPr="00181A5F">
        <w:rPr>
          <w:color w:val="4F81BD" w:themeColor="accent1"/>
        </w:rPr>
        <w:t xml:space="preserve"> regardless of the payment category</w:t>
      </w:r>
      <w:r w:rsidR="00517C45" w:rsidRPr="00181A5F">
        <w:rPr>
          <w:color w:val="4F81BD" w:themeColor="accent1"/>
        </w:rPr>
        <w:t>/type,</w:t>
      </w:r>
      <w:r w:rsidR="00E06FC7" w:rsidRPr="00181A5F">
        <w:rPr>
          <w:color w:val="4F81BD" w:themeColor="accent1"/>
        </w:rPr>
        <w:t xml:space="preserve"> that provides a sufficient Living A</w:t>
      </w:r>
      <w:r w:rsidRPr="00181A5F">
        <w:rPr>
          <w:color w:val="4F81BD" w:themeColor="accent1"/>
        </w:rPr>
        <w:t xml:space="preserve">llowance to provide people in need with the basics </w:t>
      </w:r>
      <w:r w:rsidR="00517C45" w:rsidRPr="00181A5F">
        <w:rPr>
          <w:color w:val="4F81BD" w:themeColor="accent1"/>
        </w:rPr>
        <w:t>(</w:t>
      </w:r>
      <w:r w:rsidR="00E06FC7" w:rsidRPr="00181A5F">
        <w:rPr>
          <w:color w:val="4F81BD" w:themeColor="accent1"/>
        </w:rPr>
        <w:t>i.e. food</w:t>
      </w:r>
      <w:r w:rsidR="00517C45" w:rsidRPr="00181A5F">
        <w:rPr>
          <w:color w:val="4F81BD" w:themeColor="accent1"/>
        </w:rPr>
        <w:t>, clothing,</w:t>
      </w:r>
      <w:r w:rsidRPr="00181A5F">
        <w:rPr>
          <w:color w:val="4F81BD" w:themeColor="accent1"/>
        </w:rPr>
        <w:t xml:space="preserve"> shelter</w:t>
      </w:r>
      <w:r w:rsidR="00517C45" w:rsidRPr="00181A5F">
        <w:rPr>
          <w:color w:val="4F81BD" w:themeColor="accent1"/>
        </w:rPr>
        <w:t xml:space="preserve"> and health-care)</w:t>
      </w:r>
      <w:r w:rsidRPr="00181A5F">
        <w:rPr>
          <w:color w:val="4F81BD" w:themeColor="accent1"/>
        </w:rPr>
        <w:t xml:space="preserve"> so that they can live as a valued member of the community. </w:t>
      </w:r>
    </w:p>
    <w:p w:rsidR="008E7B96" w:rsidRPr="00181A5F" w:rsidRDefault="008E7B96" w:rsidP="000C1C36">
      <w:pPr>
        <w:rPr>
          <w:color w:val="4F81BD" w:themeColor="accent1"/>
        </w:rPr>
      </w:pPr>
      <w:r w:rsidRPr="00181A5F">
        <w:rPr>
          <w:color w:val="4F81BD" w:themeColor="accent1"/>
        </w:rPr>
        <w:t xml:space="preserve">We need a mutual obligation system that provides adequate support to people </w:t>
      </w:r>
      <w:r w:rsidR="00517C45" w:rsidRPr="00181A5F">
        <w:rPr>
          <w:color w:val="4F81BD" w:themeColor="accent1"/>
        </w:rPr>
        <w:t xml:space="preserve">engaged </w:t>
      </w:r>
      <w:r w:rsidRPr="00181A5F">
        <w:rPr>
          <w:color w:val="4F81BD" w:themeColor="accent1"/>
        </w:rPr>
        <w:t xml:space="preserve">in programs </w:t>
      </w:r>
      <w:r w:rsidR="00517C45" w:rsidRPr="00181A5F">
        <w:rPr>
          <w:color w:val="4F81BD" w:themeColor="accent1"/>
        </w:rPr>
        <w:t>to genuinely seek</w:t>
      </w:r>
      <w:r w:rsidRPr="00181A5F">
        <w:rPr>
          <w:color w:val="4F81BD" w:themeColor="accent1"/>
        </w:rPr>
        <w:t xml:space="preserve"> work</w:t>
      </w:r>
      <w:r w:rsidR="00517C45" w:rsidRPr="00181A5F">
        <w:rPr>
          <w:color w:val="4F81BD" w:themeColor="accent1"/>
        </w:rPr>
        <w:t>,</w:t>
      </w:r>
      <w:r w:rsidRPr="00181A5F">
        <w:rPr>
          <w:color w:val="4F81BD" w:themeColor="accent1"/>
        </w:rPr>
        <w:t xml:space="preserve"> or for those undergoing treatment for periods of temporary incapacity which prevents them from working or seeking suitable paid work. For its part</w:t>
      </w:r>
      <w:r w:rsidR="00517C45" w:rsidRPr="00181A5F">
        <w:rPr>
          <w:color w:val="4F81BD" w:themeColor="accent1"/>
        </w:rPr>
        <w:t>,</w:t>
      </w:r>
      <w:r w:rsidRPr="00181A5F">
        <w:rPr>
          <w:color w:val="4F81BD" w:themeColor="accent1"/>
        </w:rPr>
        <w:t xml:space="preserve"> the Government should provide reasonable levels </w:t>
      </w:r>
      <w:r w:rsidR="00517C45" w:rsidRPr="00181A5F">
        <w:rPr>
          <w:color w:val="4F81BD" w:themeColor="accent1"/>
        </w:rPr>
        <w:t xml:space="preserve">of </w:t>
      </w:r>
      <w:r w:rsidRPr="00181A5F">
        <w:rPr>
          <w:color w:val="4F81BD" w:themeColor="accent1"/>
        </w:rPr>
        <w:t>support to those who need it and comply with the provision</w:t>
      </w:r>
      <w:r w:rsidR="00517C45" w:rsidRPr="00181A5F">
        <w:rPr>
          <w:color w:val="4F81BD" w:themeColor="accent1"/>
        </w:rPr>
        <w:t>(s)</w:t>
      </w:r>
      <w:r w:rsidRPr="00181A5F">
        <w:rPr>
          <w:color w:val="4F81BD" w:themeColor="accent1"/>
        </w:rPr>
        <w:t xml:space="preserve"> of their payment.</w:t>
      </w:r>
    </w:p>
    <w:p w:rsidR="000C1C36" w:rsidRPr="00181A5F" w:rsidRDefault="000C1C36" w:rsidP="000C1C36">
      <w:pPr>
        <w:rPr>
          <w:color w:val="4F81BD" w:themeColor="accent1"/>
        </w:rPr>
      </w:pPr>
      <w:r w:rsidRPr="00181A5F">
        <w:rPr>
          <w:color w:val="4F81BD" w:themeColor="accent1"/>
        </w:rPr>
        <w:t xml:space="preserve">There may be additional incentives and allowances for those in programs to help secure work or acquire skills to improve their employability. </w:t>
      </w:r>
    </w:p>
    <w:p w:rsidR="000C1C36" w:rsidRPr="00181A5F" w:rsidRDefault="000C1C36" w:rsidP="000C1C36">
      <w:pPr>
        <w:rPr>
          <w:color w:val="4F81BD" w:themeColor="accent1"/>
        </w:rPr>
      </w:pPr>
      <w:r w:rsidRPr="00181A5F">
        <w:rPr>
          <w:color w:val="4F81BD" w:themeColor="accent1"/>
        </w:rPr>
        <w:t>People with temporary disabilities undergoi</w:t>
      </w:r>
      <w:r w:rsidR="00E06FC7" w:rsidRPr="00181A5F">
        <w:rPr>
          <w:color w:val="4F81BD" w:themeColor="accent1"/>
        </w:rPr>
        <w:t>ng treatment would receive the Living A</w:t>
      </w:r>
      <w:r w:rsidRPr="00181A5F">
        <w:rPr>
          <w:color w:val="4F81BD" w:themeColor="accent1"/>
        </w:rPr>
        <w:t xml:space="preserve">llowance with additional </w:t>
      </w:r>
      <w:r w:rsidR="008E7B96" w:rsidRPr="00181A5F">
        <w:rPr>
          <w:color w:val="4F81BD" w:themeColor="accent1"/>
        </w:rPr>
        <w:t>a</w:t>
      </w:r>
      <w:r w:rsidRPr="00181A5F">
        <w:rPr>
          <w:color w:val="4F81BD" w:themeColor="accent1"/>
        </w:rPr>
        <w:t xml:space="preserve">llowances towards the cost of treatment. </w:t>
      </w:r>
    </w:p>
    <w:p w:rsidR="008C5A75" w:rsidRPr="00181A5F" w:rsidRDefault="000C1C36" w:rsidP="000C1C36">
      <w:pPr>
        <w:rPr>
          <w:color w:val="4F81BD" w:themeColor="accent1"/>
        </w:rPr>
      </w:pPr>
      <w:r w:rsidRPr="00181A5F">
        <w:rPr>
          <w:color w:val="4F81BD" w:themeColor="accent1"/>
        </w:rPr>
        <w:t>Those with permanent disabilities, permanently unable to work or people over working age sh</w:t>
      </w:r>
      <w:r w:rsidR="00E06FC7" w:rsidRPr="00181A5F">
        <w:rPr>
          <w:color w:val="4F81BD" w:themeColor="accent1"/>
        </w:rPr>
        <w:t>ould be paid a permanent Living A</w:t>
      </w:r>
      <w:r w:rsidRPr="00181A5F">
        <w:rPr>
          <w:color w:val="4F81BD" w:themeColor="accent1"/>
        </w:rPr>
        <w:t xml:space="preserve">llowance. This rate would </w:t>
      </w:r>
      <w:r w:rsidR="00517C45" w:rsidRPr="00181A5F">
        <w:rPr>
          <w:color w:val="4F81BD" w:themeColor="accent1"/>
        </w:rPr>
        <w:t>be based on a % of the Minimum Wage and be r</w:t>
      </w:r>
      <w:r w:rsidRPr="00181A5F">
        <w:rPr>
          <w:color w:val="4F81BD" w:themeColor="accent1"/>
        </w:rPr>
        <w:t xml:space="preserve">eviewed </w:t>
      </w:r>
      <w:r w:rsidR="00F33692" w:rsidRPr="00181A5F">
        <w:rPr>
          <w:color w:val="4F81BD" w:themeColor="accent1"/>
        </w:rPr>
        <w:t xml:space="preserve">at least </w:t>
      </w:r>
      <w:r w:rsidRPr="00181A5F">
        <w:rPr>
          <w:color w:val="4F81BD" w:themeColor="accent1"/>
        </w:rPr>
        <w:t xml:space="preserve">annually at a rate sufficient for someone in retirement to live successfully. </w:t>
      </w:r>
    </w:p>
    <w:p w:rsidR="008E7B96" w:rsidRPr="00181A5F" w:rsidRDefault="008E7B96" w:rsidP="000C1C36">
      <w:pPr>
        <w:rPr>
          <w:color w:val="4F81BD" w:themeColor="accent1"/>
        </w:rPr>
      </w:pPr>
      <w:r w:rsidRPr="00181A5F">
        <w:rPr>
          <w:color w:val="4F81BD" w:themeColor="accent1"/>
        </w:rPr>
        <w:t xml:space="preserve">Actual rates would be determined by </w:t>
      </w:r>
      <w:r w:rsidR="00C034E3" w:rsidRPr="00181A5F">
        <w:rPr>
          <w:color w:val="4F81BD" w:themeColor="accent1"/>
        </w:rPr>
        <w:t>the appropriate A</w:t>
      </w:r>
      <w:r w:rsidR="005F5943" w:rsidRPr="00181A5F">
        <w:rPr>
          <w:color w:val="4F81BD" w:themeColor="accent1"/>
        </w:rPr>
        <w:t>uthorities</w:t>
      </w:r>
      <w:r w:rsidR="00517C45" w:rsidRPr="00181A5F">
        <w:rPr>
          <w:color w:val="4F81BD" w:themeColor="accent1"/>
        </w:rPr>
        <w:t>,</w:t>
      </w:r>
      <w:r w:rsidR="005F5943" w:rsidRPr="00181A5F">
        <w:rPr>
          <w:color w:val="4F81BD" w:themeColor="accent1"/>
        </w:rPr>
        <w:t xml:space="preserve"> taking into account the real cost of living </w:t>
      </w:r>
      <w:r w:rsidR="00517C45" w:rsidRPr="00181A5F">
        <w:rPr>
          <w:color w:val="4F81BD" w:themeColor="accent1"/>
        </w:rPr>
        <w:t xml:space="preserve">and </w:t>
      </w:r>
      <w:r w:rsidR="005F5943" w:rsidRPr="00181A5F">
        <w:rPr>
          <w:color w:val="4F81BD" w:themeColor="accent1"/>
        </w:rPr>
        <w:t>adjusted annually.</w:t>
      </w:r>
    </w:p>
    <w:p w:rsidR="001C2BE7" w:rsidRPr="00181A5F" w:rsidRDefault="001C2BE7" w:rsidP="008C5A75">
      <w:pPr>
        <w:pStyle w:val="Heading3"/>
      </w:pPr>
      <w:r w:rsidRPr="00181A5F">
        <w:t>Fair rate structure</w:t>
      </w:r>
    </w:p>
    <w:p w:rsidR="000C1C36" w:rsidRPr="00181A5F" w:rsidRDefault="00E06FC7" w:rsidP="000C1C36">
      <w:pPr>
        <w:rPr>
          <w:iCs/>
          <w:color w:val="4F81BD" w:themeColor="accent1"/>
          <w:lang w:eastAsia="en-AU"/>
        </w:rPr>
      </w:pPr>
      <w:r w:rsidRPr="00181A5F">
        <w:rPr>
          <w:iCs/>
          <w:color w:val="4F81BD" w:themeColor="accent1"/>
          <w:lang w:eastAsia="en-AU"/>
        </w:rPr>
        <w:t>Rates sh</w:t>
      </w:r>
      <w:r w:rsidR="000C1C36" w:rsidRPr="00181A5F">
        <w:rPr>
          <w:iCs/>
          <w:color w:val="4F81BD" w:themeColor="accent1"/>
          <w:lang w:eastAsia="en-AU"/>
        </w:rPr>
        <w:t xml:space="preserve">ould be adjusted annually in line with cost of living increases linked to </w:t>
      </w:r>
      <w:r w:rsidR="005F5943" w:rsidRPr="00181A5F">
        <w:rPr>
          <w:iCs/>
          <w:color w:val="4F81BD" w:themeColor="accent1"/>
          <w:lang w:eastAsia="en-AU"/>
        </w:rPr>
        <w:t xml:space="preserve">a percentage of the </w:t>
      </w:r>
      <w:r w:rsidRPr="00181A5F">
        <w:rPr>
          <w:iCs/>
          <w:color w:val="4F81BD" w:themeColor="accent1"/>
          <w:lang w:eastAsia="en-AU"/>
        </w:rPr>
        <w:t>M</w:t>
      </w:r>
      <w:r w:rsidR="000C1C36" w:rsidRPr="00181A5F">
        <w:rPr>
          <w:iCs/>
          <w:color w:val="4F81BD" w:themeColor="accent1"/>
          <w:lang w:eastAsia="en-AU"/>
        </w:rPr>
        <w:t xml:space="preserve">inimum </w:t>
      </w:r>
      <w:r w:rsidRPr="00181A5F">
        <w:rPr>
          <w:iCs/>
          <w:color w:val="4F81BD" w:themeColor="accent1"/>
          <w:lang w:eastAsia="en-AU"/>
        </w:rPr>
        <w:t>Wage</w:t>
      </w:r>
      <w:r w:rsidR="000C1C36" w:rsidRPr="00181A5F">
        <w:rPr>
          <w:iCs/>
          <w:color w:val="4F81BD" w:themeColor="accent1"/>
          <w:lang w:eastAsia="en-AU"/>
        </w:rPr>
        <w:t xml:space="preserve"> rate</w:t>
      </w:r>
      <w:r w:rsidRPr="00181A5F">
        <w:rPr>
          <w:iCs/>
          <w:color w:val="4F81BD" w:themeColor="accent1"/>
          <w:lang w:eastAsia="en-AU"/>
        </w:rPr>
        <w:t>, fairly determined by the appropriate authorities.</w:t>
      </w:r>
    </w:p>
    <w:p w:rsidR="000C1C36" w:rsidRPr="00181A5F" w:rsidRDefault="000C1C36" w:rsidP="000C1C36">
      <w:pPr>
        <w:rPr>
          <w:iCs/>
          <w:color w:val="4F81BD" w:themeColor="accent1"/>
          <w:lang w:eastAsia="en-AU"/>
        </w:rPr>
      </w:pPr>
      <w:r w:rsidRPr="00181A5F">
        <w:rPr>
          <w:iCs/>
          <w:color w:val="4F81BD" w:themeColor="accent1"/>
          <w:lang w:eastAsia="en-AU"/>
        </w:rPr>
        <w:t xml:space="preserve">Additional allowances would be applied for dependants without </w:t>
      </w:r>
      <w:r w:rsidR="005F5943" w:rsidRPr="00181A5F">
        <w:rPr>
          <w:iCs/>
          <w:color w:val="4F81BD" w:themeColor="accent1"/>
          <w:lang w:eastAsia="en-AU"/>
        </w:rPr>
        <w:t>a</w:t>
      </w:r>
      <w:r w:rsidRPr="00181A5F">
        <w:rPr>
          <w:iCs/>
          <w:color w:val="4F81BD" w:themeColor="accent1"/>
          <w:lang w:eastAsia="en-AU"/>
        </w:rPr>
        <w:t xml:space="preserve">dequate income support </w:t>
      </w:r>
      <w:r w:rsidR="005F5943" w:rsidRPr="00181A5F">
        <w:rPr>
          <w:iCs/>
          <w:color w:val="4F81BD" w:themeColor="accent1"/>
          <w:lang w:eastAsia="en-AU"/>
        </w:rPr>
        <w:t>in t</w:t>
      </w:r>
      <w:r w:rsidRPr="00181A5F">
        <w:rPr>
          <w:iCs/>
          <w:color w:val="4F81BD" w:themeColor="accent1"/>
          <w:lang w:eastAsia="en-AU"/>
        </w:rPr>
        <w:t>heir own right</w:t>
      </w:r>
      <w:r w:rsidR="00E06FC7" w:rsidRPr="00181A5F">
        <w:rPr>
          <w:iCs/>
          <w:color w:val="4F81BD" w:themeColor="accent1"/>
          <w:lang w:eastAsia="en-AU"/>
        </w:rPr>
        <w:t>,</w:t>
      </w:r>
      <w:r w:rsidRPr="00181A5F">
        <w:rPr>
          <w:iCs/>
          <w:color w:val="4F81BD" w:themeColor="accent1"/>
          <w:lang w:eastAsia="en-AU"/>
        </w:rPr>
        <w:t xml:space="preserve"> </w:t>
      </w:r>
      <w:r w:rsidR="00E13FA3" w:rsidRPr="00181A5F">
        <w:rPr>
          <w:iCs/>
          <w:color w:val="4F81BD" w:themeColor="accent1"/>
          <w:lang w:eastAsia="en-AU"/>
        </w:rPr>
        <w:t>living</w:t>
      </w:r>
      <w:r w:rsidR="00E06FC7" w:rsidRPr="00181A5F">
        <w:rPr>
          <w:iCs/>
          <w:color w:val="4F81BD" w:themeColor="accent1"/>
          <w:lang w:eastAsia="en-AU"/>
        </w:rPr>
        <w:t xml:space="preserve"> at h</w:t>
      </w:r>
      <w:r w:rsidRPr="00181A5F">
        <w:rPr>
          <w:iCs/>
          <w:color w:val="4F81BD" w:themeColor="accent1"/>
          <w:lang w:eastAsia="en-AU"/>
        </w:rPr>
        <w:t>ome</w:t>
      </w:r>
      <w:r w:rsidR="00E06FC7" w:rsidRPr="00181A5F">
        <w:rPr>
          <w:iCs/>
          <w:color w:val="4F81BD" w:themeColor="accent1"/>
          <w:lang w:eastAsia="en-AU"/>
        </w:rPr>
        <w:t xml:space="preserve"> and d</w:t>
      </w:r>
      <w:r w:rsidRPr="00181A5F">
        <w:rPr>
          <w:iCs/>
          <w:color w:val="4F81BD" w:themeColor="accent1"/>
          <w:lang w:eastAsia="en-AU"/>
        </w:rPr>
        <w:t>ependent on parental</w:t>
      </w:r>
      <w:r w:rsidR="00E06FC7" w:rsidRPr="00181A5F">
        <w:rPr>
          <w:iCs/>
          <w:color w:val="4F81BD" w:themeColor="accent1"/>
          <w:lang w:eastAsia="en-AU"/>
        </w:rPr>
        <w:t>/guardian</w:t>
      </w:r>
      <w:r w:rsidRPr="00181A5F">
        <w:rPr>
          <w:iCs/>
          <w:color w:val="4F81BD" w:themeColor="accent1"/>
          <w:lang w:eastAsia="en-AU"/>
        </w:rPr>
        <w:t xml:space="preserve"> support. This would include former students and persons </w:t>
      </w:r>
      <w:r w:rsidR="00E13FA3" w:rsidRPr="00181A5F">
        <w:rPr>
          <w:iCs/>
          <w:color w:val="4F81BD" w:themeColor="accent1"/>
          <w:lang w:eastAsia="en-AU"/>
        </w:rPr>
        <w:t>t</w:t>
      </w:r>
      <w:r w:rsidRPr="00181A5F">
        <w:rPr>
          <w:iCs/>
          <w:color w:val="4F81BD" w:themeColor="accent1"/>
          <w:lang w:eastAsia="en-AU"/>
        </w:rPr>
        <w:t xml:space="preserve">emporarily ineligible for </w:t>
      </w:r>
      <w:r w:rsidR="00E13FA3" w:rsidRPr="00181A5F">
        <w:rPr>
          <w:iCs/>
          <w:color w:val="4F81BD" w:themeColor="accent1"/>
          <w:lang w:eastAsia="en-AU"/>
        </w:rPr>
        <w:t>Govt.</w:t>
      </w:r>
      <w:r w:rsidRPr="00181A5F">
        <w:rPr>
          <w:iCs/>
          <w:color w:val="4F81BD" w:themeColor="accent1"/>
          <w:lang w:eastAsia="en-AU"/>
        </w:rPr>
        <w:t xml:space="preserve"> </w:t>
      </w:r>
      <w:r w:rsidR="00E13FA3" w:rsidRPr="00181A5F">
        <w:rPr>
          <w:iCs/>
          <w:color w:val="4F81BD" w:themeColor="accent1"/>
          <w:lang w:eastAsia="en-AU"/>
        </w:rPr>
        <w:t>a</w:t>
      </w:r>
      <w:r w:rsidRPr="00181A5F">
        <w:rPr>
          <w:iCs/>
          <w:color w:val="4F81BD" w:themeColor="accent1"/>
          <w:lang w:eastAsia="en-AU"/>
        </w:rPr>
        <w:t xml:space="preserve">ssistance due to some </w:t>
      </w:r>
      <w:proofErr w:type="spellStart"/>
      <w:r w:rsidRPr="00181A5F">
        <w:rPr>
          <w:iCs/>
          <w:color w:val="4F81BD" w:themeColor="accent1"/>
          <w:lang w:eastAsia="en-AU"/>
        </w:rPr>
        <w:t>preclusionary</w:t>
      </w:r>
      <w:proofErr w:type="spellEnd"/>
      <w:r w:rsidRPr="00181A5F">
        <w:rPr>
          <w:iCs/>
          <w:color w:val="4F81BD" w:themeColor="accent1"/>
          <w:lang w:eastAsia="en-AU"/>
        </w:rPr>
        <w:t xml:space="preserve"> legislative </w:t>
      </w:r>
      <w:r w:rsidR="00E13FA3" w:rsidRPr="00181A5F">
        <w:rPr>
          <w:iCs/>
          <w:color w:val="4F81BD" w:themeColor="accent1"/>
          <w:lang w:eastAsia="en-AU"/>
        </w:rPr>
        <w:t>p</w:t>
      </w:r>
      <w:r w:rsidRPr="00181A5F">
        <w:rPr>
          <w:iCs/>
          <w:color w:val="4F81BD" w:themeColor="accent1"/>
          <w:lang w:eastAsia="en-AU"/>
        </w:rPr>
        <w:t>rovision</w:t>
      </w:r>
      <w:r w:rsidR="00E06FC7" w:rsidRPr="00181A5F">
        <w:rPr>
          <w:iCs/>
          <w:color w:val="4F81BD" w:themeColor="accent1"/>
          <w:lang w:eastAsia="en-AU"/>
        </w:rPr>
        <w:t xml:space="preserve"> (e.g.</w:t>
      </w:r>
      <w:r w:rsidRPr="00181A5F">
        <w:rPr>
          <w:iCs/>
          <w:color w:val="4F81BD" w:themeColor="accent1"/>
          <w:lang w:eastAsia="en-AU"/>
        </w:rPr>
        <w:t xml:space="preserve"> such as being unemployed for 6 months before being eligible for payment in </w:t>
      </w:r>
      <w:r w:rsidR="00E13FA3" w:rsidRPr="00181A5F">
        <w:rPr>
          <w:iCs/>
          <w:color w:val="4F81BD" w:themeColor="accent1"/>
          <w:lang w:eastAsia="en-AU"/>
        </w:rPr>
        <w:t>t</w:t>
      </w:r>
      <w:r w:rsidRPr="00181A5F">
        <w:rPr>
          <w:iCs/>
          <w:color w:val="4F81BD" w:themeColor="accent1"/>
          <w:lang w:eastAsia="en-AU"/>
        </w:rPr>
        <w:t xml:space="preserve">heir own </w:t>
      </w:r>
      <w:r w:rsidR="00E13FA3" w:rsidRPr="00181A5F">
        <w:rPr>
          <w:iCs/>
          <w:color w:val="4F81BD" w:themeColor="accent1"/>
          <w:lang w:eastAsia="en-AU"/>
        </w:rPr>
        <w:t>r</w:t>
      </w:r>
      <w:r w:rsidRPr="00181A5F">
        <w:rPr>
          <w:iCs/>
          <w:color w:val="4F81BD" w:themeColor="accent1"/>
          <w:lang w:eastAsia="en-AU"/>
        </w:rPr>
        <w:t>ight</w:t>
      </w:r>
      <w:r w:rsidR="00E06FC7" w:rsidRPr="00181A5F">
        <w:rPr>
          <w:iCs/>
          <w:color w:val="4F81BD" w:themeColor="accent1"/>
          <w:lang w:eastAsia="en-AU"/>
        </w:rPr>
        <w:t>)</w:t>
      </w:r>
      <w:r w:rsidRPr="00181A5F">
        <w:rPr>
          <w:iCs/>
          <w:color w:val="4F81BD" w:themeColor="accent1"/>
          <w:lang w:eastAsia="en-AU"/>
        </w:rPr>
        <w:t>.</w:t>
      </w:r>
    </w:p>
    <w:p w:rsidR="000C1C36" w:rsidRPr="00181A5F" w:rsidRDefault="00E06FC7" w:rsidP="000C1C36">
      <w:pPr>
        <w:rPr>
          <w:iCs/>
          <w:color w:val="4F81BD" w:themeColor="accent1"/>
          <w:lang w:eastAsia="en-AU"/>
        </w:rPr>
      </w:pPr>
      <w:r w:rsidRPr="00181A5F">
        <w:rPr>
          <w:iCs/>
          <w:color w:val="4F81BD" w:themeColor="accent1"/>
          <w:lang w:eastAsia="en-AU"/>
        </w:rPr>
        <w:t>All L</w:t>
      </w:r>
      <w:r w:rsidR="000C1C36" w:rsidRPr="00181A5F">
        <w:rPr>
          <w:iCs/>
          <w:color w:val="4F81BD" w:themeColor="accent1"/>
          <w:lang w:eastAsia="en-AU"/>
        </w:rPr>
        <w:t>iving All</w:t>
      </w:r>
      <w:r w:rsidRPr="00181A5F">
        <w:rPr>
          <w:iCs/>
          <w:color w:val="4F81BD" w:themeColor="accent1"/>
          <w:lang w:eastAsia="en-AU"/>
        </w:rPr>
        <w:t>owance payments should be at a minimum rate set</w:t>
      </w:r>
      <w:r w:rsidR="000C1C36" w:rsidRPr="00181A5F">
        <w:rPr>
          <w:iCs/>
          <w:color w:val="4F81BD" w:themeColor="accent1"/>
          <w:lang w:eastAsia="en-AU"/>
        </w:rPr>
        <w:t xml:space="preserve"> </w:t>
      </w:r>
      <w:r w:rsidR="000C1C36" w:rsidRPr="00181A5F">
        <w:rPr>
          <w:iCs/>
          <w:color w:val="4F81BD" w:themeColor="accent1"/>
          <w:u w:val="single"/>
          <w:lang w:eastAsia="en-AU"/>
        </w:rPr>
        <w:t>above</w:t>
      </w:r>
      <w:r w:rsidRPr="00181A5F">
        <w:rPr>
          <w:iCs/>
          <w:color w:val="4F81BD" w:themeColor="accent1"/>
          <w:lang w:eastAsia="en-AU"/>
        </w:rPr>
        <w:t xml:space="preserve"> the poverty line – said r</w:t>
      </w:r>
      <w:r w:rsidR="000C1C36" w:rsidRPr="00181A5F">
        <w:rPr>
          <w:iCs/>
          <w:color w:val="4F81BD" w:themeColor="accent1"/>
          <w:lang w:eastAsia="en-AU"/>
        </w:rPr>
        <w:t>ate to be establish</w:t>
      </w:r>
      <w:r w:rsidRPr="00181A5F">
        <w:rPr>
          <w:iCs/>
          <w:color w:val="4F81BD" w:themeColor="accent1"/>
          <w:lang w:eastAsia="en-AU"/>
        </w:rPr>
        <w:t xml:space="preserve">ed by the appropriate </w:t>
      </w:r>
      <w:r w:rsidR="00C034E3" w:rsidRPr="00181A5F">
        <w:rPr>
          <w:iCs/>
          <w:color w:val="4F81BD" w:themeColor="accent1"/>
          <w:lang w:eastAsia="en-AU"/>
        </w:rPr>
        <w:t>A</w:t>
      </w:r>
      <w:r w:rsidR="000C1C36" w:rsidRPr="00181A5F">
        <w:rPr>
          <w:iCs/>
          <w:color w:val="4F81BD" w:themeColor="accent1"/>
          <w:lang w:eastAsia="en-AU"/>
        </w:rPr>
        <w:t>uthority</w:t>
      </w:r>
    </w:p>
    <w:p w:rsidR="000C1C36" w:rsidRPr="00181A5F" w:rsidRDefault="000C1C36" w:rsidP="000C1C36">
      <w:pPr>
        <w:rPr>
          <w:iCs/>
          <w:color w:val="4F81BD" w:themeColor="accent1"/>
          <w:lang w:eastAsia="en-AU"/>
        </w:rPr>
      </w:pPr>
      <w:r w:rsidRPr="00181A5F">
        <w:rPr>
          <w:iCs/>
          <w:color w:val="4F81BD" w:themeColor="accent1"/>
          <w:lang w:eastAsia="en-AU"/>
        </w:rPr>
        <w:t>No one should be left in the Community without adequate means of support</w:t>
      </w:r>
      <w:r w:rsidR="00E13FA3" w:rsidRPr="00181A5F">
        <w:rPr>
          <w:iCs/>
          <w:color w:val="4F81BD" w:themeColor="accent1"/>
          <w:lang w:eastAsia="en-AU"/>
        </w:rPr>
        <w:t>,</w:t>
      </w:r>
      <w:r w:rsidRPr="00181A5F">
        <w:rPr>
          <w:iCs/>
          <w:color w:val="4F81BD" w:themeColor="accent1"/>
          <w:lang w:eastAsia="en-AU"/>
        </w:rPr>
        <w:t xml:space="preserve"> providing </w:t>
      </w:r>
      <w:r w:rsidR="00E13FA3" w:rsidRPr="00181A5F">
        <w:rPr>
          <w:iCs/>
          <w:color w:val="4F81BD" w:themeColor="accent1"/>
          <w:lang w:eastAsia="en-AU"/>
        </w:rPr>
        <w:t>t</w:t>
      </w:r>
      <w:r w:rsidRPr="00181A5F">
        <w:rPr>
          <w:iCs/>
          <w:color w:val="4F81BD" w:themeColor="accent1"/>
          <w:lang w:eastAsia="en-AU"/>
        </w:rPr>
        <w:t xml:space="preserve">hey are </w:t>
      </w:r>
      <w:r w:rsidR="00E13FA3" w:rsidRPr="00181A5F">
        <w:rPr>
          <w:iCs/>
          <w:color w:val="4F81BD" w:themeColor="accent1"/>
          <w:lang w:eastAsia="en-AU"/>
        </w:rPr>
        <w:t>f</w:t>
      </w:r>
      <w:r w:rsidRPr="00181A5F">
        <w:rPr>
          <w:iCs/>
          <w:color w:val="4F81BD" w:themeColor="accent1"/>
          <w:lang w:eastAsia="en-AU"/>
        </w:rPr>
        <w:t>ulfilling the requirements of a</w:t>
      </w:r>
      <w:r w:rsidR="00E13FA3" w:rsidRPr="00181A5F">
        <w:rPr>
          <w:iCs/>
          <w:color w:val="4F81BD" w:themeColor="accent1"/>
          <w:lang w:eastAsia="en-AU"/>
        </w:rPr>
        <w:t>n</w:t>
      </w:r>
      <w:r w:rsidRPr="00181A5F">
        <w:rPr>
          <w:iCs/>
          <w:color w:val="4F81BD" w:themeColor="accent1"/>
          <w:lang w:eastAsia="en-AU"/>
        </w:rPr>
        <w:t xml:space="preserve"> approved Govt</w:t>
      </w:r>
      <w:r w:rsidR="00E13FA3" w:rsidRPr="00181A5F">
        <w:rPr>
          <w:iCs/>
          <w:color w:val="4F81BD" w:themeColor="accent1"/>
          <w:lang w:eastAsia="en-AU"/>
        </w:rPr>
        <w:t>. p</w:t>
      </w:r>
      <w:r w:rsidRPr="00181A5F">
        <w:rPr>
          <w:iCs/>
          <w:color w:val="4F81BD" w:themeColor="accent1"/>
          <w:lang w:eastAsia="en-AU"/>
        </w:rPr>
        <w:t>rogram.</w:t>
      </w:r>
    </w:p>
    <w:p w:rsidR="001C2BE7" w:rsidRPr="00181A5F" w:rsidRDefault="001C2BE7" w:rsidP="008C5A75">
      <w:pPr>
        <w:pStyle w:val="Heading3"/>
      </w:pPr>
      <w:r w:rsidRPr="00181A5F">
        <w:lastRenderedPageBreak/>
        <w:t xml:space="preserve">Common approach to </w:t>
      </w:r>
      <w:r w:rsidR="00A17AFA" w:rsidRPr="00181A5F">
        <w:t>adjusting payments</w:t>
      </w:r>
    </w:p>
    <w:p w:rsidR="00E06FC7" w:rsidRPr="00181A5F" w:rsidRDefault="000C1C36" w:rsidP="000C1C36">
      <w:pPr>
        <w:rPr>
          <w:iCs/>
          <w:color w:val="4F81BD" w:themeColor="accent1"/>
          <w:lang w:eastAsia="en-AU"/>
        </w:rPr>
      </w:pPr>
      <w:r w:rsidRPr="00181A5F">
        <w:rPr>
          <w:iCs/>
          <w:color w:val="4F81BD" w:themeColor="accent1"/>
          <w:lang w:eastAsia="en-AU"/>
        </w:rPr>
        <w:t xml:space="preserve">If the rates </w:t>
      </w:r>
      <w:r w:rsidR="00E06FC7" w:rsidRPr="00181A5F">
        <w:rPr>
          <w:iCs/>
          <w:color w:val="4F81BD" w:themeColor="accent1"/>
          <w:lang w:eastAsia="en-AU"/>
        </w:rPr>
        <w:t xml:space="preserve">of Living Allowance payments </w:t>
      </w:r>
      <w:r w:rsidRPr="00181A5F">
        <w:rPr>
          <w:iCs/>
          <w:color w:val="4F81BD" w:themeColor="accent1"/>
          <w:lang w:eastAsia="en-AU"/>
        </w:rPr>
        <w:t xml:space="preserve">were to be set at an agreed % of the Minimum Wage </w:t>
      </w:r>
      <w:r w:rsidR="00E13FA3" w:rsidRPr="00181A5F">
        <w:rPr>
          <w:iCs/>
          <w:color w:val="4F81BD" w:themeColor="accent1"/>
          <w:lang w:eastAsia="en-AU"/>
        </w:rPr>
        <w:t>at a realistic and fair level (</w:t>
      </w:r>
      <w:r w:rsidRPr="00181A5F">
        <w:rPr>
          <w:iCs/>
          <w:color w:val="4F81BD" w:themeColor="accent1"/>
          <w:lang w:eastAsia="en-AU"/>
        </w:rPr>
        <w:t>above the poverty line</w:t>
      </w:r>
      <w:r w:rsidR="00E13FA3" w:rsidRPr="00181A5F">
        <w:rPr>
          <w:iCs/>
          <w:color w:val="4F81BD" w:themeColor="accent1"/>
          <w:lang w:eastAsia="en-AU"/>
        </w:rPr>
        <w:t>)</w:t>
      </w:r>
      <w:r w:rsidR="00E06FC7" w:rsidRPr="00181A5F">
        <w:rPr>
          <w:iCs/>
          <w:color w:val="4F81BD" w:themeColor="accent1"/>
          <w:lang w:eastAsia="en-AU"/>
        </w:rPr>
        <w:t>,</w:t>
      </w:r>
      <w:r w:rsidRPr="00181A5F">
        <w:rPr>
          <w:iCs/>
          <w:color w:val="4F81BD" w:themeColor="accent1"/>
          <w:lang w:eastAsia="en-AU"/>
        </w:rPr>
        <w:t xml:space="preserve"> </w:t>
      </w:r>
      <w:r w:rsidR="00E13FA3" w:rsidRPr="00181A5F">
        <w:rPr>
          <w:iCs/>
          <w:color w:val="4F81BD" w:themeColor="accent1"/>
          <w:lang w:eastAsia="en-AU"/>
        </w:rPr>
        <w:t>t</w:t>
      </w:r>
      <w:r w:rsidRPr="00181A5F">
        <w:rPr>
          <w:iCs/>
          <w:color w:val="4F81BD" w:themeColor="accent1"/>
          <w:lang w:eastAsia="en-AU"/>
        </w:rPr>
        <w:t xml:space="preserve">hey should be adjusted </w:t>
      </w:r>
      <w:r w:rsidR="00453266" w:rsidRPr="00181A5F">
        <w:rPr>
          <w:iCs/>
          <w:color w:val="4F81BD" w:themeColor="accent1"/>
          <w:lang w:eastAsia="en-AU"/>
        </w:rPr>
        <w:t xml:space="preserve">at least </w:t>
      </w:r>
      <w:r w:rsidRPr="00181A5F">
        <w:rPr>
          <w:iCs/>
          <w:color w:val="4F81BD" w:themeColor="accent1"/>
          <w:lang w:eastAsia="en-AU"/>
        </w:rPr>
        <w:t xml:space="preserve">annually </w:t>
      </w:r>
      <w:r w:rsidR="00E13FA3" w:rsidRPr="00181A5F">
        <w:rPr>
          <w:iCs/>
          <w:color w:val="4F81BD" w:themeColor="accent1"/>
          <w:lang w:eastAsia="en-AU"/>
        </w:rPr>
        <w:t xml:space="preserve">for </w:t>
      </w:r>
      <w:r w:rsidR="00453266" w:rsidRPr="00181A5F">
        <w:rPr>
          <w:iCs/>
          <w:color w:val="4F81BD" w:themeColor="accent1"/>
          <w:lang w:eastAsia="en-AU"/>
        </w:rPr>
        <w:t xml:space="preserve">real </w:t>
      </w:r>
      <w:r w:rsidR="00E13FA3" w:rsidRPr="00181A5F">
        <w:rPr>
          <w:iCs/>
          <w:color w:val="4F81BD" w:themeColor="accent1"/>
          <w:lang w:eastAsia="en-AU"/>
        </w:rPr>
        <w:t>cost of living increases.</w:t>
      </w:r>
      <w:r w:rsidRPr="00181A5F">
        <w:rPr>
          <w:iCs/>
          <w:color w:val="4F81BD" w:themeColor="accent1"/>
          <w:lang w:eastAsia="en-AU"/>
        </w:rPr>
        <w:t xml:space="preserve"> </w:t>
      </w:r>
    </w:p>
    <w:p w:rsidR="00A40C7F" w:rsidRPr="00181A5F" w:rsidRDefault="000C1C36" w:rsidP="000C1C36">
      <w:pPr>
        <w:rPr>
          <w:iCs/>
          <w:color w:val="4F81BD" w:themeColor="accent1"/>
          <w:lang w:eastAsia="en-AU"/>
        </w:rPr>
      </w:pPr>
      <w:r w:rsidRPr="00181A5F">
        <w:rPr>
          <w:iCs/>
          <w:color w:val="4F81BD" w:themeColor="accent1"/>
          <w:lang w:eastAsia="en-AU"/>
        </w:rPr>
        <w:t>Alternatively</w:t>
      </w:r>
      <w:r w:rsidR="00E06FC7" w:rsidRPr="00181A5F">
        <w:rPr>
          <w:iCs/>
          <w:color w:val="4F81BD" w:themeColor="accent1"/>
          <w:lang w:eastAsia="en-AU"/>
        </w:rPr>
        <w:t>,</w:t>
      </w:r>
      <w:r w:rsidRPr="00181A5F">
        <w:rPr>
          <w:iCs/>
          <w:color w:val="4F81BD" w:themeColor="accent1"/>
          <w:lang w:eastAsia="en-AU"/>
        </w:rPr>
        <w:t xml:space="preserve"> they should be fixed to </w:t>
      </w:r>
      <w:r w:rsidR="00E13FA3" w:rsidRPr="00181A5F">
        <w:rPr>
          <w:iCs/>
          <w:color w:val="4F81BD" w:themeColor="accent1"/>
          <w:lang w:eastAsia="en-AU"/>
        </w:rPr>
        <w:t>a</w:t>
      </w:r>
      <w:r w:rsidRPr="00181A5F">
        <w:rPr>
          <w:iCs/>
          <w:color w:val="4F81BD" w:themeColor="accent1"/>
          <w:lang w:eastAsia="en-AU"/>
        </w:rPr>
        <w:t xml:space="preserve"> percentage of average income</w:t>
      </w:r>
      <w:r w:rsidR="00721EE5" w:rsidRPr="00181A5F">
        <w:rPr>
          <w:iCs/>
          <w:color w:val="4F81BD" w:themeColor="accent1"/>
          <w:lang w:eastAsia="en-AU"/>
        </w:rPr>
        <w:t xml:space="preserve">. </w:t>
      </w:r>
      <w:r w:rsidRPr="00181A5F">
        <w:rPr>
          <w:iCs/>
          <w:color w:val="4F81BD" w:themeColor="accent1"/>
          <w:lang w:eastAsia="en-AU"/>
        </w:rPr>
        <w:t xml:space="preserve"> </w:t>
      </w:r>
    </w:p>
    <w:p w:rsidR="000C1C36" w:rsidRPr="00181A5F" w:rsidRDefault="000C1C36" w:rsidP="000C1C36">
      <w:pPr>
        <w:rPr>
          <w:color w:val="4F81BD" w:themeColor="accent1"/>
          <w:lang w:eastAsia="en-AU"/>
        </w:rPr>
      </w:pPr>
      <w:r w:rsidRPr="00181A5F">
        <w:rPr>
          <w:iCs/>
          <w:color w:val="4F81BD" w:themeColor="accent1"/>
          <w:lang w:eastAsia="en-AU"/>
        </w:rPr>
        <w:t>The actual rate</w:t>
      </w:r>
      <w:r w:rsidR="00721EE5" w:rsidRPr="00181A5F">
        <w:rPr>
          <w:iCs/>
          <w:color w:val="4F81BD" w:themeColor="accent1"/>
          <w:lang w:eastAsia="en-AU"/>
        </w:rPr>
        <w:t>s should</w:t>
      </w:r>
      <w:r w:rsidR="00E06FC7" w:rsidRPr="00181A5F">
        <w:rPr>
          <w:iCs/>
          <w:color w:val="4F81BD" w:themeColor="accent1"/>
          <w:lang w:eastAsia="en-AU"/>
        </w:rPr>
        <w:t>, in either</w:t>
      </w:r>
      <w:r w:rsidR="00721EE5" w:rsidRPr="00181A5F">
        <w:rPr>
          <w:iCs/>
          <w:color w:val="4F81BD" w:themeColor="accent1"/>
          <w:lang w:eastAsia="en-AU"/>
        </w:rPr>
        <w:t xml:space="preserve"> case</w:t>
      </w:r>
      <w:r w:rsidR="00E06FC7" w:rsidRPr="00181A5F">
        <w:rPr>
          <w:iCs/>
          <w:color w:val="4F81BD" w:themeColor="accent1"/>
          <w:lang w:eastAsia="en-AU"/>
        </w:rPr>
        <w:t>,</w:t>
      </w:r>
      <w:r w:rsidRPr="00181A5F">
        <w:rPr>
          <w:iCs/>
          <w:color w:val="4F81BD" w:themeColor="accent1"/>
          <w:lang w:eastAsia="en-AU"/>
        </w:rPr>
        <w:t xml:space="preserve"> be</w:t>
      </w:r>
      <w:r w:rsidR="00C034E3" w:rsidRPr="00181A5F">
        <w:rPr>
          <w:iCs/>
          <w:color w:val="4F81BD" w:themeColor="accent1"/>
          <w:lang w:eastAsia="en-AU"/>
        </w:rPr>
        <w:t xml:space="preserve"> determined by the appropriate A</w:t>
      </w:r>
      <w:r w:rsidRPr="00181A5F">
        <w:rPr>
          <w:iCs/>
          <w:color w:val="4F81BD" w:themeColor="accent1"/>
          <w:lang w:eastAsia="en-AU"/>
        </w:rPr>
        <w:t>uthority.</w:t>
      </w:r>
    </w:p>
    <w:p w:rsidR="001C2BE7" w:rsidRPr="00181A5F" w:rsidRDefault="001C2BE7" w:rsidP="008C5A75">
      <w:pPr>
        <w:pStyle w:val="Heading3"/>
      </w:pPr>
      <w:r w:rsidRPr="00181A5F">
        <w:t>Support for families with children and young people</w:t>
      </w:r>
    </w:p>
    <w:p w:rsidR="00235B2D" w:rsidRPr="00181A5F" w:rsidRDefault="00235B2D" w:rsidP="00235B2D">
      <w:pPr>
        <w:rPr>
          <w:iCs/>
          <w:color w:val="4F81BD" w:themeColor="accent1"/>
          <w:lang w:eastAsia="en-AU"/>
        </w:rPr>
      </w:pPr>
      <w:r w:rsidRPr="00181A5F">
        <w:rPr>
          <w:iCs/>
          <w:color w:val="4F81BD" w:themeColor="accent1"/>
          <w:lang w:eastAsia="en-AU"/>
        </w:rPr>
        <w:t>Young pe</w:t>
      </w:r>
      <w:r w:rsidR="00FD10E6" w:rsidRPr="00181A5F">
        <w:rPr>
          <w:iCs/>
          <w:color w:val="4F81BD" w:themeColor="accent1"/>
          <w:lang w:eastAsia="en-AU"/>
        </w:rPr>
        <w:t>ople living independently in the c</w:t>
      </w:r>
      <w:r w:rsidRPr="00181A5F">
        <w:rPr>
          <w:iCs/>
          <w:color w:val="4F81BD" w:themeColor="accent1"/>
          <w:lang w:eastAsia="en-AU"/>
        </w:rPr>
        <w:t>ommunity need to be supported and should be eligible for a living allowance in their own right</w:t>
      </w:r>
      <w:r w:rsidR="00FD10E6" w:rsidRPr="00181A5F">
        <w:rPr>
          <w:iCs/>
          <w:color w:val="4F81BD" w:themeColor="accent1"/>
          <w:lang w:eastAsia="en-AU"/>
        </w:rPr>
        <w:t>,</w:t>
      </w:r>
      <w:r w:rsidRPr="00181A5F">
        <w:rPr>
          <w:iCs/>
          <w:color w:val="4F81BD" w:themeColor="accent1"/>
          <w:lang w:eastAsia="en-AU"/>
        </w:rPr>
        <w:t xml:space="preserve"> whilst undergoing training or looking for work in compliance with a Government Assistance P</w:t>
      </w:r>
      <w:r w:rsidR="00721EE5" w:rsidRPr="00181A5F">
        <w:rPr>
          <w:iCs/>
          <w:color w:val="4F81BD" w:themeColor="accent1"/>
          <w:lang w:eastAsia="en-AU"/>
        </w:rPr>
        <w:t>r</w:t>
      </w:r>
      <w:r w:rsidRPr="00181A5F">
        <w:rPr>
          <w:iCs/>
          <w:color w:val="4F81BD" w:themeColor="accent1"/>
          <w:lang w:eastAsia="en-AU"/>
        </w:rPr>
        <w:t>ogram</w:t>
      </w:r>
      <w:r w:rsidR="00721EE5" w:rsidRPr="00181A5F">
        <w:rPr>
          <w:iCs/>
          <w:color w:val="4F81BD" w:themeColor="accent1"/>
          <w:lang w:eastAsia="en-AU"/>
        </w:rPr>
        <w:t>.</w:t>
      </w:r>
    </w:p>
    <w:p w:rsidR="00235B2D" w:rsidRPr="00181A5F" w:rsidRDefault="00235B2D" w:rsidP="00235B2D">
      <w:pPr>
        <w:rPr>
          <w:iCs/>
          <w:color w:val="4F81BD" w:themeColor="accent1"/>
          <w:lang w:eastAsia="en-AU"/>
        </w:rPr>
      </w:pPr>
      <w:r w:rsidRPr="00181A5F">
        <w:rPr>
          <w:iCs/>
          <w:color w:val="4F81BD" w:themeColor="accent1"/>
          <w:lang w:eastAsia="en-AU"/>
        </w:rPr>
        <w:t xml:space="preserve">An allowance should be paid to </w:t>
      </w:r>
      <w:proofErr w:type="gramStart"/>
      <w:r w:rsidRPr="00181A5F">
        <w:rPr>
          <w:iCs/>
          <w:color w:val="4F81BD" w:themeColor="accent1"/>
          <w:lang w:eastAsia="en-AU"/>
        </w:rPr>
        <w:t>parents that recognise</w:t>
      </w:r>
      <w:r w:rsidR="00721EE5" w:rsidRPr="00181A5F">
        <w:rPr>
          <w:iCs/>
          <w:color w:val="4F81BD" w:themeColor="accent1"/>
          <w:lang w:eastAsia="en-AU"/>
        </w:rPr>
        <w:t>s</w:t>
      </w:r>
      <w:proofErr w:type="gramEnd"/>
      <w:r w:rsidRPr="00181A5F">
        <w:rPr>
          <w:iCs/>
          <w:color w:val="4F81BD" w:themeColor="accent1"/>
          <w:lang w:eastAsia="en-AU"/>
        </w:rPr>
        <w:t xml:space="preserve"> the </w:t>
      </w:r>
      <w:r w:rsidR="00721EE5" w:rsidRPr="00181A5F">
        <w:rPr>
          <w:iCs/>
          <w:color w:val="4F81BD" w:themeColor="accent1"/>
          <w:lang w:eastAsia="en-AU"/>
        </w:rPr>
        <w:t>legal responsibility for</w:t>
      </w:r>
      <w:r w:rsidR="00FD10E6" w:rsidRPr="00181A5F">
        <w:rPr>
          <w:iCs/>
          <w:color w:val="4F81BD" w:themeColor="accent1"/>
          <w:lang w:eastAsia="en-AU"/>
        </w:rPr>
        <w:t>,</w:t>
      </w:r>
      <w:r w:rsidR="00721EE5" w:rsidRPr="00181A5F">
        <w:rPr>
          <w:iCs/>
          <w:color w:val="4F81BD" w:themeColor="accent1"/>
          <w:lang w:eastAsia="en-AU"/>
        </w:rPr>
        <w:t xml:space="preserve"> and the </w:t>
      </w:r>
      <w:r w:rsidRPr="00181A5F">
        <w:rPr>
          <w:iCs/>
          <w:color w:val="4F81BD" w:themeColor="accent1"/>
          <w:lang w:eastAsia="en-AU"/>
        </w:rPr>
        <w:t>real cost of</w:t>
      </w:r>
      <w:r w:rsidR="00FD10E6" w:rsidRPr="00181A5F">
        <w:rPr>
          <w:iCs/>
          <w:color w:val="4F81BD" w:themeColor="accent1"/>
          <w:lang w:eastAsia="en-AU"/>
        </w:rPr>
        <w:t>,</w:t>
      </w:r>
      <w:r w:rsidRPr="00181A5F">
        <w:rPr>
          <w:iCs/>
          <w:color w:val="4F81BD" w:themeColor="accent1"/>
          <w:lang w:eastAsia="en-AU"/>
        </w:rPr>
        <w:t xml:space="preserve"> supporting </w:t>
      </w:r>
      <w:r w:rsidR="00721EE5" w:rsidRPr="00181A5F">
        <w:rPr>
          <w:iCs/>
          <w:color w:val="4F81BD" w:themeColor="accent1"/>
          <w:lang w:eastAsia="en-AU"/>
        </w:rPr>
        <w:t>y</w:t>
      </w:r>
      <w:r w:rsidRPr="00181A5F">
        <w:rPr>
          <w:iCs/>
          <w:color w:val="4F81BD" w:themeColor="accent1"/>
          <w:lang w:eastAsia="en-AU"/>
        </w:rPr>
        <w:t xml:space="preserve">oung people and children who are dependent on </w:t>
      </w:r>
      <w:r w:rsidR="001C2B4B" w:rsidRPr="00181A5F">
        <w:rPr>
          <w:iCs/>
          <w:color w:val="4F81BD" w:themeColor="accent1"/>
          <w:lang w:eastAsia="en-AU"/>
        </w:rPr>
        <w:t>parents’</w:t>
      </w:r>
      <w:r w:rsidRPr="00181A5F">
        <w:rPr>
          <w:iCs/>
          <w:color w:val="4F81BD" w:themeColor="accent1"/>
          <w:lang w:eastAsia="en-AU"/>
        </w:rPr>
        <w:t xml:space="preserve"> income for support. This is </w:t>
      </w:r>
      <w:r w:rsidR="00721EE5" w:rsidRPr="00181A5F">
        <w:rPr>
          <w:iCs/>
          <w:color w:val="4F81BD" w:themeColor="accent1"/>
          <w:lang w:eastAsia="en-AU"/>
        </w:rPr>
        <w:t>p</w:t>
      </w:r>
      <w:r w:rsidRPr="00181A5F">
        <w:rPr>
          <w:iCs/>
          <w:color w:val="4F81BD" w:themeColor="accent1"/>
          <w:lang w:eastAsia="en-AU"/>
        </w:rPr>
        <w:t xml:space="preserve">articularly </w:t>
      </w:r>
      <w:r w:rsidR="001C2B4B" w:rsidRPr="00181A5F">
        <w:rPr>
          <w:iCs/>
          <w:color w:val="4F81BD" w:themeColor="accent1"/>
          <w:lang w:eastAsia="en-AU"/>
        </w:rPr>
        <w:t>important</w:t>
      </w:r>
      <w:r w:rsidRPr="00181A5F">
        <w:rPr>
          <w:iCs/>
          <w:color w:val="4F81BD" w:themeColor="accent1"/>
          <w:lang w:eastAsia="en-AU"/>
        </w:rPr>
        <w:t xml:space="preserve"> when no other Government support is available to </w:t>
      </w:r>
      <w:r w:rsidR="001C2B4B" w:rsidRPr="00181A5F">
        <w:rPr>
          <w:iCs/>
          <w:color w:val="4F81BD" w:themeColor="accent1"/>
          <w:lang w:eastAsia="en-AU"/>
        </w:rPr>
        <w:t>the child</w:t>
      </w:r>
      <w:r w:rsidR="00721EE5" w:rsidRPr="00181A5F">
        <w:rPr>
          <w:iCs/>
          <w:color w:val="4F81BD" w:themeColor="accent1"/>
          <w:lang w:eastAsia="en-AU"/>
        </w:rPr>
        <w:t xml:space="preserve"> or y</w:t>
      </w:r>
      <w:r w:rsidRPr="00181A5F">
        <w:rPr>
          <w:iCs/>
          <w:color w:val="4F81BD" w:themeColor="accent1"/>
          <w:lang w:eastAsia="en-AU"/>
        </w:rPr>
        <w:t>oung person</w:t>
      </w:r>
      <w:r w:rsidR="00721EE5" w:rsidRPr="00181A5F">
        <w:rPr>
          <w:iCs/>
          <w:color w:val="4F81BD" w:themeColor="accent1"/>
          <w:lang w:eastAsia="en-AU"/>
        </w:rPr>
        <w:t>.</w:t>
      </w:r>
    </w:p>
    <w:p w:rsidR="00235B2D" w:rsidRPr="00181A5F" w:rsidRDefault="00235B2D" w:rsidP="00235B2D">
      <w:pPr>
        <w:rPr>
          <w:iCs/>
          <w:color w:val="4F81BD" w:themeColor="accent1"/>
          <w:lang w:eastAsia="en-AU"/>
        </w:rPr>
      </w:pPr>
      <w:r w:rsidRPr="00181A5F">
        <w:rPr>
          <w:iCs/>
          <w:color w:val="4F81BD" w:themeColor="accent1"/>
          <w:lang w:eastAsia="en-AU"/>
        </w:rPr>
        <w:t xml:space="preserve">Where </w:t>
      </w:r>
      <w:r w:rsidR="00721EE5" w:rsidRPr="00181A5F">
        <w:rPr>
          <w:iCs/>
          <w:color w:val="4F81BD" w:themeColor="accent1"/>
          <w:lang w:eastAsia="en-AU"/>
        </w:rPr>
        <w:t>t</w:t>
      </w:r>
      <w:r w:rsidR="00FD10E6" w:rsidRPr="00181A5F">
        <w:rPr>
          <w:iCs/>
          <w:color w:val="4F81BD" w:themeColor="accent1"/>
          <w:lang w:eastAsia="en-AU"/>
        </w:rPr>
        <w:t>he parents are unable to meet the</w:t>
      </w:r>
      <w:r w:rsidRPr="00181A5F">
        <w:rPr>
          <w:iCs/>
          <w:color w:val="4F81BD" w:themeColor="accent1"/>
          <w:lang w:eastAsia="en-AU"/>
        </w:rPr>
        <w:t xml:space="preserve"> cost of supporting a </w:t>
      </w:r>
      <w:r w:rsidR="001C2B4B" w:rsidRPr="00181A5F">
        <w:rPr>
          <w:iCs/>
          <w:color w:val="4F81BD" w:themeColor="accent1"/>
          <w:lang w:eastAsia="en-AU"/>
        </w:rPr>
        <w:t>dependent</w:t>
      </w:r>
      <w:r w:rsidRPr="00181A5F">
        <w:rPr>
          <w:iCs/>
          <w:color w:val="4F81BD" w:themeColor="accent1"/>
          <w:lang w:eastAsia="en-AU"/>
        </w:rPr>
        <w:t xml:space="preserve"> child or </w:t>
      </w:r>
      <w:r w:rsidR="00721EE5" w:rsidRPr="00181A5F">
        <w:rPr>
          <w:iCs/>
          <w:color w:val="4F81BD" w:themeColor="accent1"/>
          <w:lang w:eastAsia="en-AU"/>
        </w:rPr>
        <w:t>y</w:t>
      </w:r>
      <w:r w:rsidRPr="00181A5F">
        <w:rPr>
          <w:iCs/>
          <w:color w:val="4F81BD" w:themeColor="accent1"/>
          <w:lang w:eastAsia="en-AU"/>
        </w:rPr>
        <w:t>oung person under the age of 21</w:t>
      </w:r>
      <w:r w:rsidR="00FD10E6" w:rsidRPr="00181A5F">
        <w:rPr>
          <w:iCs/>
          <w:color w:val="4F81BD" w:themeColor="accent1"/>
          <w:lang w:eastAsia="en-AU"/>
        </w:rPr>
        <w:t>,</w:t>
      </w:r>
      <w:r w:rsidRPr="00181A5F">
        <w:rPr>
          <w:iCs/>
          <w:color w:val="4F81BD" w:themeColor="accent1"/>
          <w:lang w:eastAsia="en-AU"/>
        </w:rPr>
        <w:t xml:space="preserve"> then </w:t>
      </w:r>
      <w:r w:rsidR="00721EE5" w:rsidRPr="00181A5F">
        <w:rPr>
          <w:iCs/>
          <w:color w:val="4F81BD" w:themeColor="accent1"/>
          <w:lang w:eastAsia="en-AU"/>
        </w:rPr>
        <w:t>s</w:t>
      </w:r>
      <w:r w:rsidRPr="00181A5F">
        <w:rPr>
          <w:iCs/>
          <w:color w:val="4F81BD" w:themeColor="accent1"/>
          <w:lang w:eastAsia="en-AU"/>
        </w:rPr>
        <w:t>pecial consider</w:t>
      </w:r>
      <w:r w:rsidR="00FD10E6" w:rsidRPr="00181A5F">
        <w:rPr>
          <w:iCs/>
          <w:color w:val="4F81BD" w:themeColor="accent1"/>
          <w:lang w:eastAsia="en-AU"/>
        </w:rPr>
        <w:t>ation should be given to the provision of</w:t>
      </w:r>
      <w:r w:rsidRPr="00181A5F">
        <w:rPr>
          <w:iCs/>
          <w:color w:val="4F81BD" w:themeColor="accent1"/>
          <w:lang w:eastAsia="en-AU"/>
        </w:rPr>
        <w:t xml:space="preserve"> an independent living allowance to</w:t>
      </w:r>
      <w:r w:rsidR="00FD10E6" w:rsidRPr="00181A5F">
        <w:rPr>
          <w:iCs/>
          <w:color w:val="4F81BD" w:themeColor="accent1"/>
          <w:lang w:eastAsia="en-AU"/>
        </w:rPr>
        <w:t xml:space="preserve"> a young </w:t>
      </w:r>
      <w:r w:rsidRPr="00181A5F">
        <w:rPr>
          <w:iCs/>
          <w:color w:val="4F81BD" w:themeColor="accent1"/>
          <w:lang w:eastAsia="en-AU"/>
        </w:rPr>
        <w:t>person</w:t>
      </w:r>
      <w:r w:rsidR="00721EE5" w:rsidRPr="00181A5F">
        <w:rPr>
          <w:iCs/>
          <w:color w:val="4F81BD" w:themeColor="accent1"/>
          <w:lang w:eastAsia="en-AU"/>
        </w:rPr>
        <w:t xml:space="preserve"> </w:t>
      </w:r>
      <w:r w:rsidR="001C2B4B" w:rsidRPr="00181A5F">
        <w:rPr>
          <w:iCs/>
          <w:color w:val="4F81BD" w:themeColor="accent1"/>
          <w:lang w:eastAsia="en-AU"/>
        </w:rPr>
        <w:t>undertaking education</w:t>
      </w:r>
      <w:r w:rsidRPr="00181A5F">
        <w:rPr>
          <w:iCs/>
          <w:color w:val="4F81BD" w:themeColor="accent1"/>
          <w:lang w:eastAsia="en-AU"/>
        </w:rPr>
        <w:t xml:space="preserve"> or training</w:t>
      </w:r>
      <w:r w:rsidR="00721EE5" w:rsidRPr="00181A5F">
        <w:rPr>
          <w:iCs/>
          <w:color w:val="4F81BD" w:themeColor="accent1"/>
          <w:lang w:eastAsia="en-AU"/>
        </w:rPr>
        <w:t xml:space="preserve"> without parental support</w:t>
      </w:r>
      <w:r w:rsidRPr="00181A5F">
        <w:rPr>
          <w:iCs/>
          <w:color w:val="4F81BD" w:themeColor="accent1"/>
          <w:lang w:eastAsia="en-AU"/>
        </w:rPr>
        <w:t xml:space="preserve">.  </w:t>
      </w:r>
    </w:p>
    <w:p w:rsidR="00235B2D" w:rsidRPr="00181A5F" w:rsidRDefault="00235B2D" w:rsidP="00235B2D">
      <w:pPr>
        <w:rPr>
          <w:iCs/>
          <w:color w:val="4F81BD" w:themeColor="accent1"/>
          <w:lang w:eastAsia="en-AU"/>
        </w:rPr>
      </w:pPr>
      <w:r w:rsidRPr="00181A5F">
        <w:rPr>
          <w:iCs/>
          <w:color w:val="4F81BD" w:themeColor="accent1"/>
          <w:lang w:eastAsia="en-AU"/>
        </w:rPr>
        <w:t xml:space="preserve">Persons over 21 should have their entitlement for a Living </w:t>
      </w:r>
      <w:r w:rsidR="00721EE5" w:rsidRPr="00181A5F">
        <w:rPr>
          <w:iCs/>
          <w:color w:val="4F81BD" w:themeColor="accent1"/>
          <w:lang w:eastAsia="en-AU"/>
        </w:rPr>
        <w:t>A</w:t>
      </w:r>
      <w:r w:rsidRPr="00181A5F">
        <w:rPr>
          <w:iCs/>
          <w:color w:val="4F81BD" w:themeColor="accent1"/>
          <w:lang w:eastAsia="en-AU"/>
        </w:rPr>
        <w:t>llowance assessed as</w:t>
      </w:r>
      <w:r w:rsidR="00FD10E6" w:rsidRPr="00181A5F">
        <w:rPr>
          <w:iCs/>
          <w:color w:val="4F81BD" w:themeColor="accent1"/>
          <w:lang w:eastAsia="en-AU"/>
        </w:rPr>
        <w:t xml:space="preserve"> an</w:t>
      </w:r>
      <w:r w:rsidRPr="00181A5F">
        <w:rPr>
          <w:iCs/>
          <w:color w:val="4F81BD" w:themeColor="accent1"/>
          <w:lang w:eastAsia="en-AU"/>
        </w:rPr>
        <w:t xml:space="preserve"> independent person living in the community – </w:t>
      </w:r>
      <w:r w:rsidR="00721EE5" w:rsidRPr="00181A5F">
        <w:rPr>
          <w:iCs/>
          <w:color w:val="4F81BD" w:themeColor="accent1"/>
          <w:lang w:eastAsia="en-AU"/>
        </w:rPr>
        <w:t>p</w:t>
      </w:r>
      <w:r w:rsidRPr="00181A5F">
        <w:rPr>
          <w:iCs/>
          <w:color w:val="4F81BD" w:themeColor="accent1"/>
          <w:lang w:eastAsia="en-AU"/>
        </w:rPr>
        <w:t xml:space="preserve">rovided they are in study or undergoing </w:t>
      </w:r>
      <w:r w:rsidR="001C2B4B" w:rsidRPr="00181A5F">
        <w:rPr>
          <w:iCs/>
          <w:color w:val="4F81BD" w:themeColor="accent1"/>
          <w:lang w:eastAsia="en-AU"/>
        </w:rPr>
        <w:t>training or</w:t>
      </w:r>
      <w:r w:rsidRPr="00181A5F">
        <w:rPr>
          <w:iCs/>
          <w:color w:val="4F81BD" w:themeColor="accent1"/>
          <w:lang w:eastAsia="en-AU"/>
        </w:rPr>
        <w:t xml:space="preserve"> </w:t>
      </w:r>
      <w:r w:rsidR="00721EE5" w:rsidRPr="00181A5F">
        <w:rPr>
          <w:iCs/>
          <w:color w:val="4F81BD" w:themeColor="accent1"/>
          <w:lang w:eastAsia="en-AU"/>
        </w:rPr>
        <w:t>c</w:t>
      </w:r>
      <w:r w:rsidRPr="00181A5F">
        <w:rPr>
          <w:iCs/>
          <w:color w:val="4F81BD" w:themeColor="accent1"/>
          <w:lang w:eastAsia="en-AU"/>
        </w:rPr>
        <w:t xml:space="preserve">an otherwise demonstrate they are genuinely </w:t>
      </w:r>
      <w:r w:rsidR="00721EE5" w:rsidRPr="00181A5F">
        <w:rPr>
          <w:iCs/>
          <w:color w:val="4F81BD" w:themeColor="accent1"/>
          <w:lang w:eastAsia="en-AU"/>
        </w:rPr>
        <w:t>s</w:t>
      </w:r>
      <w:r w:rsidRPr="00181A5F">
        <w:rPr>
          <w:iCs/>
          <w:color w:val="4F81BD" w:themeColor="accent1"/>
          <w:lang w:eastAsia="en-AU"/>
        </w:rPr>
        <w:t xml:space="preserve">eeking </w:t>
      </w:r>
      <w:r w:rsidR="00721EE5" w:rsidRPr="00181A5F">
        <w:rPr>
          <w:iCs/>
          <w:color w:val="4F81BD" w:themeColor="accent1"/>
          <w:lang w:eastAsia="en-AU"/>
        </w:rPr>
        <w:t>s</w:t>
      </w:r>
      <w:r w:rsidRPr="00181A5F">
        <w:rPr>
          <w:iCs/>
          <w:color w:val="4F81BD" w:themeColor="accent1"/>
          <w:lang w:eastAsia="en-AU"/>
        </w:rPr>
        <w:t xml:space="preserve">uitable </w:t>
      </w:r>
      <w:r w:rsidR="00721EE5" w:rsidRPr="00181A5F">
        <w:rPr>
          <w:iCs/>
          <w:color w:val="4F81BD" w:themeColor="accent1"/>
          <w:lang w:eastAsia="en-AU"/>
        </w:rPr>
        <w:t>paid</w:t>
      </w:r>
      <w:r w:rsidRPr="00181A5F">
        <w:rPr>
          <w:iCs/>
          <w:color w:val="4F81BD" w:themeColor="accent1"/>
          <w:lang w:eastAsia="en-AU"/>
        </w:rPr>
        <w:t xml:space="preserve"> work / </w:t>
      </w:r>
      <w:r w:rsidR="00721EE5" w:rsidRPr="00181A5F">
        <w:rPr>
          <w:iCs/>
          <w:color w:val="4F81BD" w:themeColor="accent1"/>
          <w:lang w:eastAsia="en-AU"/>
        </w:rPr>
        <w:t>f</w:t>
      </w:r>
      <w:r w:rsidRPr="00181A5F">
        <w:rPr>
          <w:iCs/>
          <w:color w:val="4F81BD" w:themeColor="accent1"/>
          <w:lang w:eastAsia="en-AU"/>
        </w:rPr>
        <w:t>ull</w:t>
      </w:r>
      <w:r w:rsidR="00721EE5" w:rsidRPr="00181A5F">
        <w:rPr>
          <w:iCs/>
          <w:color w:val="4F81BD" w:themeColor="accent1"/>
          <w:lang w:eastAsia="en-AU"/>
        </w:rPr>
        <w:t>-t</w:t>
      </w:r>
      <w:r w:rsidRPr="00181A5F">
        <w:rPr>
          <w:iCs/>
          <w:color w:val="4F81BD" w:themeColor="accent1"/>
          <w:lang w:eastAsia="en-AU"/>
        </w:rPr>
        <w:t xml:space="preserve">ime employment. </w:t>
      </w:r>
    </w:p>
    <w:p w:rsidR="001C2BE7" w:rsidRPr="00181A5F" w:rsidRDefault="00692454" w:rsidP="008C5A75">
      <w:pPr>
        <w:pStyle w:val="Heading3"/>
        <w:rPr>
          <w:iCs/>
          <w:smallCaps/>
        </w:rPr>
      </w:pPr>
      <w:r w:rsidRPr="00181A5F">
        <w:t>Effective r</w:t>
      </w:r>
      <w:r w:rsidR="001C2BE7" w:rsidRPr="00181A5F">
        <w:t>ent assistance</w:t>
      </w:r>
    </w:p>
    <w:p w:rsidR="00FD10E6" w:rsidRPr="00181A5F" w:rsidRDefault="00721EE5" w:rsidP="00235B2D">
      <w:pPr>
        <w:rPr>
          <w:color w:val="4F81BD" w:themeColor="accent1"/>
        </w:rPr>
      </w:pPr>
      <w:r w:rsidRPr="00181A5F">
        <w:rPr>
          <w:color w:val="4F81BD" w:themeColor="accent1"/>
        </w:rPr>
        <w:t>R</w:t>
      </w:r>
      <w:r w:rsidR="00692454" w:rsidRPr="00181A5F">
        <w:rPr>
          <w:color w:val="4F81BD" w:themeColor="accent1"/>
        </w:rPr>
        <w:t>ent A</w:t>
      </w:r>
      <w:r w:rsidR="00235B2D" w:rsidRPr="00181A5F">
        <w:rPr>
          <w:color w:val="4F81BD" w:themeColor="accent1"/>
        </w:rPr>
        <w:t xml:space="preserve">ssistance should </w:t>
      </w:r>
      <w:r w:rsidR="00692454" w:rsidRPr="00181A5F">
        <w:rPr>
          <w:color w:val="4F81BD" w:themeColor="accent1"/>
        </w:rPr>
        <w:t xml:space="preserve">only </w:t>
      </w:r>
      <w:r w:rsidR="00235B2D" w:rsidRPr="00181A5F">
        <w:rPr>
          <w:color w:val="4F81BD" w:themeColor="accent1"/>
        </w:rPr>
        <w:t xml:space="preserve">be paid in circumstances where the rent payable exceeds 25% of combined </w:t>
      </w:r>
      <w:r w:rsidR="00692454" w:rsidRPr="00181A5F">
        <w:rPr>
          <w:color w:val="4F81BD" w:themeColor="accent1"/>
        </w:rPr>
        <w:t xml:space="preserve">total </w:t>
      </w:r>
      <w:r w:rsidR="00235B2D" w:rsidRPr="00181A5F">
        <w:rPr>
          <w:color w:val="4F81BD" w:themeColor="accent1"/>
        </w:rPr>
        <w:t xml:space="preserve">household income. </w:t>
      </w:r>
    </w:p>
    <w:p w:rsidR="00235B2D" w:rsidRPr="00181A5F" w:rsidRDefault="00692454" w:rsidP="00235B2D">
      <w:pPr>
        <w:rPr>
          <w:color w:val="4F81BD" w:themeColor="accent1"/>
        </w:rPr>
      </w:pPr>
      <w:r w:rsidRPr="00181A5F">
        <w:rPr>
          <w:color w:val="4F81BD" w:themeColor="accent1"/>
        </w:rPr>
        <w:t xml:space="preserve">Eligibility for </w:t>
      </w:r>
      <w:r w:rsidR="00721EE5" w:rsidRPr="00181A5F">
        <w:rPr>
          <w:color w:val="4F81BD" w:themeColor="accent1"/>
        </w:rPr>
        <w:t>R</w:t>
      </w:r>
      <w:r w:rsidRPr="00181A5F">
        <w:rPr>
          <w:color w:val="4F81BD" w:themeColor="accent1"/>
        </w:rPr>
        <w:t>ent Assistance should</w:t>
      </w:r>
      <w:r w:rsidR="00235B2D" w:rsidRPr="00181A5F">
        <w:rPr>
          <w:color w:val="4F81BD" w:themeColor="accent1"/>
        </w:rPr>
        <w:t xml:space="preserve"> be </w:t>
      </w:r>
      <w:r w:rsidRPr="00181A5F">
        <w:rPr>
          <w:color w:val="4F81BD" w:themeColor="accent1"/>
        </w:rPr>
        <w:t>limited to</w:t>
      </w:r>
      <w:r w:rsidR="00235B2D" w:rsidRPr="00181A5F">
        <w:rPr>
          <w:color w:val="4F81BD" w:themeColor="accent1"/>
        </w:rPr>
        <w:t xml:space="preserve"> those living in social </w:t>
      </w:r>
      <w:r w:rsidRPr="00181A5F">
        <w:rPr>
          <w:color w:val="4F81BD" w:themeColor="accent1"/>
        </w:rPr>
        <w:t>housing</w:t>
      </w:r>
      <w:r w:rsidR="001C2B4B" w:rsidRPr="00181A5F">
        <w:rPr>
          <w:color w:val="4F81BD" w:themeColor="accent1"/>
        </w:rPr>
        <w:t xml:space="preserve"> </w:t>
      </w:r>
      <w:r w:rsidRPr="00181A5F">
        <w:rPr>
          <w:color w:val="4F81BD" w:themeColor="accent1"/>
        </w:rPr>
        <w:t>(</w:t>
      </w:r>
      <w:r w:rsidR="001C2B4B" w:rsidRPr="00181A5F">
        <w:rPr>
          <w:color w:val="4F81BD" w:themeColor="accent1"/>
        </w:rPr>
        <w:t>including</w:t>
      </w:r>
      <w:r w:rsidR="00235B2D" w:rsidRPr="00181A5F">
        <w:rPr>
          <w:color w:val="4F81BD" w:themeColor="accent1"/>
        </w:rPr>
        <w:t xml:space="preserve"> public housing</w:t>
      </w:r>
      <w:r w:rsidRPr="00181A5F">
        <w:rPr>
          <w:color w:val="4F81BD" w:themeColor="accent1"/>
        </w:rPr>
        <w:t>); to</w:t>
      </w:r>
      <w:r w:rsidR="00235B2D" w:rsidRPr="00181A5F">
        <w:rPr>
          <w:color w:val="4F81BD" w:themeColor="accent1"/>
        </w:rPr>
        <w:t xml:space="preserve"> those in private ren</w:t>
      </w:r>
      <w:r w:rsidRPr="00181A5F">
        <w:rPr>
          <w:color w:val="4F81BD" w:themeColor="accent1"/>
        </w:rPr>
        <w:t>tal in receipt of a government Living A</w:t>
      </w:r>
      <w:r w:rsidR="00235B2D" w:rsidRPr="00181A5F">
        <w:rPr>
          <w:color w:val="4F81BD" w:themeColor="accent1"/>
        </w:rPr>
        <w:t>llowance payment</w:t>
      </w:r>
      <w:r w:rsidRPr="00181A5F">
        <w:rPr>
          <w:color w:val="4F81BD" w:themeColor="accent1"/>
        </w:rPr>
        <w:t>; and to</w:t>
      </w:r>
      <w:r w:rsidR="00061976" w:rsidRPr="00181A5F">
        <w:rPr>
          <w:color w:val="4F81BD" w:themeColor="accent1"/>
        </w:rPr>
        <w:t xml:space="preserve"> low income hous</w:t>
      </w:r>
      <w:r w:rsidR="00940F5A" w:rsidRPr="00181A5F">
        <w:rPr>
          <w:color w:val="4F81BD" w:themeColor="accent1"/>
        </w:rPr>
        <w:t>e</w:t>
      </w:r>
      <w:r w:rsidR="00061976" w:rsidRPr="00181A5F">
        <w:rPr>
          <w:color w:val="4F81BD" w:themeColor="accent1"/>
        </w:rPr>
        <w:t>holds living in ren</w:t>
      </w:r>
      <w:r w:rsidR="00940F5A" w:rsidRPr="00181A5F">
        <w:rPr>
          <w:color w:val="4F81BD" w:themeColor="accent1"/>
        </w:rPr>
        <w:t>tal</w:t>
      </w:r>
      <w:r w:rsidR="00061976" w:rsidRPr="00181A5F">
        <w:rPr>
          <w:color w:val="4F81BD" w:themeColor="accent1"/>
        </w:rPr>
        <w:t xml:space="preserve"> stress</w:t>
      </w:r>
      <w:r w:rsidR="00235B2D" w:rsidRPr="00181A5F">
        <w:rPr>
          <w:color w:val="4F81BD" w:themeColor="accent1"/>
        </w:rPr>
        <w:t>.</w:t>
      </w:r>
    </w:p>
    <w:p w:rsidR="00061976" w:rsidRPr="00181A5F" w:rsidRDefault="00061976" w:rsidP="00235B2D">
      <w:pPr>
        <w:rPr>
          <w:color w:val="4F81BD" w:themeColor="accent1"/>
        </w:rPr>
      </w:pPr>
      <w:r w:rsidRPr="00181A5F">
        <w:rPr>
          <w:color w:val="4F81BD" w:themeColor="accent1"/>
        </w:rPr>
        <w:t>By definition</w:t>
      </w:r>
      <w:r w:rsidR="00692454" w:rsidRPr="00181A5F">
        <w:rPr>
          <w:color w:val="4F81BD" w:themeColor="accent1"/>
        </w:rPr>
        <w:t>,</w:t>
      </w:r>
      <w:r w:rsidRPr="00181A5F">
        <w:rPr>
          <w:color w:val="4F81BD" w:themeColor="accent1"/>
        </w:rPr>
        <w:t xml:space="preserve"> rent above 30% of household income equates to rental stress. Some household</w:t>
      </w:r>
      <w:r w:rsidR="00EC40F9" w:rsidRPr="00181A5F">
        <w:rPr>
          <w:color w:val="4F81BD" w:themeColor="accent1"/>
        </w:rPr>
        <w:t>s</w:t>
      </w:r>
      <w:r w:rsidRPr="00181A5F">
        <w:rPr>
          <w:color w:val="4F81BD" w:themeColor="accent1"/>
        </w:rPr>
        <w:t xml:space="preserve"> well exceed this threshold and may warrant additional support/subsidy </w:t>
      </w:r>
      <w:r w:rsidR="00EC40F9" w:rsidRPr="00181A5F">
        <w:rPr>
          <w:color w:val="4F81BD" w:themeColor="accent1"/>
        </w:rPr>
        <w:t xml:space="preserve">rather than be forced into </w:t>
      </w:r>
      <w:r w:rsidR="00692454" w:rsidRPr="00181A5F">
        <w:rPr>
          <w:color w:val="4F81BD" w:themeColor="accent1"/>
        </w:rPr>
        <w:t xml:space="preserve">extreme poverty or the </w:t>
      </w:r>
      <w:r w:rsidR="00EC40F9" w:rsidRPr="00181A5F">
        <w:rPr>
          <w:color w:val="4F81BD" w:themeColor="accent1"/>
        </w:rPr>
        <w:t xml:space="preserve">more highly </w:t>
      </w:r>
      <w:proofErr w:type="gramStart"/>
      <w:r w:rsidR="00EC40F9" w:rsidRPr="00181A5F">
        <w:rPr>
          <w:color w:val="4F81BD" w:themeColor="accent1"/>
        </w:rPr>
        <w:t>subsidised</w:t>
      </w:r>
      <w:proofErr w:type="gramEnd"/>
      <w:r w:rsidR="00EC40F9" w:rsidRPr="00181A5F">
        <w:rPr>
          <w:color w:val="4F81BD" w:themeColor="accent1"/>
        </w:rPr>
        <w:t xml:space="preserve"> social housing</w:t>
      </w:r>
      <w:r w:rsidR="00692454" w:rsidRPr="00181A5F">
        <w:rPr>
          <w:color w:val="4F81BD" w:themeColor="accent1"/>
        </w:rPr>
        <w:t xml:space="preserve"> program (presuming this option is available)</w:t>
      </w:r>
      <w:r w:rsidR="00EC40F9" w:rsidRPr="00181A5F">
        <w:rPr>
          <w:color w:val="4F81BD" w:themeColor="accent1"/>
        </w:rPr>
        <w:t xml:space="preserve">. </w:t>
      </w:r>
      <w:r w:rsidRPr="00181A5F">
        <w:rPr>
          <w:color w:val="4F81BD" w:themeColor="accent1"/>
        </w:rPr>
        <w:t xml:space="preserve"> </w:t>
      </w:r>
    </w:p>
    <w:p w:rsidR="00061976" w:rsidRPr="00181A5F" w:rsidRDefault="00692454" w:rsidP="00235B2D">
      <w:pPr>
        <w:rPr>
          <w:color w:val="4F81BD" w:themeColor="accent1"/>
        </w:rPr>
      </w:pPr>
      <w:r w:rsidRPr="00181A5F">
        <w:rPr>
          <w:color w:val="4F81BD" w:themeColor="accent1"/>
        </w:rPr>
        <w:t xml:space="preserve">As a </w:t>
      </w:r>
      <w:r w:rsidR="0078409E" w:rsidRPr="00181A5F">
        <w:rPr>
          <w:color w:val="4F81BD" w:themeColor="accent1"/>
        </w:rPr>
        <w:t>determinant of additional rent subsidy/support payable,</w:t>
      </w:r>
      <w:r w:rsidR="00061976" w:rsidRPr="00181A5F">
        <w:rPr>
          <w:color w:val="4F81BD" w:themeColor="accent1"/>
        </w:rPr>
        <w:t xml:space="preserve"> consideration needs to be given as to whether available funds</w:t>
      </w:r>
      <w:r w:rsidRPr="00181A5F">
        <w:rPr>
          <w:color w:val="4F81BD" w:themeColor="accent1"/>
        </w:rPr>
        <w:t>,</w:t>
      </w:r>
      <w:r w:rsidR="00061976" w:rsidRPr="00181A5F">
        <w:rPr>
          <w:color w:val="4F81BD" w:themeColor="accent1"/>
        </w:rPr>
        <w:t xml:space="preserve"> after rent is deducted</w:t>
      </w:r>
      <w:r w:rsidRPr="00181A5F">
        <w:rPr>
          <w:color w:val="4F81BD" w:themeColor="accent1"/>
        </w:rPr>
        <w:t>, are</w:t>
      </w:r>
      <w:r w:rsidR="00061976" w:rsidRPr="00181A5F">
        <w:rPr>
          <w:color w:val="4F81BD" w:themeColor="accent1"/>
        </w:rPr>
        <w:t xml:space="preserve"> adequate to cover the costs of living</w:t>
      </w:r>
      <w:r w:rsidR="0078409E" w:rsidRPr="00181A5F">
        <w:rPr>
          <w:color w:val="4F81BD" w:themeColor="accent1"/>
        </w:rPr>
        <w:t>,</w:t>
      </w:r>
      <w:r w:rsidR="00061976" w:rsidRPr="00181A5F">
        <w:rPr>
          <w:color w:val="4F81BD" w:themeColor="accent1"/>
        </w:rPr>
        <w:t xml:space="preserve"> including food, clothing, education, health and well- being, utilities and job search.</w:t>
      </w:r>
    </w:p>
    <w:p w:rsidR="001C2BE7" w:rsidRPr="00181A5F" w:rsidRDefault="00721EE5" w:rsidP="00235B2D">
      <w:pPr>
        <w:rPr>
          <w:color w:val="4F81BD" w:themeColor="accent1"/>
        </w:rPr>
      </w:pPr>
      <w:r w:rsidRPr="00181A5F">
        <w:rPr>
          <w:color w:val="4F81BD" w:themeColor="accent1"/>
        </w:rPr>
        <w:t>Market rent or a</w:t>
      </w:r>
      <w:r w:rsidR="00235B2D" w:rsidRPr="00181A5F">
        <w:rPr>
          <w:color w:val="4F81BD" w:themeColor="accent1"/>
        </w:rPr>
        <w:t xml:space="preserve">ny notional market rent rate should be disregarded </w:t>
      </w:r>
      <w:r w:rsidR="001C2B4B" w:rsidRPr="00181A5F">
        <w:rPr>
          <w:color w:val="4F81BD" w:themeColor="accent1"/>
        </w:rPr>
        <w:t>as a</w:t>
      </w:r>
      <w:r w:rsidR="00235B2D" w:rsidRPr="00181A5F">
        <w:rPr>
          <w:color w:val="4F81BD" w:themeColor="accent1"/>
        </w:rPr>
        <w:t xml:space="preserve"> factor in the rent assistance calculation</w:t>
      </w:r>
      <w:r w:rsidR="0078409E" w:rsidRPr="00181A5F">
        <w:rPr>
          <w:color w:val="4F81BD" w:themeColor="accent1"/>
        </w:rPr>
        <w:t>,</w:t>
      </w:r>
      <w:r w:rsidRPr="00181A5F">
        <w:rPr>
          <w:color w:val="4F81BD" w:themeColor="accent1"/>
        </w:rPr>
        <w:t xml:space="preserve"> as this would have an inflationary impact</w:t>
      </w:r>
      <w:r w:rsidR="00235B2D" w:rsidRPr="00181A5F">
        <w:rPr>
          <w:color w:val="4F81BD" w:themeColor="accent1"/>
        </w:rPr>
        <w:t>.</w:t>
      </w:r>
    </w:p>
    <w:p w:rsidR="00293BC5" w:rsidRDefault="00293BC5">
      <w:pPr>
        <w:rPr>
          <w:b/>
          <w:lang w:eastAsia="en-AU"/>
        </w:rPr>
      </w:pPr>
      <w:r>
        <w:br w:type="page"/>
      </w:r>
    </w:p>
    <w:p w:rsidR="001C2BE7" w:rsidRPr="00181A5F" w:rsidRDefault="001C2BE7" w:rsidP="008C5A75">
      <w:pPr>
        <w:pStyle w:val="Heading3"/>
      </w:pPr>
      <w:r w:rsidRPr="00181A5F">
        <w:lastRenderedPageBreak/>
        <w:t>Rewards for work and targeting assistance to need</w:t>
      </w:r>
    </w:p>
    <w:p w:rsidR="00235B2D" w:rsidRPr="00181A5F" w:rsidRDefault="00235B2D" w:rsidP="00235B2D">
      <w:pPr>
        <w:rPr>
          <w:iCs/>
          <w:color w:val="4F81BD" w:themeColor="accent1"/>
          <w:lang w:eastAsia="en-AU"/>
        </w:rPr>
      </w:pPr>
      <w:r w:rsidRPr="00181A5F">
        <w:rPr>
          <w:iCs/>
          <w:color w:val="4F81BD" w:themeColor="accent1"/>
          <w:lang w:eastAsia="en-AU"/>
        </w:rPr>
        <w:t>A standard assets and i</w:t>
      </w:r>
      <w:r w:rsidR="0078409E" w:rsidRPr="00181A5F">
        <w:rPr>
          <w:iCs/>
          <w:color w:val="4F81BD" w:themeColor="accent1"/>
          <w:lang w:eastAsia="en-AU"/>
        </w:rPr>
        <w:t>ncome test should apply to all Living A</w:t>
      </w:r>
      <w:r w:rsidRPr="00181A5F">
        <w:rPr>
          <w:iCs/>
          <w:color w:val="4F81BD" w:themeColor="accent1"/>
          <w:lang w:eastAsia="en-AU"/>
        </w:rPr>
        <w:t>llowance recipients</w:t>
      </w:r>
      <w:r w:rsidR="0078409E" w:rsidRPr="00181A5F">
        <w:rPr>
          <w:iCs/>
          <w:color w:val="4F81BD" w:themeColor="accent1"/>
          <w:lang w:eastAsia="en-AU"/>
        </w:rPr>
        <w:t>, regardless of any</w:t>
      </w:r>
      <w:r w:rsidRPr="00181A5F">
        <w:rPr>
          <w:iCs/>
          <w:color w:val="4F81BD" w:themeColor="accent1"/>
          <w:lang w:eastAsia="en-AU"/>
        </w:rPr>
        <w:t xml:space="preserve"> </w:t>
      </w:r>
      <w:r w:rsidR="00721EE5" w:rsidRPr="00181A5F">
        <w:rPr>
          <w:iCs/>
          <w:color w:val="4F81BD" w:themeColor="accent1"/>
          <w:lang w:eastAsia="en-AU"/>
        </w:rPr>
        <w:t>p</w:t>
      </w:r>
      <w:r w:rsidRPr="00181A5F">
        <w:rPr>
          <w:iCs/>
          <w:color w:val="4F81BD" w:themeColor="accent1"/>
          <w:lang w:eastAsia="en-AU"/>
        </w:rPr>
        <w:t xml:space="preserve">ayment </w:t>
      </w:r>
      <w:r w:rsidR="00721EE5" w:rsidRPr="00181A5F">
        <w:rPr>
          <w:iCs/>
          <w:color w:val="4F81BD" w:themeColor="accent1"/>
          <w:lang w:eastAsia="en-AU"/>
        </w:rPr>
        <w:t xml:space="preserve">type or </w:t>
      </w:r>
      <w:r w:rsidRPr="00181A5F">
        <w:rPr>
          <w:iCs/>
          <w:color w:val="4F81BD" w:themeColor="accent1"/>
          <w:lang w:eastAsia="en-AU"/>
        </w:rPr>
        <w:t>category.</w:t>
      </w:r>
    </w:p>
    <w:p w:rsidR="00235B2D" w:rsidRPr="00181A5F" w:rsidRDefault="00721EE5" w:rsidP="00235B2D">
      <w:pPr>
        <w:rPr>
          <w:color w:val="4F81BD" w:themeColor="accent1"/>
          <w:lang w:eastAsia="en-AU"/>
        </w:rPr>
      </w:pPr>
      <w:r w:rsidRPr="00181A5F">
        <w:rPr>
          <w:iCs/>
          <w:color w:val="4F81BD" w:themeColor="accent1"/>
          <w:lang w:eastAsia="en-AU"/>
        </w:rPr>
        <w:t>T</w:t>
      </w:r>
      <w:r w:rsidR="00235B2D" w:rsidRPr="00181A5F">
        <w:rPr>
          <w:iCs/>
          <w:color w:val="4F81BD" w:themeColor="accent1"/>
          <w:lang w:eastAsia="en-AU"/>
        </w:rPr>
        <w:t>he income test should encourage employment</w:t>
      </w:r>
      <w:r w:rsidRPr="00181A5F">
        <w:rPr>
          <w:iCs/>
          <w:color w:val="4F81BD" w:themeColor="accent1"/>
          <w:lang w:eastAsia="en-AU"/>
        </w:rPr>
        <w:t xml:space="preserve">. </w:t>
      </w:r>
      <w:r w:rsidR="00EC3063" w:rsidRPr="00181A5F">
        <w:rPr>
          <w:iCs/>
          <w:color w:val="4F81BD" w:themeColor="accent1"/>
          <w:lang w:eastAsia="en-AU"/>
        </w:rPr>
        <w:t>A person should always be better of</w:t>
      </w:r>
      <w:r w:rsidR="0078409E" w:rsidRPr="00181A5F">
        <w:rPr>
          <w:iCs/>
          <w:color w:val="4F81BD" w:themeColor="accent1"/>
          <w:lang w:eastAsia="en-AU"/>
        </w:rPr>
        <w:t>f</w:t>
      </w:r>
      <w:r w:rsidR="00EC3063" w:rsidRPr="00181A5F">
        <w:rPr>
          <w:iCs/>
          <w:color w:val="4F81BD" w:themeColor="accent1"/>
          <w:lang w:eastAsia="en-AU"/>
        </w:rPr>
        <w:t xml:space="preserve"> working and receiving a part p</w:t>
      </w:r>
      <w:r w:rsidR="0078409E" w:rsidRPr="00181A5F">
        <w:rPr>
          <w:iCs/>
          <w:color w:val="4F81BD" w:themeColor="accent1"/>
          <w:lang w:eastAsia="en-AU"/>
        </w:rPr>
        <w:t>ayment than they would be on a L</w:t>
      </w:r>
      <w:r w:rsidR="00EC3063" w:rsidRPr="00181A5F">
        <w:rPr>
          <w:iCs/>
          <w:color w:val="4F81BD" w:themeColor="accent1"/>
          <w:lang w:eastAsia="en-AU"/>
        </w:rPr>
        <w:t xml:space="preserve">iving </w:t>
      </w:r>
      <w:r w:rsidR="0078409E" w:rsidRPr="00181A5F">
        <w:rPr>
          <w:iCs/>
          <w:color w:val="4F81BD" w:themeColor="accent1"/>
          <w:lang w:eastAsia="en-AU"/>
        </w:rPr>
        <w:t>A</w:t>
      </w:r>
      <w:r w:rsidR="00EC3063" w:rsidRPr="00181A5F">
        <w:rPr>
          <w:iCs/>
          <w:color w:val="4F81BD" w:themeColor="accent1"/>
          <w:lang w:eastAsia="en-AU"/>
        </w:rPr>
        <w:t>llowance (pension or benefit). This would provide an incentive to work.  As an e</w:t>
      </w:r>
      <w:r w:rsidR="00235B2D" w:rsidRPr="00181A5F">
        <w:rPr>
          <w:iCs/>
          <w:color w:val="4F81BD" w:themeColor="accent1"/>
          <w:lang w:eastAsia="en-AU"/>
        </w:rPr>
        <w:t xml:space="preserve">xample </w:t>
      </w:r>
      <w:r w:rsidR="00EC3063" w:rsidRPr="00181A5F">
        <w:rPr>
          <w:iCs/>
          <w:color w:val="4F81BD" w:themeColor="accent1"/>
          <w:lang w:eastAsia="en-AU"/>
        </w:rPr>
        <w:t>- if</w:t>
      </w:r>
      <w:r w:rsidR="0078409E" w:rsidRPr="00181A5F">
        <w:rPr>
          <w:iCs/>
          <w:color w:val="4F81BD" w:themeColor="accent1"/>
          <w:lang w:eastAsia="en-AU"/>
        </w:rPr>
        <w:t xml:space="preserve"> the income test-</w:t>
      </w:r>
      <w:r w:rsidR="00235B2D" w:rsidRPr="00181A5F">
        <w:rPr>
          <w:iCs/>
          <w:color w:val="4F81BD" w:themeColor="accent1"/>
          <w:lang w:eastAsia="en-AU"/>
        </w:rPr>
        <w:t>free threshold was</w:t>
      </w:r>
      <w:r w:rsidR="0078409E" w:rsidRPr="00181A5F">
        <w:rPr>
          <w:iCs/>
          <w:color w:val="4F81BD" w:themeColor="accent1"/>
          <w:lang w:eastAsia="en-AU"/>
        </w:rPr>
        <w:t>,</w:t>
      </w:r>
      <w:r w:rsidR="00235B2D" w:rsidRPr="00181A5F">
        <w:rPr>
          <w:iCs/>
          <w:color w:val="4F81BD" w:themeColor="accent1"/>
          <w:lang w:eastAsia="en-AU"/>
        </w:rPr>
        <w:t xml:space="preserve"> </w:t>
      </w:r>
      <w:r w:rsidR="00EC3063" w:rsidRPr="00181A5F">
        <w:rPr>
          <w:iCs/>
          <w:color w:val="4F81BD" w:themeColor="accent1"/>
          <w:lang w:eastAsia="en-AU"/>
        </w:rPr>
        <w:t>say</w:t>
      </w:r>
      <w:r w:rsidR="0078409E" w:rsidRPr="00181A5F">
        <w:rPr>
          <w:iCs/>
          <w:color w:val="4F81BD" w:themeColor="accent1"/>
          <w:lang w:eastAsia="en-AU"/>
        </w:rPr>
        <w:t>,</w:t>
      </w:r>
      <w:r w:rsidR="00EC3063" w:rsidRPr="00181A5F">
        <w:rPr>
          <w:iCs/>
          <w:color w:val="4F81BD" w:themeColor="accent1"/>
          <w:lang w:eastAsia="en-AU"/>
        </w:rPr>
        <w:t xml:space="preserve"> </w:t>
      </w:r>
      <w:r w:rsidR="00235B2D" w:rsidRPr="00181A5F">
        <w:rPr>
          <w:iCs/>
          <w:color w:val="4F81BD" w:themeColor="accent1"/>
          <w:lang w:eastAsia="en-AU"/>
        </w:rPr>
        <w:t>$50 per week for a single person</w:t>
      </w:r>
      <w:r w:rsidR="0078409E" w:rsidRPr="00181A5F">
        <w:rPr>
          <w:iCs/>
          <w:color w:val="4F81BD" w:themeColor="accent1"/>
          <w:lang w:eastAsia="en-AU"/>
        </w:rPr>
        <w:t>,</w:t>
      </w:r>
      <w:r w:rsidR="00235B2D" w:rsidRPr="00181A5F">
        <w:rPr>
          <w:iCs/>
          <w:color w:val="4F81BD" w:themeColor="accent1"/>
          <w:lang w:eastAsia="en-AU"/>
        </w:rPr>
        <w:t xml:space="preserve"> </w:t>
      </w:r>
      <w:r w:rsidR="00EC3063" w:rsidRPr="00181A5F">
        <w:rPr>
          <w:iCs/>
          <w:color w:val="4F81BD" w:themeColor="accent1"/>
          <w:lang w:eastAsia="en-AU"/>
        </w:rPr>
        <w:t>then a</w:t>
      </w:r>
      <w:r w:rsidR="00235B2D" w:rsidRPr="00181A5F">
        <w:rPr>
          <w:iCs/>
          <w:color w:val="4F81BD" w:themeColor="accent1"/>
          <w:lang w:eastAsia="en-AU"/>
        </w:rPr>
        <w:t xml:space="preserve">ny earnings above this </w:t>
      </w:r>
      <w:r w:rsidR="0078409E" w:rsidRPr="00181A5F">
        <w:rPr>
          <w:iCs/>
          <w:color w:val="4F81BD" w:themeColor="accent1"/>
          <w:lang w:eastAsia="en-AU"/>
        </w:rPr>
        <w:t xml:space="preserve">$50 </w:t>
      </w:r>
      <w:r w:rsidR="00235B2D" w:rsidRPr="00181A5F">
        <w:rPr>
          <w:iCs/>
          <w:color w:val="4F81BD" w:themeColor="accent1"/>
          <w:lang w:eastAsia="en-AU"/>
        </w:rPr>
        <w:t>would reduce the payment by $0.50c in the</w:t>
      </w:r>
      <w:r w:rsidR="0078409E" w:rsidRPr="00181A5F">
        <w:rPr>
          <w:iCs/>
          <w:color w:val="4F81BD" w:themeColor="accent1"/>
          <w:lang w:eastAsia="en-AU"/>
        </w:rPr>
        <w:t xml:space="preserve"> dollar</w:t>
      </w:r>
      <w:r w:rsidR="00EC3063" w:rsidRPr="00181A5F">
        <w:rPr>
          <w:iCs/>
          <w:color w:val="4F81BD" w:themeColor="accent1"/>
          <w:lang w:eastAsia="en-AU"/>
        </w:rPr>
        <w:t xml:space="preserve">, </w:t>
      </w:r>
      <w:r w:rsidR="00235B2D" w:rsidRPr="00181A5F">
        <w:rPr>
          <w:iCs/>
          <w:color w:val="4F81BD" w:themeColor="accent1"/>
          <w:lang w:eastAsia="en-AU"/>
        </w:rPr>
        <w:t>to a cut off limit</w:t>
      </w:r>
      <w:r w:rsidR="00EC3063" w:rsidRPr="00181A5F">
        <w:rPr>
          <w:iCs/>
          <w:color w:val="4F81BD" w:themeColor="accent1"/>
          <w:lang w:eastAsia="en-AU"/>
        </w:rPr>
        <w:t xml:space="preserve"> where no payment is made</w:t>
      </w:r>
      <w:r w:rsidR="00235B2D" w:rsidRPr="00181A5F">
        <w:rPr>
          <w:iCs/>
          <w:color w:val="4F81BD" w:themeColor="accent1"/>
          <w:lang w:eastAsia="en-AU"/>
        </w:rPr>
        <w:t>.</w:t>
      </w:r>
    </w:p>
    <w:p w:rsidR="001C2BE7" w:rsidRPr="00181A5F" w:rsidRDefault="001C2BE7" w:rsidP="008C5A75">
      <w:pPr>
        <w:pStyle w:val="Heading2"/>
        <w:rPr>
          <w:sz w:val="22"/>
          <w:szCs w:val="22"/>
        </w:rPr>
      </w:pPr>
      <w:r w:rsidRPr="00181A5F">
        <w:rPr>
          <w:sz w:val="22"/>
          <w:szCs w:val="22"/>
        </w:rPr>
        <w:t>Pillar Two: Strengthening individual and family capability</w:t>
      </w:r>
    </w:p>
    <w:p w:rsidR="00235B2D" w:rsidRPr="00181A5F" w:rsidRDefault="00235B2D" w:rsidP="00235B2D">
      <w:pPr>
        <w:rPr>
          <w:iCs/>
          <w:color w:val="4F81BD" w:themeColor="accent1"/>
          <w:lang w:eastAsia="en-AU"/>
        </w:rPr>
      </w:pPr>
      <w:r w:rsidRPr="00181A5F">
        <w:rPr>
          <w:iCs/>
          <w:color w:val="4F81BD" w:themeColor="accent1"/>
          <w:lang w:eastAsia="en-AU"/>
        </w:rPr>
        <w:t xml:space="preserve">Notional </w:t>
      </w:r>
      <w:r w:rsidR="00EC3063" w:rsidRPr="00181A5F">
        <w:rPr>
          <w:iCs/>
          <w:color w:val="4F81BD" w:themeColor="accent1"/>
          <w:lang w:eastAsia="en-AU"/>
        </w:rPr>
        <w:t>t</w:t>
      </w:r>
      <w:r w:rsidRPr="00181A5F">
        <w:rPr>
          <w:iCs/>
          <w:color w:val="4F81BD" w:themeColor="accent1"/>
          <w:lang w:eastAsia="en-AU"/>
        </w:rPr>
        <w:t xml:space="preserve">argets of a certain </w:t>
      </w:r>
      <w:r w:rsidR="00EC3063" w:rsidRPr="00181A5F">
        <w:rPr>
          <w:iCs/>
          <w:color w:val="4F81BD" w:themeColor="accent1"/>
          <w:lang w:eastAsia="en-AU"/>
        </w:rPr>
        <w:t>n</w:t>
      </w:r>
      <w:r w:rsidRPr="00181A5F">
        <w:rPr>
          <w:iCs/>
          <w:color w:val="4F81BD" w:themeColor="accent1"/>
          <w:lang w:eastAsia="en-AU"/>
        </w:rPr>
        <w:t xml:space="preserve">umber of hours per week </w:t>
      </w:r>
      <w:r w:rsidR="00EC3063" w:rsidRPr="00181A5F">
        <w:rPr>
          <w:iCs/>
          <w:color w:val="4F81BD" w:themeColor="accent1"/>
          <w:lang w:eastAsia="en-AU"/>
        </w:rPr>
        <w:t>“</w:t>
      </w:r>
      <w:r w:rsidRPr="00181A5F">
        <w:rPr>
          <w:iCs/>
          <w:color w:val="4F81BD" w:themeColor="accent1"/>
          <w:lang w:eastAsia="en-AU"/>
        </w:rPr>
        <w:t>work for the dole</w:t>
      </w:r>
      <w:r w:rsidR="00EC3063" w:rsidRPr="00181A5F">
        <w:rPr>
          <w:iCs/>
          <w:color w:val="4F81BD" w:themeColor="accent1"/>
          <w:lang w:eastAsia="en-AU"/>
        </w:rPr>
        <w:t>” are unrealistic and unworkable</w:t>
      </w:r>
      <w:r w:rsidR="001C2B4B" w:rsidRPr="00181A5F">
        <w:rPr>
          <w:iCs/>
          <w:color w:val="4F81BD" w:themeColor="accent1"/>
          <w:lang w:eastAsia="en-AU"/>
        </w:rPr>
        <w:t>, as</w:t>
      </w:r>
      <w:r w:rsidR="00EC3063" w:rsidRPr="00181A5F">
        <w:rPr>
          <w:iCs/>
          <w:color w:val="4F81BD" w:themeColor="accent1"/>
          <w:lang w:eastAsia="en-AU"/>
        </w:rPr>
        <w:t xml:space="preserve"> are a</w:t>
      </w:r>
      <w:r w:rsidRPr="00181A5F">
        <w:rPr>
          <w:iCs/>
          <w:color w:val="4F81BD" w:themeColor="accent1"/>
          <w:lang w:eastAsia="en-AU"/>
        </w:rPr>
        <w:t xml:space="preserve"> </w:t>
      </w:r>
      <w:r w:rsidR="00EC3063" w:rsidRPr="00181A5F">
        <w:rPr>
          <w:iCs/>
          <w:color w:val="4F81BD" w:themeColor="accent1"/>
          <w:lang w:eastAsia="en-AU"/>
        </w:rPr>
        <w:t xml:space="preserve">specified </w:t>
      </w:r>
      <w:r w:rsidRPr="00181A5F">
        <w:rPr>
          <w:iCs/>
          <w:color w:val="4F81BD" w:themeColor="accent1"/>
          <w:lang w:eastAsia="en-AU"/>
        </w:rPr>
        <w:t xml:space="preserve">number of </w:t>
      </w:r>
      <w:r w:rsidR="0078409E" w:rsidRPr="00181A5F">
        <w:rPr>
          <w:iCs/>
          <w:color w:val="4F81BD" w:themeColor="accent1"/>
          <w:lang w:eastAsia="en-AU"/>
        </w:rPr>
        <w:t xml:space="preserve">employment </w:t>
      </w:r>
      <w:r w:rsidRPr="00181A5F">
        <w:rPr>
          <w:iCs/>
          <w:color w:val="4F81BD" w:themeColor="accent1"/>
          <w:lang w:eastAsia="en-AU"/>
        </w:rPr>
        <w:t>application</w:t>
      </w:r>
      <w:r w:rsidR="00EC3063" w:rsidRPr="00181A5F">
        <w:rPr>
          <w:iCs/>
          <w:color w:val="4F81BD" w:themeColor="accent1"/>
          <w:lang w:eastAsia="en-AU"/>
        </w:rPr>
        <w:t>s</w:t>
      </w:r>
      <w:r w:rsidRPr="00181A5F">
        <w:rPr>
          <w:iCs/>
          <w:color w:val="4F81BD" w:themeColor="accent1"/>
          <w:lang w:eastAsia="en-AU"/>
        </w:rPr>
        <w:t xml:space="preserve"> to be </w:t>
      </w:r>
      <w:r w:rsidR="0078409E" w:rsidRPr="00181A5F">
        <w:rPr>
          <w:iCs/>
          <w:color w:val="4F81BD" w:themeColor="accent1"/>
          <w:lang w:eastAsia="en-AU"/>
        </w:rPr>
        <w:t xml:space="preserve">made </w:t>
      </w:r>
      <w:r w:rsidR="00EC3063" w:rsidRPr="00181A5F">
        <w:rPr>
          <w:iCs/>
          <w:color w:val="4F81BD" w:themeColor="accent1"/>
          <w:lang w:eastAsia="en-AU"/>
        </w:rPr>
        <w:t>each month</w:t>
      </w:r>
      <w:r w:rsidRPr="00181A5F">
        <w:rPr>
          <w:iCs/>
          <w:color w:val="4F81BD" w:themeColor="accent1"/>
          <w:lang w:eastAsia="en-AU"/>
        </w:rPr>
        <w:t xml:space="preserve"> and take no </w:t>
      </w:r>
      <w:r w:rsidR="00EC3063" w:rsidRPr="00181A5F">
        <w:rPr>
          <w:iCs/>
          <w:color w:val="4F81BD" w:themeColor="accent1"/>
          <w:lang w:eastAsia="en-AU"/>
        </w:rPr>
        <w:t>account</w:t>
      </w:r>
      <w:r w:rsidRPr="00181A5F">
        <w:rPr>
          <w:iCs/>
          <w:color w:val="4F81BD" w:themeColor="accent1"/>
          <w:lang w:eastAsia="en-AU"/>
        </w:rPr>
        <w:t xml:space="preserve"> of </w:t>
      </w:r>
      <w:r w:rsidR="00EC3063" w:rsidRPr="00181A5F">
        <w:rPr>
          <w:iCs/>
          <w:color w:val="4F81BD" w:themeColor="accent1"/>
          <w:lang w:eastAsia="en-AU"/>
        </w:rPr>
        <w:t>i</w:t>
      </w:r>
      <w:r w:rsidRPr="00181A5F">
        <w:rPr>
          <w:iCs/>
          <w:color w:val="4F81BD" w:themeColor="accent1"/>
          <w:lang w:eastAsia="en-AU"/>
        </w:rPr>
        <w:t>ndividual</w:t>
      </w:r>
      <w:r w:rsidR="00EC3063" w:rsidRPr="00181A5F">
        <w:rPr>
          <w:iCs/>
          <w:color w:val="4F81BD" w:themeColor="accent1"/>
          <w:lang w:eastAsia="en-AU"/>
        </w:rPr>
        <w:t xml:space="preserve"> c</w:t>
      </w:r>
      <w:r w:rsidRPr="00181A5F">
        <w:rPr>
          <w:iCs/>
          <w:color w:val="4F81BD" w:themeColor="accent1"/>
          <w:lang w:eastAsia="en-AU"/>
        </w:rPr>
        <w:t xml:space="preserve">ircumstances </w:t>
      </w:r>
      <w:r w:rsidR="00EC3063" w:rsidRPr="00181A5F">
        <w:rPr>
          <w:iCs/>
          <w:color w:val="4F81BD" w:themeColor="accent1"/>
          <w:lang w:eastAsia="en-AU"/>
        </w:rPr>
        <w:t>o</w:t>
      </w:r>
      <w:r w:rsidRPr="00181A5F">
        <w:rPr>
          <w:iCs/>
          <w:color w:val="4F81BD" w:themeColor="accent1"/>
          <w:lang w:eastAsia="en-AU"/>
        </w:rPr>
        <w:t xml:space="preserve">r of the </w:t>
      </w:r>
      <w:r w:rsidR="00EC3063" w:rsidRPr="00181A5F">
        <w:rPr>
          <w:iCs/>
          <w:color w:val="4F81BD" w:themeColor="accent1"/>
          <w:lang w:eastAsia="en-AU"/>
        </w:rPr>
        <w:t xml:space="preserve">parlous </w:t>
      </w:r>
      <w:r w:rsidRPr="00181A5F">
        <w:rPr>
          <w:iCs/>
          <w:color w:val="4F81BD" w:themeColor="accent1"/>
          <w:lang w:eastAsia="en-AU"/>
        </w:rPr>
        <w:t xml:space="preserve">reality of the </w:t>
      </w:r>
      <w:r w:rsidR="00EC3063" w:rsidRPr="00181A5F">
        <w:rPr>
          <w:iCs/>
          <w:color w:val="4F81BD" w:themeColor="accent1"/>
          <w:lang w:eastAsia="en-AU"/>
        </w:rPr>
        <w:t xml:space="preserve">job </w:t>
      </w:r>
      <w:r w:rsidRPr="00181A5F">
        <w:rPr>
          <w:iCs/>
          <w:color w:val="4F81BD" w:themeColor="accent1"/>
          <w:lang w:eastAsia="en-AU"/>
        </w:rPr>
        <w:t xml:space="preserve">market. </w:t>
      </w:r>
      <w:r w:rsidR="00EC3063" w:rsidRPr="00181A5F">
        <w:rPr>
          <w:iCs/>
          <w:color w:val="4F81BD" w:themeColor="accent1"/>
          <w:lang w:eastAsia="en-AU"/>
        </w:rPr>
        <w:t>Employers will be reluctant to verify efforts to obtain work as being genuine should this be a requireme</w:t>
      </w:r>
      <w:r w:rsidR="0078409E" w:rsidRPr="00181A5F">
        <w:rPr>
          <w:iCs/>
          <w:color w:val="4F81BD" w:themeColor="accent1"/>
          <w:lang w:eastAsia="en-AU"/>
        </w:rPr>
        <w:t>nt. Long term compliance will</w:t>
      </w:r>
      <w:r w:rsidR="00EC3063" w:rsidRPr="00181A5F">
        <w:rPr>
          <w:iCs/>
          <w:color w:val="4F81BD" w:themeColor="accent1"/>
          <w:lang w:eastAsia="en-AU"/>
        </w:rPr>
        <w:t xml:space="preserve"> certainly be an issue.  </w:t>
      </w:r>
    </w:p>
    <w:p w:rsidR="00235B2D" w:rsidRPr="00181A5F" w:rsidRDefault="00235B2D" w:rsidP="00235B2D">
      <w:pPr>
        <w:rPr>
          <w:color w:val="4F81BD" w:themeColor="accent1"/>
          <w:lang w:eastAsia="en-AU"/>
        </w:rPr>
      </w:pPr>
      <w:r w:rsidRPr="00181A5F">
        <w:rPr>
          <w:iCs/>
          <w:color w:val="4F81BD" w:themeColor="accent1"/>
          <w:lang w:eastAsia="en-AU"/>
        </w:rPr>
        <w:t xml:space="preserve">It would be beneficial and fairer for an individual assessment to be made for each applicant </w:t>
      </w:r>
      <w:r w:rsidR="00EC3063" w:rsidRPr="00181A5F">
        <w:rPr>
          <w:iCs/>
          <w:color w:val="4F81BD" w:themeColor="accent1"/>
          <w:lang w:eastAsia="en-AU"/>
        </w:rPr>
        <w:t>f</w:t>
      </w:r>
      <w:r w:rsidR="0078409E" w:rsidRPr="00181A5F">
        <w:rPr>
          <w:iCs/>
          <w:color w:val="4F81BD" w:themeColor="accent1"/>
          <w:lang w:eastAsia="en-AU"/>
        </w:rPr>
        <w:t>or a Living A</w:t>
      </w:r>
      <w:r w:rsidRPr="00181A5F">
        <w:rPr>
          <w:iCs/>
          <w:color w:val="4F81BD" w:themeColor="accent1"/>
          <w:lang w:eastAsia="en-AU"/>
        </w:rPr>
        <w:t xml:space="preserve">llowance and </w:t>
      </w:r>
      <w:r w:rsidR="00EC3063" w:rsidRPr="00181A5F">
        <w:rPr>
          <w:iCs/>
          <w:color w:val="4F81BD" w:themeColor="accent1"/>
          <w:lang w:eastAsia="en-AU"/>
        </w:rPr>
        <w:t>that</w:t>
      </w:r>
      <w:r w:rsidRPr="00181A5F">
        <w:rPr>
          <w:iCs/>
          <w:color w:val="4F81BD" w:themeColor="accent1"/>
          <w:lang w:eastAsia="en-AU"/>
        </w:rPr>
        <w:t xml:space="preserve"> this </w:t>
      </w:r>
      <w:r w:rsidR="0078409E" w:rsidRPr="00181A5F">
        <w:rPr>
          <w:iCs/>
          <w:color w:val="4F81BD" w:themeColor="accent1"/>
          <w:lang w:eastAsia="en-AU"/>
        </w:rPr>
        <w:t xml:space="preserve">assessment </w:t>
      </w:r>
      <w:r w:rsidRPr="00181A5F">
        <w:rPr>
          <w:iCs/>
          <w:color w:val="4F81BD" w:themeColor="accent1"/>
          <w:lang w:eastAsia="en-AU"/>
        </w:rPr>
        <w:t xml:space="preserve">forms part </w:t>
      </w:r>
      <w:r w:rsidR="0078409E" w:rsidRPr="00181A5F">
        <w:rPr>
          <w:iCs/>
          <w:color w:val="4F81BD" w:themeColor="accent1"/>
          <w:lang w:eastAsia="en-AU"/>
        </w:rPr>
        <w:t>of a social contract. Whilst a person</w:t>
      </w:r>
      <w:r w:rsidRPr="00181A5F">
        <w:rPr>
          <w:iCs/>
          <w:color w:val="4F81BD" w:themeColor="accent1"/>
          <w:lang w:eastAsia="en-AU"/>
        </w:rPr>
        <w:t xml:space="preserve"> can de</w:t>
      </w:r>
      <w:r w:rsidR="00EC3063" w:rsidRPr="00181A5F">
        <w:rPr>
          <w:iCs/>
          <w:color w:val="4F81BD" w:themeColor="accent1"/>
          <w:lang w:eastAsia="en-AU"/>
        </w:rPr>
        <w:t>m</w:t>
      </w:r>
      <w:r w:rsidRPr="00181A5F">
        <w:rPr>
          <w:iCs/>
          <w:color w:val="4F81BD" w:themeColor="accent1"/>
          <w:lang w:eastAsia="en-AU"/>
        </w:rPr>
        <w:t xml:space="preserve">onstrate </w:t>
      </w:r>
      <w:r w:rsidR="0078409E" w:rsidRPr="00181A5F">
        <w:rPr>
          <w:iCs/>
          <w:color w:val="4F81BD" w:themeColor="accent1"/>
          <w:lang w:eastAsia="en-AU"/>
        </w:rPr>
        <w:t xml:space="preserve">that </w:t>
      </w:r>
      <w:r w:rsidRPr="00181A5F">
        <w:rPr>
          <w:iCs/>
          <w:color w:val="4F81BD" w:themeColor="accent1"/>
          <w:lang w:eastAsia="en-AU"/>
        </w:rPr>
        <w:t>they are fulfilling the requirements of their individual contract</w:t>
      </w:r>
      <w:r w:rsidR="0078409E" w:rsidRPr="00181A5F">
        <w:rPr>
          <w:iCs/>
          <w:color w:val="4F81BD" w:themeColor="accent1"/>
          <w:lang w:eastAsia="en-AU"/>
        </w:rPr>
        <w:t>,</w:t>
      </w:r>
      <w:r w:rsidRPr="00181A5F">
        <w:rPr>
          <w:iCs/>
          <w:color w:val="4F81BD" w:themeColor="accent1"/>
          <w:lang w:eastAsia="en-AU"/>
        </w:rPr>
        <w:t xml:space="preserve"> they would remain eligible for payment. If they cannot </w:t>
      </w:r>
      <w:r w:rsidR="00EC3063" w:rsidRPr="00181A5F">
        <w:rPr>
          <w:iCs/>
          <w:color w:val="4F81BD" w:themeColor="accent1"/>
          <w:lang w:eastAsia="en-AU"/>
        </w:rPr>
        <w:t>c</w:t>
      </w:r>
      <w:r w:rsidRPr="00181A5F">
        <w:rPr>
          <w:iCs/>
          <w:color w:val="4F81BD" w:themeColor="accent1"/>
          <w:lang w:eastAsia="en-AU"/>
        </w:rPr>
        <w:t xml:space="preserve">omply with their </w:t>
      </w:r>
      <w:r w:rsidR="00EC3063" w:rsidRPr="00181A5F">
        <w:rPr>
          <w:iCs/>
          <w:color w:val="4F81BD" w:themeColor="accent1"/>
          <w:lang w:eastAsia="en-AU"/>
        </w:rPr>
        <w:t>c</w:t>
      </w:r>
      <w:r w:rsidRPr="00181A5F">
        <w:rPr>
          <w:iCs/>
          <w:color w:val="4F81BD" w:themeColor="accent1"/>
          <w:lang w:eastAsia="en-AU"/>
        </w:rPr>
        <w:t>ont</w:t>
      </w:r>
      <w:r w:rsidR="0078409E" w:rsidRPr="00181A5F">
        <w:rPr>
          <w:iCs/>
          <w:color w:val="4F81BD" w:themeColor="accent1"/>
          <w:lang w:eastAsia="en-AU"/>
        </w:rPr>
        <w:t>ract without sufficient reason,</w:t>
      </w:r>
      <w:r w:rsidRPr="00181A5F">
        <w:rPr>
          <w:iCs/>
          <w:color w:val="4F81BD" w:themeColor="accent1"/>
          <w:lang w:eastAsia="en-AU"/>
        </w:rPr>
        <w:t xml:space="preserve"> payment would be suspended until the individual is prepared to comply. In the case of a </w:t>
      </w:r>
      <w:r w:rsidR="00EC3063" w:rsidRPr="00181A5F">
        <w:rPr>
          <w:iCs/>
          <w:color w:val="4F81BD" w:themeColor="accent1"/>
          <w:lang w:eastAsia="en-AU"/>
        </w:rPr>
        <w:t>f</w:t>
      </w:r>
      <w:r w:rsidRPr="00181A5F">
        <w:rPr>
          <w:iCs/>
          <w:color w:val="4F81BD" w:themeColor="accent1"/>
          <w:lang w:eastAsia="en-AU"/>
        </w:rPr>
        <w:t>amily with dependents</w:t>
      </w:r>
      <w:r w:rsidR="0078409E" w:rsidRPr="00181A5F">
        <w:rPr>
          <w:iCs/>
          <w:color w:val="4F81BD" w:themeColor="accent1"/>
          <w:lang w:eastAsia="en-AU"/>
        </w:rPr>
        <w:t>,</w:t>
      </w:r>
      <w:r w:rsidRPr="00181A5F">
        <w:rPr>
          <w:iCs/>
          <w:color w:val="4F81BD" w:themeColor="accent1"/>
          <w:lang w:eastAsia="en-AU"/>
        </w:rPr>
        <w:t xml:space="preserve"> the requirements woul</w:t>
      </w:r>
      <w:r w:rsidR="0078409E" w:rsidRPr="00181A5F">
        <w:rPr>
          <w:iCs/>
          <w:color w:val="4F81BD" w:themeColor="accent1"/>
          <w:lang w:eastAsia="en-AU"/>
        </w:rPr>
        <w:t>d apply to each adult</w:t>
      </w:r>
      <w:r w:rsidRPr="00181A5F">
        <w:rPr>
          <w:iCs/>
          <w:color w:val="4F81BD" w:themeColor="accent1"/>
          <w:lang w:eastAsia="en-AU"/>
        </w:rPr>
        <w:t xml:space="preserve"> partner.</w:t>
      </w:r>
    </w:p>
    <w:p w:rsidR="001C2BE7" w:rsidRPr="00181A5F" w:rsidRDefault="001C2BE7" w:rsidP="008C5A75">
      <w:pPr>
        <w:pStyle w:val="Heading3"/>
      </w:pPr>
      <w:r w:rsidRPr="00181A5F">
        <w:t>Early intervention</w:t>
      </w:r>
    </w:p>
    <w:p w:rsidR="00867D95" w:rsidRPr="00181A5F" w:rsidRDefault="00867D95" w:rsidP="00867D95">
      <w:pPr>
        <w:rPr>
          <w:color w:val="4F81BD" w:themeColor="accent1"/>
          <w:lang w:eastAsia="en-AU"/>
        </w:rPr>
      </w:pPr>
      <w:r w:rsidRPr="00181A5F">
        <w:rPr>
          <w:iCs/>
          <w:color w:val="4F81BD" w:themeColor="accent1"/>
          <w:lang w:eastAsia="en-AU"/>
        </w:rPr>
        <w:t>Where there are depend</w:t>
      </w:r>
      <w:r w:rsidR="009251F4" w:rsidRPr="00181A5F">
        <w:rPr>
          <w:iCs/>
          <w:color w:val="4F81BD" w:themeColor="accent1"/>
          <w:lang w:eastAsia="en-AU"/>
        </w:rPr>
        <w:t>ent</w:t>
      </w:r>
      <w:r w:rsidRPr="00181A5F">
        <w:rPr>
          <w:iCs/>
          <w:color w:val="4F81BD" w:themeColor="accent1"/>
          <w:lang w:eastAsia="en-AU"/>
        </w:rPr>
        <w:t xml:space="preserve"> children</w:t>
      </w:r>
      <w:r w:rsidR="00504933" w:rsidRPr="00181A5F">
        <w:rPr>
          <w:iCs/>
          <w:color w:val="4F81BD" w:themeColor="accent1"/>
          <w:lang w:eastAsia="en-AU"/>
        </w:rPr>
        <w:t>,</w:t>
      </w:r>
      <w:r w:rsidRPr="00181A5F">
        <w:rPr>
          <w:iCs/>
          <w:color w:val="4F81BD" w:themeColor="accent1"/>
          <w:lang w:eastAsia="en-AU"/>
        </w:rPr>
        <w:t xml:space="preserve"> </w:t>
      </w:r>
      <w:r w:rsidR="00EC3063" w:rsidRPr="00181A5F">
        <w:rPr>
          <w:iCs/>
          <w:color w:val="4F81BD" w:themeColor="accent1"/>
          <w:lang w:eastAsia="en-AU"/>
        </w:rPr>
        <w:t>the</w:t>
      </w:r>
      <w:r w:rsidRPr="00181A5F">
        <w:rPr>
          <w:iCs/>
          <w:color w:val="4F81BD" w:themeColor="accent1"/>
          <w:lang w:eastAsia="en-AU"/>
        </w:rPr>
        <w:t xml:space="preserve"> support and well-being of the </w:t>
      </w:r>
      <w:r w:rsidR="00EC3063" w:rsidRPr="00181A5F">
        <w:rPr>
          <w:iCs/>
          <w:color w:val="4F81BD" w:themeColor="accent1"/>
          <w:lang w:eastAsia="en-AU"/>
        </w:rPr>
        <w:t>c</w:t>
      </w:r>
      <w:r w:rsidRPr="00181A5F">
        <w:rPr>
          <w:iCs/>
          <w:color w:val="4F81BD" w:themeColor="accent1"/>
          <w:lang w:eastAsia="en-AU"/>
        </w:rPr>
        <w:t xml:space="preserve">hildren </w:t>
      </w:r>
      <w:r w:rsidR="00EC3063" w:rsidRPr="00181A5F">
        <w:rPr>
          <w:iCs/>
          <w:color w:val="4F81BD" w:themeColor="accent1"/>
          <w:lang w:eastAsia="en-AU"/>
        </w:rPr>
        <w:t xml:space="preserve">should be </w:t>
      </w:r>
      <w:r w:rsidRPr="00181A5F">
        <w:rPr>
          <w:iCs/>
          <w:color w:val="4F81BD" w:themeColor="accent1"/>
          <w:lang w:eastAsia="en-AU"/>
        </w:rPr>
        <w:t xml:space="preserve">a paramount </w:t>
      </w:r>
      <w:r w:rsidR="00510BA0" w:rsidRPr="00181A5F">
        <w:rPr>
          <w:iCs/>
          <w:color w:val="4F81BD" w:themeColor="accent1"/>
          <w:lang w:eastAsia="en-AU"/>
        </w:rPr>
        <w:t>c</w:t>
      </w:r>
      <w:r w:rsidRPr="00181A5F">
        <w:rPr>
          <w:iCs/>
          <w:color w:val="4F81BD" w:themeColor="accent1"/>
          <w:lang w:eastAsia="en-AU"/>
        </w:rPr>
        <w:t xml:space="preserve">onsideration and early intervention may be called for when there is evidence that children may be at risk. A National case management system needs to be </w:t>
      </w:r>
      <w:r w:rsidR="00A75CF8" w:rsidRPr="00181A5F">
        <w:rPr>
          <w:iCs/>
          <w:color w:val="4F81BD" w:themeColor="accent1"/>
          <w:lang w:eastAsia="en-AU"/>
        </w:rPr>
        <w:t>put in place to assist at risk i</w:t>
      </w:r>
      <w:r w:rsidRPr="00181A5F">
        <w:rPr>
          <w:iCs/>
          <w:color w:val="4F81BD" w:themeColor="accent1"/>
          <w:lang w:eastAsia="en-AU"/>
        </w:rPr>
        <w:t>ndividuals, fa</w:t>
      </w:r>
      <w:r w:rsidR="00510BA0" w:rsidRPr="00181A5F">
        <w:rPr>
          <w:iCs/>
          <w:color w:val="4F81BD" w:themeColor="accent1"/>
          <w:lang w:eastAsia="en-AU"/>
        </w:rPr>
        <w:t>m</w:t>
      </w:r>
      <w:r w:rsidRPr="00181A5F">
        <w:rPr>
          <w:iCs/>
          <w:color w:val="4F81BD" w:themeColor="accent1"/>
          <w:lang w:eastAsia="en-AU"/>
        </w:rPr>
        <w:t xml:space="preserve">ilies and children in </w:t>
      </w:r>
      <w:r w:rsidR="00510BA0" w:rsidRPr="00181A5F">
        <w:rPr>
          <w:iCs/>
          <w:color w:val="4F81BD" w:themeColor="accent1"/>
          <w:lang w:eastAsia="en-AU"/>
        </w:rPr>
        <w:t>such</w:t>
      </w:r>
      <w:r w:rsidRPr="00181A5F">
        <w:rPr>
          <w:iCs/>
          <w:color w:val="4F81BD" w:themeColor="accent1"/>
          <w:lang w:eastAsia="en-AU"/>
        </w:rPr>
        <w:t xml:space="preserve"> circumstances.</w:t>
      </w:r>
    </w:p>
    <w:p w:rsidR="001C2BE7" w:rsidRPr="00181A5F" w:rsidRDefault="001C2BE7" w:rsidP="008C5A75">
      <w:pPr>
        <w:pStyle w:val="Heading3"/>
      </w:pPr>
      <w:r w:rsidRPr="00181A5F">
        <w:t>Education and Training</w:t>
      </w:r>
    </w:p>
    <w:p w:rsidR="00A75CF8" w:rsidRPr="00181A5F" w:rsidRDefault="00867D95" w:rsidP="00867D95">
      <w:pPr>
        <w:rPr>
          <w:iCs/>
          <w:color w:val="4F81BD" w:themeColor="accent1"/>
          <w:lang w:eastAsia="en-AU"/>
        </w:rPr>
      </w:pPr>
      <w:r w:rsidRPr="00181A5F">
        <w:rPr>
          <w:iCs/>
          <w:color w:val="4F81BD" w:themeColor="accent1"/>
          <w:lang w:eastAsia="en-AU"/>
        </w:rPr>
        <w:t xml:space="preserve">There needs to be emphasis on training that equips people for work and </w:t>
      </w:r>
      <w:r w:rsidR="00510BA0" w:rsidRPr="00181A5F">
        <w:rPr>
          <w:iCs/>
          <w:color w:val="4F81BD" w:themeColor="accent1"/>
          <w:lang w:eastAsia="en-AU"/>
        </w:rPr>
        <w:t>t</w:t>
      </w:r>
      <w:r w:rsidR="00A75CF8" w:rsidRPr="00181A5F">
        <w:rPr>
          <w:iCs/>
          <w:color w:val="4F81BD" w:themeColor="accent1"/>
          <w:lang w:eastAsia="en-AU"/>
        </w:rPr>
        <w:t xml:space="preserve">o </w:t>
      </w:r>
      <w:r w:rsidRPr="00181A5F">
        <w:rPr>
          <w:iCs/>
          <w:color w:val="4F81BD" w:themeColor="accent1"/>
          <w:lang w:eastAsia="en-AU"/>
        </w:rPr>
        <w:t>fil</w:t>
      </w:r>
      <w:r w:rsidR="00A75CF8" w:rsidRPr="00181A5F">
        <w:rPr>
          <w:iCs/>
          <w:color w:val="4F81BD" w:themeColor="accent1"/>
          <w:lang w:eastAsia="en-AU"/>
        </w:rPr>
        <w:t>l</w:t>
      </w:r>
      <w:r w:rsidRPr="00181A5F">
        <w:rPr>
          <w:iCs/>
          <w:color w:val="4F81BD" w:themeColor="accent1"/>
          <w:lang w:eastAsia="en-AU"/>
        </w:rPr>
        <w:t xml:space="preserve"> real job vacancies. </w:t>
      </w:r>
    </w:p>
    <w:p w:rsidR="00867D95" w:rsidRPr="00181A5F" w:rsidRDefault="00867D95" w:rsidP="00867D95">
      <w:pPr>
        <w:rPr>
          <w:iCs/>
          <w:color w:val="4F81BD" w:themeColor="accent1"/>
          <w:lang w:eastAsia="en-AU"/>
        </w:rPr>
      </w:pPr>
      <w:r w:rsidRPr="00181A5F">
        <w:rPr>
          <w:iCs/>
          <w:color w:val="4F81BD" w:themeColor="accent1"/>
          <w:lang w:eastAsia="en-AU"/>
        </w:rPr>
        <w:t>Apprent</w:t>
      </w:r>
      <w:r w:rsidR="00510BA0" w:rsidRPr="00181A5F">
        <w:rPr>
          <w:iCs/>
          <w:color w:val="4F81BD" w:themeColor="accent1"/>
          <w:lang w:eastAsia="en-AU"/>
        </w:rPr>
        <w:t>ice</w:t>
      </w:r>
      <w:r w:rsidRPr="00181A5F">
        <w:rPr>
          <w:iCs/>
          <w:color w:val="4F81BD" w:themeColor="accent1"/>
          <w:lang w:eastAsia="en-AU"/>
        </w:rPr>
        <w:t>ships need to be encouraged and employers taking on app</w:t>
      </w:r>
      <w:r w:rsidR="00A75CF8" w:rsidRPr="00181A5F">
        <w:rPr>
          <w:iCs/>
          <w:color w:val="4F81BD" w:themeColor="accent1"/>
          <w:lang w:eastAsia="en-AU"/>
        </w:rPr>
        <w:t>rentices need to be subsidised, i</w:t>
      </w:r>
      <w:r w:rsidRPr="00181A5F">
        <w:rPr>
          <w:iCs/>
          <w:color w:val="4F81BD" w:themeColor="accent1"/>
          <w:lang w:eastAsia="en-AU"/>
        </w:rPr>
        <w:t xml:space="preserve">ncreasing </w:t>
      </w:r>
      <w:r w:rsidR="00510BA0" w:rsidRPr="00181A5F">
        <w:rPr>
          <w:iCs/>
          <w:color w:val="4F81BD" w:themeColor="accent1"/>
          <w:lang w:eastAsia="en-AU"/>
        </w:rPr>
        <w:t>y</w:t>
      </w:r>
      <w:r w:rsidRPr="00181A5F">
        <w:rPr>
          <w:iCs/>
          <w:color w:val="4F81BD" w:themeColor="accent1"/>
          <w:lang w:eastAsia="en-AU"/>
        </w:rPr>
        <w:t xml:space="preserve">ear on </w:t>
      </w:r>
      <w:r w:rsidR="00510BA0" w:rsidRPr="00181A5F">
        <w:rPr>
          <w:iCs/>
          <w:color w:val="4F81BD" w:themeColor="accent1"/>
          <w:lang w:eastAsia="en-AU"/>
        </w:rPr>
        <w:t>y</w:t>
      </w:r>
      <w:r w:rsidRPr="00181A5F">
        <w:rPr>
          <w:iCs/>
          <w:color w:val="4F81BD" w:themeColor="accent1"/>
          <w:lang w:eastAsia="en-AU"/>
        </w:rPr>
        <w:t xml:space="preserve">ear </w:t>
      </w:r>
      <w:r w:rsidR="00510BA0" w:rsidRPr="00181A5F">
        <w:rPr>
          <w:iCs/>
          <w:color w:val="4F81BD" w:themeColor="accent1"/>
          <w:lang w:eastAsia="en-AU"/>
        </w:rPr>
        <w:t>t</w:t>
      </w:r>
      <w:r w:rsidRPr="00181A5F">
        <w:rPr>
          <w:iCs/>
          <w:color w:val="4F81BD" w:themeColor="accent1"/>
          <w:lang w:eastAsia="en-AU"/>
        </w:rPr>
        <w:t>hroughout the period of the apprent</w:t>
      </w:r>
      <w:r w:rsidR="00510BA0" w:rsidRPr="00181A5F">
        <w:rPr>
          <w:iCs/>
          <w:color w:val="4F81BD" w:themeColor="accent1"/>
          <w:lang w:eastAsia="en-AU"/>
        </w:rPr>
        <w:t>ice</w:t>
      </w:r>
      <w:r w:rsidRPr="00181A5F">
        <w:rPr>
          <w:iCs/>
          <w:color w:val="4F81BD" w:themeColor="accent1"/>
          <w:lang w:eastAsia="en-AU"/>
        </w:rPr>
        <w:t>ship.</w:t>
      </w:r>
    </w:p>
    <w:p w:rsidR="00867D95" w:rsidRPr="00181A5F" w:rsidRDefault="00A75CF8" w:rsidP="00867D95">
      <w:pPr>
        <w:rPr>
          <w:iCs/>
          <w:color w:val="4F81BD" w:themeColor="accent1"/>
          <w:lang w:eastAsia="en-AU"/>
        </w:rPr>
      </w:pPr>
      <w:r w:rsidRPr="00181A5F">
        <w:rPr>
          <w:iCs/>
          <w:color w:val="4F81BD" w:themeColor="accent1"/>
          <w:lang w:eastAsia="en-AU"/>
        </w:rPr>
        <w:t>So called “w</w:t>
      </w:r>
      <w:r w:rsidR="00867D95" w:rsidRPr="00181A5F">
        <w:rPr>
          <w:iCs/>
          <w:color w:val="4F81BD" w:themeColor="accent1"/>
          <w:lang w:eastAsia="en-AU"/>
        </w:rPr>
        <w:t>ork for the dole schemes” should only apply to emp</w:t>
      </w:r>
      <w:r w:rsidR="00510BA0" w:rsidRPr="00181A5F">
        <w:rPr>
          <w:iCs/>
          <w:color w:val="4F81BD" w:themeColor="accent1"/>
          <w:lang w:eastAsia="en-AU"/>
        </w:rPr>
        <w:t>l</w:t>
      </w:r>
      <w:r w:rsidR="00867D95" w:rsidRPr="00181A5F">
        <w:rPr>
          <w:iCs/>
          <w:color w:val="4F81BD" w:themeColor="accent1"/>
          <w:lang w:eastAsia="en-AU"/>
        </w:rPr>
        <w:t>oyers actually looking to take on staff</w:t>
      </w:r>
      <w:r w:rsidRPr="00181A5F">
        <w:rPr>
          <w:iCs/>
          <w:color w:val="4F81BD" w:themeColor="accent1"/>
          <w:lang w:eastAsia="en-AU"/>
        </w:rPr>
        <w:t>,</w:t>
      </w:r>
      <w:r w:rsidR="00867D95" w:rsidRPr="00181A5F">
        <w:rPr>
          <w:iCs/>
          <w:color w:val="4F81BD" w:themeColor="accent1"/>
          <w:lang w:eastAsia="en-AU"/>
        </w:rPr>
        <w:t xml:space="preserve"> or with real jobs to be filled</w:t>
      </w:r>
      <w:r w:rsidRPr="00181A5F">
        <w:rPr>
          <w:iCs/>
          <w:color w:val="4F81BD" w:themeColor="accent1"/>
          <w:lang w:eastAsia="en-AU"/>
        </w:rPr>
        <w:t>,</w:t>
      </w:r>
      <w:r w:rsidR="00867D95" w:rsidRPr="00181A5F">
        <w:rPr>
          <w:iCs/>
          <w:color w:val="4F81BD" w:themeColor="accent1"/>
          <w:lang w:eastAsia="en-AU"/>
        </w:rPr>
        <w:t xml:space="preserve"> or where the skills acquired from the work being performed are needed in the </w:t>
      </w:r>
      <w:r w:rsidR="00510BA0" w:rsidRPr="00181A5F">
        <w:rPr>
          <w:iCs/>
          <w:color w:val="4F81BD" w:themeColor="accent1"/>
          <w:lang w:eastAsia="en-AU"/>
        </w:rPr>
        <w:t>b</w:t>
      </w:r>
      <w:r w:rsidRPr="00181A5F">
        <w:rPr>
          <w:iCs/>
          <w:color w:val="4F81BD" w:themeColor="accent1"/>
          <w:lang w:eastAsia="en-AU"/>
        </w:rPr>
        <w:t>roader job market/c</w:t>
      </w:r>
      <w:r w:rsidR="00867D95" w:rsidRPr="00181A5F">
        <w:rPr>
          <w:iCs/>
          <w:color w:val="4F81BD" w:themeColor="accent1"/>
          <w:lang w:eastAsia="en-AU"/>
        </w:rPr>
        <w:t xml:space="preserve">ommunity. </w:t>
      </w:r>
    </w:p>
    <w:p w:rsidR="00867D95" w:rsidRPr="00181A5F" w:rsidRDefault="00867D95" w:rsidP="00867D95">
      <w:pPr>
        <w:rPr>
          <w:iCs/>
          <w:color w:val="4F81BD" w:themeColor="accent1"/>
          <w:lang w:eastAsia="en-AU"/>
        </w:rPr>
      </w:pPr>
      <w:r w:rsidRPr="00181A5F">
        <w:rPr>
          <w:iCs/>
          <w:color w:val="4F81BD" w:themeColor="accent1"/>
          <w:lang w:eastAsia="en-AU"/>
        </w:rPr>
        <w:t xml:space="preserve">If the work is considered as </w:t>
      </w:r>
      <w:r w:rsidR="00A75CF8" w:rsidRPr="00181A5F">
        <w:rPr>
          <w:iCs/>
          <w:color w:val="4F81BD" w:themeColor="accent1"/>
          <w:lang w:eastAsia="en-AU"/>
        </w:rPr>
        <w:t>being of valu</w:t>
      </w:r>
      <w:r w:rsidRPr="00181A5F">
        <w:rPr>
          <w:iCs/>
          <w:color w:val="4F81BD" w:themeColor="accent1"/>
          <w:lang w:eastAsia="en-AU"/>
        </w:rPr>
        <w:t>e to an organis</w:t>
      </w:r>
      <w:r w:rsidR="00510BA0" w:rsidRPr="00181A5F">
        <w:rPr>
          <w:iCs/>
          <w:color w:val="4F81BD" w:themeColor="accent1"/>
          <w:lang w:eastAsia="en-AU"/>
        </w:rPr>
        <w:t>a</w:t>
      </w:r>
      <w:r w:rsidRPr="00181A5F">
        <w:rPr>
          <w:iCs/>
          <w:color w:val="4F81BD" w:themeColor="accent1"/>
          <w:lang w:eastAsia="en-AU"/>
        </w:rPr>
        <w:t>tion/</w:t>
      </w:r>
      <w:r w:rsidR="00510BA0" w:rsidRPr="00181A5F">
        <w:rPr>
          <w:iCs/>
          <w:color w:val="4F81BD" w:themeColor="accent1"/>
          <w:lang w:eastAsia="en-AU"/>
        </w:rPr>
        <w:t>c</w:t>
      </w:r>
      <w:r w:rsidRPr="00181A5F">
        <w:rPr>
          <w:iCs/>
          <w:color w:val="4F81BD" w:themeColor="accent1"/>
          <w:lang w:eastAsia="en-AU"/>
        </w:rPr>
        <w:t>ommunity</w:t>
      </w:r>
      <w:r w:rsidR="00A75CF8" w:rsidRPr="00181A5F">
        <w:rPr>
          <w:iCs/>
          <w:color w:val="4F81BD" w:themeColor="accent1"/>
          <w:lang w:eastAsia="en-AU"/>
        </w:rPr>
        <w:t>,</w:t>
      </w:r>
      <w:r w:rsidRPr="00181A5F">
        <w:rPr>
          <w:iCs/>
          <w:color w:val="4F81BD" w:themeColor="accent1"/>
          <w:lang w:eastAsia="en-AU"/>
        </w:rPr>
        <w:t xml:space="preserve"> why should </w:t>
      </w:r>
      <w:r w:rsidR="00510BA0" w:rsidRPr="00181A5F">
        <w:rPr>
          <w:iCs/>
          <w:color w:val="4F81BD" w:themeColor="accent1"/>
          <w:lang w:eastAsia="en-AU"/>
        </w:rPr>
        <w:t>i</w:t>
      </w:r>
      <w:r w:rsidRPr="00181A5F">
        <w:rPr>
          <w:iCs/>
          <w:color w:val="4F81BD" w:themeColor="accent1"/>
          <w:lang w:eastAsia="en-AU"/>
        </w:rPr>
        <w:t xml:space="preserve">t not be paid employment in the short term or </w:t>
      </w:r>
      <w:r w:rsidR="00510BA0" w:rsidRPr="00181A5F">
        <w:rPr>
          <w:iCs/>
          <w:color w:val="4F81BD" w:themeColor="accent1"/>
          <w:lang w:eastAsia="en-AU"/>
        </w:rPr>
        <w:t>for</w:t>
      </w:r>
      <w:r w:rsidRPr="00181A5F">
        <w:rPr>
          <w:iCs/>
          <w:color w:val="4F81BD" w:themeColor="accent1"/>
          <w:lang w:eastAsia="en-AU"/>
        </w:rPr>
        <w:t xml:space="preserve"> extended periods</w:t>
      </w:r>
      <w:r w:rsidR="00A75CF8" w:rsidRPr="00181A5F">
        <w:rPr>
          <w:iCs/>
          <w:color w:val="4F81BD" w:themeColor="accent1"/>
          <w:lang w:eastAsia="en-AU"/>
        </w:rPr>
        <w:t>,</w:t>
      </w:r>
      <w:r w:rsidRPr="00181A5F">
        <w:rPr>
          <w:iCs/>
          <w:color w:val="4F81BD" w:themeColor="accent1"/>
          <w:lang w:eastAsia="en-AU"/>
        </w:rPr>
        <w:t xml:space="preserve"> </w:t>
      </w:r>
      <w:r w:rsidR="00510BA0" w:rsidRPr="00181A5F">
        <w:rPr>
          <w:iCs/>
          <w:color w:val="4F81BD" w:themeColor="accent1"/>
          <w:lang w:eastAsia="en-AU"/>
        </w:rPr>
        <w:t>once</w:t>
      </w:r>
      <w:r w:rsidRPr="00181A5F">
        <w:rPr>
          <w:iCs/>
          <w:color w:val="4F81BD" w:themeColor="accent1"/>
          <w:lang w:eastAsia="en-AU"/>
        </w:rPr>
        <w:t xml:space="preserve"> an on the job training or qualif</w:t>
      </w:r>
      <w:r w:rsidR="00510BA0" w:rsidRPr="00181A5F">
        <w:rPr>
          <w:iCs/>
          <w:color w:val="4F81BD" w:themeColor="accent1"/>
          <w:lang w:eastAsia="en-AU"/>
        </w:rPr>
        <w:t>y</w:t>
      </w:r>
      <w:r w:rsidRPr="00181A5F">
        <w:rPr>
          <w:iCs/>
          <w:color w:val="4F81BD" w:themeColor="accent1"/>
          <w:lang w:eastAsia="en-AU"/>
        </w:rPr>
        <w:t xml:space="preserve">ing </w:t>
      </w:r>
      <w:r w:rsidR="00510BA0" w:rsidRPr="00181A5F">
        <w:rPr>
          <w:iCs/>
          <w:color w:val="4F81BD" w:themeColor="accent1"/>
          <w:lang w:eastAsia="en-AU"/>
        </w:rPr>
        <w:t xml:space="preserve">trial </w:t>
      </w:r>
      <w:r w:rsidRPr="00181A5F">
        <w:rPr>
          <w:iCs/>
          <w:color w:val="4F81BD" w:themeColor="accent1"/>
          <w:lang w:eastAsia="en-AU"/>
        </w:rPr>
        <w:t>period is achieved?</w:t>
      </w:r>
    </w:p>
    <w:p w:rsidR="00867D95" w:rsidRPr="00181A5F" w:rsidRDefault="00867D95" w:rsidP="00867D95">
      <w:pPr>
        <w:rPr>
          <w:iCs/>
          <w:color w:val="4F81BD" w:themeColor="accent1"/>
          <w:lang w:eastAsia="en-AU"/>
        </w:rPr>
      </w:pPr>
      <w:r w:rsidRPr="00181A5F">
        <w:rPr>
          <w:iCs/>
          <w:color w:val="4F81BD" w:themeColor="accent1"/>
          <w:lang w:eastAsia="en-AU"/>
        </w:rPr>
        <w:t xml:space="preserve">Organisations that utilise volunteers should be the </w:t>
      </w:r>
      <w:r w:rsidR="00510BA0" w:rsidRPr="00181A5F">
        <w:rPr>
          <w:iCs/>
          <w:color w:val="4F81BD" w:themeColor="accent1"/>
          <w:lang w:eastAsia="en-AU"/>
        </w:rPr>
        <w:t>f</w:t>
      </w:r>
      <w:r w:rsidRPr="00181A5F">
        <w:rPr>
          <w:iCs/>
          <w:color w:val="4F81BD" w:themeColor="accent1"/>
          <w:lang w:eastAsia="en-AU"/>
        </w:rPr>
        <w:t xml:space="preserve">irst option for work </w:t>
      </w:r>
      <w:r w:rsidR="00510BA0" w:rsidRPr="00181A5F">
        <w:rPr>
          <w:iCs/>
          <w:color w:val="4F81BD" w:themeColor="accent1"/>
          <w:lang w:eastAsia="en-AU"/>
        </w:rPr>
        <w:t>e</w:t>
      </w:r>
      <w:r w:rsidRPr="00181A5F">
        <w:rPr>
          <w:iCs/>
          <w:color w:val="4F81BD" w:themeColor="accent1"/>
          <w:lang w:eastAsia="en-AU"/>
        </w:rPr>
        <w:t xml:space="preserve">xperience referrals or </w:t>
      </w:r>
      <w:r w:rsidR="00510BA0" w:rsidRPr="00181A5F">
        <w:rPr>
          <w:iCs/>
          <w:color w:val="4F81BD" w:themeColor="accent1"/>
          <w:lang w:eastAsia="en-AU"/>
        </w:rPr>
        <w:t>“</w:t>
      </w:r>
      <w:r w:rsidRPr="00181A5F">
        <w:rPr>
          <w:iCs/>
          <w:color w:val="4F81BD" w:themeColor="accent1"/>
          <w:lang w:eastAsia="en-AU"/>
        </w:rPr>
        <w:t>work for the dole</w:t>
      </w:r>
      <w:r w:rsidR="00510BA0" w:rsidRPr="00181A5F">
        <w:rPr>
          <w:iCs/>
          <w:color w:val="4F81BD" w:themeColor="accent1"/>
          <w:lang w:eastAsia="en-AU"/>
        </w:rPr>
        <w:t>”</w:t>
      </w:r>
      <w:r w:rsidRPr="00181A5F">
        <w:rPr>
          <w:iCs/>
          <w:color w:val="4F81BD" w:themeColor="accent1"/>
          <w:lang w:eastAsia="en-AU"/>
        </w:rPr>
        <w:t xml:space="preserve"> referrals.</w:t>
      </w:r>
    </w:p>
    <w:p w:rsidR="00A72903" w:rsidRDefault="00A72903" w:rsidP="008C5A75">
      <w:pPr>
        <w:pStyle w:val="Heading3"/>
      </w:pPr>
    </w:p>
    <w:p w:rsidR="00A72903" w:rsidRDefault="00A72903" w:rsidP="008C5A75">
      <w:pPr>
        <w:pStyle w:val="Heading3"/>
      </w:pPr>
    </w:p>
    <w:p w:rsidR="001C2BE7" w:rsidRPr="00181A5F" w:rsidRDefault="001C2BE7" w:rsidP="008C5A75">
      <w:pPr>
        <w:pStyle w:val="Heading3"/>
      </w:pPr>
      <w:r w:rsidRPr="00181A5F">
        <w:lastRenderedPageBreak/>
        <w:t>Improving individual and family functioning</w:t>
      </w:r>
    </w:p>
    <w:p w:rsidR="00867D95" w:rsidRPr="00181A5F" w:rsidRDefault="00867D95" w:rsidP="00867D95">
      <w:pPr>
        <w:rPr>
          <w:iCs/>
          <w:color w:val="4F81BD" w:themeColor="accent1"/>
          <w:lang w:eastAsia="en-AU"/>
        </w:rPr>
      </w:pPr>
      <w:r w:rsidRPr="00181A5F">
        <w:rPr>
          <w:iCs/>
          <w:color w:val="4F81BD" w:themeColor="accent1"/>
          <w:lang w:eastAsia="en-AU"/>
        </w:rPr>
        <w:t xml:space="preserve">A National case management system should be introduced </w:t>
      </w:r>
      <w:r w:rsidR="00510BA0" w:rsidRPr="00181A5F">
        <w:rPr>
          <w:iCs/>
          <w:color w:val="4F81BD" w:themeColor="accent1"/>
          <w:lang w:eastAsia="en-AU"/>
        </w:rPr>
        <w:t>for</w:t>
      </w:r>
      <w:r w:rsidRPr="00181A5F">
        <w:rPr>
          <w:iCs/>
          <w:color w:val="4F81BD" w:themeColor="accent1"/>
          <w:lang w:eastAsia="en-AU"/>
        </w:rPr>
        <w:t xml:space="preserve"> identified at </w:t>
      </w:r>
      <w:r w:rsidR="00510BA0" w:rsidRPr="00181A5F">
        <w:rPr>
          <w:iCs/>
          <w:color w:val="4F81BD" w:themeColor="accent1"/>
          <w:lang w:eastAsia="en-AU"/>
        </w:rPr>
        <w:t>r</w:t>
      </w:r>
      <w:r w:rsidRPr="00181A5F">
        <w:rPr>
          <w:iCs/>
          <w:color w:val="4F81BD" w:themeColor="accent1"/>
          <w:lang w:eastAsia="en-AU"/>
        </w:rPr>
        <w:t xml:space="preserve">isk </w:t>
      </w:r>
      <w:r w:rsidR="00510BA0" w:rsidRPr="00181A5F">
        <w:rPr>
          <w:iCs/>
          <w:color w:val="4F81BD" w:themeColor="accent1"/>
          <w:lang w:eastAsia="en-AU"/>
        </w:rPr>
        <w:t>f</w:t>
      </w:r>
      <w:r w:rsidRPr="00181A5F">
        <w:rPr>
          <w:iCs/>
          <w:color w:val="4F81BD" w:themeColor="accent1"/>
          <w:lang w:eastAsia="en-AU"/>
        </w:rPr>
        <w:t>amilies and i</w:t>
      </w:r>
      <w:r w:rsidR="00A75CF8" w:rsidRPr="00181A5F">
        <w:rPr>
          <w:iCs/>
          <w:color w:val="4F81BD" w:themeColor="accent1"/>
          <w:lang w:eastAsia="en-AU"/>
        </w:rPr>
        <w:t>ndividuals in receipt of income</w:t>
      </w:r>
      <w:r w:rsidRPr="00181A5F">
        <w:rPr>
          <w:iCs/>
          <w:color w:val="4F81BD" w:themeColor="accent1"/>
          <w:lang w:eastAsia="en-AU"/>
        </w:rPr>
        <w:t xml:space="preserve"> </w:t>
      </w:r>
      <w:r w:rsidR="00510BA0" w:rsidRPr="00181A5F">
        <w:rPr>
          <w:iCs/>
          <w:color w:val="4F81BD" w:themeColor="accent1"/>
          <w:lang w:eastAsia="en-AU"/>
        </w:rPr>
        <w:t>s</w:t>
      </w:r>
      <w:r w:rsidRPr="00181A5F">
        <w:rPr>
          <w:iCs/>
          <w:color w:val="4F81BD" w:themeColor="accent1"/>
          <w:lang w:eastAsia="en-AU"/>
        </w:rPr>
        <w:t>upport payments</w:t>
      </w:r>
      <w:r w:rsidR="00510BA0" w:rsidRPr="00181A5F">
        <w:rPr>
          <w:iCs/>
          <w:color w:val="4F81BD" w:themeColor="accent1"/>
          <w:lang w:eastAsia="en-AU"/>
        </w:rPr>
        <w:t>.</w:t>
      </w:r>
    </w:p>
    <w:p w:rsidR="001C2BE7" w:rsidRPr="00181A5F" w:rsidRDefault="001C2BE7" w:rsidP="008C5A75">
      <w:pPr>
        <w:pStyle w:val="Heading3"/>
      </w:pPr>
      <w:r w:rsidRPr="00181A5F">
        <w:t>Evaluating outcomes</w:t>
      </w:r>
    </w:p>
    <w:p w:rsidR="00A75CF8" w:rsidRPr="00181A5F" w:rsidRDefault="00867D95" w:rsidP="00867D95">
      <w:pPr>
        <w:rPr>
          <w:iCs/>
          <w:color w:val="4F81BD" w:themeColor="accent1"/>
          <w:lang w:eastAsia="en-AU"/>
        </w:rPr>
      </w:pPr>
      <w:r w:rsidRPr="00181A5F">
        <w:rPr>
          <w:iCs/>
          <w:color w:val="4F81BD" w:themeColor="accent1"/>
          <w:lang w:eastAsia="en-AU"/>
        </w:rPr>
        <w:t xml:space="preserve">Create and </w:t>
      </w:r>
      <w:r w:rsidR="00510BA0" w:rsidRPr="00181A5F">
        <w:rPr>
          <w:iCs/>
          <w:color w:val="4F81BD" w:themeColor="accent1"/>
          <w:lang w:eastAsia="en-AU"/>
        </w:rPr>
        <w:t>p</w:t>
      </w:r>
      <w:r w:rsidRPr="00181A5F">
        <w:rPr>
          <w:iCs/>
          <w:color w:val="4F81BD" w:themeColor="accent1"/>
          <w:lang w:eastAsia="en-AU"/>
        </w:rPr>
        <w:t xml:space="preserve">roperly </w:t>
      </w:r>
      <w:r w:rsidR="00510BA0" w:rsidRPr="00181A5F">
        <w:rPr>
          <w:iCs/>
          <w:color w:val="4F81BD" w:themeColor="accent1"/>
          <w:lang w:eastAsia="en-AU"/>
        </w:rPr>
        <w:t>fund</w:t>
      </w:r>
      <w:r w:rsidRPr="00181A5F">
        <w:rPr>
          <w:iCs/>
          <w:color w:val="4F81BD" w:themeColor="accent1"/>
          <w:lang w:eastAsia="en-AU"/>
        </w:rPr>
        <w:t xml:space="preserve"> an independ</w:t>
      </w:r>
      <w:r w:rsidR="00510BA0" w:rsidRPr="00181A5F">
        <w:rPr>
          <w:iCs/>
          <w:color w:val="4F81BD" w:themeColor="accent1"/>
          <w:lang w:eastAsia="en-AU"/>
        </w:rPr>
        <w:t>e</w:t>
      </w:r>
      <w:r w:rsidRPr="00181A5F">
        <w:rPr>
          <w:iCs/>
          <w:color w:val="4F81BD" w:themeColor="accent1"/>
          <w:lang w:eastAsia="en-AU"/>
        </w:rPr>
        <w:t>nt panel of experts (commission)</w:t>
      </w:r>
      <w:r w:rsidR="00510BA0" w:rsidRPr="00181A5F">
        <w:rPr>
          <w:iCs/>
          <w:color w:val="4F81BD" w:themeColor="accent1"/>
          <w:lang w:eastAsia="en-AU"/>
        </w:rPr>
        <w:t xml:space="preserve"> t</w:t>
      </w:r>
      <w:r w:rsidRPr="00181A5F">
        <w:rPr>
          <w:iCs/>
          <w:color w:val="4F81BD" w:themeColor="accent1"/>
          <w:lang w:eastAsia="en-AU"/>
        </w:rPr>
        <w:t xml:space="preserve">o oversee and refine the functioning of the National welfare system </w:t>
      </w:r>
      <w:r w:rsidR="00510BA0" w:rsidRPr="00181A5F">
        <w:rPr>
          <w:iCs/>
          <w:color w:val="4F81BD" w:themeColor="accent1"/>
          <w:lang w:eastAsia="en-AU"/>
        </w:rPr>
        <w:t>and n</w:t>
      </w:r>
      <w:r w:rsidRPr="00181A5F">
        <w:rPr>
          <w:iCs/>
          <w:color w:val="4F81BD" w:themeColor="accent1"/>
          <w:lang w:eastAsia="en-AU"/>
        </w:rPr>
        <w:t xml:space="preserve">ot </w:t>
      </w:r>
      <w:r w:rsidR="00510BA0" w:rsidRPr="00181A5F">
        <w:rPr>
          <w:iCs/>
          <w:color w:val="4F81BD" w:themeColor="accent1"/>
          <w:lang w:eastAsia="en-AU"/>
        </w:rPr>
        <w:t>s</w:t>
      </w:r>
      <w:r w:rsidRPr="00181A5F">
        <w:rPr>
          <w:iCs/>
          <w:color w:val="4F81BD" w:themeColor="accent1"/>
          <w:lang w:eastAsia="en-AU"/>
        </w:rPr>
        <w:t xml:space="preserve">ubject </w:t>
      </w:r>
      <w:r w:rsidR="00A75CF8" w:rsidRPr="00181A5F">
        <w:rPr>
          <w:iCs/>
          <w:color w:val="4F81BD" w:themeColor="accent1"/>
          <w:lang w:eastAsia="en-AU"/>
        </w:rPr>
        <w:t xml:space="preserve">income support </w:t>
      </w:r>
      <w:r w:rsidRPr="00181A5F">
        <w:rPr>
          <w:iCs/>
          <w:color w:val="4F81BD" w:themeColor="accent1"/>
          <w:lang w:eastAsia="en-AU"/>
        </w:rPr>
        <w:t xml:space="preserve">to the </w:t>
      </w:r>
      <w:r w:rsidR="00510BA0" w:rsidRPr="00181A5F">
        <w:rPr>
          <w:iCs/>
          <w:color w:val="4F81BD" w:themeColor="accent1"/>
          <w:lang w:eastAsia="en-AU"/>
        </w:rPr>
        <w:t>v</w:t>
      </w:r>
      <w:r w:rsidRPr="00181A5F">
        <w:rPr>
          <w:iCs/>
          <w:color w:val="4F81BD" w:themeColor="accent1"/>
          <w:lang w:eastAsia="en-AU"/>
        </w:rPr>
        <w:t>ag</w:t>
      </w:r>
      <w:r w:rsidR="00510BA0" w:rsidRPr="00181A5F">
        <w:rPr>
          <w:iCs/>
          <w:color w:val="4F81BD" w:themeColor="accent1"/>
          <w:lang w:eastAsia="en-AU"/>
        </w:rPr>
        <w:t>a</w:t>
      </w:r>
      <w:r w:rsidRPr="00181A5F">
        <w:rPr>
          <w:iCs/>
          <w:color w:val="4F81BD" w:themeColor="accent1"/>
          <w:lang w:eastAsia="en-AU"/>
        </w:rPr>
        <w:t xml:space="preserve">ries of </w:t>
      </w:r>
      <w:r w:rsidR="00510BA0" w:rsidRPr="00181A5F">
        <w:rPr>
          <w:iCs/>
          <w:color w:val="4F81BD" w:themeColor="accent1"/>
          <w:lang w:eastAsia="en-AU"/>
        </w:rPr>
        <w:t>p</w:t>
      </w:r>
      <w:r w:rsidRPr="00181A5F">
        <w:rPr>
          <w:iCs/>
          <w:color w:val="4F81BD" w:themeColor="accent1"/>
          <w:lang w:eastAsia="en-AU"/>
        </w:rPr>
        <w:t xml:space="preserve">olitics. </w:t>
      </w:r>
    </w:p>
    <w:p w:rsidR="00867D95" w:rsidRPr="00181A5F" w:rsidRDefault="00867D95" w:rsidP="00867D95">
      <w:pPr>
        <w:rPr>
          <w:iCs/>
          <w:color w:val="4F81BD" w:themeColor="accent1"/>
          <w:lang w:eastAsia="en-AU"/>
        </w:rPr>
      </w:pPr>
      <w:r w:rsidRPr="00181A5F">
        <w:rPr>
          <w:iCs/>
          <w:color w:val="4F81BD" w:themeColor="accent1"/>
          <w:lang w:eastAsia="en-AU"/>
        </w:rPr>
        <w:t xml:space="preserve">Develop proper measures of performance </w:t>
      </w:r>
      <w:r w:rsidR="00510BA0" w:rsidRPr="00181A5F">
        <w:rPr>
          <w:iCs/>
          <w:color w:val="4F81BD" w:themeColor="accent1"/>
          <w:lang w:eastAsia="en-AU"/>
        </w:rPr>
        <w:t>t</w:t>
      </w:r>
      <w:r w:rsidRPr="00181A5F">
        <w:rPr>
          <w:iCs/>
          <w:color w:val="4F81BD" w:themeColor="accent1"/>
          <w:lang w:eastAsia="en-AU"/>
        </w:rPr>
        <w:t xml:space="preserve">hat are transparent and </w:t>
      </w:r>
      <w:r w:rsidR="00A75CF8" w:rsidRPr="00181A5F">
        <w:rPr>
          <w:iCs/>
          <w:color w:val="4F81BD" w:themeColor="accent1"/>
          <w:lang w:eastAsia="en-AU"/>
        </w:rPr>
        <w:t>which are</w:t>
      </w:r>
      <w:r w:rsidRPr="00181A5F">
        <w:rPr>
          <w:iCs/>
          <w:color w:val="4F81BD" w:themeColor="accent1"/>
          <w:lang w:eastAsia="en-AU"/>
        </w:rPr>
        <w:t xml:space="preserve"> reported </w:t>
      </w:r>
      <w:r w:rsidR="00510BA0" w:rsidRPr="00181A5F">
        <w:rPr>
          <w:iCs/>
          <w:color w:val="4F81BD" w:themeColor="accent1"/>
          <w:lang w:eastAsia="en-AU"/>
        </w:rPr>
        <w:t>annually t</w:t>
      </w:r>
      <w:r w:rsidRPr="00181A5F">
        <w:rPr>
          <w:iCs/>
          <w:color w:val="4F81BD" w:themeColor="accent1"/>
          <w:lang w:eastAsia="en-AU"/>
        </w:rPr>
        <w:t>o Parliament</w:t>
      </w:r>
      <w:r w:rsidR="00510BA0" w:rsidRPr="00181A5F">
        <w:rPr>
          <w:iCs/>
          <w:color w:val="4F81BD" w:themeColor="accent1"/>
          <w:lang w:eastAsia="en-AU"/>
        </w:rPr>
        <w:t>.</w:t>
      </w:r>
    </w:p>
    <w:p w:rsidR="001C2BE7" w:rsidRPr="00181A5F" w:rsidRDefault="001C2BE7" w:rsidP="008C5A75">
      <w:pPr>
        <w:pStyle w:val="Heading2"/>
        <w:rPr>
          <w:i/>
          <w:iCs/>
          <w:smallCaps/>
          <w:sz w:val="22"/>
          <w:szCs w:val="22"/>
        </w:rPr>
      </w:pPr>
      <w:r w:rsidRPr="00181A5F">
        <w:rPr>
          <w:sz w:val="22"/>
          <w:szCs w:val="22"/>
        </w:rPr>
        <w:t>Pillar Three: Engaging with employers</w:t>
      </w:r>
    </w:p>
    <w:p w:rsidR="00A75CF8" w:rsidRPr="00181A5F" w:rsidRDefault="007C1022" w:rsidP="007C1022">
      <w:pPr>
        <w:rPr>
          <w:color w:val="4F81BD" w:themeColor="accent1"/>
        </w:rPr>
      </w:pPr>
      <w:r w:rsidRPr="00181A5F">
        <w:rPr>
          <w:color w:val="4F81BD" w:themeColor="accent1"/>
        </w:rPr>
        <w:t xml:space="preserve">Seek inputs from business as to what they </w:t>
      </w:r>
      <w:r w:rsidR="00505BAD" w:rsidRPr="00181A5F">
        <w:rPr>
          <w:color w:val="4F81BD" w:themeColor="accent1"/>
        </w:rPr>
        <w:t>s</w:t>
      </w:r>
      <w:r w:rsidR="00A75CF8" w:rsidRPr="00181A5F">
        <w:rPr>
          <w:color w:val="4F81BD" w:themeColor="accent1"/>
        </w:rPr>
        <w:t>ee as providing</w:t>
      </w:r>
      <w:r w:rsidRPr="00181A5F">
        <w:rPr>
          <w:color w:val="4F81BD" w:themeColor="accent1"/>
        </w:rPr>
        <w:t xml:space="preserve"> solution</w:t>
      </w:r>
      <w:r w:rsidR="00A75CF8" w:rsidRPr="00181A5F">
        <w:rPr>
          <w:color w:val="4F81BD" w:themeColor="accent1"/>
        </w:rPr>
        <w:t>s</w:t>
      </w:r>
      <w:r w:rsidRPr="00181A5F">
        <w:rPr>
          <w:color w:val="4F81BD" w:themeColor="accent1"/>
        </w:rPr>
        <w:t xml:space="preserve"> and how they would </w:t>
      </w:r>
      <w:r w:rsidR="00505BAD" w:rsidRPr="00181A5F">
        <w:rPr>
          <w:color w:val="4F81BD" w:themeColor="accent1"/>
        </w:rPr>
        <w:t>s</w:t>
      </w:r>
      <w:r w:rsidRPr="00181A5F">
        <w:rPr>
          <w:color w:val="4F81BD" w:themeColor="accent1"/>
        </w:rPr>
        <w:t xml:space="preserve">upport </w:t>
      </w:r>
      <w:r w:rsidR="00505BAD" w:rsidRPr="00181A5F">
        <w:rPr>
          <w:color w:val="4F81BD" w:themeColor="accent1"/>
        </w:rPr>
        <w:t>g</w:t>
      </w:r>
      <w:r w:rsidRPr="00181A5F">
        <w:rPr>
          <w:color w:val="4F81BD" w:themeColor="accent1"/>
        </w:rPr>
        <w:t xml:space="preserve">rowth in the </w:t>
      </w:r>
      <w:r w:rsidR="00505BAD" w:rsidRPr="00181A5F">
        <w:rPr>
          <w:color w:val="4F81BD" w:themeColor="accent1"/>
        </w:rPr>
        <w:t>job</w:t>
      </w:r>
      <w:r w:rsidRPr="00181A5F">
        <w:rPr>
          <w:color w:val="4F81BD" w:themeColor="accent1"/>
        </w:rPr>
        <w:t xml:space="preserve"> market. </w:t>
      </w:r>
    </w:p>
    <w:p w:rsidR="00F25AE0" w:rsidRPr="00181A5F" w:rsidRDefault="007C1022" w:rsidP="007C1022">
      <w:pPr>
        <w:rPr>
          <w:color w:val="4F81BD" w:themeColor="accent1"/>
        </w:rPr>
      </w:pPr>
      <w:r w:rsidRPr="00181A5F">
        <w:rPr>
          <w:color w:val="4F81BD" w:themeColor="accent1"/>
        </w:rPr>
        <w:t>Provide real incentives for business</w:t>
      </w:r>
      <w:r w:rsidR="00A75CF8" w:rsidRPr="00181A5F">
        <w:rPr>
          <w:color w:val="4F81BD" w:themeColor="accent1"/>
        </w:rPr>
        <w:t>es</w:t>
      </w:r>
      <w:r w:rsidRPr="00181A5F">
        <w:rPr>
          <w:color w:val="4F81BD" w:themeColor="accent1"/>
        </w:rPr>
        <w:t xml:space="preserve"> hiring Australian staff and apprentices to create </w:t>
      </w:r>
      <w:r w:rsidR="00505BAD" w:rsidRPr="00181A5F">
        <w:rPr>
          <w:color w:val="4F81BD" w:themeColor="accent1"/>
        </w:rPr>
        <w:t>g</w:t>
      </w:r>
      <w:r w:rsidRPr="00181A5F">
        <w:rPr>
          <w:color w:val="4F81BD" w:themeColor="accent1"/>
        </w:rPr>
        <w:t xml:space="preserve">rowth and stability in the </w:t>
      </w:r>
      <w:r w:rsidR="00505BAD" w:rsidRPr="00181A5F">
        <w:rPr>
          <w:color w:val="4F81BD" w:themeColor="accent1"/>
        </w:rPr>
        <w:t>job m</w:t>
      </w:r>
      <w:r w:rsidRPr="00181A5F">
        <w:rPr>
          <w:color w:val="4F81BD" w:themeColor="accent1"/>
        </w:rPr>
        <w:t xml:space="preserve">arket. </w:t>
      </w:r>
    </w:p>
    <w:p w:rsidR="007C1022" w:rsidRPr="00181A5F" w:rsidRDefault="007C1022" w:rsidP="007C1022">
      <w:pPr>
        <w:rPr>
          <w:color w:val="4F81BD" w:themeColor="accent1"/>
        </w:rPr>
      </w:pPr>
      <w:r w:rsidRPr="00181A5F">
        <w:rPr>
          <w:color w:val="4F81BD" w:themeColor="accent1"/>
        </w:rPr>
        <w:t>Encourage (incentivise) emp</w:t>
      </w:r>
      <w:r w:rsidR="00505BAD" w:rsidRPr="00181A5F">
        <w:rPr>
          <w:color w:val="4F81BD" w:themeColor="accent1"/>
        </w:rPr>
        <w:t>l</w:t>
      </w:r>
      <w:r w:rsidRPr="00181A5F">
        <w:rPr>
          <w:color w:val="4F81BD" w:themeColor="accent1"/>
        </w:rPr>
        <w:t xml:space="preserve">oyers </w:t>
      </w:r>
      <w:r w:rsidR="00505BAD" w:rsidRPr="00181A5F">
        <w:rPr>
          <w:color w:val="4F81BD" w:themeColor="accent1"/>
        </w:rPr>
        <w:t>who</w:t>
      </w:r>
      <w:r w:rsidRPr="00181A5F">
        <w:rPr>
          <w:color w:val="4F81BD" w:themeColor="accent1"/>
        </w:rPr>
        <w:t xml:space="preserve"> provide training for real jobs and who </w:t>
      </w:r>
      <w:r w:rsidR="00505BAD" w:rsidRPr="00181A5F">
        <w:rPr>
          <w:color w:val="4F81BD" w:themeColor="accent1"/>
        </w:rPr>
        <w:t>a</w:t>
      </w:r>
      <w:r w:rsidRPr="00181A5F">
        <w:rPr>
          <w:color w:val="4F81BD" w:themeColor="accent1"/>
        </w:rPr>
        <w:t xml:space="preserve">re creating jobs and taking on staff.  </w:t>
      </w:r>
    </w:p>
    <w:p w:rsidR="001C2BE7" w:rsidRPr="00181A5F" w:rsidRDefault="007C1022" w:rsidP="007C1022">
      <w:pPr>
        <w:rPr>
          <w:color w:val="4F81BD" w:themeColor="accent1"/>
        </w:rPr>
      </w:pPr>
      <w:r w:rsidRPr="00181A5F">
        <w:rPr>
          <w:color w:val="4F81BD" w:themeColor="accent1"/>
        </w:rPr>
        <w:t xml:space="preserve">Amend the 457 Visa </w:t>
      </w:r>
      <w:r w:rsidR="00505BAD" w:rsidRPr="00181A5F">
        <w:rPr>
          <w:color w:val="4F81BD" w:themeColor="accent1"/>
        </w:rPr>
        <w:t>p</w:t>
      </w:r>
      <w:r w:rsidRPr="00181A5F">
        <w:rPr>
          <w:color w:val="4F81BD" w:themeColor="accent1"/>
        </w:rPr>
        <w:t xml:space="preserve">rocess </w:t>
      </w:r>
      <w:r w:rsidR="00505BAD" w:rsidRPr="00181A5F">
        <w:rPr>
          <w:color w:val="4F81BD" w:themeColor="accent1"/>
        </w:rPr>
        <w:t>to</w:t>
      </w:r>
      <w:r w:rsidRPr="00181A5F">
        <w:rPr>
          <w:color w:val="4F81BD" w:themeColor="accent1"/>
        </w:rPr>
        <w:t xml:space="preserve"> ensure jobs offered to overseas residents cannot be </w:t>
      </w:r>
      <w:r w:rsidR="00505BAD" w:rsidRPr="00181A5F">
        <w:rPr>
          <w:color w:val="4F81BD" w:themeColor="accent1"/>
        </w:rPr>
        <w:t>d</w:t>
      </w:r>
      <w:r w:rsidRPr="00181A5F">
        <w:rPr>
          <w:color w:val="4F81BD" w:themeColor="accent1"/>
        </w:rPr>
        <w:t xml:space="preserve">one by an Australian due to need for high level expertise </w:t>
      </w:r>
      <w:r w:rsidR="00505BAD" w:rsidRPr="00181A5F">
        <w:rPr>
          <w:color w:val="4F81BD" w:themeColor="accent1"/>
        </w:rPr>
        <w:t>w</w:t>
      </w:r>
      <w:r w:rsidRPr="00181A5F">
        <w:rPr>
          <w:color w:val="4F81BD" w:themeColor="accent1"/>
        </w:rPr>
        <w:t xml:space="preserve">hich cannot </w:t>
      </w:r>
      <w:r w:rsidR="00505BAD" w:rsidRPr="00181A5F">
        <w:rPr>
          <w:color w:val="4F81BD" w:themeColor="accent1"/>
        </w:rPr>
        <w:t>be</w:t>
      </w:r>
      <w:r w:rsidRPr="00181A5F">
        <w:rPr>
          <w:color w:val="4F81BD" w:themeColor="accent1"/>
        </w:rPr>
        <w:t xml:space="preserve"> found in Australia.  The work must be paid in excess of</w:t>
      </w:r>
      <w:r w:rsidR="00505BAD" w:rsidRPr="00181A5F">
        <w:rPr>
          <w:color w:val="4F81BD" w:themeColor="accent1"/>
        </w:rPr>
        <w:t>,</w:t>
      </w:r>
      <w:r w:rsidRPr="00181A5F">
        <w:rPr>
          <w:color w:val="4F81BD" w:themeColor="accent1"/>
        </w:rPr>
        <w:t xml:space="preserve"> or equivalent to the </w:t>
      </w:r>
      <w:r w:rsidR="00505BAD" w:rsidRPr="00181A5F">
        <w:rPr>
          <w:color w:val="4F81BD" w:themeColor="accent1"/>
        </w:rPr>
        <w:t>governing a</w:t>
      </w:r>
      <w:r w:rsidRPr="00181A5F">
        <w:rPr>
          <w:color w:val="4F81BD" w:themeColor="accent1"/>
        </w:rPr>
        <w:t xml:space="preserve">ward rate payable in Australia for a </w:t>
      </w:r>
      <w:r w:rsidR="00505BAD" w:rsidRPr="00181A5F">
        <w:rPr>
          <w:color w:val="4F81BD" w:themeColor="accent1"/>
        </w:rPr>
        <w:t>c</w:t>
      </w:r>
      <w:r w:rsidRPr="00181A5F">
        <w:rPr>
          <w:color w:val="4F81BD" w:themeColor="accent1"/>
        </w:rPr>
        <w:t>omparable position</w:t>
      </w:r>
      <w:r w:rsidR="00505BAD" w:rsidRPr="00181A5F">
        <w:rPr>
          <w:color w:val="4F81BD" w:themeColor="accent1"/>
        </w:rPr>
        <w:t>/work</w:t>
      </w:r>
      <w:r w:rsidRPr="00181A5F">
        <w:rPr>
          <w:color w:val="4F81BD" w:themeColor="accent1"/>
        </w:rPr>
        <w:t>.</w:t>
      </w:r>
    </w:p>
    <w:p w:rsidR="000E752B" w:rsidRPr="00181A5F" w:rsidRDefault="00F25AE0" w:rsidP="00F25AE0">
      <w:pPr>
        <w:rPr>
          <w:color w:val="4F81BD" w:themeColor="accent1"/>
        </w:rPr>
      </w:pPr>
      <w:r w:rsidRPr="00181A5F">
        <w:rPr>
          <w:color w:val="4F81BD" w:themeColor="accent1"/>
        </w:rPr>
        <w:t xml:space="preserve">Similarly, evaluate current use of 457 Visa processes which allow for unqualified or under-qualified overseas workers to be in paid employment within Australia that typically requires an Australian qualified tradesperson, not subject to 457 </w:t>
      </w:r>
      <w:r w:rsidR="00D9060E" w:rsidRPr="00181A5F">
        <w:rPr>
          <w:color w:val="4F81BD" w:themeColor="accent1"/>
        </w:rPr>
        <w:t>Visas, to perform the same work and close these loopholes, whilst addressing the lack of suitably qualified trades within Australia that has led to this practice.</w:t>
      </w:r>
    </w:p>
    <w:p w:rsidR="000E752B" w:rsidRPr="00181A5F" w:rsidRDefault="001C2BE7" w:rsidP="000E752B">
      <w:pPr>
        <w:pStyle w:val="Heading3"/>
      </w:pPr>
      <w:r w:rsidRPr="00181A5F">
        <w:t>Improving pathways to employment</w:t>
      </w:r>
    </w:p>
    <w:p w:rsidR="00D9060E" w:rsidRPr="00181A5F" w:rsidRDefault="007C1022" w:rsidP="000E752B">
      <w:pPr>
        <w:pStyle w:val="Heading3"/>
        <w:rPr>
          <w:b w:val="0"/>
          <w:iCs/>
          <w:color w:val="4F81BD" w:themeColor="accent1"/>
        </w:rPr>
      </w:pPr>
      <w:r w:rsidRPr="00181A5F">
        <w:rPr>
          <w:b w:val="0"/>
          <w:iCs/>
          <w:color w:val="4F81BD" w:themeColor="accent1"/>
        </w:rPr>
        <w:t xml:space="preserve">Train people for real jobs with needed skills. </w:t>
      </w:r>
    </w:p>
    <w:p w:rsidR="00DF2534" w:rsidRPr="00181A5F" w:rsidRDefault="00D456EB" w:rsidP="00DF2534">
      <w:pPr>
        <w:rPr>
          <w:color w:val="548DD4" w:themeColor="text2" w:themeTint="99"/>
          <w:lang w:eastAsia="en-AU"/>
        </w:rPr>
      </w:pPr>
      <w:r w:rsidRPr="00181A5F">
        <w:rPr>
          <w:color w:val="548DD4" w:themeColor="text2" w:themeTint="99"/>
          <w:lang w:eastAsia="en-AU"/>
        </w:rPr>
        <w:t>Weight the f</w:t>
      </w:r>
      <w:r w:rsidR="00DF2534" w:rsidRPr="00181A5F">
        <w:rPr>
          <w:color w:val="548DD4" w:themeColor="text2" w:themeTint="99"/>
          <w:lang w:eastAsia="en-AU"/>
        </w:rPr>
        <w:t>und</w:t>
      </w:r>
      <w:r w:rsidRPr="00181A5F">
        <w:rPr>
          <w:color w:val="548DD4" w:themeColor="text2" w:themeTint="99"/>
          <w:lang w:eastAsia="en-AU"/>
        </w:rPr>
        <w:t>ing of</w:t>
      </w:r>
      <w:r w:rsidR="00DF2534" w:rsidRPr="00181A5F">
        <w:rPr>
          <w:color w:val="548DD4" w:themeColor="text2" w:themeTint="99"/>
          <w:lang w:eastAsia="en-AU"/>
        </w:rPr>
        <w:t xml:space="preserve"> training and employment </w:t>
      </w:r>
      <w:r w:rsidRPr="00181A5F">
        <w:rPr>
          <w:color w:val="548DD4" w:themeColor="text2" w:themeTint="99"/>
          <w:lang w:eastAsia="en-AU"/>
        </w:rPr>
        <w:t>agencies towards successful graduation and employment outcomes, rather than client numbers and attendance figures.</w:t>
      </w:r>
    </w:p>
    <w:p w:rsidR="00D9060E" w:rsidRPr="00181A5F" w:rsidRDefault="007C1022" w:rsidP="000E752B">
      <w:pPr>
        <w:pStyle w:val="Heading3"/>
        <w:rPr>
          <w:b w:val="0"/>
          <w:iCs/>
          <w:color w:val="4F81BD" w:themeColor="accent1"/>
        </w:rPr>
      </w:pPr>
      <w:r w:rsidRPr="00181A5F">
        <w:rPr>
          <w:b w:val="0"/>
          <w:iCs/>
          <w:color w:val="4F81BD" w:themeColor="accent1"/>
        </w:rPr>
        <w:t xml:space="preserve">Remove the barriers to employment by </w:t>
      </w:r>
      <w:r w:rsidR="001C2B4B" w:rsidRPr="00181A5F">
        <w:rPr>
          <w:b w:val="0"/>
          <w:iCs/>
          <w:color w:val="4F81BD" w:themeColor="accent1"/>
        </w:rPr>
        <w:t>educating and</w:t>
      </w:r>
      <w:r w:rsidRPr="00181A5F">
        <w:rPr>
          <w:b w:val="0"/>
          <w:iCs/>
          <w:color w:val="4F81BD" w:themeColor="accent1"/>
        </w:rPr>
        <w:t xml:space="preserve"> providing incentives to employers to take on people with </w:t>
      </w:r>
      <w:r w:rsidR="00D1529C" w:rsidRPr="00181A5F">
        <w:rPr>
          <w:b w:val="0"/>
          <w:iCs/>
          <w:color w:val="4F81BD" w:themeColor="accent1"/>
        </w:rPr>
        <w:t>d</w:t>
      </w:r>
      <w:r w:rsidRPr="00181A5F">
        <w:rPr>
          <w:b w:val="0"/>
          <w:iCs/>
          <w:color w:val="4F81BD" w:themeColor="accent1"/>
        </w:rPr>
        <w:t>isabilities or from disadvantaged backgrounds.</w:t>
      </w:r>
      <w:r w:rsidR="00D9060E" w:rsidRPr="00181A5F">
        <w:rPr>
          <w:b w:val="0"/>
          <w:iCs/>
          <w:color w:val="4F81BD" w:themeColor="accent1"/>
        </w:rPr>
        <w:t xml:space="preserve"> </w:t>
      </w:r>
    </w:p>
    <w:p w:rsidR="001C2BE7" w:rsidRPr="00181A5F" w:rsidRDefault="00D9060E" w:rsidP="000E752B">
      <w:pPr>
        <w:pStyle w:val="Heading3"/>
        <w:rPr>
          <w:b w:val="0"/>
          <w:iCs/>
          <w:color w:val="4F81BD" w:themeColor="accent1"/>
        </w:rPr>
      </w:pPr>
      <w:r w:rsidRPr="00181A5F">
        <w:rPr>
          <w:b w:val="0"/>
          <w:iCs/>
          <w:color w:val="4F81BD" w:themeColor="accent1"/>
        </w:rPr>
        <w:t>Include</w:t>
      </w:r>
      <w:r w:rsidR="00F25AE0" w:rsidRPr="00181A5F">
        <w:rPr>
          <w:b w:val="0"/>
          <w:iCs/>
          <w:color w:val="4F81BD" w:themeColor="accent1"/>
        </w:rPr>
        <w:t xml:space="preserve"> volunteering</w:t>
      </w:r>
      <w:r w:rsidRPr="00181A5F">
        <w:rPr>
          <w:b w:val="0"/>
          <w:iCs/>
          <w:color w:val="4F81BD" w:themeColor="accent1"/>
        </w:rPr>
        <w:t xml:space="preserve"> within community-based organisations as an activity that meets the requirements of ‘mutual obligation’, develops skills, can lead to paid employment and meets eligibility requirements for Living Allowance payment</w:t>
      </w:r>
      <w:r w:rsidR="00A45E08" w:rsidRPr="00181A5F">
        <w:rPr>
          <w:b w:val="0"/>
          <w:iCs/>
          <w:color w:val="4F81BD" w:themeColor="accent1"/>
        </w:rPr>
        <w:t>(s)</w:t>
      </w:r>
      <w:r w:rsidRPr="00181A5F">
        <w:rPr>
          <w:b w:val="0"/>
          <w:iCs/>
          <w:color w:val="4F81BD" w:themeColor="accent1"/>
        </w:rPr>
        <w:t xml:space="preserve"> as part of an individual’s assessed social contract.</w:t>
      </w:r>
    </w:p>
    <w:p w:rsidR="001C2BE7" w:rsidRPr="00181A5F" w:rsidRDefault="001C2BE7" w:rsidP="008C5A75">
      <w:pPr>
        <w:pStyle w:val="Heading3"/>
        <w:rPr>
          <w:iCs/>
          <w:smallCaps/>
        </w:rPr>
      </w:pPr>
      <w:r w:rsidRPr="00181A5F">
        <w:t>Supporting employers</w:t>
      </w:r>
    </w:p>
    <w:p w:rsidR="007C1022" w:rsidRPr="00181A5F" w:rsidRDefault="007C1022" w:rsidP="007C1022">
      <w:pPr>
        <w:rPr>
          <w:iCs/>
          <w:color w:val="4F81BD" w:themeColor="accent1"/>
        </w:rPr>
      </w:pPr>
      <w:r w:rsidRPr="00181A5F">
        <w:rPr>
          <w:iCs/>
          <w:color w:val="4F81BD" w:themeColor="accent1"/>
        </w:rPr>
        <w:t xml:space="preserve">Match skills with real vacancies </w:t>
      </w:r>
      <w:r w:rsidR="00D1529C" w:rsidRPr="00181A5F">
        <w:rPr>
          <w:iCs/>
          <w:color w:val="4F81BD" w:themeColor="accent1"/>
        </w:rPr>
        <w:t>or to m</w:t>
      </w:r>
      <w:r w:rsidR="00A45E08" w:rsidRPr="00181A5F">
        <w:rPr>
          <w:iCs/>
          <w:color w:val="4F81BD" w:themeColor="accent1"/>
        </w:rPr>
        <w:t>eet</w:t>
      </w:r>
      <w:r w:rsidR="00D1529C" w:rsidRPr="00181A5F">
        <w:rPr>
          <w:iCs/>
          <w:color w:val="4F81BD" w:themeColor="accent1"/>
        </w:rPr>
        <w:t xml:space="preserve"> m</w:t>
      </w:r>
      <w:r w:rsidRPr="00181A5F">
        <w:rPr>
          <w:iCs/>
          <w:color w:val="4F81BD" w:themeColor="accent1"/>
        </w:rPr>
        <w:t>arket need</w:t>
      </w:r>
      <w:r w:rsidR="00A45E08" w:rsidRPr="00181A5F">
        <w:rPr>
          <w:iCs/>
          <w:color w:val="4F81BD" w:themeColor="accent1"/>
        </w:rPr>
        <w:t>,</w:t>
      </w:r>
      <w:r w:rsidRPr="00181A5F">
        <w:rPr>
          <w:iCs/>
          <w:color w:val="4F81BD" w:themeColor="accent1"/>
        </w:rPr>
        <w:t xml:space="preserve"> which will </w:t>
      </w:r>
      <w:r w:rsidR="00D9060E" w:rsidRPr="00181A5F">
        <w:rPr>
          <w:iCs/>
          <w:color w:val="4F81BD" w:themeColor="accent1"/>
        </w:rPr>
        <w:t xml:space="preserve">continue to </w:t>
      </w:r>
      <w:r w:rsidRPr="00181A5F">
        <w:rPr>
          <w:iCs/>
          <w:color w:val="4F81BD" w:themeColor="accent1"/>
        </w:rPr>
        <w:t>change from time to time.</w:t>
      </w:r>
    </w:p>
    <w:p w:rsidR="001C2BE7" w:rsidRPr="00181A5F" w:rsidRDefault="007C1022" w:rsidP="007C1022">
      <w:pPr>
        <w:rPr>
          <w:iCs/>
          <w:color w:val="4F81BD" w:themeColor="accent1"/>
        </w:rPr>
      </w:pPr>
      <w:r w:rsidRPr="00181A5F">
        <w:rPr>
          <w:iCs/>
          <w:color w:val="4F81BD" w:themeColor="accent1"/>
        </w:rPr>
        <w:t>Provide incentives to emp</w:t>
      </w:r>
      <w:r w:rsidR="00D1529C" w:rsidRPr="00181A5F">
        <w:rPr>
          <w:iCs/>
          <w:color w:val="4F81BD" w:themeColor="accent1"/>
        </w:rPr>
        <w:t>l</w:t>
      </w:r>
      <w:r w:rsidRPr="00181A5F">
        <w:rPr>
          <w:iCs/>
          <w:color w:val="4F81BD" w:themeColor="accent1"/>
        </w:rPr>
        <w:t xml:space="preserve">oyers hiring Australian staff </w:t>
      </w:r>
      <w:r w:rsidR="00D1529C" w:rsidRPr="00181A5F">
        <w:rPr>
          <w:iCs/>
          <w:color w:val="4F81BD" w:themeColor="accent1"/>
        </w:rPr>
        <w:t>o</w:t>
      </w:r>
      <w:r w:rsidRPr="00181A5F">
        <w:rPr>
          <w:iCs/>
          <w:color w:val="4F81BD" w:themeColor="accent1"/>
        </w:rPr>
        <w:t xml:space="preserve">r </w:t>
      </w:r>
      <w:r w:rsidR="00D1529C" w:rsidRPr="00181A5F">
        <w:rPr>
          <w:iCs/>
          <w:color w:val="4F81BD" w:themeColor="accent1"/>
        </w:rPr>
        <w:t>c</w:t>
      </w:r>
      <w:r w:rsidRPr="00181A5F">
        <w:rPr>
          <w:iCs/>
          <w:color w:val="4F81BD" w:themeColor="accent1"/>
        </w:rPr>
        <w:t xml:space="preserve">reating new </w:t>
      </w:r>
      <w:r w:rsidR="00D1529C" w:rsidRPr="00181A5F">
        <w:rPr>
          <w:iCs/>
          <w:color w:val="4F81BD" w:themeColor="accent1"/>
        </w:rPr>
        <w:t>j</w:t>
      </w:r>
      <w:r w:rsidRPr="00181A5F">
        <w:rPr>
          <w:iCs/>
          <w:color w:val="4F81BD" w:themeColor="accent1"/>
        </w:rPr>
        <w:t>obs</w:t>
      </w:r>
      <w:r w:rsidR="00D1529C" w:rsidRPr="00181A5F">
        <w:rPr>
          <w:iCs/>
          <w:color w:val="4F81BD" w:themeColor="accent1"/>
        </w:rPr>
        <w:t>.</w:t>
      </w:r>
    </w:p>
    <w:p w:rsidR="00293BC5" w:rsidRDefault="00293BC5">
      <w:pPr>
        <w:rPr>
          <w:b/>
          <w:lang w:eastAsia="en-AU"/>
        </w:rPr>
      </w:pPr>
      <w:r>
        <w:br w:type="page"/>
      </w:r>
    </w:p>
    <w:p w:rsidR="001C2BE7" w:rsidRPr="00181A5F" w:rsidRDefault="001C2BE7" w:rsidP="008C5A75">
      <w:pPr>
        <w:pStyle w:val="Heading2"/>
        <w:rPr>
          <w:sz w:val="22"/>
          <w:szCs w:val="22"/>
        </w:rPr>
      </w:pPr>
      <w:r w:rsidRPr="00181A5F">
        <w:rPr>
          <w:sz w:val="22"/>
          <w:szCs w:val="22"/>
        </w:rPr>
        <w:lastRenderedPageBreak/>
        <w:t>Pillar Four: Building community capacity</w:t>
      </w:r>
    </w:p>
    <w:p w:rsidR="001C2BE7" w:rsidRPr="00181A5F" w:rsidRDefault="00D1529C" w:rsidP="00CD7137">
      <w:pPr>
        <w:rPr>
          <w:iCs/>
          <w:color w:val="4F81BD" w:themeColor="accent1"/>
        </w:rPr>
      </w:pPr>
      <w:r w:rsidRPr="00181A5F">
        <w:rPr>
          <w:iCs/>
          <w:color w:val="4F81BD" w:themeColor="accent1"/>
        </w:rPr>
        <w:t>Create</w:t>
      </w:r>
      <w:r w:rsidR="007C1022" w:rsidRPr="00181A5F">
        <w:rPr>
          <w:iCs/>
          <w:color w:val="4F81BD" w:themeColor="accent1"/>
        </w:rPr>
        <w:t xml:space="preserve"> opportunit</w:t>
      </w:r>
      <w:r w:rsidRPr="00181A5F">
        <w:rPr>
          <w:iCs/>
          <w:color w:val="4F81BD" w:themeColor="accent1"/>
        </w:rPr>
        <w:t>i</w:t>
      </w:r>
      <w:r w:rsidR="007C1022" w:rsidRPr="00181A5F">
        <w:rPr>
          <w:iCs/>
          <w:color w:val="4F81BD" w:themeColor="accent1"/>
        </w:rPr>
        <w:t xml:space="preserve">es for employment, training and </w:t>
      </w:r>
      <w:r w:rsidRPr="00181A5F">
        <w:rPr>
          <w:iCs/>
          <w:color w:val="4F81BD" w:themeColor="accent1"/>
        </w:rPr>
        <w:t>t</w:t>
      </w:r>
      <w:r w:rsidR="007C1022" w:rsidRPr="00181A5F">
        <w:rPr>
          <w:iCs/>
          <w:color w:val="4F81BD" w:themeColor="accent1"/>
        </w:rPr>
        <w:t xml:space="preserve">o provide </w:t>
      </w:r>
      <w:r w:rsidR="001C2B4B" w:rsidRPr="00181A5F">
        <w:rPr>
          <w:iCs/>
          <w:color w:val="4F81BD" w:themeColor="accent1"/>
        </w:rPr>
        <w:t>meaningful work</w:t>
      </w:r>
      <w:r w:rsidR="007C1022" w:rsidRPr="00181A5F">
        <w:rPr>
          <w:iCs/>
          <w:color w:val="4F81BD" w:themeColor="accent1"/>
        </w:rPr>
        <w:t xml:space="preserve"> experience in the not-for-profit sector</w:t>
      </w:r>
      <w:r w:rsidRPr="00181A5F">
        <w:rPr>
          <w:iCs/>
          <w:color w:val="4F81BD" w:themeColor="accent1"/>
        </w:rPr>
        <w:t xml:space="preserve"> and</w:t>
      </w:r>
      <w:r w:rsidR="007C1022" w:rsidRPr="00181A5F">
        <w:rPr>
          <w:iCs/>
          <w:color w:val="4F81BD" w:themeColor="accent1"/>
        </w:rPr>
        <w:t xml:space="preserve"> provide incentives and subsidies for people </w:t>
      </w:r>
      <w:r w:rsidRPr="00181A5F">
        <w:rPr>
          <w:iCs/>
          <w:color w:val="4F81BD" w:themeColor="accent1"/>
        </w:rPr>
        <w:t>u</w:t>
      </w:r>
      <w:r w:rsidR="007C1022" w:rsidRPr="00181A5F">
        <w:rPr>
          <w:iCs/>
          <w:color w:val="4F81BD" w:themeColor="accent1"/>
        </w:rPr>
        <w:t xml:space="preserve">ndertaking volunteer </w:t>
      </w:r>
      <w:r w:rsidR="001C2B4B" w:rsidRPr="00181A5F">
        <w:rPr>
          <w:iCs/>
          <w:color w:val="4F81BD" w:themeColor="accent1"/>
        </w:rPr>
        <w:t>work.</w:t>
      </w:r>
    </w:p>
    <w:p w:rsidR="001C2BE7" w:rsidRPr="00181A5F" w:rsidRDefault="001C2BE7" w:rsidP="008C5A75">
      <w:pPr>
        <w:pStyle w:val="Heading3"/>
      </w:pPr>
      <w:r w:rsidRPr="00181A5F">
        <w:t>Role of government</w:t>
      </w:r>
    </w:p>
    <w:p w:rsidR="007C1022" w:rsidRPr="00181A5F" w:rsidRDefault="00B93282" w:rsidP="007C1022">
      <w:pPr>
        <w:rPr>
          <w:iCs/>
          <w:color w:val="4F81BD" w:themeColor="accent1"/>
          <w:lang w:eastAsia="en-AU"/>
        </w:rPr>
      </w:pPr>
      <w:r w:rsidRPr="00181A5F">
        <w:rPr>
          <w:iCs/>
          <w:color w:val="4F81BD" w:themeColor="accent1"/>
          <w:lang w:eastAsia="en-AU"/>
        </w:rPr>
        <w:t>D</w:t>
      </w:r>
      <w:r w:rsidR="007C1022" w:rsidRPr="00181A5F">
        <w:rPr>
          <w:iCs/>
          <w:color w:val="4F81BD" w:themeColor="accent1"/>
          <w:lang w:eastAsia="en-AU"/>
        </w:rPr>
        <w:t>evelop performance measures that sho</w:t>
      </w:r>
      <w:r w:rsidRPr="00181A5F">
        <w:rPr>
          <w:iCs/>
          <w:color w:val="4F81BD" w:themeColor="accent1"/>
          <w:lang w:eastAsia="en-AU"/>
        </w:rPr>
        <w:t>w</w:t>
      </w:r>
      <w:r w:rsidR="007C1022" w:rsidRPr="00181A5F">
        <w:rPr>
          <w:iCs/>
          <w:color w:val="4F81BD" w:themeColor="accent1"/>
          <w:lang w:eastAsia="en-AU"/>
        </w:rPr>
        <w:t xml:space="preserve"> how the system is working and </w:t>
      </w:r>
      <w:r w:rsidR="001C2B4B" w:rsidRPr="00181A5F">
        <w:rPr>
          <w:iCs/>
          <w:color w:val="4F81BD" w:themeColor="accent1"/>
          <w:lang w:eastAsia="en-AU"/>
        </w:rPr>
        <w:t>identifies</w:t>
      </w:r>
      <w:r w:rsidR="007C1022" w:rsidRPr="00181A5F">
        <w:rPr>
          <w:iCs/>
          <w:color w:val="4F81BD" w:themeColor="accent1"/>
          <w:lang w:eastAsia="en-AU"/>
        </w:rPr>
        <w:t xml:space="preserve"> areas for improvement.  </w:t>
      </w:r>
      <w:r w:rsidRPr="00181A5F">
        <w:rPr>
          <w:iCs/>
          <w:color w:val="4F81BD" w:themeColor="accent1"/>
          <w:lang w:eastAsia="en-AU"/>
        </w:rPr>
        <w:t>G</w:t>
      </w:r>
      <w:r w:rsidR="007C1022" w:rsidRPr="00181A5F">
        <w:rPr>
          <w:iCs/>
          <w:color w:val="4F81BD" w:themeColor="accent1"/>
          <w:lang w:eastAsia="en-AU"/>
        </w:rPr>
        <w:t xml:space="preserve">ovt. should review existing performance measures which give an incorrect </w:t>
      </w:r>
      <w:r w:rsidRPr="00181A5F">
        <w:rPr>
          <w:iCs/>
          <w:color w:val="4F81BD" w:themeColor="accent1"/>
          <w:lang w:eastAsia="en-AU"/>
        </w:rPr>
        <w:t xml:space="preserve">impression </w:t>
      </w:r>
      <w:r w:rsidR="007C1022" w:rsidRPr="00181A5F">
        <w:rPr>
          <w:iCs/>
          <w:color w:val="4F81BD" w:themeColor="accent1"/>
          <w:lang w:eastAsia="en-AU"/>
        </w:rPr>
        <w:t xml:space="preserve">or disguise the true position.  </w:t>
      </w:r>
    </w:p>
    <w:p w:rsidR="007C1022" w:rsidRPr="00181A5F" w:rsidRDefault="00B93282" w:rsidP="007C1022">
      <w:pPr>
        <w:rPr>
          <w:iCs/>
          <w:color w:val="4F81BD" w:themeColor="accent1"/>
          <w:lang w:eastAsia="en-AU"/>
        </w:rPr>
      </w:pPr>
      <w:r w:rsidRPr="00181A5F">
        <w:rPr>
          <w:iCs/>
          <w:color w:val="4F81BD" w:themeColor="accent1"/>
          <w:lang w:eastAsia="en-AU"/>
        </w:rPr>
        <w:t>G</w:t>
      </w:r>
      <w:r w:rsidR="00D721D7" w:rsidRPr="00181A5F">
        <w:rPr>
          <w:iCs/>
          <w:color w:val="4F81BD" w:themeColor="accent1"/>
          <w:lang w:eastAsia="en-AU"/>
        </w:rPr>
        <w:t>ovt. can</w:t>
      </w:r>
      <w:r w:rsidR="007C1022" w:rsidRPr="00181A5F">
        <w:rPr>
          <w:iCs/>
          <w:color w:val="4F81BD" w:themeColor="accent1"/>
          <w:lang w:eastAsia="en-AU"/>
        </w:rPr>
        <w:t xml:space="preserve"> build commun</w:t>
      </w:r>
      <w:r w:rsidR="00D721D7" w:rsidRPr="00181A5F">
        <w:rPr>
          <w:iCs/>
          <w:color w:val="4F81BD" w:themeColor="accent1"/>
          <w:lang w:eastAsia="en-AU"/>
        </w:rPr>
        <w:t>ity capacity by removing red tape,</w:t>
      </w:r>
      <w:r w:rsidR="007C1022" w:rsidRPr="00181A5F">
        <w:rPr>
          <w:iCs/>
          <w:color w:val="4F81BD" w:themeColor="accent1"/>
          <w:lang w:eastAsia="en-AU"/>
        </w:rPr>
        <w:t xml:space="preserve"> by promoting local programs and initiatives </w:t>
      </w:r>
      <w:r w:rsidR="001C2B4B" w:rsidRPr="00181A5F">
        <w:rPr>
          <w:iCs/>
          <w:color w:val="4F81BD" w:themeColor="accent1"/>
          <w:lang w:eastAsia="en-AU"/>
        </w:rPr>
        <w:t>which create</w:t>
      </w:r>
      <w:r w:rsidR="007C1022" w:rsidRPr="00181A5F">
        <w:rPr>
          <w:iCs/>
          <w:color w:val="4F81BD" w:themeColor="accent1"/>
          <w:lang w:eastAsia="en-AU"/>
        </w:rPr>
        <w:t xml:space="preserve"> growth and </w:t>
      </w:r>
      <w:r w:rsidR="00D721D7" w:rsidRPr="00181A5F">
        <w:rPr>
          <w:iCs/>
          <w:color w:val="4F81BD" w:themeColor="accent1"/>
          <w:lang w:eastAsia="en-AU"/>
        </w:rPr>
        <w:t xml:space="preserve">by </w:t>
      </w:r>
      <w:r w:rsidR="007C1022" w:rsidRPr="00181A5F">
        <w:rPr>
          <w:iCs/>
          <w:color w:val="4F81BD" w:themeColor="accent1"/>
          <w:lang w:eastAsia="en-AU"/>
        </w:rPr>
        <w:t>encouraging new business</w:t>
      </w:r>
      <w:r w:rsidR="00D721D7" w:rsidRPr="00181A5F">
        <w:rPr>
          <w:iCs/>
          <w:color w:val="4F81BD" w:themeColor="accent1"/>
          <w:lang w:eastAsia="en-AU"/>
        </w:rPr>
        <w:t>,</w:t>
      </w:r>
      <w:r w:rsidR="007C1022" w:rsidRPr="00181A5F">
        <w:rPr>
          <w:iCs/>
          <w:color w:val="4F81BD" w:themeColor="accent1"/>
          <w:lang w:eastAsia="en-AU"/>
        </w:rPr>
        <w:t xml:space="preserve"> including </w:t>
      </w:r>
      <w:r w:rsidRPr="00181A5F">
        <w:rPr>
          <w:iCs/>
          <w:color w:val="4F81BD" w:themeColor="accent1"/>
          <w:lang w:eastAsia="en-AU"/>
        </w:rPr>
        <w:t xml:space="preserve">providing </w:t>
      </w:r>
      <w:r w:rsidR="007C1022" w:rsidRPr="00181A5F">
        <w:rPr>
          <w:iCs/>
          <w:color w:val="4F81BD" w:themeColor="accent1"/>
          <w:lang w:eastAsia="en-AU"/>
        </w:rPr>
        <w:t xml:space="preserve">stimulus payments in areas where this will be of lasting community benefit and fills an identified gap. </w:t>
      </w:r>
    </w:p>
    <w:p w:rsidR="007C1022" w:rsidRPr="00181A5F" w:rsidRDefault="00B93282" w:rsidP="007C1022">
      <w:pPr>
        <w:rPr>
          <w:iCs/>
          <w:color w:val="4F81BD" w:themeColor="accent1"/>
          <w:lang w:eastAsia="en-AU"/>
        </w:rPr>
      </w:pPr>
      <w:r w:rsidRPr="00181A5F">
        <w:rPr>
          <w:iCs/>
          <w:color w:val="4F81BD" w:themeColor="accent1"/>
          <w:lang w:eastAsia="en-AU"/>
        </w:rPr>
        <w:t>G</w:t>
      </w:r>
      <w:r w:rsidR="007C1022" w:rsidRPr="00181A5F">
        <w:rPr>
          <w:iCs/>
          <w:color w:val="4F81BD" w:themeColor="accent1"/>
          <w:lang w:eastAsia="en-AU"/>
        </w:rPr>
        <w:t xml:space="preserve">ovt. should sponsor industries with long term benefits to </w:t>
      </w:r>
      <w:r w:rsidRPr="00181A5F">
        <w:rPr>
          <w:iCs/>
          <w:color w:val="4F81BD" w:themeColor="accent1"/>
          <w:lang w:eastAsia="en-AU"/>
        </w:rPr>
        <w:t>A</w:t>
      </w:r>
      <w:r w:rsidR="007C1022" w:rsidRPr="00181A5F">
        <w:rPr>
          <w:iCs/>
          <w:color w:val="4F81BD" w:themeColor="accent1"/>
          <w:lang w:eastAsia="en-AU"/>
        </w:rPr>
        <w:t xml:space="preserve">ustralia </w:t>
      </w:r>
      <w:r w:rsidRPr="00181A5F">
        <w:rPr>
          <w:iCs/>
          <w:color w:val="4F81BD" w:themeColor="accent1"/>
          <w:lang w:eastAsia="en-AU"/>
        </w:rPr>
        <w:t>such as</w:t>
      </w:r>
      <w:r w:rsidR="001C2B4B" w:rsidRPr="00181A5F">
        <w:rPr>
          <w:iCs/>
          <w:color w:val="4F81BD" w:themeColor="accent1"/>
          <w:lang w:eastAsia="en-AU"/>
        </w:rPr>
        <w:t>: -</w:t>
      </w:r>
      <w:r w:rsidRPr="00181A5F">
        <w:rPr>
          <w:iCs/>
          <w:color w:val="4F81BD" w:themeColor="accent1"/>
          <w:lang w:eastAsia="en-AU"/>
        </w:rPr>
        <w:t xml:space="preserve"> </w:t>
      </w:r>
      <w:r w:rsidR="007C1022" w:rsidRPr="00181A5F">
        <w:rPr>
          <w:iCs/>
          <w:color w:val="4F81BD" w:themeColor="accent1"/>
          <w:lang w:eastAsia="en-AU"/>
        </w:rPr>
        <w:t>exploration, medical research, food production technologies, research and development</w:t>
      </w:r>
      <w:r w:rsidR="00D721D7" w:rsidRPr="00181A5F">
        <w:rPr>
          <w:iCs/>
          <w:color w:val="4F81BD" w:themeColor="accent1"/>
          <w:lang w:eastAsia="en-AU"/>
        </w:rPr>
        <w:t>,</w:t>
      </w:r>
      <w:r w:rsidR="001C2B4B" w:rsidRPr="00181A5F">
        <w:rPr>
          <w:iCs/>
          <w:color w:val="4F81BD" w:themeColor="accent1"/>
          <w:lang w:eastAsia="en-AU"/>
        </w:rPr>
        <w:t xml:space="preserve"> commerce</w:t>
      </w:r>
      <w:r w:rsidR="007C1022" w:rsidRPr="00181A5F">
        <w:rPr>
          <w:iCs/>
          <w:color w:val="4F81BD" w:themeColor="accent1"/>
          <w:lang w:eastAsia="en-AU"/>
        </w:rPr>
        <w:t xml:space="preserve"> and business hubs, business incubators, alternative energy development</w:t>
      </w:r>
      <w:r w:rsidR="00D721D7" w:rsidRPr="00181A5F">
        <w:rPr>
          <w:iCs/>
          <w:color w:val="4F81BD" w:themeColor="accent1"/>
          <w:lang w:eastAsia="en-AU"/>
        </w:rPr>
        <w:t>,</w:t>
      </w:r>
      <w:r w:rsidR="007C1022" w:rsidRPr="00181A5F">
        <w:rPr>
          <w:iCs/>
          <w:color w:val="4F81BD" w:themeColor="accent1"/>
          <w:lang w:eastAsia="en-AU"/>
        </w:rPr>
        <w:t xml:space="preserve"> etc.</w:t>
      </w:r>
    </w:p>
    <w:p w:rsidR="001C2BE7" w:rsidRPr="00181A5F" w:rsidRDefault="001C2BE7" w:rsidP="008C5A75">
      <w:pPr>
        <w:pStyle w:val="Heading3"/>
      </w:pPr>
      <w:r w:rsidRPr="00181A5F">
        <w:t>Role of local business</w:t>
      </w:r>
    </w:p>
    <w:p w:rsidR="007C1022" w:rsidRPr="00181A5F" w:rsidRDefault="00B93282" w:rsidP="007C1022">
      <w:pPr>
        <w:rPr>
          <w:color w:val="4F81BD" w:themeColor="accent1"/>
          <w:lang w:eastAsia="en-AU"/>
        </w:rPr>
      </w:pPr>
      <w:r w:rsidRPr="00181A5F">
        <w:rPr>
          <w:iCs/>
          <w:color w:val="4F81BD" w:themeColor="accent1"/>
          <w:lang w:eastAsia="en-AU"/>
        </w:rPr>
        <w:t xml:space="preserve">Business with the support of Government could </w:t>
      </w:r>
      <w:r w:rsidR="007C1022" w:rsidRPr="00181A5F">
        <w:rPr>
          <w:iCs/>
          <w:color w:val="4F81BD" w:themeColor="accent1"/>
          <w:lang w:eastAsia="en-AU"/>
        </w:rPr>
        <w:t>look at gap analysis in the local community and develop st</w:t>
      </w:r>
      <w:r w:rsidRPr="00181A5F">
        <w:rPr>
          <w:iCs/>
          <w:color w:val="4F81BD" w:themeColor="accent1"/>
          <w:lang w:eastAsia="en-AU"/>
        </w:rPr>
        <w:t>r</w:t>
      </w:r>
      <w:r w:rsidR="007C1022" w:rsidRPr="00181A5F">
        <w:rPr>
          <w:iCs/>
          <w:color w:val="4F81BD" w:themeColor="accent1"/>
          <w:lang w:eastAsia="en-AU"/>
        </w:rPr>
        <w:t>ategic responses in conjunction with local Government.</w:t>
      </w:r>
    </w:p>
    <w:p w:rsidR="001C2BE7" w:rsidRPr="00181A5F" w:rsidRDefault="001C2BE7" w:rsidP="008C5A75">
      <w:pPr>
        <w:pStyle w:val="Heading3"/>
      </w:pPr>
      <w:r w:rsidRPr="00181A5F">
        <w:t>Access to technology</w:t>
      </w:r>
    </w:p>
    <w:p w:rsidR="00B93282" w:rsidRPr="00181A5F" w:rsidRDefault="007C1022" w:rsidP="007C1022">
      <w:pPr>
        <w:rPr>
          <w:iCs/>
          <w:color w:val="4F81BD" w:themeColor="accent1"/>
          <w:lang w:eastAsia="en-AU"/>
        </w:rPr>
      </w:pPr>
      <w:r w:rsidRPr="00181A5F">
        <w:rPr>
          <w:iCs/>
          <w:color w:val="4F81BD" w:themeColor="accent1"/>
          <w:lang w:eastAsia="en-AU"/>
        </w:rPr>
        <w:t>Do not assume unemp</w:t>
      </w:r>
      <w:r w:rsidR="00B93282" w:rsidRPr="00181A5F">
        <w:rPr>
          <w:iCs/>
          <w:color w:val="4F81BD" w:themeColor="accent1"/>
          <w:lang w:eastAsia="en-AU"/>
        </w:rPr>
        <w:t>lo</w:t>
      </w:r>
      <w:r w:rsidRPr="00181A5F">
        <w:rPr>
          <w:iCs/>
          <w:color w:val="4F81BD" w:themeColor="accent1"/>
          <w:lang w:eastAsia="en-AU"/>
        </w:rPr>
        <w:t>yed or disa</w:t>
      </w:r>
      <w:r w:rsidR="00B93282" w:rsidRPr="00181A5F">
        <w:rPr>
          <w:iCs/>
          <w:color w:val="4F81BD" w:themeColor="accent1"/>
          <w:lang w:eastAsia="en-AU"/>
        </w:rPr>
        <w:t>d</w:t>
      </w:r>
      <w:r w:rsidRPr="00181A5F">
        <w:rPr>
          <w:iCs/>
          <w:color w:val="4F81BD" w:themeColor="accent1"/>
          <w:lang w:eastAsia="en-AU"/>
        </w:rPr>
        <w:t>vant</w:t>
      </w:r>
      <w:r w:rsidR="00B93282" w:rsidRPr="00181A5F">
        <w:rPr>
          <w:iCs/>
          <w:color w:val="4F81BD" w:themeColor="accent1"/>
          <w:lang w:eastAsia="en-AU"/>
        </w:rPr>
        <w:t>a</w:t>
      </w:r>
      <w:r w:rsidRPr="00181A5F">
        <w:rPr>
          <w:iCs/>
          <w:color w:val="4F81BD" w:themeColor="accent1"/>
          <w:lang w:eastAsia="en-AU"/>
        </w:rPr>
        <w:t>ged people have the comp</w:t>
      </w:r>
      <w:r w:rsidR="00142FDE" w:rsidRPr="00181A5F">
        <w:rPr>
          <w:iCs/>
          <w:color w:val="4F81BD" w:themeColor="accent1"/>
          <w:lang w:eastAsia="en-AU"/>
        </w:rPr>
        <w:t>uter literacy to enable them to</w:t>
      </w:r>
      <w:r w:rsidRPr="00181A5F">
        <w:rPr>
          <w:iCs/>
          <w:color w:val="4F81BD" w:themeColor="accent1"/>
          <w:lang w:eastAsia="en-AU"/>
        </w:rPr>
        <w:t xml:space="preserve"> access the on</w:t>
      </w:r>
      <w:r w:rsidR="00B93282" w:rsidRPr="00181A5F">
        <w:rPr>
          <w:iCs/>
          <w:color w:val="4F81BD" w:themeColor="accent1"/>
          <w:lang w:eastAsia="en-AU"/>
        </w:rPr>
        <w:t>-</w:t>
      </w:r>
      <w:r w:rsidRPr="00181A5F">
        <w:rPr>
          <w:iCs/>
          <w:color w:val="4F81BD" w:themeColor="accent1"/>
          <w:lang w:eastAsia="en-AU"/>
        </w:rPr>
        <w:t>line job market successfully</w:t>
      </w:r>
      <w:r w:rsidR="00B93282" w:rsidRPr="00181A5F">
        <w:rPr>
          <w:iCs/>
          <w:color w:val="4F81BD" w:themeColor="accent1"/>
          <w:lang w:eastAsia="en-AU"/>
        </w:rPr>
        <w:t>,</w:t>
      </w:r>
      <w:r w:rsidRPr="00181A5F">
        <w:rPr>
          <w:iCs/>
          <w:color w:val="4F81BD" w:themeColor="accent1"/>
          <w:lang w:eastAsia="en-AU"/>
        </w:rPr>
        <w:t xml:space="preserve"> or the ability to deal with Government Departments on</w:t>
      </w:r>
      <w:r w:rsidR="00B93282" w:rsidRPr="00181A5F">
        <w:rPr>
          <w:iCs/>
          <w:color w:val="4F81BD" w:themeColor="accent1"/>
          <w:lang w:eastAsia="en-AU"/>
        </w:rPr>
        <w:t>-</w:t>
      </w:r>
      <w:r w:rsidRPr="00181A5F">
        <w:rPr>
          <w:iCs/>
          <w:color w:val="4F81BD" w:themeColor="accent1"/>
          <w:lang w:eastAsia="en-AU"/>
        </w:rPr>
        <w:t xml:space="preserve">line. </w:t>
      </w:r>
      <w:r w:rsidR="00B93282" w:rsidRPr="00181A5F">
        <w:rPr>
          <w:iCs/>
          <w:color w:val="4F81BD" w:themeColor="accent1"/>
          <w:lang w:eastAsia="en-AU"/>
        </w:rPr>
        <w:t xml:space="preserve"> </w:t>
      </w:r>
      <w:r w:rsidRPr="00181A5F">
        <w:rPr>
          <w:iCs/>
          <w:color w:val="4F81BD" w:themeColor="accent1"/>
          <w:lang w:eastAsia="en-AU"/>
        </w:rPr>
        <w:t>Many people will not have access to a computer or the internet as they simply cannot afford it. If income support payments are removed</w:t>
      </w:r>
      <w:r w:rsidR="00B93282" w:rsidRPr="00181A5F">
        <w:rPr>
          <w:iCs/>
          <w:color w:val="4F81BD" w:themeColor="accent1"/>
          <w:lang w:eastAsia="en-AU"/>
        </w:rPr>
        <w:t>,</w:t>
      </w:r>
      <w:r w:rsidRPr="00181A5F">
        <w:rPr>
          <w:iCs/>
          <w:color w:val="4F81BD" w:themeColor="accent1"/>
          <w:lang w:eastAsia="en-AU"/>
        </w:rPr>
        <w:t xml:space="preserve"> how would people be able to afford even the most basic internet plans? </w:t>
      </w:r>
    </w:p>
    <w:p w:rsidR="007C1022" w:rsidRPr="00181A5F" w:rsidRDefault="007C1022" w:rsidP="007C1022">
      <w:pPr>
        <w:rPr>
          <w:iCs/>
          <w:color w:val="4F81BD" w:themeColor="accent1"/>
          <w:lang w:eastAsia="en-AU"/>
        </w:rPr>
      </w:pPr>
      <w:r w:rsidRPr="00181A5F">
        <w:rPr>
          <w:iCs/>
          <w:color w:val="4F81BD" w:themeColor="accent1"/>
          <w:lang w:eastAsia="en-AU"/>
        </w:rPr>
        <w:t xml:space="preserve">Govt. </w:t>
      </w:r>
      <w:r w:rsidR="00B93282" w:rsidRPr="00181A5F">
        <w:rPr>
          <w:iCs/>
          <w:color w:val="4F81BD" w:themeColor="accent1"/>
          <w:lang w:eastAsia="en-AU"/>
        </w:rPr>
        <w:t xml:space="preserve">could </w:t>
      </w:r>
      <w:r w:rsidRPr="00181A5F">
        <w:rPr>
          <w:iCs/>
          <w:color w:val="4F81BD" w:themeColor="accent1"/>
          <w:lang w:eastAsia="en-AU"/>
        </w:rPr>
        <w:t>look at creating local internet hubs close to public transport o</w:t>
      </w:r>
      <w:r w:rsidR="00B93282" w:rsidRPr="00181A5F">
        <w:rPr>
          <w:iCs/>
          <w:color w:val="4F81BD" w:themeColor="accent1"/>
          <w:lang w:eastAsia="en-AU"/>
        </w:rPr>
        <w:t>r</w:t>
      </w:r>
      <w:r w:rsidRPr="00181A5F">
        <w:rPr>
          <w:iCs/>
          <w:color w:val="4F81BD" w:themeColor="accent1"/>
          <w:lang w:eastAsia="en-AU"/>
        </w:rPr>
        <w:t xml:space="preserve"> to provide paid internet plans for people to study and seek work on</w:t>
      </w:r>
      <w:r w:rsidR="00B93282" w:rsidRPr="00181A5F">
        <w:rPr>
          <w:iCs/>
          <w:color w:val="4F81BD" w:themeColor="accent1"/>
          <w:lang w:eastAsia="en-AU"/>
        </w:rPr>
        <w:t>-</w:t>
      </w:r>
      <w:r w:rsidRPr="00181A5F">
        <w:rPr>
          <w:iCs/>
          <w:color w:val="4F81BD" w:themeColor="accent1"/>
          <w:lang w:eastAsia="en-AU"/>
        </w:rPr>
        <w:t>line.</w:t>
      </w:r>
    </w:p>
    <w:p w:rsidR="00142FDE" w:rsidRPr="00181A5F" w:rsidRDefault="00142FDE" w:rsidP="007C1022">
      <w:pPr>
        <w:rPr>
          <w:color w:val="4F81BD" w:themeColor="accent1"/>
          <w:lang w:eastAsia="en-AU"/>
        </w:rPr>
      </w:pPr>
      <w:r w:rsidRPr="00181A5F">
        <w:rPr>
          <w:iCs/>
          <w:color w:val="4F81BD" w:themeColor="accent1"/>
          <w:lang w:eastAsia="en-AU"/>
        </w:rPr>
        <w:t xml:space="preserve">Basic </w:t>
      </w:r>
      <w:r w:rsidR="00DF2534" w:rsidRPr="00181A5F">
        <w:rPr>
          <w:iCs/>
          <w:color w:val="4F81BD" w:themeColor="accent1"/>
          <w:lang w:eastAsia="en-AU"/>
        </w:rPr>
        <w:t xml:space="preserve">(English) </w:t>
      </w:r>
      <w:r w:rsidRPr="00181A5F">
        <w:rPr>
          <w:iCs/>
          <w:color w:val="4F81BD" w:themeColor="accent1"/>
          <w:lang w:eastAsia="en-AU"/>
        </w:rPr>
        <w:t>literacy remains a significant issue for some adults of employment age and the mere provision of internet services does not address this barrier to successful outcomes of training and job-seeking</w:t>
      </w:r>
      <w:r w:rsidR="00DF2534" w:rsidRPr="00181A5F">
        <w:rPr>
          <w:iCs/>
          <w:color w:val="4F81BD" w:themeColor="accent1"/>
          <w:lang w:eastAsia="en-AU"/>
        </w:rPr>
        <w:t xml:space="preserve"> requirements. Where needed, literacy programs must be included as part of an individual’s pathway to employment. Funded programs and individual allowances must be assessed by their effectiveness rather than by simple attendance.</w:t>
      </w:r>
    </w:p>
    <w:p w:rsidR="001C2BE7" w:rsidRPr="00181A5F" w:rsidRDefault="001C2BE7" w:rsidP="008C5A75">
      <w:pPr>
        <w:pStyle w:val="Heading3"/>
        <w:rPr>
          <w:iCs/>
          <w:smallCaps/>
        </w:rPr>
      </w:pPr>
      <w:r w:rsidRPr="00181A5F">
        <w:t>Community Resilience</w:t>
      </w:r>
    </w:p>
    <w:p w:rsidR="00DF2534" w:rsidRPr="00181A5F" w:rsidRDefault="007C1022" w:rsidP="008D7A5A">
      <w:pPr>
        <w:rPr>
          <w:iCs/>
          <w:color w:val="4F81BD" w:themeColor="accent1"/>
        </w:rPr>
      </w:pPr>
      <w:r w:rsidRPr="00181A5F">
        <w:rPr>
          <w:iCs/>
          <w:color w:val="4F81BD" w:themeColor="accent1"/>
        </w:rPr>
        <w:t xml:space="preserve">Promote the success stories. </w:t>
      </w:r>
    </w:p>
    <w:p w:rsidR="00DF2534" w:rsidRPr="00181A5F" w:rsidRDefault="007C1022" w:rsidP="008D7A5A">
      <w:pPr>
        <w:rPr>
          <w:iCs/>
          <w:color w:val="4F81BD" w:themeColor="accent1"/>
        </w:rPr>
      </w:pPr>
      <w:r w:rsidRPr="00181A5F">
        <w:rPr>
          <w:iCs/>
          <w:color w:val="4F81BD" w:themeColor="accent1"/>
        </w:rPr>
        <w:t xml:space="preserve">Focus on the </w:t>
      </w:r>
      <w:r w:rsidR="00B93282" w:rsidRPr="00181A5F">
        <w:rPr>
          <w:iCs/>
          <w:color w:val="4F81BD" w:themeColor="accent1"/>
        </w:rPr>
        <w:t>p</w:t>
      </w:r>
      <w:r w:rsidR="00E218FB" w:rsidRPr="00181A5F">
        <w:rPr>
          <w:iCs/>
          <w:color w:val="4F81BD" w:themeColor="accent1"/>
        </w:rPr>
        <w:t>ositive</w:t>
      </w:r>
      <w:r w:rsidRPr="00181A5F">
        <w:rPr>
          <w:iCs/>
          <w:color w:val="4F81BD" w:themeColor="accent1"/>
        </w:rPr>
        <w:t xml:space="preserve"> </w:t>
      </w:r>
      <w:r w:rsidR="00B93282" w:rsidRPr="00181A5F">
        <w:rPr>
          <w:iCs/>
          <w:color w:val="4F81BD" w:themeColor="accent1"/>
        </w:rPr>
        <w:t>things t</w:t>
      </w:r>
      <w:r w:rsidR="00DF2534" w:rsidRPr="00181A5F">
        <w:rPr>
          <w:iCs/>
          <w:color w:val="4F81BD" w:themeColor="accent1"/>
        </w:rPr>
        <w:t>hat are happening in the c</w:t>
      </w:r>
      <w:r w:rsidRPr="00181A5F">
        <w:rPr>
          <w:iCs/>
          <w:color w:val="4F81BD" w:themeColor="accent1"/>
        </w:rPr>
        <w:t xml:space="preserve">ommunity and look to replicate things that are working well. </w:t>
      </w:r>
    </w:p>
    <w:p w:rsidR="006B61A4" w:rsidRPr="00181A5F" w:rsidRDefault="007C1022" w:rsidP="008D7A5A">
      <w:r w:rsidRPr="00181A5F">
        <w:rPr>
          <w:iCs/>
          <w:color w:val="4F81BD" w:themeColor="accent1"/>
        </w:rPr>
        <w:t>Exchange ideas an</w:t>
      </w:r>
      <w:r w:rsidR="00B93282" w:rsidRPr="00181A5F">
        <w:rPr>
          <w:iCs/>
          <w:color w:val="4F81BD" w:themeColor="accent1"/>
        </w:rPr>
        <w:t>d</w:t>
      </w:r>
      <w:r w:rsidR="00DF2534" w:rsidRPr="00181A5F">
        <w:rPr>
          <w:iCs/>
          <w:color w:val="4F81BD" w:themeColor="accent1"/>
        </w:rPr>
        <w:t xml:space="preserve"> experience. Gov’t to sponsor c</w:t>
      </w:r>
      <w:r w:rsidRPr="00181A5F">
        <w:rPr>
          <w:iCs/>
          <w:color w:val="4F81BD" w:themeColor="accent1"/>
        </w:rPr>
        <w:t>ommunity events and forums aimed at capacity building.</w:t>
      </w:r>
      <w:bookmarkStart w:id="1" w:name="_Make_a_comment"/>
      <w:bookmarkEnd w:id="1"/>
      <w:r w:rsidRPr="00181A5F">
        <w:t xml:space="preserve"> </w:t>
      </w:r>
    </w:p>
    <w:p w:rsidR="00DF2534" w:rsidRDefault="00DF2534" w:rsidP="008D7A5A"/>
    <w:sectPr w:rsidR="00DF2534" w:rsidSect="00293BC5">
      <w:headerReference w:type="default" r:id="rId9"/>
      <w:footerReference w:type="default" r:id="rId10"/>
      <w:headerReference w:type="first" r:id="rId11"/>
      <w:footerReference w:type="first" r:id="rId12"/>
      <w:pgSz w:w="11906" w:h="16838"/>
      <w:pgMar w:top="851" w:right="851"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17" w:rsidRDefault="00525617" w:rsidP="00214210">
      <w:pPr>
        <w:spacing w:after="0" w:line="240" w:lineRule="auto"/>
      </w:pPr>
      <w:r>
        <w:separator/>
      </w:r>
    </w:p>
  </w:endnote>
  <w:endnote w:type="continuationSeparator" w:id="0">
    <w:p w:rsidR="00525617" w:rsidRDefault="00525617"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70262"/>
      <w:docPartObj>
        <w:docPartGallery w:val="Page Numbers (Bottom of Page)"/>
        <w:docPartUnique/>
      </w:docPartObj>
    </w:sdtPr>
    <w:sdtEndPr>
      <w:rPr>
        <w:noProof/>
      </w:rPr>
    </w:sdtEndPr>
    <w:sdtContent>
      <w:p w:rsidR="00181A5F" w:rsidRDefault="00181A5F">
        <w:pPr>
          <w:pStyle w:val="Footer"/>
          <w:jc w:val="right"/>
        </w:pPr>
        <w:r>
          <w:fldChar w:fldCharType="begin"/>
        </w:r>
        <w:r>
          <w:instrText xml:space="preserve"> PAGE   \* MERGEFORMAT </w:instrText>
        </w:r>
        <w:r>
          <w:fldChar w:fldCharType="separate"/>
        </w:r>
        <w:r w:rsidR="00523667">
          <w:rPr>
            <w:noProof/>
          </w:rPr>
          <w:t>5</w:t>
        </w:r>
        <w:r>
          <w:rPr>
            <w:noProof/>
          </w:rPr>
          <w:fldChar w:fldCharType="end"/>
        </w:r>
      </w:p>
    </w:sdtContent>
  </w:sdt>
  <w:p w:rsidR="00F25AE0" w:rsidRDefault="00F25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C5" w:rsidRDefault="00293BC5">
    <w:pPr>
      <w:pStyle w:val="Footer"/>
    </w:pPr>
    <w:r w:rsidRPr="00293BC5">
      <w:rPr>
        <w:noProof/>
        <w:lang w:eastAsia="en-AU"/>
      </w:rPr>
      <mc:AlternateContent>
        <mc:Choice Requires="wps">
          <w:drawing>
            <wp:anchor distT="0" distB="0" distL="114300" distR="114300" simplePos="0" relativeHeight="251663360" behindDoc="0" locked="1" layoutInCell="1" allowOverlap="1" wp14:anchorId="24BBE66A" wp14:editId="57832ED9">
              <wp:simplePos x="0" y="0"/>
              <wp:positionH relativeFrom="column">
                <wp:posOffset>-248285</wp:posOffset>
              </wp:positionH>
              <wp:positionV relativeFrom="page">
                <wp:posOffset>10050780</wp:posOffset>
              </wp:positionV>
              <wp:extent cx="7180580" cy="519430"/>
              <wp:effectExtent l="0" t="0" r="20320" b="13970"/>
              <wp:wrapNone/>
              <wp:docPr id="8" name="Rectangle 8"/>
              <wp:cNvGraphicFramePr/>
              <a:graphic xmlns:a="http://schemas.openxmlformats.org/drawingml/2006/main">
                <a:graphicData uri="http://schemas.microsoft.com/office/word/2010/wordprocessingShape">
                  <wps:wsp>
                    <wps:cNvSpPr/>
                    <wps:spPr>
                      <a:xfrm>
                        <a:off x="0" y="0"/>
                        <a:ext cx="7180580" cy="519430"/>
                      </a:xfrm>
                      <a:prstGeom prst="rect">
                        <a:avLst/>
                      </a:prstGeom>
                      <a:solidFill>
                        <a:srgbClr val="00579A"/>
                      </a:solidFill>
                    </wps:spPr>
                    <wps:style>
                      <a:lnRef idx="2">
                        <a:schemeClr val="accent1">
                          <a:shade val="50000"/>
                        </a:schemeClr>
                      </a:lnRef>
                      <a:fillRef idx="1">
                        <a:schemeClr val="accent1"/>
                      </a:fillRef>
                      <a:effectRef idx="0">
                        <a:schemeClr val="accent1"/>
                      </a:effectRef>
                      <a:fontRef idx="minor">
                        <a:schemeClr val="lt1"/>
                      </a:fontRef>
                    </wps:style>
                    <wps:txbx>
                      <w:txbxContent>
                        <w:p w:rsidR="00293BC5" w:rsidRPr="00D41ED2" w:rsidRDefault="00293BC5" w:rsidP="00293BC5">
                          <w:pPr>
                            <w:spacing w:after="0"/>
                            <w:rPr>
                              <w:color w:val="FFFFFF" w:themeColor="background1"/>
                            </w:rPr>
                          </w:pPr>
                          <w:r w:rsidRPr="00D41ED2">
                            <w:rPr>
                              <w:color w:val="FFFFFF" w:themeColor="background1"/>
                            </w:rPr>
                            <w:t>The Voice of public housing tenants</w:t>
                          </w:r>
                        </w:p>
                        <w:p w:rsidR="00293BC5" w:rsidRPr="00D41ED2" w:rsidRDefault="00293BC5" w:rsidP="00293BC5">
                          <w:pPr>
                            <w:spacing w:after="0"/>
                            <w:rPr>
                              <w:color w:val="FFFFFF" w:themeColor="background1"/>
                            </w:rPr>
                          </w:pPr>
                          <w:r w:rsidRPr="00D41ED2">
                            <w:rPr>
                              <w:color w:val="FFFFFF" w:themeColor="background1"/>
                            </w:rPr>
                            <w:t>“Public and Proud”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9.55pt;margin-top:791.4pt;width:565.4pt;height:40.9pt;z-index:2516633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" fillcolor="#00579a" strokecolor="#243f60 [1604]" strokeweight="2pt">
              <v:textbox>
                <w:txbxContent>
                  <w:p w:rsidR="00293BC5" w:rsidRPr="00D41ED2" w:rsidRDefault="00293BC5" w:rsidP="00293BC5">
                    <w:pPr>
                      <w:spacing w:after="0"/>
                      <w:rPr>
                        <w:color w:val="FFFFFF" w:themeColor="background1"/>
                      </w:rPr>
                    </w:pPr>
                    <w:r w:rsidRPr="00D41ED2">
                      <w:rPr>
                        <w:color w:val="FFFFFF" w:themeColor="background1"/>
                      </w:rPr>
                      <w:t>The Voice of public housing tenants</w:t>
                    </w:r>
                  </w:p>
                  <w:p w:rsidR="00293BC5" w:rsidRPr="00D41ED2" w:rsidRDefault="00293BC5" w:rsidP="00293BC5">
                    <w:pPr>
                      <w:spacing w:after="0"/>
                      <w:rPr>
                        <w:color w:val="FFFFFF" w:themeColor="background1"/>
                      </w:rPr>
                    </w:pPr>
                    <w:r w:rsidRPr="00D41ED2">
                      <w:rPr>
                        <w:color w:val="FFFFFF" w:themeColor="background1"/>
                      </w:rPr>
                      <w:t>“Public and Proud”</w:t>
                    </w:r>
                  </w:p>
                </w:txbxContent>
              </v:textbox>
              <w10:wrap anchory="page"/>
              <w10:anchorlock/>
            </v:rect>
          </w:pict>
        </mc:Fallback>
      </mc:AlternateContent>
    </w:r>
    <w:r w:rsidRPr="00293BC5">
      <w:rPr>
        <w:noProof/>
        <w:lang w:eastAsia="en-AU"/>
      </w:rPr>
      <w:drawing>
        <wp:anchor distT="0" distB="0" distL="114300" distR="114300" simplePos="0" relativeHeight="251664384" behindDoc="0" locked="1" layoutInCell="1" allowOverlap="1" wp14:anchorId="1842D3E2" wp14:editId="56C73CEC">
          <wp:simplePos x="0" y="0"/>
          <wp:positionH relativeFrom="column">
            <wp:posOffset>4581525</wp:posOffset>
          </wp:positionH>
          <wp:positionV relativeFrom="page">
            <wp:posOffset>9881235</wp:posOffset>
          </wp:positionV>
          <wp:extent cx="2375535" cy="474980"/>
          <wp:effectExtent l="19050" t="114300" r="24765" b="1155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jpg"/>
                  <pic:cNvPicPr/>
                </pic:nvPicPr>
                <pic:blipFill>
                  <a:blip r:embed="rId1" cstate="print">
                    <a:extLst>
                      <a:ext uri="{28A0092B-C50C-407E-A947-70E740481C1C}">
                        <a14:useLocalDpi xmlns:a14="http://schemas.microsoft.com/office/drawing/2010/main" val="0"/>
                      </a:ext>
                    </a:extLst>
                  </a:blip>
                  <a:stretch>
                    <a:fillRect/>
                  </a:stretch>
                </pic:blipFill>
                <pic:spPr>
                  <a:xfrm rot="21311070">
                    <a:off x="0" y="0"/>
                    <a:ext cx="2375535" cy="474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17" w:rsidRDefault="00525617" w:rsidP="00214210">
      <w:pPr>
        <w:spacing w:after="0" w:line="240" w:lineRule="auto"/>
      </w:pPr>
      <w:r>
        <w:separator/>
      </w:r>
    </w:p>
  </w:footnote>
  <w:footnote w:type="continuationSeparator" w:id="0">
    <w:p w:rsidR="00525617" w:rsidRDefault="00525617" w:rsidP="00214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C5" w:rsidRDefault="00293BC5" w:rsidP="00293BC5">
    <w:pPr>
      <w:pStyle w:val="Header"/>
    </w:pPr>
  </w:p>
  <w:p w:rsidR="00293BC5" w:rsidRDefault="00293BC5" w:rsidP="00293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C5" w:rsidRDefault="00293BC5" w:rsidP="00293BC5">
    <w:pPr>
      <w:pStyle w:val="Header"/>
    </w:pPr>
  </w:p>
  <w:p w:rsidR="00293BC5" w:rsidRDefault="00293BC5" w:rsidP="00293BC5">
    <w:pPr>
      <w:pStyle w:val="Header"/>
    </w:pPr>
  </w:p>
  <w:p w:rsidR="00293BC5" w:rsidRPr="00D41ED2" w:rsidRDefault="00293BC5" w:rsidP="00293BC5">
    <w:pPr>
      <w:pStyle w:val="Header"/>
      <w:rPr>
        <w:sz w:val="20"/>
        <w:szCs w:val="20"/>
      </w:rPr>
    </w:pPr>
    <w:r w:rsidRPr="00D41ED2">
      <w:rPr>
        <w:sz w:val="20"/>
        <w:szCs w:val="20"/>
      </w:rPr>
      <w:t>Victorian Public Tenants Association (VPTA)</w:t>
    </w:r>
  </w:p>
  <w:p w:rsidR="00293BC5" w:rsidRPr="00D41ED2" w:rsidRDefault="00293BC5" w:rsidP="00293BC5">
    <w:pPr>
      <w:pStyle w:val="Header"/>
      <w:rPr>
        <w:sz w:val="20"/>
        <w:szCs w:val="20"/>
      </w:rPr>
    </w:pPr>
    <w:r w:rsidRPr="00D41ED2">
      <w:rPr>
        <w:sz w:val="20"/>
        <w:szCs w:val="20"/>
      </w:rPr>
      <w:t>Po Box 217</w:t>
    </w:r>
  </w:p>
  <w:p w:rsidR="00293BC5" w:rsidRPr="00D41ED2" w:rsidRDefault="00293BC5" w:rsidP="00293BC5">
    <w:pPr>
      <w:pStyle w:val="Header"/>
      <w:rPr>
        <w:sz w:val="20"/>
        <w:szCs w:val="20"/>
      </w:rPr>
    </w:pPr>
    <w:r w:rsidRPr="00D41ED2">
      <w:rPr>
        <w:sz w:val="20"/>
        <w:szCs w:val="20"/>
      </w:rPr>
      <w:t>Clifton Hill, Vic 3068</w:t>
    </w:r>
  </w:p>
  <w:p w:rsidR="00293BC5" w:rsidRPr="00D41ED2" w:rsidRDefault="00293BC5" w:rsidP="00293BC5">
    <w:pPr>
      <w:pStyle w:val="Header"/>
      <w:rPr>
        <w:sz w:val="20"/>
        <w:szCs w:val="20"/>
      </w:rPr>
    </w:pPr>
  </w:p>
  <w:p w:rsidR="00293BC5" w:rsidRPr="00D41ED2" w:rsidRDefault="00293BC5" w:rsidP="00293BC5">
    <w:pPr>
      <w:pStyle w:val="Header"/>
      <w:rPr>
        <w:sz w:val="20"/>
        <w:szCs w:val="20"/>
      </w:rPr>
    </w:pPr>
    <w:r w:rsidRPr="00D41ED2">
      <w:rPr>
        <w:sz w:val="20"/>
        <w:szCs w:val="20"/>
      </w:rPr>
      <w:t>Tel: 03 9481 4500 or 1800 015 510</w:t>
    </w:r>
  </w:p>
  <w:p w:rsidR="00293BC5" w:rsidRPr="00D41ED2" w:rsidRDefault="00293BC5" w:rsidP="00293BC5">
    <w:pPr>
      <w:pStyle w:val="Header"/>
      <w:rPr>
        <w:sz w:val="20"/>
        <w:szCs w:val="20"/>
      </w:rPr>
    </w:pPr>
    <w:r w:rsidRPr="00D41ED2">
      <w:rPr>
        <w:sz w:val="20"/>
        <w:szCs w:val="20"/>
      </w:rPr>
      <w:t>Fax: 03 9481 4300</w:t>
    </w:r>
  </w:p>
  <w:p w:rsidR="00293BC5" w:rsidRPr="00D41ED2" w:rsidRDefault="00293BC5" w:rsidP="00293BC5">
    <w:pPr>
      <w:pStyle w:val="Header"/>
      <w:rPr>
        <w:sz w:val="20"/>
        <w:szCs w:val="20"/>
      </w:rPr>
    </w:pPr>
    <w:r w:rsidRPr="00D41ED2">
      <w:rPr>
        <w:sz w:val="20"/>
        <w:szCs w:val="20"/>
      </w:rPr>
      <w:t xml:space="preserve">Email: </w:t>
    </w:r>
    <w:hyperlink r:id="rId1" w:history="1">
      <w:r w:rsidRPr="00D41ED2">
        <w:rPr>
          <w:rStyle w:val="Hyperlink"/>
          <w:sz w:val="20"/>
          <w:szCs w:val="20"/>
        </w:rPr>
        <w:t>admin@vpta.org.au</w:t>
      </w:r>
    </w:hyperlink>
  </w:p>
  <w:p w:rsidR="00293BC5" w:rsidRPr="00D41ED2" w:rsidRDefault="00523667" w:rsidP="00293BC5">
    <w:pPr>
      <w:pStyle w:val="Header"/>
      <w:rPr>
        <w:sz w:val="20"/>
        <w:szCs w:val="20"/>
      </w:rPr>
    </w:pPr>
    <w:hyperlink r:id="rId2" w:history="1">
      <w:r w:rsidR="00293BC5" w:rsidRPr="00D41ED2">
        <w:rPr>
          <w:rStyle w:val="Hyperlink"/>
          <w:sz w:val="20"/>
          <w:szCs w:val="20"/>
        </w:rPr>
        <w:t>www.vpta.org.au</w:t>
      </w:r>
    </w:hyperlink>
    <w:r w:rsidR="00293BC5" w:rsidRPr="00D41ED2">
      <w:rPr>
        <w:b/>
        <w:noProof/>
        <w:sz w:val="20"/>
        <w:szCs w:val="20"/>
        <w:lang w:eastAsia="en-AU"/>
      </w:rPr>
      <mc:AlternateContent>
        <mc:Choice Requires="wps">
          <w:drawing>
            <wp:anchor distT="0" distB="0" distL="114300" distR="114300" simplePos="0" relativeHeight="251661312" behindDoc="0" locked="1" layoutInCell="1" allowOverlap="1" wp14:anchorId="5CC82903" wp14:editId="05DA42DE">
              <wp:simplePos x="0" y="0"/>
              <wp:positionH relativeFrom="column">
                <wp:posOffset>-357505</wp:posOffset>
              </wp:positionH>
              <wp:positionV relativeFrom="page">
                <wp:posOffset>189865</wp:posOffset>
              </wp:positionV>
              <wp:extent cx="7180580" cy="510540"/>
              <wp:effectExtent l="0" t="0" r="20320" b="22860"/>
              <wp:wrapNone/>
              <wp:docPr id="2" name="Rectangle 2"/>
              <wp:cNvGraphicFramePr/>
              <a:graphic xmlns:a="http://schemas.openxmlformats.org/drawingml/2006/main">
                <a:graphicData uri="http://schemas.microsoft.com/office/word/2010/wordprocessingShape">
                  <wps:wsp>
                    <wps:cNvSpPr/>
                    <wps:spPr>
                      <a:xfrm>
                        <a:off x="0" y="0"/>
                        <a:ext cx="7180580" cy="510540"/>
                      </a:xfrm>
                      <a:prstGeom prst="rect">
                        <a:avLst/>
                      </a:prstGeom>
                      <a:solidFill>
                        <a:srgbClr val="00579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8.15pt;margin-top:14.95pt;width:565.4pt;height:40.2pt;z-index:251661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" fillcolor="#00579a" strokecolor="#243f60 [1604]" strokeweight="2pt">
              <w10:wrap anchory="page"/>
              <w10:anchorlock/>
            </v:rect>
          </w:pict>
        </mc:Fallback>
      </mc:AlternateContent>
    </w:r>
  </w:p>
  <w:p w:rsidR="00293BC5" w:rsidRDefault="00293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EF03FA"/>
    <w:multiLevelType w:val="hybridMultilevel"/>
    <w:tmpl w:val="5CDA6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8"/>
  </w:num>
  <w:num w:numId="3">
    <w:abstractNumId w:val="24"/>
  </w:num>
  <w:num w:numId="4">
    <w:abstractNumId w:val="8"/>
  </w:num>
  <w:num w:numId="5">
    <w:abstractNumId w:val="6"/>
  </w:num>
  <w:num w:numId="6">
    <w:abstractNumId w:val="27"/>
  </w:num>
  <w:num w:numId="7">
    <w:abstractNumId w:val="25"/>
  </w:num>
  <w:num w:numId="8">
    <w:abstractNumId w:val="10"/>
  </w:num>
  <w:num w:numId="9">
    <w:abstractNumId w:val="0"/>
  </w:num>
  <w:num w:numId="10">
    <w:abstractNumId w:val="7"/>
  </w:num>
  <w:num w:numId="11">
    <w:abstractNumId w:val="5"/>
  </w:num>
  <w:num w:numId="12">
    <w:abstractNumId w:val="2"/>
  </w:num>
  <w:num w:numId="13">
    <w:abstractNumId w:val="23"/>
  </w:num>
  <w:num w:numId="14">
    <w:abstractNumId w:val="14"/>
  </w:num>
  <w:num w:numId="15">
    <w:abstractNumId w:val="20"/>
  </w:num>
  <w:num w:numId="16">
    <w:abstractNumId w:val="11"/>
  </w:num>
  <w:num w:numId="17">
    <w:abstractNumId w:val="13"/>
  </w:num>
  <w:num w:numId="18">
    <w:abstractNumId w:val="17"/>
  </w:num>
  <w:num w:numId="19">
    <w:abstractNumId w:val="26"/>
  </w:num>
  <w:num w:numId="20">
    <w:abstractNumId w:val="21"/>
  </w:num>
  <w:num w:numId="21">
    <w:abstractNumId w:val="15"/>
  </w:num>
  <w:num w:numId="22">
    <w:abstractNumId w:val="22"/>
  </w:num>
  <w:num w:numId="23">
    <w:abstractNumId w:val="12"/>
  </w:num>
  <w:num w:numId="24">
    <w:abstractNumId w:val="9"/>
  </w:num>
  <w:num w:numId="25">
    <w:abstractNumId w:val="16"/>
  </w:num>
  <w:num w:numId="26">
    <w:abstractNumId w:val="19"/>
  </w:num>
  <w:num w:numId="27">
    <w:abstractNumId w:val="18"/>
  </w:num>
  <w:num w:numId="28">
    <w:abstractNumId w:val="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47DF2"/>
    <w:rsid w:val="00061976"/>
    <w:rsid w:val="00080BCE"/>
    <w:rsid w:val="00085D36"/>
    <w:rsid w:val="0009727B"/>
    <w:rsid w:val="000A676D"/>
    <w:rsid w:val="000B0DFF"/>
    <w:rsid w:val="000C1C36"/>
    <w:rsid w:val="000E12CC"/>
    <w:rsid w:val="000E3AD0"/>
    <w:rsid w:val="000E752B"/>
    <w:rsid w:val="000F2CD5"/>
    <w:rsid w:val="000F44EA"/>
    <w:rsid w:val="00122D0C"/>
    <w:rsid w:val="00127D81"/>
    <w:rsid w:val="00135FB7"/>
    <w:rsid w:val="00142FDE"/>
    <w:rsid w:val="0014745C"/>
    <w:rsid w:val="001536C8"/>
    <w:rsid w:val="00162BCB"/>
    <w:rsid w:val="00166710"/>
    <w:rsid w:val="001775AB"/>
    <w:rsid w:val="00181A5F"/>
    <w:rsid w:val="001A1E5E"/>
    <w:rsid w:val="001A4D8F"/>
    <w:rsid w:val="001C2B4B"/>
    <w:rsid w:val="001C2BE7"/>
    <w:rsid w:val="001D02A4"/>
    <w:rsid w:val="001E2E3B"/>
    <w:rsid w:val="001E3EA9"/>
    <w:rsid w:val="001E630D"/>
    <w:rsid w:val="001F4C15"/>
    <w:rsid w:val="00214210"/>
    <w:rsid w:val="00223BB8"/>
    <w:rsid w:val="0023096B"/>
    <w:rsid w:val="00235B2D"/>
    <w:rsid w:val="0023686F"/>
    <w:rsid w:val="00237E0B"/>
    <w:rsid w:val="00252117"/>
    <w:rsid w:val="0025687C"/>
    <w:rsid w:val="0029140D"/>
    <w:rsid w:val="00293BC5"/>
    <w:rsid w:val="002D7ED4"/>
    <w:rsid w:val="00315FC6"/>
    <w:rsid w:val="003176A3"/>
    <w:rsid w:val="00326C68"/>
    <w:rsid w:val="0035362A"/>
    <w:rsid w:val="00356F1B"/>
    <w:rsid w:val="00373641"/>
    <w:rsid w:val="003B2BB8"/>
    <w:rsid w:val="003B5339"/>
    <w:rsid w:val="003D34FF"/>
    <w:rsid w:val="003E56A6"/>
    <w:rsid w:val="003E5FD4"/>
    <w:rsid w:val="0041533F"/>
    <w:rsid w:val="00443F1C"/>
    <w:rsid w:val="00453266"/>
    <w:rsid w:val="0046471F"/>
    <w:rsid w:val="0048740F"/>
    <w:rsid w:val="00494CBC"/>
    <w:rsid w:val="004A148C"/>
    <w:rsid w:val="004B54CA"/>
    <w:rsid w:val="004E5CBF"/>
    <w:rsid w:val="004F6157"/>
    <w:rsid w:val="00503675"/>
    <w:rsid w:val="00504933"/>
    <w:rsid w:val="005057B8"/>
    <w:rsid w:val="00505BAD"/>
    <w:rsid w:val="00507102"/>
    <w:rsid w:val="00510BA0"/>
    <w:rsid w:val="00515AF7"/>
    <w:rsid w:val="00517C45"/>
    <w:rsid w:val="00523667"/>
    <w:rsid w:val="00525617"/>
    <w:rsid w:val="00555E3E"/>
    <w:rsid w:val="00585179"/>
    <w:rsid w:val="005935E6"/>
    <w:rsid w:val="00596EEA"/>
    <w:rsid w:val="005C3AA9"/>
    <w:rsid w:val="005D3EAB"/>
    <w:rsid w:val="005D4A60"/>
    <w:rsid w:val="005E38B4"/>
    <w:rsid w:val="005F1B89"/>
    <w:rsid w:val="005F5943"/>
    <w:rsid w:val="00617EBD"/>
    <w:rsid w:val="00625EE2"/>
    <w:rsid w:val="00626096"/>
    <w:rsid w:val="00631B41"/>
    <w:rsid w:val="00634728"/>
    <w:rsid w:val="00635EE5"/>
    <w:rsid w:val="006371EE"/>
    <w:rsid w:val="006770A7"/>
    <w:rsid w:val="00692454"/>
    <w:rsid w:val="00696ED6"/>
    <w:rsid w:val="006A4CE7"/>
    <w:rsid w:val="006A505F"/>
    <w:rsid w:val="006B61A4"/>
    <w:rsid w:val="006C775B"/>
    <w:rsid w:val="006F436A"/>
    <w:rsid w:val="006F7F7B"/>
    <w:rsid w:val="00707EF3"/>
    <w:rsid w:val="00714720"/>
    <w:rsid w:val="00721EE5"/>
    <w:rsid w:val="00731565"/>
    <w:rsid w:val="00734082"/>
    <w:rsid w:val="0073584F"/>
    <w:rsid w:val="0075282F"/>
    <w:rsid w:val="00767CF1"/>
    <w:rsid w:val="00770E22"/>
    <w:rsid w:val="007733A2"/>
    <w:rsid w:val="0078409E"/>
    <w:rsid w:val="00785261"/>
    <w:rsid w:val="00791FBE"/>
    <w:rsid w:val="007B0256"/>
    <w:rsid w:val="007C1022"/>
    <w:rsid w:val="00824A02"/>
    <w:rsid w:val="00826024"/>
    <w:rsid w:val="00835484"/>
    <w:rsid w:val="00847FA0"/>
    <w:rsid w:val="008647F0"/>
    <w:rsid w:val="00867D95"/>
    <w:rsid w:val="008766F2"/>
    <w:rsid w:val="008B5152"/>
    <w:rsid w:val="008B6A51"/>
    <w:rsid w:val="008C5A75"/>
    <w:rsid w:val="008D7A5A"/>
    <w:rsid w:val="008E7B96"/>
    <w:rsid w:val="008F770A"/>
    <w:rsid w:val="009107FB"/>
    <w:rsid w:val="00915C67"/>
    <w:rsid w:val="009225F0"/>
    <w:rsid w:val="009251F4"/>
    <w:rsid w:val="00940F5A"/>
    <w:rsid w:val="0096286F"/>
    <w:rsid w:val="00977EED"/>
    <w:rsid w:val="009836E4"/>
    <w:rsid w:val="00987FA0"/>
    <w:rsid w:val="009A7546"/>
    <w:rsid w:val="009E0AFB"/>
    <w:rsid w:val="009E7724"/>
    <w:rsid w:val="00A06548"/>
    <w:rsid w:val="00A14680"/>
    <w:rsid w:val="00A17AFA"/>
    <w:rsid w:val="00A32D61"/>
    <w:rsid w:val="00A40C7F"/>
    <w:rsid w:val="00A42996"/>
    <w:rsid w:val="00A42B7E"/>
    <w:rsid w:val="00A45E08"/>
    <w:rsid w:val="00A673D9"/>
    <w:rsid w:val="00A70E1E"/>
    <w:rsid w:val="00A72903"/>
    <w:rsid w:val="00A75CF8"/>
    <w:rsid w:val="00A90945"/>
    <w:rsid w:val="00A92138"/>
    <w:rsid w:val="00AA451B"/>
    <w:rsid w:val="00AC0B89"/>
    <w:rsid w:val="00AC0E82"/>
    <w:rsid w:val="00AC21F5"/>
    <w:rsid w:val="00B01913"/>
    <w:rsid w:val="00B01B10"/>
    <w:rsid w:val="00B06238"/>
    <w:rsid w:val="00B47C3C"/>
    <w:rsid w:val="00B5345A"/>
    <w:rsid w:val="00B63CF5"/>
    <w:rsid w:val="00B74B28"/>
    <w:rsid w:val="00B81C57"/>
    <w:rsid w:val="00B87E99"/>
    <w:rsid w:val="00B93282"/>
    <w:rsid w:val="00B9617A"/>
    <w:rsid w:val="00B97DB7"/>
    <w:rsid w:val="00BA2DB9"/>
    <w:rsid w:val="00BC3237"/>
    <w:rsid w:val="00BC5D99"/>
    <w:rsid w:val="00BE7148"/>
    <w:rsid w:val="00C034E3"/>
    <w:rsid w:val="00C33BD9"/>
    <w:rsid w:val="00C542F9"/>
    <w:rsid w:val="00C5438C"/>
    <w:rsid w:val="00C640EA"/>
    <w:rsid w:val="00CC5C1C"/>
    <w:rsid w:val="00CD472D"/>
    <w:rsid w:val="00CD7137"/>
    <w:rsid w:val="00D1529C"/>
    <w:rsid w:val="00D17402"/>
    <w:rsid w:val="00D21839"/>
    <w:rsid w:val="00D24567"/>
    <w:rsid w:val="00D3285D"/>
    <w:rsid w:val="00D456EB"/>
    <w:rsid w:val="00D721D7"/>
    <w:rsid w:val="00D740A3"/>
    <w:rsid w:val="00D9060E"/>
    <w:rsid w:val="00DA301B"/>
    <w:rsid w:val="00DB5908"/>
    <w:rsid w:val="00DC1A8C"/>
    <w:rsid w:val="00DE3E32"/>
    <w:rsid w:val="00DF2534"/>
    <w:rsid w:val="00DF3B4B"/>
    <w:rsid w:val="00DF4044"/>
    <w:rsid w:val="00DF4413"/>
    <w:rsid w:val="00E05B7E"/>
    <w:rsid w:val="00E06FC7"/>
    <w:rsid w:val="00E13FA3"/>
    <w:rsid w:val="00E218FB"/>
    <w:rsid w:val="00E30D47"/>
    <w:rsid w:val="00E35FE7"/>
    <w:rsid w:val="00E71916"/>
    <w:rsid w:val="00E90279"/>
    <w:rsid w:val="00EA5E3C"/>
    <w:rsid w:val="00EC3063"/>
    <w:rsid w:val="00EC40F9"/>
    <w:rsid w:val="00ED1C85"/>
    <w:rsid w:val="00ED4551"/>
    <w:rsid w:val="00F10020"/>
    <w:rsid w:val="00F17AD6"/>
    <w:rsid w:val="00F255FE"/>
    <w:rsid w:val="00F25AE0"/>
    <w:rsid w:val="00F33692"/>
    <w:rsid w:val="00F47B32"/>
    <w:rsid w:val="00F623DF"/>
    <w:rsid w:val="00F6433C"/>
    <w:rsid w:val="00F67082"/>
    <w:rsid w:val="00F73BA1"/>
    <w:rsid w:val="00F943BD"/>
    <w:rsid w:val="00FA05A4"/>
    <w:rsid w:val="00FA6287"/>
    <w:rsid w:val="00FB6D4F"/>
    <w:rsid w:val="00FD10E6"/>
    <w:rsid w:val="00FD3D55"/>
    <w:rsid w:val="00FD6F10"/>
    <w:rsid w:val="00FF0521"/>
    <w:rsid w:val="00FF3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file:///\\SERVER01\RedirectedFolders\Emma\Desktop\Desktop\Information%20for%20Incorporated%20Associations\www.vpta.org.au" TargetMode="External"/><Relationship Id="rId1" Type="http://schemas.openxmlformats.org/officeDocument/2006/relationships/hyperlink" Target="mailto:admin@vpt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D057-A263-42DF-948C-434B6654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11119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Mark Feenane</dc:creator>
  <cp:lastModifiedBy>JOYCE, Peta</cp:lastModifiedBy>
  <cp:revision>2</cp:revision>
  <cp:lastPrinted>2014-05-12T02:02:00Z</cp:lastPrinted>
  <dcterms:created xsi:type="dcterms:W3CDTF">2014-08-19T04:16:00Z</dcterms:created>
  <dcterms:modified xsi:type="dcterms:W3CDTF">2014-08-19T04:16:00Z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