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19" w:rsidRPr="00E82E77" w:rsidRDefault="00CE3F19" w:rsidP="00CE3F19">
      <w:pPr>
        <w:pStyle w:val="NoSpacing"/>
        <w:jc w:val="both"/>
        <w:rPr>
          <w:b/>
          <w:bCs/>
          <w:sz w:val="32"/>
          <w:szCs w:val="32"/>
        </w:rPr>
      </w:pPr>
      <w:bookmarkStart w:id="0" w:name="_GoBack"/>
      <w:bookmarkEnd w:id="0"/>
      <w:r w:rsidRPr="00E82E77">
        <w:rPr>
          <w:b/>
          <w:bCs/>
          <w:sz w:val="32"/>
          <w:szCs w:val="32"/>
        </w:rPr>
        <w:t>Welfare Review Submission</w:t>
      </w:r>
    </w:p>
    <w:p w:rsidR="00CE3F19" w:rsidRPr="00E82E77" w:rsidRDefault="00CE3F19" w:rsidP="00CE3F19">
      <w:pPr>
        <w:pStyle w:val="Default"/>
        <w:rPr>
          <w:lang w:val="en-AU"/>
        </w:rPr>
      </w:pPr>
    </w:p>
    <w:p w:rsidR="00CE3F19" w:rsidRPr="00E82E77" w:rsidRDefault="00CE3F19" w:rsidP="00CE3F19">
      <w:pPr>
        <w:pStyle w:val="NoSpacing"/>
        <w:jc w:val="both"/>
        <w:rPr>
          <w:b/>
          <w:bCs/>
          <w:sz w:val="25"/>
          <w:szCs w:val="25"/>
        </w:rPr>
      </w:pPr>
      <w:r w:rsidRPr="00E82E77">
        <w:rPr>
          <w:b/>
          <w:bCs/>
          <w:sz w:val="25"/>
          <w:szCs w:val="25"/>
        </w:rPr>
        <w:t>Pillar One: Simpler and sustainable income support system</w:t>
      </w:r>
    </w:p>
    <w:p w:rsidR="00CE3F19" w:rsidRPr="00E82E77" w:rsidRDefault="00CE3F19" w:rsidP="00CE3F19">
      <w:pPr>
        <w:pStyle w:val="NoSpacing"/>
        <w:jc w:val="both"/>
        <w:rPr>
          <w:rFonts w:ascii="Times New Roman" w:hAnsi="Times New Roman" w:cs="Times New Roman"/>
          <w:sz w:val="24"/>
          <w:szCs w:val="24"/>
        </w:rPr>
      </w:pPr>
    </w:p>
    <w:p w:rsidR="00CE3F19" w:rsidRPr="00E82E77" w:rsidRDefault="00CE3F19"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 What is the preferred architecture of the payment system? </w:t>
      </w:r>
    </w:p>
    <w:p w:rsidR="00CE3F19" w:rsidRPr="00E82E77" w:rsidRDefault="00CE3F19"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 Should people with a permanent impairment and no capacity to work receive a separate payment from other working age recipients? </w:t>
      </w:r>
    </w:p>
    <w:p w:rsidR="00CE3F19" w:rsidRPr="00E82E77" w:rsidRDefault="00CE3F19"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 How could supplements be simplified? What should they be? </w:t>
      </w:r>
    </w:p>
    <w:p w:rsidR="00CE3F19" w:rsidRPr="00E82E77" w:rsidRDefault="00CE3F19"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 What are the incremental steps to a new architecture? </w:t>
      </w:r>
    </w:p>
    <w:p w:rsidR="00AA5CA8" w:rsidRPr="00E82E77" w:rsidRDefault="00AA5CA8" w:rsidP="00CE3F19">
      <w:pPr>
        <w:pStyle w:val="NoSpacing"/>
        <w:spacing w:line="480" w:lineRule="auto"/>
        <w:jc w:val="both"/>
        <w:rPr>
          <w:rFonts w:ascii="Times New Roman" w:hAnsi="Times New Roman" w:cs="Times New Roman"/>
          <w:b/>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b/>
          <w:sz w:val="24"/>
          <w:szCs w:val="24"/>
        </w:rPr>
        <w:t>A</w:t>
      </w:r>
      <w:r w:rsidRPr="00E82E77">
        <w:rPr>
          <w:rFonts w:ascii="Times New Roman" w:hAnsi="Times New Roman" w:cs="Times New Roman"/>
          <w:sz w:val="24"/>
          <w:szCs w:val="24"/>
        </w:rPr>
        <w:t xml:space="preserve"> simple</w:t>
      </w:r>
      <w:r w:rsidR="00AA5CA8" w:rsidRPr="00E82E77">
        <w:rPr>
          <w:rFonts w:ascii="Times New Roman" w:hAnsi="Times New Roman" w:cs="Times New Roman"/>
          <w:sz w:val="24"/>
          <w:szCs w:val="24"/>
        </w:rPr>
        <w:t>r</w:t>
      </w:r>
      <w:r w:rsidRPr="00E82E77">
        <w:rPr>
          <w:rFonts w:ascii="Times New Roman" w:hAnsi="Times New Roman" w:cs="Times New Roman"/>
          <w:sz w:val="24"/>
          <w:szCs w:val="24"/>
        </w:rPr>
        <w:t xml:space="preserve"> architecture of inco</w:t>
      </w:r>
      <w:r w:rsidR="00910125" w:rsidRPr="00E82E77">
        <w:rPr>
          <w:rFonts w:ascii="Times New Roman" w:hAnsi="Times New Roman" w:cs="Times New Roman"/>
          <w:sz w:val="24"/>
          <w:szCs w:val="24"/>
        </w:rPr>
        <w:t>me support based on age criterion</w:t>
      </w:r>
      <w:r w:rsidRPr="00E82E77">
        <w:rPr>
          <w:rFonts w:ascii="Times New Roman" w:hAnsi="Times New Roman" w:cs="Times New Roman"/>
          <w:sz w:val="24"/>
          <w:szCs w:val="24"/>
        </w:rPr>
        <w:t xml:space="preserve"> is potentially the least contentious to administer. The primary payment types could comprise:</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 child payment for dependent children and young people</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 working age payment</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-an age pension</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b/>
          <w:sz w:val="24"/>
          <w:szCs w:val="24"/>
        </w:rPr>
        <w:t>Disability</w:t>
      </w:r>
      <w:r w:rsidRPr="00E82E77">
        <w:rPr>
          <w:rFonts w:ascii="Times New Roman" w:hAnsi="Times New Roman" w:cs="Times New Roman"/>
          <w:sz w:val="24"/>
          <w:szCs w:val="24"/>
        </w:rPr>
        <w:t xml:space="preserve"> is a much contested construct, the meaning/definition of which is evolving. </w:t>
      </w:r>
      <w:r w:rsidRPr="00E82E77">
        <w:rPr>
          <w:rFonts w:ascii="Times New Roman" w:hAnsi="Times New Roman" w:cs="Times New Roman"/>
          <w:noProof/>
          <w:sz w:val="24"/>
          <w:szCs w:val="24"/>
        </w:rPr>
        <w:t>(Iezzoni &amp; Freedman, 2008)</w:t>
      </w:r>
      <w:r w:rsidRPr="00E82E77">
        <w:rPr>
          <w:rFonts w:ascii="Times New Roman" w:hAnsi="Times New Roman" w:cs="Times New Roman"/>
          <w:sz w:val="24"/>
          <w:szCs w:val="24"/>
        </w:rPr>
        <w:t xml:space="preserve"> The World Health Organization (WHO) in the recent World Report on Disability (2011) highlighted that:</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-almost everyone will be temporarily or permanently impaired at some point in life, and those who survive to old age will experience increasing difficulties in functioning. </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-most extended families have a </w:t>
      </w:r>
      <w:r w:rsidR="00F82BB1" w:rsidRPr="00E82E77">
        <w:rPr>
          <w:rFonts w:ascii="Times New Roman" w:hAnsi="Times New Roman" w:cs="Times New Roman"/>
          <w:sz w:val="24"/>
          <w:szCs w:val="24"/>
        </w:rPr>
        <w:t>family member with disabilities</w:t>
      </w:r>
      <w:r w:rsidRPr="00E82E77">
        <w:rPr>
          <w:rFonts w:ascii="Times New Roman" w:hAnsi="Times New Roman" w:cs="Times New Roman"/>
          <w:sz w:val="24"/>
          <w:szCs w:val="24"/>
        </w:rPr>
        <w:t>, and many non-disabled people take responsibility for supporting and caring for their relatives and friends with disabilities.</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-this issue will become more acute as the demographics of societies change.</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 </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lastRenderedPageBreak/>
        <w:t xml:space="preserve">The UN Convention on the Rights of Persons with Disabilities, </w:t>
      </w:r>
      <w:r w:rsidR="009A785D" w:rsidRPr="00E82E77">
        <w:rPr>
          <w:rFonts w:ascii="Times New Roman" w:hAnsi="Times New Roman" w:cs="Times New Roman"/>
          <w:sz w:val="24"/>
          <w:szCs w:val="24"/>
        </w:rPr>
        <w:t xml:space="preserve">the WHO International Classification of Functioning, Disability and Health and </w:t>
      </w:r>
      <w:r w:rsidRPr="00E82E77">
        <w:rPr>
          <w:rFonts w:ascii="Times New Roman" w:hAnsi="Times New Roman" w:cs="Times New Roman"/>
          <w:sz w:val="24"/>
          <w:szCs w:val="24"/>
        </w:rPr>
        <w:t>the Australian Disability Discrimination Act</w:t>
      </w:r>
      <w:r w:rsidR="00AA5CA8" w:rsidRPr="00E82E77">
        <w:rPr>
          <w:rFonts w:ascii="Times New Roman" w:hAnsi="Times New Roman" w:cs="Times New Roman"/>
          <w:sz w:val="24"/>
          <w:szCs w:val="24"/>
        </w:rPr>
        <w:t>,</w:t>
      </w:r>
      <w:r w:rsidRPr="00E82E77">
        <w:rPr>
          <w:rFonts w:ascii="Times New Roman" w:hAnsi="Times New Roman" w:cs="Times New Roman"/>
          <w:sz w:val="24"/>
          <w:szCs w:val="24"/>
        </w:rPr>
        <w:t xml:space="preserve"> all take a broad inclusive view of disability.</w:t>
      </w:r>
      <w:r w:rsidR="00034BA1" w:rsidRPr="00E82E77">
        <w:rPr>
          <w:rFonts w:ascii="Times New Roman" w:hAnsi="Times New Roman" w:cs="Times New Roman"/>
          <w:sz w:val="24"/>
          <w:szCs w:val="24"/>
        </w:rPr>
        <w:t xml:space="preserve"> </w:t>
      </w:r>
      <w:r w:rsidRPr="00E82E77">
        <w:rPr>
          <w:rFonts w:ascii="Times New Roman" w:hAnsi="Times New Roman" w:cs="Times New Roman"/>
          <w:sz w:val="24"/>
          <w:szCs w:val="24"/>
        </w:rPr>
        <w:t xml:space="preserve">The identification and stratification of ‘disability’ based on ‘ability’ to work, disregarding contextual, personal and environmental factors such as the availability of suitable work in the person’s local community, gender, level of education, numeracy and literacy skills, level of work skills and experience, social or domestic situation or cultural factors, is potentially problematic. </w:t>
      </w:r>
      <w:r w:rsidRPr="00E82E77">
        <w:rPr>
          <w:rFonts w:ascii="Times New Roman" w:hAnsi="Times New Roman" w:cs="Times New Roman"/>
          <w:noProof/>
          <w:sz w:val="24"/>
          <w:szCs w:val="24"/>
        </w:rPr>
        <w:t>(Madden, Glozier, Mpofu, &amp; Llewellyn, 2011)</w:t>
      </w:r>
      <w:r w:rsidRPr="00E82E77">
        <w:rPr>
          <w:rFonts w:ascii="Times New Roman" w:hAnsi="Times New Roman" w:cs="Times New Roman"/>
          <w:sz w:val="24"/>
          <w:szCs w:val="24"/>
        </w:rPr>
        <w:t xml:space="preserve"> </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Coupled with ‘mutual obligation’, ‘work for dole’ etc. the prevailing system has also been, perceived negatively by many </w:t>
      </w:r>
      <w:r w:rsidR="00034BA1" w:rsidRPr="00E82E77">
        <w:rPr>
          <w:rFonts w:ascii="Times New Roman" w:hAnsi="Times New Roman" w:cs="Times New Roman"/>
          <w:sz w:val="24"/>
          <w:szCs w:val="24"/>
        </w:rPr>
        <w:t>including</w:t>
      </w:r>
      <w:r w:rsidRPr="00E82E77">
        <w:rPr>
          <w:rFonts w:ascii="Times New Roman" w:hAnsi="Times New Roman" w:cs="Times New Roman"/>
          <w:sz w:val="24"/>
          <w:szCs w:val="24"/>
        </w:rPr>
        <w:t xml:space="preserve"> </w:t>
      </w:r>
      <w:r w:rsidR="00034BA1" w:rsidRPr="00E82E77">
        <w:rPr>
          <w:rFonts w:ascii="Times New Roman" w:hAnsi="Times New Roman" w:cs="Times New Roman"/>
          <w:sz w:val="24"/>
          <w:szCs w:val="24"/>
        </w:rPr>
        <w:t>person</w:t>
      </w:r>
      <w:r w:rsidR="00E82E77">
        <w:rPr>
          <w:rFonts w:ascii="Times New Roman" w:hAnsi="Times New Roman" w:cs="Times New Roman"/>
          <w:sz w:val="24"/>
          <w:szCs w:val="24"/>
        </w:rPr>
        <w:t>s</w:t>
      </w:r>
      <w:r w:rsidRPr="00E82E77">
        <w:rPr>
          <w:rFonts w:ascii="Times New Roman" w:hAnsi="Times New Roman" w:cs="Times New Roman"/>
          <w:sz w:val="24"/>
          <w:szCs w:val="24"/>
        </w:rPr>
        <w:t xml:space="preserve"> with disabilities</w:t>
      </w:r>
      <w:r w:rsidR="00034BA1" w:rsidRPr="00E82E77">
        <w:rPr>
          <w:rFonts w:ascii="Times New Roman" w:hAnsi="Times New Roman" w:cs="Times New Roman"/>
          <w:sz w:val="24"/>
          <w:szCs w:val="24"/>
        </w:rPr>
        <w:t xml:space="preserve"> (PWDs)</w:t>
      </w:r>
      <w:r w:rsidRPr="00E82E77">
        <w:rPr>
          <w:rFonts w:ascii="Times New Roman" w:hAnsi="Times New Roman" w:cs="Times New Roman"/>
          <w:sz w:val="24"/>
          <w:szCs w:val="24"/>
        </w:rPr>
        <w:t xml:space="preserve">. </w:t>
      </w:r>
      <w:r w:rsidRPr="00E82E77">
        <w:rPr>
          <w:rFonts w:ascii="Times New Roman" w:hAnsi="Times New Roman" w:cs="Times New Roman"/>
          <w:noProof/>
          <w:sz w:val="24"/>
          <w:szCs w:val="24"/>
        </w:rPr>
        <w:t>(Dee, 2013; Humpage, 2007; Lantz &amp; Marston, 2012; Mays</w:t>
      </w:r>
      <w:r w:rsidR="00B92862">
        <w:rPr>
          <w:rFonts w:ascii="Times New Roman" w:hAnsi="Times New Roman" w:cs="Times New Roman"/>
          <w:noProof/>
          <w:sz w:val="24"/>
          <w:szCs w:val="24"/>
        </w:rPr>
        <w:t>, 2012</w:t>
      </w:r>
      <w:r w:rsidRPr="00E82E77">
        <w:rPr>
          <w:rFonts w:ascii="Times New Roman" w:hAnsi="Times New Roman" w:cs="Times New Roman"/>
          <w:noProof/>
          <w:sz w:val="24"/>
          <w:szCs w:val="24"/>
        </w:rPr>
        <w:t>; Parker Harris, Owen, &amp; Gould, 2012)</w:t>
      </w:r>
      <w:r w:rsidRPr="00E82E77">
        <w:rPr>
          <w:rFonts w:ascii="Times New Roman" w:hAnsi="Times New Roman" w:cs="Times New Roman"/>
          <w:sz w:val="24"/>
          <w:szCs w:val="24"/>
        </w:rPr>
        <w:t xml:space="preserve"> </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9A785D" w:rsidP="009A785D">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On the other hand, it is noteworthy that successive Australian governments have not been able to significantly reduce the number of disability support pensioners. It has been suggested that unless the demand-side of the </w:t>
      </w:r>
      <w:r w:rsidR="00E82E77" w:rsidRPr="00E82E77">
        <w:rPr>
          <w:rFonts w:ascii="Times New Roman" w:hAnsi="Times New Roman" w:cs="Times New Roman"/>
          <w:sz w:val="24"/>
          <w:szCs w:val="24"/>
        </w:rPr>
        <w:t>labour</w:t>
      </w:r>
      <w:r w:rsidRPr="00E82E77">
        <w:rPr>
          <w:rFonts w:ascii="Times New Roman" w:hAnsi="Times New Roman" w:cs="Times New Roman"/>
          <w:sz w:val="24"/>
          <w:szCs w:val="24"/>
        </w:rPr>
        <w:t xml:space="preserve"> market is improved, attempts to tighten el</w:t>
      </w:r>
      <w:r w:rsidR="00E82E77" w:rsidRPr="00E82E77">
        <w:rPr>
          <w:rFonts w:ascii="Times New Roman" w:hAnsi="Times New Roman" w:cs="Times New Roman"/>
          <w:sz w:val="24"/>
          <w:szCs w:val="24"/>
        </w:rPr>
        <w:t>igibility for the pension</w:t>
      </w:r>
      <w:r w:rsidRPr="00E82E77">
        <w:rPr>
          <w:rFonts w:ascii="Times New Roman" w:hAnsi="Times New Roman" w:cs="Times New Roman"/>
          <w:sz w:val="24"/>
          <w:szCs w:val="24"/>
        </w:rPr>
        <w:t xml:space="preserve"> and encourage recipients back into the </w:t>
      </w:r>
      <w:r w:rsidR="00E82E77" w:rsidRPr="00E82E77">
        <w:rPr>
          <w:rFonts w:ascii="Times New Roman" w:hAnsi="Times New Roman" w:cs="Times New Roman"/>
          <w:sz w:val="24"/>
          <w:szCs w:val="24"/>
        </w:rPr>
        <w:t>labour</w:t>
      </w:r>
      <w:r w:rsidRPr="00E82E77">
        <w:rPr>
          <w:rFonts w:ascii="Times New Roman" w:hAnsi="Times New Roman" w:cs="Times New Roman"/>
          <w:sz w:val="24"/>
          <w:szCs w:val="24"/>
        </w:rPr>
        <w:t xml:space="preserve"> force will only have the same effect that such 'reforms' have had in the past: shifting recipients from one form of income support to another. </w:t>
      </w:r>
      <w:r w:rsidR="004C37E8" w:rsidRPr="00E82E77">
        <w:rPr>
          <w:rFonts w:ascii="Times New Roman" w:hAnsi="Times New Roman" w:cs="Times New Roman"/>
          <w:noProof/>
          <w:sz w:val="24"/>
          <w:szCs w:val="24"/>
        </w:rPr>
        <w:t>(Argyrous &amp; Neale, 2003)</w:t>
      </w:r>
      <w:r w:rsidR="00AA5CA8" w:rsidRPr="00E82E77">
        <w:rPr>
          <w:rFonts w:ascii="Times New Roman" w:hAnsi="Times New Roman" w:cs="Times New Roman"/>
          <w:sz w:val="24"/>
          <w:szCs w:val="24"/>
        </w:rPr>
        <w:t xml:space="preserve">  There is</w:t>
      </w:r>
      <w:r w:rsidR="004C37E8" w:rsidRPr="00E82E77">
        <w:rPr>
          <w:rFonts w:ascii="Times New Roman" w:hAnsi="Times New Roman" w:cs="Times New Roman"/>
          <w:sz w:val="24"/>
          <w:szCs w:val="24"/>
        </w:rPr>
        <w:t xml:space="preserve"> </w:t>
      </w:r>
      <w:r w:rsidR="00AA5CA8" w:rsidRPr="00E82E77">
        <w:rPr>
          <w:rFonts w:ascii="Times New Roman" w:hAnsi="Times New Roman" w:cs="Times New Roman"/>
          <w:sz w:val="24"/>
          <w:szCs w:val="24"/>
        </w:rPr>
        <w:t>the</w:t>
      </w:r>
      <w:r w:rsidR="004C37E8" w:rsidRPr="00E82E77">
        <w:rPr>
          <w:rFonts w:ascii="Times New Roman" w:hAnsi="Times New Roman" w:cs="Times New Roman"/>
          <w:sz w:val="24"/>
          <w:szCs w:val="24"/>
        </w:rPr>
        <w:t xml:space="preserve"> concern</w:t>
      </w:r>
      <w:r w:rsidR="00AA5CA8" w:rsidRPr="00E82E77">
        <w:rPr>
          <w:rFonts w:ascii="Times New Roman" w:hAnsi="Times New Roman" w:cs="Times New Roman"/>
          <w:sz w:val="24"/>
          <w:szCs w:val="24"/>
        </w:rPr>
        <w:t xml:space="preserve"> </w:t>
      </w:r>
      <w:r w:rsidR="00E82E77" w:rsidRPr="00E82E77">
        <w:rPr>
          <w:rFonts w:ascii="Times New Roman" w:hAnsi="Times New Roman" w:cs="Times New Roman"/>
          <w:sz w:val="24"/>
          <w:szCs w:val="24"/>
        </w:rPr>
        <w:t>then;</w:t>
      </w:r>
      <w:r w:rsidR="004C37E8" w:rsidRPr="00E82E77">
        <w:rPr>
          <w:rFonts w:ascii="Times New Roman" w:hAnsi="Times New Roman" w:cs="Times New Roman"/>
          <w:sz w:val="24"/>
          <w:szCs w:val="24"/>
        </w:rPr>
        <w:t xml:space="preserve"> about what will the future direction of eligibility be, given the direction it has taken in just the last decade. </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There is also valid concern that the current rate of growth in disability support pension (DSP) will not be sustainable and is vulnerable to the same forces (e.g. economic crisis) that resulted in fundamental reforms in many OECD </w:t>
      </w:r>
      <w:r w:rsidR="00E82E77" w:rsidRPr="00E82E77">
        <w:rPr>
          <w:rFonts w:ascii="Times New Roman" w:hAnsi="Times New Roman" w:cs="Times New Roman"/>
          <w:sz w:val="24"/>
          <w:szCs w:val="24"/>
        </w:rPr>
        <w:t>countries</w:t>
      </w:r>
      <w:r w:rsidRPr="00E82E77">
        <w:rPr>
          <w:rFonts w:ascii="Times New Roman" w:hAnsi="Times New Roman" w:cs="Times New Roman"/>
          <w:sz w:val="24"/>
          <w:szCs w:val="24"/>
        </w:rPr>
        <w:t>.</w:t>
      </w:r>
      <w:r w:rsidRPr="00E82E77">
        <w:rPr>
          <w:rFonts w:ascii="Times New Roman" w:hAnsi="Times New Roman" w:cs="Times New Roman"/>
          <w:noProof/>
          <w:sz w:val="24"/>
          <w:szCs w:val="24"/>
        </w:rPr>
        <w:t>(Burkhauser, Daly, &amp; Lucking, 2013)</w:t>
      </w:r>
      <w:r w:rsidRPr="00E82E77">
        <w:rPr>
          <w:rFonts w:ascii="Times New Roman" w:hAnsi="Times New Roman" w:cs="Times New Roman"/>
          <w:sz w:val="24"/>
          <w:szCs w:val="24"/>
        </w:rPr>
        <w:t xml:space="preserve"> This growth has been attributed to various factors such as population ageing, the increase in the </w:t>
      </w:r>
      <w:r w:rsidRPr="00E82E77">
        <w:rPr>
          <w:rFonts w:ascii="Times New Roman" w:hAnsi="Times New Roman" w:cs="Times New Roman"/>
          <w:sz w:val="24"/>
          <w:szCs w:val="24"/>
        </w:rPr>
        <w:lastRenderedPageBreak/>
        <w:t xml:space="preserve">eligibility </w:t>
      </w:r>
      <w:r w:rsidR="00E82E77" w:rsidRPr="00E82E77">
        <w:rPr>
          <w:rFonts w:ascii="Times New Roman" w:hAnsi="Times New Roman" w:cs="Times New Roman"/>
          <w:sz w:val="24"/>
          <w:szCs w:val="24"/>
        </w:rPr>
        <w:t xml:space="preserve">age </w:t>
      </w:r>
      <w:r w:rsidRPr="00E82E77">
        <w:rPr>
          <w:rFonts w:ascii="Times New Roman" w:hAnsi="Times New Roman" w:cs="Times New Roman"/>
          <w:sz w:val="24"/>
          <w:szCs w:val="24"/>
        </w:rPr>
        <w:t xml:space="preserve">for age pension, labour market changes and the relative attractiveness of DSP compared to other payments (e.g. Newstart Allowance). </w:t>
      </w:r>
      <w:r w:rsidRPr="00E82E77">
        <w:rPr>
          <w:rFonts w:ascii="Times New Roman" w:hAnsi="Times New Roman" w:cs="Times New Roman"/>
          <w:noProof/>
          <w:sz w:val="24"/>
          <w:szCs w:val="24"/>
        </w:rPr>
        <w:t>(McVicar &amp; Wilkins, 2013)</w:t>
      </w:r>
      <w:r w:rsidRPr="00E82E77">
        <w:rPr>
          <w:rFonts w:ascii="Times New Roman" w:hAnsi="Times New Roman" w:cs="Times New Roman"/>
          <w:sz w:val="24"/>
          <w:szCs w:val="24"/>
        </w:rPr>
        <w:t xml:space="preserve"> </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 potential solution to fully support (apart from basic income), the needs and aspirations of PWDs ca</w:t>
      </w:r>
      <w:r w:rsidR="00E82E77" w:rsidRPr="00E82E77">
        <w:rPr>
          <w:rFonts w:ascii="Times New Roman" w:hAnsi="Times New Roman" w:cs="Times New Roman"/>
          <w:sz w:val="24"/>
          <w:szCs w:val="24"/>
        </w:rPr>
        <w:t>n be the National Disability Ins</w:t>
      </w:r>
      <w:r w:rsidRPr="00E82E77">
        <w:rPr>
          <w:rFonts w:ascii="Times New Roman" w:hAnsi="Times New Roman" w:cs="Times New Roman"/>
          <w:sz w:val="24"/>
          <w:szCs w:val="24"/>
        </w:rPr>
        <w:t xml:space="preserve">urance Scheme (NDIS). </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 </w:t>
      </w:r>
    </w:p>
    <w:p w:rsidR="004C37E8" w:rsidRPr="00E82E77" w:rsidRDefault="00AA5CA8" w:rsidP="00AA5CA8">
      <w:pPr>
        <w:rPr>
          <w:rFonts w:ascii="Times New Roman" w:hAnsi="Times New Roman" w:cs="Times New Roman"/>
          <w:sz w:val="24"/>
          <w:szCs w:val="24"/>
        </w:rPr>
      </w:pPr>
      <w:r w:rsidRPr="00E82E77">
        <w:rPr>
          <w:rFonts w:ascii="Times New Roman" w:hAnsi="Times New Roman" w:cs="Times New Roman"/>
          <w:sz w:val="24"/>
          <w:szCs w:val="24"/>
        </w:rPr>
        <w:t xml:space="preserve">The working age payment </w:t>
      </w:r>
      <w:r w:rsidR="004C37E8" w:rsidRPr="00E82E77">
        <w:rPr>
          <w:rFonts w:ascii="Times New Roman" w:hAnsi="Times New Roman" w:cs="Times New Roman"/>
          <w:sz w:val="24"/>
          <w:szCs w:val="24"/>
        </w:rPr>
        <w:t xml:space="preserve">can </w:t>
      </w:r>
      <w:r w:rsidRPr="00E82E77">
        <w:rPr>
          <w:rFonts w:ascii="Times New Roman" w:hAnsi="Times New Roman" w:cs="Times New Roman"/>
          <w:sz w:val="24"/>
          <w:szCs w:val="24"/>
        </w:rPr>
        <w:t xml:space="preserve">then </w:t>
      </w:r>
      <w:r w:rsidR="004C37E8" w:rsidRPr="00E82E77">
        <w:rPr>
          <w:rFonts w:ascii="Times New Roman" w:hAnsi="Times New Roman" w:cs="Times New Roman"/>
          <w:sz w:val="24"/>
          <w:szCs w:val="24"/>
        </w:rPr>
        <w:t>be (incrementally) structured in v</w:t>
      </w:r>
      <w:r w:rsidRPr="00E82E77">
        <w:rPr>
          <w:rFonts w:ascii="Times New Roman" w:hAnsi="Times New Roman" w:cs="Times New Roman"/>
          <w:sz w:val="24"/>
          <w:szCs w:val="24"/>
        </w:rPr>
        <w:t>arious ways</w:t>
      </w:r>
      <w:r w:rsidR="004C37E8" w:rsidRPr="00E82E77">
        <w:rPr>
          <w:rFonts w:ascii="Times New Roman" w:hAnsi="Times New Roman" w:cs="Times New Roman"/>
          <w:sz w:val="24"/>
          <w:szCs w:val="24"/>
        </w:rPr>
        <w:t xml:space="preserve"> by combining the best features of:</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-an unconditional basic income</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 citizen income</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 social dividend</w:t>
      </w: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-a national basic wage/support income </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 xml:space="preserve">A potential solution considering implications of implementing any of the above to the budget and labour force participation is coupling the working age payment to the age pension. For example, any payment made during working age will be at the (tiered) expense of the future age pension.  The rate could be decided every financial year given the budget considerations. Removal or restructuring of means testing could potentially simplify the system and address the disincentives to enter employment.   </w:t>
      </w:r>
    </w:p>
    <w:p w:rsidR="004C37E8" w:rsidRPr="00E82E77" w:rsidRDefault="004C37E8" w:rsidP="00CE3F19">
      <w:pPr>
        <w:pStyle w:val="NoSpacing"/>
        <w:spacing w:line="480" w:lineRule="auto"/>
        <w:jc w:val="both"/>
        <w:rPr>
          <w:rFonts w:ascii="Times New Roman" w:hAnsi="Times New Roman" w:cs="Times New Roman"/>
          <w:sz w:val="24"/>
          <w:szCs w:val="24"/>
        </w:rPr>
      </w:pPr>
    </w:p>
    <w:p w:rsidR="004C37E8" w:rsidRPr="00E82E77" w:rsidRDefault="004C37E8" w:rsidP="00CE3F19">
      <w:pPr>
        <w:pStyle w:val="NoSpacing"/>
        <w:spacing w:line="480" w:lineRule="auto"/>
        <w:jc w:val="both"/>
        <w:rPr>
          <w:rFonts w:ascii="Times New Roman" w:hAnsi="Times New Roman" w:cs="Times New Roman"/>
          <w:sz w:val="24"/>
          <w:szCs w:val="24"/>
        </w:rPr>
      </w:pPr>
      <w:r w:rsidRPr="00E82E77">
        <w:rPr>
          <w:rFonts w:ascii="Times New Roman" w:hAnsi="Times New Roman" w:cs="Times New Roman"/>
          <w:sz w:val="24"/>
          <w:szCs w:val="24"/>
        </w:rPr>
        <w:t>As for the supplements, they could effectively form a safety net for various vulnerable groups such as carers and single parents. Perhaps it would be best structured or streamlined</w:t>
      </w:r>
      <w:r w:rsidR="002B7716" w:rsidRPr="00E82E77">
        <w:rPr>
          <w:rFonts w:ascii="Times New Roman" w:hAnsi="Times New Roman" w:cs="Times New Roman"/>
          <w:sz w:val="24"/>
          <w:szCs w:val="24"/>
        </w:rPr>
        <w:t xml:space="preserve"> within the taxation system leavi</w:t>
      </w:r>
      <w:r w:rsidRPr="00E82E77">
        <w:rPr>
          <w:rFonts w:ascii="Times New Roman" w:hAnsi="Times New Roman" w:cs="Times New Roman"/>
          <w:sz w:val="24"/>
          <w:szCs w:val="24"/>
        </w:rPr>
        <w:t xml:space="preserve">ng the welfare </w:t>
      </w:r>
      <w:r w:rsidR="00E82E77" w:rsidRPr="00E82E77">
        <w:rPr>
          <w:rFonts w:ascii="Times New Roman" w:hAnsi="Times New Roman" w:cs="Times New Roman"/>
          <w:sz w:val="24"/>
          <w:szCs w:val="24"/>
        </w:rPr>
        <w:t>system to</w:t>
      </w:r>
      <w:r w:rsidRPr="00E82E77">
        <w:rPr>
          <w:rFonts w:ascii="Times New Roman" w:hAnsi="Times New Roman" w:cs="Times New Roman"/>
          <w:sz w:val="24"/>
          <w:szCs w:val="24"/>
        </w:rPr>
        <w:t xml:space="preserve"> deal mainly with exceptio</w:t>
      </w:r>
      <w:r w:rsidR="00F82BB1" w:rsidRPr="00E82E77">
        <w:rPr>
          <w:rFonts w:ascii="Times New Roman" w:hAnsi="Times New Roman" w:cs="Times New Roman"/>
          <w:sz w:val="24"/>
          <w:szCs w:val="24"/>
        </w:rPr>
        <w:t>nal hardships on an individualis</w:t>
      </w:r>
      <w:r w:rsidRPr="00E82E77">
        <w:rPr>
          <w:rFonts w:ascii="Times New Roman" w:hAnsi="Times New Roman" w:cs="Times New Roman"/>
          <w:sz w:val="24"/>
          <w:szCs w:val="24"/>
        </w:rPr>
        <w:t>ed basis in close cooperation and par</w:t>
      </w:r>
      <w:r w:rsidR="00F82BB1" w:rsidRPr="00E82E77">
        <w:rPr>
          <w:rFonts w:ascii="Times New Roman" w:hAnsi="Times New Roman" w:cs="Times New Roman"/>
          <w:sz w:val="24"/>
          <w:szCs w:val="24"/>
        </w:rPr>
        <w:t>tnership with civil society</w:t>
      </w:r>
      <w:r w:rsidRPr="00E82E77">
        <w:rPr>
          <w:rFonts w:ascii="Times New Roman" w:hAnsi="Times New Roman" w:cs="Times New Roman"/>
          <w:sz w:val="24"/>
          <w:szCs w:val="24"/>
        </w:rPr>
        <w:t xml:space="preserve">. The government (system/bureaucracy) should ideally be gradually, less involved in the daily lives and choices of its </w:t>
      </w:r>
      <w:r w:rsidR="00236759">
        <w:rPr>
          <w:rFonts w:ascii="Times New Roman" w:hAnsi="Times New Roman" w:cs="Times New Roman"/>
          <w:sz w:val="24"/>
          <w:szCs w:val="24"/>
        </w:rPr>
        <w:t>citizens in aiming</w:t>
      </w:r>
      <w:r w:rsidRPr="00E82E77">
        <w:rPr>
          <w:rFonts w:ascii="Times New Roman" w:hAnsi="Times New Roman" w:cs="Times New Roman"/>
          <w:sz w:val="24"/>
          <w:szCs w:val="24"/>
        </w:rPr>
        <w:t xml:space="preserve"> to promote a more inclusive, caring and cohesive society.</w:t>
      </w:r>
    </w:p>
    <w:p w:rsidR="004C37E8" w:rsidRPr="00E82E77" w:rsidRDefault="004C37E8" w:rsidP="00AA5CA8">
      <w:pPr>
        <w:spacing w:line="480" w:lineRule="auto"/>
        <w:rPr>
          <w:rFonts w:ascii="Times New Roman" w:hAnsi="Times New Roman" w:cs="Times New Roman"/>
          <w:b/>
          <w:color w:val="000000"/>
          <w:sz w:val="24"/>
          <w:szCs w:val="24"/>
        </w:rPr>
      </w:pPr>
      <w:r w:rsidRPr="00E82E77">
        <w:rPr>
          <w:rFonts w:ascii="Times New Roman" w:hAnsi="Times New Roman" w:cs="Times New Roman"/>
          <w:b/>
        </w:rPr>
        <w:lastRenderedPageBreak/>
        <w:t>References:</w:t>
      </w:r>
    </w:p>
    <w:p w:rsidR="004C37E8" w:rsidRPr="00E82E77" w:rsidRDefault="004C37E8" w:rsidP="00CE3F19">
      <w:pPr>
        <w:pStyle w:val="Default"/>
        <w:spacing w:line="480" w:lineRule="auto"/>
        <w:jc w:val="both"/>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Argyrous, G., &amp; Neale, M. (2003). The</w:t>
      </w:r>
      <w:r w:rsidR="00034BA1" w:rsidRPr="00E82E77">
        <w:rPr>
          <w:rFonts w:ascii="Times New Roman" w:hAnsi="Times New Roman" w:cs="Times New Roman"/>
          <w:lang w:val="en-AU"/>
        </w:rPr>
        <w:t xml:space="preserve"> ‘disabled’</w:t>
      </w:r>
      <w:r w:rsidR="004C37E8" w:rsidRPr="00E82E77">
        <w:rPr>
          <w:rFonts w:ascii="Times New Roman" w:hAnsi="Times New Roman" w:cs="Times New Roman"/>
          <w:lang w:val="en-AU"/>
        </w:rPr>
        <w:t xml:space="preserve"> </w:t>
      </w:r>
      <w:r w:rsidRPr="00E82E77">
        <w:rPr>
          <w:rFonts w:ascii="Times New Roman" w:hAnsi="Times New Roman" w:cs="Times New Roman"/>
          <w:lang w:val="en-AU"/>
        </w:rPr>
        <w:t>labour market: the</w:t>
      </w:r>
      <w:r w:rsidR="004C37E8" w:rsidRPr="00E82E77">
        <w:rPr>
          <w:rFonts w:ascii="Times New Roman" w:hAnsi="Times New Roman" w:cs="Times New Roman"/>
          <w:lang w:val="en-AU"/>
        </w:rPr>
        <w:t xml:space="preserve"> Disability Support Program and </w:t>
      </w:r>
      <w:r w:rsidRPr="00E82E77">
        <w:rPr>
          <w:rFonts w:ascii="Times New Roman" w:hAnsi="Times New Roman" w:cs="Times New Roman"/>
          <w:lang w:val="en-AU"/>
        </w:rPr>
        <w:t xml:space="preserve">unemployment. </w:t>
      </w:r>
      <w:r w:rsidRPr="00E82E77">
        <w:rPr>
          <w:rFonts w:ascii="Times New Roman" w:hAnsi="Times New Roman" w:cs="Times New Roman"/>
          <w:i/>
          <w:lang w:val="en-AU"/>
        </w:rPr>
        <w:t xml:space="preserve">Journal of Australian Political </w:t>
      </w:r>
      <w:r w:rsidR="00E82C31" w:rsidRPr="00E82E77">
        <w:rPr>
          <w:rFonts w:ascii="Times New Roman" w:hAnsi="Times New Roman" w:cs="Times New Roman"/>
          <w:i/>
          <w:lang w:val="en-AU"/>
        </w:rPr>
        <w:t>Economy</w:t>
      </w:r>
      <w:r w:rsidR="00E82C31" w:rsidRPr="00E82E77">
        <w:rPr>
          <w:rFonts w:ascii="Times New Roman" w:hAnsi="Times New Roman" w:cs="Times New Roman"/>
          <w:lang w:val="en-AU"/>
        </w:rPr>
        <w:t xml:space="preserve"> (</w:t>
      </w:r>
      <w:r w:rsidRPr="00E82E77">
        <w:rPr>
          <w:rFonts w:ascii="Times New Roman" w:hAnsi="Times New Roman" w:cs="Times New Roman"/>
          <w:lang w:val="en-AU"/>
        </w:rPr>
        <w:t xml:space="preserve">51), 5. </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Burkhauser, R. V., Daly, M. C., &amp; Lucking, B. T. (2013). Is Australia One Recession Away from a Disability Blowout? Lessons from Other Organisation for Economic Co</w:t>
      </w:r>
      <w:r w:rsidRPr="00E82E77">
        <w:rPr>
          <w:rFonts w:ascii="Cambria Math" w:hAnsi="Cambria Math" w:cs="Cambria Math"/>
          <w:lang w:val="en-AU"/>
        </w:rPr>
        <w:t>‐</w:t>
      </w:r>
      <w:r w:rsidRPr="00E82E77">
        <w:rPr>
          <w:rFonts w:ascii="Times New Roman" w:hAnsi="Times New Roman" w:cs="Times New Roman"/>
          <w:lang w:val="en-AU"/>
        </w:rPr>
        <w:t xml:space="preserve">operation and Development Countries. </w:t>
      </w:r>
      <w:r w:rsidRPr="00E82E77">
        <w:rPr>
          <w:rFonts w:ascii="Times New Roman" w:hAnsi="Times New Roman" w:cs="Times New Roman"/>
          <w:i/>
          <w:lang w:val="en-AU"/>
        </w:rPr>
        <w:t>Australian Economic Review, 46</w:t>
      </w:r>
      <w:r w:rsidRPr="00E82E77">
        <w:rPr>
          <w:rFonts w:ascii="Times New Roman" w:hAnsi="Times New Roman" w:cs="Times New Roman"/>
          <w:lang w:val="en-AU"/>
        </w:rPr>
        <w:t xml:space="preserve">(3), 357-368. </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Dee, M. (2013). Welfare surveillance, income management and new paternalism in Australia. </w:t>
      </w:r>
      <w:r w:rsidRPr="00E82E77">
        <w:rPr>
          <w:rFonts w:ascii="Times New Roman" w:hAnsi="Times New Roman" w:cs="Times New Roman"/>
          <w:i/>
          <w:lang w:val="en-AU"/>
        </w:rPr>
        <w:t>Surveillance &amp; Society, 11</w:t>
      </w:r>
      <w:r w:rsidRPr="00E82E77">
        <w:rPr>
          <w:rFonts w:ascii="Times New Roman" w:hAnsi="Times New Roman" w:cs="Times New Roman"/>
          <w:lang w:val="en-AU"/>
        </w:rPr>
        <w:t xml:space="preserve">(3), 272-286. </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Humpage, L. (2007). Models of disability, work and welfare in Australia. </w:t>
      </w:r>
      <w:r w:rsidRPr="00E82E77">
        <w:rPr>
          <w:rFonts w:ascii="Times New Roman" w:hAnsi="Times New Roman" w:cs="Times New Roman"/>
          <w:i/>
          <w:lang w:val="en-AU"/>
        </w:rPr>
        <w:t>Social Policy &amp; Administration, 41</w:t>
      </w:r>
      <w:r w:rsidRPr="00E82E77">
        <w:rPr>
          <w:rFonts w:ascii="Times New Roman" w:hAnsi="Times New Roman" w:cs="Times New Roman"/>
          <w:lang w:val="en-AU"/>
        </w:rPr>
        <w:t xml:space="preserve">(3), 215-231. </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Iezzoni, L. I., &amp; Freedman, V. A. (2008). Turning the disability tide: the importance of definitions. </w:t>
      </w:r>
      <w:r w:rsidRPr="00E82E77">
        <w:rPr>
          <w:rFonts w:ascii="Times New Roman" w:hAnsi="Times New Roman" w:cs="Times New Roman"/>
          <w:i/>
          <w:lang w:val="en-AU"/>
        </w:rPr>
        <w:t>JAMA, 299</w:t>
      </w:r>
      <w:r w:rsidRPr="00E82E77">
        <w:rPr>
          <w:rFonts w:ascii="Times New Roman" w:hAnsi="Times New Roman" w:cs="Times New Roman"/>
          <w:lang w:val="en-AU"/>
        </w:rPr>
        <w:t>(3), 332-334. doi: 10.1001/jama.299.3.332</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Lantz, S., &amp; Marston, G. (2012). Policy, citizenship and governance: the case of disability and employment policy in Australia. </w:t>
      </w:r>
      <w:r w:rsidRPr="00E82E77">
        <w:rPr>
          <w:rFonts w:ascii="Times New Roman" w:hAnsi="Times New Roman" w:cs="Times New Roman"/>
          <w:i/>
          <w:lang w:val="en-AU"/>
        </w:rPr>
        <w:t>Disability &amp; Society, 27</w:t>
      </w:r>
      <w:r w:rsidRPr="00E82E77">
        <w:rPr>
          <w:rFonts w:ascii="Times New Roman" w:hAnsi="Times New Roman" w:cs="Times New Roman"/>
          <w:lang w:val="en-AU"/>
        </w:rPr>
        <w:t>(6), 853-867. doi: 10.1080/09687599.2012.686881</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Madden, R., Glozier, N., Mpofu, E., &amp; Llewellyn, G. (2011). Eligibility, the ICF and the UN Convention: Australian perspectives. </w:t>
      </w:r>
      <w:r w:rsidRPr="00E82E77">
        <w:rPr>
          <w:rFonts w:ascii="Times New Roman" w:hAnsi="Times New Roman" w:cs="Times New Roman"/>
          <w:i/>
          <w:lang w:val="en-AU"/>
        </w:rPr>
        <w:t>BMC Public Health, 11 Suppl 4</w:t>
      </w:r>
      <w:r w:rsidRPr="00E82E77">
        <w:rPr>
          <w:rFonts w:ascii="Times New Roman" w:hAnsi="Times New Roman" w:cs="Times New Roman"/>
          <w:lang w:val="en-AU"/>
        </w:rPr>
        <w:t>, S6. doi: 10.1186/1471-2458-11-S4-S6</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Mays, J. </w:t>
      </w:r>
      <w:r w:rsidRPr="00E82E77">
        <w:rPr>
          <w:rFonts w:ascii="Times New Roman" w:hAnsi="Times New Roman" w:cs="Times New Roman"/>
          <w:i/>
          <w:lang w:val="en-AU"/>
        </w:rPr>
        <w:t>Australia’s Disabling Income Support System.</w:t>
      </w:r>
      <w:r w:rsidR="004C37E8" w:rsidRPr="00E82E77">
        <w:rPr>
          <w:rFonts w:ascii="Times New Roman" w:hAnsi="Times New Roman" w:cs="Times New Roman"/>
          <w:lang w:val="en-AU"/>
        </w:rPr>
        <w:t xml:space="preserve"> Thesis submitted to Queensland University of Technology, October 2012</w:t>
      </w:r>
      <w:r w:rsidR="00034BA1" w:rsidRPr="00E82E77">
        <w:rPr>
          <w:rFonts w:ascii="Times New Roman" w:hAnsi="Times New Roman" w:cs="Times New Roman"/>
          <w:lang w:val="en-AU"/>
        </w:rPr>
        <w:t>.</w:t>
      </w:r>
    </w:p>
    <w:p w:rsidR="001F7684" w:rsidRPr="00E82E77" w:rsidRDefault="004E2FB6" w:rsidP="00CE3F19">
      <w:pPr>
        <w:pStyle w:val="Default"/>
        <w:spacing w:line="480" w:lineRule="auto"/>
        <w:rPr>
          <w:rFonts w:ascii="Times New Roman" w:hAnsi="Times New Roman" w:cs="Times New Roman"/>
          <w:lang w:val="en-AU"/>
        </w:rPr>
      </w:pPr>
    </w:p>
    <w:p w:rsidR="004C37E8"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McVicar, D., &amp; Wilkins, R. (2013). Explaining the growth in the number of recipients of the Disability Support Pension in Australia. </w:t>
      </w:r>
      <w:r w:rsidRPr="00E82E77">
        <w:rPr>
          <w:rFonts w:ascii="Times New Roman" w:hAnsi="Times New Roman" w:cs="Times New Roman"/>
          <w:i/>
          <w:lang w:val="en-AU"/>
        </w:rPr>
        <w:t>Australian Economic Review, 46</w:t>
      </w:r>
      <w:r w:rsidRPr="00E82E77">
        <w:rPr>
          <w:rFonts w:ascii="Times New Roman" w:hAnsi="Times New Roman" w:cs="Times New Roman"/>
          <w:lang w:val="en-AU"/>
        </w:rPr>
        <w:t xml:space="preserve">(3), 345-356. </w:t>
      </w:r>
    </w:p>
    <w:p w:rsidR="001F7684" w:rsidRPr="00E82E77" w:rsidRDefault="004E2FB6" w:rsidP="00CE3F19">
      <w:pPr>
        <w:pStyle w:val="Default"/>
        <w:spacing w:line="480" w:lineRule="auto"/>
        <w:rPr>
          <w:rFonts w:ascii="Times New Roman" w:hAnsi="Times New Roman" w:cs="Times New Roman"/>
          <w:lang w:val="en-AU"/>
        </w:rPr>
      </w:pPr>
    </w:p>
    <w:p w:rsidR="001F7684" w:rsidRPr="00E82E77" w:rsidRDefault="00770837" w:rsidP="00CE3F19">
      <w:pPr>
        <w:pStyle w:val="Default"/>
        <w:spacing w:line="480" w:lineRule="auto"/>
        <w:rPr>
          <w:rFonts w:ascii="Times New Roman" w:hAnsi="Times New Roman" w:cs="Times New Roman"/>
          <w:lang w:val="en-AU"/>
        </w:rPr>
      </w:pPr>
      <w:r w:rsidRPr="00E82E77">
        <w:rPr>
          <w:rFonts w:ascii="Times New Roman" w:hAnsi="Times New Roman" w:cs="Times New Roman"/>
          <w:lang w:val="en-AU"/>
        </w:rPr>
        <w:t xml:space="preserve">Parker Harris, S., Owen, R., &amp; Gould, R. (2012). Parity of participation in liberal welfare states: human rights, neoliberalism, disability and employment. </w:t>
      </w:r>
      <w:r w:rsidRPr="00E82E77">
        <w:rPr>
          <w:rFonts w:ascii="Times New Roman" w:hAnsi="Times New Roman" w:cs="Times New Roman"/>
          <w:i/>
          <w:lang w:val="en-AU"/>
        </w:rPr>
        <w:t>Disability &amp; Society, 27</w:t>
      </w:r>
      <w:r w:rsidRPr="00E82E77">
        <w:rPr>
          <w:rFonts w:ascii="Times New Roman" w:hAnsi="Times New Roman" w:cs="Times New Roman"/>
          <w:lang w:val="en-AU"/>
        </w:rPr>
        <w:t xml:space="preserve">(6), 823-836. </w:t>
      </w:r>
    </w:p>
    <w:p w:rsidR="004C37E8" w:rsidRPr="00E82E77" w:rsidRDefault="004C37E8" w:rsidP="00CE3F19">
      <w:pPr>
        <w:pStyle w:val="Default"/>
        <w:spacing w:line="480" w:lineRule="auto"/>
        <w:rPr>
          <w:rFonts w:ascii="Times New Roman" w:hAnsi="Times New Roman" w:cs="Times New Roman"/>
          <w:lang w:val="en-AU"/>
        </w:rPr>
      </w:pPr>
    </w:p>
    <w:p w:rsidR="004C37E8" w:rsidRPr="00E82E77" w:rsidRDefault="004C37E8" w:rsidP="00CE3F19">
      <w:pPr>
        <w:pStyle w:val="Default"/>
        <w:spacing w:line="480" w:lineRule="auto"/>
        <w:jc w:val="both"/>
        <w:rPr>
          <w:rFonts w:ascii="Times New Roman" w:hAnsi="Times New Roman" w:cs="Times New Roman"/>
          <w:lang w:val="en-AU"/>
        </w:rPr>
      </w:pPr>
    </w:p>
    <w:p w:rsidR="004C37E8" w:rsidRPr="00E82E77" w:rsidRDefault="004C37E8" w:rsidP="00CE3F19">
      <w:pPr>
        <w:pStyle w:val="Default"/>
        <w:spacing w:line="480" w:lineRule="auto"/>
        <w:jc w:val="both"/>
        <w:rPr>
          <w:rFonts w:ascii="Times New Roman" w:hAnsi="Times New Roman" w:cs="Times New Roman"/>
          <w:lang w:val="en-AU"/>
        </w:rPr>
      </w:pPr>
    </w:p>
    <w:p w:rsidR="004C37E8" w:rsidRPr="00E82E77" w:rsidRDefault="004C37E8" w:rsidP="00CE3F19">
      <w:pPr>
        <w:spacing w:line="480" w:lineRule="auto"/>
        <w:jc w:val="both"/>
        <w:rPr>
          <w:rFonts w:ascii="Times New Roman" w:hAnsi="Times New Roman" w:cs="Times New Roman"/>
          <w:color w:val="000000"/>
          <w:sz w:val="24"/>
          <w:szCs w:val="24"/>
        </w:rPr>
      </w:pPr>
    </w:p>
    <w:sectPr w:rsidR="004C37E8" w:rsidRPr="00E82E77" w:rsidSect="00934509">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E2" w:rsidRDefault="00773DE2" w:rsidP="00CE3F19">
      <w:pPr>
        <w:spacing w:after="0" w:line="240" w:lineRule="auto"/>
      </w:pPr>
      <w:r>
        <w:separator/>
      </w:r>
    </w:p>
  </w:endnote>
  <w:endnote w:type="continuationSeparator" w:id="0">
    <w:p w:rsidR="00773DE2" w:rsidRDefault="00773DE2" w:rsidP="00CE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806"/>
      <w:docPartObj>
        <w:docPartGallery w:val="Page Numbers (Bottom of Page)"/>
        <w:docPartUnique/>
      </w:docPartObj>
    </w:sdtPr>
    <w:sdtEndPr/>
    <w:sdtContent>
      <w:p w:rsidR="00CE3F19" w:rsidRDefault="004E2F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E3F19" w:rsidRDefault="00CE3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E2" w:rsidRDefault="00773DE2" w:rsidP="00CE3F19">
      <w:pPr>
        <w:spacing w:after="0" w:line="240" w:lineRule="auto"/>
      </w:pPr>
      <w:r>
        <w:separator/>
      </w:r>
    </w:p>
  </w:footnote>
  <w:footnote w:type="continuationSeparator" w:id="0">
    <w:p w:rsidR="00773DE2" w:rsidRDefault="00773DE2" w:rsidP="00CE3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4C37E8"/>
    <w:rsid w:val="00025DE5"/>
    <w:rsid w:val="00034BA1"/>
    <w:rsid w:val="000A744E"/>
    <w:rsid w:val="0020676B"/>
    <w:rsid w:val="002134A5"/>
    <w:rsid w:val="0021734A"/>
    <w:rsid w:val="00227F44"/>
    <w:rsid w:val="00236759"/>
    <w:rsid w:val="00240F55"/>
    <w:rsid w:val="002B7716"/>
    <w:rsid w:val="002F3DE0"/>
    <w:rsid w:val="00317A5B"/>
    <w:rsid w:val="003E2678"/>
    <w:rsid w:val="004C37E8"/>
    <w:rsid w:val="004C4511"/>
    <w:rsid w:val="004D4056"/>
    <w:rsid w:val="004E2FB6"/>
    <w:rsid w:val="005B76CF"/>
    <w:rsid w:val="0064013C"/>
    <w:rsid w:val="006D4562"/>
    <w:rsid w:val="00770837"/>
    <w:rsid w:val="007716DC"/>
    <w:rsid w:val="00773DE2"/>
    <w:rsid w:val="0078206E"/>
    <w:rsid w:val="0080334C"/>
    <w:rsid w:val="008810E1"/>
    <w:rsid w:val="00887733"/>
    <w:rsid w:val="008A20D3"/>
    <w:rsid w:val="00910125"/>
    <w:rsid w:val="00934509"/>
    <w:rsid w:val="009A598A"/>
    <w:rsid w:val="009A785D"/>
    <w:rsid w:val="009D2A26"/>
    <w:rsid w:val="00A6589E"/>
    <w:rsid w:val="00AA5CA8"/>
    <w:rsid w:val="00AB5E27"/>
    <w:rsid w:val="00B46F5F"/>
    <w:rsid w:val="00B92862"/>
    <w:rsid w:val="00C83EFD"/>
    <w:rsid w:val="00CE3F19"/>
    <w:rsid w:val="00D624B1"/>
    <w:rsid w:val="00D641CD"/>
    <w:rsid w:val="00D850BA"/>
    <w:rsid w:val="00DF58CE"/>
    <w:rsid w:val="00E82C31"/>
    <w:rsid w:val="00E82E77"/>
    <w:rsid w:val="00EF3BFA"/>
    <w:rsid w:val="00F82BB1"/>
    <w:rsid w:val="00F96D9D"/>
    <w:rsid w:val="00FE40E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E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7E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C37E8"/>
    <w:pPr>
      <w:spacing w:after="0" w:line="240" w:lineRule="auto"/>
    </w:pPr>
    <w:rPr>
      <w:lang w:val="en-AU"/>
    </w:rPr>
  </w:style>
  <w:style w:type="character" w:styleId="Hyperlink">
    <w:name w:val="Hyperlink"/>
    <w:basedOn w:val="DefaultParagraphFont"/>
    <w:uiPriority w:val="99"/>
    <w:unhideWhenUsed/>
    <w:rsid w:val="004C37E8"/>
    <w:rPr>
      <w:color w:val="0000FF" w:themeColor="hyperlink"/>
      <w:u w:val="single"/>
    </w:rPr>
  </w:style>
  <w:style w:type="paragraph" w:customStyle="1" w:styleId="EndNoteBibliographyTitle">
    <w:name w:val="EndNote Bibliography Title"/>
    <w:basedOn w:val="Normal"/>
    <w:link w:val="EndNoteBibliographyTitleChar"/>
    <w:rsid w:val="004C37E8"/>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4C37E8"/>
    <w:rPr>
      <w:lang w:val="en-AU"/>
    </w:rPr>
  </w:style>
  <w:style w:type="character" w:customStyle="1" w:styleId="EndNoteBibliographyTitleChar">
    <w:name w:val="EndNote Bibliography Title Char"/>
    <w:basedOn w:val="NoSpacingChar"/>
    <w:link w:val="EndNoteBibliographyTitle"/>
    <w:rsid w:val="004C37E8"/>
    <w:rPr>
      <w:rFonts w:ascii="Calibri" w:hAnsi="Calibri"/>
      <w:noProof/>
      <w:lang w:val="en-US"/>
    </w:rPr>
  </w:style>
  <w:style w:type="paragraph" w:customStyle="1" w:styleId="EndNoteBibliography">
    <w:name w:val="EndNote Bibliography"/>
    <w:basedOn w:val="Normal"/>
    <w:link w:val="EndNoteBibliographyChar"/>
    <w:rsid w:val="004C37E8"/>
    <w:pPr>
      <w:spacing w:line="240" w:lineRule="auto"/>
      <w:jc w:val="both"/>
    </w:pPr>
    <w:rPr>
      <w:rFonts w:ascii="Calibri" w:hAnsi="Calibri"/>
      <w:noProof/>
      <w:lang w:val="en-US"/>
    </w:rPr>
  </w:style>
  <w:style w:type="character" w:customStyle="1" w:styleId="EndNoteBibliographyChar">
    <w:name w:val="EndNote Bibliography Char"/>
    <w:basedOn w:val="NoSpacingChar"/>
    <w:link w:val="EndNoteBibliography"/>
    <w:rsid w:val="004C37E8"/>
    <w:rPr>
      <w:rFonts w:ascii="Calibri" w:hAnsi="Calibri"/>
      <w:noProof/>
      <w:lang w:val="en-US"/>
    </w:rPr>
  </w:style>
  <w:style w:type="paragraph" w:styleId="Header">
    <w:name w:val="header"/>
    <w:basedOn w:val="Normal"/>
    <w:link w:val="HeaderChar"/>
    <w:uiPriority w:val="99"/>
    <w:semiHidden/>
    <w:unhideWhenUsed/>
    <w:rsid w:val="00CE3F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3F19"/>
    <w:rPr>
      <w:lang w:val="en-AU"/>
    </w:rPr>
  </w:style>
  <w:style w:type="paragraph" w:styleId="Footer">
    <w:name w:val="footer"/>
    <w:basedOn w:val="Normal"/>
    <w:link w:val="FooterChar"/>
    <w:uiPriority w:val="99"/>
    <w:unhideWhenUsed/>
    <w:rsid w:val="00CE3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F19"/>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drkumaran</dc:creator>
  <cp:lastModifiedBy>JOYCE, Peta</cp:lastModifiedBy>
  <cp:revision>2</cp:revision>
  <dcterms:created xsi:type="dcterms:W3CDTF">2014-08-19T01:07:00Z</dcterms:created>
  <dcterms:modified xsi:type="dcterms:W3CDTF">2014-08-19T01:07:00Z</dcterms:modified>
</cp:coreProperties>
</file>