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9A" w:rsidRPr="007A0EF7" w:rsidRDefault="009502D5" w:rsidP="009502D5">
      <w:pPr>
        <w:spacing w:after="0"/>
        <w:jc w:val="both"/>
      </w:pPr>
      <w:bookmarkStart w:id="0" w:name="_GoBack"/>
      <w:bookmarkEnd w:id="0"/>
      <w:r>
        <w:t>As a Social Work student I</w:t>
      </w:r>
      <w:r w:rsidR="003334A7">
        <w:t xml:space="preserve"> have an interest in social policy reform due to the direct </w:t>
      </w:r>
      <w:r w:rsidR="003334A7" w:rsidRPr="007A0EF7">
        <w:t>impact</w:t>
      </w:r>
      <w:r w:rsidR="003334A7">
        <w:t xml:space="preserve"> </w:t>
      </w:r>
      <w:r w:rsidR="00DF254A">
        <w:t xml:space="preserve">it has </w:t>
      </w:r>
      <w:r w:rsidR="003334A7">
        <w:t>on the interface in which a so</w:t>
      </w:r>
      <w:r w:rsidR="00DF254A">
        <w:t xml:space="preserve">cial worker operates.  I </w:t>
      </w:r>
      <w:r w:rsidR="000D244B" w:rsidRPr="007A0EF7">
        <w:t>welcome</w:t>
      </w:r>
      <w:r w:rsidR="003334A7">
        <w:t xml:space="preserve"> the current review of the welfare system and </w:t>
      </w:r>
      <w:r w:rsidR="003334A7" w:rsidRPr="007A0EF7">
        <w:t>the</w:t>
      </w:r>
      <w:r w:rsidR="003334A7">
        <w:t xml:space="preserve"> opportunity to provide input.</w:t>
      </w:r>
      <w:r w:rsidR="00AC2932" w:rsidRPr="007A0EF7">
        <w:t xml:space="preserve"> </w:t>
      </w:r>
      <w:r w:rsidR="003334A7" w:rsidRPr="007A0EF7">
        <w:t xml:space="preserve">The </w:t>
      </w:r>
      <w:r w:rsidR="003334A7">
        <w:t>I</w:t>
      </w:r>
      <w:r w:rsidR="003334A7" w:rsidRPr="007A0EF7">
        <w:t xml:space="preserve">nterim </w:t>
      </w:r>
      <w:r w:rsidR="003334A7">
        <w:t xml:space="preserve">Report highlights </w:t>
      </w:r>
      <w:r w:rsidR="003334A7" w:rsidRPr="007A0EF7">
        <w:t xml:space="preserve">important issues </w:t>
      </w:r>
      <w:r w:rsidR="003334A7">
        <w:t xml:space="preserve">which </w:t>
      </w:r>
      <w:r w:rsidR="003334A7" w:rsidRPr="007A0EF7">
        <w:t>require careful consideration</w:t>
      </w:r>
      <w:r w:rsidR="003334A7">
        <w:t xml:space="preserve"> and </w:t>
      </w:r>
      <w:r w:rsidR="0031129A" w:rsidRPr="007A0EF7">
        <w:t xml:space="preserve">I will </w:t>
      </w:r>
      <w:r w:rsidR="0031129A">
        <w:t xml:space="preserve">be </w:t>
      </w:r>
      <w:r w:rsidR="007F7216">
        <w:t>addressing</w:t>
      </w:r>
      <w:r w:rsidR="0031129A">
        <w:t xml:space="preserve"> </w:t>
      </w:r>
      <w:r w:rsidR="003334A7">
        <w:t>concerns</w:t>
      </w:r>
      <w:r w:rsidR="0031129A" w:rsidRPr="007A0EF7">
        <w:t xml:space="preserve"> </w:t>
      </w:r>
      <w:r w:rsidR="0031129A">
        <w:t>in relation to payment architecture and income management.</w:t>
      </w:r>
    </w:p>
    <w:p w:rsidR="008F1A20" w:rsidRDefault="008F1A20" w:rsidP="009502D5">
      <w:pPr>
        <w:spacing w:after="0"/>
        <w:jc w:val="both"/>
      </w:pPr>
    </w:p>
    <w:p w:rsidR="00EE6C9B" w:rsidRPr="003E2C4E" w:rsidRDefault="00485CD5" w:rsidP="009502D5">
      <w:pPr>
        <w:spacing w:after="0"/>
      </w:pPr>
      <w:r>
        <w:rPr>
          <w:rFonts w:cs="Arial"/>
          <w:b/>
          <w:shd w:val="clear" w:color="auto" w:fill="FFFFFF"/>
        </w:rPr>
        <w:t>Payment Architecture</w:t>
      </w:r>
      <w:r w:rsidR="00697329" w:rsidRPr="007A0EF7">
        <w:rPr>
          <w:rFonts w:cs="Arial"/>
          <w:bdr w:val="none" w:sz="0" w:space="0" w:color="auto" w:frame="1"/>
        </w:rPr>
        <w:br/>
      </w:r>
    </w:p>
    <w:p w:rsidR="009B421F" w:rsidRPr="00154B1E" w:rsidRDefault="009B421F" w:rsidP="009502D5">
      <w:pPr>
        <w:spacing w:after="0"/>
        <w:jc w:val="both"/>
        <w:rPr>
          <w:i/>
        </w:rPr>
      </w:pPr>
      <w:r w:rsidRPr="00154B1E">
        <w:rPr>
          <w:i/>
        </w:rPr>
        <w:t>Disability Support Pension (DSP)</w:t>
      </w:r>
    </w:p>
    <w:p w:rsidR="008F1A20" w:rsidRPr="003E2C4E" w:rsidRDefault="000F694F" w:rsidP="009502D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F694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The proposal to restrict </w:t>
      </w:r>
      <w:r w:rsidR="009B421F" w:rsidRPr="000F694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access to the DSP </w:t>
      </w:r>
      <w:r w:rsidRPr="000F694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to only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those with permanent in</w:t>
      </w:r>
      <w:r w:rsidR="009B421F" w:rsidRPr="000F694F">
        <w:rPr>
          <w:rFonts w:asciiTheme="minorHAnsi" w:hAnsiTheme="minorHAnsi" w:cs="Arial"/>
          <w:sz w:val="22"/>
          <w:szCs w:val="22"/>
          <w:shd w:val="clear" w:color="auto" w:fill="FFFFFF"/>
        </w:rPr>
        <w:t>capacity to work</w:t>
      </w:r>
      <w:r w:rsidRPr="000F694F">
        <w:rPr>
          <w:rFonts w:asciiTheme="minorHAnsi" w:hAnsiTheme="minorHAnsi" w:cs="Arial"/>
          <w:sz w:val="22"/>
          <w:szCs w:val="22"/>
          <w:shd w:val="clear" w:color="auto" w:fill="FFFFFF"/>
        </w:rPr>
        <w:t>, as opposed to partial capacity, will</w:t>
      </w:r>
      <w:r w:rsidR="009B421F" w:rsidRPr="000F694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inevitably result in extreme hardship and poverty </w:t>
      </w:r>
      <w:r w:rsidRPr="000F694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(O’Halloran, 2014). </w:t>
      </w:r>
      <w:r w:rsidR="009502D5">
        <w:rPr>
          <w:rFonts w:asciiTheme="minorHAnsi" w:hAnsiTheme="minorHAnsi"/>
          <w:sz w:val="22"/>
          <w:szCs w:val="22"/>
        </w:rPr>
        <w:t xml:space="preserve">I </w:t>
      </w:r>
      <w:r w:rsidR="00305651" w:rsidRPr="000F694F">
        <w:rPr>
          <w:rFonts w:asciiTheme="minorHAnsi" w:hAnsiTheme="minorHAnsi"/>
          <w:sz w:val="22"/>
          <w:szCs w:val="22"/>
        </w:rPr>
        <w:t>encourage the reference group</w:t>
      </w:r>
      <w:r w:rsidR="005059D4" w:rsidRPr="000F694F">
        <w:rPr>
          <w:rFonts w:asciiTheme="minorHAnsi" w:hAnsiTheme="minorHAnsi"/>
          <w:sz w:val="22"/>
          <w:szCs w:val="22"/>
        </w:rPr>
        <w:t xml:space="preserve"> to give careful cons</w:t>
      </w:r>
      <w:r>
        <w:rPr>
          <w:rFonts w:asciiTheme="minorHAnsi" w:hAnsiTheme="minorHAnsi"/>
          <w:sz w:val="22"/>
          <w:szCs w:val="22"/>
        </w:rPr>
        <w:t>ideration to the</w:t>
      </w:r>
      <w:r w:rsidR="005059D4" w:rsidRPr="000F694F">
        <w:rPr>
          <w:rFonts w:asciiTheme="minorHAnsi" w:hAnsiTheme="minorHAnsi"/>
          <w:sz w:val="22"/>
          <w:szCs w:val="22"/>
        </w:rPr>
        <w:t xml:space="preserve"> concerns raised </w:t>
      </w:r>
      <w:r w:rsidR="009B421F" w:rsidRPr="000F694F">
        <w:rPr>
          <w:rFonts w:asciiTheme="minorHAnsi" w:hAnsiTheme="minorHAnsi"/>
          <w:sz w:val="22"/>
          <w:szCs w:val="22"/>
        </w:rPr>
        <w:t>by many</w:t>
      </w:r>
      <w:r w:rsidR="005059D4" w:rsidRPr="000F694F">
        <w:rPr>
          <w:rFonts w:asciiTheme="minorHAnsi" w:hAnsiTheme="minorHAnsi"/>
          <w:sz w:val="22"/>
          <w:szCs w:val="22"/>
        </w:rPr>
        <w:t xml:space="preserve"> Mental Health </w:t>
      </w:r>
      <w:r w:rsidR="0031129A">
        <w:rPr>
          <w:rFonts w:asciiTheme="minorHAnsi" w:hAnsiTheme="minorHAnsi"/>
          <w:sz w:val="22"/>
          <w:szCs w:val="22"/>
        </w:rPr>
        <w:t>and welfare a</w:t>
      </w:r>
      <w:r w:rsidR="00697329" w:rsidRPr="000F694F">
        <w:rPr>
          <w:rFonts w:asciiTheme="minorHAnsi" w:hAnsiTheme="minorHAnsi"/>
          <w:sz w:val="22"/>
          <w:szCs w:val="22"/>
        </w:rPr>
        <w:t>dvocates</w:t>
      </w:r>
      <w:r w:rsidR="00B40EF2" w:rsidRPr="000F694F">
        <w:rPr>
          <w:rFonts w:asciiTheme="minorHAnsi" w:hAnsiTheme="minorHAnsi"/>
          <w:sz w:val="22"/>
          <w:szCs w:val="22"/>
        </w:rPr>
        <w:t xml:space="preserve"> </w:t>
      </w:r>
      <w:r w:rsidR="00697329" w:rsidRPr="000F694F">
        <w:rPr>
          <w:rFonts w:asciiTheme="minorHAnsi" w:hAnsiTheme="minorHAnsi"/>
          <w:sz w:val="22"/>
          <w:szCs w:val="22"/>
        </w:rPr>
        <w:t xml:space="preserve">in relation </w:t>
      </w:r>
      <w:r w:rsidR="005059D4" w:rsidRPr="000F694F">
        <w:rPr>
          <w:rFonts w:asciiTheme="minorHAnsi" w:hAnsiTheme="minorHAnsi"/>
          <w:sz w:val="22"/>
          <w:szCs w:val="22"/>
        </w:rPr>
        <w:t xml:space="preserve">to moving person’s with a mental illness from DSP to the proposed tiered working age payment. </w:t>
      </w:r>
      <w:r w:rsidR="009B421F" w:rsidRPr="000F694F">
        <w:rPr>
          <w:rFonts w:asciiTheme="minorHAnsi" w:hAnsiTheme="minorHAnsi"/>
          <w:sz w:val="22"/>
          <w:szCs w:val="22"/>
        </w:rPr>
        <w:t xml:space="preserve"> </w:t>
      </w:r>
      <w:r w:rsidR="00B94748" w:rsidRPr="000F694F">
        <w:rPr>
          <w:rFonts w:asciiTheme="minorHAnsi" w:hAnsiTheme="minorHAnsi"/>
          <w:sz w:val="22"/>
          <w:szCs w:val="22"/>
        </w:rPr>
        <w:t xml:space="preserve"> A comprehensive understanding </w:t>
      </w:r>
      <w:r w:rsidR="00DF254A">
        <w:rPr>
          <w:rFonts w:asciiTheme="minorHAnsi" w:hAnsiTheme="minorHAnsi"/>
          <w:sz w:val="22"/>
          <w:szCs w:val="22"/>
        </w:rPr>
        <w:t xml:space="preserve">of </w:t>
      </w:r>
      <w:r w:rsidR="00B94748" w:rsidRPr="000F694F">
        <w:rPr>
          <w:rFonts w:asciiTheme="minorHAnsi" w:hAnsiTheme="minorHAnsi"/>
          <w:sz w:val="22"/>
          <w:szCs w:val="22"/>
        </w:rPr>
        <w:t>mental illness</w:t>
      </w:r>
      <w:r w:rsidR="00DF254A">
        <w:rPr>
          <w:rFonts w:asciiTheme="minorHAnsi" w:hAnsiTheme="minorHAnsi"/>
          <w:sz w:val="22"/>
          <w:szCs w:val="22"/>
        </w:rPr>
        <w:t xml:space="preserve">, in particular the fluctuating nature of its impact (Barrier Breakers, 2014), </w:t>
      </w:r>
      <w:r w:rsidR="00B94748" w:rsidRPr="000F694F">
        <w:rPr>
          <w:rFonts w:asciiTheme="minorHAnsi" w:hAnsiTheme="minorHAnsi"/>
          <w:sz w:val="22"/>
          <w:szCs w:val="22"/>
        </w:rPr>
        <w:t>is required to inform such measures.</w:t>
      </w:r>
    </w:p>
    <w:p w:rsidR="003E2C4E" w:rsidRDefault="003E2C4E" w:rsidP="009502D5">
      <w:pPr>
        <w:spacing w:after="0"/>
        <w:jc w:val="both"/>
        <w:rPr>
          <w:i/>
        </w:rPr>
      </w:pPr>
    </w:p>
    <w:p w:rsidR="009B421F" w:rsidRPr="00154B1E" w:rsidRDefault="009B421F" w:rsidP="009502D5">
      <w:pPr>
        <w:spacing w:after="0"/>
        <w:jc w:val="both"/>
        <w:rPr>
          <w:i/>
        </w:rPr>
      </w:pPr>
      <w:r w:rsidRPr="00154B1E">
        <w:rPr>
          <w:i/>
        </w:rPr>
        <w:t>Payment Inequity</w:t>
      </w:r>
    </w:p>
    <w:p w:rsidR="00EE6C9B" w:rsidRPr="009026C5" w:rsidRDefault="00EB409C" w:rsidP="009502D5">
      <w:pPr>
        <w:spacing w:after="0"/>
        <w:jc w:val="both"/>
        <w:rPr>
          <w:rFonts w:cs="Arial"/>
          <w:shd w:val="clear" w:color="auto" w:fill="F4F4F4"/>
        </w:rPr>
      </w:pPr>
      <w:r w:rsidRPr="007A0EF7">
        <w:t xml:space="preserve">A poverty and inequality report released by ACOSS in 2013 revealed that 37% of people on social security payments live below the poverty line. </w:t>
      </w:r>
      <w:r w:rsidR="003E2C4E">
        <w:t>I</w:t>
      </w:r>
      <w:r>
        <w:t xml:space="preserve"> applaud the reference group for highlighting the current </w:t>
      </w:r>
      <w:r w:rsidR="00A26B8E" w:rsidRPr="007A0EF7">
        <w:t>gap between DSP and Newstart payments</w:t>
      </w:r>
      <w:r>
        <w:t>.  I</w:t>
      </w:r>
      <w:r w:rsidR="00A26B8E" w:rsidRPr="007A0EF7">
        <w:t xml:space="preserve">t is hoped that an outcome of this review would see </w:t>
      </w:r>
      <w:r w:rsidR="00795AE6" w:rsidRPr="007A0EF7">
        <w:t xml:space="preserve">an increase in newstart payments so that individuals receiving such payments can be provided with the </w:t>
      </w:r>
      <w:r w:rsidR="002C3B87">
        <w:t xml:space="preserve">necessary </w:t>
      </w:r>
      <w:r w:rsidR="00795AE6" w:rsidRPr="007A0EF7">
        <w:t>resources to live.</w:t>
      </w:r>
    </w:p>
    <w:p w:rsidR="002935C7" w:rsidRPr="0031129A" w:rsidRDefault="002935C7" w:rsidP="009502D5">
      <w:pPr>
        <w:spacing w:after="0"/>
        <w:jc w:val="both"/>
      </w:pPr>
    </w:p>
    <w:p w:rsidR="0031129A" w:rsidRPr="00485CD5" w:rsidRDefault="009026C5" w:rsidP="009502D5">
      <w:pPr>
        <w:spacing w:after="0"/>
        <w:jc w:val="both"/>
        <w:rPr>
          <w:i/>
        </w:rPr>
      </w:pPr>
      <w:r>
        <w:rPr>
          <w:i/>
        </w:rPr>
        <w:t xml:space="preserve">Women without income and </w:t>
      </w:r>
      <w:r w:rsidR="0031129A" w:rsidRPr="00485CD5">
        <w:rPr>
          <w:i/>
        </w:rPr>
        <w:t>Special Benefit</w:t>
      </w:r>
      <w:r w:rsidR="007F7216">
        <w:rPr>
          <w:i/>
        </w:rPr>
        <w:t xml:space="preserve"> (SB)</w:t>
      </w:r>
    </w:p>
    <w:p w:rsidR="007F7216" w:rsidRPr="007A0EF7" w:rsidRDefault="003E2C4E" w:rsidP="009502D5">
      <w:pPr>
        <w:spacing w:after="0"/>
        <w:jc w:val="both"/>
      </w:pPr>
      <w:r>
        <w:t>I would</w:t>
      </w:r>
      <w:r w:rsidR="007F7216" w:rsidRPr="007A0EF7">
        <w:t xml:space="preserve"> like to draw </w:t>
      </w:r>
      <w:r w:rsidR="00E4614F" w:rsidRPr="007A0EF7">
        <w:t xml:space="preserve">attention </w:t>
      </w:r>
      <w:r w:rsidR="00E4614F">
        <w:t xml:space="preserve">to </w:t>
      </w:r>
      <w:r w:rsidR="007F7216" w:rsidRPr="007A0EF7">
        <w:t>women on temporary v</w:t>
      </w:r>
      <w:r w:rsidR="00E4614F">
        <w:t>isas escaping domestic vio</w:t>
      </w:r>
      <w:r w:rsidR="009026C5">
        <w:t xml:space="preserve">lence and access to SB payments – an issue which is silent in the interim report. </w:t>
      </w:r>
      <w:r w:rsidR="00E4614F">
        <w:t xml:space="preserve">The current eligibility </w:t>
      </w:r>
      <w:r w:rsidR="009026C5">
        <w:t xml:space="preserve">criterion for SB is </w:t>
      </w:r>
      <w:r w:rsidR="00E4614F">
        <w:t>limited</w:t>
      </w:r>
      <w:r w:rsidR="00A02ABA">
        <w:t xml:space="preserve"> leaving many women without access to any income and</w:t>
      </w:r>
      <w:r w:rsidR="00E4614F">
        <w:t xml:space="preserve"> </w:t>
      </w:r>
      <w:r w:rsidR="009026C5">
        <w:t xml:space="preserve">the </w:t>
      </w:r>
      <w:r w:rsidR="00A02ABA">
        <w:t>necessary resources to secure their</w:t>
      </w:r>
      <w:r w:rsidR="00E4614F">
        <w:t xml:space="preserve"> </w:t>
      </w:r>
      <w:r w:rsidR="00A02ABA">
        <w:t>safety</w:t>
      </w:r>
      <w:r w:rsidR="00E4614F">
        <w:t xml:space="preserve">. Widening the visa eligibility </w:t>
      </w:r>
      <w:r w:rsidR="00A02ABA">
        <w:t>“</w:t>
      </w:r>
      <w:r w:rsidR="00E4614F">
        <w:t>would make an enormous difference in terms of facilitating women’s saf</w:t>
      </w:r>
      <w:r w:rsidR="00A02ABA">
        <w:t>ety and promoting self-reliance” (</w:t>
      </w:r>
      <w:proofErr w:type="spellStart"/>
      <w:r w:rsidR="00A02ABA">
        <w:t>Barassi</w:t>
      </w:r>
      <w:proofErr w:type="spellEnd"/>
      <w:r w:rsidR="00A02ABA">
        <w:t>-Rubio &amp; Crossing, 2013).</w:t>
      </w:r>
    </w:p>
    <w:p w:rsidR="004778A2" w:rsidRDefault="004778A2" w:rsidP="009502D5">
      <w:pPr>
        <w:spacing w:after="0"/>
        <w:jc w:val="both"/>
      </w:pPr>
    </w:p>
    <w:p w:rsidR="00B40EF2" w:rsidRPr="00485CD5" w:rsidRDefault="00485CD5" w:rsidP="009502D5">
      <w:pPr>
        <w:spacing w:after="0"/>
        <w:jc w:val="both"/>
        <w:rPr>
          <w:b/>
        </w:rPr>
      </w:pPr>
      <w:r w:rsidRPr="00485CD5">
        <w:rPr>
          <w:b/>
        </w:rPr>
        <w:t>Income Management</w:t>
      </w:r>
    </w:p>
    <w:p w:rsidR="00284BC5" w:rsidRDefault="00284BC5" w:rsidP="009502D5">
      <w:pPr>
        <w:spacing w:after="0"/>
        <w:jc w:val="both"/>
      </w:pPr>
      <w:r>
        <w:t xml:space="preserve">Much of the </w:t>
      </w:r>
      <w:r w:rsidR="008F1A20">
        <w:t xml:space="preserve">available </w:t>
      </w:r>
      <w:r>
        <w:t>literature on income management</w:t>
      </w:r>
      <w:r w:rsidR="008F1A20">
        <w:t xml:space="preserve"> (IM)</w:t>
      </w:r>
      <w:r>
        <w:t xml:space="preserve"> </w:t>
      </w:r>
      <w:r w:rsidR="00B801FC">
        <w:t xml:space="preserve">share similar </w:t>
      </w:r>
      <w:r w:rsidR="00EB409C">
        <w:t xml:space="preserve">concerns about such a </w:t>
      </w:r>
      <w:r w:rsidR="004C4824">
        <w:t>model</w:t>
      </w:r>
      <w:r w:rsidR="003E2C4E">
        <w:t xml:space="preserve"> of welfare provision. </w:t>
      </w:r>
      <w:r w:rsidR="00A02ABA">
        <w:t>These include:</w:t>
      </w:r>
    </w:p>
    <w:p w:rsidR="00284BC5" w:rsidRDefault="00A02ABA" w:rsidP="009502D5">
      <w:pPr>
        <w:pStyle w:val="ListParagraph"/>
        <w:numPr>
          <w:ilvl w:val="0"/>
          <w:numId w:val="3"/>
        </w:numPr>
        <w:spacing w:after="0"/>
        <w:jc w:val="both"/>
      </w:pPr>
      <w:r>
        <w:t>H</w:t>
      </w:r>
      <w:r w:rsidR="00284BC5">
        <w:t>igh administration costs</w:t>
      </w:r>
      <w:r w:rsidR="008F1A20">
        <w:t xml:space="preserve"> </w:t>
      </w:r>
    </w:p>
    <w:p w:rsidR="00284BC5" w:rsidRDefault="00A02ABA" w:rsidP="009502D5">
      <w:pPr>
        <w:pStyle w:val="ListParagraph"/>
        <w:numPr>
          <w:ilvl w:val="0"/>
          <w:numId w:val="3"/>
        </w:numPr>
        <w:spacing w:after="0"/>
        <w:jc w:val="both"/>
      </w:pPr>
      <w:r>
        <w:t>P</w:t>
      </w:r>
      <w:r w:rsidR="00284BC5">
        <w:t>otential to undermine confidence and personal resilience</w:t>
      </w:r>
      <w:r w:rsidR="00284BC5" w:rsidRPr="00284BC5">
        <w:t xml:space="preserve"> </w:t>
      </w:r>
      <w:r w:rsidR="00284BC5">
        <w:t>with recipient feedback</w:t>
      </w:r>
      <w:r w:rsidR="009502D5">
        <w:t xml:space="preserve"> reporting a loss of dignity,</w:t>
      </w:r>
      <w:r w:rsidR="00284BC5">
        <w:t xml:space="preserve"> self worth </w:t>
      </w:r>
      <w:r w:rsidR="009502D5">
        <w:t>and the stigma attached to the use of the ‘basics card’.</w:t>
      </w:r>
    </w:p>
    <w:p w:rsidR="00EB409C" w:rsidRPr="00EB409C" w:rsidRDefault="00A02ABA" w:rsidP="009502D5">
      <w:pPr>
        <w:pStyle w:val="ListParagraph"/>
        <w:numPr>
          <w:ilvl w:val="0"/>
          <w:numId w:val="3"/>
        </w:numPr>
        <w:spacing w:after="0"/>
        <w:jc w:val="both"/>
      </w:pPr>
      <w:r>
        <w:t>N</w:t>
      </w:r>
      <w:r w:rsidR="00005236">
        <w:t>o concr</w:t>
      </w:r>
      <w:r>
        <w:t>ete evidence based data and</w:t>
      </w:r>
      <w:r w:rsidR="00005236">
        <w:t xml:space="preserve"> limited </w:t>
      </w:r>
      <w:r>
        <w:t xml:space="preserve">evaluation of </w:t>
      </w:r>
      <w:r w:rsidR="00284BC5">
        <w:t xml:space="preserve"> effectiveness </w:t>
      </w:r>
      <w:r w:rsidR="00005236">
        <w:t xml:space="preserve">or positive effects on the lives of people </w:t>
      </w:r>
    </w:p>
    <w:p w:rsidR="00284BC5" w:rsidRDefault="00005236" w:rsidP="009502D5">
      <w:pPr>
        <w:pStyle w:val="ListParagraph"/>
        <w:spacing w:after="0"/>
        <w:ind w:left="0"/>
        <w:jc w:val="both"/>
      </w:pPr>
      <w:r>
        <w:t>(</w:t>
      </w:r>
      <w:r w:rsidR="00FD31FD" w:rsidRPr="00154B1E">
        <w:t xml:space="preserve">AASW, 2011; </w:t>
      </w:r>
      <w:r w:rsidR="00FD31FD">
        <w:t xml:space="preserve">Australian Indigenous Doctor’s Association, 2008; </w:t>
      </w:r>
      <w:r>
        <w:t xml:space="preserve">Cox, </w:t>
      </w:r>
      <w:r w:rsidR="00284BC5" w:rsidRPr="00154B1E">
        <w:t xml:space="preserve">2014; Dee, 2013; Monash </w:t>
      </w:r>
      <w:r w:rsidR="004C4824">
        <w:t xml:space="preserve">University, </w:t>
      </w:r>
      <w:r w:rsidR="00FD31FD">
        <w:t>2013 National Welfare Rights Network, 2014</w:t>
      </w:r>
      <w:r w:rsidR="00284BC5">
        <w:t>)</w:t>
      </w:r>
    </w:p>
    <w:p w:rsidR="008F1A20" w:rsidRDefault="008F1A20" w:rsidP="009502D5">
      <w:pPr>
        <w:spacing w:after="0"/>
        <w:jc w:val="both"/>
      </w:pPr>
    </w:p>
    <w:p w:rsidR="009F2FA9" w:rsidRDefault="004778A2" w:rsidP="009502D5">
      <w:pPr>
        <w:spacing w:after="0"/>
        <w:jc w:val="both"/>
      </w:pPr>
      <w:r w:rsidRPr="007C5C7A">
        <w:t xml:space="preserve">I </w:t>
      </w:r>
      <w:r w:rsidR="004F6D77">
        <w:t xml:space="preserve">recommend that </w:t>
      </w:r>
      <w:r w:rsidR="00A02ABA" w:rsidRPr="002C3B87">
        <w:t>IM</w:t>
      </w:r>
      <w:r w:rsidR="007F7216">
        <w:t xml:space="preserve"> </w:t>
      </w:r>
      <w:r w:rsidR="004F6D77">
        <w:t xml:space="preserve">be removed </w:t>
      </w:r>
      <w:r w:rsidR="00A02ABA">
        <w:t>from</w:t>
      </w:r>
      <w:r w:rsidR="004F6D77">
        <w:t xml:space="preserve"> any future</w:t>
      </w:r>
      <w:r w:rsidR="00A02ABA">
        <w:t xml:space="preserve"> welfare reform.</w:t>
      </w:r>
      <w:r w:rsidR="004F6D77">
        <w:t xml:space="preserve"> Potential IM administration f</w:t>
      </w:r>
      <w:r w:rsidR="009F2FA9">
        <w:t>unds</w:t>
      </w:r>
      <w:r w:rsidR="00A02ABA">
        <w:t xml:space="preserve"> </w:t>
      </w:r>
      <w:r w:rsidR="004F6D77">
        <w:t xml:space="preserve">could then </w:t>
      </w:r>
      <w:r w:rsidR="009F2FA9">
        <w:t>be</w:t>
      </w:r>
      <w:r w:rsidR="004C4824">
        <w:t xml:space="preserve"> diverted </w:t>
      </w:r>
      <w:r w:rsidR="00A02ABA">
        <w:t xml:space="preserve">to other crucial social support </w:t>
      </w:r>
      <w:r w:rsidR="002C3B87">
        <w:t>systems that</w:t>
      </w:r>
      <w:r w:rsidR="00A02ABA">
        <w:t xml:space="preserve"> </w:t>
      </w:r>
      <w:r w:rsidR="004C4824">
        <w:t>foster individual resilience, well-</w:t>
      </w:r>
      <w:r w:rsidR="003E2C4E">
        <w:t>being and</w:t>
      </w:r>
      <w:r w:rsidR="004C4824">
        <w:t xml:space="preserve"> social inclusion</w:t>
      </w:r>
      <w:r w:rsidR="002C3B87">
        <w:t>.</w:t>
      </w:r>
    </w:p>
    <w:p w:rsidR="00A02ABA" w:rsidRDefault="00A02ABA" w:rsidP="009502D5">
      <w:pPr>
        <w:spacing w:after="0"/>
        <w:jc w:val="both"/>
      </w:pPr>
    </w:p>
    <w:p w:rsidR="00B801FC" w:rsidRDefault="00485CD5" w:rsidP="009502D5">
      <w:pPr>
        <w:spacing w:after="0"/>
        <w:jc w:val="both"/>
      </w:pPr>
      <w:r>
        <w:t>I do not view any welfare reform as jus</w:t>
      </w:r>
      <w:r w:rsidR="007C5C7A">
        <w:t>t an increase in payment rates. A</w:t>
      </w:r>
      <w:r>
        <w:t xml:space="preserve">ny </w:t>
      </w:r>
      <w:r w:rsidR="00B801FC" w:rsidRPr="007A0EF7">
        <w:t xml:space="preserve">changes to the welfare system cannot be done in isolation to other broader </w:t>
      </w:r>
      <w:r w:rsidR="00B801FC">
        <w:t xml:space="preserve">structural challenges and </w:t>
      </w:r>
      <w:r w:rsidR="00B801FC" w:rsidRPr="007A0EF7">
        <w:t xml:space="preserve">social policy issues such </w:t>
      </w:r>
      <w:r w:rsidR="009026C5">
        <w:lastRenderedPageBreak/>
        <w:t>as Housing Affordability, E</w:t>
      </w:r>
      <w:r w:rsidR="00B801FC" w:rsidRPr="007A0EF7">
        <w:t>ducation</w:t>
      </w:r>
      <w:r w:rsidR="009026C5">
        <w:t xml:space="preserve"> Reform</w:t>
      </w:r>
      <w:r w:rsidR="00EB409C">
        <w:t xml:space="preserve">, </w:t>
      </w:r>
      <w:r w:rsidR="009026C5" w:rsidRPr="009026C5">
        <w:t xml:space="preserve">National Plan to Reduce Violence against Women and their Children </w:t>
      </w:r>
      <w:r w:rsidR="009026C5">
        <w:t>(</w:t>
      </w:r>
      <w:r w:rsidR="009026C5" w:rsidRPr="009026C5">
        <w:t>2010‐2022</w:t>
      </w:r>
      <w:r w:rsidR="009026C5">
        <w:t xml:space="preserve">) </w:t>
      </w:r>
      <w:r w:rsidR="00B801FC">
        <w:t xml:space="preserve">and the </w:t>
      </w:r>
      <w:r w:rsidR="00B801FC" w:rsidRPr="007A0EF7">
        <w:t xml:space="preserve">rollout of </w:t>
      </w:r>
      <w:r w:rsidR="009026C5">
        <w:t xml:space="preserve">the </w:t>
      </w:r>
      <w:r w:rsidR="00B801FC" w:rsidRPr="007A0EF7">
        <w:t>N</w:t>
      </w:r>
      <w:r w:rsidR="009026C5">
        <w:t xml:space="preserve">ational </w:t>
      </w:r>
      <w:r w:rsidR="00B801FC" w:rsidRPr="007A0EF7">
        <w:t>D</w:t>
      </w:r>
      <w:r w:rsidR="009026C5">
        <w:t xml:space="preserve">isability </w:t>
      </w:r>
      <w:r w:rsidR="00B801FC" w:rsidRPr="007A0EF7">
        <w:t>I</w:t>
      </w:r>
      <w:r w:rsidR="009026C5">
        <w:t xml:space="preserve">nsurance </w:t>
      </w:r>
      <w:r w:rsidR="00B801FC" w:rsidRPr="007A0EF7">
        <w:t>S</w:t>
      </w:r>
      <w:r w:rsidR="009026C5">
        <w:t>cheme</w:t>
      </w:r>
      <w:r w:rsidR="00B801FC">
        <w:t xml:space="preserve">. </w:t>
      </w:r>
    </w:p>
    <w:p w:rsidR="00485CD5" w:rsidRDefault="00485CD5" w:rsidP="009502D5">
      <w:pPr>
        <w:spacing w:after="0"/>
        <w:jc w:val="both"/>
      </w:pPr>
    </w:p>
    <w:p w:rsidR="005059D4" w:rsidRPr="007A0EF7" w:rsidRDefault="003F6B6C" w:rsidP="009502D5">
      <w:pPr>
        <w:spacing w:after="0"/>
        <w:jc w:val="both"/>
      </w:pPr>
      <w:r>
        <w:t xml:space="preserve">There </w:t>
      </w:r>
      <w:r w:rsidR="005059D4" w:rsidRPr="007A0EF7">
        <w:t xml:space="preserve">will </w:t>
      </w:r>
      <w:r>
        <w:t xml:space="preserve">likely </w:t>
      </w:r>
      <w:r w:rsidR="005059D4" w:rsidRPr="007A0EF7">
        <w:t xml:space="preserve">always be members of the community that </w:t>
      </w:r>
      <w:r w:rsidR="00B801FC" w:rsidRPr="007A0EF7">
        <w:t>cannot</w:t>
      </w:r>
      <w:r w:rsidR="005059D4" w:rsidRPr="007A0EF7">
        <w:t xml:space="preserve"> participate in the paid workforce for a myriad of reasons</w:t>
      </w:r>
      <w:r>
        <w:t>,</w:t>
      </w:r>
      <w:r w:rsidR="00A02ABA">
        <w:t xml:space="preserve"> and there will</w:t>
      </w:r>
      <w:r w:rsidR="005059D4" w:rsidRPr="007A0EF7">
        <w:t xml:space="preserve"> </w:t>
      </w:r>
      <w:r>
        <w:t xml:space="preserve">likely </w:t>
      </w:r>
      <w:r w:rsidR="005059D4" w:rsidRPr="007A0EF7">
        <w:t>never be enough paid e</w:t>
      </w:r>
      <w:r w:rsidR="009F2FA9">
        <w:t>m</w:t>
      </w:r>
      <w:r>
        <w:t xml:space="preserve">ployment for all that seek it. </w:t>
      </w:r>
      <w:r w:rsidR="004F6D77">
        <w:t>I urge the reference group to consider any reform recommendations within the framework of enhancing social and economic wellbeing and inclusion. P</w:t>
      </w:r>
      <w:r w:rsidR="00B801FC" w:rsidRPr="007A0EF7">
        <w:t>eople can only do the best they can with the resources that they have.</w:t>
      </w:r>
    </w:p>
    <w:p w:rsidR="008F1A20" w:rsidRDefault="008F1A20" w:rsidP="009502D5">
      <w:pPr>
        <w:spacing w:after="0"/>
        <w:jc w:val="both"/>
      </w:pPr>
    </w:p>
    <w:p w:rsidR="00E4614F" w:rsidRDefault="00E4614F" w:rsidP="009502D5">
      <w:pPr>
        <w:spacing w:after="0"/>
        <w:jc w:val="both"/>
        <w:rPr>
          <w:b/>
        </w:rPr>
      </w:pPr>
    </w:p>
    <w:p w:rsidR="008F1A20" w:rsidRDefault="00371A01" w:rsidP="009502D5">
      <w:pPr>
        <w:spacing w:after="0"/>
        <w:jc w:val="both"/>
        <w:rPr>
          <w:b/>
        </w:rPr>
      </w:pPr>
      <w:r>
        <w:rPr>
          <w:b/>
        </w:rPr>
        <w:t xml:space="preserve">REFERENCES </w:t>
      </w:r>
    </w:p>
    <w:p w:rsidR="003334A7" w:rsidRDefault="003334A7" w:rsidP="009502D5">
      <w:pPr>
        <w:spacing w:after="0"/>
        <w:jc w:val="both"/>
      </w:pPr>
    </w:p>
    <w:p w:rsidR="00B94748" w:rsidRDefault="008F1A20" w:rsidP="00061877">
      <w:pPr>
        <w:spacing w:after="0"/>
      </w:pPr>
      <w:proofErr w:type="gramStart"/>
      <w:r>
        <w:t>Australia</w:t>
      </w:r>
      <w:r w:rsidR="00061877">
        <w:t>n Association of Social Workers.</w:t>
      </w:r>
      <w:proofErr w:type="gramEnd"/>
      <w:r>
        <w:t xml:space="preserve"> </w:t>
      </w:r>
      <w:proofErr w:type="gramStart"/>
      <w:r>
        <w:t>(2011). Income Management Position Paper.</w:t>
      </w:r>
      <w:proofErr w:type="gramEnd"/>
      <w:r>
        <w:t xml:space="preserve"> </w:t>
      </w:r>
      <w:r w:rsidR="00371A01">
        <w:t>Canberra, ACT: Australian Association of Social Workers.</w:t>
      </w:r>
    </w:p>
    <w:p w:rsidR="0058315C" w:rsidRDefault="0058315C" w:rsidP="00061877">
      <w:pPr>
        <w:spacing w:after="0"/>
      </w:pPr>
    </w:p>
    <w:p w:rsidR="002935C7" w:rsidRPr="007A0EF7" w:rsidRDefault="002935C7" w:rsidP="00061877">
      <w:pPr>
        <w:spacing w:after="0"/>
      </w:pPr>
      <w:proofErr w:type="gramStart"/>
      <w:r>
        <w:t xml:space="preserve">Australian Council of Social </w:t>
      </w:r>
      <w:r w:rsidR="0058315C">
        <w:t>Services.</w:t>
      </w:r>
      <w:proofErr w:type="gramEnd"/>
      <w:r>
        <w:t xml:space="preserve"> (2013).</w:t>
      </w:r>
      <w:r w:rsidR="00B801FC">
        <w:t xml:space="preserve"> </w:t>
      </w:r>
      <w:r w:rsidR="00B801FC" w:rsidRPr="00371A01">
        <w:rPr>
          <w:i/>
        </w:rPr>
        <w:t>Poverty in Australia 2012 3</w:t>
      </w:r>
      <w:r w:rsidR="00B801FC" w:rsidRPr="00371A01">
        <w:rPr>
          <w:i/>
          <w:vertAlign w:val="superscript"/>
        </w:rPr>
        <w:t>rd</w:t>
      </w:r>
      <w:r w:rsidR="00B801FC" w:rsidRPr="00371A01">
        <w:rPr>
          <w:i/>
        </w:rPr>
        <w:t xml:space="preserve"> Ed</w:t>
      </w:r>
      <w:r w:rsidR="00B801FC">
        <w:t xml:space="preserve">. </w:t>
      </w:r>
      <w:r w:rsidR="00B801FC" w:rsidRPr="00B801FC">
        <w:t>Strawberry Hills, NSW</w:t>
      </w:r>
      <w:r w:rsidR="00B801FC">
        <w:t>: Australian Council of Social Services.</w:t>
      </w:r>
    </w:p>
    <w:p w:rsidR="0058315C" w:rsidRDefault="0058315C" w:rsidP="00061877">
      <w:pPr>
        <w:spacing w:after="0"/>
      </w:pPr>
    </w:p>
    <w:p w:rsidR="00371A01" w:rsidRPr="00371A01" w:rsidRDefault="00371A01" w:rsidP="00061877">
      <w:pPr>
        <w:spacing w:after="0"/>
        <w:rPr>
          <w:rFonts w:cs="Lucida Sans Unicode"/>
          <w:shd w:val="clear" w:color="auto" w:fill="FFFFFF"/>
        </w:rPr>
      </w:pPr>
      <w:proofErr w:type="gramStart"/>
      <w:r>
        <w:t>Australian Indigenous Doctors’ Association</w:t>
      </w:r>
      <w:r w:rsidR="0058315C">
        <w:t>.</w:t>
      </w:r>
      <w:proofErr w:type="gramEnd"/>
      <w:r>
        <w:t xml:space="preserve"> (2008</w:t>
      </w:r>
      <w:r w:rsidRPr="00371A01">
        <w:t>).</w:t>
      </w:r>
      <w:r w:rsidRPr="00371A01">
        <w:rPr>
          <w:rFonts w:cs="Lucida Sans Unicode"/>
          <w:shd w:val="clear" w:color="auto" w:fill="FFFFFF"/>
        </w:rPr>
        <w:t xml:space="preserve"> </w:t>
      </w:r>
      <w:r w:rsidRPr="00371A01">
        <w:rPr>
          <w:rFonts w:cs="Lucida Sans Unicode"/>
          <w:i/>
          <w:shd w:val="clear" w:color="auto" w:fill="FFFFFF"/>
        </w:rPr>
        <w:t>Submission to the Northern Territory Emergency Response Review Board.</w:t>
      </w:r>
      <w:r>
        <w:rPr>
          <w:rFonts w:cs="Lucida Sans Unicode"/>
          <w:shd w:val="clear" w:color="auto" w:fill="FFFFFF"/>
        </w:rPr>
        <w:t xml:space="preserve"> Parkes</w:t>
      </w:r>
      <w:r w:rsidRPr="00371A01">
        <w:rPr>
          <w:rFonts w:cs="Lucida Sans Unicode"/>
          <w:shd w:val="clear" w:color="auto" w:fill="FFFFFF"/>
        </w:rPr>
        <w:t>, ACT: Australian Indigenous Doctors’ Association.</w:t>
      </w:r>
    </w:p>
    <w:p w:rsidR="0058315C" w:rsidRDefault="0058315C" w:rsidP="00EA714C">
      <w:pPr>
        <w:spacing w:after="0"/>
      </w:pPr>
    </w:p>
    <w:p w:rsidR="0058315C" w:rsidRDefault="00FD31FD" w:rsidP="0058315C">
      <w:pPr>
        <w:spacing w:after="0"/>
        <w:rPr>
          <w:u w:val="single"/>
        </w:rPr>
      </w:pPr>
      <w:proofErr w:type="spellStart"/>
      <w:r w:rsidRPr="008F1A20">
        <w:t>Barassi</w:t>
      </w:r>
      <w:proofErr w:type="spellEnd"/>
      <w:r w:rsidRPr="008F1A20">
        <w:t>-Rubio, C. &amp; Crossing, B.</w:t>
      </w:r>
      <w:r w:rsidR="00EA714C">
        <w:t xml:space="preserve"> (2013)</w:t>
      </w:r>
      <w:r w:rsidRPr="008F1A20">
        <w:t xml:space="preserve"> </w:t>
      </w:r>
      <w:r w:rsidRPr="008F1A20">
        <w:rPr>
          <w:i/>
        </w:rPr>
        <w:t>Domestic Violence and Temporary Visa Holders: Barriers to safety.</w:t>
      </w:r>
      <w:r w:rsidR="00EA714C">
        <w:t xml:space="preserve"> </w:t>
      </w:r>
      <w:r w:rsidR="0058315C">
        <w:t xml:space="preserve">Sydney, NSW: Australian </w:t>
      </w:r>
      <w:r w:rsidR="00EA714C">
        <w:t xml:space="preserve">Domestic and Family Violence </w:t>
      </w:r>
      <w:r w:rsidR="0058315C">
        <w:t>Clearinghouse.</w:t>
      </w:r>
      <w:r w:rsidRPr="008F1A20">
        <w:rPr>
          <w:i/>
        </w:rPr>
        <w:t xml:space="preserve"> </w:t>
      </w:r>
      <w:r w:rsidRPr="008F1A20">
        <w:rPr>
          <w:i/>
        </w:rPr>
        <w:cr/>
      </w:r>
      <w:r w:rsidR="00EA714C" w:rsidRPr="007478EE">
        <w:rPr>
          <w:u w:val="single"/>
        </w:rPr>
        <w:t xml:space="preserve"> </w:t>
      </w:r>
    </w:p>
    <w:p w:rsidR="0058315C" w:rsidRPr="0058315C" w:rsidRDefault="00EA714C" w:rsidP="0058315C">
      <w:pPr>
        <w:spacing w:after="0"/>
        <w:rPr>
          <w:u w:val="single"/>
        </w:rPr>
      </w:pPr>
      <w:proofErr w:type="gramStart"/>
      <w:r>
        <w:rPr>
          <w:rFonts w:eastAsia="Times New Roman" w:cs="Times New Roman"/>
          <w:bCs/>
          <w:color w:val="000000"/>
          <w:lang w:eastAsia="en-AU"/>
        </w:rPr>
        <w:t>Barrier Breakers.</w:t>
      </w:r>
      <w:proofErr w:type="gramEnd"/>
      <w:r w:rsidR="003334A7">
        <w:rPr>
          <w:rFonts w:eastAsia="Times New Roman" w:cs="Times New Roman"/>
          <w:bCs/>
          <w:color w:val="000000"/>
          <w:lang w:eastAsia="en-AU"/>
        </w:rPr>
        <w:t xml:space="preserve"> (2014</w:t>
      </w:r>
      <w:r>
        <w:rPr>
          <w:rFonts w:eastAsia="Times New Roman" w:cs="Times New Roman"/>
          <w:bCs/>
          <w:color w:val="000000"/>
          <w:lang w:eastAsia="en-AU"/>
        </w:rPr>
        <w:t>, July 5</w:t>
      </w:r>
      <w:r w:rsidR="003334A7">
        <w:rPr>
          <w:rFonts w:eastAsia="Times New Roman" w:cs="Times New Roman"/>
          <w:bCs/>
          <w:color w:val="000000"/>
          <w:lang w:eastAsia="en-AU"/>
        </w:rPr>
        <w:t xml:space="preserve">). </w:t>
      </w:r>
      <w:r w:rsidR="003334A7" w:rsidRPr="00EA714C">
        <w:rPr>
          <w:rFonts w:eastAsia="Times New Roman" w:cs="Times New Roman"/>
          <w:bCs/>
          <w:color w:val="000000"/>
          <w:lang w:eastAsia="en-AU"/>
        </w:rPr>
        <w:t>Mentally ill people threatened with loss of disability support pension by Government report</w:t>
      </w:r>
      <w:r w:rsidR="003334A7" w:rsidRPr="003334A7">
        <w:rPr>
          <w:rFonts w:eastAsia="Times New Roman" w:cs="Times New Roman"/>
          <w:bCs/>
          <w:i/>
          <w:color w:val="000000"/>
          <w:lang w:eastAsia="en-AU"/>
        </w:rPr>
        <w:t>.</w:t>
      </w:r>
      <w:r w:rsidR="003334A7">
        <w:rPr>
          <w:rFonts w:eastAsia="Times New Roman" w:cs="Times New Roman"/>
          <w:bCs/>
          <w:i/>
          <w:color w:val="000000"/>
          <w:lang w:eastAsia="en-AU"/>
        </w:rPr>
        <w:t xml:space="preserve"> </w:t>
      </w:r>
      <w:r w:rsidR="003334A7" w:rsidRPr="003334A7">
        <w:rPr>
          <w:rFonts w:eastAsia="Times New Roman" w:cs="Times New Roman"/>
          <w:bCs/>
          <w:color w:val="000000"/>
          <w:lang w:eastAsia="en-AU"/>
        </w:rPr>
        <w:t>Retrieved from</w:t>
      </w:r>
      <w:r w:rsidR="003334A7" w:rsidRPr="003334A7">
        <w:rPr>
          <w:rFonts w:eastAsia="Times New Roman" w:cs="Times New Roman"/>
          <w:bCs/>
          <w:i/>
          <w:lang w:eastAsia="en-AU"/>
        </w:rPr>
        <w:t xml:space="preserve"> </w:t>
      </w:r>
      <w:hyperlink r:id="rId9" w:history="1">
        <w:r w:rsidR="003334A7" w:rsidRPr="003334A7">
          <w:rPr>
            <w:rStyle w:val="Hyperlink"/>
            <w:color w:val="auto"/>
          </w:rPr>
          <w:t>http://www.barrierbreakers.org.au/</w:t>
        </w:r>
      </w:hyperlink>
    </w:p>
    <w:p w:rsidR="0058315C" w:rsidRDefault="0058315C" w:rsidP="0058315C">
      <w:pPr>
        <w:shd w:val="clear" w:color="auto" w:fill="FFFFFF"/>
        <w:spacing w:after="0"/>
        <w:textAlignment w:val="baseline"/>
        <w:outlineLvl w:val="1"/>
      </w:pPr>
    </w:p>
    <w:p w:rsidR="003E2C4E" w:rsidRDefault="00005236" w:rsidP="0058315C">
      <w:pPr>
        <w:shd w:val="clear" w:color="auto" w:fill="FFFFFF"/>
        <w:spacing w:after="0"/>
        <w:textAlignment w:val="baseline"/>
        <w:outlineLvl w:val="1"/>
      </w:pPr>
      <w:r>
        <w:t>Cox, E. (</w:t>
      </w:r>
      <w:r w:rsidR="00061877">
        <w:t>2014, March 27</w:t>
      </w:r>
      <w:r>
        <w:t>)</w:t>
      </w:r>
      <w:r w:rsidR="00B801FC">
        <w:t>. Creeping spread of income management must be challenged</w:t>
      </w:r>
      <w:r w:rsidR="00061877">
        <w:t xml:space="preserve"> [web blog post]</w:t>
      </w:r>
      <w:r w:rsidR="00B801FC">
        <w:t xml:space="preserve">. Retrieved from </w:t>
      </w:r>
      <w:hyperlink r:id="rId10" w:history="1">
        <w:r w:rsidR="003E2C4E" w:rsidRPr="003E2C4E">
          <w:rPr>
            <w:rStyle w:val="Hyperlink"/>
            <w:color w:val="auto"/>
          </w:rPr>
          <w:t>http://theconversation.com/creeping-spread-of-income-management-must-be-challenged-24560</w:t>
        </w:r>
      </w:hyperlink>
    </w:p>
    <w:p w:rsidR="0058315C" w:rsidRDefault="0058315C" w:rsidP="0058315C">
      <w:pPr>
        <w:spacing w:after="0"/>
      </w:pPr>
    </w:p>
    <w:p w:rsidR="00FD31FD" w:rsidRDefault="00FD31FD" w:rsidP="0058315C">
      <w:pPr>
        <w:spacing w:after="0"/>
      </w:pPr>
      <w:proofErr w:type="gramStart"/>
      <w:r w:rsidRPr="008F1A20">
        <w:t>Dee, M</w:t>
      </w:r>
      <w:r w:rsidR="00EA714C">
        <w:t>.</w:t>
      </w:r>
      <w:r w:rsidRPr="008F1A20">
        <w:t xml:space="preserve"> (2013).</w:t>
      </w:r>
      <w:proofErr w:type="gramEnd"/>
      <w:r w:rsidRPr="008F1A20">
        <w:t xml:space="preserve"> </w:t>
      </w:r>
      <w:proofErr w:type="gramStart"/>
      <w:r w:rsidRPr="00EA714C">
        <w:rPr>
          <w:i/>
        </w:rPr>
        <w:t>Welfare Surveillance, Income Management and New Paternalism in Australia</w:t>
      </w:r>
      <w:r w:rsidRPr="008F1A20">
        <w:t>.</w:t>
      </w:r>
      <w:proofErr w:type="gramEnd"/>
      <w:r w:rsidRPr="008F1A20">
        <w:t xml:space="preserve"> Surveillance &amp; Society 11 (3</w:t>
      </w:r>
      <w:r w:rsidR="003E2C4E" w:rsidRPr="008F1A20">
        <w:t>):</w:t>
      </w:r>
      <w:r w:rsidRPr="008F1A20">
        <w:t xml:space="preserve"> 272-</w:t>
      </w:r>
      <w:r w:rsidR="003E2C4E" w:rsidRPr="008F1A20">
        <w:t>286 Retrieved</w:t>
      </w:r>
      <w:r w:rsidRPr="008F1A20">
        <w:t xml:space="preserve"> from </w:t>
      </w:r>
      <w:hyperlink r:id="rId11" w:history="1">
        <w:r w:rsidRPr="003E2C4E">
          <w:rPr>
            <w:rStyle w:val="Hyperlink"/>
            <w:color w:val="auto"/>
          </w:rPr>
          <w:t>http://library.queensu.ca/ojs/index.php/surveillance-and-society/article/view/welfare_aus/welfare_aus</w:t>
        </w:r>
      </w:hyperlink>
    </w:p>
    <w:p w:rsidR="003E2C4E" w:rsidRDefault="003E2C4E" w:rsidP="00061877">
      <w:pPr>
        <w:spacing w:after="0"/>
      </w:pPr>
    </w:p>
    <w:p w:rsidR="004C4824" w:rsidRDefault="004C4824" w:rsidP="00061877">
      <w:pPr>
        <w:spacing w:after="0"/>
      </w:pPr>
      <w:r w:rsidRPr="008F1A20">
        <w:t>Monash University, (2013</w:t>
      </w:r>
      <w:r w:rsidR="00EA714C">
        <w:t>, July 29</w:t>
      </w:r>
      <w:r w:rsidRPr="008F1A20">
        <w:t xml:space="preserve">). </w:t>
      </w:r>
      <w:r w:rsidRPr="00EA714C">
        <w:t>Income Management an expensive, radical experiment</w:t>
      </w:r>
      <w:r w:rsidR="008F1A20" w:rsidRPr="00EA714C">
        <w:t>.</w:t>
      </w:r>
      <w:r w:rsidR="008F1A20">
        <w:t xml:space="preserve"> Retrieved </w:t>
      </w:r>
      <w:r w:rsidRPr="008F1A20">
        <w:t xml:space="preserve">from </w:t>
      </w:r>
      <w:hyperlink r:id="rId12" w:history="1">
        <w:r w:rsidRPr="008F1A20">
          <w:rPr>
            <w:rStyle w:val="Hyperlink"/>
            <w:color w:val="auto"/>
          </w:rPr>
          <w:t>http://monash.edu/news/show/income-management-an-expensive-radical-experiment</w:t>
        </w:r>
      </w:hyperlink>
    </w:p>
    <w:p w:rsidR="008F1A20" w:rsidRDefault="008F1A20" w:rsidP="00061877">
      <w:pPr>
        <w:spacing w:after="0"/>
      </w:pPr>
    </w:p>
    <w:p w:rsidR="00FD31FD" w:rsidRDefault="00FD31FD" w:rsidP="00061877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National Welfare Rights Network, (2014). </w:t>
      </w:r>
      <w:r w:rsidRPr="00FD31FD">
        <w:rPr>
          <w:rFonts w:cs="Arial"/>
          <w:i/>
          <w:shd w:val="clear" w:color="auto" w:fill="FFFFFF"/>
        </w:rPr>
        <w:t>State of Play: Income Management in 2014</w:t>
      </w:r>
      <w:r>
        <w:rPr>
          <w:rFonts w:cs="Arial"/>
          <w:shd w:val="clear" w:color="auto" w:fill="FFFFFF"/>
        </w:rPr>
        <w:t xml:space="preserve">. </w:t>
      </w:r>
      <w:r w:rsidRPr="00FD31FD">
        <w:rPr>
          <w:rFonts w:cs="Arial"/>
          <w:shd w:val="clear" w:color="auto" w:fill="FFFFFF"/>
        </w:rPr>
        <w:t>Surry Hills</w:t>
      </w:r>
      <w:r>
        <w:rPr>
          <w:rFonts w:cs="Arial"/>
          <w:shd w:val="clear" w:color="auto" w:fill="FFFFFF"/>
        </w:rPr>
        <w:t>,</w:t>
      </w:r>
      <w:r w:rsidRPr="00FD31FD">
        <w:rPr>
          <w:rFonts w:cs="Arial"/>
          <w:shd w:val="clear" w:color="auto" w:fill="FFFFFF"/>
        </w:rPr>
        <w:t xml:space="preserve"> NSW</w:t>
      </w:r>
      <w:r>
        <w:rPr>
          <w:rFonts w:cs="Arial"/>
          <w:shd w:val="clear" w:color="auto" w:fill="FFFFFF"/>
        </w:rPr>
        <w:t>: National Welfare Rights Network.</w:t>
      </w:r>
    </w:p>
    <w:p w:rsidR="00FD31FD" w:rsidRDefault="00FD31FD" w:rsidP="00061877">
      <w:pPr>
        <w:spacing w:after="0"/>
        <w:rPr>
          <w:rFonts w:cs="Arial"/>
          <w:shd w:val="clear" w:color="auto" w:fill="FFFFFF"/>
        </w:rPr>
      </w:pPr>
    </w:p>
    <w:p w:rsidR="00FD31FD" w:rsidRDefault="003E2C4E" w:rsidP="00061877">
      <w:pPr>
        <w:spacing w:after="0"/>
      </w:pPr>
      <w:r w:rsidRPr="00FD31FD">
        <w:rPr>
          <w:rFonts w:cs="Arial"/>
          <w:shd w:val="clear" w:color="auto" w:fill="FFFFFF"/>
        </w:rPr>
        <w:t>O’Halloran,</w:t>
      </w:r>
      <w:r w:rsidR="00FD31FD" w:rsidRPr="00FD31FD">
        <w:rPr>
          <w:rFonts w:cs="Arial"/>
          <w:shd w:val="clear" w:color="auto" w:fill="FFFFFF"/>
        </w:rPr>
        <w:t xml:space="preserve"> M. (2014</w:t>
      </w:r>
      <w:r w:rsidR="00EA714C">
        <w:rPr>
          <w:rFonts w:cs="Arial"/>
          <w:shd w:val="clear" w:color="auto" w:fill="FFFFFF"/>
        </w:rPr>
        <w:t>, June 30</w:t>
      </w:r>
      <w:r w:rsidR="00FD31FD" w:rsidRPr="00FD31FD">
        <w:rPr>
          <w:rFonts w:cs="Arial"/>
          <w:shd w:val="clear" w:color="auto" w:fill="FFFFFF"/>
        </w:rPr>
        <w:t>)</w:t>
      </w:r>
      <w:r w:rsidR="00EA714C">
        <w:rPr>
          <w:rFonts w:cs="Arial"/>
          <w:shd w:val="clear" w:color="auto" w:fill="FFFFFF"/>
        </w:rPr>
        <w:t>.</w:t>
      </w:r>
      <w:r w:rsidR="00FD31FD" w:rsidRPr="00FD31FD">
        <w:rPr>
          <w:rFonts w:cs="Arial"/>
          <w:i/>
          <w:shd w:val="clear" w:color="auto" w:fill="FFFFFF"/>
        </w:rPr>
        <w:t xml:space="preserve"> </w:t>
      </w:r>
      <w:r w:rsidR="00FD31FD" w:rsidRPr="00EA714C">
        <w:rPr>
          <w:rFonts w:cs="Arial"/>
          <w:shd w:val="clear" w:color="auto" w:fill="FFFFFF"/>
        </w:rPr>
        <w:t>Dear Tony Abbott: Hurting the most vulnerable is not welfare reform, but cruelty</w:t>
      </w:r>
      <w:r w:rsidR="00EA714C">
        <w:rPr>
          <w:rFonts w:cs="Arial"/>
          <w:i/>
          <w:shd w:val="clear" w:color="auto" w:fill="FFFFFF"/>
        </w:rPr>
        <w:t xml:space="preserve"> </w:t>
      </w:r>
      <w:r w:rsidR="00EA714C" w:rsidRPr="00EA714C">
        <w:rPr>
          <w:rFonts w:cs="Arial"/>
          <w:shd w:val="clear" w:color="auto" w:fill="FFFFFF"/>
        </w:rPr>
        <w:t>[web blog post].</w:t>
      </w:r>
      <w:r w:rsidR="00EA714C">
        <w:rPr>
          <w:rFonts w:cs="Arial"/>
          <w:bdr w:val="none" w:sz="0" w:space="0" w:color="auto" w:frame="1"/>
        </w:rPr>
        <w:t xml:space="preserve"> </w:t>
      </w:r>
      <w:r w:rsidR="00FD31FD" w:rsidRPr="00FD31FD">
        <w:rPr>
          <w:rFonts w:cs="Arial"/>
          <w:bdr w:val="none" w:sz="0" w:space="0" w:color="auto" w:frame="1"/>
        </w:rPr>
        <w:t xml:space="preserve">Retrieved from </w:t>
      </w:r>
      <w:r w:rsidR="00FD31FD" w:rsidRPr="00FD31FD">
        <w:rPr>
          <w:rFonts w:cs="Arial"/>
          <w:u w:val="single"/>
          <w:bdr w:val="none" w:sz="0" w:space="0" w:color="auto" w:frame="1"/>
        </w:rPr>
        <w:t>http://www.smh.com.au/comment/dear-tony-abbott-hurting-the-most-vulnerable-is-not-welfare-reform-but-cruelty-20140630-zsr8m.html#ixzz39hboEL6a</w:t>
      </w:r>
      <w:r w:rsidR="00FD31FD" w:rsidRPr="00FD31FD">
        <w:rPr>
          <w:rFonts w:cs="Arial"/>
          <w:bdr w:val="none" w:sz="0" w:space="0" w:color="auto" w:frame="1"/>
        </w:rPr>
        <w:br/>
      </w:r>
    </w:p>
    <w:p w:rsidR="00485CD5" w:rsidRPr="00FD31FD" w:rsidRDefault="00485CD5" w:rsidP="00061877">
      <w:pPr>
        <w:spacing w:after="0"/>
      </w:pPr>
    </w:p>
    <w:sectPr w:rsidR="00485CD5" w:rsidRPr="00FD31FD" w:rsidSect="00E4614F">
      <w:footerReference w:type="default" r:id="rId13"/>
      <w:pgSz w:w="11906" w:h="16838"/>
      <w:pgMar w:top="993" w:right="1274" w:bottom="993" w:left="1276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A7" w:rsidRDefault="003334A7" w:rsidP="004778A2">
      <w:pPr>
        <w:spacing w:after="0" w:line="240" w:lineRule="auto"/>
      </w:pPr>
      <w:r>
        <w:separator/>
      </w:r>
    </w:p>
  </w:endnote>
  <w:endnote w:type="continuationSeparator" w:id="0">
    <w:p w:rsidR="003334A7" w:rsidRDefault="003334A7" w:rsidP="0047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63648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34A7" w:rsidRPr="004778A2" w:rsidRDefault="003334A7" w:rsidP="004778A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</w:p>
      <w:p w:rsidR="003334A7" w:rsidRPr="004778A2" w:rsidRDefault="003334A7" w:rsidP="004778A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Welfare R</w:t>
        </w:r>
        <w:r w:rsidRPr="004778A2">
          <w:rPr>
            <w:sz w:val="20"/>
            <w:szCs w:val="20"/>
          </w:rPr>
          <w:t xml:space="preserve">eview Submission – Carla de Simone              </w:t>
        </w:r>
        <w:r>
          <w:rPr>
            <w:sz w:val="20"/>
            <w:szCs w:val="20"/>
          </w:rPr>
          <w:t xml:space="preserve">                            </w:t>
        </w:r>
        <w:r w:rsidRPr="004778A2">
          <w:rPr>
            <w:sz w:val="20"/>
            <w:szCs w:val="20"/>
          </w:rPr>
          <w:t xml:space="preserve">         </w:t>
        </w:r>
        <w:r>
          <w:rPr>
            <w:sz w:val="20"/>
            <w:szCs w:val="20"/>
          </w:rPr>
          <w:t xml:space="preserve">     </w:t>
        </w:r>
        <w:r w:rsidR="0051652C" w:rsidRPr="004778A2">
          <w:rPr>
            <w:sz w:val="20"/>
            <w:szCs w:val="20"/>
          </w:rPr>
          <w:fldChar w:fldCharType="begin"/>
        </w:r>
        <w:r w:rsidRPr="004778A2">
          <w:rPr>
            <w:sz w:val="20"/>
            <w:szCs w:val="20"/>
          </w:rPr>
          <w:instrText xml:space="preserve"> PAGE   \* MERGEFORMAT </w:instrText>
        </w:r>
        <w:r w:rsidR="0051652C" w:rsidRPr="004778A2">
          <w:rPr>
            <w:sz w:val="20"/>
            <w:szCs w:val="20"/>
          </w:rPr>
          <w:fldChar w:fldCharType="separate"/>
        </w:r>
        <w:r w:rsidR="007077AA">
          <w:rPr>
            <w:noProof/>
            <w:sz w:val="20"/>
            <w:szCs w:val="20"/>
          </w:rPr>
          <w:t>1</w:t>
        </w:r>
        <w:r w:rsidR="0051652C" w:rsidRPr="004778A2">
          <w:rPr>
            <w:sz w:val="20"/>
            <w:szCs w:val="20"/>
          </w:rPr>
          <w:fldChar w:fldCharType="end"/>
        </w:r>
        <w:r w:rsidRPr="004778A2">
          <w:rPr>
            <w:sz w:val="20"/>
            <w:szCs w:val="20"/>
          </w:rPr>
          <w:t xml:space="preserve"> | </w:t>
        </w:r>
        <w:r w:rsidRPr="004778A2">
          <w:rPr>
            <w:spacing w:val="60"/>
            <w:sz w:val="20"/>
            <w:szCs w:val="20"/>
          </w:rPr>
          <w:t>Page</w:t>
        </w:r>
      </w:p>
    </w:sdtContent>
  </w:sdt>
  <w:p w:rsidR="003334A7" w:rsidRPr="004778A2" w:rsidRDefault="003334A7" w:rsidP="004778A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A7" w:rsidRDefault="003334A7" w:rsidP="004778A2">
      <w:pPr>
        <w:spacing w:after="0" w:line="240" w:lineRule="auto"/>
      </w:pPr>
      <w:r>
        <w:separator/>
      </w:r>
    </w:p>
  </w:footnote>
  <w:footnote w:type="continuationSeparator" w:id="0">
    <w:p w:rsidR="003334A7" w:rsidRDefault="003334A7" w:rsidP="00477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F31F6"/>
    <w:multiLevelType w:val="hybridMultilevel"/>
    <w:tmpl w:val="C002A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759A1"/>
    <w:multiLevelType w:val="hybridMultilevel"/>
    <w:tmpl w:val="7FFC4C26"/>
    <w:lvl w:ilvl="0" w:tplc="4814B3AC">
      <w:numFmt w:val="bullet"/>
      <w:lvlText w:val="-"/>
      <w:lvlJc w:val="left"/>
      <w:pPr>
        <w:ind w:left="39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>
    <w:nsid w:val="73EA2DD2"/>
    <w:multiLevelType w:val="hybridMultilevel"/>
    <w:tmpl w:val="CC404ED0"/>
    <w:lvl w:ilvl="0" w:tplc="0C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1CB"/>
    <w:rsid w:val="00005236"/>
    <w:rsid w:val="00061361"/>
    <w:rsid w:val="00061877"/>
    <w:rsid w:val="000D244B"/>
    <w:rsid w:val="000F694F"/>
    <w:rsid w:val="001128CB"/>
    <w:rsid w:val="00154B1E"/>
    <w:rsid w:val="00284BC5"/>
    <w:rsid w:val="002935C7"/>
    <w:rsid w:val="002C3B87"/>
    <w:rsid w:val="00305651"/>
    <w:rsid w:val="0031129A"/>
    <w:rsid w:val="003145AF"/>
    <w:rsid w:val="003334A7"/>
    <w:rsid w:val="00371A01"/>
    <w:rsid w:val="003772CB"/>
    <w:rsid w:val="003E16D1"/>
    <w:rsid w:val="003E2C4E"/>
    <w:rsid w:val="003F6B6C"/>
    <w:rsid w:val="00423D2E"/>
    <w:rsid w:val="0046778E"/>
    <w:rsid w:val="004778A2"/>
    <w:rsid w:val="00485CD5"/>
    <w:rsid w:val="004C4824"/>
    <w:rsid w:val="004F6D77"/>
    <w:rsid w:val="005059D4"/>
    <w:rsid w:val="0051652C"/>
    <w:rsid w:val="0053174C"/>
    <w:rsid w:val="0058315C"/>
    <w:rsid w:val="0061630B"/>
    <w:rsid w:val="00687932"/>
    <w:rsid w:val="00697329"/>
    <w:rsid w:val="006D5D29"/>
    <w:rsid w:val="006F63F4"/>
    <w:rsid w:val="007077AA"/>
    <w:rsid w:val="00737BD9"/>
    <w:rsid w:val="007478EE"/>
    <w:rsid w:val="00795AE6"/>
    <w:rsid w:val="007A0EF7"/>
    <w:rsid w:val="007C5C7A"/>
    <w:rsid w:val="007F7216"/>
    <w:rsid w:val="0082469B"/>
    <w:rsid w:val="00844692"/>
    <w:rsid w:val="0087530E"/>
    <w:rsid w:val="008B149B"/>
    <w:rsid w:val="008D0ACF"/>
    <w:rsid w:val="008F1A20"/>
    <w:rsid w:val="009026C5"/>
    <w:rsid w:val="009502D5"/>
    <w:rsid w:val="009B421F"/>
    <w:rsid w:val="009C7AD5"/>
    <w:rsid w:val="009F2FA9"/>
    <w:rsid w:val="00A02ABA"/>
    <w:rsid w:val="00A26B8E"/>
    <w:rsid w:val="00AC2932"/>
    <w:rsid w:val="00B40EF2"/>
    <w:rsid w:val="00B43293"/>
    <w:rsid w:val="00B801FC"/>
    <w:rsid w:val="00B93DD4"/>
    <w:rsid w:val="00B94748"/>
    <w:rsid w:val="00C16EF9"/>
    <w:rsid w:val="00C41468"/>
    <w:rsid w:val="00CC72AB"/>
    <w:rsid w:val="00D35BA3"/>
    <w:rsid w:val="00D831CB"/>
    <w:rsid w:val="00DF254A"/>
    <w:rsid w:val="00E4614F"/>
    <w:rsid w:val="00E71C62"/>
    <w:rsid w:val="00E973AE"/>
    <w:rsid w:val="00EA714C"/>
    <w:rsid w:val="00EB409C"/>
    <w:rsid w:val="00EC0A06"/>
    <w:rsid w:val="00EE6C9B"/>
    <w:rsid w:val="00F61345"/>
    <w:rsid w:val="00FD31FD"/>
    <w:rsid w:val="00F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EC0A06"/>
  </w:style>
  <w:style w:type="paragraph" w:styleId="Heading1">
    <w:name w:val="heading 1"/>
    <w:basedOn w:val="Normal"/>
    <w:next w:val="Normal"/>
    <w:link w:val="Heading1Char"/>
    <w:uiPriority w:val="9"/>
    <w:qFormat/>
    <w:rsid w:val="004C4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94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74C"/>
    <w:rPr>
      <w:color w:val="5F5F5F" w:themeColor="hyperlink"/>
      <w:u w:val="single"/>
    </w:rPr>
  </w:style>
  <w:style w:type="character" w:customStyle="1" w:styleId="apple-converted-space">
    <w:name w:val="apple-converted-space"/>
    <w:basedOn w:val="DefaultParagraphFont"/>
    <w:rsid w:val="000D244B"/>
  </w:style>
  <w:style w:type="paragraph" w:styleId="ListParagraph">
    <w:name w:val="List Paragraph"/>
    <w:basedOn w:val="Normal"/>
    <w:uiPriority w:val="34"/>
    <w:qFormat/>
    <w:rsid w:val="00795A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5AE6"/>
    <w:rPr>
      <w:color w:val="919191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2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2469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9474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C482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77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8A2"/>
  </w:style>
  <w:style w:type="paragraph" w:styleId="Footer">
    <w:name w:val="footer"/>
    <w:basedOn w:val="Normal"/>
    <w:link w:val="FooterChar"/>
    <w:uiPriority w:val="99"/>
    <w:unhideWhenUsed/>
    <w:rsid w:val="00477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A2"/>
  </w:style>
  <w:style w:type="paragraph" w:styleId="BalloonText">
    <w:name w:val="Balloon Text"/>
    <w:basedOn w:val="Normal"/>
    <w:link w:val="BalloonTextChar"/>
    <w:uiPriority w:val="99"/>
    <w:semiHidden/>
    <w:unhideWhenUsed/>
    <w:rsid w:val="0047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A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unhideWhenUsed/>
    <w:rsid w:val="007C5C7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nash.edu/news/show/income-management-an-expensive-radical-experi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queensu.ca/ojs/index.php/surveillance-and-society/article/view/welfare_aus/welfare_a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heconversation.com/creeping-spread-of-income-management-must-be-challenged-245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rrierbreakers.org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1946B7-64FE-4D17-B3FC-C36904DF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de simone</dc:creator>
  <cp:lastModifiedBy>JOYCE, Peta</cp:lastModifiedBy>
  <cp:revision>2</cp:revision>
  <dcterms:created xsi:type="dcterms:W3CDTF">2014-08-19T01:41:00Z</dcterms:created>
  <dcterms:modified xsi:type="dcterms:W3CDTF">2014-08-19T01:41:00Z</dcterms:modified>
</cp:coreProperties>
</file>