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66" w:rsidRPr="00E02003" w:rsidRDefault="00180DF0" w:rsidP="00696F74">
      <w:pPr>
        <w:rPr>
          <w:rFonts w:ascii="Arial" w:hAnsi="Arial" w:cs="Arial"/>
          <w:sz w:val="24"/>
          <w:szCs w:val="24"/>
        </w:rPr>
      </w:pPr>
      <w:bookmarkStart w:id="0" w:name="_GoBack"/>
      <w:bookmarkEnd w:id="0"/>
      <w:r>
        <w:rPr>
          <w:rFonts w:ascii="Arial" w:hAnsi="Arial" w:cs="Arial"/>
          <w:sz w:val="24"/>
          <w:szCs w:val="24"/>
        </w:rPr>
        <w:t>8</w:t>
      </w:r>
      <w:r w:rsidR="009B2C66" w:rsidRPr="00E02003">
        <w:rPr>
          <w:rFonts w:ascii="Arial" w:hAnsi="Arial" w:cs="Arial"/>
          <w:sz w:val="24"/>
          <w:szCs w:val="24"/>
        </w:rPr>
        <w:t xml:space="preserve"> August 2014</w:t>
      </w:r>
    </w:p>
    <w:p w:rsidR="009B2C66" w:rsidRDefault="009B2C66" w:rsidP="00696F74">
      <w:pPr>
        <w:rPr>
          <w:rFonts w:ascii="Arial" w:hAnsi="Arial" w:cs="Arial"/>
          <w:sz w:val="24"/>
          <w:szCs w:val="24"/>
        </w:rPr>
      </w:pPr>
      <w:r w:rsidRPr="00E02003">
        <w:rPr>
          <w:rFonts w:ascii="Arial" w:hAnsi="Arial" w:cs="Arial"/>
          <w:sz w:val="24"/>
          <w:szCs w:val="24"/>
        </w:rPr>
        <w:t>Welfare Review</w:t>
      </w:r>
      <w:r w:rsidRPr="00E02003">
        <w:rPr>
          <w:rFonts w:ascii="Arial" w:hAnsi="Arial" w:cs="Arial"/>
          <w:sz w:val="24"/>
          <w:szCs w:val="24"/>
        </w:rPr>
        <w:br/>
        <w:t>C/- Welfare System Taskforce</w:t>
      </w:r>
      <w:r w:rsidRPr="00E02003">
        <w:rPr>
          <w:rFonts w:ascii="Arial" w:hAnsi="Arial" w:cs="Arial"/>
          <w:sz w:val="24"/>
          <w:szCs w:val="24"/>
        </w:rPr>
        <w:br/>
        <w:t>Department of Social Services</w:t>
      </w:r>
      <w:r w:rsidRPr="00E02003">
        <w:rPr>
          <w:rFonts w:ascii="Arial" w:hAnsi="Arial" w:cs="Arial"/>
          <w:sz w:val="24"/>
          <w:szCs w:val="24"/>
        </w:rPr>
        <w:br/>
        <w:t>PO Box 7576</w:t>
      </w:r>
      <w:r w:rsidRPr="00E02003">
        <w:rPr>
          <w:rFonts w:ascii="Arial" w:hAnsi="Arial" w:cs="Arial"/>
          <w:sz w:val="24"/>
          <w:szCs w:val="24"/>
        </w:rPr>
        <w:br/>
        <w:t xml:space="preserve">Canberra Business Centre ACT 2610 </w:t>
      </w:r>
    </w:p>
    <w:p w:rsidR="009B2C66" w:rsidRPr="00E02003" w:rsidRDefault="009B2C66" w:rsidP="00696F74">
      <w:pPr>
        <w:rPr>
          <w:rFonts w:ascii="Arial" w:hAnsi="Arial" w:cs="Arial"/>
          <w:sz w:val="24"/>
          <w:szCs w:val="24"/>
        </w:rPr>
      </w:pPr>
      <w:r w:rsidRPr="00E02003">
        <w:rPr>
          <w:rFonts w:ascii="Arial" w:hAnsi="Arial" w:cs="Arial"/>
          <w:sz w:val="24"/>
          <w:szCs w:val="24"/>
        </w:rPr>
        <w:t xml:space="preserve">By email: </w:t>
      </w:r>
      <w:hyperlink r:id="rId9" w:history="1">
        <w:r w:rsidR="00D22B54" w:rsidRPr="00E02003">
          <w:rPr>
            <w:rStyle w:val="Hyperlink"/>
            <w:rFonts w:ascii="Arial" w:hAnsi="Arial" w:cs="Arial"/>
            <w:sz w:val="24"/>
            <w:szCs w:val="24"/>
          </w:rPr>
          <w:t>welfarereview@dss.gov.au</w:t>
        </w:r>
      </w:hyperlink>
    </w:p>
    <w:p w:rsidR="009B2C66" w:rsidRPr="00E02003" w:rsidRDefault="009B2C66" w:rsidP="009F4ACB">
      <w:pPr>
        <w:jc w:val="center"/>
        <w:rPr>
          <w:rFonts w:ascii="Arial" w:hAnsi="Arial" w:cs="Arial"/>
          <w:b/>
          <w:sz w:val="24"/>
          <w:szCs w:val="24"/>
        </w:rPr>
      </w:pPr>
      <w:r w:rsidRPr="00E02003">
        <w:rPr>
          <w:rFonts w:ascii="Arial" w:hAnsi="Arial" w:cs="Arial"/>
          <w:b/>
          <w:sz w:val="24"/>
          <w:szCs w:val="24"/>
        </w:rPr>
        <w:t>Re: A New System for Better Employment and Social Outcomes – Interim Report of the Reference Group on Welfare Reform to the Minister for Social Services</w:t>
      </w:r>
    </w:p>
    <w:p w:rsidR="000E6D23" w:rsidRPr="00E02003" w:rsidRDefault="000E6D23" w:rsidP="00E02003">
      <w:pPr>
        <w:jc w:val="both"/>
        <w:rPr>
          <w:rFonts w:ascii="Arial" w:hAnsi="Arial" w:cs="Arial"/>
          <w:sz w:val="24"/>
          <w:szCs w:val="24"/>
        </w:rPr>
      </w:pPr>
      <w:r w:rsidRPr="00E02003">
        <w:rPr>
          <w:rFonts w:ascii="Arial" w:hAnsi="Arial" w:cs="Arial"/>
          <w:sz w:val="24"/>
          <w:szCs w:val="24"/>
        </w:rPr>
        <w:t>I make this submission as a</w:t>
      </w:r>
      <w:r w:rsidR="008C0DC6">
        <w:rPr>
          <w:rFonts w:ascii="Arial" w:hAnsi="Arial" w:cs="Arial"/>
          <w:sz w:val="24"/>
          <w:szCs w:val="24"/>
        </w:rPr>
        <w:t>n</w:t>
      </w:r>
      <w:r w:rsidRPr="00E02003">
        <w:rPr>
          <w:rFonts w:ascii="Arial" w:hAnsi="Arial" w:cs="Arial"/>
          <w:sz w:val="24"/>
          <w:szCs w:val="24"/>
        </w:rPr>
        <w:t xml:space="preserve"> academic with a disciplinary background in law whose research and teaching focuses on issues of public policy, social justice, human rights and Indigenous peoples. </w:t>
      </w:r>
    </w:p>
    <w:p w:rsidR="00BA77FD" w:rsidRPr="00E02003" w:rsidRDefault="000E6D23" w:rsidP="00E02003">
      <w:pPr>
        <w:jc w:val="both"/>
        <w:rPr>
          <w:rFonts w:ascii="Arial" w:hAnsi="Arial" w:cs="Arial"/>
          <w:sz w:val="24"/>
          <w:szCs w:val="24"/>
        </w:rPr>
      </w:pPr>
      <w:r w:rsidRPr="00E02003">
        <w:rPr>
          <w:rFonts w:ascii="Arial" w:hAnsi="Arial" w:cs="Arial"/>
          <w:sz w:val="24"/>
          <w:szCs w:val="24"/>
          <w:lang w:val="en-US"/>
        </w:rPr>
        <w:t xml:space="preserve">It </w:t>
      </w:r>
      <w:r w:rsidRPr="00E02003">
        <w:rPr>
          <w:rFonts w:ascii="Arial" w:hAnsi="Arial" w:cs="Arial"/>
          <w:sz w:val="24"/>
          <w:szCs w:val="24"/>
        </w:rPr>
        <w:t xml:space="preserve">is timely that the </w:t>
      </w:r>
      <w:r w:rsidR="00382FAD">
        <w:rPr>
          <w:rFonts w:ascii="Arial" w:hAnsi="Arial" w:cs="Arial"/>
          <w:sz w:val="24"/>
          <w:szCs w:val="24"/>
        </w:rPr>
        <w:t>Australian</w:t>
      </w:r>
      <w:r w:rsidR="00382FAD" w:rsidRPr="00E02003">
        <w:rPr>
          <w:rFonts w:ascii="Arial" w:hAnsi="Arial" w:cs="Arial"/>
          <w:sz w:val="24"/>
          <w:szCs w:val="24"/>
        </w:rPr>
        <w:t xml:space="preserve"> </w:t>
      </w:r>
      <w:r w:rsidRPr="00E02003">
        <w:rPr>
          <w:rFonts w:ascii="Arial" w:hAnsi="Arial" w:cs="Arial"/>
          <w:sz w:val="24"/>
          <w:szCs w:val="24"/>
        </w:rPr>
        <w:t>government gives consideration to the important issues raised in the McClure report.</w:t>
      </w:r>
      <w:r w:rsidR="00DA3D8E" w:rsidRPr="00E02003">
        <w:rPr>
          <w:rFonts w:ascii="Arial" w:hAnsi="Arial" w:cs="Arial"/>
          <w:sz w:val="24"/>
          <w:szCs w:val="24"/>
        </w:rPr>
        <w:t xml:space="preserve"> </w:t>
      </w:r>
      <w:r w:rsidR="00BA77FD" w:rsidRPr="00E02003">
        <w:rPr>
          <w:rFonts w:ascii="Arial" w:hAnsi="Arial" w:cs="Arial"/>
          <w:sz w:val="24"/>
          <w:szCs w:val="24"/>
        </w:rPr>
        <w:t>My submission will focus on the issue of income management. My concerns about income management have been raised in a number of publications to date,</w:t>
      </w:r>
      <w:r w:rsidR="00BA77FD" w:rsidRPr="00E02003">
        <w:rPr>
          <w:rStyle w:val="FootnoteReference"/>
          <w:rFonts w:ascii="Arial" w:hAnsi="Arial" w:cs="Arial"/>
          <w:sz w:val="24"/>
          <w:szCs w:val="24"/>
        </w:rPr>
        <w:footnoteReference w:id="1"/>
      </w:r>
      <w:r w:rsidR="00BA77FD" w:rsidRPr="00E02003">
        <w:rPr>
          <w:rFonts w:ascii="Arial" w:hAnsi="Arial" w:cs="Arial"/>
          <w:sz w:val="24"/>
          <w:szCs w:val="24"/>
        </w:rPr>
        <w:t xml:space="preserve"> and more recently, at the Australian Institute of Family Studies conference in 2014.</w:t>
      </w:r>
      <w:r w:rsidR="00FA0F2D" w:rsidRPr="00E02003">
        <w:rPr>
          <w:rStyle w:val="FootnoteReference"/>
          <w:rFonts w:ascii="Arial" w:hAnsi="Arial" w:cs="Arial"/>
          <w:sz w:val="24"/>
          <w:szCs w:val="24"/>
        </w:rPr>
        <w:footnoteReference w:id="2"/>
      </w:r>
      <w:r w:rsidR="00BA77FD" w:rsidRPr="00E02003">
        <w:rPr>
          <w:rFonts w:ascii="Arial" w:hAnsi="Arial" w:cs="Arial"/>
          <w:sz w:val="24"/>
          <w:szCs w:val="24"/>
        </w:rPr>
        <w:t xml:space="preserve"> </w:t>
      </w:r>
    </w:p>
    <w:p w:rsidR="00DA5181" w:rsidRPr="00E02003" w:rsidRDefault="00DA5181" w:rsidP="00E02003">
      <w:pPr>
        <w:jc w:val="both"/>
        <w:rPr>
          <w:rFonts w:ascii="Arial" w:hAnsi="Arial" w:cs="Arial"/>
          <w:sz w:val="24"/>
          <w:szCs w:val="24"/>
        </w:rPr>
      </w:pPr>
      <w:r w:rsidRPr="00E02003">
        <w:rPr>
          <w:rFonts w:ascii="Arial" w:hAnsi="Arial" w:cs="Arial"/>
          <w:sz w:val="24"/>
          <w:szCs w:val="24"/>
        </w:rPr>
        <w:t>In this submission I will outline several problems with income management</w:t>
      </w:r>
      <w:r w:rsidR="0035708D" w:rsidRPr="00E02003">
        <w:rPr>
          <w:rFonts w:ascii="Arial" w:hAnsi="Arial" w:cs="Arial"/>
          <w:sz w:val="24"/>
          <w:szCs w:val="24"/>
        </w:rPr>
        <w:t xml:space="preserve"> and the direction outlined in the McClure Report</w:t>
      </w:r>
      <w:r w:rsidRPr="00E02003">
        <w:rPr>
          <w:rFonts w:ascii="Arial" w:hAnsi="Arial" w:cs="Arial"/>
          <w:sz w:val="24"/>
          <w:szCs w:val="24"/>
        </w:rPr>
        <w:t>.</w:t>
      </w:r>
      <w:r w:rsidR="0035708D" w:rsidRPr="00E02003">
        <w:rPr>
          <w:rStyle w:val="FootnoteReference"/>
          <w:rFonts w:ascii="Arial" w:hAnsi="Arial" w:cs="Arial"/>
          <w:sz w:val="24"/>
          <w:szCs w:val="24"/>
        </w:rPr>
        <w:footnoteReference w:id="3"/>
      </w:r>
      <w:r w:rsidRPr="00E02003">
        <w:rPr>
          <w:rFonts w:ascii="Arial" w:hAnsi="Arial" w:cs="Arial"/>
          <w:sz w:val="24"/>
          <w:szCs w:val="24"/>
        </w:rPr>
        <w:t xml:space="preserve"> These include:</w:t>
      </w:r>
    </w:p>
    <w:p w:rsidR="008358F2" w:rsidRDefault="00382FAD" w:rsidP="00E02003">
      <w:pPr>
        <w:pStyle w:val="ListParagraph"/>
        <w:numPr>
          <w:ilvl w:val="0"/>
          <w:numId w:val="7"/>
        </w:numPr>
        <w:jc w:val="both"/>
        <w:rPr>
          <w:rFonts w:ascii="Arial" w:hAnsi="Arial" w:cs="Arial"/>
          <w:sz w:val="24"/>
          <w:szCs w:val="24"/>
        </w:rPr>
      </w:pPr>
      <w:r w:rsidRPr="008358F2">
        <w:rPr>
          <w:rFonts w:ascii="Arial" w:hAnsi="Arial" w:cs="Arial"/>
          <w:sz w:val="24"/>
          <w:szCs w:val="24"/>
        </w:rPr>
        <w:t xml:space="preserve">A faulty </w:t>
      </w:r>
      <w:r>
        <w:rPr>
          <w:rFonts w:ascii="Arial" w:hAnsi="Arial" w:cs="Arial"/>
          <w:sz w:val="24"/>
          <w:szCs w:val="24"/>
        </w:rPr>
        <w:t xml:space="preserve">philosophical </w:t>
      </w:r>
      <w:r w:rsidRPr="008358F2">
        <w:rPr>
          <w:rFonts w:ascii="Arial" w:hAnsi="Arial" w:cs="Arial"/>
          <w:sz w:val="24"/>
          <w:szCs w:val="24"/>
        </w:rPr>
        <w:t xml:space="preserve">foundation </w:t>
      </w:r>
      <w:r>
        <w:rPr>
          <w:rFonts w:ascii="Arial" w:hAnsi="Arial" w:cs="Arial"/>
          <w:sz w:val="24"/>
          <w:szCs w:val="24"/>
        </w:rPr>
        <w:t>based on</w:t>
      </w:r>
      <w:r w:rsidRPr="008358F2">
        <w:rPr>
          <w:rFonts w:ascii="Arial" w:hAnsi="Arial" w:cs="Arial"/>
          <w:sz w:val="24"/>
          <w:szCs w:val="24"/>
        </w:rPr>
        <w:t xml:space="preserve"> reliance on new paternalism</w:t>
      </w:r>
      <w:r w:rsidR="00DA5181" w:rsidRPr="008358F2">
        <w:rPr>
          <w:rFonts w:ascii="Arial" w:hAnsi="Arial" w:cs="Arial"/>
          <w:sz w:val="24"/>
          <w:szCs w:val="24"/>
        </w:rPr>
        <w:t>.</w:t>
      </w:r>
    </w:p>
    <w:p w:rsidR="008358F2" w:rsidRDefault="004A519C" w:rsidP="00E02003">
      <w:pPr>
        <w:pStyle w:val="ListParagraph"/>
        <w:numPr>
          <w:ilvl w:val="0"/>
          <w:numId w:val="7"/>
        </w:numPr>
        <w:jc w:val="both"/>
        <w:rPr>
          <w:rFonts w:ascii="Arial" w:hAnsi="Arial" w:cs="Arial"/>
          <w:sz w:val="24"/>
          <w:szCs w:val="24"/>
        </w:rPr>
      </w:pPr>
      <w:r w:rsidRPr="008358F2">
        <w:rPr>
          <w:rFonts w:ascii="Arial" w:hAnsi="Arial" w:cs="Arial"/>
          <w:sz w:val="24"/>
          <w:szCs w:val="24"/>
        </w:rPr>
        <w:t>The l</w:t>
      </w:r>
      <w:r w:rsidR="00DA5181" w:rsidRPr="008358F2">
        <w:rPr>
          <w:rFonts w:ascii="Arial" w:hAnsi="Arial" w:cs="Arial"/>
          <w:sz w:val="24"/>
          <w:szCs w:val="24"/>
        </w:rPr>
        <w:t>ack of a</w:t>
      </w:r>
      <w:r w:rsidRPr="008358F2">
        <w:rPr>
          <w:rFonts w:ascii="Arial" w:hAnsi="Arial" w:cs="Arial"/>
          <w:sz w:val="24"/>
          <w:szCs w:val="24"/>
        </w:rPr>
        <w:t xml:space="preserve"> robust</w:t>
      </w:r>
      <w:r w:rsidR="00EE0C02" w:rsidRPr="008358F2">
        <w:rPr>
          <w:rFonts w:ascii="Arial" w:hAnsi="Arial" w:cs="Arial"/>
          <w:sz w:val="24"/>
          <w:szCs w:val="24"/>
        </w:rPr>
        <w:t xml:space="preserve"> evidence b</w:t>
      </w:r>
      <w:r w:rsidR="00DA5181" w:rsidRPr="008358F2">
        <w:rPr>
          <w:rFonts w:ascii="Arial" w:hAnsi="Arial" w:cs="Arial"/>
          <w:sz w:val="24"/>
          <w:szCs w:val="24"/>
        </w:rPr>
        <w:t xml:space="preserve">ase </w:t>
      </w:r>
      <w:r w:rsidR="0094457B">
        <w:rPr>
          <w:rFonts w:ascii="Arial" w:hAnsi="Arial" w:cs="Arial"/>
          <w:sz w:val="24"/>
          <w:szCs w:val="24"/>
        </w:rPr>
        <w:t>in favour of</w:t>
      </w:r>
      <w:r w:rsidR="00DA5181" w:rsidRPr="008358F2">
        <w:rPr>
          <w:rFonts w:ascii="Arial" w:hAnsi="Arial" w:cs="Arial"/>
          <w:sz w:val="24"/>
          <w:szCs w:val="24"/>
        </w:rPr>
        <w:t xml:space="preserve"> </w:t>
      </w:r>
      <w:r w:rsidR="00EE0C02" w:rsidRPr="008358F2">
        <w:rPr>
          <w:rFonts w:ascii="Arial" w:hAnsi="Arial" w:cs="Arial"/>
          <w:sz w:val="24"/>
          <w:szCs w:val="24"/>
        </w:rPr>
        <w:t>income m</w:t>
      </w:r>
      <w:r w:rsidR="00DA5181" w:rsidRPr="008358F2">
        <w:rPr>
          <w:rFonts w:ascii="Arial" w:hAnsi="Arial" w:cs="Arial"/>
          <w:sz w:val="24"/>
          <w:szCs w:val="24"/>
        </w:rPr>
        <w:t>anagement</w:t>
      </w:r>
      <w:r w:rsidRPr="008358F2">
        <w:rPr>
          <w:rFonts w:ascii="Arial" w:hAnsi="Arial" w:cs="Arial"/>
          <w:sz w:val="24"/>
          <w:szCs w:val="24"/>
        </w:rPr>
        <w:t>.</w:t>
      </w:r>
    </w:p>
    <w:p w:rsidR="008358F2" w:rsidRDefault="00DA5181" w:rsidP="00E02003">
      <w:pPr>
        <w:pStyle w:val="ListParagraph"/>
        <w:numPr>
          <w:ilvl w:val="0"/>
          <w:numId w:val="7"/>
        </w:numPr>
        <w:jc w:val="both"/>
        <w:rPr>
          <w:rFonts w:ascii="Arial" w:hAnsi="Arial" w:cs="Arial"/>
          <w:sz w:val="24"/>
          <w:szCs w:val="24"/>
        </w:rPr>
      </w:pPr>
      <w:r w:rsidRPr="008358F2">
        <w:rPr>
          <w:rFonts w:ascii="Arial" w:hAnsi="Arial" w:cs="Arial"/>
          <w:sz w:val="24"/>
          <w:szCs w:val="24"/>
        </w:rPr>
        <w:t>Problems for Indigenous P</w:t>
      </w:r>
      <w:r w:rsidR="00EE0C02" w:rsidRPr="008358F2">
        <w:rPr>
          <w:rFonts w:ascii="Arial" w:hAnsi="Arial" w:cs="Arial"/>
          <w:sz w:val="24"/>
          <w:szCs w:val="24"/>
        </w:rPr>
        <w:t>eoples with the exemption p</w:t>
      </w:r>
      <w:r w:rsidRPr="008358F2">
        <w:rPr>
          <w:rFonts w:ascii="Arial" w:hAnsi="Arial" w:cs="Arial"/>
          <w:sz w:val="24"/>
          <w:szCs w:val="24"/>
        </w:rPr>
        <w:t>rocess</w:t>
      </w:r>
      <w:r w:rsidR="00EE0C02" w:rsidRPr="008358F2">
        <w:rPr>
          <w:rFonts w:ascii="Arial" w:hAnsi="Arial" w:cs="Arial"/>
          <w:sz w:val="24"/>
          <w:szCs w:val="24"/>
        </w:rPr>
        <w:t xml:space="preserve"> and administrative e</w:t>
      </w:r>
      <w:r w:rsidRPr="008358F2">
        <w:rPr>
          <w:rFonts w:ascii="Arial" w:hAnsi="Arial" w:cs="Arial"/>
          <w:sz w:val="24"/>
          <w:szCs w:val="24"/>
        </w:rPr>
        <w:t>rrors</w:t>
      </w:r>
      <w:r w:rsidR="004A519C" w:rsidRPr="008358F2">
        <w:rPr>
          <w:rFonts w:ascii="Arial" w:hAnsi="Arial" w:cs="Arial"/>
          <w:sz w:val="24"/>
          <w:szCs w:val="24"/>
        </w:rPr>
        <w:t>.</w:t>
      </w:r>
    </w:p>
    <w:p w:rsidR="00304754" w:rsidRPr="00304754" w:rsidRDefault="00C22BD1" w:rsidP="00304754">
      <w:pPr>
        <w:pStyle w:val="ListParagraph"/>
        <w:numPr>
          <w:ilvl w:val="0"/>
          <w:numId w:val="7"/>
        </w:numPr>
        <w:jc w:val="both"/>
        <w:rPr>
          <w:rFonts w:ascii="Arial" w:hAnsi="Arial" w:cs="Arial"/>
          <w:sz w:val="24"/>
          <w:szCs w:val="24"/>
        </w:rPr>
      </w:pPr>
      <w:r>
        <w:rPr>
          <w:rFonts w:ascii="Arial" w:hAnsi="Arial" w:cs="Arial"/>
          <w:sz w:val="24"/>
          <w:szCs w:val="24"/>
        </w:rPr>
        <w:t>Problems in that i</w:t>
      </w:r>
      <w:r w:rsidR="00304754" w:rsidRPr="00304754">
        <w:rPr>
          <w:rFonts w:ascii="Arial" w:hAnsi="Arial" w:cs="Arial"/>
          <w:sz w:val="24"/>
          <w:szCs w:val="24"/>
        </w:rPr>
        <w:t xml:space="preserve">ncome management is stigmatising, </w:t>
      </w:r>
      <w:r w:rsidR="00014AA3" w:rsidRPr="00014AA3">
        <w:rPr>
          <w:rFonts w:ascii="Arial" w:hAnsi="Arial" w:cs="Arial"/>
          <w:sz w:val="24"/>
          <w:szCs w:val="24"/>
        </w:rPr>
        <w:t>reduces</w:t>
      </w:r>
      <w:r w:rsidR="00304754" w:rsidRPr="00304754">
        <w:rPr>
          <w:rFonts w:ascii="Arial" w:hAnsi="Arial" w:cs="Arial"/>
          <w:sz w:val="24"/>
          <w:szCs w:val="24"/>
        </w:rPr>
        <w:t xml:space="preserve"> autonomy, and fails to address structural inequality</w:t>
      </w:r>
      <w:r w:rsidR="00304754">
        <w:rPr>
          <w:rFonts w:ascii="Arial" w:hAnsi="Arial" w:cs="Arial"/>
          <w:sz w:val="24"/>
          <w:szCs w:val="24"/>
        </w:rPr>
        <w:t>.</w:t>
      </w:r>
    </w:p>
    <w:p w:rsidR="00DA5181" w:rsidRDefault="00DA5181" w:rsidP="00E02003">
      <w:pPr>
        <w:pStyle w:val="ListParagraph"/>
        <w:numPr>
          <w:ilvl w:val="0"/>
          <w:numId w:val="7"/>
        </w:numPr>
        <w:jc w:val="both"/>
        <w:rPr>
          <w:rFonts w:ascii="Arial" w:hAnsi="Arial" w:cs="Arial"/>
          <w:sz w:val="24"/>
          <w:szCs w:val="24"/>
        </w:rPr>
      </w:pPr>
      <w:r w:rsidRPr="008358F2">
        <w:rPr>
          <w:rFonts w:ascii="Arial" w:hAnsi="Arial" w:cs="Arial"/>
          <w:sz w:val="24"/>
          <w:szCs w:val="24"/>
        </w:rPr>
        <w:lastRenderedPageBreak/>
        <w:t>Problems with proposed sanctions and greater g</w:t>
      </w:r>
      <w:r w:rsidR="00EE0C02" w:rsidRPr="008358F2">
        <w:rPr>
          <w:rFonts w:ascii="Arial" w:hAnsi="Arial" w:cs="Arial"/>
          <w:sz w:val="24"/>
          <w:szCs w:val="24"/>
        </w:rPr>
        <w:t>overnment c</w:t>
      </w:r>
      <w:r w:rsidRPr="008358F2">
        <w:rPr>
          <w:rFonts w:ascii="Arial" w:hAnsi="Arial" w:cs="Arial"/>
          <w:sz w:val="24"/>
          <w:szCs w:val="24"/>
        </w:rPr>
        <w:t>oercion</w:t>
      </w:r>
      <w:r w:rsidR="004A519C" w:rsidRPr="008358F2">
        <w:rPr>
          <w:rFonts w:ascii="Arial" w:hAnsi="Arial" w:cs="Arial"/>
          <w:sz w:val="24"/>
          <w:szCs w:val="24"/>
        </w:rPr>
        <w:t xml:space="preserve"> </w:t>
      </w:r>
      <w:r w:rsidR="00C22BD1">
        <w:rPr>
          <w:rFonts w:ascii="Arial" w:hAnsi="Arial" w:cs="Arial"/>
          <w:sz w:val="24"/>
          <w:szCs w:val="24"/>
        </w:rPr>
        <w:t>recommended</w:t>
      </w:r>
      <w:r w:rsidR="00C22BD1" w:rsidRPr="008358F2">
        <w:rPr>
          <w:rFonts w:ascii="Arial" w:hAnsi="Arial" w:cs="Arial"/>
          <w:sz w:val="24"/>
          <w:szCs w:val="24"/>
        </w:rPr>
        <w:t xml:space="preserve"> </w:t>
      </w:r>
      <w:r w:rsidR="00C22BD1">
        <w:rPr>
          <w:rFonts w:ascii="Arial" w:hAnsi="Arial" w:cs="Arial"/>
          <w:sz w:val="24"/>
          <w:szCs w:val="24"/>
        </w:rPr>
        <w:t>in</w:t>
      </w:r>
      <w:r w:rsidR="00C22BD1" w:rsidRPr="008358F2">
        <w:rPr>
          <w:rFonts w:ascii="Arial" w:hAnsi="Arial" w:cs="Arial"/>
          <w:sz w:val="24"/>
          <w:szCs w:val="24"/>
        </w:rPr>
        <w:t xml:space="preserve"> </w:t>
      </w:r>
      <w:r w:rsidR="004A519C" w:rsidRPr="008358F2">
        <w:rPr>
          <w:rFonts w:ascii="Arial" w:hAnsi="Arial" w:cs="Arial"/>
          <w:sz w:val="24"/>
          <w:szCs w:val="24"/>
        </w:rPr>
        <w:t>the McClure Report.</w:t>
      </w:r>
    </w:p>
    <w:p w:rsidR="00382FAD" w:rsidRPr="008358F2" w:rsidRDefault="00382FAD" w:rsidP="00382FAD">
      <w:pPr>
        <w:pStyle w:val="ListParagraph"/>
        <w:jc w:val="both"/>
        <w:rPr>
          <w:rFonts w:ascii="Arial" w:hAnsi="Arial" w:cs="Arial"/>
          <w:sz w:val="24"/>
          <w:szCs w:val="24"/>
        </w:rPr>
      </w:pPr>
    </w:p>
    <w:p w:rsidR="00304754" w:rsidRPr="00382FAD" w:rsidRDefault="00382FAD" w:rsidP="00DF5E7A">
      <w:pPr>
        <w:pStyle w:val="ListParagraph"/>
        <w:numPr>
          <w:ilvl w:val="0"/>
          <w:numId w:val="11"/>
        </w:numPr>
        <w:jc w:val="both"/>
        <w:rPr>
          <w:rFonts w:ascii="Arial" w:hAnsi="Arial" w:cs="Arial"/>
          <w:b/>
          <w:sz w:val="24"/>
          <w:szCs w:val="24"/>
        </w:rPr>
      </w:pPr>
      <w:r w:rsidRPr="00382FAD">
        <w:rPr>
          <w:rFonts w:ascii="Arial" w:hAnsi="Arial" w:cs="Arial"/>
          <w:b/>
          <w:sz w:val="24"/>
          <w:szCs w:val="24"/>
        </w:rPr>
        <w:t>A faulty philosophical foundation based on reliance on new paternalism</w:t>
      </w:r>
    </w:p>
    <w:p w:rsidR="00B106CC" w:rsidRPr="00E02003" w:rsidRDefault="00764BA0" w:rsidP="00E02003">
      <w:pPr>
        <w:jc w:val="both"/>
        <w:rPr>
          <w:rFonts w:ascii="Arial" w:hAnsi="Arial" w:cs="Arial"/>
          <w:sz w:val="24"/>
          <w:szCs w:val="24"/>
        </w:rPr>
      </w:pPr>
      <w:r w:rsidRPr="00E02003">
        <w:rPr>
          <w:rFonts w:ascii="Arial" w:hAnsi="Arial" w:cs="Arial"/>
          <w:sz w:val="24"/>
          <w:szCs w:val="24"/>
        </w:rPr>
        <w:t>I</w:t>
      </w:r>
      <w:r w:rsidR="00692389" w:rsidRPr="00E02003">
        <w:rPr>
          <w:rFonts w:ascii="Arial" w:hAnsi="Arial" w:cs="Arial"/>
          <w:sz w:val="24"/>
          <w:szCs w:val="24"/>
        </w:rPr>
        <w:t xml:space="preserve">ncome management </w:t>
      </w:r>
      <w:r w:rsidR="001D6F27">
        <w:rPr>
          <w:rFonts w:ascii="Arial" w:hAnsi="Arial" w:cs="Arial"/>
          <w:sz w:val="24"/>
          <w:szCs w:val="24"/>
        </w:rPr>
        <w:t>is</w:t>
      </w:r>
      <w:r w:rsidR="00692389" w:rsidRPr="00E02003">
        <w:rPr>
          <w:rFonts w:ascii="Arial" w:hAnsi="Arial" w:cs="Arial"/>
          <w:sz w:val="24"/>
          <w:szCs w:val="24"/>
        </w:rPr>
        <w:t xml:space="preserve"> underpinned by new paternalism, an approach to governing the poor which is based upon the idea that </w:t>
      </w:r>
      <w:r w:rsidR="002C07E6" w:rsidRPr="00E02003">
        <w:rPr>
          <w:rFonts w:ascii="Arial" w:hAnsi="Arial" w:cs="Arial"/>
          <w:sz w:val="24"/>
          <w:szCs w:val="24"/>
        </w:rPr>
        <w:t xml:space="preserve">those who are poor suffer from defects of reason and/or character, </w:t>
      </w:r>
      <w:r w:rsidR="005B1E7E" w:rsidRPr="00E02003">
        <w:rPr>
          <w:rFonts w:ascii="Arial" w:hAnsi="Arial" w:cs="Arial"/>
          <w:sz w:val="24"/>
          <w:szCs w:val="24"/>
        </w:rPr>
        <w:t xml:space="preserve">and </w:t>
      </w:r>
      <w:r w:rsidR="002C07E6" w:rsidRPr="00E02003">
        <w:rPr>
          <w:rFonts w:ascii="Arial" w:hAnsi="Arial" w:cs="Arial"/>
          <w:sz w:val="24"/>
          <w:szCs w:val="24"/>
        </w:rPr>
        <w:t>that they are less inclined to ‘follow the interests of society’.</w:t>
      </w:r>
      <w:r w:rsidR="002C07E6" w:rsidRPr="00E02003">
        <w:rPr>
          <w:rStyle w:val="FootnoteReference"/>
          <w:rFonts w:ascii="Arial" w:hAnsi="Arial" w:cs="Arial"/>
          <w:sz w:val="24"/>
          <w:szCs w:val="24"/>
        </w:rPr>
        <w:footnoteReference w:id="4"/>
      </w:r>
      <w:r w:rsidR="002C07E6" w:rsidRPr="00E02003">
        <w:rPr>
          <w:rFonts w:ascii="Arial" w:hAnsi="Arial" w:cs="Arial"/>
          <w:sz w:val="24"/>
          <w:szCs w:val="24"/>
        </w:rPr>
        <w:t xml:space="preserve"> </w:t>
      </w:r>
      <w:r w:rsidR="002F71A6" w:rsidRPr="00E02003">
        <w:rPr>
          <w:rFonts w:ascii="Arial" w:hAnsi="Arial" w:cs="Arial"/>
          <w:sz w:val="24"/>
          <w:szCs w:val="24"/>
        </w:rPr>
        <w:t>New paternalism emphasises the ‘obligations’ of welfare recipients ‘rather than their rights or needs.’</w:t>
      </w:r>
      <w:r w:rsidR="002F71A6" w:rsidRPr="00E02003">
        <w:rPr>
          <w:rStyle w:val="FootnoteReference"/>
          <w:rFonts w:ascii="Arial" w:hAnsi="Arial" w:cs="Arial"/>
          <w:sz w:val="24"/>
          <w:szCs w:val="24"/>
        </w:rPr>
        <w:footnoteReference w:id="5"/>
      </w:r>
      <w:r w:rsidR="002F71A6" w:rsidRPr="00E02003">
        <w:rPr>
          <w:rFonts w:ascii="Arial" w:hAnsi="Arial" w:cs="Arial"/>
          <w:sz w:val="24"/>
          <w:szCs w:val="24"/>
        </w:rPr>
        <w:t xml:space="preserve"> </w:t>
      </w:r>
      <w:r w:rsidR="00B106CC" w:rsidRPr="00E02003">
        <w:rPr>
          <w:rFonts w:ascii="Arial" w:hAnsi="Arial" w:cs="Arial"/>
          <w:sz w:val="24"/>
          <w:szCs w:val="24"/>
        </w:rPr>
        <w:t xml:space="preserve">This type of thinking </w:t>
      </w:r>
      <w:r w:rsidR="00195372">
        <w:rPr>
          <w:rFonts w:ascii="Arial" w:hAnsi="Arial" w:cs="Arial"/>
          <w:sz w:val="24"/>
          <w:szCs w:val="24"/>
        </w:rPr>
        <w:t>influenced</w:t>
      </w:r>
      <w:r w:rsidR="00B106CC" w:rsidRPr="00E02003">
        <w:rPr>
          <w:rFonts w:ascii="Arial" w:hAnsi="Arial" w:cs="Arial"/>
          <w:sz w:val="24"/>
          <w:szCs w:val="24"/>
        </w:rPr>
        <w:t xml:space="preserve"> the </w:t>
      </w:r>
      <w:r w:rsidR="001D6F27">
        <w:rPr>
          <w:rFonts w:ascii="Arial" w:hAnsi="Arial" w:cs="Arial"/>
          <w:sz w:val="24"/>
          <w:szCs w:val="24"/>
        </w:rPr>
        <w:t>initial</w:t>
      </w:r>
      <w:r w:rsidR="001D6F27" w:rsidRPr="00E02003">
        <w:rPr>
          <w:rFonts w:ascii="Arial" w:hAnsi="Arial" w:cs="Arial"/>
          <w:sz w:val="24"/>
          <w:szCs w:val="24"/>
        </w:rPr>
        <w:t xml:space="preserve"> </w:t>
      </w:r>
      <w:r w:rsidR="00B106CC" w:rsidRPr="00E02003">
        <w:rPr>
          <w:rFonts w:ascii="Arial" w:hAnsi="Arial" w:cs="Arial"/>
          <w:sz w:val="24"/>
          <w:szCs w:val="24"/>
        </w:rPr>
        <w:t xml:space="preserve">development of income management </w:t>
      </w:r>
      <w:r w:rsidR="001D6F27">
        <w:rPr>
          <w:rFonts w:ascii="Arial" w:hAnsi="Arial" w:cs="Arial"/>
          <w:sz w:val="24"/>
          <w:szCs w:val="24"/>
        </w:rPr>
        <w:t xml:space="preserve">in Australia </w:t>
      </w:r>
      <w:r w:rsidR="00B106CC" w:rsidRPr="00E02003">
        <w:rPr>
          <w:rFonts w:ascii="Arial" w:hAnsi="Arial" w:cs="Arial"/>
          <w:sz w:val="24"/>
          <w:szCs w:val="24"/>
        </w:rPr>
        <w:t xml:space="preserve">as part of the 2007 Northern Territory Intervention. In the second reading speech for the </w:t>
      </w:r>
      <w:r w:rsidR="00B106CC" w:rsidRPr="00E02003">
        <w:rPr>
          <w:rFonts w:ascii="Arial" w:hAnsi="Arial" w:cs="Arial"/>
          <w:i/>
          <w:sz w:val="24"/>
          <w:szCs w:val="24"/>
          <w:lang w:val="en-US"/>
        </w:rPr>
        <w:t xml:space="preserve">Social Security and Other Legislation Amendment (Welfare Payment Reform) Act 2007 </w:t>
      </w:r>
      <w:r w:rsidR="00B106CC" w:rsidRPr="00E02003">
        <w:rPr>
          <w:rFonts w:ascii="Arial" w:hAnsi="Arial" w:cs="Arial"/>
          <w:sz w:val="24"/>
          <w:szCs w:val="24"/>
          <w:lang w:val="en-US"/>
        </w:rPr>
        <w:t>(</w:t>
      </w:r>
      <w:proofErr w:type="spellStart"/>
      <w:r w:rsidR="00B106CC" w:rsidRPr="00E02003">
        <w:rPr>
          <w:rFonts w:ascii="Arial" w:hAnsi="Arial" w:cs="Arial"/>
          <w:sz w:val="24"/>
          <w:szCs w:val="24"/>
          <w:lang w:val="en-US"/>
        </w:rPr>
        <w:t>Cth</w:t>
      </w:r>
      <w:proofErr w:type="spellEnd"/>
      <w:r w:rsidR="00B106CC" w:rsidRPr="00E02003">
        <w:rPr>
          <w:rFonts w:ascii="Arial" w:hAnsi="Arial" w:cs="Arial"/>
          <w:sz w:val="24"/>
          <w:szCs w:val="24"/>
          <w:lang w:val="en-US"/>
        </w:rPr>
        <w:t>)</w:t>
      </w:r>
      <w:r w:rsidR="00B106CC" w:rsidRPr="00E02003">
        <w:rPr>
          <w:rFonts w:ascii="Arial" w:hAnsi="Arial" w:cs="Arial"/>
          <w:sz w:val="24"/>
          <w:szCs w:val="24"/>
        </w:rPr>
        <w:t xml:space="preserve"> the government </w:t>
      </w:r>
      <w:r w:rsidR="00725D60" w:rsidRPr="00E02003">
        <w:rPr>
          <w:rFonts w:ascii="Arial" w:hAnsi="Arial" w:cs="Arial"/>
          <w:sz w:val="24"/>
          <w:szCs w:val="24"/>
        </w:rPr>
        <w:t>stated:</w:t>
      </w:r>
      <w:r w:rsidR="00B106CC" w:rsidRPr="00E02003">
        <w:rPr>
          <w:rFonts w:ascii="Arial" w:hAnsi="Arial" w:cs="Arial"/>
          <w:sz w:val="24"/>
          <w:szCs w:val="24"/>
        </w:rPr>
        <w:t xml:space="preserve"> ‘The government believes that the right to welfare comes with obligations.’</w:t>
      </w:r>
      <w:r w:rsidR="00B106CC" w:rsidRPr="00E02003">
        <w:rPr>
          <w:rStyle w:val="FootnoteReference"/>
          <w:rFonts w:ascii="Arial" w:hAnsi="Arial" w:cs="Arial"/>
          <w:sz w:val="24"/>
          <w:szCs w:val="24"/>
        </w:rPr>
        <w:footnoteReference w:id="6"/>
      </w:r>
    </w:p>
    <w:p w:rsidR="00053349" w:rsidRDefault="001D6F27" w:rsidP="00E02003">
      <w:pPr>
        <w:jc w:val="both"/>
        <w:rPr>
          <w:rFonts w:ascii="Arial" w:hAnsi="Arial" w:cs="Arial"/>
          <w:sz w:val="24"/>
          <w:szCs w:val="24"/>
        </w:rPr>
      </w:pPr>
      <w:r w:rsidRPr="00E02003">
        <w:rPr>
          <w:rFonts w:ascii="Arial" w:hAnsi="Arial" w:cs="Arial"/>
          <w:sz w:val="24"/>
          <w:szCs w:val="24"/>
        </w:rPr>
        <w:t xml:space="preserve">However, what started as an interim experimental welfare reform measure </w:t>
      </w:r>
      <w:r>
        <w:rPr>
          <w:rFonts w:ascii="Arial" w:hAnsi="Arial" w:cs="Arial"/>
          <w:sz w:val="24"/>
          <w:szCs w:val="24"/>
        </w:rPr>
        <w:t xml:space="preserve">with a five year timeframe </w:t>
      </w:r>
      <w:r w:rsidRPr="00E02003">
        <w:rPr>
          <w:rFonts w:ascii="Arial" w:hAnsi="Arial" w:cs="Arial"/>
          <w:sz w:val="24"/>
          <w:szCs w:val="24"/>
        </w:rPr>
        <w:t xml:space="preserve">directed </w:t>
      </w:r>
      <w:r>
        <w:rPr>
          <w:rFonts w:ascii="Arial" w:hAnsi="Arial" w:cs="Arial"/>
          <w:sz w:val="24"/>
          <w:szCs w:val="24"/>
        </w:rPr>
        <w:t xml:space="preserve">only </w:t>
      </w:r>
      <w:r w:rsidRPr="00E02003">
        <w:rPr>
          <w:rFonts w:ascii="Arial" w:hAnsi="Arial" w:cs="Arial"/>
          <w:sz w:val="24"/>
          <w:szCs w:val="24"/>
        </w:rPr>
        <w:t xml:space="preserve">towards Aboriginal welfare recipients in the Northern Territory has now been expanded considerably. </w:t>
      </w:r>
      <w:r w:rsidR="00CA3500" w:rsidRPr="00E02003">
        <w:rPr>
          <w:rFonts w:ascii="Arial" w:hAnsi="Arial" w:cs="Arial"/>
          <w:sz w:val="24"/>
          <w:szCs w:val="24"/>
        </w:rPr>
        <w:t>The Mc</w:t>
      </w:r>
      <w:r>
        <w:rPr>
          <w:rFonts w:ascii="Arial" w:hAnsi="Arial" w:cs="Arial"/>
          <w:sz w:val="24"/>
          <w:szCs w:val="24"/>
        </w:rPr>
        <w:t>Cl</w:t>
      </w:r>
      <w:r w:rsidR="00CA3500" w:rsidRPr="00E02003">
        <w:rPr>
          <w:rFonts w:ascii="Arial" w:hAnsi="Arial" w:cs="Arial"/>
          <w:sz w:val="24"/>
          <w:szCs w:val="24"/>
        </w:rPr>
        <w:t>ure Report provides a useful update on where income management currently applies.</w:t>
      </w:r>
      <w:r w:rsidR="00CA3500" w:rsidRPr="00E02003">
        <w:rPr>
          <w:rStyle w:val="FootnoteReference"/>
          <w:rFonts w:ascii="Arial" w:hAnsi="Arial" w:cs="Arial"/>
          <w:sz w:val="24"/>
          <w:szCs w:val="24"/>
        </w:rPr>
        <w:footnoteReference w:id="7"/>
      </w:r>
      <w:r w:rsidR="00CB40BB" w:rsidRPr="00E02003">
        <w:rPr>
          <w:rFonts w:ascii="Arial" w:hAnsi="Arial" w:cs="Arial"/>
          <w:sz w:val="24"/>
          <w:szCs w:val="24"/>
        </w:rPr>
        <w:t xml:space="preserve"> I</w:t>
      </w:r>
      <w:r w:rsidR="00F65F75" w:rsidRPr="00E02003">
        <w:rPr>
          <w:rFonts w:ascii="Arial" w:hAnsi="Arial" w:cs="Arial"/>
          <w:sz w:val="24"/>
          <w:szCs w:val="24"/>
        </w:rPr>
        <w:t xml:space="preserve">t applies </w:t>
      </w:r>
      <w:r w:rsidRPr="00E02003">
        <w:rPr>
          <w:rFonts w:ascii="Arial" w:hAnsi="Arial" w:cs="Arial"/>
          <w:sz w:val="24"/>
          <w:szCs w:val="24"/>
        </w:rPr>
        <w:t xml:space="preserve">disproportionately </w:t>
      </w:r>
      <w:r w:rsidR="00F65F75" w:rsidRPr="00E02003">
        <w:rPr>
          <w:rFonts w:ascii="Arial" w:hAnsi="Arial" w:cs="Arial"/>
          <w:sz w:val="24"/>
          <w:szCs w:val="24"/>
        </w:rPr>
        <w:t>to Aboriginal communities</w:t>
      </w:r>
      <w:r w:rsidR="00693C73" w:rsidRPr="00E02003">
        <w:rPr>
          <w:rFonts w:ascii="Arial" w:hAnsi="Arial" w:cs="Arial"/>
          <w:sz w:val="24"/>
          <w:szCs w:val="24"/>
        </w:rPr>
        <w:t xml:space="preserve"> who are targeted in terms of geographical locations selected by the government for income management</w:t>
      </w:r>
      <w:r w:rsidR="00F65F75" w:rsidRPr="00E02003">
        <w:rPr>
          <w:rFonts w:ascii="Arial" w:hAnsi="Arial" w:cs="Arial"/>
          <w:sz w:val="24"/>
          <w:szCs w:val="24"/>
        </w:rPr>
        <w:t xml:space="preserve">. </w:t>
      </w:r>
    </w:p>
    <w:p w:rsidR="00CD32A3" w:rsidRDefault="005B1E7E" w:rsidP="00E02003">
      <w:pPr>
        <w:jc w:val="both"/>
        <w:rPr>
          <w:rFonts w:ascii="Arial" w:hAnsi="Arial" w:cs="Arial"/>
          <w:b/>
          <w:sz w:val="24"/>
          <w:szCs w:val="24"/>
        </w:rPr>
      </w:pPr>
      <w:r w:rsidRPr="00E02003">
        <w:rPr>
          <w:rFonts w:ascii="Arial" w:hAnsi="Arial" w:cs="Arial"/>
          <w:sz w:val="24"/>
          <w:szCs w:val="24"/>
        </w:rPr>
        <w:t>Th</w:t>
      </w:r>
      <w:r w:rsidR="00F65F75" w:rsidRPr="00E02003">
        <w:rPr>
          <w:rFonts w:ascii="Arial" w:hAnsi="Arial" w:cs="Arial"/>
          <w:sz w:val="24"/>
          <w:szCs w:val="24"/>
        </w:rPr>
        <w:t>e</w:t>
      </w:r>
      <w:r w:rsidRPr="00E02003">
        <w:rPr>
          <w:rFonts w:ascii="Arial" w:hAnsi="Arial" w:cs="Arial"/>
          <w:sz w:val="24"/>
          <w:szCs w:val="24"/>
        </w:rPr>
        <w:t xml:space="preserve"> broader rollout of income management has meant that more Australian citizens are being subject</w:t>
      </w:r>
      <w:r w:rsidR="00382FAD">
        <w:rPr>
          <w:rFonts w:ascii="Arial" w:hAnsi="Arial" w:cs="Arial"/>
          <w:sz w:val="24"/>
          <w:szCs w:val="24"/>
        </w:rPr>
        <w:t>ed</w:t>
      </w:r>
      <w:r w:rsidRPr="00E02003">
        <w:rPr>
          <w:rFonts w:ascii="Arial" w:hAnsi="Arial" w:cs="Arial"/>
          <w:sz w:val="24"/>
          <w:szCs w:val="24"/>
        </w:rPr>
        <w:t xml:space="preserve"> to the assumptions of inadequacy and deviancy underpinning new paternalism. </w:t>
      </w:r>
      <w:r w:rsidR="00FB7625" w:rsidRPr="00E02003">
        <w:rPr>
          <w:rFonts w:ascii="Arial" w:hAnsi="Arial" w:cs="Arial"/>
          <w:sz w:val="24"/>
          <w:szCs w:val="24"/>
        </w:rPr>
        <w:t>Yet</w:t>
      </w:r>
      <w:r w:rsidR="00F65F75" w:rsidRPr="00E02003">
        <w:rPr>
          <w:rFonts w:ascii="Arial" w:hAnsi="Arial" w:cs="Arial"/>
          <w:sz w:val="24"/>
          <w:szCs w:val="24"/>
        </w:rPr>
        <w:t xml:space="preserve"> these assumptions are based upon a weak </w:t>
      </w:r>
      <w:r w:rsidR="0035708D" w:rsidRPr="00E02003">
        <w:rPr>
          <w:rFonts w:ascii="Arial" w:hAnsi="Arial" w:cs="Arial"/>
          <w:sz w:val="24"/>
          <w:szCs w:val="24"/>
        </w:rPr>
        <w:t xml:space="preserve">philosophical </w:t>
      </w:r>
      <w:r w:rsidR="00F65F75" w:rsidRPr="00E02003">
        <w:rPr>
          <w:rFonts w:ascii="Arial" w:hAnsi="Arial" w:cs="Arial"/>
          <w:sz w:val="24"/>
          <w:szCs w:val="24"/>
        </w:rPr>
        <w:t xml:space="preserve">foundation. </w:t>
      </w:r>
      <w:r w:rsidR="00DA5181" w:rsidRPr="00E02003">
        <w:rPr>
          <w:rFonts w:ascii="Arial" w:hAnsi="Arial" w:cs="Arial"/>
          <w:sz w:val="24"/>
          <w:szCs w:val="24"/>
        </w:rPr>
        <w:t xml:space="preserve">Clearly not all welfare recipients possess the character or behavioural problems asserted </w:t>
      </w:r>
      <w:r w:rsidR="00382FAD">
        <w:rPr>
          <w:rFonts w:ascii="Arial" w:hAnsi="Arial" w:cs="Arial"/>
          <w:sz w:val="24"/>
          <w:szCs w:val="24"/>
        </w:rPr>
        <w:t>by</w:t>
      </w:r>
      <w:r w:rsidR="00DA5181" w:rsidRPr="00E02003">
        <w:rPr>
          <w:rFonts w:ascii="Arial" w:hAnsi="Arial" w:cs="Arial"/>
          <w:sz w:val="24"/>
          <w:szCs w:val="24"/>
        </w:rPr>
        <w:t xml:space="preserve"> new paternalist rhetoric.</w:t>
      </w:r>
      <w:r w:rsidR="0035708D" w:rsidRPr="00E02003">
        <w:rPr>
          <w:rFonts w:ascii="Arial" w:hAnsi="Arial" w:cs="Arial"/>
          <w:sz w:val="24"/>
          <w:szCs w:val="24"/>
        </w:rPr>
        <w:t xml:space="preserve"> However, all welfare recipients subject to compulsory income management are unjustly dem</w:t>
      </w:r>
      <w:r w:rsidR="001D6F27">
        <w:rPr>
          <w:rFonts w:ascii="Arial" w:hAnsi="Arial" w:cs="Arial"/>
          <w:sz w:val="24"/>
          <w:szCs w:val="24"/>
        </w:rPr>
        <w:t xml:space="preserve">eaned </w:t>
      </w:r>
      <w:r w:rsidR="0035708D" w:rsidRPr="00E02003">
        <w:rPr>
          <w:rFonts w:ascii="Arial" w:hAnsi="Arial" w:cs="Arial"/>
          <w:sz w:val="24"/>
          <w:szCs w:val="24"/>
        </w:rPr>
        <w:t xml:space="preserve">by </w:t>
      </w:r>
      <w:r w:rsidR="001D6F27">
        <w:rPr>
          <w:rFonts w:ascii="Arial" w:hAnsi="Arial" w:cs="Arial"/>
          <w:sz w:val="24"/>
          <w:szCs w:val="24"/>
        </w:rPr>
        <w:t xml:space="preserve">the </w:t>
      </w:r>
      <w:r w:rsidR="0035708D" w:rsidRPr="00E02003">
        <w:rPr>
          <w:rFonts w:ascii="Arial" w:hAnsi="Arial" w:cs="Arial"/>
          <w:sz w:val="24"/>
          <w:szCs w:val="24"/>
        </w:rPr>
        <w:t xml:space="preserve">new paternalism regardless of their actual character and budgetary capacity. </w:t>
      </w:r>
      <w:r w:rsidR="00382FAD" w:rsidRPr="00E02003">
        <w:rPr>
          <w:rFonts w:ascii="Arial" w:hAnsi="Arial" w:cs="Arial"/>
          <w:sz w:val="24"/>
          <w:szCs w:val="24"/>
        </w:rPr>
        <w:t xml:space="preserve">This amounts to </w:t>
      </w:r>
      <w:r w:rsidR="001D6F27">
        <w:rPr>
          <w:rFonts w:ascii="Arial" w:hAnsi="Arial" w:cs="Arial"/>
          <w:sz w:val="24"/>
          <w:szCs w:val="24"/>
        </w:rPr>
        <w:t xml:space="preserve">stigmatisation </w:t>
      </w:r>
      <w:r w:rsidR="00382FAD" w:rsidRPr="00E02003">
        <w:rPr>
          <w:rFonts w:ascii="Arial" w:hAnsi="Arial" w:cs="Arial"/>
          <w:sz w:val="24"/>
          <w:szCs w:val="24"/>
        </w:rPr>
        <w:t xml:space="preserve">of </w:t>
      </w:r>
      <w:r w:rsidR="00382FAD">
        <w:rPr>
          <w:rFonts w:ascii="Arial" w:hAnsi="Arial" w:cs="Arial"/>
          <w:sz w:val="24"/>
          <w:szCs w:val="24"/>
        </w:rPr>
        <w:t xml:space="preserve">people who are among </w:t>
      </w:r>
      <w:r w:rsidR="00382FAD" w:rsidRPr="00E02003">
        <w:rPr>
          <w:rFonts w:ascii="Arial" w:hAnsi="Arial" w:cs="Arial"/>
          <w:sz w:val="24"/>
          <w:szCs w:val="24"/>
        </w:rPr>
        <w:t xml:space="preserve">the most economically disadvantaged </w:t>
      </w:r>
      <w:r w:rsidR="00382FAD">
        <w:rPr>
          <w:rFonts w:ascii="Arial" w:hAnsi="Arial" w:cs="Arial"/>
          <w:sz w:val="24"/>
          <w:szCs w:val="24"/>
        </w:rPr>
        <w:t xml:space="preserve">and politically marginalised </w:t>
      </w:r>
      <w:r w:rsidR="00382FAD" w:rsidRPr="00E02003">
        <w:rPr>
          <w:rFonts w:ascii="Arial" w:hAnsi="Arial" w:cs="Arial"/>
          <w:sz w:val="24"/>
          <w:szCs w:val="24"/>
        </w:rPr>
        <w:t xml:space="preserve">members </w:t>
      </w:r>
      <w:r w:rsidR="00382FAD">
        <w:rPr>
          <w:rFonts w:ascii="Arial" w:hAnsi="Arial" w:cs="Arial"/>
          <w:sz w:val="24"/>
          <w:szCs w:val="24"/>
        </w:rPr>
        <w:t>of Australian society</w:t>
      </w:r>
      <w:r w:rsidR="00382FAD" w:rsidRPr="00E02003">
        <w:rPr>
          <w:rFonts w:ascii="Arial" w:hAnsi="Arial" w:cs="Arial"/>
          <w:sz w:val="24"/>
          <w:szCs w:val="24"/>
        </w:rPr>
        <w:t xml:space="preserve">. Whilst this may </w:t>
      </w:r>
      <w:r w:rsidR="001D6F27">
        <w:rPr>
          <w:rFonts w:ascii="Arial" w:hAnsi="Arial" w:cs="Arial"/>
          <w:sz w:val="24"/>
          <w:szCs w:val="24"/>
        </w:rPr>
        <w:t>be</w:t>
      </w:r>
      <w:r w:rsidR="00382FAD" w:rsidRPr="00E02003">
        <w:rPr>
          <w:rFonts w:ascii="Arial" w:hAnsi="Arial" w:cs="Arial"/>
          <w:sz w:val="24"/>
          <w:szCs w:val="24"/>
        </w:rPr>
        <w:t xml:space="preserve"> political</w:t>
      </w:r>
      <w:r w:rsidR="00382FAD">
        <w:rPr>
          <w:rFonts w:ascii="Arial" w:hAnsi="Arial" w:cs="Arial"/>
          <w:sz w:val="24"/>
          <w:szCs w:val="24"/>
        </w:rPr>
        <w:t>ly advantageous</w:t>
      </w:r>
      <w:r w:rsidR="00382FAD" w:rsidRPr="00E02003">
        <w:rPr>
          <w:rFonts w:ascii="Arial" w:hAnsi="Arial" w:cs="Arial"/>
          <w:sz w:val="24"/>
          <w:szCs w:val="24"/>
        </w:rPr>
        <w:t xml:space="preserve"> </w:t>
      </w:r>
      <w:r w:rsidR="00382FAD">
        <w:rPr>
          <w:rFonts w:ascii="Arial" w:hAnsi="Arial" w:cs="Arial"/>
          <w:sz w:val="24"/>
          <w:szCs w:val="24"/>
        </w:rPr>
        <w:t>to the government of the day</w:t>
      </w:r>
      <w:r w:rsidR="00382FAD" w:rsidRPr="00E02003">
        <w:rPr>
          <w:rFonts w:ascii="Arial" w:hAnsi="Arial" w:cs="Arial"/>
          <w:sz w:val="24"/>
          <w:szCs w:val="24"/>
        </w:rPr>
        <w:t xml:space="preserve">, the income </w:t>
      </w:r>
      <w:r w:rsidR="00382FAD" w:rsidRPr="00E02003">
        <w:rPr>
          <w:rFonts w:ascii="Arial" w:hAnsi="Arial" w:cs="Arial"/>
          <w:sz w:val="24"/>
          <w:szCs w:val="24"/>
        </w:rPr>
        <w:lastRenderedPageBreak/>
        <w:t xml:space="preserve">management </w:t>
      </w:r>
      <w:r w:rsidR="00382FAD">
        <w:rPr>
          <w:rFonts w:ascii="Arial" w:hAnsi="Arial" w:cs="Arial"/>
          <w:sz w:val="24"/>
          <w:szCs w:val="24"/>
        </w:rPr>
        <w:t>system</w:t>
      </w:r>
      <w:r w:rsidR="00382FAD" w:rsidRPr="00E02003">
        <w:rPr>
          <w:rFonts w:ascii="Arial" w:hAnsi="Arial" w:cs="Arial"/>
          <w:sz w:val="24"/>
          <w:szCs w:val="24"/>
        </w:rPr>
        <w:t xml:space="preserve"> is expensive to operate</w:t>
      </w:r>
      <w:r w:rsidR="00693C73" w:rsidRPr="00E02003">
        <w:rPr>
          <w:rStyle w:val="FootnoteReference"/>
          <w:rFonts w:ascii="Arial" w:hAnsi="Arial" w:cs="Arial"/>
          <w:sz w:val="24"/>
          <w:szCs w:val="24"/>
        </w:rPr>
        <w:footnoteReference w:id="8"/>
      </w:r>
      <w:r w:rsidR="00693C73" w:rsidRPr="00E02003">
        <w:rPr>
          <w:rFonts w:ascii="Arial" w:hAnsi="Arial" w:cs="Arial"/>
          <w:sz w:val="24"/>
          <w:szCs w:val="24"/>
        </w:rPr>
        <w:t xml:space="preserve"> </w:t>
      </w:r>
      <w:r w:rsidR="00382FAD">
        <w:rPr>
          <w:rFonts w:ascii="Arial" w:hAnsi="Arial" w:cs="Arial"/>
          <w:sz w:val="24"/>
          <w:szCs w:val="24"/>
        </w:rPr>
        <w:t>at $100 million per annum</w:t>
      </w:r>
      <w:r w:rsidR="00382FAD" w:rsidRPr="00E02003">
        <w:rPr>
          <w:rFonts w:ascii="Arial" w:hAnsi="Arial" w:cs="Arial"/>
          <w:sz w:val="24"/>
          <w:szCs w:val="24"/>
        </w:rPr>
        <w:t xml:space="preserve"> </w:t>
      </w:r>
      <w:r w:rsidR="00693C73" w:rsidRPr="00E02003">
        <w:rPr>
          <w:rFonts w:ascii="Arial" w:hAnsi="Arial" w:cs="Arial"/>
          <w:sz w:val="24"/>
          <w:szCs w:val="24"/>
        </w:rPr>
        <w:t xml:space="preserve">and there is </w:t>
      </w:r>
      <w:r w:rsidR="00693C73" w:rsidRPr="00266BFA">
        <w:rPr>
          <w:rFonts w:ascii="Arial" w:hAnsi="Arial" w:cs="Arial"/>
          <w:sz w:val="24"/>
          <w:szCs w:val="24"/>
        </w:rPr>
        <w:t xml:space="preserve">little evidence to suggest that it achieves the goals outlined by the government. </w:t>
      </w:r>
      <w:r w:rsidR="00266BFA" w:rsidRPr="00266BFA">
        <w:rPr>
          <w:rFonts w:ascii="Arial" w:hAnsi="Arial" w:cs="Arial"/>
          <w:sz w:val="24"/>
          <w:szCs w:val="24"/>
        </w:rPr>
        <w:t xml:space="preserve">The one unequivocally positive </w:t>
      </w:r>
      <w:r w:rsidR="00D05247">
        <w:rPr>
          <w:rFonts w:ascii="Arial" w:hAnsi="Arial" w:cs="Arial"/>
          <w:sz w:val="24"/>
          <w:szCs w:val="24"/>
        </w:rPr>
        <w:t xml:space="preserve">(but </w:t>
      </w:r>
      <w:r w:rsidR="00634556">
        <w:rPr>
          <w:rFonts w:ascii="Arial" w:hAnsi="Arial" w:cs="Arial"/>
          <w:sz w:val="24"/>
          <w:szCs w:val="24"/>
        </w:rPr>
        <w:t>unintended</w:t>
      </w:r>
      <w:r w:rsidR="00D05247">
        <w:rPr>
          <w:rFonts w:ascii="Arial" w:hAnsi="Arial" w:cs="Arial"/>
          <w:sz w:val="24"/>
          <w:szCs w:val="24"/>
        </w:rPr>
        <w:t xml:space="preserve">) </w:t>
      </w:r>
      <w:r w:rsidR="00266BFA" w:rsidRPr="00266BFA">
        <w:rPr>
          <w:rFonts w:ascii="Arial" w:hAnsi="Arial" w:cs="Arial"/>
          <w:sz w:val="24"/>
          <w:szCs w:val="24"/>
        </w:rPr>
        <w:t xml:space="preserve">outcome for all income managed welfare recipients to date is savings on bank fees </w:t>
      </w:r>
      <w:r w:rsidR="00D05247">
        <w:rPr>
          <w:rFonts w:ascii="Arial" w:hAnsi="Arial" w:cs="Arial"/>
          <w:sz w:val="24"/>
          <w:szCs w:val="24"/>
        </w:rPr>
        <w:t xml:space="preserve">due to the </w:t>
      </w:r>
      <w:r w:rsidR="00266BFA" w:rsidRPr="00266BFA">
        <w:rPr>
          <w:rFonts w:ascii="Arial" w:hAnsi="Arial" w:cs="Arial"/>
          <w:sz w:val="24"/>
          <w:szCs w:val="24"/>
        </w:rPr>
        <w:t xml:space="preserve">use </w:t>
      </w:r>
      <w:r w:rsidR="00D05247">
        <w:rPr>
          <w:rFonts w:ascii="Arial" w:hAnsi="Arial" w:cs="Arial"/>
          <w:sz w:val="24"/>
          <w:szCs w:val="24"/>
        </w:rPr>
        <w:t xml:space="preserve">of </w:t>
      </w:r>
      <w:r w:rsidR="00266BFA" w:rsidRPr="00266BFA">
        <w:rPr>
          <w:rFonts w:ascii="Arial" w:hAnsi="Arial" w:cs="Arial"/>
          <w:sz w:val="24"/>
          <w:szCs w:val="24"/>
        </w:rPr>
        <w:t xml:space="preserve">the fee-free </w:t>
      </w:r>
      <w:proofErr w:type="spellStart"/>
      <w:r w:rsidR="00266BFA" w:rsidRPr="00266BFA">
        <w:rPr>
          <w:rFonts w:ascii="Arial" w:hAnsi="Arial" w:cs="Arial"/>
          <w:sz w:val="24"/>
          <w:szCs w:val="24"/>
        </w:rPr>
        <w:t>BasicsCard</w:t>
      </w:r>
      <w:proofErr w:type="spellEnd"/>
      <w:r w:rsidR="00266BFA" w:rsidRPr="00266BFA">
        <w:rPr>
          <w:rFonts w:ascii="Arial" w:hAnsi="Arial" w:cs="Arial"/>
          <w:sz w:val="24"/>
          <w:szCs w:val="24"/>
        </w:rPr>
        <w:t>.</w:t>
      </w:r>
      <w:r w:rsidR="00417879">
        <w:rPr>
          <w:rStyle w:val="FootnoteReference"/>
          <w:rFonts w:ascii="Arial" w:hAnsi="Arial" w:cs="Arial"/>
          <w:sz w:val="24"/>
          <w:szCs w:val="24"/>
        </w:rPr>
        <w:footnoteReference w:id="9"/>
      </w:r>
      <w:r w:rsidR="00266BFA" w:rsidRPr="00266BFA">
        <w:rPr>
          <w:rFonts w:ascii="Arial" w:hAnsi="Arial" w:cs="Arial"/>
          <w:sz w:val="24"/>
          <w:szCs w:val="24"/>
        </w:rPr>
        <w:t xml:space="preserve"> Yet, as I argue in a forthcoming publication in the </w:t>
      </w:r>
      <w:r w:rsidR="00266BFA" w:rsidRPr="00266BFA">
        <w:rPr>
          <w:rFonts w:ascii="Arial" w:hAnsi="Arial" w:cs="Arial"/>
          <w:i/>
          <w:sz w:val="24"/>
          <w:szCs w:val="24"/>
        </w:rPr>
        <w:t>Sydney Law Review</w:t>
      </w:r>
      <w:r w:rsidR="00266BFA" w:rsidRPr="00266BFA">
        <w:rPr>
          <w:rFonts w:ascii="Arial" w:hAnsi="Arial" w:cs="Arial"/>
          <w:sz w:val="24"/>
          <w:szCs w:val="24"/>
        </w:rPr>
        <w:t>, this outcome ‘could just as easily be achieved by less intrusive and less stigmatising means, such as via a government subsidy for bank fees for welfare recipients.’</w:t>
      </w:r>
      <w:r w:rsidR="00266BFA" w:rsidRPr="00266BFA">
        <w:rPr>
          <w:rStyle w:val="FootnoteReference"/>
          <w:rFonts w:ascii="Arial" w:hAnsi="Arial" w:cs="Arial"/>
          <w:sz w:val="24"/>
          <w:szCs w:val="24"/>
        </w:rPr>
        <w:footnoteReference w:id="10"/>
      </w:r>
    </w:p>
    <w:p w:rsidR="00304754" w:rsidRPr="00DF5E7A" w:rsidRDefault="00304754" w:rsidP="00DF5E7A">
      <w:pPr>
        <w:pStyle w:val="ListParagraph"/>
        <w:numPr>
          <w:ilvl w:val="0"/>
          <w:numId w:val="11"/>
        </w:numPr>
        <w:jc w:val="both"/>
        <w:rPr>
          <w:rFonts w:ascii="Arial" w:hAnsi="Arial" w:cs="Arial"/>
          <w:b/>
          <w:sz w:val="24"/>
          <w:szCs w:val="24"/>
        </w:rPr>
      </w:pPr>
      <w:r w:rsidRPr="00DF5E7A">
        <w:rPr>
          <w:rFonts w:ascii="Arial" w:hAnsi="Arial" w:cs="Arial"/>
          <w:b/>
          <w:sz w:val="24"/>
          <w:szCs w:val="24"/>
        </w:rPr>
        <w:t xml:space="preserve">The lack of a robust evidence base </w:t>
      </w:r>
      <w:r w:rsidR="0094457B" w:rsidRPr="0094457B">
        <w:rPr>
          <w:rFonts w:ascii="Arial" w:hAnsi="Arial" w:cs="Arial"/>
          <w:b/>
          <w:sz w:val="24"/>
          <w:szCs w:val="24"/>
        </w:rPr>
        <w:t>in favour of</w:t>
      </w:r>
      <w:r w:rsidRPr="00DF5E7A">
        <w:rPr>
          <w:rFonts w:ascii="Arial" w:hAnsi="Arial" w:cs="Arial"/>
          <w:b/>
          <w:sz w:val="24"/>
          <w:szCs w:val="24"/>
        </w:rPr>
        <w:t xml:space="preserve"> income management</w:t>
      </w:r>
    </w:p>
    <w:p w:rsidR="00FA0F2D" w:rsidRPr="00E02003" w:rsidRDefault="00EE5490" w:rsidP="00E02003">
      <w:pPr>
        <w:jc w:val="both"/>
        <w:rPr>
          <w:rFonts w:ascii="Arial" w:hAnsi="Arial" w:cs="Arial"/>
          <w:sz w:val="24"/>
          <w:szCs w:val="24"/>
        </w:rPr>
      </w:pPr>
      <w:r w:rsidRPr="00E02003">
        <w:rPr>
          <w:rFonts w:ascii="Arial" w:hAnsi="Arial" w:cs="Arial"/>
          <w:sz w:val="24"/>
          <w:szCs w:val="24"/>
        </w:rPr>
        <w:t>T</w:t>
      </w:r>
      <w:r w:rsidR="005B1E7E" w:rsidRPr="00E02003">
        <w:rPr>
          <w:rFonts w:ascii="Arial" w:hAnsi="Arial" w:cs="Arial"/>
          <w:sz w:val="24"/>
          <w:szCs w:val="24"/>
        </w:rPr>
        <w:t xml:space="preserve">he evidence base to support an expansion of income management </w:t>
      </w:r>
      <w:r w:rsidR="000B7964">
        <w:rPr>
          <w:rFonts w:ascii="Arial" w:hAnsi="Arial" w:cs="Arial"/>
          <w:sz w:val="24"/>
          <w:szCs w:val="24"/>
        </w:rPr>
        <w:t>is</w:t>
      </w:r>
      <w:r w:rsidR="005B1E7E" w:rsidRPr="00E02003">
        <w:rPr>
          <w:rFonts w:ascii="Arial" w:hAnsi="Arial" w:cs="Arial"/>
          <w:sz w:val="24"/>
          <w:szCs w:val="24"/>
        </w:rPr>
        <w:t xml:space="preserve"> flimsy. </w:t>
      </w:r>
      <w:r w:rsidR="00FA0F2D" w:rsidRPr="00E02003">
        <w:rPr>
          <w:rFonts w:ascii="Arial" w:hAnsi="Arial" w:cs="Arial"/>
          <w:sz w:val="24"/>
          <w:szCs w:val="24"/>
        </w:rPr>
        <w:t xml:space="preserve">I was </w:t>
      </w:r>
      <w:r w:rsidR="00E119DB" w:rsidRPr="00E02003">
        <w:rPr>
          <w:rFonts w:ascii="Arial" w:hAnsi="Arial" w:cs="Arial"/>
          <w:sz w:val="24"/>
          <w:szCs w:val="24"/>
        </w:rPr>
        <w:t xml:space="preserve">therefore </w:t>
      </w:r>
      <w:r w:rsidR="00FA0F2D" w:rsidRPr="00E02003">
        <w:rPr>
          <w:rFonts w:ascii="Arial" w:hAnsi="Arial" w:cs="Arial"/>
          <w:sz w:val="24"/>
          <w:szCs w:val="24"/>
        </w:rPr>
        <w:t>surprised that t</w:t>
      </w:r>
      <w:r w:rsidR="005B1E7E" w:rsidRPr="00E02003">
        <w:rPr>
          <w:rFonts w:ascii="Arial" w:hAnsi="Arial" w:cs="Arial"/>
          <w:sz w:val="24"/>
          <w:szCs w:val="24"/>
        </w:rPr>
        <w:t>he Mc</w:t>
      </w:r>
      <w:r w:rsidR="001D6F27">
        <w:rPr>
          <w:rFonts w:ascii="Arial" w:hAnsi="Arial" w:cs="Arial"/>
          <w:sz w:val="24"/>
          <w:szCs w:val="24"/>
        </w:rPr>
        <w:t>Cl</w:t>
      </w:r>
      <w:r w:rsidR="005B1E7E" w:rsidRPr="00E02003">
        <w:rPr>
          <w:rFonts w:ascii="Arial" w:hAnsi="Arial" w:cs="Arial"/>
          <w:sz w:val="24"/>
          <w:szCs w:val="24"/>
        </w:rPr>
        <w:t xml:space="preserve">ure Report </w:t>
      </w:r>
      <w:r w:rsidR="00FA0F2D" w:rsidRPr="00E02003">
        <w:rPr>
          <w:rFonts w:ascii="Arial" w:hAnsi="Arial" w:cs="Arial"/>
          <w:sz w:val="24"/>
          <w:szCs w:val="24"/>
        </w:rPr>
        <w:t>claims</w:t>
      </w:r>
      <w:r w:rsidR="005B1E7E" w:rsidRPr="00E02003">
        <w:rPr>
          <w:rFonts w:ascii="Arial" w:hAnsi="Arial" w:cs="Arial"/>
          <w:sz w:val="24"/>
          <w:szCs w:val="24"/>
        </w:rPr>
        <w:t xml:space="preserve">: </w:t>
      </w:r>
    </w:p>
    <w:p w:rsidR="00FA0F2D" w:rsidRPr="00E02003" w:rsidRDefault="005B1E7E" w:rsidP="00E02003">
      <w:pPr>
        <w:ind w:left="720"/>
        <w:jc w:val="both"/>
        <w:rPr>
          <w:rFonts w:ascii="Arial" w:hAnsi="Arial" w:cs="Arial"/>
          <w:sz w:val="24"/>
          <w:szCs w:val="24"/>
        </w:rPr>
      </w:pPr>
      <w:r w:rsidRPr="00E02003">
        <w:rPr>
          <w:rFonts w:ascii="Arial" w:hAnsi="Arial" w:cs="Arial"/>
          <w:sz w:val="24"/>
          <w:szCs w:val="24"/>
        </w:rPr>
        <w:t xml:space="preserve">Overall … the evidence to date suggests income management has assisted individuals and families to stabilise their financial circumstances, helped them meet priority needs, particularly the needs of </w:t>
      </w:r>
      <w:proofErr w:type="gramStart"/>
      <w:r w:rsidRPr="00E02003">
        <w:rPr>
          <w:rFonts w:ascii="Arial" w:hAnsi="Arial" w:cs="Arial"/>
          <w:sz w:val="24"/>
          <w:szCs w:val="24"/>
        </w:rPr>
        <w:t>children,</w:t>
      </w:r>
      <w:proofErr w:type="gramEnd"/>
      <w:r w:rsidRPr="00E02003">
        <w:rPr>
          <w:rFonts w:ascii="Arial" w:hAnsi="Arial" w:cs="Arial"/>
          <w:sz w:val="24"/>
          <w:szCs w:val="24"/>
        </w:rPr>
        <w:t xml:space="preserve"> and can protect vulnerable people from financial harassment and exploitation.</w:t>
      </w:r>
      <w:r w:rsidRPr="00E02003">
        <w:rPr>
          <w:rStyle w:val="FootnoteReference"/>
          <w:rFonts w:ascii="Arial" w:hAnsi="Arial" w:cs="Arial"/>
          <w:sz w:val="24"/>
          <w:szCs w:val="24"/>
        </w:rPr>
        <w:footnoteReference w:id="11"/>
      </w:r>
      <w:r w:rsidRPr="00E02003">
        <w:rPr>
          <w:rFonts w:ascii="Arial" w:hAnsi="Arial" w:cs="Arial"/>
          <w:sz w:val="24"/>
          <w:szCs w:val="24"/>
        </w:rPr>
        <w:t xml:space="preserve"> </w:t>
      </w:r>
    </w:p>
    <w:p w:rsidR="00840384" w:rsidRPr="00E02003" w:rsidRDefault="00840384" w:rsidP="00E02003">
      <w:pPr>
        <w:jc w:val="both"/>
        <w:rPr>
          <w:rFonts w:ascii="Arial" w:hAnsi="Arial" w:cs="Arial"/>
          <w:sz w:val="24"/>
          <w:szCs w:val="24"/>
        </w:rPr>
      </w:pPr>
      <w:r w:rsidRPr="00E02003">
        <w:rPr>
          <w:rFonts w:ascii="Arial" w:hAnsi="Arial" w:cs="Arial"/>
          <w:sz w:val="24"/>
          <w:szCs w:val="24"/>
        </w:rPr>
        <w:t xml:space="preserve">This wording echoes the government’s stated purpose for introducing income management </w:t>
      </w:r>
      <w:r w:rsidR="001C781F" w:rsidRPr="00E02003">
        <w:rPr>
          <w:rFonts w:ascii="Arial" w:hAnsi="Arial" w:cs="Arial"/>
          <w:sz w:val="24"/>
          <w:szCs w:val="24"/>
        </w:rPr>
        <w:t>contained</w:t>
      </w:r>
      <w:r w:rsidRPr="00E02003">
        <w:rPr>
          <w:rFonts w:ascii="Arial" w:hAnsi="Arial" w:cs="Arial"/>
          <w:sz w:val="24"/>
          <w:szCs w:val="24"/>
        </w:rPr>
        <w:t xml:space="preserve"> in the Parliamentary Debates and the Explanatory Memorandum accompanying the income management legislation,</w:t>
      </w:r>
      <w:r w:rsidRPr="00E02003">
        <w:rPr>
          <w:rStyle w:val="FootnoteReference"/>
          <w:rFonts w:ascii="Arial" w:hAnsi="Arial" w:cs="Arial"/>
          <w:sz w:val="24"/>
          <w:szCs w:val="24"/>
        </w:rPr>
        <w:footnoteReference w:id="12"/>
      </w:r>
      <w:r w:rsidRPr="00E02003">
        <w:rPr>
          <w:rFonts w:ascii="Arial" w:hAnsi="Arial" w:cs="Arial"/>
          <w:sz w:val="24"/>
          <w:szCs w:val="24"/>
        </w:rPr>
        <w:t xml:space="preserve"> </w:t>
      </w:r>
      <w:r w:rsidR="000B7964" w:rsidRPr="00E02003">
        <w:rPr>
          <w:rFonts w:ascii="Arial" w:hAnsi="Arial" w:cs="Arial"/>
          <w:sz w:val="24"/>
          <w:szCs w:val="24"/>
        </w:rPr>
        <w:t xml:space="preserve">but repeating the government’s </w:t>
      </w:r>
      <w:r w:rsidR="000B7964">
        <w:rPr>
          <w:rFonts w:ascii="Arial" w:hAnsi="Arial" w:cs="Arial"/>
          <w:sz w:val="24"/>
          <w:szCs w:val="24"/>
        </w:rPr>
        <w:t>rhetorical</w:t>
      </w:r>
      <w:r w:rsidR="000B7964" w:rsidRPr="00E02003">
        <w:rPr>
          <w:rFonts w:ascii="Arial" w:hAnsi="Arial" w:cs="Arial"/>
          <w:sz w:val="24"/>
          <w:szCs w:val="24"/>
        </w:rPr>
        <w:t xml:space="preserve"> assertions does not amount to evidence. Such a position glosses over the problems with income management and can only be </w:t>
      </w:r>
      <w:r w:rsidR="000B7964">
        <w:rPr>
          <w:rFonts w:ascii="Arial" w:hAnsi="Arial" w:cs="Arial"/>
          <w:sz w:val="24"/>
          <w:szCs w:val="24"/>
        </w:rPr>
        <w:t>justified</w:t>
      </w:r>
      <w:r w:rsidR="000B7964" w:rsidRPr="00E02003">
        <w:rPr>
          <w:rFonts w:ascii="Arial" w:hAnsi="Arial" w:cs="Arial"/>
          <w:sz w:val="24"/>
          <w:szCs w:val="24"/>
        </w:rPr>
        <w:t xml:space="preserve"> by ignoring the evidence in numerous reports.</w:t>
      </w:r>
    </w:p>
    <w:p w:rsidR="002B7614" w:rsidRPr="00E02003" w:rsidRDefault="005B1E7E" w:rsidP="002B7614">
      <w:pPr>
        <w:jc w:val="both"/>
        <w:rPr>
          <w:rFonts w:ascii="Arial" w:hAnsi="Arial" w:cs="Arial"/>
          <w:sz w:val="24"/>
          <w:szCs w:val="24"/>
        </w:rPr>
      </w:pPr>
      <w:r w:rsidRPr="00E02003">
        <w:rPr>
          <w:rFonts w:ascii="Arial" w:hAnsi="Arial" w:cs="Arial"/>
          <w:sz w:val="24"/>
          <w:szCs w:val="24"/>
        </w:rPr>
        <w:t>Th</w:t>
      </w:r>
      <w:r w:rsidR="00840384" w:rsidRPr="00E02003">
        <w:rPr>
          <w:rFonts w:ascii="Arial" w:hAnsi="Arial" w:cs="Arial"/>
          <w:sz w:val="24"/>
          <w:szCs w:val="24"/>
        </w:rPr>
        <w:t xml:space="preserve">e claim in the McClure Report </w:t>
      </w:r>
      <w:r w:rsidRPr="00E02003">
        <w:rPr>
          <w:rFonts w:ascii="Arial" w:hAnsi="Arial" w:cs="Arial"/>
          <w:sz w:val="24"/>
          <w:szCs w:val="24"/>
        </w:rPr>
        <w:t>is in marked contrast to other findings in a range of government commis</w:t>
      </w:r>
      <w:r w:rsidR="00C34C01" w:rsidRPr="00E02003">
        <w:rPr>
          <w:rFonts w:ascii="Arial" w:hAnsi="Arial" w:cs="Arial"/>
          <w:sz w:val="24"/>
          <w:szCs w:val="24"/>
        </w:rPr>
        <w:t xml:space="preserve">sioned and independent reports. </w:t>
      </w:r>
      <w:r w:rsidR="001C31AF" w:rsidRPr="00E02003">
        <w:rPr>
          <w:rFonts w:ascii="Arial" w:hAnsi="Arial" w:cs="Arial"/>
          <w:sz w:val="24"/>
          <w:szCs w:val="24"/>
        </w:rPr>
        <w:t xml:space="preserve">For example, the </w:t>
      </w:r>
      <w:r w:rsidR="002B7614">
        <w:rPr>
          <w:rFonts w:ascii="Arial" w:hAnsi="Arial" w:cs="Arial"/>
          <w:sz w:val="24"/>
          <w:szCs w:val="24"/>
        </w:rPr>
        <w:t>extremely thorough</w:t>
      </w:r>
      <w:r w:rsidR="002B7614" w:rsidRPr="00E02003">
        <w:rPr>
          <w:rFonts w:ascii="Arial" w:hAnsi="Arial" w:cs="Arial"/>
          <w:sz w:val="24"/>
          <w:szCs w:val="24"/>
        </w:rPr>
        <w:t xml:space="preserve"> </w:t>
      </w:r>
      <w:r w:rsidR="001C31AF" w:rsidRPr="00E02003">
        <w:rPr>
          <w:rFonts w:ascii="Arial" w:hAnsi="Arial" w:cs="Arial"/>
          <w:sz w:val="24"/>
          <w:szCs w:val="24"/>
        </w:rPr>
        <w:t xml:space="preserve">government commissioned report </w:t>
      </w:r>
      <w:r w:rsidR="00593FAE">
        <w:rPr>
          <w:rFonts w:ascii="Arial" w:hAnsi="Arial" w:cs="Arial"/>
          <w:sz w:val="24"/>
          <w:szCs w:val="24"/>
        </w:rPr>
        <w:t>completed</w:t>
      </w:r>
      <w:r w:rsidR="00593FAE" w:rsidRPr="00E02003">
        <w:rPr>
          <w:rFonts w:ascii="Arial" w:hAnsi="Arial" w:cs="Arial"/>
          <w:sz w:val="24"/>
          <w:szCs w:val="24"/>
        </w:rPr>
        <w:t xml:space="preserve"> </w:t>
      </w:r>
      <w:r w:rsidR="001C31AF" w:rsidRPr="00E02003">
        <w:rPr>
          <w:rFonts w:ascii="Arial" w:hAnsi="Arial" w:cs="Arial"/>
          <w:sz w:val="24"/>
          <w:szCs w:val="24"/>
        </w:rPr>
        <w:t xml:space="preserve">in 2012 concluded that ‘there is very little robust research evidence for the effectiveness (or otherwise) of income management more generally and NIM </w:t>
      </w:r>
      <w:r w:rsidR="002F1BB4" w:rsidRPr="00E02003">
        <w:rPr>
          <w:rFonts w:ascii="Arial" w:hAnsi="Arial" w:cs="Arial"/>
          <w:sz w:val="24"/>
          <w:szCs w:val="24"/>
        </w:rPr>
        <w:t xml:space="preserve">[new income management] </w:t>
      </w:r>
      <w:r w:rsidR="001C31AF" w:rsidRPr="00E02003">
        <w:rPr>
          <w:rFonts w:ascii="Arial" w:hAnsi="Arial" w:cs="Arial"/>
          <w:sz w:val="24"/>
          <w:szCs w:val="24"/>
        </w:rPr>
        <w:t>in particular.’</w:t>
      </w:r>
      <w:r w:rsidR="001C31AF" w:rsidRPr="00E02003">
        <w:rPr>
          <w:rStyle w:val="FootnoteReference"/>
          <w:rFonts w:ascii="Arial" w:hAnsi="Arial" w:cs="Arial"/>
          <w:sz w:val="24"/>
          <w:szCs w:val="24"/>
        </w:rPr>
        <w:footnoteReference w:id="13"/>
      </w:r>
      <w:r w:rsidR="00D672CC" w:rsidRPr="00E02003">
        <w:rPr>
          <w:rFonts w:ascii="Arial" w:hAnsi="Arial" w:cs="Arial"/>
          <w:sz w:val="24"/>
          <w:szCs w:val="24"/>
        </w:rPr>
        <w:t xml:space="preserve"> </w:t>
      </w:r>
      <w:r w:rsidR="00C34C01" w:rsidRPr="00E02003">
        <w:rPr>
          <w:rFonts w:ascii="Arial" w:hAnsi="Arial" w:cs="Arial"/>
          <w:sz w:val="24"/>
          <w:szCs w:val="24"/>
        </w:rPr>
        <w:t xml:space="preserve">It </w:t>
      </w:r>
      <w:r w:rsidR="00C34C01" w:rsidRPr="00E02003">
        <w:rPr>
          <w:rFonts w:ascii="Arial" w:hAnsi="Arial" w:cs="Arial"/>
          <w:sz w:val="24"/>
          <w:szCs w:val="24"/>
        </w:rPr>
        <w:lastRenderedPageBreak/>
        <w:t>found that ‘there is little indication that income management is itself effective in changing parenting behaviour, reducing addiction or improving capacity to manage finances.’</w:t>
      </w:r>
      <w:r w:rsidR="00C34C01" w:rsidRPr="00E02003">
        <w:rPr>
          <w:rStyle w:val="FootnoteReference"/>
          <w:rFonts w:ascii="Arial" w:hAnsi="Arial" w:cs="Arial"/>
          <w:sz w:val="24"/>
          <w:szCs w:val="24"/>
        </w:rPr>
        <w:footnoteReference w:id="14"/>
      </w:r>
      <w:r w:rsidR="00C34C01" w:rsidRPr="00E02003">
        <w:rPr>
          <w:rFonts w:ascii="Arial" w:hAnsi="Arial" w:cs="Arial"/>
          <w:sz w:val="24"/>
          <w:szCs w:val="24"/>
        </w:rPr>
        <w:t xml:space="preserve"> Yet changing these factors has been repeatedly claimed by the government as the rationale underpinning income management. </w:t>
      </w:r>
      <w:r w:rsidR="00D672CC" w:rsidRPr="00E02003">
        <w:rPr>
          <w:rFonts w:ascii="Arial" w:hAnsi="Arial" w:cs="Arial"/>
          <w:sz w:val="24"/>
          <w:szCs w:val="24"/>
        </w:rPr>
        <w:t>The same report found that ‘some participants say there is more financial harassment due to the reduced cash available to family members who have addictions’.</w:t>
      </w:r>
      <w:r w:rsidR="00D672CC" w:rsidRPr="00E02003">
        <w:rPr>
          <w:rStyle w:val="FootnoteReference"/>
          <w:rFonts w:ascii="Arial" w:hAnsi="Arial" w:cs="Arial"/>
          <w:sz w:val="24"/>
          <w:szCs w:val="24"/>
        </w:rPr>
        <w:footnoteReference w:id="15"/>
      </w:r>
      <w:r w:rsidR="00732A89" w:rsidRPr="00E02003">
        <w:rPr>
          <w:rFonts w:ascii="Arial" w:hAnsi="Arial" w:cs="Arial"/>
          <w:sz w:val="24"/>
          <w:szCs w:val="24"/>
        </w:rPr>
        <w:t xml:space="preserve"> </w:t>
      </w:r>
      <w:r w:rsidR="00AD125A">
        <w:rPr>
          <w:rFonts w:ascii="Arial" w:hAnsi="Arial" w:cs="Arial"/>
          <w:sz w:val="24"/>
          <w:szCs w:val="24"/>
        </w:rPr>
        <w:t xml:space="preserve">Bray and others </w:t>
      </w:r>
      <w:r w:rsidR="00732A89" w:rsidRPr="00E02003">
        <w:rPr>
          <w:rFonts w:ascii="Arial" w:hAnsi="Arial" w:cs="Arial"/>
          <w:sz w:val="24"/>
          <w:szCs w:val="24"/>
        </w:rPr>
        <w:t>noted that for welfare recipients classified as ‘vulnerable’ under the new income management scheme, income management ‘is likely to … operate as a long term management tool, and not as an intervention that will build their capacity or change their behaviour.’</w:t>
      </w:r>
      <w:r w:rsidR="00732A89" w:rsidRPr="00E02003">
        <w:rPr>
          <w:rStyle w:val="FootnoteReference"/>
          <w:rFonts w:ascii="Arial" w:hAnsi="Arial" w:cs="Arial"/>
          <w:sz w:val="24"/>
          <w:szCs w:val="24"/>
        </w:rPr>
        <w:footnoteReference w:id="16"/>
      </w:r>
      <w:r w:rsidR="00593FAE">
        <w:rPr>
          <w:rFonts w:ascii="Arial" w:hAnsi="Arial" w:cs="Arial"/>
          <w:sz w:val="24"/>
          <w:szCs w:val="24"/>
        </w:rPr>
        <w:t xml:space="preserve"> </w:t>
      </w:r>
      <w:r w:rsidR="002B7614" w:rsidRPr="00E02003">
        <w:rPr>
          <w:rFonts w:ascii="Arial" w:hAnsi="Arial" w:cs="Arial"/>
          <w:sz w:val="24"/>
          <w:szCs w:val="24"/>
        </w:rPr>
        <w:t xml:space="preserve">After </w:t>
      </w:r>
      <w:r w:rsidR="002B7614">
        <w:rPr>
          <w:rFonts w:ascii="Arial" w:hAnsi="Arial" w:cs="Arial"/>
          <w:sz w:val="24"/>
          <w:szCs w:val="24"/>
        </w:rPr>
        <w:t>five</w:t>
      </w:r>
      <w:r w:rsidR="00593FAE">
        <w:rPr>
          <w:rFonts w:ascii="Arial" w:hAnsi="Arial" w:cs="Arial"/>
          <w:sz w:val="24"/>
          <w:szCs w:val="24"/>
        </w:rPr>
        <w:t xml:space="preserve"> years </w:t>
      </w:r>
      <w:r w:rsidR="002B7614" w:rsidRPr="00E02003">
        <w:rPr>
          <w:rFonts w:ascii="Arial" w:hAnsi="Arial" w:cs="Arial"/>
          <w:sz w:val="24"/>
          <w:szCs w:val="24"/>
        </w:rPr>
        <w:t xml:space="preserve">this does </w:t>
      </w:r>
      <w:r w:rsidR="002B7614">
        <w:rPr>
          <w:rFonts w:ascii="Arial" w:hAnsi="Arial" w:cs="Arial"/>
          <w:sz w:val="24"/>
          <w:szCs w:val="24"/>
        </w:rPr>
        <w:t>not constitute evidence of</w:t>
      </w:r>
      <w:r w:rsidR="002B7614" w:rsidRPr="00E02003">
        <w:rPr>
          <w:rFonts w:ascii="Arial" w:hAnsi="Arial" w:cs="Arial"/>
          <w:sz w:val="24"/>
          <w:szCs w:val="24"/>
        </w:rPr>
        <w:t xml:space="preserve"> policy success; and it is concerning that the government is choosing to ignore the findings of </w:t>
      </w:r>
      <w:r w:rsidR="00593FAE">
        <w:rPr>
          <w:rFonts w:ascii="Arial" w:hAnsi="Arial" w:cs="Arial"/>
          <w:sz w:val="24"/>
          <w:szCs w:val="24"/>
        </w:rPr>
        <w:t>government</w:t>
      </w:r>
      <w:r w:rsidR="002B7614" w:rsidRPr="00E02003">
        <w:rPr>
          <w:rFonts w:ascii="Arial" w:hAnsi="Arial" w:cs="Arial"/>
          <w:sz w:val="24"/>
          <w:szCs w:val="24"/>
        </w:rPr>
        <w:t xml:space="preserve"> commissioned </w:t>
      </w:r>
      <w:r w:rsidR="002B7614">
        <w:rPr>
          <w:rFonts w:ascii="Arial" w:hAnsi="Arial" w:cs="Arial"/>
          <w:sz w:val="24"/>
          <w:szCs w:val="24"/>
        </w:rPr>
        <w:t xml:space="preserve">independent university-based </w:t>
      </w:r>
      <w:r w:rsidR="002B7614" w:rsidRPr="00E02003">
        <w:rPr>
          <w:rFonts w:ascii="Arial" w:hAnsi="Arial" w:cs="Arial"/>
          <w:sz w:val="24"/>
          <w:szCs w:val="24"/>
        </w:rPr>
        <w:t xml:space="preserve">research. </w:t>
      </w:r>
    </w:p>
    <w:p w:rsidR="00A6303A" w:rsidRDefault="00EF7C2E" w:rsidP="00E02003">
      <w:pPr>
        <w:jc w:val="both"/>
        <w:rPr>
          <w:rFonts w:ascii="Arial" w:hAnsi="Arial" w:cs="Arial"/>
          <w:sz w:val="24"/>
          <w:szCs w:val="24"/>
        </w:rPr>
      </w:pPr>
      <w:r w:rsidRPr="00E02003">
        <w:rPr>
          <w:rFonts w:ascii="Arial" w:hAnsi="Arial" w:cs="Arial"/>
          <w:sz w:val="24"/>
          <w:szCs w:val="24"/>
        </w:rPr>
        <w:t>Another report</w:t>
      </w:r>
      <w:r w:rsidR="004F1A00" w:rsidRPr="00E02003">
        <w:rPr>
          <w:rFonts w:ascii="Arial" w:hAnsi="Arial" w:cs="Arial"/>
          <w:sz w:val="24"/>
          <w:szCs w:val="24"/>
        </w:rPr>
        <w:t xml:space="preserve"> on the impact of income management undertaken</w:t>
      </w:r>
      <w:r w:rsidRPr="00E02003">
        <w:rPr>
          <w:rFonts w:ascii="Arial" w:hAnsi="Arial" w:cs="Arial"/>
          <w:sz w:val="24"/>
          <w:szCs w:val="24"/>
        </w:rPr>
        <w:t xml:space="preserve"> by the </w:t>
      </w:r>
      <w:r w:rsidRPr="00E02003">
        <w:rPr>
          <w:rFonts w:ascii="Arial" w:hAnsi="Arial" w:cs="Arial"/>
          <w:sz w:val="24"/>
          <w:szCs w:val="24"/>
          <w:lang w:val="en-US"/>
        </w:rPr>
        <w:t>Equality Rights Alliance</w:t>
      </w:r>
      <w:r w:rsidRPr="00E02003">
        <w:rPr>
          <w:rFonts w:ascii="Arial" w:hAnsi="Arial" w:cs="Arial"/>
          <w:sz w:val="24"/>
          <w:szCs w:val="24"/>
        </w:rPr>
        <w:t xml:space="preserve"> found that 85 per cent of the women surveyed </w:t>
      </w:r>
      <w:r w:rsidR="00840384" w:rsidRPr="00E02003">
        <w:rPr>
          <w:rFonts w:ascii="Arial" w:hAnsi="Arial" w:cs="Arial"/>
          <w:sz w:val="24"/>
          <w:szCs w:val="24"/>
        </w:rPr>
        <w:t>did</w:t>
      </w:r>
      <w:r w:rsidRPr="00E02003">
        <w:rPr>
          <w:rFonts w:ascii="Arial" w:hAnsi="Arial" w:cs="Arial"/>
          <w:sz w:val="24"/>
          <w:szCs w:val="24"/>
        </w:rPr>
        <w:t xml:space="preserve"> not change what they purchased as a consequence </w:t>
      </w:r>
      <w:r w:rsidR="00BA7CD2">
        <w:rPr>
          <w:rFonts w:ascii="Arial" w:hAnsi="Arial" w:cs="Arial"/>
          <w:sz w:val="24"/>
          <w:szCs w:val="24"/>
        </w:rPr>
        <w:t xml:space="preserve">of </w:t>
      </w:r>
      <w:r w:rsidRPr="00E02003">
        <w:rPr>
          <w:rFonts w:ascii="Arial" w:hAnsi="Arial" w:cs="Arial"/>
          <w:sz w:val="24"/>
          <w:szCs w:val="24"/>
        </w:rPr>
        <w:t>income manage</w:t>
      </w:r>
      <w:r w:rsidR="00840384" w:rsidRPr="00E02003">
        <w:rPr>
          <w:rFonts w:ascii="Arial" w:hAnsi="Arial" w:cs="Arial"/>
          <w:sz w:val="24"/>
          <w:szCs w:val="24"/>
        </w:rPr>
        <w:t>ment</w:t>
      </w:r>
      <w:r w:rsidRPr="00E02003">
        <w:rPr>
          <w:rFonts w:ascii="Arial" w:hAnsi="Arial" w:cs="Arial"/>
          <w:sz w:val="24"/>
          <w:szCs w:val="24"/>
        </w:rPr>
        <w:t>.</w:t>
      </w:r>
      <w:r w:rsidRPr="00E02003">
        <w:rPr>
          <w:rStyle w:val="FootnoteReference"/>
          <w:rFonts w:ascii="Arial" w:hAnsi="Arial" w:cs="Arial"/>
          <w:sz w:val="24"/>
          <w:szCs w:val="24"/>
        </w:rPr>
        <w:footnoteReference w:id="17"/>
      </w:r>
      <w:r w:rsidRPr="00E02003">
        <w:rPr>
          <w:rFonts w:ascii="Arial" w:hAnsi="Arial" w:cs="Arial"/>
          <w:sz w:val="24"/>
          <w:szCs w:val="24"/>
        </w:rPr>
        <w:t xml:space="preserve"> However, </w:t>
      </w:r>
      <w:r w:rsidR="00BA7CD2">
        <w:rPr>
          <w:rFonts w:ascii="Arial" w:hAnsi="Arial" w:cs="Arial"/>
          <w:sz w:val="24"/>
          <w:szCs w:val="24"/>
        </w:rPr>
        <w:t>53</w:t>
      </w:r>
      <w:r w:rsidRPr="00E02003">
        <w:rPr>
          <w:rFonts w:ascii="Arial" w:hAnsi="Arial" w:cs="Arial"/>
          <w:sz w:val="24"/>
          <w:szCs w:val="24"/>
        </w:rPr>
        <w:t xml:space="preserve"> per cent claimed that shopping with a </w:t>
      </w:r>
      <w:proofErr w:type="spellStart"/>
      <w:r w:rsidRPr="00E02003">
        <w:rPr>
          <w:rFonts w:ascii="Arial" w:hAnsi="Arial" w:cs="Arial"/>
          <w:sz w:val="24"/>
          <w:szCs w:val="24"/>
        </w:rPr>
        <w:t>BasicsCard</w:t>
      </w:r>
      <w:proofErr w:type="spellEnd"/>
      <w:r w:rsidRPr="00E02003">
        <w:rPr>
          <w:rFonts w:ascii="Arial" w:hAnsi="Arial" w:cs="Arial"/>
          <w:sz w:val="24"/>
          <w:szCs w:val="24"/>
        </w:rPr>
        <w:t xml:space="preserve"> was </w:t>
      </w:r>
      <w:r w:rsidR="00840384" w:rsidRPr="00E02003">
        <w:rPr>
          <w:rFonts w:ascii="Arial" w:hAnsi="Arial" w:cs="Arial"/>
          <w:sz w:val="24"/>
          <w:szCs w:val="24"/>
        </w:rPr>
        <w:t>often</w:t>
      </w:r>
      <w:r w:rsidRPr="00E02003">
        <w:rPr>
          <w:rFonts w:ascii="Arial" w:hAnsi="Arial" w:cs="Arial"/>
          <w:sz w:val="24"/>
          <w:szCs w:val="24"/>
        </w:rPr>
        <w:t xml:space="preserve"> more difficult.</w:t>
      </w:r>
      <w:r w:rsidRPr="00E02003">
        <w:rPr>
          <w:rStyle w:val="FootnoteReference"/>
          <w:rFonts w:ascii="Arial" w:hAnsi="Arial" w:cs="Arial"/>
          <w:sz w:val="24"/>
          <w:szCs w:val="24"/>
        </w:rPr>
        <w:footnoteReference w:id="18"/>
      </w:r>
      <w:r w:rsidR="004F1A00" w:rsidRPr="00E02003">
        <w:rPr>
          <w:rFonts w:ascii="Arial" w:hAnsi="Arial" w:cs="Arial"/>
          <w:sz w:val="24"/>
          <w:szCs w:val="24"/>
        </w:rPr>
        <w:t xml:space="preserve"> </w:t>
      </w:r>
      <w:r w:rsidR="00DC6EE4" w:rsidRPr="00E02003">
        <w:rPr>
          <w:rFonts w:ascii="Arial" w:hAnsi="Arial" w:cs="Arial"/>
          <w:sz w:val="24"/>
          <w:szCs w:val="24"/>
        </w:rPr>
        <w:t>W</w:t>
      </w:r>
      <w:r w:rsidR="004F1A00" w:rsidRPr="00E02003">
        <w:rPr>
          <w:rFonts w:ascii="Arial" w:hAnsi="Arial" w:cs="Arial"/>
          <w:sz w:val="24"/>
          <w:szCs w:val="24"/>
        </w:rPr>
        <w:t xml:space="preserve">hen asked how they </w:t>
      </w:r>
      <w:r w:rsidR="00DC6EE4" w:rsidRPr="00E02003">
        <w:rPr>
          <w:rFonts w:ascii="Arial" w:hAnsi="Arial" w:cs="Arial"/>
          <w:sz w:val="24"/>
          <w:szCs w:val="24"/>
        </w:rPr>
        <w:t xml:space="preserve">felt about using the </w:t>
      </w:r>
      <w:proofErr w:type="spellStart"/>
      <w:r w:rsidR="00DC6EE4" w:rsidRPr="00E02003">
        <w:rPr>
          <w:rFonts w:ascii="Arial" w:hAnsi="Arial" w:cs="Arial"/>
          <w:sz w:val="24"/>
          <w:szCs w:val="24"/>
        </w:rPr>
        <w:t>BasicsCard</w:t>
      </w:r>
      <w:proofErr w:type="spellEnd"/>
      <w:r w:rsidR="00DC6EE4" w:rsidRPr="00E02003">
        <w:rPr>
          <w:rFonts w:ascii="Arial" w:hAnsi="Arial" w:cs="Arial"/>
          <w:sz w:val="24"/>
          <w:szCs w:val="24"/>
        </w:rPr>
        <w:t>,</w:t>
      </w:r>
      <w:r w:rsidR="004F1A00" w:rsidRPr="00E02003">
        <w:rPr>
          <w:rFonts w:ascii="Arial" w:hAnsi="Arial" w:cs="Arial"/>
          <w:sz w:val="24"/>
          <w:szCs w:val="24"/>
        </w:rPr>
        <w:t xml:space="preserve"> ‘79% answered I do not like using the </w:t>
      </w:r>
      <w:proofErr w:type="spellStart"/>
      <w:r w:rsidR="004F1A00" w:rsidRPr="00E02003">
        <w:rPr>
          <w:rFonts w:ascii="Arial" w:hAnsi="Arial" w:cs="Arial"/>
          <w:sz w:val="24"/>
          <w:szCs w:val="24"/>
        </w:rPr>
        <w:t>BasicsCard</w:t>
      </w:r>
      <w:proofErr w:type="spellEnd"/>
      <w:r w:rsidR="004F1A00" w:rsidRPr="00E02003">
        <w:rPr>
          <w:rFonts w:ascii="Arial" w:hAnsi="Arial" w:cs="Arial"/>
          <w:sz w:val="24"/>
          <w:szCs w:val="24"/>
        </w:rPr>
        <w:t xml:space="preserve"> and want to stop using it now’.</w:t>
      </w:r>
      <w:r w:rsidR="004F1A00" w:rsidRPr="00E02003">
        <w:rPr>
          <w:rStyle w:val="FootnoteReference"/>
          <w:rFonts w:ascii="Arial" w:hAnsi="Arial" w:cs="Arial"/>
          <w:sz w:val="24"/>
          <w:szCs w:val="24"/>
        </w:rPr>
        <w:footnoteReference w:id="19"/>
      </w:r>
      <w:r w:rsidR="00A1449C" w:rsidRPr="00E02003">
        <w:rPr>
          <w:rFonts w:ascii="Arial" w:hAnsi="Arial" w:cs="Arial"/>
          <w:sz w:val="24"/>
          <w:szCs w:val="24"/>
        </w:rPr>
        <w:t xml:space="preserve"> Again, this does not look like evidence of </w:t>
      </w:r>
      <w:r w:rsidR="00593FAE">
        <w:rPr>
          <w:rFonts w:ascii="Arial" w:hAnsi="Arial" w:cs="Arial"/>
          <w:sz w:val="24"/>
          <w:szCs w:val="24"/>
        </w:rPr>
        <w:t>unequivocal</w:t>
      </w:r>
      <w:r w:rsidR="00A1449C" w:rsidRPr="00E02003">
        <w:rPr>
          <w:rFonts w:ascii="Arial" w:hAnsi="Arial" w:cs="Arial"/>
          <w:sz w:val="24"/>
          <w:szCs w:val="24"/>
        </w:rPr>
        <w:t xml:space="preserve"> success.</w:t>
      </w:r>
      <w:r w:rsidR="00A6303A" w:rsidRPr="00E02003">
        <w:rPr>
          <w:rFonts w:ascii="Arial" w:hAnsi="Arial" w:cs="Arial"/>
          <w:sz w:val="24"/>
          <w:szCs w:val="24"/>
        </w:rPr>
        <w:t xml:space="preserve"> </w:t>
      </w:r>
    </w:p>
    <w:p w:rsidR="00A678A5" w:rsidRDefault="00A678A5" w:rsidP="00A678A5">
      <w:pPr>
        <w:jc w:val="both"/>
        <w:rPr>
          <w:rFonts w:ascii="Arial" w:hAnsi="Arial" w:cs="Arial"/>
          <w:sz w:val="24"/>
          <w:szCs w:val="24"/>
        </w:rPr>
      </w:pPr>
      <w:r>
        <w:rPr>
          <w:rFonts w:ascii="Arial" w:hAnsi="Arial" w:cs="Arial"/>
          <w:sz w:val="24"/>
          <w:szCs w:val="24"/>
        </w:rPr>
        <w:t xml:space="preserve">Despite the government </w:t>
      </w:r>
      <w:r w:rsidR="00593FAE">
        <w:rPr>
          <w:rFonts w:ascii="Arial" w:hAnsi="Arial" w:cs="Arial"/>
          <w:sz w:val="24"/>
          <w:szCs w:val="24"/>
        </w:rPr>
        <w:t xml:space="preserve">and Cape York </w:t>
      </w:r>
      <w:r>
        <w:rPr>
          <w:rFonts w:ascii="Arial" w:hAnsi="Arial" w:cs="Arial"/>
          <w:sz w:val="24"/>
          <w:szCs w:val="24"/>
        </w:rPr>
        <w:t>rhetoric that income management is about providing food for vulnerable children, research on the trial of income management in Cape York has shown that:</w:t>
      </w:r>
    </w:p>
    <w:p w:rsidR="00A678A5" w:rsidRDefault="00A678A5" w:rsidP="00A678A5">
      <w:pPr>
        <w:ind w:left="720"/>
        <w:jc w:val="both"/>
        <w:rPr>
          <w:rFonts w:ascii="Arial" w:hAnsi="Arial" w:cs="Arial"/>
          <w:sz w:val="24"/>
          <w:szCs w:val="24"/>
        </w:rPr>
      </w:pPr>
      <w:r w:rsidRPr="00A678A5">
        <w:rPr>
          <w:rFonts w:ascii="Arial" w:hAnsi="Arial" w:cs="Arial"/>
          <w:sz w:val="24"/>
          <w:szCs w:val="24"/>
        </w:rPr>
        <w:t xml:space="preserve">A large proportion of all income management clients (68%) were not recorded with Centrelink as the primary carers of a dependent child. </w:t>
      </w:r>
      <w:r>
        <w:rPr>
          <w:rFonts w:ascii="Arial" w:hAnsi="Arial" w:cs="Arial"/>
          <w:sz w:val="24"/>
          <w:szCs w:val="24"/>
        </w:rPr>
        <w:t>…</w:t>
      </w:r>
      <w:r w:rsidRPr="00A678A5">
        <w:rPr>
          <w:rFonts w:ascii="Arial" w:hAnsi="Arial" w:cs="Arial"/>
          <w:sz w:val="24"/>
          <w:szCs w:val="24"/>
        </w:rPr>
        <w:t xml:space="preserve"> This indicates that income management was not primarily used as a method for ensuring that children were well cared for.</w:t>
      </w:r>
      <w:r>
        <w:rPr>
          <w:rStyle w:val="FootnoteReference"/>
          <w:rFonts w:ascii="Arial" w:hAnsi="Arial" w:cs="Arial"/>
          <w:sz w:val="24"/>
          <w:szCs w:val="24"/>
        </w:rPr>
        <w:footnoteReference w:id="20"/>
      </w:r>
    </w:p>
    <w:p w:rsidR="00A678A5" w:rsidRDefault="00281AE2" w:rsidP="00A678A5">
      <w:pPr>
        <w:jc w:val="both"/>
        <w:rPr>
          <w:rFonts w:ascii="Arial" w:hAnsi="Arial" w:cs="Arial"/>
          <w:sz w:val="24"/>
          <w:szCs w:val="24"/>
        </w:rPr>
      </w:pPr>
      <w:r>
        <w:rPr>
          <w:rFonts w:ascii="Arial" w:hAnsi="Arial" w:cs="Arial"/>
          <w:sz w:val="24"/>
          <w:szCs w:val="24"/>
        </w:rPr>
        <w:t xml:space="preserve">In Cape York the income management system can operate upon request or as a sanction imposed by the </w:t>
      </w:r>
      <w:r w:rsidRPr="00281AE2">
        <w:rPr>
          <w:rFonts w:ascii="Arial" w:hAnsi="Arial" w:cs="Arial"/>
          <w:sz w:val="24"/>
          <w:szCs w:val="24"/>
        </w:rPr>
        <w:t>Family Responsibilities Commission</w:t>
      </w:r>
      <w:r>
        <w:rPr>
          <w:rFonts w:ascii="Arial" w:hAnsi="Arial" w:cs="Arial"/>
          <w:sz w:val="24"/>
          <w:szCs w:val="24"/>
        </w:rPr>
        <w:t xml:space="preserve">. </w:t>
      </w:r>
      <w:r w:rsidR="00A678A5">
        <w:rPr>
          <w:rFonts w:ascii="Arial" w:hAnsi="Arial" w:cs="Arial"/>
          <w:sz w:val="24"/>
          <w:szCs w:val="24"/>
        </w:rPr>
        <w:t>Th</w:t>
      </w:r>
      <w:r w:rsidR="00724745">
        <w:rPr>
          <w:rFonts w:ascii="Arial" w:hAnsi="Arial" w:cs="Arial"/>
          <w:sz w:val="24"/>
          <w:szCs w:val="24"/>
        </w:rPr>
        <w:t>e</w:t>
      </w:r>
      <w:r w:rsidR="00A678A5">
        <w:rPr>
          <w:rFonts w:ascii="Arial" w:hAnsi="Arial" w:cs="Arial"/>
          <w:sz w:val="24"/>
          <w:szCs w:val="24"/>
        </w:rPr>
        <w:t xml:space="preserve"> </w:t>
      </w:r>
      <w:r w:rsidR="0049683F">
        <w:rPr>
          <w:rFonts w:ascii="Arial" w:hAnsi="Arial" w:cs="Arial"/>
          <w:sz w:val="24"/>
          <w:szCs w:val="24"/>
        </w:rPr>
        <w:t xml:space="preserve">2012 </w:t>
      </w:r>
      <w:r w:rsidR="00226A24">
        <w:rPr>
          <w:rFonts w:ascii="Arial" w:hAnsi="Arial" w:cs="Arial"/>
          <w:sz w:val="24"/>
          <w:szCs w:val="24"/>
        </w:rPr>
        <w:t xml:space="preserve">Cape York </w:t>
      </w:r>
      <w:r w:rsidR="0049683F">
        <w:rPr>
          <w:rFonts w:ascii="Arial" w:hAnsi="Arial" w:cs="Arial"/>
          <w:sz w:val="24"/>
          <w:szCs w:val="24"/>
        </w:rPr>
        <w:t xml:space="preserve">Evaluation Report </w:t>
      </w:r>
      <w:r w:rsidR="00A678A5">
        <w:rPr>
          <w:rFonts w:ascii="Arial" w:hAnsi="Arial" w:cs="Arial"/>
          <w:sz w:val="24"/>
          <w:szCs w:val="24"/>
        </w:rPr>
        <w:t>called into question the government’s claim</w:t>
      </w:r>
      <w:r w:rsidR="00724745">
        <w:rPr>
          <w:rFonts w:ascii="Arial" w:hAnsi="Arial" w:cs="Arial"/>
          <w:sz w:val="24"/>
          <w:szCs w:val="24"/>
        </w:rPr>
        <w:t xml:space="preserve"> that income management operates</w:t>
      </w:r>
      <w:r w:rsidR="00A678A5">
        <w:rPr>
          <w:rFonts w:ascii="Arial" w:hAnsi="Arial" w:cs="Arial"/>
          <w:sz w:val="24"/>
          <w:szCs w:val="24"/>
        </w:rPr>
        <w:t xml:space="preserve"> as an effective sanction to bring about behavioural change.</w:t>
      </w:r>
      <w:r w:rsidR="00226A24">
        <w:rPr>
          <w:rFonts w:ascii="Arial" w:hAnsi="Arial" w:cs="Arial"/>
          <w:sz w:val="24"/>
          <w:szCs w:val="24"/>
        </w:rPr>
        <w:t xml:space="preserve"> </w:t>
      </w:r>
      <w:r w:rsidR="00226A24">
        <w:rPr>
          <w:rFonts w:ascii="Arial" w:hAnsi="Arial" w:cs="Arial"/>
          <w:sz w:val="24"/>
          <w:szCs w:val="24"/>
        </w:rPr>
        <w:lastRenderedPageBreak/>
        <w:t>The data was found to be ‘</w:t>
      </w:r>
      <w:r w:rsidR="00226A24" w:rsidRPr="00226A24">
        <w:rPr>
          <w:rFonts w:ascii="Arial" w:hAnsi="Arial" w:cs="Arial"/>
          <w:sz w:val="24"/>
          <w:szCs w:val="24"/>
        </w:rPr>
        <w:t>consistent with the hypothesis that people who have more recently been subject to income management are resistant to change and less likely to respond to the sanction of income management.</w:t>
      </w:r>
      <w:r w:rsidR="00226A24">
        <w:rPr>
          <w:rFonts w:ascii="Arial" w:hAnsi="Arial" w:cs="Arial"/>
          <w:sz w:val="24"/>
          <w:szCs w:val="24"/>
        </w:rPr>
        <w:t>’</w:t>
      </w:r>
      <w:r w:rsidR="00A678A5">
        <w:rPr>
          <w:rStyle w:val="FootnoteReference"/>
          <w:rFonts w:ascii="Arial" w:hAnsi="Arial" w:cs="Arial"/>
          <w:sz w:val="24"/>
          <w:szCs w:val="24"/>
        </w:rPr>
        <w:footnoteReference w:id="21"/>
      </w:r>
      <w:r w:rsidR="00724745">
        <w:rPr>
          <w:rFonts w:ascii="Arial" w:hAnsi="Arial" w:cs="Arial"/>
          <w:sz w:val="24"/>
          <w:szCs w:val="24"/>
        </w:rPr>
        <w:t xml:space="preserve"> The Report concluded that ‘[t]</w:t>
      </w:r>
      <w:r w:rsidR="00724745" w:rsidRPr="00724745">
        <w:rPr>
          <w:rFonts w:ascii="Arial" w:hAnsi="Arial" w:cs="Arial"/>
          <w:sz w:val="24"/>
          <w:szCs w:val="24"/>
        </w:rPr>
        <w:t>here were no substantial differences in the characteristics of clients who had ceased being income managed and clients who were currently being income managed.</w:t>
      </w:r>
      <w:r w:rsidR="00724745">
        <w:rPr>
          <w:rFonts w:ascii="Arial" w:hAnsi="Arial" w:cs="Arial"/>
          <w:sz w:val="24"/>
          <w:szCs w:val="24"/>
        </w:rPr>
        <w:t>’</w:t>
      </w:r>
      <w:r w:rsidR="00724745">
        <w:rPr>
          <w:rStyle w:val="FootnoteReference"/>
          <w:rFonts w:ascii="Arial" w:hAnsi="Arial" w:cs="Arial"/>
          <w:sz w:val="24"/>
          <w:szCs w:val="24"/>
        </w:rPr>
        <w:footnoteReference w:id="22"/>
      </w:r>
      <w:r w:rsidR="008B2C0E">
        <w:rPr>
          <w:rFonts w:ascii="Arial" w:hAnsi="Arial" w:cs="Arial"/>
          <w:sz w:val="24"/>
          <w:szCs w:val="24"/>
        </w:rPr>
        <w:t xml:space="preserve"> At best, the results from the Cape York trial can be described as ‘mixed’</w:t>
      </w:r>
      <w:r w:rsidR="00F07AF2">
        <w:rPr>
          <w:rFonts w:ascii="Arial" w:hAnsi="Arial" w:cs="Arial"/>
          <w:sz w:val="24"/>
          <w:szCs w:val="24"/>
        </w:rPr>
        <w:t>.</w:t>
      </w:r>
      <w:r w:rsidR="00F07AF2">
        <w:rPr>
          <w:rStyle w:val="FootnoteReference"/>
          <w:rFonts w:ascii="Arial" w:hAnsi="Arial" w:cs="Arial"/>
          <w:sz w:val="24"/>
          <w:szCs w:val="24"/>
        </w:rPr>
        <w:footnoteReference w:id="23"/>
      </w:r>
      <w:r w:rsidR="00C97915">
        <w:rPr>
          <w:rFonts w:ascii="Arial" w:hAnsi="Arial" w:cs="Arial"/>
          <w:sz w:val="24"/>
          <w:szCs w:val="24"/>
        </w:rPr>
        <w:t xml:space="preserve"> </w:t>
      </w:r>
    </w:p>
    <w:p w:rsidR="009857CE" w:rsidRDefault="00A6303A" w:rsidP="009857CE">
      <w:pPr>
        <w:jc w:val="both"/>
        <w:rPr>
          <w:rFonts w:ascii="Arial" w:hAnsi="Arial" w:cs="Arial"/>
          <w:sz w:val="24"/>
          <w:szCs w:val="24"/>
        </w:rPr>
      </w:pPr>
      <w:r w:rsidRPr="00E02003">
        <w:rPr>
          <w:rFonts w:ascii="Arial" w:hAnsi="Arial" w:cs="Arial"/>
          <w:sz w:val="24"/>
          <w:szCs w:val="24"/>
        </w:rPr>
        <w:t>According to the Australian Indigenous Doctors’ Association, income management is a system that has caused unnecessary stress, trauma, and anger for Indigenous welfare recipients</w:t>
      </w:r>
      <w:r w:rsidRPr="00E02003">
        <w:rPr>
          <w:rStyle w:val="FootnoteReference"/>
          <w:rFonts w:ascii="Arial" w:hAnsi="Arial" w:cs="Arial"/>
          <w:sz w:val="24"/>
          <w:szCs w:val="24"/>
        </w:rPr>
        <w:footnoteReference w:id="24"/>
      </w:r>
      <w:r w:rsidRPr="00E02003">
        <w:rPr>
          <w:rFonts w:ascii="Arial" w:hAnsi="Arial" w:cs="Arial"/>
          <w:sz w:val="24"/>
          <w:szCs w:val="24"/>
        </w:rPr>
        <w:t xml:space="preserve"> </w:t>
      </w:r>
      <w:r w:rsidR="00BA7CD2" w:rsidRPr="00E02003">
        <w:rPr>
          <w:rFonts w:ascii="Arial" w:hAnsi="Arial" w:cs="Arial"/>
          <w:sz w:val="24"/>
          <w:szCs w:val="24"/>
        </w:rPr>
        <w:t xml:space="preserve">who remain grossly overrepresented </w:t>
      </w:r>
      <w:r w:rsidR="00BA7CD2">
        <w:rPr>
          <w:rFonts w:ascii="Arial" w:hAnsi="Arial" w:cs="Arial"/>
          <w:sz w:val="24"/>
          <w:szCs w:val="24"/>
        </w:rPr>
        <w:t xml:space="preserve">among those whose </w:t>
      </w:r>
      <w:r w:rsidR="00BA7CD2" w:rsidRPr="00E02003">
        <w:rPr>
          <w:rFonts w:ascii="Arial" w:hAnsi="Arial" w:cs="Arial"/>
          <w:sz w:val="24"/>
          <w:szCs w:val="24"/>
        </w:rPr>
        <w:t>income</w:t>
      </w:r>
      <w:r w:rsidR="00BA7CD2">
        <w:rPr>
          <w:rFonts w:ascii="Arial" w:hAnsi="Arial" w:cs="Arial"/>
          <w:sz w:val="24"/>
          <w:szCs w:val="24"/>
        </w:rPr>
        <w:t xml:space="preserve"> is</w:t>
      </w:r>
      <w:r w:rsidR="00BA7CD2" w:rsidRPr="00E02003">
        <w:rPr>
          <w:rFonts w:ascii="Arial" w:hAnsi="Arial" w:cs="Arial"/>
          <w:sz w:val="24"/>
          <w:szCs w:val="24"/>
        </w:rPr>
        <w:t xml:space="preserve"> manage</w:t>
      </w:r>
      <w:r w:rsidR="00BA7CD2">
        <w:rPr>
          <w:rFonts w:ascii="Arial" w:hAnsi="Arial" w:cs="Arial"/>
          <w:sz w:val="24"/>
          <w:szCs w:val="24"/>
        </w:rPr>
        <w:t>d</w:t>
      </w:r>
      <w:r w:rsidR="00BA7CD2" w:rsidRPr="00E02003">
        <w:rPr>
          <w:rFonts w:ascii="Arial" w:hAnsi="Arial" w:cs="Arial"/>
          <w:sz w:val="24"/>
          <w:szCs w:val="24"/>
        </w:rPr>
        <w:t>.</w:t>
      </w:r>
      <w:r w:rsidRPr="00E02003">
        <w:rPr>
          <w:rStyle w:val="FootnoteReference"/>
          <w:rFonts w:ascii="Arial" w:hAnsi="Arial" w:cs="Arial"/>
          <w:sz w:val="24"/>
          <w:szCs w:val="24"/>
          <w:lang w:val="en-US"/>
        </w:rPr>
        <w:footnoteReference w:id="25"/>
      </w:r>
      <w:r w:rsidRPr="00E02003">
        <w:rPr>
          <w:rFonts w:ascii="Arial" w:hAnsi="Arial" w:cs="Arial"/>
          <w:sz w:val="24"/>
          <w:szCs w:val="24"/>
        </w:rPr>
        <w:t xml:space="preserve"> </w:t>
      </w:r>
      <w:r w:rsidR="009857CE">
        <w:rPr>
          <w:rFonts w:ascii="Arial" w:hAnsi="Arial" w:cs="Arial"/>
          <w:sz w:val="24"/>
          <w:szCs w:val="24"/>
        </w:rPr>
        <w:t>Th</w:t>
      </w:r>
      <w:r w:rsidR="003442BC">
        <w:rPr>
          <w:rFonts w:ascii="Arial" w:hAnsi="Arial" w:cs="Arial"/>
          <w:sz w:val="24"/>
          <w:szCs w:val="24"/>
        </w:rPr>
        <w:t>is raises an important question</w:t>
      </w:r>
      <w:r w:rsidR="00BF3EFA">
        <w:rPr>
          <w:rFonts w:ascii="Arial" w:hAnsi="Arial" w:cs="Arial"/>
          <w:sz w:val="24"/>
          <w:szCs w:val="24"/>
        </w:rPr>
        <w:t>—</w:t>
      </w:r>
      <w:r w:rsidR="009857CE">
        <w:rPr>
          <w:rFonts w:ascii="Arial" w:hAnsi="Arial" w:cs="Arial"/>
          <w:sz w:val="24"/>
          <w:szCs w:val="24"/>
        </w:rPr>
        <w:t>w</w:t>
      </w:r>
      <w:r w:rsidR="009857CE" w:rsidRPr="00E02003">
        <w:rPr>
          <w:rFonts w:ascii="Arial" w:hAnsi="Arial" w:cs="Arial"/>
          <w:sz w:val="24"/>
          <w:szCs w:val="24"/>
        </w:rPr>
        <w:t xml:space="preserve">hen does </w:t>
      </w:r>
      <w:r w:rsidR="009857CE">
        <w:rPr>
          <w:rFonts w:ascii="Arial" w:hAnsi="Arial" w:cs="Arial"/>
          <w:sz w:val="24"/>
          <w:szCs w:val="24"/>
        </w:rPr>
        <w:t xml:space="preserve">income management </w:t>
      </w:r>
      <w:r w:rsidR="009857CE" w:rsidRPr="00E02003">
        <w:rPr>
          <w:rFonts w:ascii="Arial" w:hAnsi="Arial" w:cs="Arial"/>
          <w:sz w:val="24"/>
          <w:szCs w:val="24"/>
        </w:rPr>
        <w:t xml:space="preserve">stop being useful and when does it become harmful? </w:t>
      </w:r>
      <w:r w:rsidRPr="00E02003">
        <w:rPr>
          <w:rFonts w:ascii="Arial" w:hAnsi="Arial" w:cs="Arial"/>
          <w:sz w:val="24"/>
          <w:szCs w:val="24"/>
        </w:rPr>
        <w:t>Negative impacts on Indigenous peoples’ health and well-being run counter to the claim that income management is a beneficial policy.</w:t>
      </w:r>
      <w:r w:rsidR="00C269D4">
        <w:rPr>
          <w:rFonts w:ascii="Arial" w:hAnsi="Arial" w:cs="Arial"/>
          <w:sz w:val="24"/>
          <w:szCs w:val="24"/>
        </w:rPr>
        <w:t xml:space="preserve"> </w:t>
      </w:r>
    </w:p>
    <w:p w:rsidR="009B6E0B" w:rsidRPr="000B3126" w:rsidRDefault="008708AB" w:rsidP="004B35BA">
      <w:pPr>
        <w:jc w:val="both"/>
        <w:rPr>
          <w:rFonts w:ascii="Arial" w:hAnsi="Arial" w:cs="Arial"/>
          <w:sz w:val="24"/>
          <w:szCs w:val="24"/>
        </w:rPr>
      </w:pPr>
      <w:r w:rsidRPr="00E02003">
        <w:rPr>
          <w:rFonts w:ascii="Arial" w:hAnsi="Arial" w:cs="Arial"/>
          <w:sz w:val="24"/>
          <w:szCs w:val="24"/>
        </w:rPr>
        <w:t xml:space="preserve">Concerns </w:t>
      </w:r>
      <w:r w:rsidR="00DC6EE4" w:rsidRPr="00E02003">
        <w:rPr>
          <w:rFonts w:ascii="Arial" w:hAnsi="Arial" w:cs="Arial"/>
          <w:sz w:val="24"/>
          <w:szCs w:val="24"/>
        </w:rPr>
        <w:t xml:space="preserve">about income management </w:t>
      </w:r>
      <w:r w:rsidRPr="00E02003">
        <w:rPr>
          <w:rFonts w:ascii="Arial" w:hAnsi="Arial" w:cs="Arial"/>
          <w:sz w:val="24"/>
          <w:szCs w:val="24"/>
        </w:rPr>
        <w:t>were also raised by the Australian Law Reform Commission</w:t>
      </w:r>
      <w:r w:rsidR="00A6303A" w:rsidRPr="00E02003">
        <w:rPr>
          <w:rFonts w:ascii="Arial" w:hAnsi="Arial" w:cs="Arial"/>
          <w:sz w:val="24"/>
          <w:szCs w:val="24"/>
        </w:rPr>
        <w:t xml:space="preserve"> (ALRC)</w:t>
      </w:r>
      <w:r w:rsidRPr="00E02003">
        <w:rPr>
          <w:rFonts w:ascii="Arial" w:hAnsi="Arial" w:cs="Arial"/>
          <w:sz w:val="24"/>
          <w:szCs w:val="24"/>
        </w:rPr>
        <w:t xml:space="preserve">, who recommended that income management </w:t>
      </w:r>
      <w:r w:rsidR="00BF3EFA">
        <w:rPr>
          <w:rFonts w:ascii="Arial" w:hAnsi="Arial" w:cs="Arial"/>
          <w:sz w:val="24"/>
          <w:szCs w:val="24"/>
        </w:rPr>
        <w:t>be avoided</w:t>
      </w:r>
      <w:r w:rsidR="00BF3EFA" w:rsidRPr="00E02003">
        <w:rPr>
          <w:rFonts w:ascii="Arial" w:hAnsi="Arial" w:cs="Arial"/>
          <w:sz w:val="24"/>
          <w:szCs w:val="24"/>
        </w:rPr>
        <w:t xml:space="preserve"> </w:t>
      </w:r>
      <w:r w:rsidRPr="00E02003">
        <w:rPr>
          <w:rFonts w:ascii="Arial" w:hAnsi="Arial" w:cs="Arial"/>
          <w:sz w:val="24"/>
          <w:szCs w:val="24"/>
        </w:rPr>
        <w:t>in the context of family violence, as it can lead to more problems.</w:t>
      </w:r>
      <w:r w:rsidR="00A6303A" w:rsidRPr="00E02003">
        <w:rPr>
          <w:rFonts w:ascii="Arial" w:hAnsi="Arial" w:cs="Arial"/>
          <w:sz w:val="24"/>
          <w:szCs w:val="24"/>
        </w:rPr>
        <w:t xml:space="preserve"> </w:t>
      </w:r>
      <w:r w:rsidR="000B3126">
        <w:rPr>
          <w:rFonts w:ascii="Arial" w:hAnsi="Arial" w:cs="Arial"/>
          <w:sz w:val="24"/>
          <w:szCs w:val="24"/>
        </w:rPr>
        <w:t>G</w:t>
      </w:r>
      <w:r w:rsidR="00327F45">
        <w:rPr>
          <w:rFonts w:ascii="Arial" w:hAnsi="Arial" w:cs="Arial"/>
          <w:sz w:val="24"/>
          <w:szCs w:val="24"/>
        </w:rPr>
        <w:t>iven that the government’s rationale in implement</w:t>
      </w:r>
      <w:r w:rsidR="000B3126">
        <w:rPr>
          <w:rFonts w:ascii="Arial" w:hAnsi="Arial" w:cs="Arial"/>
          <w:sz w:val="24"/>
          <w:szCs w:val="24"/>
        </w:rPr>
        <w:t xml:space="preserve">ing </w:t>
      </w:r>
      <w:r w:rsidR="004B35BA">
        <w:rPr>
          <w:rFonts w:ascii="Arial" w:hAnsi="Arial" w:cs="Arial"/>
          <w:sz w:val="24"/>
          <w:szCs w:val="24"/>
        </w:rPr>
        <w:t xml:space="preserve">this system </w:t>
      </w:r>
      <w:r w:rsidR="00327F45">
        <w:rPr>
          <w:rFonts w:ascii="Arial" w:hAnsi="Arial" w:cs="Arial"/>
          <w:sz w:val="24"/>
          <w:szCs w:val="24"/>
        </w:rPr>
        <w:t xml:space="preserve">is to protect </w:t>
      </w:r>
      <w:r w:rsidR="004B35BA">
        <w:rPr>
          <w:rFonts w:ascii="Arial" w:hAnsi="Arial" w:cs="Arial"/>
          <w:sz w:val="24"/>
          <w:szCs w:val="24"/>
        </w:rPr>
        <w:t xml:space="preserve">those who are </w:t>
      </w:r>
      <w:r w:rsidR="002221DA">
        <w:rPr>
          <w:rFonts w:ascii="Arial" w:hAnsi="Arial" w:cs="Arial"/>
          <w:sz w:val="24"/>
          <w:szCs w:val="24"/>
        </w:rPr>
        <w:t xml:space="preserve">most </w:t>
      </w:r>
      <w:r w:rsidR="004B35BA">
        <w:rPr>
          <w:rFonts w:ascii="Arial" w:hAnsi="Arial" w:cs="Arial"/>
          <w:sz w:val="24"/>
          <w:szCs w:val="24"/>
        </w:rPr>
        <w:t>vulnerable</w:t>
      </w:r>
      <w:r w:rsidR="000B3126">
        <w:rPr>
          <w:rFonts w:ascii="Arial" w:hAnsi="Arial" w:cs="Arial"/>
          <w:sz w:val="24"/>
          <w:szCs w:val="24"/>
        </w:rPr>
        <w:t>, the recommendations of the ALRC are important in evaluating the effectiveness of income manageme</w:t>
      </w:r>
      <w:r w:rsidR="000B3126" w:rsidRPr="000B3126">
        <w:rPr>
          <w:rFonts w:ascii="Arial" w:hAnsi="Arial" w:cs="Arial"/>
          <w:sz w:val="24"/>
          <w:szCs w:val="24"/>
        </w:rPr>
        <w:t>nt</w:t>
      </w:r>
      <w:r w:rsidR="00327F45" w:rsidRPr="000B3126">
        <w:rPr>
          <w:rFonts w:ascii="Arial" w:hAnsi="Arial" w:cs="Arial"/>
          <w:sz w:val="24"/>
          <w:szCs w:val="24"/>
        </w:rPr>
        <w:t xml:space="preserve">. </w:t>
      </w:r>
      <w:r w:rsidR="009B6E0B" w:rsidRPr="000B3126">
        <w:rPr>
          <w:rFonts w:ascii="Arial" w:hAnsi="Arial" w:cs="Arial"/>
          <w:sz w:val="24"/>
          <w:szCs w:val="24"/>
        </w:rPr>
        <w:t xml:space="preserve">The Explanatory Memorandum for the </w:t>
      </w:r>
      <w:r w:rsidR="009B6E0B" w:rsidRPr="000B3126">
        <w:rPr>
          <w:rFonts w:ascii="Arial" w:hAnsi="Arial" w:cs="Arial"/>
          <w:i/>
          <w:sz w:val="24"/>
          <w:szCs w:val="24"/>
          <w:lang w:val="en-US"/>
        </w:rPr>
        <w:t xml:space="preserve">Social Security Legislation Amendment Act 2012 </w:t>
      </w:r>
      <w:r w:rsidR="009B6E0B" w:rsidRPr="000B3126">
        <w:rPr>
          <w:rFonts w:ascii="Arial" w:hAnsi="Arial" w:cs="Arial"/>
          <w:sz w:val="24"/>
          <w:szCs w:val="24"/>
          <w:lang w:val="en-US"/>
        </w:rPr>
        <w:t>(</w:t>
      </w:r>
      <w:proofErr w:type="spellStart"/>
      <w:r w:rsidR="009B6E0B" w:rsidRPr="000B3126">
        <w:rPr>
          <w:rFonts w:ascii="Arial" w:hAnsi="Arial" w:cs="Arial"/>
          <w:sz w:val="24"/>
          <w:szCs w:val="24"/>
          <w:lang w:val="en-US"/>
        </w:rPr>
        <w:t>Cth</w:t>
      </w:r>
      <w:proofErr w:type="spellEnd"/>
      <w:r w:rsidR="009B6E0B" w:rsidRPr="000B3126">
        <w:rPr>
          <w:rFonts w:ascii="Arial" w:hAnsi="Arial" w:cs="Arial"/>
          <w:sz w:val="24"/>
          <w:szCs w:val="24"/>
          <w:lang w:val="en-US"/>
        </w:rPr>
        <w:t xml:space="preserve">), which implements the 2012 extensions to the income management scheme, </w:t>
      </w:r>
      <w:r w:rsidR="009B6E0B" w:rsidRPr="000B3126">
        <w:rPr>
          <w:rFonts w:ascii="Arial" w:hAnsi="Arial" w:cs="Arial"/>
          <w:sz w:val="24"/>
          <w:szCs w:val="24"/>
        </w:rPr>
        <w:t>states:</w:t>
      </w:r>
    </w:p>
    <w:p w:rsidR="009B6E0B" w:rsidRPr="000B3126" w:rsidRDefault="009B6E0B" w:rsidP="000B3126">
      <w:pPr>
        <w:ind w:left="720"/>
        <w:jc w:val="both"/>
        <w:rPr>
          <w:rFonts w:ascii="Arial" w:hAnsi="Arial" w:cs="Arial"/>
          <w:sz w:val="24"/>
          <w:szCs w:val="24"/>
        </w:rPr>
      </w:pPr>
      <w:r w:rsidRPr="000B3126">
        <w:rPr>
          <w:rFonts w:ascii="Arial" w:hAnsi="Arial" w:cs="Arial"/>
          <w:iCs/>
          <w:sz w:val="24"/>
          <w:szCs w:val="24"/>
        </w:rPr>
        <w:t>The income management regime … operates as a tool to support vulnerable individuals and families.  It provides a tool to stabilise people’s circumstances by limiting expenditure of income support payments on excluded items, including alcohol, tobacco, pornography, gambling goods and activities.</w:t>
      </w:r>
      <w:r w:rsidRPr="000B3126">
        <w:rPr>
          <w:rStyle w:val="FootnoteReference"/>
          <w:rFonts w:ascii="Arial" w:hAnsi="Arial" w:cs="Arial"/>
          <w:sz w:val="24"/>
          <w:szCs w:val="24"/>
        </w:rPr>
        <w:footnoteReference w:id="26"/>
      </w:r>
    </w:p>
    <w:p w:rsidR="00F97661" w:rsidRPr="00E02003" w:rsidRDefault="000B3126" w:rsidP="00E02003">
      <w:pPr>
        <w:jc w:val="both"/>
        <w:rPr>
          <w:rFonts w:ascii="Arial" w:hAnsi="Arial" w:cs="Arial"/>
          <w:sz w:val="24"/>
          <w:szCs w:val="24"/>
        </w:rPr>
      </w:pPr>
      <w:r>
        <w:rPr>
          <w:rFonts w:ascii="Arial" w:hAnsi="Arial" w:cs="Arial"/>
          <w:sz w:val="24"/>
          <w:szCs w:val="24"/>
        </w:rPr>
        <w:t>However, t</w:t>
      </w:r>
      <w:r w:rsidR="00A6303A" w:rsidRPr="00E02003">
        <w:rPr>
          <w:rFonts w:ascii="Arial" w:hAnsi="Arial" w:cs="Arial"/>
          <w:sz w:val="24"/>
          <w:szCs w:val="24"/>
        </w:rPr>
        <w:t xml:space="preserve">he ALRC </w:t>
      </w:r>
      <w:r w:rsidR="00DC6EE4" w:rsidRPr="00E02003">
        <w:rPr>
          <w:rFonts w:ascii="Arial" w:hAnsi="Arial" w:cs="Arial"/>
          <w:sz w:val="24"/>
          <w:szCs w:val="24"/>
        </w:rPr>
        <w:t xml:space="preserve">pointed out </w:t>
      </w:r>
      <w:r w:rsidR="005A3803">
        <w:rPr>
          <w:rFonts w:ascii="Arial" w:hAnsi="Arial" w:cs="Arial"/>
          <w:sz w:val="24"/>
          <w:szCs w:val="24"/>
        </w:rPr>
        <w:t xml:space="preserve">that </w:t>
      </w:r>
      <w:r w:rsidR="00A6303A" w:rsidRPr="00E02003">
        <w:rPr>
          <w:rFonts w:ascii="Arial" w:hAnsi="Arial" w:cs="Arial"/>
          <w:sz w:val="24"/>
          <w:szCs w:val="24"/>
        </w:rPr>
        <w:t>‘</w:t>
      </w:r>
      <w:r w:rsidR="00DC6EE4" w:rsidRPr="00E02003">
        <w:rPr>
          <w:rFonts w:ascii="Arial" w:hAnsi="Arial" w:cs="Arial"/>
          <w:sz w:val="24"/>
          <w:szCs w:val="24"/>
        </w:rPr>
        <w:t>[t]</w:t>
      </w:r>
      <w:r w:rsidR="00A6303A" w:rsidRPr="00E02003">
        <w:rPr>
          <w:rFonts w:ascii="Arial" w:hAnsi="Arial" w:cs="Arial"/>
          <w:sz w:val="24"/>
          <w:szCs w:val="24"/>
        </w:rPr>
        <w:t>he vulnerable position of people experiencing family violence, and the complex needs for their safety and protection, suggest that a different response is required.’</w:t>
      </w:r>
      <w:r w:rsidR="00D95122" w:rsidRPr="00E02003">
        <w:rPr>
          <w:rStyle w:val="FootnoteReference"/>
          <w:rFonts w:ascii="Arial" w:hAnsi="Arial" w:cs="Arial"/>
          <w:sz w:val="24"/>
          <w:szCs w:val="24"/>
        </w:rPr>
        <w:footnoteReference w:id="27"/>
      </w:r>
      <w:r w:rsidR="00815574">
        <w:rPr>
          <w:rFonts w:ascii="Arial" w:hAnsi="Arial" w:cs="Arial"/>
          <w:sz w:val="24"/>
          <w:szCs w:val="24"/>
        </w:rPr>
        <w:t xml:space="preserve"> They noted that for </w:t>
      </w:r>
      <w:r w:rsidR="00815574" w:rsidRPr="00815574">
        <w:rPr>
          <w:rFonts w:ascii="Arial" w:hAnsi="Arial" w:cs="Arial"/>
          <w:sz w:val="24"/>
          <w:szCs w:val="24"/>
        </w:rPr>
        <w:t xml:space="preserve">Indigenous women </w:t>
      </w:r>
      <w:r w:rsidR="00815574">
        <w:rPr>
          <w:rFonts w:ascii="Arial" w:hAnsi="Arial" w:cs="Arial"/>
          <w:sz w:val="24"/>
          <w:szCs w:val="24"/>
        </w:rPr>
        <w:t xml:space="preserve">who </w:t>
      </w:r>
      <w:r w:rsidR="00815574" w:rsidRPr="00815574">
        <w:rPr>
          <w:rFonts w:ascii="Arial" w:hAnsi="Arial" w:cs="Arial"/>
          <w:sz w:val="24"/>
          <w:szCs w:val="24"/>
        </w:rPr>
        <w:lastRenderedPageBreak/>
        <w:t>experienc</w:t>
      </w:r>
      <w:r w:rsidR="00815574">
        <w:rPr>
          <w:rFonts w:ascii="Arial" w:hAnsi="Arial" w:cs="Arial"/>
          <w:sz w:val="24"/>
          <w:szCs w:val="24"/>
        </w:rPr>
        <w:t>e</w:t>
      </w:r>
      <w:r w:rsidR="00815574" w:rsidRPr="00815574">
        <w:rPr>
          <w:rFonts w:ascii="Arial" w:hAnsi="Arial" w:cs="Arial"/>
          <w:sz w:val="24"/>
          <w:szCs w:val="24"/>
        </w:rPr>
        <w:t xml:space="preserve"> domestic violence </w:t>
      </w:r>
      <w:r w:rsidR="00815574">
        <w:rPr>
          <w:rFonts w:ascii="Arial" w:hAnsi="Arial" w:cs="Arial"/>
          <w:sz w:val="24"/>
          <w:szCs w:val="24"/>
        </w:rPr>
        <w:t>‘</w:t>
      </w:r>
      <w:r w:rsidR="00815574" w:rsidRPr="00815574">
        <w:rPr>
          <w:rFonts w:ascii="Arial" w:hAnsi="Arial" w:cs="Arial"/>
          <w:sz w:val="24"/>
          <w:szCs w:val="24"/>
        </w:rPr>
        <w:t xml:space="preserve">a mandatory income management </w:t>
      </w:r>
      <w:r w:rsidR="00815574">
        <w:rPr>
          <w:rFonts w:ascii="Arial" w:hAnsi="Arial" w:cs="Arial"/>
          <w:sz w:val="24"/>
          <w:szCs w:val="24"/>
        </w:rPr>
        <w:t>regime may discourage reporting’.</w:t>
      </w:r>
      <w:r w:rsidR="00815574">
        <w:rPr>
          <w:rStyle w:val="FootnoteReference"/>
          <w:rFonts w:ascii="Arial" w:hAnsi="Arial" w:cs="Arial"/>
          <w:sz w:val="24"/>
          <w:szCs w:val="24"/>
        </w:rPr>
        <w:footnoteReference w:id="28"/>
      </w:r>
      <w:r w:rsidR="00815574">
        <w:rPr>
          <w:rFonts w:ascii="Arial" w:hAnsi="Arial" w:cs="Arial"/>
          <w:sz w:val="24"/>
          <w:szCs w:val="24"/>
        </w:rPr>
        <w:t xml:space="preserve"> They suggested that limitations in the legislati</w:t>
      </w:r>
      <w:r w:rsidR="0064688E">
        <w:rPr>
          <w:rFonts w:ascii="Arial" w:hAnsi="Arial" w:cs="Arial"/>
          <w:sz w:val="24"/>
          <w:szCs w:val="24"/>
        </w:rPr>
        <w:t>ve</w:t>
      </w:r>
      <w:r w:rsidR="00815574">
        <w:rPr>
          <w:rFonts w:ascii="Arial" w:hAnsi="Arial" w:cs="Arial"/>
          <w:sz w:val="24"/>
          <w:szCs w:val="24"/>
        </w:rPr>
        <w:t xml:space="preserve"> definition of </w:t>
      </w:r>
      <w:r w:rsidR="0064688E">
        <w:rPr>
          <w:rFonts w:ascii="Arial" w:hAnsi="Arial" w:cs="Arial"/>
          <w:sz w:val="24"/>
          <w:szCs w:val="24"/>
        </w:rPr>
        <w:t>‘</w:t>
      </w:r>
      <w:r w:rsidR="00815574">
        <w:rPr>
          <w:rFonts w:ascii="Arial" w:hAnsi="Arial" w:cs="Arial"/>
          <w:sz w:val="24"/>
          <w:szCs w:val="24"/>
        </w:rPr>
        <w:t>priority needs</w:t>
      </w:r>
      <w:r w:rsidR="0064688E">
        <w:rPr>
          <w:rFonts w:ascii="Arial" w:hAnsi="Arial" w:cs="Arial"/>
          <w:sz w:val="24"/>
          <w:szCs w:val="24"/>
        </w:rPr>
        <w:t>’</w:t>
      </w:r>
      <w:r w:rsidR="00815574">
        <w:rPr>
          <w:rFonts w:ascii="Arial" w:hAnsi="Arial" w:cs="Arial"/>
          <w:sz w:val="24"/>
          <w:szCs w:val="24"/>
        </w:rPr>
        <w:t xml:space="preserve"> may pose ‘</w:t>
      </w:r>
      <w:r w:rsidR="00815574" w:rsidRPr="00815574">
        <w:rPr>
          <w:rFonts w:ascii="Arial" w:hAnsi="Arial" w:cs="Arial"/>
          <w:sz w:val="24"/>
          <w:szCs w:val="24"/>
        </w:rPr>
        <w:t>particular difficulties for victims of family violence</w:t>
      </w:r>
      <w:r w:rsidR="00815574">
        <w:rPr>
          <w:rFonts w:ascii="Arial" w:hAnsi="Arial" w:cs="Arial"/>
          <w:sz w:val="24"/>
          <w:szCs w:val="24"/>
        </w:rPr>
        <w:t>.’</w:t>
      </w:r>
      <w:r w:rsidR="00815574">
        <w:rPr>
          <w:rStyle w:val="FootnoteReference"/>
          <w:rFonts w:ascii="Arial" w:hAnsi="Arial" w:cs="Arial"/>
          <w:sz w:val="24"/>
          <w:szCs w:val="24"/>
        </w:rPr>
        <w:footnoteReference w:id="29"/>
      </w:r>
      <w:r w:rsidR="000841F3">
        <w:rPr>
          <w:rFonts w:ascii="Arial" w:hAnsi="Arial" w:cs="Arial"/>
          <w:sz w:val="24"/>
          <w:szCs w:val="24"/>
        </w:rPr>
        <w:t xml:space="preserve"> </w:t>
      </w:r>
      <w:r w:rsidR="00707CA5">
        <w:rPr>
          <w:rFonts w:ascii="Arial" w:hAnsi="Arial" w:cs="Arial"/>
          <w:sz w:val="24"/>
          <w:szCs w:val="24"/>
        </w:rPr>
        <w:t>Women experiencing domestic violence require easily</w:t>
      </w:r>
      <w:r w:rsidR="0064688E">
        <w:rPr>
          <w:rFonts w:ascii="Arial" w:hAnsi="Arial" w:cs="Arial"/>
          <w:sz w:val="24"/>
          <w:szCs w:val="24"/>
        </w:rPr>
        <w:t xml:space="preserve"> accessible</w:t>
      </w:r>
      <w:r w:rsidR="00707CA5">
        <w:rPr>
          <w:rFonts w:ascii="Arial" w:hAnsi="Arial" w:cs="Arial"/>
          <w:sz w:val="24"/>
          <w:szCs w:val="24"/>
        </w:rPr>
        <w:t xml:space="preserve"> funds for crisis accommodation and travel </w:t>
      </w:r>
      <w:r w:rsidR="0064688E">
        <w:rPr>
          <w:rFonts w:ascii="Arial" w:hAnsi="Arial" w:cs="Arial"/>
          <w:sz w:val="24"/>
          <w:szCs w:val="24"/>
        </w:rPr>
        <w:t xml:space="preserve">to get </w:t>
      </w:r>
      <w:r w:rsidR="00707CA5">
        <w:rPr>
          <w:rFonts w:ascii="Arial" w:hAnsi="Arial" w:cs="Arial"/>
          <w:sz w:val="24"/>
          <w:szCs w:val="24"/>
        </w:rPr>
        <w:t>away from perpetrators of violence.</w:t>
      </w:r>
      <w:r w:rsidR="00891F66">
        <w:rPr>
          <w:rStyle w:val="FootnoteReference"/>
          <w:rFonts w:ascii="Arial" w:hAnsi="Arial" w:cs="Arial"/>
          <w:sz w:val="24"/>
          <w:szCs w:val="24"/>
        </w:rPr>
        <w:footnoteReference w:id="30"/>
      </w:r>
      <w:r w:rsidR="00707CA5">
        <w:rPr>
          <w:rFonts w:ascii="Arial" w:hAnsi="Arial" w:cs="Arial"/>
          <w:sz w:val="24"/>
          <w:szCs w:val="24"/>
        </w:rPr>
        <w:t xml:space="preserve"> Having to engage in complicated</w:t>
      </w:r>
      <w:r w:rsidR="001246E8">
        <w:rPr>
          <w:rFonts w:ascii="Arial" w:hAnsi="Arial" w:cs="Arial"/>
          <w:sz w:val="24"/>
          <w:szCs w:val="24"/>
        </w:rPr>
        <w:t xml:space="preserve"> and time consuming</w:t>
      </w:r>
      <w:r w:rsidR="00707CA5">
        <w:rPr>
          <w:rFonts w:ascii="Arial" w:hAnsi="Arial" w:cs="Arial"/>
          <w:sz w:val="24"/>
          <w:szCs w:val="24"/>
        </w:rPr>
        <w:t xml:space="preserve"> bureaucratic procedures to spend income managed funds</w:t>
      </w:r>
      <w:r w:rsidR="0064688E">
        <w:rPr>
          <w:rFonts w:ascii="Arial" w:hAnsi="Arial" w:cs="Arial"/>
          <w:sz w:val="24"/>
          <w:szCs w:val="24"/>
        </w:rPr>
        <w:t xml:space="preserve"> in ways that do not comply with the legislative definition of ‘priority needs’</w:t>
      </w:r>
      <w:r w:rsidR="00707CA5">
        <w:rPr>
          <w:rFonts w:ascii="Arial" w:hAnsi="Arial" w:cs="Arial"/>
          <w:sz w:val="24"/>
          <w:szCs w:val="24"/>
        </w:rPr>
        <w:t xml:space="preserve"> can </w:t>
      </w:r>
      <w:r w:rsidR="002221DA">
        <w:rPr>
          <w:rFonts w:ascii="Arial" w:hAnsi="Arial" w:cs="Arial"/>
          <w:sz w:val="24"/>
          <w:szCs w:val="24"/>
        </w:rPr>
        <w:t xml:space="preserve">have the unintended consequence of impeding </w:t>
      </w:r>
      <w:r w:rsidR="00707CA5">
        <w:rPr>
          <w:rFonts w:ascii="Arial" w:hAnsi="Arial" w:cs="Arial"/>
          <w:sz w:val="24"/>
          <w:szCs w:val="24"/>
        </w:rPr>
        <w:t xml:space="preserve">the achievement of these </w:t>
      </w:r>
      <w:r w:rsidR="001E3167">
        <w:rPr>
          <w:rFonts w:ascii="Arial" w:hAnsi="Arial" w:cs="Arial"/>
          <w:sz w:val="24"/>
          <w:szCs w:val="24"/>
        </w:rPr>
        <w:t>safety preserving objectives</w:t>
      </w:r>
      <w:r w:rsidR="00707CA5">
        <w:rPr>
          <w:rFonts w:ascii="Arial" w:hAnsi="Arial" w:cs="Arial"/>
          <w:sz w:val="24"/>
          <w:szCs w:val="24"/>
        </w:rPr>
        <w:t xml:space="preserve">. </w:t>
      </w:r>
      <w:r w:rsidR="00D95122" w:rsidRPr="00E02003">
        <w:rPr>
          <w:rFonts w:ascii="Arial" w:hAnsi="Arial" w:cs="Arial"/>
          <w:sz w:val="24"/>
          <w:szCs w:val="24"/>
        </w:rPr>
        <w:t>Recommendation 10</w:t>
      </w:r>
      <w:r>
        <w:rPr>
          <w:rFonts w:ascii="Arial" w:hAnsi="Arial" w:cs="Arial"/>
          <w:sz w:val="24"/>
          <w:szCs w:val="24"/>
        </w:rPr>
        <w:t>—</w:t>
      </w:r>
      <w:r w:rsidR="00D95122" w:rsidRPr="00E02003">
        <w:rPr>
          <w:rFonts w:ascii="Arial" w:hAnsi="Arial" w:cs="Arial"/>
          <w:sz w:val="24"/>
          <w:szCs w:val="24"/>
        </w:rPr>
        <w:t xml:space="preserve">1 of the </w:t>
      </w:r>
      <w:r w:rsidR="0018216A" w:rsidRPr="00E02003">
        <w:rPr>
          <w:rFonts w:ascii="Arial" w:hAnsi="Arial" w:cs="Arial"/>
          <w:sz w:val="24"/>
          <w:szCs w:val="24"/>
        </w:rPr>
        <w:t xml:space="preserve">ALRC </w:t>
      </w:r>
      <w:r w:rsidR="00D95122" w:rsidRPr="00E02003">
        <w:rPr>
          <w:rFonts w:ascii="Arial" w:hAnsi="Arial" w:cs="Arial"/>
          <w:sz w:val="24"/>
          <w:szCs w:val="24"/>
        </w:rPr>
        <w:t xml:space="preserve">report on Family Violence therefore </w:t>
      </w:r>
      <w:r w:rsidR="0018216A" w:rsidRPr="00E02003">
        <w:rPr>
          <w:rFonts w:ascii="Arial" w:hAnsi="Arial" w:cs="Arial"/>
          <w:sz w:val="24"/>
          <w:szCs w:val="24"/>
        </w:rPr>
        <w:t>advocates that</w:t>
      </w:r>
      <w:r w:rsidR="00F97661" w:rsidRPr="00E02003">
        <w:rPr>
          <w:rFonts w:ascii="Arial" w:hAnsi="Arial" w:cs="Arial"/>
          <w:sz w:val="24"/>
          <w:szCs w:val="24"/>
        </w:rPr>
        <w:t>:</w:t>
      </w:r>
    </w:p>
    <w:p w:rsidR="00F97661" w:rsidRDefault="00D95122" w:rsidP="00304754">
      <w:pPr>
        <w:ind w:left="720"/>
        <w:jc w:val="both"/>
        <w:rPr>
          <w:rFonts w:ascii="Arial" w:hAnsi="Arial" w:cs="Arial"/>
          <w:sz w:val="24"/>
          <w:szCs w:val="24"/>
        </w:rPr>
      </w:pPr>
      <w:r w:rsidRPr="00E02003">
        <w:rPr>
          <w:rFonts w:ascii="Arial" w:hAnsi="Arial" w:cs="Arial"/>
          <w:sz w:val="24"/>
          <w:szCs w:val="24"/>
        </w:rPr>
        <w:t xml:space="preserve">The Australian Government should amend the </w:t>
      </w:r>
      <w:r w:rsidRPr="00E02003">
        <w:rPr>
          <w:rFonts w:ascii="Arial" w:hAnsi="Arial" w:cs="Arial"/>
          <w:i/>
          <w:iCs/>
          <w:sz w:val="24"/>
          <w:szCs w:val="24"/>
        </w:rPr>
        <w:t xml:space="preserve">Social Security (Administration) Act 1999 </w:t>
      </w:r>
      <w:r w:rsidRPr="00E02003">
        <w:rPr>
          <w:rFonts w:ascii="Arial" w:hAnsi="Arial" w:cs="Arial"/>
          <w:sz w:val="24"/>
          <w:szCs w:val="24"/>
        </w:rPr>
        <w:t>(</w:t>
      </w:r>
      <w:proofErr w:type="spellStart"/>
      <w:r w:rsidRPr="00E02003">
        <w:rPr>
          <w:rFonts w:ascii="Arial" w:hAnsi="Arial" w:cs="Arial"/>
          <w:sz w:val="24"/>
          <w:szCs w:val="24"/>
        </w:rPr>
        <w:t>Cth</w:t>
      </w:r>
      <w:proofErr w:type="spellEnd"/>
      <w:r w:rsidRPr="00E02003">
        <w:rPr>
          <w:rFonts w:ascii="Arial" w:hAnsi="Arial" w:cs="Arial"/>
          <w:sz w:val="24"/>
          <w:szCs w:val="24"/>
        </w:rPr>
        <w:t xml:space="preserve">) to ensure that a person or persons experiencing family violence are not subject to compulsory Income Management. The </w:t>
      </w:r>
      <w:r w:rsidRPr="00E02003">
        <w:rPr>
          <w:rFonts w:ascii="Arial" w:hAnsi="Arial" w:cs="Arial"/>
          <w:i/>
          <w:iCs/>
          <w:sz w:val="24"/>
          <w:szCs w:val="24"/>
        </w:rPr>
        <w:t xml:space="preserve">Guide to Social Security Law </w:t>
      </w:r>
      <w:r w:rsidR="00F97661" w:rsidRPr="00E02003">
        <w:rPr>
          <w:rFonts w:ascii="Arial" w:hAnsi="Arial" w:cs="Arial"/>
          <w:sz w:val="24"/>
          <w:szCs w:val="24"/>
        </w:rPr>
        <w:t>should reflect this amendment.</w:t>
      </w:r>
      <w:r w:rsidRPr="00E02003">
        <w:rPr>
          <w:rStyle w:val="FootnoteReference"/>
          <w:rFonts w:ascii="Arial" w:hAnsi="Arial" w:cs="Arial"/>
          <w:sz w:val="24"/>
          <w:szCs w:val="24"/>
        </w:rPr>
        <w:footnoteReference w:id="31"/>
      </w:r>
      <w:r w:rsidR="00DC6EE4" w:rsidRPr="00E02003">
        <w:rPr>
          <w:rFonts w:ascii="Arial" w:hAnsi="Arial" w:cs="Arial"/>
          <w:sz w:val="24"/>
          <w:szCs w:val="24"/>
        </w:rPr>
        <w:t xml:space="preserve"> </w:t>
      </w:r>
    </w:p>
    <w:p w:rsidR="000B3126" w:rsidRDefault="000B3126" w:rsidP="000B3126">
      <w:pPr>
        <w:jc w:val="both"/>
        <w:rPr>
          <w:rFonts w:ascii="Arial" w:hAnsi="Arial" w:cs="Arial"/>
          <w:sz w:val="24"/>
          <w:szCs w:val="24"/>
        </w:rPr>
      </w:pPr>
      <w:r>
        <w:rPr>
          <w:rFonts w:ascii="Arial" w:hAnsi="Arial" w:cs="Arial"/>
          <w:sz w:val="24"/>
          <w:szCs w:val="24"/>
        </w:rPr>
        <w:t>Recommendation 10—2 proposes that:</w:t>
      </w:r>
    </w:p>
    <w:p w:rsidR="00E96ABB" w:rsidRDefault="00327F45" w:rsidP="00E96ABB">
      <w:pPr>
        <w:ind w:left="720"/>
        <w:jc w:val="both"/>
        <w:rPr>
          <w:rFonts w:ascii="Arial" w:hAnsi="Arial" w:cs="Arial"/>
          <w:sz w:val="24"/>
          <w:szCs w:val="24"/>
        </w:rPr>
      </w:pPr>
      <w:r w:rsidRPr="00327F45">
        <w:rPr>
          <w:rFonts w:ascii="Arial" w:hAnsi="Arial" w:cs="Arial"/>
          <w:sz w:val="24"/>
          <w:szCs w:val="24"/>
        </w:rPr>
        <w:t>The Australian Government should amend the Social Security (Administration) Act 1999 (</w:t>
      </w:r>
      <w:proofErr w:type="spellStart"/>
      <w:r w:rsidRPr="00327F45">
        <w:rPr>
          <w:rFonts w:ascii="Arial" w:hAnsi="Arial" w:cs="Arial"/>
          <w:sz w:val="24"/>
          <w:szCs w:val="24"/>
        </w:rPr>
        <w:t>Cth</w:t>
      </w:r>
      <w:proofErr w:type="spellEnd"/>
      <w:r w:rsidRPr="00327F45">
        <w:rPr>
          <w:rFonts w:ascii="Arial" w:hAnsi="Arial" w:cs="Arial"/>
          <w:sz w:val="24"/>
          <w:szCs w:val="24"/>
        </w:rPr>
        <w:t>) to create an ‘opt-in and opt-out’ income management model that is voluntary and flexible to meet the needs of people experiencing family violence. The Guide to Social Security Law</w:t>
      </w:r>
      <w:r w:rsidR="00E96ABB">
        <w:rPr>
          <w:rFonts w:ascii="Arial" w:hAnsi="Arial" w:cs="Arial"/>
          <w:sz w:val="24"/>
          <w:szCs w:val="24"/>
        </w:rPr>
        <w:t xml:space="preserve"> should reflect this amendment.</w:t>
      </w:r>
      <w:r w:rsidR="00E96ABB">
        <w:rPr>
          <w:rStyle w:val="FootnoteReference"/>
          <w:rFonts w:ascii="Arial" w:hAnsi="Arial" w:cs="Arial"/>
          <w:sz w:val="24"/>
          <w:szCs w:val="24"/>
        </w:rPr>
        <w:footnoteReference w:id="32"/>
      </w:r>
    </w:p>
    <w:p w:rsidR="00112ECD" w:rsidRDefault="00544B67" w:rsidP="00E96ABB">
      <w:pPr>
        <w:jc w:val="both"/>
        <w:rPr>
          <w:rFonts w:ascii="Arial" w:hAnsi="Arial" w:cs="Arial"/>
          <w:sz w:val="24"/>
          <w:szCs w:val="24"/>
        </w:rPr>
      </w:pPr>
      <w:r>
        <w:rPr>
          <w:rFonts w:ascii="Arial" w:hAnsi="Arial" w:cs="Arial"/>
          <w:sz w:val="24"/>
          <w:szCs w:val="24"/>
        </w:rPr>
        <w:t xml:space="preserve">The ALRC </w:t>
      </w:r>
      <w:r w:rsidR="009F71C6">
        <w:rPr>
          <w:rFonts w:ascii="Arial" w:hAnsi="Arial" w:cs="Arial"/>
          <w:sz w:val="24"/>
          <w:szCs w:val="24"/>
        </w:rPr>
        <w:t>suggests</w:t>
      </w:r>
      <w:r>
        <w:rPr>
          <w:rFonts w:ascii="Arial" w:hAnsi="Arial" w:cs="Arial"/>
          <w:sz w:val="24"/>
          <w:szCs w:val="24"/>
        </w:rPr>
        <w:t xml:space="preserve"> that compulsory income management ‘</w:t>
      </w:r>
      <w:r w:rsidR="00112ECD" w:rsidRPr="00544B67">
        <w:rPr>
          <w:rFonts w:ascii="Arial" w:hAnsi="Arial" w:cs="Arial"/>
          <w:sz w:val="24"/>
          <w:szCs w:val="24"/>
        </w:rPr>
        <w:t>runs counter to the theme of self-agency identified as a central theme</w:t>
      </w:r>
      <w:r w:rsidR="00112ECD">
        <w:rPr>
          <w:rFonts w:ascii="Arial" w:hAnsi="Arial" w:cs="Arial"/>
          <w:sz w:val="24"/>
          <w:szCs w:val="24"/>
        </w:rPr>
        <w:t>’</w:t>
      </w:r>
      <w:r w:rsidR="00112ECD" w:rsidRPr="00544B67">
        <w:rPr>
          <w:rFonts w:ascii="Arial" w:hAnsi="Arial" w:cs="Arial"/>
          <w:sz w:val="24"/>
          <w:szCs w:val="24"/>
        </w:rPr>
        <w:t xml:space="preserve"> in th</w:t>
      </w:r>
      <w:r w:rsidR="00112ECD">
        <w:rPr>
          <w:rFonts w:ascii="Arial" w:hAnsi="Arial" w:cs="Arial"/>
          <w:sz w:val="24"/>
          <w:szCs w:val="24"/>
        </w:rPr>
        <w:t xml:space="preserve">eir </w:t>
      </w:r>
      <w:r w:rsidR="00112ECD" w:rsidRPr="00544B67">
        <w:rPr>
          <w:rFonts w:ascii="Arial" w:hAnsi="Arial" w:cs="Arial"/>
          <w:sz w:val="24"/>
          <w:szCs w:val="24"/>
        </w:rPr>
        <w:t>Inquiry</w:t>
      </w:r>
      <w:r w:rsidR="00112ECD">
        <w:rPr>
          <w:rFonts w:ascii="Arial" w:hAnsi="Arial" w:cs="Arial"/>
          <w:sz w:val="24"/>
          <w:szCs w:val="24"/>
        </w:rPr>
        <w:t xml:space="preserve"> on Family Violence.</w:t>
      </w:r>
      <w:r w:rsidR="00112ECD">
        <w:rPr>
          <w:rStyle w:val="FootnoteReference"/>
          <w:rFonts w:ascii="Arial" w:hAnsi="Arial" w:cs="Arial"/>
          <w:sz w:val="24"/>
          <w:szCs w:val="24"/>
        </w:rPr>
        <w:footnoteReference w:id="33"/>
      </w:r>
      <w:r w:rsidR="00112ECD">
        <w:rPr>
          <w:rFonts w:ascii="Arial" w:hAnsi="Arial" w:cs="Arial"/>
          <w:sz w:val="24"/>
          <w:szCs w:val="24"/>
        </w:rPr>
        <w:t xml:space="preserve"> They said ‘[s]</w:t>
      </w:r>
      <w:proofErr w:type="spellStart"/>
      <w:r w:rsidRPr="00544B67">
        <w:rPr>
          <w:rFonts w:ascii="Arial" w:hAnsi="Arial" w:cs="Arial"/>
          <w:sz w:val="24"/>
          <w:szCs w:val="24"/>
        </w:rPr>
        <w:t>takeholders</w:t>
      </w:r>
      <w:proofErr w:type="spellEnd"/>
      <w:r w:rsidRPr="00544B67">
        <w:rPr>
          <w:rFonts w:ascii="Arial" w:hAnsi="Arial" w:cs="Arial"/>
          <w:sz w:val="24"/>
          <w:szCs w:val="24"/>
        </w:rPr>
        <w:t xml:space="preserve"> argued strongly to similar effect—a problem arising from coercive and controlling conduct should not be met with a similar response.</w:t>
      </w:r>
      <w:r w:rsidR="00112ECD">
        <w:rPr>
          <w:rFonts w:ascii="Arial" w:hAnsi="Arial" w:cs="Arial"/>
          <w:sz w:val="24"/>
          <w:szCs w:val="24"/>
        </w:rPr>
        <w:t>’</w:t>
      </w:r>
      <w:r w:rsidR="00112ECD">
        <w:rPr>
          <w:rStyle w:val="FootnoteReference"/>
          <w:rFonts w:ascii="Arial" w:hAnsi="Arial" w:cs="Arial"/>
          <w:sz w:val="24"/>
          <w:szCs w:val="24"/>
        </w:rPr>
        <w:footnoteReference w:id="34"/>
      </w:r>
      <w:r w:rsidRPr="00544B67">
        <w:rPr>
          <w:rFonts w:ascii="Arial" w:hAnsi="Arial" w:cs="Arial"/>
          <w:sz w:val="24"/>
          <w:szCs w:val="24"/>
        </w:rPr>
        <w:t xml:space="preserve"> </w:t>
      </w:r>
      <w:r w:rsidR="00112ECD">
        <w:rPr>
          <w:rFonts w:ascii="Arial" w:hAnsi="Arial" w:cs="Arial"/>
          <w:sz w:val="24"/>
          <w:szCs w:val="24"/>
        </w:rPr>
        <w:t xml:space="preserve">They quoted the submission by the </w:t>
      </w:r>
      <w:r w:rsidRPr="00544B67">
        <w:rPr>
          <w:rFonts w:ascii="Arial" w:hAnsi="Arial" w:cs="Arial"/>
          <w:sz w:val="24"/>
          <w:szCs w:val="24"/>
        </w:rPr>
        <w:t>Good Shepherd Youth and Family Service</w:t>
      </w:r>
      <w:r w:rsidR="00112ECD">
        <w:rPr>
          <w:rFonts w:ascii="Arial" w:hAnsi="Arial" w:cs="Arial"/>
          <w:sz w:val="24"/>
          <w:szCs w:val="24"/>
        </w:rPr>
        <w:t xml:space="preserve"> who </w:t>
      </w:r>
      <w:r w:rsidR="00A4295A">
        <w:rPr>
          <w:rFonts w:ascii="Arial" w:hAnsi="Arial" w:cs="Arial"/>
          <w:sz w:val="24"/>
          <w:szCs w:val="24"/>
        </w:rPr>
        <w:t>maintain</w:t>
      </w:r>
      <w:r w:rsidR="00112ECD">
        <w:rPr>
          <w:rFonts w:ascii="Arial" w:hAnsi="Arial" w:cs="Arial"/>
          <w:sz w:val="24"/>
          <w:szCs w:val="24"/>
        </w:rPr>
        <w:t>ed that:</w:t>
      </w:r>
    </w:p>
    <w:p w:rsidR="00544B67" w:rsidRDefault="00544B67" w:rsidP="00112ECD">
      <w:pPr>
        <w:ind w:left="720"/>
        <w:jc w:val="both"/>
        <w:rPr>
          <w:rFonts w:ascii="Arial" w:hAnsi="Arial" w:cs="Arial"/>
          <w:sz w:val="24"/>
          <w:szCs w:val="24"/>
        </w:rPr>
      </w:pPr>
      <w:r w:rsidRPr="00544B67">
        <w:rPr>
          <w:rFonts w:ascii="Arial" w:hAnsi="Arial" w:cs="Arial"/>
          <w:sz w:val="24"/>
          <w:szCs w:val="24"/>
        </w:rPr>
        <w:lastRenderedPageBreak/>
        <w:t>Family violence, the exercise of power and control of one person over another, is an attack on the individual autonomy, agency, and freedom of the victim. In this context, the risks of further disempowerment and loss of independence from compulsory income management are high. Replacing individual power and control with state power and control is at best stop-gap and at worst a further abuse.</w:t>
      </w:r>
      <w:r w:rsidR="00112ECD">
        <w:rPr>
          <w:rStyle w:val="FootnoteReference"/>
          <w:rFonts w:ascii="Arial" w:hAnsi="Arial" w:cs="Arial"/>
          <w:sz w:val="24"/>
          <w:szCs w:val="24"/>
        </w:rPr>
        <w:footnoteReference w:id="35"/>
      </w:r>
    </w:p>
    <w:p w:rsidR="008708AB" w:rsidRPr="00E02003" w:rsidRDefault="00FB4BDF" w:rsidP="00E96ABB">
      <w:pPr>
        <w:jc w:val="both"/>
        <w:rPr>
          <w:rFonts w:ascii="Arial" w:hAnsi="Arial" w:cs="Arial"/>
          <w:sz w:val="24"/>
          <w:szCs w:val="24"/>
        </w:rPr>
      </w:pPr>
      <w:r>
        <w:rPr>
          <w:rFonts w:ascii="Arial" w:hAnsi="Arial" w:cs="Arial"/>
          <w:sz w:val="24"/>
          <w:szCs w:val="24"/>
        </w:rPr>
        <w:t>The ALRC also refers</w:t>
      </w:r>
      <w:r w:rsidR="00DC6EE4" w:rsidRPr="00E02003">
        <w:rPr>
          <w:rFonts w:ascii="Arial" w:hAnsi="Arial" w:cs="Arial"/>
          <w:sz w:val="24"/>
          <w:szCs w:val="24"/>
        </w:rPr>
        <w:t xml:space="preserve"> to the tension between income management and human rights.</w:t>
      </w:r>
      <w:r w:rsidR="00DC6EE4" w:rsidRPr="00E02003">
        <w:rPr>
          <w:rStyle w:val="FootnoteReference"/>
          <w:rFonts w:ascii="Arial" w:hAnsi="Arial" w:cs="Arial"/>
          <w:sz w:val="24"/>
          <w:szCs w:val="24"/>
        </w:rPr>
        <w:footnoteReference w:id="36"/>
      </w:r>
    </w:p>
    <w:p w:rsidR="00DC6EE4" w:rsidRPr="00E02003" w:rsidRDefault="00DC6EE4" w:rsidP="00E02003">
      <w:pPr>
        <w:jc w:val="both"/>
        <w:rPr>
          <w:rFonts w:ascii="Arial" w:hAnsi="Arial" w:cs="Arial"/>
          <w:sz w:val="24"/>
          <w:szCs w:val="24"/>
        </w:rPr>
      </w:pPr>
      <w:r w:rsidRPr="00E02003">
        <w:rPr>
          <w:rFonts w:ascii="Arial" w:hAnsi="Arial" w:cs="Arial"/>
          <w:sz w:val="24"/>
          <w:szCs w:val="24"/>
        </w:rPr>
        <w:t xml:space="preserve">The tension between income management and human rights was explored in the 2013 report by the Parliamentary Joint Committee on Human Rights </w:t>
      </w:r>
      <w:r w:rsidR="00F531C8" w:rsidRPr="00E02003">
        <w:rPr>
          <w:rFonts w:ascii="Arial" w:hAnsi="Arial" w:cs="Arial"/>
          <w:sz w:val="24"/>
          <w:szCs w:val="24"/>
        </w:rPr>
        <w:t xml:space="preserve">(PJCHR) </w:t>
      </w:r>
      <w:r w:rsidR="00113DBC">
        <w:rPr>
          <w:rFonts w:ascii="Arial" w:hAnsi="Arial" w:cs="Arial"/>
          <w:sz w:val="24"/>
          <w:szCs w:val="24"/>
        </w:rPr>
        <w:t xml:space="preserve">when </w:t>
      </w:r>
      <w:r w:rsidR="00BA4FB5">
        <w:rPr>
          <w:rFonts w:ascii="Arial" w:hAnsi="Arial" w:cs="Arial"/>
          <w:sz w:val="24"/>
          <w:szCs w:val="24"/>
        </w:rPr>
        <w:t>examining</w:t>
      </w:r>
      <w:r w:rsidRPr="00E02003">
        <w:rPr>
          <w:rFonts w:ascii="Arial" w:hAnsi="Arial" w:cs="Arial"/>
          <w:sz w:val="24"/>
          <w:szCs w:val="24"/>
        </w:rPr>
        <w:t xml:space="preserve"> the </w:t>
      </w:r>
      <w:r w:rsidRPr="00E02003">
        <w:rPr>
          <w:rFonts w:ascii="Arial" w:hAnsi="Arial" w:cs="Arial"/>
          <w:i/>
          <w:sz w:val="24"/>
          <w:szCs w:val="24"/>
        </w:rPr>
        <w:t>Stronger Futures</w:t>
      </w:r>
      <w:r w:rsidRPr="00E02003">
        <w:rPr>
          <w:rFonts w:ascii="Arial" w:hAnsi="Arial" w:cs="Arial"/>
          <w:sz w:val="24"/>
          <w:szCs w:val="24"/>
        </w:rPr>
        <w:t xml:space="preserve"> legislative package, which included amendment to the social security law and further expansion of income management.</w:t>
      </w:r>
      <w:r w:rsidR="0018216A" w:rsidRPr="00E02003">
        <w:rPr>
          <w:rStyle w:val="FootnoteReference"/>
          <w:rFonts w:ascii="Arial" w:hAnsi="Arial" w:cs="Arial"/>
          <w:sz w:val="24"/>
          <w:szCs w:val="24"/>
        </w:rPr>
        <w:footnoteReference w:id="37"/>
      </w:r>
      <w:r w:rsidR="00F531C8" w:rsidRPr="00E02003">
        <w:rPr>
          <w:rFonts w:ascii="Arial" w:hAnsi="Arial" w:cs="Arial"/>
          <w:sz w:val="24"/>
          <w:szCs w:val="24"/>
        </w:rPr>
        <w:t xml:space="preserve"> The PJCHR noted:</w:t>
      </w:r>
    </w:p>
    <w:p w:rsidR="00F531C8" w:rsidRPr="00E02003" w:rsidRDefault="00036BA9" w:rsidP="00E02003">
      <w:pPr>
        <w:ind w:left="720"/>
        <w:jc w:val="both"/>
        <w:rPr>
          <w:rFonts w:ascii="Arial" w:hAnsi="Arial" w:cs="Arial"/>
          <w:sz w:val="24"/>
          <w:szCs w:val="24"/>
        </w:rPr>
      </w:pPr>
      <w:r>
        <w:rPr>
          <w:rFonts w:ascii="Arial" w:hAnsi="Arial" w:cs="Arial"/>
          <w:sz w:val="24"/>
          <w:szCs w:val="24"/>
        </w:rPr>
        <w:t>[</w:t>
      </w:r>
      <w:r w:rsidR="00F531C8" w:rsidRPr="00E02003">
        <w:rPr>
          <w:rFonts w:ascii="Arial" w:hAnsi="Arial" w:cs="Arial"/>
          <w:sz w:val="24"/>
          <w:szCs w:val="24"/>
        </w:rPr>
        <w:t>T</w:t>
      </w:r>
      <w:r>
        <w:rPr>
          <w:rFonts w:ascii="Arial" w:hAnsi="Arial" w:cs="Arial"/>
          <w:sz w:val="24"/>
          <w:szCs w:val="24"/>
        </w:rPr>
        <w:t>]</w:t>
      </w:r>
      <w:r w:rsidR="00F531C8" w:rsidRPr="00E02003">
        <w:rPr>
          <w:rFonts w:ascii="Arial" w:hAnsi="Arial" w:cs="Arial"/>
          <w:sz w:val="24"/>
          <w:szCs w:val="24"/>
        </w:rPr>
        <w:t>he income management regime gives rise to a number of human rights compatibility issues. These include whether the income management regime in its various manifestations is consistent with the right to be free from discrimination on the ground of race or ethnic origin, the right to be free from discrimination on the ground of sex, the right to equal protection of the law, the right to social security, the right to an adequate standard of living, and the right to privacy.</w:t>
      </w:r>
      <w:r w:rsidR="00F531C8" w:rsidRPr="00E02003">
        <w:rPr>
          <w:rStyle w:val="FootnoteReference"/>
          <w:rFonts w:ascii="Arial" w:hAnsi="Arial" w:cs="Arial"/>
          <w:sz w:val="24"/>
          <w:szCs w:val="24"/>
        </w:rPr>
        <w:footnoteReference w:id="38"/>
      </w:r>
    </w:p>
    <w:p w:rsidR="00F531C8" w:rsidRPr="00E02003" w:rsidRDefault="00F531C8" w:rsidP="00E02003">
      <w:pPr>
        <w:jc w:val="both"/>
        <w:rPr>
          <w:rFonts w:ascii="Arial" w:hAnsi="Arial" w:cs="Arial"/>
          <w:sz w:val="24"/>
          <w:szCs w:val="24"/>
        </w:rPr>
      </w:pPr>
      <w:r w:rsidRPr="00E02003">
        <w:rPr>
          <w:rFonts w:ascii="Arial" w:hAnsi="Arial" w:cs="Arial"/>
          <w:sz w:val="24"/>
          <w:szCs w:val="24"/>
        </w:rPr>
        <w:t>The Committee stated that:</w:t>
      </w:r>
    </w:p>
    <w:p w:rsidR="00F531C8" w:rsidRPr="00E02003" w:rsidRDefault="00F531C8" w:rsidP="00E02003">
      <w:pPr>
        <w:ind w:left="720"/>
        <w:jc w:val="both"/>
        <w:rPr>
          <w:rFonts w:ascii="Arial" w:hAnsi="Arial" w:cs="Arial"/>
          <w:sz w:val="24"/>
          <w:szCs w:val="24"/>
        </w:rPr>
      </w:pPr>
      <w:r w:rsidRPr="00E02003">
        <w:rPr>
          <w:rFonts w:ascii="Arial" w:hAnsi="Arial" w:cs="Arial"/>
          <w:sz w:val="24"/>
          <w:szCs w:val="24"/>
        </w:rPr>
        <w:t xml:space="preserve">It is clear that while the measures have been extended to communities that are not predominantly </w:t>
      </w:r>
      <w:proofErr w:type="gramStart"/>
      <w:r w:rsidRPr="00E02003">
        <w:rPr>
          <w:rFonts w:ascii="Arial" w:hAnsi="Arial" w:cs="Arial"/>
          <w:sz w:val="24"/>
          <w:szCs w:val="24"/>
        </w:rPr>
        <w:t>Aboriginal</w:t>
      </w:r>
      <w:proofErr w:type="gramEnd"/>
      <w:r w:rsidRPr="00E02003">
        <w:rPr>
          <w:rFonts w:ascii="Arial" w:hAnsi="Arial" w:cs="Arial"/>
          <w:sz w:val="24"/>
          <w:szCs w:val="24"/>
        </w:rPr>
        <w:t xml:space="preserve">, the measures still apply overwhelmingly to such Aboriginal communities. Accordingly, this means that they will fall within the definition of racial discrimination in article 1 of the ICERD, which refers to measures as racially discriminatory if they have 'the purpose or effect' of restricting the enjoyment of human rights. As such, in order to be non-discriminatory they will need to be shown to be based on objective and reasonable grounds and </w:t>
      </w:r>
      <w:r w:rsidR="005A3803">
        <w:rPr>
          <w:rFonts w:ascii="Arial" w:hAnsi="Arial" w:cs="Arial"/>
          <w:sz w:val="24"/>
          <w:szCs w:val="24"/>
        </w:rPr>
        <w:t>[be]</w:t>
      </w:r>
      <w:r w:rsidRPr="00E02003">
        <w:rPr>
          <w:rFonts w:ascii="Arial" w:hAnsi="Arial" w:cs="Arial"/>
          <w:sz w:val="24"/>
          <w:szCs w:val="24"/>
        </w:rPr>
        <w:t xml:space="preserve"> a proportionate measure in pursuit of a legitimate objective.</w:t>
      </w:r>
      <w:r w:rsidRPr="00E02003">
        <w:rPr>
          <w:rStyle w:val="FootnoteReference"/>
          <w:rFonts w:ascii="Arial" w:hAnsi="Arial" w:cs="Arial"/>
          <w:sz w:val="24"/>
          <w:szCs w:val="24"/>
        </w:rPr>
        <w:footnoteReference w:id="39"/>
      </w:r>
    </w:p>
    <w:p w:rsidR="00A6303A" w:rsidRPr="00E02003" w:rsidRDefault="007B134D" w:rsidP="00E02003">
      <w:pPr>
        <w:jc w:val="both"/>
        <w:rPr>
          <w:rFonts w:ascii="Arial" w:hAnsi="Arial" w:cs="Arial"/>
          <w:sz w:val="24"/>
          <w:szCs w:val="24"/>
        </w:rPr>
      </w:pPr>
      <w:r w:rsidRPr="00E02003">
        <w:rPr>
          <w:rFonts w:ascii="Arial" w:hAnsi="Arial" w:cs="Arial"/>
          <w:sz w:val="24"/>
          <w:szCs w:val="24"/>
        </w:rPr>
        <w:lastRenderedPageBreak/>
        <w:t>The Committee concluded that:</w:t>
      </w:r>
    </w:p>
    <w:p w:rsidR="007B134D" w:rsidRPr="00E02003" w:rsidRDefault="00362006" w:rsidP="00E02003">
      <w:pPr>
        <w:ind w:left="720"/>
        <w:jc w:val="both"/>
        <w:rPr>
          <w:rFonts w:ascii="Arial" w:hAnsi="Arial" w:cs="Arial"/>
          <w:sz w:val="24"/>
          <w:szCs w:val="24"/>
        </w:rPr>
      </w:pPr>
      <w:r w:rsidRPr="00E02003">
        <w:rPr>
          <w:rFonts w:ascii="Arial" w:hAnsi="Arial" w:cs="Arial"/>
          <w:sz w:val="24"/>
          <w:szCs w:val="24"/>
        </w:rPr>
        <w:t>[</w:t>
      </w:r>
      <w:r w:rsidR="002E5F66">
        <w:rPr>
          <w:rFonts w:ascii="Arial" w:hAnsi="Arial" w:cs="Arial"/>
          <w:sz w:val="24"/>
          <w:szCs w:val="24"/>
        </w:rPr>
        <w:t>T]</w:t>
      </w:r>
      <w:proofErr w:type="gramStart"/>
      <w:r w:rsidR="007B134D" w:rsidRPr="00E02003">
        <w:rPr>
          <w:rFonts w:ascii="Arial" w:hAnsi="Arial" w:cs="Arial"/>
          <w:sz w:val="24"/>
          <w:szCs w:val="24"/>
        </w:rPr>
        <w:t>he</w:t>
      </w:r>
      <w:proofErr w:type="gramEnd"/>
      <w:r w:rsidR="007B134D" w:rsidRPr="00E02003">
        <w:rPr>
          <w:rFonts w:ascii="Arial" w:hAnsi="Arial" w:cs="Arial"/>
          <w:sz w:val="24"/>
          <w:szCs w:val="24"/>
        </w:rPr>
        <w:t xml:space="preserve"> government has not yet clearly demonstrated that: </w:t>
      </w:r>
    </w:p>
    <w:p w:rsidR="00E02003" w:rsidRPr="00E02003" w:rsidRDefault="007B134D" w:rsidP="00E02003">
      <w:pPr>
        <w:pStyle w:val="ListParagraph"/>
        <w:numPr>
          <w:ilvl w:val="0"/>
          <w:numId w:val="6"/>
        </w:numPr>
        <w:jc w:val="both"/>
        <w:rPr>
          <w:rFonts w:ascii="Arial" w:hAnsi="Arial" w:cs="Arial"/>
          <w:sz w:val="24"/>
          <w:szCs w:val="24"/>
        </w:rPr>
      </w:pPr>
      <w:r w:rsidRPr="00E02003">
        <w:rPr>
          <w:rFonts w:ascii="Arial" w:hAnsi="Arial" w:cs="Arial"/>
          <w:sz w:val="24"/>
          <w:szCs w:val="24"/>
        </w:rPr>
        <w:t xml:space="preserve">the income management regime to the extent it may be viewed as having a differential impact based on race, is a reasonable and proportionate measure and therefore not discriminatory; or </w:t>
      </w:r>
    </w:p>
    <w:p w:rsidR="00647CAE" w:rsidRPr="00E02003" w:rsidRDefault="007B134D" w:rsidP="00E02003">
      <w:pPr>
        <w:pStyle w:val="ListParagraph"/>
        <w:numPr>
          <w:ilvl w:val="0"/>
          <w:numId w:val="6"/>
        </w:numPr>
        <w:jc w:val="both"/>
        <w:rPr>
          <w:rFonts w:ascii="Arial" w:hAnsi="Arial" w:cs="Arial"/>
          <w:sz w:val="24"/>
          <w:szCs w:val="24"/>
        </w:rPr>
      </w:pPr>
      <w:proofErr w:type="gramStart"/>
      <w:r w:rsidRPr="00E02003">
        <w:rPr>
          <w:rFonts w:ascii="Arial" w:hAnsi="Arial" w:cs="Arial"/>
          <w:sz w:val="24"/>
          <w:szCs w:val="24"/>
        </w:rPr>
        <w:t>the</w:t>
      </w:r>
      <w:proofErr w:type="gramEnd"/>
      <w:r w:rsidRPr="00E02003">
        <w:rPr>
          <w:rFonts w:ascii="Arial" w:hAnsi="Arial" w:cs="Arial"/>
          <w:sz w:val="24"/>
          <w:szCs w:val="24"/>
        </w:rPr>
        <w:t xml:space="preserve"> income management regime is a justifiable limitation on the rights to social security and the right to privacy and family.</w:t>
      </w:r>
      <w:r w:rsidRPr="00E02003">
        <w:rPr>
          <w:rStyle w:val="FootnoteReference"/>
          <w:rFonts w:ascii="Arial" w:hAnsi="Arial" w:cs="Arial"/>
          <w:sz w:val="24"/>
          <w:szCs w:val="24"/>
        </w:rPr>
        <w:footnoteReference w:id="40"/>
      </w:r>
    </w:p>
    <w:p w:rsidR="00861C99" w:rsidRDefault="00861C99" w:rsidP="00E02003">
      <w:pPr>
        <w:jc w:val="both"/>
        <w:rPr>
          <w:rFonts w:ascii="Arial" w:hAnsi="Arial" w:cs="Arial"/>
          <w:sz w:val="24"/>
          <w:szCs w:val="24"/>
        </w:rPr>
      </w:pPr>
      <w:r>
        <w:rPr>
          <w:rFonts w:ascii="Arial" w:hAnsi="Arial" w:cs="Arial"/>
          <w:sz w:val="24"/>
          <w:szCs w:val="24"/>
        </w:rPr>
        <w:t>The PJCHR also noted the importance of self-determina</w:t>
      </w:r>
      <w:r w:rsidR="003442BC">
        <w:rPr>
          <w:rFonts w:ascii="Arial" w:hAnsi="Arial" w:cs="Arial"/>
          <w:sz w:val="24"/>
          <w:szCs w:val="24"/>
        </w:rPr>
        <w:t>tion for Aboriginal communities</w:t>
      </w:r>
      <w:r w:rsidR="00113DBC">
        <w:rPr>
          <w:rFonts w:ascii="Arial" w:hAnsi="Arial" w:cs="Arial"/>
          <w:sz w:val="24"/>
          <w:szCs w:val="24"/>
        </w:rPr>
        <w:t>—</w:t>
      </w:r>
      <w:r>
        <w:rPr>
          <w:rFonts w:ascii="Arial" w:hAnsi="Arial" w:cs="Arial"/>
          <w:sz w:val="24"/>
          <w:szCs w:val="24"/>
        </w:rPr>
        <w:t xml:space="preserve">which </w:t>
      </w:r>
      <w:r w:rsidR="00113DBC">
        <w:rPr>
          <w:rFonts w:ascii="Arial" w:hAnsi="Arial" w:cs="Arial"/>
          <w:sz w:val="24"/>
          <w:szCs w:val="24"/>
        </w:rPr>
        <w:t xml:space="preserve">is denied </w:t>
      </w:r>
      <w:r>
        <w:rPr>
          <w:rFonts w:ascii="Arial" w:hAnsi="Arial" w:cs="Arial"/>
          <w:sz w:val="24"/>
          <w:szCs w:val="24"/>
        </w:rPr>
        <w:t>with the imposition of compulsory income management. They referred to:</w:t>
      </w:r>
    </w:p>
    <w:p w:rsidR="00861C99" w:rsidRDefault="00861C99" w:rsidP="00861C99">
      <w:pPr>
        <w:ind w:left="720"/>
        <w:jc w:val="both"/>
        <w:rPr>
          <w:rFonts w:ascii="Arial" w:hAnsi="Arial" w:cs="Arial"/>
          <w:sz w:val="24"/>
          <w:szCs w:val="24"/>
        </w:rPr>
      </w:pPr>
      <w:r w:rsidRPr="00861C99">
        <w:rPr>
          <w:rFonts w:ascii="Arial" w:hAnsi="Arial" w:cs="Arial"/>
          <w:sz w:val="24"/>
          <w:szCs w:val="24"/>
        </w:rPr>
        <w:t xml:space="preserve">The </w:t>
      </w:r>
      <w:r>
        <w:rPr>
          <w:rFonts w:ascii="Arial" w:hAnsi="Arial" w:cs="Arial"/>
          <w:sz w:val="24"/>
          <w:szCs w:val="24"/>
        </w:rPr>
        <w:t>…</w:t>
      </w:r>
      <w:r w:rsidRPr="00861C99">
        <w:rPr>
          <w:rFonts w:ascii="Arial" w:hAnsi="Arial" w:cs="Arial"/>
          <w:sz w:val="24"/>
          <w:szCs w:val="24"/>
        </w:rPr>
        <w:t xml:space="preserve"> critical importance of ensuring the full involvement of affected communities, in this case primarily </w:t>
      </w:r>
      <w:proofErr w:type="gramStart"/>
      <w:r w:rsidRPr="00861C99">
        <w:rPr>
          <w:rFonts w:ascii="Arial" w:hAnsi="Arial" w:cs="Arial"/>
          <w:sz w:val="24"/>
          <w:szCs w:val="24"/>
        </w:rPr>
        <w:t>Indigenous</w:t>
      </w:r>
      <w:proofErr w:type="gramEnd"/>
      <w:r w:rsidRPr="00861C99">
        <w:rPr>
          <w:rFonts w:ascii="Arial" w:hAnsi="Arial" w:cs="Arial"/>
          <w:sz w:val="24"/>
          <w:szCs w:val="24"/>
        </w:rPr>
        <w:t xml:space="preserve"> communities, in the policymaking and policy implementation process. The right to self-determination guaranteed by article 1 of each of the International Covenants on Human Rights, as well as the UN Declaration of the Rights of Indigenous Peoples, require meaningful consultation with, and in many cases the free, prior and informed consent of, Indigenous peoples during the formulation and implementation of laws and policies that affect them. This means ensuring the involvement of affected communities in decisions as to whether to adopt particular measures, in their implementation, and in their monitoring and evaluation. To do otherwise risks producing the disempowerment and feelings of exclusion and marginalisation that were revealed in the evidence presented to the Senate Community Affairs Legislation Committee and which are fundamentally at odds with the principles of respect for the dignity and autonomy of persons recognised in the human rights treaties and the UN Declaration on the</w:t>
      </w:r>
      <w:r>
        <w:rPr>
          <w:rFonts w:ascii="Arial" w:hAnsi="Arial" w:cs="Arial"/>
          <w:sz w:val="24"/>
          <w:szCs w:val="24"/>
        </w:rPr>
        <w:t xml:space="preserve"> Rights of Indigenous Peoples.</w:t>
      </w:r>
      <w:r>
        <w:rPr>
          <w:rStyle w:val="FootnoteReference"/>
          <w:rFonts w:ascii="Arial" w:hAnsi="Arial" w:cs="Arial"/>
          <w:sz w:val="24"/>
          <w:szCs w:val="24"/>
        </w:rPr>
        <w:footnoteReference w:id="41"/>
      </w:r>
    </w:p>
    <w:p w:rsidR="004330FA" w:rsidRDefault="0066414F" w:rsidP="00E02003">
      <w:pPr>
        <w:jc w:val="both"/>
        <w:rPr>
          <w:rFonts w:ascii="Arial" w:hAnsi="Arial" w:cs="Arial"/>
          <w:sz w:val="24"/>
          <w:szCs w:val="24"/>
        </w:rPr>
      </w:pPr>
      <w:r>
        <w:rPr>
          <w:rFonts w:ascii="Arial" w:hAnsi="Arial" w:cs="Arial"/>
          <w:sz w:val="24"/>
          <w:szCs w:val="24"/>
        </w:rPr>
        <w:t xml:space="preserve">It is arguable that infringing the human rights of welfare recipients makes them more rather than less vulnerable, which is the antithesis of what the government claims to be trying to achieve </w:t>
      </w:r>
      <w:r w:rsidR="00C30231">
        <w:rPr>
          <w:rFonts w:ascii="Arial" w:hAnsi="Arial" w:cs="Arial"/>
          <w:sz w:val="24"/>
          <w:szCs w:val="24"/>
        </w:rPr>
        <w:t>with</w:t>
      </w:r>
      <w:r>
        <w:rPr>
          <w:rFonts w:ascii="Arial" w:hAnsi="Arial" w:cs="Arial"/>
          <w:sz w:val="24"/>
          <w:szCs w:val="24"/>
        </w:rPr>
        <w:t xml:space="preserve"> income management. </w:t>
      </w:r>
    </w:p>
    <w:p w:rsidR="00647CAE" w:rsidRPr="00E02003" w:rsidRDefault="00647CAE" w:rsidP="00E02003">
      <w:pPr>
        <w:jc w:val="both"/>
        <w:rPr>
          <w:rFonts w:ascii="Arial" w:hAnsi="Arial" w:cs="Arial"/>
          <w:sz w:val="24"/>
          <w:szCs w:val="24"/>
        </w:rPr>
      </w:pPr>
      <w:r w:rsidRPr="00E02003">
        <w:rPr>
          <w:rFonts w:ascii="Arial" w:hAnsi="Arial" w:cs="Arial"/>
          <w:sz w:val="24"/>
          <w:szCs w:val="24"/>
        </w:rPr>
        <w:lastRenderedPageBreak/>
        <w:t xml:space="preserve">The continuation of </w:t>
      </w:r>
      <w:r w:rsidR="00861C99">
        <w:rPr>
          <w:rFonts w:ascii="Arial" w:hAnsi="Arial" w:cs="Arial"/>
          <w:sz w:val="24"/>
          <w:szCs w:val="24"/>
        </w:rPr>
        <w:t xml:space="preserve">compulsory </w:t>
      </w:r>
      <w:r w:rsidRPr="00E02003">
        <w:rPr>
          <w:rFonts w:ascii="Arial" w:hAnsi="Arial" w:cs="Arial"/>
          <w:sz w:val="24"/>
          <w:szCs w:val="24"/>
        </w:rPr>
        <w:t xml:space="preserve">income management </w:t>
      </w:r>
      <w:r w:rsidR="007A4B03">
        <w:rPr>
          <w:rFonts w:ascii="Arial" w:hAnsi="Arial" w:cs="Arial"/>
          <w:sz w:val="24"/>
          <w:szCs w:val="24"/>
        </w:rPr>
        <w:t>is likely to</w:t>
      </w:r>
      <w:r w:rsidRPr="00E02003">
        <w:rPr>
          <w:rFonts w:ascii="Arial" w:hAnsi="Arial" w:cs="Arial"/>
          <w:sz w:val="24"/>
          <w:szCs w:val="24"/>
        </w:rPr>
        <w:t xml:space="preserve"> contribute to further international criticism of Australia for flouting the international human rights obligations by which Australia has agreed to be bound.</w:t>
      </w:r>
      <w:r w:rsidR="0059780E">
        <w:rPr>
          <w:rStyle w:val="FootnoteReference"/>
          <w:rFonts w:ascii="Arial" w:hAnsi="Arial" w:cs="Arial"/>
          <w:sz w:val="24"/>
          <w:szCs w:val="24"/>
        </w:rPr>
        <w:footnoteReference w:id="42"/>
      </w:r>
      <w:r w:rsidR="006F56D1" w:rsidRPr="00E02003">
        <w:rPr>
          <w:rFonts w:ascii="Arial" w:hAnsi="Arial" w:cs="Arial"/>
          <w:sz w:val="24"/>
          <w:szCs w:val="24"/>
        </w:rPr>
        <w:t xml:space="preserve"> This w</w:t>
      </w:r>
      <w:r w:rsidR="002F1811">
        <w:rPr>
          <w:rFonts w:ascii="Arial" w:hAnsi="Arial" w:cs="Arial"/>
          <w:sz w:val="24"/>
          <w:szCs w:val="24"/>
        </w:rPr>
        <w:t>ill</w:t>
      </w:r>
      <w:r w:rsidR="006F56D1" w:rsidRPr="00E02003">
        <w:rPr>
          <w:rFonts w:ascii="Arial" w:hAnsi="Arial" w:cs="Arial"/>
          <w:sz w:val="24"/>
          <w:szCs w:val="24"/>
        </w:rPr>
        <w:t xml:space="preserve"> reflect poorly on Australia’s international reputation. </w:t>
      </w:r>
    </w:p>
    <w:p w:rsidR="00304754" w:rsidRPr="00DF5E7A" w:rsidRDefault="00304754" w:rsidP="00DF5E7A">
      <w:pPr>
        <w:pStyle w:val="ListParagraph"/>
        <w:numPr>
          <w:ilvl w:val="0"/>
          <w:numId w:val="11"/>
        </w:numPr>
        <w:jc w:val="both"/>
        <w:rPr>
          <w:rFonts w:ascii="Arial" w:hAnsi="Arial" w:cs="Arial"/>
          <w:b/>
          <w:sz w:val="24"/>
          <w:szCs w:val="24"/>
        </w:rPr>
      </w:pPr>
      <w:r w:rsidRPr="00DF5E7A">
        <w:rPr>
          <w:rFonts w:ascii="Arial" w:hAnsi="Arial" w:cs="Arial"/>
          <w:b/>
          <w:sz w:val="24"/>
          <w:szCs w:val="24"/>
        </w:rPr>
        <w:t>Problems for Indigenous Peoples with the exemption process and administrative errors</w:t>
      </w:r>
    </w:p>
    <w:p w:rsidR="00D53091" w:rsidRPr="007A3419" w:rsidRDefault="00A1449C" w:rsidP="00D53091">
      <w:pPr>
        <w:jc w:val="both"/>
        <w:rPr>
          <w:sz w:val="24"/>
          <w:szCs w:val="24"/>
        </w:rPr>
      </w:pPr>
      <w:r w:rsidRPr="00E02003">
        <w:rPr>
          <w:rFonts w:ascii="Arial" w:hAnsi="Arial" w:cs="Arial"/>
          <w:sz w:val="24"/>
          <w:szCs w:val="24"/>
        </w:rPr>
        <w:t xml:space="preserve">A troubling aspect of income management relates to the exemption process. </w:t>
      </w:r>
      <w:r w:rsidR="00D53091" w:rsidRPr="007A3419">
        <w:rPr>
          <w:rFonts w:ascii="Arial" w:hAnsi="Arial" w:cs="Arial"/>
          <w:sz w:val="24"/>
          <w:szCs w:val="24"/>
        </w:rPr>
        <w:t xml:space="preserve">It is unjust that Indigenous peoples are required to bear the burden of interpretative labour in navigating the complicated exemption process associated with income management. As the income management system currently stands, there are onerous procedures that have to be </w:t>
      </w:r>
      <w:r w:rsidR="00D93FE3">
        <w:rPr>
          <w:rFonts w:ascii="Arial" w:hAnsi="Arial" w:cs="Arial"/>
          <w:sz w:val="24"/>
          <w:szCs w:val="24"/>
        </w:rPr>
        <w:t>traversed</w:t>
      </w:r>
      <w:r w:rsidR="00D53091" w:rsidRPr="007A3419">
        <w:rPr>
          <w:rFonts w:ascii="Arial" w:hAnsi="Arial" w:cs="Arial"/>
          <w:sz w:val="24"/>
          <w:szCs w:val="24"/>
        </w:rPr>
        <w:t xml:space="preserve"> by the most marginalised members of society in order for them to be accorded budgetary autonomy.</w:t>
      </w:r>
      <w:r w:rsidR="00D53091">
        <w:rPr>
          <w:rFonts w:ascii="Arial" w:hAnsi="Arial" w:cs="Arial"/>
          <w:sz w:val="24"/>
          <w:szCs w:val="24"/>
        </w:rPr>
        <w:t xml:space="preserve"> </w:t>
      </w:r>
      <w:r w:rsidR="00D53091" w:rsidRPr="007A3419">
        <w:rPr>
          <w:rFonts w:ascii="Arial" w:hAnsi="Arial" w:cs="Arial"/>
          <w:sz w:val="24"/>
          <w:szCs w:val="24"/>
        </w:rPr>
        <w:t xml:space="preserve">Barriers faced by Indigenous welfare recipients </w:t>
      </w:r>
      <w:r w:rsidR="00030843">
        <w:rPr>
          <w:rFonts w:ascii="Arial" w:hAnsi="Arial" w:cs="Arial"/>
          <w:sz w:val="24"/>
          <w:szCs w:val="24"/>
        </w:rPr>
        <w:t>in</w:t>
      </w:r>
      <w:r w:rsidR="00D53091" w:rsidRPr="007A3419">
        <w:rPr>
          <w:rFonts w:ascii="Arial" w:hAnsi="Arial" w:cs="Arial"/>
          <w:sz w:val="24"/>
          <w:szCs w:val="24"/>
        </w:rPr>
        <w:t xml:space="preserve"> the exemption process include ‘lack of knowledge as to how to attain an exemption, difficulties in the exemption process, English language issues, inaccurate information provided by third parties, and lack of flexibility in the legislative exemption requirements.’</w:t>
      </w:r>
      <w:r w:rsidR="00D53091" w:rsidRPr="007A3419">
        <w:rPr>
          <w:rStyle w:val="FootnoteReference"/>
          <w:rFonts w:ascii="Arial" w:hAnsi="Arial" w:cs="Arial"/>
          <w:sz w:val="24"/>
          <w:szCs w:val="24"/>
        </w:rPr>
        <w:footnoteReference w:id="43"/>
      </w:r>
    </w:p>
    <w:p w:rsidR="00783762" w:rsidRPr="00E02003" w:rsidRDefault="00783762" w:rsidP="00E02003">
      <w:pPr>
        <w:jc w:val="both"/>
        <w:rPr>
          <w:rFonts w:ascii="Arial" w:hAnsi="Arial" w:cs="Arial"/>
          <w:sz w:val="24"/>
          <w:szCs w:val="24"/>
        </w:rPr>
      </w:pPr>
      <w:r w:rsidRPr="00E02003">
        <w:rPr>
          <w:rFonts w:ascii="Arial" w:hAnsi="Arial" w:cs="Arial"/>
          <w:sz w:val="24"/>
          <w:szCs w:val="24"/>
        </w:rPr>
        <w:t xml:space="preserve">Via the exemption process associated with contemporary income management, Indigenous peoples can still be told that they must comply with certain Eurocentric benchmarks in order for them to be accorded the privilege of an exemption. </w:t>
      </w:r>
      <w:r w:rsidR="00BA4FB5" w:rsidRPr="00E02003">
        <w:rPr>
          <w:rFonts w:ascii="Arial" w:hAnsi="Arial" w:cs="Arial"/>
          <w:sz w:val="24"/>
          <w:szCs w:val="24"/>
        </w:rPr>
        <w:t xml:space="preserve">This </w:t>
      </w:r>
      <w:r w:rsidR="00C14C34">
        <w:rPr>
          <w:rFonts w:ascii="Arial" w:hAnsi="Arial" w:cs="Arial"/>
          <w:sz w:val="24"/>
          <w:szCs w:val="24"/>
        </w:rPr>
        <w:t xml:space="preserve">problem </w:t>
      </w:r>
      <w:r w:rsidR="00BA4FB5" w:rsidRPr="00E02003">
        <w:rPr>
          <w:rFonts w:ascii="Arial" w:hAnsi="Arial" w:cs="Arial"/>
          <w:sz w:val="24"/>
          <w:szCs w:val="24"/>
        </w:rPr>
        <w:t xml:space="preserve">is </w:t>
      </w:r>
      <w:r w:rsidR="00BA4FB5">
        <w:rPr>
          <w:rFonts w:ascii="Arial" w:hAnsi="Arial" w:cs="Arial"/>
          <w:sz w:val="24"/>
          <w:szCs w:val="24"/>
        </w:rPr>
        <w:t xml:space="preserve">very </w:t>
      </w:r>
      <w:r w:rsidR="00BA4FB5" w:rsidRPr="00E02003">
        <w:rPr>
          <w:rFonts w:ascii="Arial" w:hAnsi="Arial" w:cs="Arial"/>
          <w:sz w:val="24"/>
          <w:szCs w:val="24"/>
        </w:rPr>
        <w:t xml:space="preserve">evident </w:t>
      </w:r>
      <w:r w:rsidR="00BA4FB5">
        <w:rPr>
          <w:rFonts w:ascii="Arial" w:hAnsi="Arial" w:cs="Arial"/>
          <w:sz w:val="24"/>
          <w:szCs w:val="24"/>
        </w:rPr>
        <w:t>from</w:t>
      </w:r>
      <w:r w:rsidR="00BA4FB5" w:rsidRPr="00E02003">
        <w:rPr>
          <w:rFonts w:ascii="Arial" w:hAnsi="Arial" w:cs="Arial"/>
          <w:sz w:val="24"/>
          <w:szCs w:val="24"/>
        </w:rPr>
        <w:t xml:space="preserve"> the report</w:t>
      </w:r>
      <w:r w:rsidRPr="00E02003">
        <w:rPr>
          <w:rFonts w:ascii="Arial" w:hAnsi="Arial" w:cs="Arial"/>
          <w:sz w:val="24"/>
          <w:szCs w:val="24"/>
        </w:rPr>
        <w:t xml:space="preserve"> undertaken by the Commonwealth Ombudsman’s office in 2012. This report found that resource sharing by Indigenous welfare recipients had been negatively perceived as ‘financial exploitation’ in a number of Centrelink cases they examined </w:t>
      </w:r>
      <w:r w:rsidR="00BA4FB5">
        <w:rPr>
          <w:rFonts w:ascii="Arial" w:hAnsi="Arial" w:cs="Arial"/>
          <w:sz w:val="24"/>
          <w:szCs w:val="24"/>
        </w:rPr>
        <w:t>—</w:t>
      </w:r>
      <w:r w:rsidR="00585C15">
        <w:rPr>
          <w:rFonts w:ascii="Arial" w:hAnsi="Arial" w:cs="Arial"/>
          <w:sz w:val="24"/>
          <w:szCs w:val="24"/>
        </w:rPr>
        <w:t xml:space="preserve"> </w:t>
      </w:r>
      <w:r w:rsidR="00B2392A" w:rsidRPr="00E02003">
        <w:rPr>
          <w:rFonts w:ascii="Arial" w:hAnsi="Arial" w:cs="Arial"/>
          <w:sz w:val="24"/>
          <w:szCs w:val="24"/>
        </w:rPr>
        <w:t xml:space="preserve">there was a lack of understanding about the </w:t>
      </w:r>
      <w:r w:rsidR="003B125E">
        <w:rPr>
          <w:rFonts w:ascii="Arial" w:hAnsi="Arial" w:cs="Arial"/>
          <w:sz w:val="24"/>
          <w:szCs w:val="24"/>
        </w:rPr>
        <w:t xml:space="preserve">culturally complex </w:t>
      </w:r>
      <w:r w:rsidR="003B125E" w:rsidRPr="00E02003">
        <w:rPr>
          <w:rFonts w:ascii="Arial" w:hAnsi="Arial" w:cs="Arial"/>
          <w:sz w:val="24"/>
          <w:szCs w:val="24"/>
        </w:rPr>
        <w:t>difference</w:t>
      </w:r>
      <w:r w:rsidR="003B125E">
        <w:rPr>
          <w:rFonts w:ascii="Arial" w:hAnsi="Arial" w:cs="Arial"/>
          <w:sz w:val="24"/>
          <w:szCs w:val="24"/>
        </w:rPr>
        <w:t>s</w:t>
      </w:r>
      <w:r w:rsidR="003B125E" w:rsidRPr="00E02003">
        <w:rPr>
          <w:rFonts w:ascii="Arial" w:hAnsi="Arial" w:cs="Arial"/>
          <w:sz w:val="24"/>
          <w:szCs w:val="24"/>
        </w:rPr>
        <w:t xml:space="preserve"> </w:t>
      </w:r>
      <w:r w:rsidR="00B2392A" w:rsidRPr="00E02003">
        <w:rPr>
          <w:rFonts w:ascii="Arial" w:hAnsi="Arial" w:cs="Arial"/>
          <w:sz w:val="24"/>
          <w:szCs w:val="24"/>
        </w:rPr>
        <w:t xml:space="preserve">between financial exploitation that </w:t>
      </w:r>
      <w:r w:rsidR="003B125E">
        <w:rPr>
          <w:rFonts w:ascii="Arial" w:hAnsi="Arial" w:cs="Arial"/>
          <w:sz w:val="24"/>
          <w:szCs w:val="24"/>
        </w:rPr>
        <w:t>can be</w:t>
      </w:r>
      <w:r w:rsidR="00B2392A" w:rsidRPr="00E02003">
        <w:rPr>
          <w:rFonts w:ascii="Arial" w:hAnsi="Arial" w:cs="Arial"/>
          <w:sz w:val="24"/>
          <w:szCs w:val="24"/>
        </w:rPr>
        <w:t xml:space="preserve"> a form of duress and </w:t>
      </w:r>
      <w:r w:rsidR="003B125E">
        <w:rPr>
          <w:rFonts w:ascii="Arial" w:hAnsi="Arial" w:cs="Arial"/>
          <w:sz w:val="24"/>
          <w:szCs w:val="24"/>
        </w:rPr>
        <w:t>generalised</w:t>
      </w:r>
      <w:r w:rsidR="00B2392A" w:rsidRPr="00E02003">
        <w:rPr>
          <w:rFonts w:ascii="Arial" w:hAnsi="Arial" w:cs="Arial"/>
          <w:sz w:val="24"/>
          <w:szCs w:val="24"/>
        </w:rPr>
        <w:t xml:space="preserve"> sharing</w:t>
      </w:r>
      <w:r w:rsidRPr="00E02003">
        <w:rPr>
          <w:rFonts w:ascii="Arial" w:hAnsi="Arial" w:cs="Arial"/>
          <w:sz w:val="24"/>
          <w:szCs w:val="24"/>
        </w:rPr>
        <w:t>.</w:t>
      </w:r>
      <w:r w:rsidRPr="00E02003">
        <w:rPr>
          <w:rStyle w:val="FootnoteReference"/>
          <w:rFonts w:ascii="Arial" w:hAnsi="Arial" w:cs="Arial"/>
          <w:sz w:val="24"/>
          <w:szCs w:val="24"/>
        </w:rPr>
        <w:footnoteReference w:id="44"/>
      </w:r>
      <w:r w:rsidRPr="00E02003">
        <w:rPr>
          <w:rFonts w:ascii="Arial" w:hAnsi="Arial" w:cs="Arial"/>
          <w:sz w:val="24"/>
          <w:szCs w:val="24"/>
        </w:rPr>
        <w:t xml:space="preserve"> This meant that </w:t>
      </w:r>
      <w:r w:rsidR="00B2392A" w:rsidRPr="00E02003">
        <w:rPr>
          <w:rFonts w:ascii="Arial" w:hAnsi="Arial" w:cs="Arial"/>
          <w:sz w:val="24"/>
          <w:szCs w:val="24"/>
        </w:rPr>
        <w:t xml:space="preserve">some </w:t>
      </w:r>
      <w:r w:rsidRPr="00E02003">
        <w:rPr>
          <w:rFonts w:ascii="Arial" w:hAnsi="Arial" w:cs="Arial"/>
          <w:sz w:val="24"/>
          <w:szCs w:val="24"/>
        </w:rPr>
        <w:t xml:space="preserve">applications for exemption were unjustly denied. </w:t>
      </w:r>
      <w:r w:rsidR="008D302A" w:rsidRPr="00E02003">
        <w:rPr>
          <w:rFonts w:ascii="Arial" w:hAnsi="Arial" w:cs="Arial"/>
          <w:sz w:val="24"/>
          <w:szCs w:val="24"/>
        </w:rPr>
        <w:t xml:space="preserve">This process of viewing sharing amongst Indigenous welfare recipients </w:t>
      </w:r>
      <w:r w:rsidR="008D302A">
        <w:rPr>
          <w:rFonts w:ascii="Arial" w:hAnsi="Arial" w:cs="Arial"/>
          <w:sz w:val="24"/>
          <w:szCs w:val="24"/>
        </w:rPr>
        <w:t>negatively is a form of</w:t>
      </w:r>
      <w:r w:rsidR="008D302A" w:rsidRPr="00E02003">
        <w:rPr>
          <w:rFonts w:ascii="Arial" w:hAnsi="Arial" w:cs="Arial"/>
          <w:sz w:val="24"/>
          <w:szCs w:val="24"/>
        </w:rPr>
        <w:t xml:space="preserve"> </w:t>
      </w:r>
      <w:r w:rsidR="00752C36">
        <w:rPr>
          <w:rFonts w:ascii="Arial" w:hAnsi="Arial" w:cs="Arial"/>
          <w:sz w:val="24"/>
          <w:szCs w:val="24"/>
        </w:rPr>
        <w:t>‘</w:t>
      </w:r>
      <w:r w:rsidRPr="00E02003">
        <w:rPr>
          <w:rFonts w:ascii="Arial" w:hAnsi="Arial" w:cs="Arial"/>
          <w:sz w:val="24"/>
          <w:szCs w:val="24"/>
        </w:rPr>
        <w:t>cultural racism</w:t>
      </w:r>
      <w:r w:rsidR="00752C36">
        <w:rPr>
          <w:rFonts w:ascii="Arial" w:hAnsi="Arial" w:cs="Arial"/>
          <w:sz w:val="24"/>
          <w:szCs w:val="24"/>
        </w:rPr>
        <w:t>’</w:t>
      </w:r>
      <w:r w:rsidRPr="00E02003">
        <w:rPr>
          <w:rFonts w:ascii="Arial" w:hAnsi="Arial" w:cs="Arial"/>
          <w:sz w:val="24"/>
          <w:szCs w:val="24"/>
        </w:rPr>
        <w:t>,</w:t>
      </w:r>
      <w:r w:rsidR="00752C36">
        <w:rPr>
          <w:rStyle w:val="FootnoteReference"/>
          <w:rFonts w:ascii="Arial" w:hAnsi="Arial" w:cs="Arial"/>
          <w:sz w:val="24"/>
          <w:szCs w:val="24"/>
        </w:rPr>
        <w:footnoteReference w:id="45"/>
      </w:r>
      <w:r w:rsidRPr="00E02003">
        <w:rPr>
          <w:rFonts w:ascii="Arial" w:hAnsi="Arial" w:cs="Arial"/>
          <w:sz w:val="24"/>
          <w:szCs w:val="24"/>
        </w:rPr>
        <w:t xml:space="preserve"> </w:t>
      </w:r>
      <w:r w:rsidR="008D302A" w:rsidRPr="00E02003">
        <w:rPr>
          <w:rFonts w:ascii="Arial" w:hAnsi="Arial" w:cs="Arial"/>
          <w:sz w:val="24"/>
          <w:szCs w:val="24"/>
        </w:rPr>
        <w:t xml:space="preserve">because </w:t>
      </w:r>
      <w:r w:rsidR="008D302A">
        <w:rPr>
          <w:rFonts w:ascii="Arial" w:hAnsi="Arial" w:cs="Arial"/>
          <w:sz w:val="24"/>
          <w:szCs w:val="24"/>
        </w:rPr>
        <w:t>such practices often</w:t>
      </w:r>
      <w:r w:rsidR="008D302A" w:rsidRPr="00E02003">
        <w:rPr>
          <w:rFonts w:ascii="Arial" w:hAnsi="Arial" w:cs="Arial"/>
          <w:sz w:val="24"/>
          <w:szCs w:val="24"/>
        </w:rPr>
        <w:t xml:space="preserve"> occur to </w:t>
      </w:r>
      <w:r w:rsidR="008D302A">
        <w:rPr>
          <w:rFonts w:ascii="Arial" w:hAnsi="Arial" w:cs="Arial"/>
          <w:sz w:val="24"/>
          <w:szCs w:val="24"/>
        </w:rPr>
        <w:t xml:space="preserve">meet highly valued </w:t>
      </w:r>
      <w:r w:rsidR="008D302A" w:rsidRPr="00E02003">
        <w:rPr>
          <w:rFonts w:ascii="Arial" w:hAnsi="Arial" w:cs="Arial"/>
          <w:sz w:val="24"/>
          <w:szCs w:val="24"/>
        </w:rPr>
        <w:t xml:space="preserve">kinship obligations based </w:t>
      </w:r>
      <w:r w:rsidR="008D302A">
        <w:rPr>
          <w:rFonts w:ascii="Arial" w:hAnsi="Arial" w:cs="Arial"/>
          <w:sz w:val="24"/>
          <w:szCs w:val="24"/>
        </w:rPr>
        <w:t>on</w:t>
      </w:r>
      <w:r w:rsidR="008D302A" w:rsidRPr="00E02003">
        <w:rPr>
          <w:rFonts w:ascii="Arial" w:hAnsi="Arial" w:cs="Arial"/>
          <w:sz w:val="24"/>
          <w:szCs w:val="24"/>
        </w:rPr>
        <w:t xml:space="preserve"> reciprocity</w:t>
      </w:r>
      <w:r w:rsidRPr="00E02003">
        <w:rPr>
          <w:rFonts w:ascii="Arial" w:hAnsi="Arial" w:cs="Arial"/>
          <w:sz w:val="24"/>
          <w:szCs w:val="24"/>
        </w:rPr>
        <w:t xml:space="preserve">, </w:t>
      </w:r>
      <w:r w:rsidR="008D302A" w:rsidRPr="00E02003">
        <w:rPr>
          <w:rFonts w:ascii="Arial" w:hAnsi="Arial" w:cs="Arial"/>
          <w:sz w:val="24"/>
          <w:szCs w:val="24"/>
        </w:rPr>
        <w:lastRenderedPageBreak/>
        <w:t xml:space="preserve">rather than </w:t>
      </w:r>
      <w:r w:rsidR="008D302A">
        <w:rPr>
          <w:rFonts w:ascii="Arial" w:hAnsi="Arial" w:cs="Arial"/>
          <w:sz w:val="24"/>
          <w:szCs w:val="24"/>
        </w:rPr>
        <w:t>being</w:t>
      </w:r>
      <w:r w:rsidR="008D302A" w:rsidRPr="00E02003">
        <w:rPr>
          <w:rFonts w:ascii="Arial" w:hAnsi="Arial" w:cs="Arial"/>
          <w:sz w:val="24"/>
          <w:szCs w:val="24"/>
        </w:rPr>
        <w:t xml:space="preserve"> negative forms of </w:t>
      </w:r>
      <w:r w:rsidR="008D302A">
        <w:rPr>
          <w:rFonts w:ascii="Arial" w:hAnsi="Arial" w:cs="Arial"/>
          <w:sz w:val="24"/>
          <w:szCs w:val="24"/>
        </w:rPr>
        <w:t xml:space="preserve">what is sometimes referred to as </w:t>
      </w:r>
      <w:r w:rsidR="008D302A" w:rsidRPr="00E02003">
        <w:rPr>
          <w:rFonts w:ascii="Arial" w:hAnsi="Arial" w:cs="Arial"/>
          <w:sz w:val="24"/>
          <w:szCs w:val="24"/>
        </w:rPr>
        <w:t>‘humbugging’</w:t>
      </w:r>
      <w:r w:rsidRPr="00E02003">
        <w:rPr>
          <w:rFonts w:ascii="Arial" w:hAnsi="Arial" w:cs="Arial"/>
          <w:sz w:val="24"/>
          <w:szCs w:val="24"/>
        </w:rPr>
        <w:t>.</w:t>
      </w:r>
      <w:r w:rsidR="000A6510" w:rsidRPr="00E02003">
        <w:rPr>
          <w:rStyle w:val="FootnoteReference"/>
          <w:rFonts w:ascii="Arial" w:hAnsi="Arial" w:cs="Arial"/>
          <w:sz w:val="24"/>
          <w:szCs w:val="24"/>
        </w:rPr>
        <w:footnoteReference w:id="46"/>
      </w:r>
      <w:r w:rsidR="00B2392A" w:rsidRPr="00E02003">
        <w:rPr>
          <w:rFonts w:ascii="Arial" w:hAnsi="Arial" w:cs="Arial"/>
          <w:sz w:val="24"/>
          <w:szCs w:val="24"/>
        </w:rPr>
        <w:t xml:space="preserve"> </w:t>
      </w:r>
      <w:r w:rsidR="00585C15">
        <w:rPr>
          <w:rFonts w:ascii="Arial" w:hAnsi="Arial" w:cs="Arial"/>
          <w:sz w:val="24"/>
          <w:szCs w:val="24"/>
        </w:rPr>
        <w:t>Reciprocity</w:t>
      </w:r>
      <w:r w:rsidR="00B2392A" w:rsidRPr="00E02003">
        <w:rPr>
          <w:rFonts w:ascii="Arial" w:hAnsi="Arial" w:cs="Arial"/>
          <w:sz w:val="24"/>
          <w:szCs w:val="24"/>
        </w:rPr>
        <w:t xml:space="preserve"> can actually provide Aboriginal welfare recipients with an additional form of social </w:t>
      </w:r>
      <w:r w:rsidR="009577CB" w:rsidRPr="00E02003">
        <w:rPr>
          <w:rFonts w:ascii="Arial" w:hAnsi="Arial" w:cs="Arial"/>
          <w:sz w:val="24"/>
          <w:szCs w:val="24"/>
        </w:rPr>
        <w:t>security</w:t>
      </w:r>
      <w:r w:rsidR="009577CB">
        <w:rPr>
          <w:rFonts w:ascii="Arial" w:hAnsi="Arial" w:cs="Arial"/>
          <w:sz w:val="24"/>
          <w:szCs w:val="24"/>
        </w:rPr>
        <w:t xml:space="preserve"> and inclusion</w:t>
      </w:r>
      <w:r w:rsidR="003A77BF">
        <w:rPr>
          <w:rFonts w:ascii="Arial" w:hAnsi="Arial" w:cs="Arial"/>
          <w:sz w:val="24"/>
          <w:szCs w:val="24"/>
        </w:rPr>
        <w:t>, a form of bonding social capital,</w:t>
      </w:r>
      <w:r w:rsidR="009577CB">
        <w:rPr>
          <w:rFonts w:ascii="Arial" w:hAnsi="Arial" w:cs="Arial"/>
          <w:sz w:val="24"/>
          <w:szCs w:val="24"/>
        </w:rPr>
        <w:t xml:space="preserve"> </w:t>
      </w:r>
      <w:r w:rsidR="00B2392A" w:rsidRPr="00E02003">
        <w:rPr>
          <w:rFonts w:ascii="Arial" w:hAnsi="Arial" w:cs="Arial"/>
          <w:sz w:val="24"/>
          <w:szCs w:val="24"/>
        </w:rPr>
        <w:t>rather than being detrimental</w:t>
      </w:r>
      <w:r w:rsidR="00B25FF7" w:rsidRPr="00E02003">
        <w:rPr>
          <w:rFonts w:ascii="Arial" w:hAnsi="Arial" w:cs="Arial"/>
          <w:sz w:val="24"/>
          <w:szCs w:val="24"/>
        </w:rPr>
        <w:t xml:space="preserve"> to their well-being</w:t>
      </w:r>
      <w:r w:rsidR="00B2392A" w:rsidRPr="00E02003">
        <w:rPr>
          <w:rFonts w:ascii="Arial" w:hAnsi="Arial" w:cs="Arial"/>
          <w:sz w:val="24"/>
          <w:szCs w:val="24"/>
        </w:rPr>
        <w:t>.</w:t>
      </w:r>
      <w:r w:rsidR="000A6510" w:rsidRPr="00E02003">
        <w:rPr>
          <w:rFonts w:ascii="Arial" w:hAnsi="Arial" w:cs="Arial"/>
          <w:sz w:val="24"/>
          <w:szCs w:val="24"/>
        </w:rPr>
        <w:t xml:space="preserve"> </w:t>
      </w:r>
    </w:p>
    <w:p w:rsidR="00B21067" w:rsidRPr="00E02003" w:rsidRDefault="00582AA0" w:rsidP="00E02003">
      <w:pPr>
        <w:jc w:val="both"/>
        <w:rPr>
          <w:rFonts w:ascii="Arial" w:hAnsi="Arial" w:cs="Arial"/>
          <w:sz w:val="24"/>
          <w:szCs w:val="24"/>
        </w:rPr>
      </w:pPr>
      <w:r>
        <w:rPr>
          <w:rFonts w:ascii="Arial" w:hAnsi="Arial" w:cs="Arial"/>
          <w:sz w:val="24"/>
          <w:szCs w:val="24"/>
        </w:rPr>
        <w:t>I</w:t>
      </w:r>
      <w:r w:rsidR="00783762" w:rsidRPr="00E02003">
        <w:rPr>
          <w:rFonts w:ascii="Arial" w:hAnsi="Arial" w:cs="Arial"/>
          <w:sz w:val="24"/>
          <w:szCs w:val="24"/>
        </w:rPr>
        <w:t>n their 2012/2013 Annual report the Commonwealth Ombudsman’s office identified a number of remaining systemic problems in the administration of income management, including a lack of procedural fairness, problems with the exemption process for Indigenous peoples, and lack of timely reimbursement of money wrongly taken out of income managed</w:t>
      </w:r>
      <w:r w:rsidR="000A6510" w:rsidRPr="00E02003">
        <w:rPr>
          <w:rFonts w:ascii="Arial" w:hAnsi="Arial" w:cs="Arial"/>
          <w:sz w:val="24"/>
          <w:szCs w:val="24"/>
        </w:rPr>
        <w:t xml:space="preserve"> accounts of Indigenous welfare </w:t>
      </w:r>
      <w:r w:rsidR="00783762" w:rsidRPr="00E02003">
        <w:rPr>
          <w:rFonts w:ascii="Arial" w:hAnsi="Arial" w:cs="Arial"/>
          <w:sz w:val="24"/>
          <w:szCs w:val="24"/>
        </w:rPr>
        <w:t>recipients.</w:t>
      </w:r>
      <w:r w:rsidR="00783762" w:rsidRPr="00E02003">
        <w:rPr>
          <w:rStyle w:val="FootnoteReference"/>
          <w:rFonts w:ascii="Arial" w:hAnsi="Arial" w:cs="Arial"/>
          <w:sz w:val="24"/>
          <w:szCs w:val="24"/>
        </w:rPr>
        <w:footnoteReference w:id="47"/>
      </w:r>
      <w:r w:rsidR="00783762" w:rsidRPr="00E02003">
        <w:rPr>
          <w:rFonts w:ascii="Arial" w:hAnsi="Arial" w:cs="Arial"/>
          <w:sz w:val="24"/>
          <w:szCs w:val="24"/>
        </w:rPr>
        <w:t xml:space="preserve"> </w:t>
      </w:r>
      <w:r w:rsidR="003F2883" w:rsidRPr="00E02003">
        <w:rPr>
          <w:rFonts w:ascii="Arial" w:hAnsi="Arial" w:cs="Arial"/>
          <w:sz w:val="24"/>
          <w:szCs w:val="24"/>
        </w:rPr>
        <w:t xml:space="preserve">This has happened </w:t>
      </w:r>
      <w:r w:rsidR="003F2883">
        <w:rPr>
          <w:rFonts w:ascii="Arial" w:hAnsi="Arial" w:cs="Arial"/>
          <w:sz w:val="24"/>
          <w:szCs w:val="24"/>
        </w:rPr>
        <w:t xml:space="preserve">on a number of documented occasions </w:t>
      </w:r>
      <w:r w:rsidR="003F2883" w:rsidRPr="00E02003">
        <w:rPr>
          <w:rFonts w:ascii="Arial" w:hAnsi="Arial" w:cs="Arial"/>
          <w:sz w:val="24"/>
          <w:szCs w:val="24"/>
        </w:rPr>
        <w:t xml:space="preserve">in relation to rental payments being wrongfully </w:t>
      </w:r>
      <w:r w:rsidR="003F2883">
        <w:rPr>
          <w:rFonts w:ascii="Arial" w:hAnsi="Arial" w:cs="Arial"/>
          <w:sz w:val="24"/>
          <w:szCs w:val="24"/>
        </w:rPr>
        <w:t>made</w:t>
      </w:r>
      <w:r w:rsidR="003F2883" w:rsidRPr="00E02003">
        <w:rPr>
          <w:rFonts w:ascii="Arial" w:hAnsi="Arial" w:cs="Arial"/>
          <w:sz w:val="24"/>
          <w:szCs w:val="24"/>
        </w:rPr>
        <w:t xml:space="preserve"> by Centrelink to third parties </w:t>
      </w:r>
      <w:r w:rsidR="003F2883">
        <w:rPr>
          <w:rFonts w:ascii="Arial" w:hAnsi="Arial" w:cs="Arial"/>
          <w:sz w:val="24"/>
          <w:szCs w:val="24"/>
        </w:rPr>
        <w:t xml:space="preserve">on behalf of </w:t>
      </w:r>
      <w:r w:rsidR="003F2883" w:rsidRPr="00E02003">
        <w:rPr>
          <w:rFonts w:ascii="Arial" w:hAnsi="Arial" w:cs="Arial"/>
          <w:sz w:val="24"/>
          <w:szCs w:val="24"/>
        </w:rPr>
        <w:t>Indigenous welfare recipients who were not required to pay any such rent.</w:t>
      </w:r>
      <w:r w:rsidR="00783762" w:rsidRPr="00E02003">
        <w:rPr>
          <w:rFonts w:ascii="Arial" w:hAnsi="Arial" w:cs="Arial"/>
          <w:sz w:val="24"/>
          <w:szCs w:val="24"/>
        </w:rPr>
        <w:t xml:space="preserve"> Such wrongful payments have extended for lengthy periods of time, leaving impoverished people with less income to meet their daily needs, and it has taken a long time for affected welfare recipients to be </w:t>
      </w:r>
      <w:r w:rsidR="003F2883">
        <w:rPr>
          <w:rFonts w:ascii="Arial" w:hAnsi="Arial" w:cs="Arial"/>
          <w:sz w:val="24"/>
          <w:szCs w:val="24"/>
        </w:rPr>
        <w:t>properly</w:t>
      </w:r>
      <w:r w:rsidR="003F2883" w:rsidRPr="00E02003">
        <w:rPr>
          <w:rFonts w:ascii="Arial" w:hAnsi="Arial" w:cs="Arial"/>
          <w:sz w:val="24"/>
          <w:szCs w:val="24"/>
        </w:rPr>
        <w:t xml:space="preserve"> </w:t>
      </w:r>
      <w:r w:rsidR="00783762" w:rsidRPr="00E02003">
        <w:rPr>
          <w:rFonts w:ascii="Arial" w:hAnsi="Arial" w:cs="Arial"/>
          <w:sz w:val="24"/>
          <w:szCs w:val="24"/>
        </w:rPr>
        <w:t>reimbursed. The Commonwealth Ombudsman’s office refer to one incident of this type where the ‘complaint was resolved</w:t>
      </w:r>
      <w:r w:rsidR="003F2883">
        <w:rPr>
          <w:rFonts w:ascii="Arial" w:hAnsi="Arial" w:cs="Arial"/>
          <w:sz w:val="24"/>
          <w:szCs w:val="24"/>
        </w:rPr>
        <w:t xml:space="preserve"> … </w:t>
      </w:r>
      <w:r w:rsidR="00783762" w:rsidRPr="00E02003">
        <w:rPr>
          <w:rFonts w:ascii="Arial" w:hAnsi="Arial" w:cs="Arial"/>
          <w:sz w:val="24"/>
          <w:szCs w:val="24"/>
        </w:rPr>
        <w:t>after an 18-month investigation’ by their office.</w:t>
      </w:r>
      <w:r w:rsidR="00783762" w:rsidRPr="00E02003">
        <w:rPr>
          <w:rStyle w:val="FootnoteReference"/>
          <w:rFonts w:ascii="Arial" w:hAnsi="Arial" w:cs="Arial"/>
          <w:sz w:val="24"/>
          <w:szCs w:val="24"/>
        </w:rPr>
        <w:footnoteReference w:id="48"/>
      </w:r>
      <w:r w:rsidR="00783762" w:rsidRPr="00E02003">
        <w:rPr>
          <w:rFonts w:ascii="Arial" w:hAnsi="Arial" w:cs="Arial"/>
          <w:sz w:val="24"/>
          <w:szCs w:val="24"/>
        </w:rPr>
        <w:t xml:space="preserve"> This highlights a</w:t>
      </w:r>
      <w:r w:rsidR="00227E54" w:rsidRPr="00E02003">
        <w:rPr>
          <w:rFonts w:ascii="Arial" w:hAnsi="Arial" w:cs="Arial"/>
          <w:sz w:val="24"/>
          <w:szCs w:val="24"/>
        </w:rPr>
        <w:t xml:space="preserve">n important </w:t>
      </w:r>
      <w:r w:rsidR="003442BC">
        <w:rPr>
          <w:rFonts w:ascii="Arial" w:hAnsi="Arial" w:cs="Arial"/>
          <w:sz w:val="24"/>
          <w:szCs w:val="24"/>
        </w:rPr>
        <w:t>problem with income management</w:t>
      </w:r>
      <w:r w:rsidR="003F2883">
        <w:rPr>
          <w:rFonts w:ascii="Arial" w:hAnsi="Arial" w:cs="Arial"/>
          <w:sz w:val="24"/>
          <w:szCs w:val="24"/>
        </w:rPr>
        <w:t>—</w:t>
      </w:r>
      <w:r w:rsidR="00783762" w:rsidRPr="00E02003">
        <w:rPr>
          <w:rFonts w:ascii="Arial" w:hAnsi="Arial" w:cs="Arial"/>
          <w:sz w:val="24"/>
          <w:szCs w:val="24"/>
        </w:rPr>
        <w:t>administrative erro</w:t>
      </w:r>
      <w:r w:rsidR="00227E54" w:rsidRPr="00E02003">
        <w:rPr>
          <w:rFonts w:ascii="Arial" w:hAnsi="Arial" w:cs="Arial"/>
          <w:sz w:val="24"/>
          <w:szCs w:val="24"/>
        </w:rPr>
        <w:t>r</w:t>
      </w:r>
      <w:r w:rsidR="003442BC">
        <w:rPr>
          <w:rFonts w:ascii="Arial" w:hAnsi="Arial" w:cs="Arial"/>
          <w:sz w:val="24"/>
          <w:szCs w:val="24"/>
        </w:rPr>
        <w:t>s can occur</w:t>
      </w:r>
      <w:r w:rsidR="003F2883">
        <w:rPr>
          <w:rFonts w:ascii="Arial" w:hAnsi="Arial" w:cs="Arial"/>
          <w:sz w:val="24"/>
          <w:szCs w:val="24"/>
        </w:rPr>
        <w:t>—</w:t>
      </w:r>
      <w:r w:rsidR="00783762" w:rsidRPr="00E02003">
        <w:rPr>
          <w:rFonts w:ascii="Arial" w:hAnsi="Arial" w:cs="Arial"/>
          <w:sz w:val="24"/>
          <w:szCs w:val="24"/>
        </w:rPr>
        <w:t xml:space="preserve">albeit unintentionally. It is unjust that Australia’s poorest citizens be left to deal with the </w:t>
      </w:r>
      <w:r w:rsidR="003F2883">
        <w:rPr>
          <w:rFonts w:ascii="Arial" w:hAnsi="Arial" w:cs="Arial"/>
          <w:sz w:val="24"/>
          <w:szCs w:val="24"/>
        </w:rPr>
        <w:t>consequences</w:t>
      </w:r>
      <w:r w:rsidR="008700F0">
        <w:rPr>
          <w:rFonts w:ascii="Arial" w:hAnsi="Arial" w:cs="Arial"/>
          <w:sz w:val="24"/>
          <w:szCs w:val="24"/>
        </w:rPr>
        <w:t xml:space="preserve">. </w:t>
      </w:r>
      <w:r w:rsidR="004466C7">
        <w:rPr>
          <w:rFonts w:ascii="Arial" w:hAnsi="Arial" w:cs="Arial"/>
          <w:sz w:val="24"/>
          <w:szCs w:val="24"/>
        </w:rPr>
        <w:t>Welfare recipients</w:t>
      </w:r>
      <w:r w:rsidR="008700F0">
        <w:rPr>
          <w:rFonts w:ascii="Arial" w:hAnsi="Arial" w:cs="Arial"/>
          <w:sz w:val="24"/>
          <w:szCs w:val="24"/>
        </w:rPr>
        <w:t xml:space="preserve"> are</w:t>
      </w:r>
      <w:r w:rsidR="003F2883">
        <w:rPr>
          <w:rFonts w:ascii="Arial" w:hAnsi="Arial" w:cs="Arial"/>
          <w:sz w:val="24"/>
          <w:szCs w:val="24"/>
        </w:rPr>
        <w:t xml:space="preserve"> uncompensated for the time and energy it takes to unravel administrative errors</w:t>
      </w:r>
      <w:r w:rsidR="008700F0">
        <w:rPr>
          <w:rFonts w:ascii="Arial" w:hAnsi="Arial" w:cs="Arial"/>
          <w:sz w:val="24"/>
          <w:szCs w:val="24"/>
        </w:rPr>
        <w:t xml:space="preserve">. Indigenous welfare recipients in such circumstances </w:t>
      </w:r>
      <w:r w:rsidR="004466C7">
        <w:rPr>
          <w:rFonts w:ascii="Arial" w:hAnsi="Arial" w:cs="Arial"/>
          <w:sz w:val="24"/>
          <w:szCs w:val="24"/>
        </w:rPr>
        <w:t xml:space="preserve">may </w:t>
      </w:r>
      <w:r w:rsidR="00F23730">
        <w:rPr>
          <w:rFonts w:ascii="Arial" w:hAnsi="Arial" w:cs="Arial"/>
          <w:sz w:val="24"/>
          <w:szCs w:val="24"/>
        </w:rPr>
        <w:t xml:space="preserve">also </w:t>
      </w:r>
      <w:r w:rsidR="004466C7">
        <w:rPr>
          <w:rFonts w:ascii="Arial" w:hAnsi="Arial" w:cs="Arial"/>
          <w:sz w:val="24"/>
          <w:szCs w:val="24"/>
        </w:rPr>
        <w:t xml:space="preserve">face additional </w:t>
      </w:r>
      <w:r w:rsidR="00786403">
        <w:rPr>
          <w:rFonts w:ascii="Arial" w:hAnsi="Arial" w:cs="Arial"/>
          <w:sz w:val="24"/>
          <w:szCs w:val="24"/>
        </w:rPr>
        <w:t>burdens</w:t>
      </w:r>
      <w:r w:rsidR="004466C7">
        <w:rPr>
          <w:rFonts w:ascii="Arial" w:hAnsi="Arial" w:cs="Arial"/>
          <w:sz w:val="24"/>
          <w:szCs w:val="24"/>
        </w:rPr>
        <w:t xml:space="preserve"> due to </w:t>
      </w:r>
      <w:r w:rsidR="008700F0" w:rsidRPr="007A3419">
        <w:rPr>
          <w:rFonts w:ascii="Arial" w:hAnsi="Arial" w:cs="Arial"/>
          <w:sz w:val="24"/>
          <w:szCs w:val="24"/>
        </w:rPr>
        <w:t>English</w:t>
      </w:r>
      <w:r w:rsidR="004466C7">
        <w:rPr>
          <w:rFonts w:ascii="Arial" w:hAnsi="Arial" w:cs="Arial"/>
          <w:sz w:val="24"/>
          <w:szCs w:val="24"/>
        </w:rPr>
        <w:t xml:space="preserve"> being a second or third </w:t>
      </w:r>
      <w:r w:rsidR="008700F0" w:rsidRPr="007A3419">
        <w:rPr>
          <w:rFonts w:ascii="Arial" w:hAnsi="Arial" w:cs="Arial"/>
          <w:sz w:val="24"/>
          <w:szCs w:val="24"/>
        </w:rPr>
        <w:t xml:space="preserve">language </w:t>
      </w:r>
      <w:r w:rsidR="008700F0">
        <w:rPr>
          <w:rFonts w:ascii="Arial" w:hAnsi="Arial" w:cs="Arial"/>
          <w:sz w:val="24"/>
          <w:szCs w:val="24"/>
        </w:rPr>
        <w:t>and</w:t>
      </w:r>
      <w:r w:rsidR="00786403">
        <w:rPr>
          <w:rFonts w:ascii="Arial" w:hAnsi="Arial" w:cs="Arial"/>
          <w:sz w:val="24"/>
          <w:szCs w:val="24"/>
        </w:rPr>
        <w:t xml:space="preserve"> due to previous </w:t>
      </w:r>
      <w:r w:rsidR="004466C7">
        <w:rPr>
          <w:rFonts w:ascii="Arial" w:hAnsi="Arial" w:cs="Arial"/>
          <w:sz w:val="24"/>
          <w:szCs w:val="24"/>
        </w:rPr>
        <w:t>disempowering encounters with Australia’s</w:t>
      </w:r>
      <w:r w:rsidR="008700F0">
        <w:rPr>
          <w:rFonts w:ascii="Arial" w:hAnsi="Arial" w:cs="Arial"/>
          <w:sz w:val="24"/>
          <w:szCs w:val="24"/>
        </w:rPr>
        <w:t xml:space="preserve"> bureaucra</w:t>
      </w:r>
      <w:r w:rsidR="004466C7">
        <w:rPr>
          <w:rFonts w:ascii="Arial" w:hAnsi="Arial" w:cs="Arial"/>
          <w:sz w:val="24"/>
          <w:szCs w:val="24"/>
        </w:rPr>
        <w:t>cy.</w:t>
      </w:r>
      <w:r w:rsidR="00227E54" w:rsidRPr="00E02003">
        <w:rPr>
          <w:rFonts w:ascii="Arial" w:hAnsi="Arial" w:cs="Arial"/>
          <w:sz w:val="24"/>
          <w:szCs w:val="24"/>
        </w:rPr>
        <w:t xml:space="preserve"> </w:t>
      </w:r>
    </w:p>
    <w:p w:rsidR="00871CDB" w:rsidRPr="00DF5E7A" w:rsidRDefault="00B25FF7" w:rsidP="00DF5E7A">
      <w:pPr>
        <w:pStyle w:val="ListParagraph"/>
        <w:numPr>
          <w:ilvl w:val="0"/>
          <w:numId w:val="11"/>
        </w:numPr>
        <w:jc w:val="both"/>
        <w:rPr>
          <w:rFonts w:ascii="Arial" w:hAnsi="Arial" w:cs="Arial"/>
          <w:b/>
          <w:sz w:val="24"/>
          <w:szCs w:val="24"/>
        </w:rPr>
      </w:pPr>
      <w:r w:rsidRPr="00DF5E7A">
        <w:rPr>
          <w:rFonts w:ascii="Arial" w:hAnsi="Arial" w:cs="Arial"/>
          <w:b/>
          <w:sz w:val="24"/>
          <w:szCs w:val="24"/>
        </w:rPr>
        <w:t>Income m</w:t>
      </w:r>
      <w:r w:rsidR="00871CDB" w:rsidRPr="00DF5E7A">
        <w:rPr>
          <w:rFonts w:ascii="Arial" w:hAnsi="Arial" w:cs="Arial"/>
          <w:b/>
          <w:sz w:val="24"/>
          <w:szCs w:val="24"/>
        </w:rPr>
        <w:t>anagement</w:t>
      </w:r>
      <w:r w:rsidRPr="00DF5E7A">
        <w:rPr>
          <w:rFonts w:ascii="Arial" w:hAnsi="Arial" w:cs="Arial"/>
          <w:b/>
          <w:sz w:val="24"/>
          <w:szCs w:val="24"/>
        </w:rPr>
        <w:t xml:space="preserve"> is s</w:t>
      </w:r>
      <w:r w:rsidR="00871CDB" w:rsidRPr="00DF5E7A">
        <w:rPr>
          <w:rFonts w:ascii="Arial" w:hAnsi="Arial" w:cs="Arial"/>
          <w:b/>
          <w:sz w:val="24"/>
          <w:szCs w:val="24"/>
        </w:rPr>
        <w:t>tigmatising</w:t>
      </w:r>
      <w:r w:rsidRPr="00DF5E7A">
        <w:rPr>
          <w:rFonts w:ascii="Arial" w:hAnsi="Arial" w:cs="Arial"/>
          <w:b/>
          <w:sz w:val="24"/>
          <w:szCs w:val="24"/>
        </w:rPr>
        <w:t xml:space="preserve">, </w:t>
      </w:r>
      <w:r w:rsidR="00014AA3">
        <w:rPr>
          <w:rFonts w:ascii="Arial" w:hAnsi="Arial" w:cs="Arial"/>
          <w:b/>
          <w:sz w:val="24"/>
          <w:szCs w:val="24"/>
        </w:rPr>
        <w:t>reduces</w:t>
      </w:r>
      <w:r w:rsidR="00014AA3" w:rsidRPr="00DF5E7A">
        <w:rPr>
          <w:rFonts w:ascii="Arial" w:hAnsi="Arial" w:cs="Arial"/>
          <w:b/>
          <w:sz w:val="24"/>
          <w:szCs w:val="24"/>
        </w:rPr>
        <w:t xml:space="preserve"> </w:t>
      </w:r>
      <w:r w:rsidRPr="00DF5E7A">
        <w:rPr>
          <w:rFonts w:ascii="Arial" w:hAnsi="Arial" w:cs="Arial"/>
          <w:b/>
          <w:sz w:val="24"/>
          <w:szCs w:val="24"/>
        </w:rPr>
        <w:t>autonomy, and fails to address structural i</w:t>
      </w:r>
      <w:r w:rsidR="008B02EC" w:rsidRPr="00DF5E7A">
        <w:rPr>
          <w:rFonts w:ascii="Arial" w:hAnsi="Arial" w:cs="Arial"/>
          <w:b/>
          <w:sz w:val="24"/>
          <w:szCs w:val="24"/>
        </w:rPr>
        <w:t>nequality</w:t>
      </w:r>
    </w:p>
    <w:p w:rsidR="002E75B3" w:rsidRDefault="001D64B5" w:rsidP="00E02003">
      <w:pPr>
        <w:jc w:val="both"/>
        <w:rPr>
          <w:rFonts w:ascii="Arial" w:hAnsi="Arial" w:cs="Arial"/>
          <w:sz w:val="24"/>
          <w:szCs w:val="24"/>
        </w:rPr>
      </w:pPr>
      <w:r w:rsidRPr="00E02003">
        <w:rPr>
          <w:rFonts w:ascii="Arial" w:hAnsi="Arial" w:cs="Arial"/>
          <w:sz w:val="24"/>
          <w:szCs w:val="24"/>
        </w:rPr>
        <w:t>The stigmatisation of welfare recipients as financi</w:t>
      </w:r>
      <w:r w:rsidR="000E56C8" w:rsidRPr="00E02003">
        <w:rPr>
          <w:rFonts w:ascii="Arial" w:hAnsi="Arial" w:cs="Arial"/>
          <w:sz w:val="24"/>
          <w:szCs w:val="24"/>
        </w:rPr>
        <w:t xml:space="preserve">ally incompetent individuals or </w:t>
      </w:r>
      <w:r w:rsidRPr="00E02003">
        <w:rPr>
          <w:rFonts w:ascii="Arial" w:hAnsi="Arial" w:cs="Arial"/>
          <w:sz w:val="24"/>
          <w:szCs w:val="24"/>
        </w:rPr>
        <w:t xml:space="preserve">deviants indulging in anti-social behaviour has been a </w:t>
      </w:r>
      <w:r w:rsidR="009577CB">
        <w:rPr>
          <w:rFonts w:ascii="Arial" w:hAnsi="Arial" w:cs="Arial"/>
          <w:sz w:val="24"/>
          <w:szCs w:val="24"/>
        </w:rPr>
        <w:t xml:space="preserve">key </w:t>
      </w:r>
      <w:r w:rsidR="009577CB" w:rsidRPr="00E02003">
        <w:rPr>
          <w:rFonts w:ascii="Arial" w:hAnsi="Arial" w:cs="Arial"/>
          <w:sz w:val="24"/>
          <w:szCs w:val="24"/>
        </w:rPr>
        <w:t>rhetoric</w:t>
      </w:r>
      <w:r w:rsidR="009577CB">
        <w:rPr>
          <w:rFonts w:ascii="Arial" w:hAnsi="Arial" w:cs="Arial"/>
          <w:sz w:val="24"/>
          <w:szCs w:val="24"/>
        </w:rPr>
        <w:t>al</w:t>
      </w:r>
      <w:r w:rsidR="009577CB" w:rsidRPr="00E02003">
        <w:rPr>
          <w:rFonts w:ascii="Arial" w:hAnsi="Arial" w:cs="Arial"/>
          <w:sz w:val="24"/>
          <w:szCs w:val="24"/>
        </w:rPr>
        <w:t xml:space="preserve"> device </w:t>
      </w:r>
      <w:r w:rsidR="009577CB">
        <w:rPr>
          <w:rFonts w:ascii="Arial" w:hAnsi="Arial" w:cs="Arial"/>
          <w:sz w:val="24"/>
          <w:szCs w:val="24"/>
        </w:rPr>
        <w:t xml:space="preserve">used </w:t>
      </w:r>
      <w:r w:rsidRPr="00E02003">
        <w:rPr>
          <w:rFonts w:ascii="Arial" w:hAnsi="Arial" w:cs="Arial"/>
          <w:sz w:val="24"/>
          <w:szCs w:val="24"/>
        </w:rPr>
        <w:t>to justify increasingly punitive policies for those who are now subject to compulsory income management. This is connected to ‘market orientated “governance”’</w:t>
      </w:r>
      <w:r w:rsidR="000E56C8" w:rsidRPr="00E02003">
        <w:rPr>
          <w:rFonts w:ascii="Arial" w:hAnsi="Arial" w:cs="Arial"/>
          <w:sz w:val="24"/>
          <w:szCs w:val="24"/>
        </w:rPr>
        <w:t>,</w:t>
      </w:r>
      <w:r w:rsidRPr="00E02003">
        <w:rPr>
          <w:rStyle w:val="FootnoteReference"/>
          <w:rFonts w:ascii="Arial" w:hAnsi="Arial" w:cs="Arial"/>
          <w:sz w:val="24"/>
          <w:szCs w:val="24"/>
        </w:rPr>
        <w:footnoteReference w:id="49"/>
      </w:r>
      <w:r w:rsidR="000E56C8" w:rsidRPr="00E02003">
        <w:rPr>
          <w:rFonts w:ascii="Arial" w:hAnsi="Arial" w:cs="Arial"/>
          <w:sz w:val="24"/>
          <w:szCs w:val="24"/>
        </w:rPr>
        <w:t xml:space="preserve"> where t</w:t>
      </w:r>
      <w:r w:rsidR="00214A92" w:rsidRPr="00E02003">
        <w:rPr>
          <w:rFonts w:ascii="Arial" w:hAnsi="Arial" w:cs="Arial"/>
          <w:sz w:val="24"/>
          <w:szCs w:val="24"/>
        </w:rPr>
        <w:t xml:space="preserve">hose who are not complying with the government’s preferred neoliberal framework are represented as defective. </w:t>
      </w:r>
      <w:r w:rsidRPr="00E02003">
        <w:rPr>
          <w:rFonts w:ascii="Arial" w:hAnsi="Arial" w:cs="Arial"/>
          <w:sz w:val="24"/>
          <w:szCs w:val="24"/>
        </w:rPr>
        <w:t>The welfare reforms advocated in the recent Mc</w:t>
      </w:r>
      <w:r w:rsidR="001D6F27">
        <w:rPr>
          <w:rFonts w:ascii="Arial" w:hAnsi="Arial" w:cs="Arial"/>
          <w:sz w:val="24"/>
          <w:szCs w:val="24"/>
        </w:rPr>
        <w:t>Cl</w:t>
      </w:r>
      <w:r w:rsidRPr="00E02003">
        <w:rPr>
          <w:rFonts w:ascii="Arial" w:hAnsi="Arial" w:cs="Arial"/>
          <w:sz w:val="24"/>
          <w:szCs w:val="24"/>
        </w:rPr>
        <w:t xml:space="preserve">ure Report, which include an expansion of income management, are </w:t>
      </w:r>
      <w:r w:rsidR="00A05FBC" w:rsidRPr="00E02003">
        <w:rPr>
          <w:rFonts w:ascii="Arial" w:hAnsi="Arial" w:cs="Arial"/>
          <w:sz w:val="24"/>
          <w:szCs w:val="24"/>
        </w:rPr>
        <w:t xml:space="preserve">clearly </w:t>
      </w:r>
      <w:r w:rsidRPr="00E02003">
        <w:rPr>
          <w:rFonts w:ascii="Arial" w:hAnsi="Arial" w:cs="Arial"/>
          <w:sz w:val="24"/>
          <w:szCs w:val="24"/>
        </w:rPr>
        <w:t>driven by the market as opposed to human need.</w:t>
      </w:r>
      <w:r w:rsidRPr="00E02003">
        <w:rPr>
          <w:rStyle w:val="FootnoteReference"/>
          <w:rFonts w:ascii="Arial" w:hAnsi="Arial" w:cs="Arial"/>
          <w:sz w:val="24"/>
          <w:szCs w:val="24"/>
        </w:rPr>
        <w:footnoteReference w:id="50"/>
      </w:r>
      <w:r w:rsidR="00E119DB" w:rsidRPr="00E02003">
        <w:rPr>
          <w:rFonts w:ascii="Arial" w:hAnsi="Arial" w:cs="Arial"/>
          <w:sz w:val="24"/>
          <w:szCs w:val="24"/>
        </w:rPr>
        <w:t xml:space="preserve"> However, </w:t>
      </w:r>
      <w:r w:rsidR="00610F4A" w:rsidRPr="00E02003">
        <w:rPr>
          <w:rFonts w:ascii="Arial" w:hAnsi="Arial" w:cs="Arial"/>
          <w:sz w:val="24"/>
          <w:szCs w:val="24"/>
        </w:rPr>
        <w:t>an approach</w:t>
      </w:r>
      <w:r w:rsidR="00154FE4" w:rsidRPr="00E02003">
        <w:rPr>
          <w:rFonts w:ascii="Arial" w:hAnsi="Arial" w:cs="Arial"/>
          <w:sz w:val="24"/>
          <w:szCs w:val="24"/>
        </w:rPr>
        <w:t xml:space="preserve"> which ignores the </w:t>
      </w:r>
      <w:r w:rsidR="00154FE4" w:rsidRPr="00E02003">
        <w:rPr>
          <w:rFonts w:ascii="Arial" w:hAnsi="Arial" w:cs="Arial"/>
          <w:sz w:val="24"/>
          <w:szCs w:val="24"/>
        </w:rPr>
        <w:lastRenderedPageBreak/>
        <w:t>needs of the most economically marginalised</w:t>
      </w:r>
      <w:r w:rsidR="00610F4A" w:rsidRPr="00E02003">
        <w:rPr>
          <w:rFonts w:ascii="Arial" w:hAnsi="Arial" w:cs="Arial"/>
          <w:sz w:val="24"/>
          <w:szCs w:val="24"/>
        </w:rPr>
        <w:t xml:space="preserve"> is </w:t>
      </w:r>
      <w:r w:rsidR="00E119DB" w:rsidRPr="00E02003">
        <w:rPr>
          <w:rFonts w:ascii="Arial" w:hAnsi="Arial" w:cs="Arial"/>
          <w:sz w:val="24"/>
          <w:szCs w:val="24"/>
        </w:rPr>
        <w:t>likely to</w:t>
      </w:r>
      <w:r w:rsidR="00610F4A" w:rsidRPr="00E02003">
        <w:rPr>
          <w:rFonts w:ascii="Arial" w:hAnsi="Arial" w:cs="Arial"/>
          <w:sz w:val="24"/>
          <w:szCs w:val="24"/>
        </w:rPr>
        <w:t xml:space="preserve"> incur </w:t>
      </w:r>
      <w:r w:rsidR="00B1548D" w:rsidRPr="00E02003">
        <w:rPr>
          <w:rFonts w:ascii="Arial" w:hAnsi="Arial" w:cs="Arial"/>
          <w:sz w:val="24"/>
          <w:szCs w:val="24"/>
        </w:rPr>
        <w:t>significant social costs</w:t>
      </w:r>
      <w:r w:rsidR="00876191" w:rsidRPr="00876191">
        <w:rPr>
          <w:rFonts w:ascii="Arial" w:hAnsi="Arial" w:cs="Arial"/>
          <w:sz w:val="24"/>
          <w:szCs w:val="24"/>
        </w:rPr>
        <w:t xml:space="preserve"> </w:t>
      </w:r>
      <w:r w:rsidR="00876191">
        <w:rPr>
          <w:rFonts w:ascii="Arial" w:hAnsi="Arial" w:cs="Arial"/>
          <w:sz w:val="24"/>
          <w:szCs w:val="24"/>
        </w:rPr>
        <w:t>both for them and society more generally</w:t>
      </w:r>
      <w:r w:rsidR="00F97C5B" w:rsidRPr="00E02003">
        <w:rPr>
          <w:rFonts w:ascii="Arial" w:hAnsi="Arial" w:cs="Arial"/>
          <w:sz w:val="24"/>
          <w:szCs w:val="24"/>
        </w:rPr>
        <w:t>.</w:t>
      </w:r>
    </w:p>
    <w:p w:rsidR="00D97AA9" w:rsidRPr="006A2FF9" w:rsidRDefault="00D97AA9" w:rsidP="00D97AA9">
      <w:pPr>
        <w:jc w:val="both"/>
        <w:rPr>
          <w:rFonts w:ascii="Arial" w:hAnsi="Arial" w:cs="Arial"/>
          <w:sz w:val="24"/>
          <w:szCs w:val="24"/>
        </w:rPr>
      </w:pPr>
      <w:r>
        <w:rPr>
          <w:rFonts w:ascii="Arial" w:hAnsi="Arial" w:cs="Arial"/>
          <w:sz w:val="24"/>
          <w:szCs w:val="24"/>
        </w:rPr>
        <w:t>The stigmatisation of welfare recipients which can arise as a result of income management</w:t>
      </w:r>
      <w:r w:rsidR="00AA25F3">
        <w:rPr>
          <w:rFonts w:ascii="Arial" w:hAnsi="Arial" w:cs="Arial"/>
          <w:sz w:val="24"/>
          <w:szCs w:val="24"/>
        </w:rPr>
        <w:t xml:space="preserve"> has been noted o</w:t>
      </w:r>
      <w:r>
        <w:rPr>
          <w:rFonts w:ascii="Arial" w:hAnsi="Arial" w:cs="Arial"/>
          <w:sz w:val="24"/>
          <w:szCs w:val="24"/>
        </w:rPr>
        <w:t xml:space="preserve">n numerous </w:t>
      </w:r>
      <w:r w:rsidR="00AA25F3">
        <w:rPr>
          <w:rFonts w:ascii="Arial" w:hAnsi="Arial" w:cs="Arial"/>
          <w:sz w:val="24"/>
          <w:szCs w:val="24"/>
        </w:rPr>
        <w:t>occasions</w:t>
      </w:r>
      <w:r>
        <w:rPr>
          <w:rFonts w:ascii="Arial" w:hAnsi="Arial" w:cs="Arial"/>
          <w:sz w:val="24"/>
          <w:szCs w:val="24"/>
        </w:rPr>
        <w:t xml:space="preserve">. </w:t>
      </w:r>
      <w:r w:rsidRPr="006A2FF9">
        <w:rPr>
          <w:rFonts w:ascii="Arial" w:hAnsi="Arial" w:cs="Arial"/>
          <w:sz w:val="24"/>
          <w:szCs w:val="24"/>
        </w:rPr>
        <w:t xml:space="preserve">One example of </w:t>
      </w:r>
      <w:r>
        <w:rPr>
          <w:rFonts w:ascii="Arial" w:hAnsi="Arial" w:cs="Arial"/>
          <w:sz w:val="24"/>
          <w:szCs w:val="24"/>
        </w:rPr>
        <w:t xml:space="preserve">this is referred to </w:t>
      </w:r>
      <w:r w:rsidRPr="006A2FF9">
        <w:rPr>
          <w:rFonts w:ascii="Arial" w:hAnsi="Arial" w:cs="Arial"/>
          <w:sz w:val="24"/>
          <w:szCs w:val="24"/>
        </w:rPr>
        <w:t>by Bray and others where a Centrelink Officer stated:</w:t>
      </w:r>
    </w:p>
    <w:p w:rsidR="00D97AA9" w:rsidRDefault="00D97AA9" w:rsidP="00D97AA9">
      <w:pPr>
        <w:ind w:left="720"/>
        <w:jc w:val="both"/>
        <w:rPr>
          <w:rFonts w:ascii="Arial" w:hAnsi="Arial" w:cs="Arial"/>
          <w:sz w:val="24"/>
          <w:szCs w:val="24"/>
        </w:rPr>
      </w:pPr>
      <w:r w:rsidRPr="006A2FF9">
        <w:rPr>
          <w:rFonts w:ascii="Arial" w:hAnsi="Arial" w:cs="Arial"/>
          <w:sz w:val="24"/>
          <w:szCs w:val="24"/>
        </w:rPr>
        <w:t>When it came out … we had incidences in the supermarkets where the [sales assistant] would tell the customer, no, oh well you are on that card, you can’t have that steak. You go and get that other steak, that cheaper one. You are wasting your money.</w:t>
      </w:r>
      <w:r w:rsidRPr="006A2FF9">
        <w:rPr>
          <w:rStyle w:val="FootnoteReference"/>
          <w:rFonts w:ascii="Arial" w:hAnsi="Arial" w:cs="Arial"/>
          <w:sz w:val="24"/>
          <w:szCs w:val="24"/>
        </w:rPr>
        <w:footnoteReference w:id="51"/>
      </w:r>
      <w:r w:rsidRPr="006A2FF9">
        <w:rPr>
          <w:rFonts w:ascii="Arial" w:hAnsi="Arial" w:cs="Arial"/>
          <w:sz w:val="24"/>
          <w:szCs w:val="24"/>
        </w:rPr>
        <w:t xml:space="preserve"> </w:t>
      </w:r>
    </w:p>
    <w:p w:rsidR="00D97AA9" w:rsidRPr="00D97AA9" w:rsidRDefault="00895811" w:rsidP="00D97AA9">
      <w:pPr>
        <w:jc w:val="both"/>
        <w:rPr>
          <w:rFonts w:ascii="Arial" w:hAnsi="Arial" w:cs="Arial"/>
          <w:sz w:val="24"/>
          <w:szCs w:val="24"/>
        </w:rPr>
      </w:pPr>
      <w:r>
        <w:rPr>
          <w:rFonts w:ascii="Arial" w:hAnsi="Arial" w:cs="Arial"/>
          <w:sz w:val="24"/>
          <w:szCs w:val="24"/>
        </w:rPr>
        <w:t>This demonstrates the impact that negative stereotyping perpetuated by government rhetoric about income management can have on social attitudes towards income managed welfare recipients</w:t>
      </w:r>
      <w:r w:rsidR="00823A49">
        <w:rPr>
          <w:rFonts w:ascii="Arial" w:hAnsi="Arial" w:cs="Arial"/>
          <w:sz w:val="24"/>
          <w:szCs w:val="24"/>
        </w:rPr>
        <w:t xml:space="preserve">. </w:t>
      </w:r>
      <w:r w:rsidR="00D97AA9" w:rsidRPr="00D97AA9">
        <w:rPr>
          <w:rFonts w:ascii="Arial" w:hAnsi="Arial" w:cs="Arial"/>
          <w:sz w:val="24"/>
          <w:szCs w:val="24"/>
        </w:rPr>
        <w:t>Bray and others also reported that:</w:t>
      </w:r>
    </w:p>
    <w:p w:rsidR="00D97AA9" w:rsidRPr="00D97AA9" w:rsidRDefault="00D97AA9" w:rsidP="00D97AA9">
      <w:pPr>
        <w:ind w:left="720"/>
        <w:jc w:val="both"/>
        <w:rPr>
          <w:rFonts w:ascii="Arial" w:hAnsi="Arial" w:cs="Arial"/>
          <w:sz w:val="24"/>
          <w:szCs w:val="24"/>
        </w:rPr>
      </w:pPr>
      <w:r w:rsidRPr="00D97AA9">
        <w:rPr>
          <w:rFonts w:ascii="Arial" w:hAnsi="Arial" w:cs="Arial"/>
          <w:sz w:val="24"/>
          <w:szCs w:val="24"/>
        </w:rPr>
        <w:t xml:space="preserve">Many stakeholders spoke about people feeling embarrassed or shamed by having to use the </w:t>
      </w:r>
      <w:proofErr w:type="spellStart"/>
      <w:r w:rsidRPr="00D97AA9">
        <w:rPr>
          <w:rFonts w:ascii="Arial" w:hAnsi="Arial" w:cs="Arial"/>
          <w:sz w:val="24"/>
          <w:szCs w:val="24"/>
        </w:rPr>
        <w:t>BasicsCard</w:t>
      </w:r>
      <w:proofErr w:type="spellEnd"/>
      <w:r w:rsidRPr="00D97AA9">
        <w:rPr>
          <w:rFonts w:ascii="Arial" w:hAnsi="Arial" w:cs="Arial"/>
          <w:sz w:val="24"/>
          <w:szCs w:val="24"/>
        </w:rPr>
        <w:t xml:space="preserve"> for shopping. ... In Darwin some women were reported as doing their shopping away from their local area because they don’t want to be seen with their </w:t>
      </w:r>
      <w:proofErr w:type="spellStart"/>
      <w:r w:rsidRPr="00D97AA9">
        <w:rPr>
          <w:rFonts w:ascii="Arial" w:hAnsi="Arial" w:cs="Arial"/>
          <w:sz w:val="24"/>
          <w:szCs w:val="24"/>
        </w:rPr>
        <w:t>BasicsCard</w:t>
      </w:r>
      <w:proofErr w:type="spellEnd"/>
      <w:r w:rsidRPr="00D97AA9">
        <w:rPr>
          <w:rFonts w:ascii="Arial" w:hAnsi="Arial" w:cs="Arial"/>
          <w:sz w:val="24"/>
          <w:szCs w:val="24"/>
        </w:rPr>
        <w:t>. It was suggested that some single mothers see it as providing a visible marker of being a bad parent. Similarly, some stakeholders reported that older women felt ashamed by the implications they cannot manage money or that they misuse alcohol or gamble. This problem was seen to be further exacerbated by some of the very negative media portrayals in Northern Territory about income management and the people who are on it, making it very shaming for many people.</w:t>
      </w:r>
      <w:r w:rsidRPr="00D97AA9">
        <w:rPr>
          <w:rStyle w:val="FootnoteReference"/>
          <w:rFonts w:ascii="Arial" w:hAnsi="Arial" w:cs="Arial"/>
          <w:sz w:val="24"/>
          <w:szCs w:val="24"/>
        </w:rPr>
        <w:footnoteReference w:id="52"/>
      </w:r>
      <w:r w:rsidRPr="00D97AA9">
        <w:rPr>
          <w:rFonts w:ascii="Arial" w:hAnsi="Arial" w:cs="Arial"/>
          <w:sz w:val="24"/>
          <w:szCs w:val="24"/>
        </w:rPr>
        <w:t xml:space="preserve"> </w:t>
      </w:r>
    </w:p>
    <w:p w:rsidR="0053185A" w:rsidRDefault="002C07E6" w:rsidP="00E02003">
      <w:pPr>
        <w:jc w:val="both"/>
        <w:rPr>
          <w:rFonts w:ascii="Arial" w:hAnsi="Arial" w:cs="Arial"/>
          <w:sz w:val="24"/>
          <w:szCs w:val="24"/>
        </w:rPr>
      </w:pPr>
      <w:r w:rsidRPr="00E02003">
        <w:rPr>
          <w:rFonts w:ascii="Arial" w:hAnsi="Arial" w:cs="Arial"/>
          <w:sz w:val="24"/>
          <w:szCs w:val="24"/>
        </w:rPr>
        <w:t xml:space="preserve">Income management has </w:t>
      </w:r>
      <w:r w:rsidR="008B7FA0" w:rsidRPr="00E02003">
        <w:rPr>
          <w:rFonts w:ascii="Arial" w:hAnsi="Arial" w:cs="Arial"/>
          <w:sz w:val="24"/>
          <w:szCs w:val="24"/>
        </w:rPr>
        <w:t xml:space="preserve">negative </w:t>
      </w:r>
      <w:r w:rsidR="009B7934">
        <w:rPr>
          <w:rFonts w:ascii="Arial" w:hAnsi="Arial" w:cs="Arial"/>
          <w:sz w:val="24"/>
          <w:szCs w:val="24"/>
        </w:rPr>
        <w:t>ramifications</w:t>
      </w:r>
      <w:r w:rsidRPr="00E02003">
        <w:rPr>
          <w:rFonts w:ascii="Arial" w:hAnsi="Arial" w:cs="Arial"/>
          <w:sz w:val="24"/>
          <w:szCs w:val="24"/>
        </w:rPr>
        <w:t xml:space="preserve"> for the autonomy of those subject to it. </w:t>
      </w:r>
      <w:r w:rsidR="0049392A" w:rsidRPr="00E02003">
        <w:rPr>
          <w:rFonts w:ascii="Arial" w:hAnsi="Arial" w:cs="Arial"/>
          <w:sz w:val="24"/>
          <w:szCs w:val="24"/>
        </w:rPr>
        <w:t xml:space="preserve">Evidence suggests </w:t>
      </w:r>
      <w:r w:rsidR="00661315" w:rsidRPr="00E02003">
        <w:rPr>
          <w:rFonts w:ascii="Arial" w:hAnsi="Arial" w:cs="Arial"/>
          <w:sz w:val="24"/>
          <w:szCs w:val="24"/>
        </w:rPr>
        <w:t xml:space="preserve">there are welfare recipients subject to income management who </w:t>
      </w:r>
      <w:r w:rsidR="004B5BD9" w:rsidRPr="00E02003">
        <w:rPr>
          <w:rFonts w:ascii="Arial" w:hAnsi="Arial" w:cs="Arial"/>
          <w:sz w:val="24"/>
          <w:szCs w:val="24"/>
        </w:rPr>
        <w:t>resent</w:t>
      </w:r>
      <w:r w:rsidR="008230EE">
        <w:rPr>
          <w:rFonts w:ascii="Arial" w:hAnsi="Arial" w:cs="Arial"/>
          <w:sz w:val="24"/>
          <w:szCs w:val="24"/>
        </w:rPr>
        <w:t xml:space="preserve"> ‘</w:t>
      </w:r>
      <w:r w:rsidR="004B5BD9" w:rsidRPr="00E02003">
        <w:rPr>
          <w:rFonts w:ascii="Arial" w:hAnsi="Arial" w:cs="Arial"/>
          <w:sz w:val="24"/>
          <w:szCs w:val="24"/>
        </w:rPr>
        <w:t>the associated loss of autonomy.’</w:t>
      </w:r>
      <w:r w:rsidR="004B5BD9" w:rsidRPr="00E02003">
        <w:rPr>
          <w:rStyle w:val="FootnoteReference"/>
          <w:rFonts w:ascii="Arial" w:hAnsi="Arial" w:cs="Arial"/>
          <w:sz w:val="24"/>
          <w:szCs w:val="24"/>
        </w:rPr>
        <w:footnoteReference w:id="53"/>
      </w:r>
      <w:r w:rsidR="004B5BD9" w:rsidRPr="00E02003">
        <w:rPr>
          <w:rFonts w:ascii="Arial" w:hAnsi="Arial" w:cs="Arial"/>
          <w:sz w:val="24"/>
          <w:szCs w:val="24"/>
        </w:rPr>
        <w:t xml:space="preserve"> </w:t>
      </w:r>
      <w:r w:rsidR="00F97C5B" w:rsidRPr="00E02003">
        <w:rPr>
          <w:rFonts w:ascii="Arial" w:hAnsi="Arial" w:cs="Arial"/>
          <w:sz w:val="24"/>
          <w:szCs w:val="24"/>
        </w:rPr>
        <w:t>Bray and others stated that ‘[a]</w:t>
      </w:r>
      <w:r w:rsidR="00EE39BA" w:rsidRPr="00E02003">
        <w:rPr>
          <w:rFonts w:ascii="Arial" w:hAnsi="Arial" w:cs="Arial"/>
          <w:sz w:val="24"/>
          <w:szCs w:val="24"/>
        </w:rPr>
        <w:t xml:space="preserve"> recurrent theme in many interviews was a desire of people for a sense of autonomy and control in their lives.’</w:t>
      </w:r>
      <w:r w:rsidR="00EE39BA" w:rsidRPr="00E02003">
        <w:rPr>
          <w:rStyle w:val="FootnoteReference"/>
          <w:rFonts w:ascii="Arial" w:hAnsi="Arial" w:cs="Arial"/>
          <w:sz w:val="24"/>
          <w:szCs w:val="24"/>
        </w:rPr>
        <w:footnoteReference w:id="54"/>
      </w:r>
      <w:r w:rsidR="00EE39BA" w:rsidRPr="00E02003">
        <w:rPr>
          <w:rFonts w:ascii="Arial" w:hAnsi="Arial" w:cs="Arial"/>
          <w:sz w:val="24"/>
          <w:szCs w:val="24"/>
        </w:rPr>
        <w:t xml:space="preserve"> </w:t>
      </w:r>
      <w:r w:rsidR="0049392A" w:rsidRPr="00E02003">
        <w:rPr>
          <w:rFonts w:ascii="Arial" w:hAnsi="Arial" w:cs="Arial"/>
          <w:sz w:val="24"/>
          <w:szCs w:val="24"/>
        </w:rPr>
        <w:t xml:space="preserve">However, to </w:t>
      </w:r>
      <w:r w:rsidR="00661315" w:rsidRPr="00E02003">
        <w:rPr>
          <w:rFonts w:ascii="Arial" w:hAnsi="Arial" w:cs="Arial"/>
          <w:sz w:val="24"/>
          <w:szCs w:val="24"/>
        </w:rPr>
        <w:t xml:space="preserve">deny that welfare recipients have </w:t>
      </w:r>
      <w:r w:rsidR="0049392A" w:rsidRPr="00E02003">
        <w:rPr>
          <w:rFonts w:ascii="Arial" w:hAnsi="Arial" w:cs="Arial"/>
          <w:sz w:val="24"/>
          <w:szCs w:val="24"/>
        </w:rPr>
        <w:t xml:space="preserve">the capacity to exercise </w:t>
      </w:r>
      <w:r w:rsidR="003043A9">
        <w:rPr>
          <w:rFonts w:ascii="Arial" w:hAnsi="Arial" w:cs="Arial"/>
          <w:sz w:val="24"/>
          <w:szCs w:val="24"/>
        </w:rPr>
        <w:t xml:space="preserve">budgetary </w:t>
      </w:r>
      <w:r w:rsidR="0049392A" w:rsidRPr="00E02003">
        <w:rPr>
          <w:rFonts w:ascii="Arial" w:hAnsi="Arial" w:cs="Arial"/>
          <w:sz w:val="24"/>
          <w:szCs w:val="24"/>
        </w:rPr>
        <w:t xml:space="preserve">autonomy is part of the punishment inherent in </w:t>
      </w:r>
      <w:r w:rsidR="00F225BE" w:rsidRPr="00E02003">
        <w:rPr>
          <w:rFonts w:ascii="Arial" w:hAnsi="Arial" w:cs="Arial"/>
          <w:sz w:val="24"/>
          <w:szCs w:val="24"/>
        </w:rPr>
        <w:t xml:space="preserve">the </w:t>
      </w:r>
      <w:r w:rsidR="0049392A" w:rsidRPr="00E02003">
        <w:rPr>
          <w:rFonts w:ascii="Arial" w:hAnsi="Arial" w:cs="Arial"/>
          <w:sz w:val="24"/>
          <w:szCs w:val="24"/>
        </w:rPr>
        <w:t>new paternalis</w:t>
      </w:r>
      <w:r w:rsidR="00F225BE" w:rsidRPr="00E02003">
        <w:rPr>
          <w:rFonts w:ascii="Arial" w:hAnsi="Arial" w:cs="Arial"/>
          <w:sz w:val="24"/>
          <w:szCs w:val="24"/>
        </w:rPr>
        <w:t>t income management scheme.</w:t>
      </w:r>
      <w:r w:rsidR="0049392A" w:rsidRPr="00E02003">
        <w:rPr>
          <w:rFonts w:ascii="Arial" w:hAnsi="Arial" w:cs="Arial"/>
          <w:sz w:val="24"/>
          <w:szCs w:val="24"/>
        </w:rPr>
        <w:t xml:space="preserve"> </w:t>
      </w:r>
      <w:r w:rsidRPr="00E02003">
        <w:rPr>
          <w:rFonts w:ascii="Arial" w:hAnsi="Arial" w:cs="Arial"/>
          <w:sz w:val="24"/>
          <w:szCs w:val="24"/>
        </w:rPr>
        <w:t>As Elizabeth Ben-</w:t>
      </w:r>
      <w:proofErr w:type="spellStart"/>
      <w:r w:rsidRPr="00E02003">
        <w:rPr>
          <w:rFonts w:ascii="Arial" w:hAnsi="Arial" w:cs="Arial"/>
          <w:sz w:val="24"/>
          <w:szCs w:val="24"/>
        </w:rPr>
        <w:t>Ishai</w:t>
      </w:r>
      <w:proofErr w:type="spellEnd"/>
      <w:r w:rsidRPr="00E02003">
        <w:rPr>
          <w:rFonts w:ascii="Arial" w:hAnsi="Arial" w:cs="Arial"/>
          <w:sz w:val="24"/>
          <w:szCs w:val="24"/>
        </w:rPr>
        <w:t xml:space="preserve"> explains, </w:t>
      </w:r>
      <w:r w:rsidR="00692389" w:rsidRPr="00E02003">
        <w:rPr>
          <w:rFonts w:ascii="Arial" w:hAnsi="Arial" w:cs="Arial"/>
          <w:sz w:val="24"/>
          <w:szCs w:val="24"/>
        </w:rPr>
        <w:t>‘the assumptions at the core of new paternalism</w:t>
      </w:r>
      <w:r w:rsidR="009B7934">
        <w:rPr>
          <w:rFonts w:ascii="Arial" w:hAnsi="Arial" w:cs="Arial"/>
          <w:sz w:val="24"/>
          <w:szCs w:val="24"/>
        </w:rPr>
        <w:t>—</w:t>
      </w:r>
      <w:r w:rsidR="00692389" w:rsidRPr="00E02003">
        <w:rPr>
          <w:rFonts w:ascii="Arial" w:hAnsi="Arial" w:cs="Arial"/>
          <w:sz w:val="24"/>
          <w:szCs w:val="24"/>
        </w:rPr>
        <w:t>that of service users incompetence</w:t>
      </w:r>
      <w:r w:rsidR="009B7934">
        <w:rPr>
          <w:rFonts w:ascii="Arial" w:hAnsi="Arial" w:cs="Arial"/>
          <w:sz w:val="24"/>
          <w:szCs w:val="24"/>
        </w:rPr>
        <w:t>—</w:t>
      </w:r>
      <w:r w:rsidR="00692389" w:rsidRPr="00E02003">
        <w:rPr>
          <w:rFonts w:ascii="Arial" w:hAnsi="Arial" w:cs="Arial"/>
          <w:sz w:val="24"/>
          <w:szCs w:val="24"/>
        </w:rPr>
        <w:t>reveals the autonomy constraining implications of such intervention, which is characterized by a lack of respect and recognition.’</w:t>
      </w:r>
      <w:r w:rsidR="00692389" w:rsidRPr="00E02003">
        <w:rPr>
          <w:rStyle w:val="FootnoteReference"/>
          <w:rFonts w:ascii="Arial" w:hAnsi="Arial" w:cs="Arial"/>
          <w:sz w:val="24"/>
          <w:szCs w:val="24"/>
        </w:rPr>
        <w:footnoteReference w:id="55"/>
      </w:r>
      <w:r w:rsidR="00F92C38">
        <w:rPr>
          <w:rFonts w:ascii="Arial" w:hAnsi="Arial" w:cs="Arial"/>
          <w:sz w:val="24"/>
          <w:szCs w:val="24"/>
        </w:rPr>
        <w:t xml:space="preserve"> Compulsory i</w:t>
      </w:r>
      <w:r w:rsidR="008B7FA0" w:rsidRPr="00E02003">
        <w:rPr>
          <w:rFonts w:ascii="Arial" w:hAnsi="Arial" w:cs="Arial"/>
          <w:sz w:val="24"/>
          <w:szCs w:val="24"/>
        </w:rPr>
        <w:t xml:space="preserve">ncome </w:t>
      </w:r>
      <w:r w:rsidR="008B7FA0" w:rsidRPr="00E02003">
        <w:rPr>
          <w:rFonts w:ascii="Arial" w:hAnsi="Arial" w:cs="Arial"/>
          <w:sz w:val="24"/>
          <w:szCs w:val="24"/>
        </w:rPr>
        <w:lastRenderedPageBreak/>
        <w:t xml:space="preserve">management assumes that all those subject to it are incapable or irresponsible when it comes to making economic choices about their own lives. </w:t>
      </w:r>
      <w:r w:rsidR="00F97C5B" w:rsidRPr="00E02003">
        <w:rPr>
          <w:rFonts w:ascii="Arial" w:hAnsi="Arial" w:cs="Arial"/>
          <w:sz w:val="24"/>
          <w:szCs w:val="24"/>
        </w:rPr>
        <w:t xml:space="preserve">Yet being unemployed should not be equated with a lack of budgetary capacity. There are many people unjustly characterised as lacking budgetary competence through the income management scheme who are perfectly capable of managing their meagre </w:t>
      </w:r>
      <w:r w:rsidR="00BB00B5">
        <w:rPr>
          <w:rFonts w:ascii="Arial" w:hAnsi="Arial" w:cs="Arial"/>
          <w:sz w:val="24"/>
          <w:szCs w:val="24"/>
        </w:rPr>
        <w:t>funds</w:t>
      </w:r>
      <w:r w:rsidR="00F97C5B" w:rsidRPr="00E02003">
        <w:rPr>
          <w:rFonts w:ascii="Arial" w:hAnsi="Arial" w:cs="Arial"/>
          <w:sz w:val="24"/>
          <w:szCs w:val="24"/>
        </w:rPr>
        <w:t>.</w:t>
      </w:r>
      <w:r w:rsidR="00255E33">
        <w:rPr>
          <w:rFonts w:ascii="Arial" w:hAnsi="Arial" w:cs="Arial"/>
          <w:sz w:val="24"/>
          <w:szCs w:val="24"/>
        </w:rPr>
        <w:t xml:space="preserve"> </w:t>
      </w:r>
      <w:r w:rsidR="00876191" w:rsidRPr="00DB11F8">
        <w:rPr>
          <w:rFonts w:ascii="Arial" w:hAnsi="Arial" w:cs="Arial"/>
          <w:sz w:val="24"/>
          <w:szCs w:val="24"/>
        </w:rPr>
        <w:t>For example</w:t>
      </w:r>
      <w:r w:rsidR="00121DBD" w:rsidRPr="00DB11F8">
        <w:rPr>
          <w:rFonts w:ascii="Arial" w:hAnsi="Arial" w:cs="Arial"/>
          <w:sz w:val="24"/>
          <w:szCs w:val="24"/>
        </w:rPr>
        <w:t>,</w:t>
      </w:r>
      <w:r w:rsidR="00876191" w:rsidRPr="00DB11F8">
        <w:rPr>
          <w:rFonts w:ascii="Arial" w:hAnsi="Arial" w:cs="Arial"/>
          <w:sz w:val="24"/>
          <w:szCs w:val="24"/>
        </w:rPr>
        <w:t xml:space="preserve"> if </w:t>
      </w:r>
      <w:r w:rsidR="00DE6E0C" w:rsidRPr="00DB11F8">
        <w:rPr>
          <w:rFonts w:ascii="Arial" w:hAnsi="Arial" w:cs="Arial"/>
          <w:sz w:val="24"/>
          <w:szCs w:val="24"/>
        </w:rPr>
        <w:t>a person</w:t>
      </w:r>
      <w:r w:rsidR="00876191" w:rsidRPr="00DB11F8">
        <w:rPr>
          <w:rFonts w:ascii="Arial" w:hAnsi="Arial" w:cs="Arial"/>
          <w:sz w:val="24"/>
          <w:szCs w:val="24"/>
        </w:rPr>
        <w:t xml:space="preserve"> is employed one </w:t>
      </w:r>
      <w:r w:rsidR="0059201D" w:rsidRPr="00DB11F8">
        <w:rPr>
          <w:rFonts w:ascii="Arial" w:hAnsi="Arial" w:cs="Arial"/>
          <w:sz w:val="24"/>
          <w:szCs w:val="24"/>
        </w:rPr>
        <w:t xml:space="preserve">day but </w:t>
      </w:r>
      <w:r w:rsidR="00876191" w:rsidRPr="00DB11F8">
        <w:rPr>
          <w:rFonts w:ascii="Arial" w:hAnsi="Arial" w:cs="Arial"/>
          <w:sz w:val="24"/>
          <w:szCs w:val="24"/>
        </w:rPr>
        <w:t xml:space="preserve">unemployed the </w:t>
      </w:r>
      <w:r w:rsidR="00DE6E0C" w:rsidRPr="00DB11F8">
        <w:rPr>
          <w:rFonts w:ascii="Arial" w:hAnsi="Arial" w:cs="Arial"/>
          <w:sz w:val="24"/>
          <w:szCs w:val="24"/>
        </w:rPr>
        <w:t xml:space="preserve">following </w:t>
      </w:r>
      <w:r w:rsidR="0059201D" w:rsidRPr="00DB11F8">
        <w:rPr>
          <w:rFonts w:ascii="Arial" w:hAnsi="Arial" w:cs="Arial"/>
          <w:sz w:val="24"/>
          <w:szCs w:val="24"/>
        </w:rPr>
        <w:t>day</w:t>
      </w:r>
      <w:r w:rsidR="00876191" w:rsidRPr="00DB11F8">
        <w:rPr>
          <w:rFonts w:ascii="Arial" w:hAnsi="Arial" w:cs="Arial"/>
          <w:sz w:val="24"/>
          <w:szCs w:val="24"/>
        </w:rPr>
        <w:t xml:space="preserve"> does this </w:t>
      </w:r>
      <w:r w:rsidR="00DE6E0C" w:rsidRPr="00DB11F8">
        <w:rPr>
          <w:rFonts w:ascii="Arial" w:hAnsi="Arial" w:cs="Arial"/>
          <w:sz w:val="24"/>
          <w:szCs w:val="24"/>
        </w:rPr>
        <w:t xml:space="preserve">automatically </w:t>
      </w:r>
      <w:r w:rsidR="0059201D" w:rsidRPr="00DB11F8">
        <w:rPr>
          <w:rFonts w:ascii="Arial" w:hAnsi="Arial" w:cs="Arial"/>
          <w:sz w:val="24"/>
          <w:szCs w:val="24"/>
        </w:rPr>
        <w:t xml:space="preserve">eliminate their capacity to </w:t>
      </w:r>
      <w:r w:rsidR="00876191" w:rsidRPr="00DB11F8">
        <w:rPr>
          <w:rFonts w:ascii="Arial" w:hAnsi="Arial" w:cs="Arial"/>
          <w:sz w:val="24"/>
          <w:szCs w:val="24"/>
        </w:rPr>
        <w:t xml:space="preserve">manage </w:t>
      </w:r>
      <w:r w:rsidR="00D7337E" w:rsidRPr="00DB11F8">
        <w:rPr>
          <w:rFonts w:ascii="Arial" w:hAnsi="Arial" w:cs="Arial"/>
          <w:sz w:val="24"/>
          <w:szCs w:val="24"/>
        </w:rPr>
        <w:t>a</w:t>
      </w:r>
      <w:r w:rsidR="00876191" w:rsidRPr="00DB11F8">
        <w:rPr>
          <w:rFonts w:ascii="Arial" w:hAnsi="Arial" w:cs="Arial"/>
          <w:sz w:val="24"/>
          <w:szCs w:val="24"/>
        </w:rPr>
        <w:t xml:space="preserve"> budget?</w:t>
      </w:r>
      <w:r w:rsidR="00876191" w:rsidRPr="00121DBD">
        <w:rPr>
          <w:rFonts w:ascii="Arial" w:hAnsi="Arial" w:cs="Arial"/>
          <w:sz w:val="24"/>
          <w:szCs w:val="24"/>
        </w:rPr>
        <w:t xml:space="preserve"> </w:t>
      </w:r>
      <w:r w:rsidR="00BC6378">
        <w:rPr>
          <w:rFonts w:ascii="Arial" w:hAnsi="Arial" w:cs="Arial"/>
          <w:sz w:val="24"/>
          <w:szCs w:val="24"/>
        </w:rPr>
        <w:t>Does</w:t>
      </w:r>
      <w:r w:rsidR="00DE6E0C" w:rsidRPr="00121DBD">
        <w:rPr>
          <w:rFonts w:ascii="Arial" w:hAnsi="Arial" w:cs="Arial"/>
          <w:sz w:val="24"/>
          <w:szCs w:val="24"/>
        </w:rPr>
        <w:t xml:space="preserve"> budgetary competence magically reappear if </w:t>
      </w:r>
      <w:r w:rsidR="00D86F9C">
        <w:rPr>
          <w:rFonts w:ascii="Arial" w:hAnsi="Arial" w:cs="Arial"/>
          <w:sz w:val="24"/>
          <w:szCs w:val="24"/>
        </w:rPr>
        <w:t>re-</w:t>
      </w:r>
      <w:r w:rsidR="00DE6E0C" w:rsidRPr="00121DBD">
        <w:rPr>
          <w:rFonts w:ascii="Arial" w:hAnsi="Arial" w:cs="Arial"/>
          <w:sz w:val="24"/>
          <w:szCs w:val="24"/>
        </w:rPr>
        <w:t xml:space="preserve">employment </w:t>
      </w:r>
      <w:r w:rsidR="00D86F9C">
        <w:rPr>
          <w:rFonts w:ascii="Arial" w:hAnsi="Arial" w:cs="Arial"/>
          <w:sz w:val="24"/>
          <w:szCs w:val="24"/>
        </w:rPr>
        <w:t>occurs</w:t>
      </w:r>
      <w:r w:rsidR="00F94C66">
        <w:rPr>
          <w:rFonts w:ascii="Arial" w:hAnsi="Arial" w:cs="Arial"/>
          <w:sz w:val="24"/>
          <w:szCs w:val="24"/>
        </w:rPr>
        <w:t xml:space="preserve"> within the next fortnight</w:t>
      </w:r>
      <w:r w:rsidR="00BC6378">
        <w:rPr>
          <w:rFonts w:ascii="Arial" w:hAnsi="Arial" w:cs="Arial"/>
          <w:sz w:val="24"/>
          <w:szCs w:val="24"/>
        </w:rPr>
        <w:t>?</w:t>
      </w:r>
      <w:r w:rsidR="00DB11F8">
        <w:rPr>
          <w:rFonts w:ascii="Arial" w:hAnsi="Arial" w:cs="Arial"/>
          <w:sz w:val="24"/>
          <w:szCs w:val="24"/>
        </w:rPr>
        <w:t xml:space="preserve"> </w:t>
      </w:r>
    </w:p>
    <w:p w:rsidR="006A2FF9" w:rsidRDefault="008B7FA0" w:rsidP="00E02003">
      <w:pPr>
        <w:jc w:val="both"/>
        <w:rPr>
          <w:rFonts w:ascii="Arial" w:hAnsi="Arial" w:cs="Arial"/>
          <w:sz w:val="24"/>
          <w:szCs w:val="24"/>
        </w:rPr>
      </w:pPr>
      <w:r w:rsidRPr="00E02003">
        <w:rPr>
          <w:rFonts w:ascii="Arial" w:hAnsi="Arial" w:cs="Arial"/>
          <w:sz w:val="24"/>
          <w:szCs w:val="24"/>
        </w:rPr>
        <w:t>The income management scheme deliberately takes away economic freedoms for welfare recipients that other citizens e</w:t>
      </w:r>
      <w:r w:rsidR="00BB00B5">
        <w:rPr>
          <w:rFonts w:ascii="Arial" w:hAnsi="Arial" w:cs="Arial"/>
          <w:sz w:val="24"/>
          <w:szCs w:val="24"/>
        </w:rPr>
        <w:t>njoy</w:t>
      </w:r>
      <w:r w:rsidRPr="00E02003">
        <w:rPr>
          <w:rFonts w:ascii="Arial" w:hAnsi="Arial" w:cs="Arial"/>
          <w:sz w:val="24"/>
          <w:szCs w:val="24"/>
        </w:rPr>
        <w:t>. These freedoms include being able to purchase items of their choice through sellers of their choice.</w:t>
      </w:r>
      <w:r w:rsidRPr="00E02003">
        <w:rPr>
          <w:rStyle w:val="FootnoteReference"/>
          <w:rFonts w:ascii="Arial" w:hAnsi="Arial" w:cs="Arial"/>
          <w:sz w:val="24"/>
          <w:szCs w:val="24"/>
        </w:rPr>
        <w:footnoteReference w:id="56"/>
      </w:r>
      <w:r w:rsidRPr="00E02003">
        <w:rPr>
          <w:rFonts w:ascii="Arial" w:hAnsi="Arial" w:cs="Arial"/>
          <w:sz w:val="24"/>
          <w:szCs w:val="24"/>
        </w:rPr>
        <w:t xml:space="preserve"> </w:t>
      </w:r>
      <w:r w:rsidR="008230EE">
        <w:rPr>
          <w:rFonts w:ascii="Arial" w:hAnsi="Arial" w:cs="Arial"/>
          <w:sz w:val="24"/>
          <w:szCs w:val="24"/>
        </w:rPr>
        <w:t xml:space="preserve">Bray and others </w:t>
      </w:r>
      <w:r w:rsidR="00416583" w:rsidRPr="00E02003">
        <w:rPr>
          <w:rFonts w:ascii="Arial" w:hAnsi="Arial" w:cs="Arial"/>
          <w:sz w:val="24"/>
          <w:szCs w:val="24"/>
        </w:rPr>
        <w:t xml:space="preserve">found </w:t>
      </w:r>
      <w:r w:rsidR="008230EE">
        <w:rPr>
          <w:rFonts w:ascii="Arial" w:hAnsi="Arial" w:cs="Arial"/>
          <w:sz w:val="24"/>
          <w:szCs w:val="24"/>
        </w:rPr>
        <w:t xml:space="preserve">welfare </w:t>
      </w:r>
      <w:r w:rsidR="00416583" w:rsidRPr="00E02003">
        <w:rPr>
          <w:rFonts w:ascii="Arial" w:hAnsi="Arial" w:cs="Arial"/>
          <w:sz w:val="24"/>
          <w:szCs w:val="24"/>
        </w:rPr>
        <w:t xml:space="preserve">recipients were concerned ‘that the limitations of the merchants where </w:t>
      </w:r>
      <w:proofErr w:type="spellStart"/>
      <w:r w:rsidR="00416583" w:rsidRPr="00E02003">
        <w:rPr>
          <w:rFonts w:ascii="Arial" w:hAnsi="Arial" w:cs="Arial"/>
          <w:sz w:val="24"/>
          <w:szCs w:val="24"/>
        </w:rPr>
        <w:t>BasicsCard</w:t>
      </w:r>
      <w:proofErr w:type="spellEnd"/>
      <w:r w:rsidR="00416583" w:rsidRPr="00E02003">
        <w:rPr>
          <w:rFonts w:ascii="Arial" w:hAnsi="Arial" w:cs="Arial"/>
          <w:sz w:val="24"/>
          <w:szCs w:val="24"/>
        </w:rPr>
        <w:t xml:space="preserve"> is accepted results in people missing out on better deals or fresher food which is available from markets where the </w:t>
      </w:r>
      <w:proofErr w:type="spellStart"/>
      <w:r w:rsidR="00416583" w:rsidRPr="00E02003">
        <w:rPr>
          <w:rFonts w:ascii="Arial" w:hAnsi="Arial" w:cs="Arial"/>
          <w:sz w:val="24"/>
          <w:szCs w:val="24"/>
        </w:rPr>
        <w:t>BasicsCard</w:t>
      </w:r>
      <w:proofErr w:type="spellEnd"/>
      <w:r w:rsidR="00416583" w:rsidRPr="00E02003">
        <w:rPr>
          <w:rFonts w:ascii="Arial" w:hAnsi="Arial" w:cs="Arial"/>
          <w:sz w:val="24"/>
          <w:szCs w:val="24"/>
        </w:rPr>
        <w:t xml:space="preserve"> is not accepted.’</w:t>
      </w:r>
      <w:r w:rsidR="00416583" w:rsidRPr="00E02003">
        <w:rPr>
          <w:rStyle w:val="FootnoteReference"/>
          <w:rFonts w:ascii="Arial" w:hAnsi="Arial" w:cs="Arial"/>
          <w:sz w:val="24"/>
          <w:szCs w:val="24"/>
        </w:rPr>
        <w:footnoteReference w:id="57"/>
      </w:r>
      <w:r w:rsidR="00416583" w:rsidRPr="00E02003">
        <w:rPr>
          <w:rFonts w:ascii="Arial" w:hAnsi="Arial" w:cs="Arial"/>
          <w:sz w:val="24"/>
          <w:szCs w:val="24"/>
        </w:rPr>
        <w:t xml:space="preserve"> </w:t>
      </w:r>
      <w:r w:rsidR="00D672CC" w:rsidRPr="00E02003">
        <w:rPr>
          <w:rFonts w:ascii="Arial" w:hAnsi="Arial" w:cs="Arial"/>
          <w:sz w:val="24"/>
          <w:szCs w:val="24"/>
        </w:rPr>
        <w:t>It also found that for some ‘instead of improving their spending, the inflexibility of the card made purchasing basics more expensive.’</w:t>
      </w:r>
      <w:r w:rsidR="00D672CC" w:rsidRPr="00E02003">
        <w:rPr>
          <w:rStyle w:val="FootnoteReference"/>
          <w:rFonts w:ascii="Arial" w:hAnsi="Arial" w:cs="Arial"/>
          <w:sz w:val="24"/>
          <w:szCs w:val="24"/>
        </w:rPr>
        <w:footnoteReference w:id="58"/>
      </w:r>
      <w:r w:rsidR="00D672CC" w:rsidRPr="00E02003">
        <w:rPr>
          <w:rFonts w:ascii="Arial" w:hAnsi="Arial" w:cs="Arial"/>
          <w:sz w:val="24"/>
          <w:szCs w:val="24"/>
        </w:rPr>
        <w:t xml:space="preserve"> </w:t>
      </w:r>
      <w:r w:rsidRPr="00E02003">
        <w:rPr>
          <w:rFonts w:ascii="Arial" w:hAnsi="Arial" w:cs="Arial"/>
          <w:sz w:val="24"/>
          <w:szCs w:val="24"/>
        </w:rPr>
        <w:t>The limits imposed therefore extend beyond those of the legislatively prohibited use of income managed funds on alcohol, tobacco, pornography and gambling.</w:t>
      </w:r>
      <w:r w:rsidRPr="00E02003">
        <w:rPr>
          <w:rStyle w:val="FootnoteReference"/>
          <w:rFonts w:ascii="Arial" w:hAnsi="Arial" w:cs="Arial"/>
          <w:sz w:val="24"/>
          <w:szCs w:val="24"/>
        </w:rPr>
        <w:footnoteReference w:id="59"/>
      </w:r>
      <w:r w:rsidR="00416583" w:rsidRPr="00E02003">
        <w:rPr>
          <w:rFonts w:ascii="Arial" w:hAnsi="Arial" w:cs="Arial"/>
          <w:sz w:val="24"/>
          <w:szCs w:val="24"/>
        </w:rPr>
        <w:t xml:space="preserve"> </w:t>
      </w:r>
      <w:r w:rsidR="00F225BE" w:rsidRPr="00E02003">
        <w:rPr>
          <w:rFonts w:ascii="Arial" w:hAnsi="Arial" w:cs="Arial"/>
          <w:sz w:val="24"/>
          <w:szCs w:val="24"/>
        </w:rPr>
        <w:t xml:space="preserve">The limits constrain the autonomy of welfare recipients in significant ways that </w:t>
      </w:r>
      <w:r w:rsidR="00014D3D" w:rsidRPr="00E02003">
        <w:rPr>
          <w:rFonts w:ascii="Arial" w:hAnsi="Arial" w:cs="Arial"/>
          <w:sz w:val="24"/>
          <w:szCs w:val="24"/>
        </w:rPr>
        <w:t>differentiate</w:t>
      </w:r>
      <w:r w:rsidR="00F225BE" w:rsidRPr="00E02003">
        <w:rPr>
          <w:rFonts w:ascii="Arial" w:hAnsi="Arial" w:cs="Arial"/>
          <w:sz w:val="24"/>
          <w:szCs w:val="24"/>
        </w:rPr>
        <w:t xml:space="preserve"> their everyday experiences in </w:t>
      </w:r>
      <w:r w:rsidR="00F225BE" w:rsidRPr="0089344D">
        <w:rPr>
          <w:rFonts w:ascii="Arial" w:hAnsi="Arial" w:cs="Arial"/>
          <w:sz w:val="24"/>
          <w:szCs w:val="24"/>
        </w:rPr>
        <w:t>Australia’s capitalist society</w:t>
      </w:r>
      <w:r w:rsidR="00B60C36" w:rsidRPr="0089344D">
        <w:rPr>
          <w:rFonts w:ascii="Arial" w:hAnsi="Arial" w:cs="Arial"/>
          <w:sz w:val="24"/>
          <w:szCs w:val="24"/>
        </w:rPr>
        <w:t xml:space="preserve"> and mark them as inferior</w:t>
      </w:r>
      <w:r w:rsidR="00F225BE" w:rsidRPr="0089344D">
        <w:rPr>
          <w:rFonts w:ascii="Arial" w:hAnsi="Arial" w:cs="Arial"/>
          <w:sz w:val="24"/>
          <w:szCs w:val="24"/>
        </w:rPr>
        <w:t>.</w:t>
      </w:r>
      <w:r w:rsidR="00C06C0A" w:rsidRPr="0089344D">
        <w:rPr>
          <w:rFonts w:ascii="Arial" w:hAnsi="Arial" w:cs="Arial"/>
          <w:sz w:val="24"/>
          <w:szCs w:val="24"/>
        </w:rPr>
        <w:t xml:space="preserve"> Income management therefore constrains individual liberties and </w:t>
      </w:r>
      <w:r w:rsidR="0089344D" w:rsidRPr="0089344D">
        <w:rPr>
          <w:rFonts w:ascii="Arial" w:hAnsi="Arial" w:cs="Arial"/>
          <w:sz w:val="24"/>
          <w:szCs w:val="24"/>
        </w:rPr>
        <w:t xml:space="preserve">arguably </w:t>
      </w:r>
      <w:r w:rsidR="00C06C0A" w:rsidRPr="0089344D">
        <w:rPr>
          <w:rFonts w:ascii="Arial" w:hAnsi="Arial" w:cs="Arial"/>
          <w:sz w:val="24"/>
          <w:szCs w:val="24"/>
        </w:rPr>
        <w:t>involves anti-competitive practices.</w:t>
      </w:r>
      <w:r w:rsidR="0089344D">
        <w:rPr>
          <w:rStyle w:val="FootnoteReference"/>
          <w:rFonts w:ascii="Arial" w:hAnsi="Arial" w:cs="Arial"/>
          <w:sz w:val="24"/>
          <w:szCs w:val="24"/>
        </w:rPr>
        <w:footnoteReference w:id="60"/>
      </w:r>
      <w:r w:rsidR="00170C5C">
        <w:rPr>
          <w:rFonts w:ascii="Arial" w:hAnsi="Arial" w:cs="Arial"/>
          <w:sz w:val="24"/>
          <w:szCs w:val="24"/>
        </w:rPr>
        <w:t xml:space="preserve"> </w:t>
      </w:r>
    </w:p>
    <w:p w:rsidR="002C07E6" w:rsidRPr="00E02003" w:rsidRDefault="00BB00B5" w:rsidP="00E02003">
      <w:pPr>
        <w:jc w:val="both"/>
        <w:rPr>
          <w:rFonts w:ascii="Arial" w:hAnsi="Arial" w:cs="Arial"/>
          <w:sz w:val="24"/>
          <w:szCs w:val="24"/>
        </w:rPr>
      </w:pPr>
      <w:r>
        <w:rPr>
          <w:rFonts w:ascii="Arial" w:hAnsi="Arial" w:cs="Arial"/>
          <w:sz w:val="24"/>
          <w:szCs w:val="24"/>
        </w:rPr>
        <w:t>The long-</w:t>
      </w:r>
      <w:r w:rsidR="00416583" w:rsidRPr="00E02003">
        <w:rPr>
          <w:rFonts w:ascii="Arial" w:hAnsi="Arial" w:cs="Arial"/>
          <w:sz w:val="24"/>
          <w:szCs w:val="24"/>
        </w:rPr>
        <w:t xml:space="preserve">term implications of income management </w:t>
      </w:r>
      <w:r w:rsidR="00D95E25">
        <w:rPr>
          <w:rFonts w:ascii="Arial" w:hAnsi="Arial" w:cs="Arial"/>
          <w:sz w:val="24"/>
          <w:szCs w:val="24"/>
        </w:rPr>
        <w:t xml:space="preserve">in terms of individual self-management and autonomy </w:t>
      </w:r>
      <w:r w:rsidR="00416583" w:rsidRPr="00E02003">
        <w:rPr>
          <w:rFonts w:ascii="Arial" w:hAnsi="Arial" w:cs="Arial"/>
          <w:sz w:val="24"/>
          <w:szCs w:val="24"/>
        </w:rPr>
        <w:t xml:space="preserve">remain to be </w:t>
      </w:r>
      <w:r>
        <w:rPr>
          <w:rFonts w:ascii="Arial" w:hAnsi="Arial" w:cs="Arial"/>
          <w:sz w:val="24"/>
          <w:szCs w:val="24"/>
        </w:rPr>
        <w:t>evaluated</w:t>
      </w:r>
      <w:r w:rsidR="00416583" w:rsidRPr="00E02003">
        <w:rPr>
          <w:rFonts w:ascii="Arial" w:hAnsi="Arial" w:cs="Arial"/>
          <w:sz w:val="24"/>
          <w:szCs w:val="24"/>
        </w:rPr>
        <w:t xml:space="preserve">. However, it has been suggested that </w:t>
      </w:r>
      <w:r w:rsidR="00485B04" w:rsidRPr="00E02003">
        <w:rPr>
          <w:rFonts w:ascii="Arial" w:hAnsi="Arial" w:cs="Arial"/>
          <w:sz w:val="24"/>
          <w:szCs w:val="24"/>
        </w:rPr>
        <w:t>‘the lack of control from being income managed’ might actually be ‘a barrier to coming off income management.’</w:t>
      </w:r>
      <w:r w:rsidR="00485B04" w:rsidRPr="00E02003">
        <w:rPr>
          <w:rStyle w:val="FootnoteReference"/>
          <w:rFonts w:ascii="Arial" w:hAnsi="Arial" w:cs="Arial"/>
          <w:sz w:val="24"/>
          <w:szCs w:val="24"/>
        </w:rPr>
        <w:footnoteReference w:id="61"/>
      </w:r>
      <w:r w:rsidR="00485B04" w:rsidRPr="00E02003">
        <w:rPr>
          <w:rFonts w:ascii="Arial" w:hAnsi="Arial" w:cs="Arial"/>
          <w:sz w:val="24"/>
          <w:szCs w:val="24"/>
        </w:rPr>
        <w:t xml:space="preserve"> Those who get used to the pat</w:t>
      </w:r>
      <w:r w:rsidR="00D95E25">
        <w:rPr>
          <w:rFonts w:ascii="Arial" w:hAnsi="Arial" w:cs="Arial"/>
          <w:sz w:val="24"/>
          <w:szCs w:val="24"/>
        </w:rPr>
        <w:t>ernalistic intervention of the s</w:t>
      </w:r>
      <w:r w:rsidR="00485B04" w:rsidRPr="00E02003">
        <w:rPr>
          <w:rFonts w:ascii="Arial" w:hAnsi="Arial" w:cs="Arial"/>
          <w:sz w:val="24"/>
          <w:szCs w:val="24"/>
        </w:rPr>
        <w:t>tate via its control over domestic household purchases may struggle more to exercise their finances independently upon getting off income management.</w:t>
      </w:r>
      <w:r w:rsidR="005E64FB" w:rsidRPr="00E02003">
        <w:rPr>
          <w:rFonts w:ascii="Arial" w:hAnsi="Arial" w:cs="Arial"/>
          <w:sz w:val="24"/>
          <w:szCs w:val="24"/>
        </w:rPr>
        <w:t xml:space="preserve"> Bray and others note that an unintended negative consequence of income management ‘is that some people appear to have become passive in the </w:t>
      </w:r>
      <w:r w:rsidR="005E64FB" w:rsidRPr="00E02003">
        <w:rPr>
          <w:rFonts w:ascii="Arial" w:hAnsi="Arial" w:cs="Arial"/>
          <w:sz w:val="24"/>
          <w:szCs w:val="24"/>
        </w:rPr>
        <w:lastRenderedPageBreak/>
        <w:t>management of their finances and dependent on income management.’</w:t>
      </w:r>
      <w:r w:rsidR="005E64FB" w:rsidRPr="00E02003">
        <w:rPr>
          <w:rStyle w:val="FootnoteReference"/>
          <w:rFonts w:ascii="Arial" w:hAnsi="Arial" w:cs="Arial"/>
          <w:sz w:val="24"/>
          <w:szCs w:val="24"/>
        </w:rPr>
        <w:footnoteReference w:id="62"/>
      </w:r>
      <w:r w:rsidR="00AF0A78" w:rsidRPr="00E02003">
        <w:rPr>
          <w:rFonts w:ascii="Arial" w:hAnsi="Arial" w:cs="Arial"/>
          <w:sz w:val="24"/>
          <w:szCs w:val="24"/>
        </w:rPr>
        <w:t xml:space="preserve"> In this sense income management could have the effect of</w:t>
      </w:r>
      <w:r w:rsidR="008D73DD">
        <w:rPr>
          <w:rFonts w:ascii="Arial" w:hAnsi="Arial" w:cs="Arial"/>
          <w:sz w:val="24"/>
          <w:szCs w:val="24"/>
        </w:rPr>
        <w:t xml:space="preserve"> entrenching dependency on the s</w:t>
      </w:r>
      <w:r w:rsidR="00AF0A78" w:rsidRPr="00E02003">
        <w:rPr>
          <w:rFonts w:ascii="Arial" w:hAnsi="Arial" w:cs="Arial"/>
          <w:sz w:val="24"/>
          <w:szCs w:val="24"/>
        </w:rPr>
        <w:t>tate rather than curing it, because it sets in place a system that perpetuates power imbalances</w:t>
      </w:r>
      <w:r w:rsidR="005E64FB" w:rsidRPr="00E02003">
        <w:rPr>
          <w:rFonts w:ascii="Arial" w:hAnsi="Arial" w:cs="Arial"/>
          <w:sz w:val="24"/>
          <w:szCs w:val="24"/>
        </w:rPr>
        <w:t xml:space="preserve"> and </w:t>
      </w:r>
      <w:proofErr w:type="spellStart"/>
      <w:r w:rsidR="005E64FB" w:rsidRPr="00E02003">
        <w:rPr>
          <w:rFonts w:ascii="Arial" w:hAnsi="Arial" w:cs="Arial"/>
          <w:sz w:val="24"/>
          <w:szCs w:val="24"/>
        </w:rPr>
        <w:t>infantalises</w:t>
      </w:r>
      <w:proofErr w:type="spellEnd"/>
      <w:r w:rsidR="005E64FB" w:rsidRPr="00E02003">
        <w:rPr>
          <w:rFonts w:ascii="Arial" w:hAnsi="Arial" w:cs="Arial"/>
          <w:sz w:val="24"/>
          <w:szCs w:val="24"/>
        </w:rPr>
        <w:t xml:space="preserve"> adults</w:t>
      </w:r>
      <w:r w:rsidR="00AF0A78" w:rsidRPr="00E02003">
        <w:rPr>
          <w:rFonts w:ascii="Arial" w:hAnsi="Arial" w:cs="Arial"/>
          <w:sz w:val="24"/>
          <w:szCs w:val="24"/>
        </w:rPr>
        <w:t>.</w:t>
      </w:r>
      <w:r w:rsidR="005E64FB" w:rsidRPr="00E02003">
        <w:rPr>
          <w:rStyle w:val="FootnoteReference"/>
          <w:rFonts w:ascii="Arial" w:hAnsi="Arial" w:cs="Arial"/>
          <w:sz w:val="24"/>
          <w:szCs w:val="24"/>
        </w:rPr>
        <w:footnoteReference w:id="63"/>
      </w:r>
      <w:r w:rsidR="00AF0A78" w:rsidRPr="00E02003">
        <w:rPr>
          <w:rFonts w:ascii="Arial" w:hAnsi="Arial" w:cs="Arial"/>
          <w:sz w:val="24"/>
          <w:szCs w:val="24"/>
        </w:rPr>
        <w:t xml:space="preserve"> </w:t>
      </w:r>
    </w:p>
    <w:p w:rsidR="001B5C9F" w:rsidRPr="00E02003" w:rsidRDefault="00014D3D" w:rsidP="00E02003">
      <w:pPr>
        <w:jc w:val="both"/>
        <w:rPr>
          <w:rFonts w:ascii="Arial" w:hAnsi="Arial" w:cs="Arial"/>
          <w:sz w:val="24"/>
          <w:szCs w:val="24"/>
        </w:rPr>
      </w:pPr>
      <w:r w:rsidRPr="00E02003">
        <w:rPr>
          <w:rFonts w:ascii="Arial" w:hAnsi="Arial" w:cs="Arial"/>
          <w:sz w:val="24"/>
          <w:szCs w:val="24"/>
        </w:rPr>
        <w:t>Australia’s</w:t>
      </w:r>
      <w:r w:rsidR="004350AE" w:rsidRPr="00E02003">
        <w:rPr>
          <w:rFonts w:ascii="Arial" w:hAnsi="Arial" w:cs="Arial"/>
          <w:sz w:val="24"/>
          <w:szCs w:val="24"/>
        </w:rPr>
        <w:t xml:space="preserve"> income management scheme </w:t>
      </w:r>
      <w:r w:rsidR="00325C05" w:rsidRPr="00E02003">
        <w:rPr>
          <w:rFonts w:ascii="Arial" w:hAnsi="Arial" w:cs="Arial"/>
          <w:sz w:val="24"/>
          <w:szCs w:val="24"/>
        </w:rPr>
        <w:t xml:space="preserve">also </w:t>
      </w:r>
      <w:r w:rsidR="004350AE" w:rsidRPr="00E02003">
        <w:rPr>
          <w:rFonts w:ascii="Arial" w:hAnsi="Arial" w:cs="Arial"/>
          <w:sz w:val="24"/>
          <w:szCs w:val="24"/>
        </w:rPr>
        <w:t xml:space="preserve">fails to address structural </w:t>
      </w:r>
      <w:r w:rsidR="00EF3D5F" w:rsidRPr="00E02003">
        <w:rPr>
          <w:rFonts w:ascii="Arial" w:hAnsi="Arial" w:cs="Arial"/>
          <w:sz w:val="24"/>
          <w:szCs w:val="24"/>
        </w:rPr>
        <w:t>reasons</w:t>
      </w:r>
      <w:r w:rsidR="004350AE" w:rsidRPr="00E02003">
        <w:rPr>
          <w:rFonts w:ascii="Arial" w:hAnsi="Arial" w:cs="Arial"/>
          <w:sz w:val="24"/>
          <w:szCs w:val="24"/>
        </w:rPr>
        <w:t xml:space="preserve"> </w:t>
      </w:r>
      <w:r w:rsidR="00EF3D5F" w:rsidRPr="00E02003">
        <w:rPr>
          <w:rFonts w:ascii="Arial" w:hAnsi="Arial" w:cs="Arial"/>
          <w:sz w:val="24"/>
          <w:szCs w:val="24"/>
        </w:rPr>
        <w:t>for</w:t>
      </w:r>
      <w:r w:rsidR="004350AE" w:rsidRPr="00E02003">
        <w:rPr>
          <w:rFonts w:ascii="Arial" w:hAnsi="Arial" w:cs="Arial"/>
          <w:sz w:val="24"/>
          <w:szCs w:val="24"/>
        </w:rPr>
        <w:t xml:space="preserve"> poverty.</w:t>
      </w:r>
      <w:r w:rsidR="004D778E" w:rsidRPr="00E02003">
        <w:rPr>
          <w:rFonts w:ascii="Arial" w:hAnsi="Arial" w:cs="Arial"/>
          <w:sz w:val="24"/>
          <w:szCs w:val="24"/>
        </w:rPr>
        <w:t xml:space="preserve"> </w:t>
      </w:r>
      <w:r w:rsidR="00955FD0">
        <w:rPr>
          <w:rFonts w:ascii="Arial" w:hAnsi="Arial" w:cs="Arial"/>
          <w:sz w:val="24"/>
          <w:szCs w:val="24"/>
        </w:rPr>
        <w:t>This is a glaring omission</w:t>
      </w:r>
      <w:r w:rsidR="004D778E" w:rsidRPr="00E02003">
        <w:rPr>
          <w:rFonts w:ascii="Arial" w:hAnsi="Arial" w:cs="Arial"/>
          <w:sz w:val="24"/>
          <w:szCs w:val="24"/>
        </w:rPr>
        <w:t xml:space="preserve"> </w:t>
      </w:r>
      <w:r w:rsidR="00955FD0">
        <w:rPr>
          <w:rFonts w:ascii="Arial" w:hAnsi="Arial" w:cs="Arial"/>
          <w:sz w:val="24"/>
          <w:szCs w:val="24"/>
        </w:rPr>
        <w:t>at a time when</w:t>
      </w:r>
      <w:r w:rsidR="00955FD0" w:rsidRPr="00E02003">
        <w:rPr>
          <w:rFonts w:ascii="Arial" w:hAnsi="Arial" w:cs="Arial"/>
          <w:sz w:val="24"/>
          <w:szCs w:val="24"/>
        </w:rPr>
        <w:t xml:space="preserve"> </w:t>
      </w:r>
      <w:r w:rsidR="004D778E" w:rsidRPr="00E02003">
        <w:rPr>
          <w:rFonts w:ascii="Arial" w:hAnsi="Arial" w:cs="Arial"/>
          <w:sz w:val="24"/>
          <w:szCs w:val="24"/>
        </w:rPr>
        <w:t>global economic forces profoundly affect domestic markets and the employment prospects of those who are impoverished</w:t>
      </w:r>
      <w:r w:rsidR="00EF3D5F" w:rsidRPr="00E02003">
        <w:rPr>
          <w:rFonts w:ascii="Arial" w:hAnsi="Arial" w:cs="Arial"/>
          <w:sz w:val="24"/>
          <w:szCs w:val="24"/>
        </w:rPr>
        <w:t>.</w:t>
      </w:r>
      <w:r w:rsidR="00EF3D5F" w:rsidRPr="00E02003">
        <w:rPr>
          <w:rStyle w:val="FootnoteReference"/>
          <w:rFonts w:ascii="Arial" w:hAnsi="Arial" w:cs="Arial"/>
          <w:sz w:val="24"/>
          <w:szCs w:val="24"/>
        </w:rPr>
        <w:footnoteReference w:id="64"/>
      </w:r>
      <w:r w:rsidR="00EF3D5F" w:rsidRPr="00E02003">
        <w:rPr>
          <w:rFonts w:ascii="Arial" w:hAnsi="Arial" w:cs="Arial"/>
          <w:sz w:val="24"/>
          <w:szCs w:val="24"/>
        </w:rPr>
        <w:t xml:space="preserve"> This is yet another reason why</w:t>
      </w:r>
      <w:r w:rsidR="004D778E" w:rsidRPr="00E02003">
        <w:rPr>
          <w:rFonts w:ascii="Arial" w:hAnsi="Arial" w:cs="Arial"/>
          <w:sz w:val="24"/>
          <w:szCs w:val="24"/>
        </w:rPr>
        <w:t xml:space="preserve"> the philosophical underpinnings of new paternalism </w:t>
      </w:r>
      <w:r w:rsidR="00EF3D5F" w:rsidRPr="00E02003">
        <w:rPr>
          <w:rFonts w:ascii="Arial" w:hAnsi="Arial" w:cs="Arial"/>
          <w:sz w:val="24"/>
          <w:szCs w:val="24"/>
        </w:rPr>
        <w:t xml:space="preserve">in the income management sphere </w:t>
      </w:r>
      <w:r w:rsidR="004D778E" w:rsidRPr="00E02003">
        <w:rPr>
          <w:rFonts w:ascii="Arial" w:hAnsi="Arial" w:cs="Arial"/>
          <w:sz w:val="24"/>
          <w:szCs w:val="24"/>
        </w:rPr>
        <w:t>must be questioned.</w:t>
      </w:r>
      <w:r w:rsidRPr="00E02003">
        <w:rPr>
          <w:rFonts w:ascii="Arial" w:hAnsi="Arial" w:cs="Arial"/>
          <w:sz w:val="24"/>
          <w:szCs w:val="24"/>
        </w:rPr>
        <w:t xml:space="preserve"> It is unjust that new paternalist policies give ‘conditional crumbs of comfort to the poor’,</w:t>
      </w:r>
      <w:r w:rsidRPr="00E02003">
        <w:rPr>
          <w:rStyle w:val="FootnoteReference"/>
          <w:rFonts w:ascii="Arial" w:hAnsi="Arial" w:cs="Arial"/>
          <w:sz w:val="24"/>
          <w:szCs w:val="24"/>
        </w:rPr>
        <w:footnoteReference w:id="65"/>
      </w:r>
      <w:r w:rsidRPr="00E02003">
        <w:rPr>
          <w:rFonts w:ascii="Arial" w:hAnsi="Arial" w:cs="Arial"/>
          <w:sz w:val="24"/>
          <w:szCs w:val="24"/>
        </w:rPr>
        <w:t xml:space="preserve"> whilst leaving structural causes of inequality untouched and under-examined.</w:t>
      </w:r>
      <w:r w:rsidR="001B5C9F" w:rsidRPr="00E02003">
        <w:rPr>
          <w:rFonts w:ascii="Arial" w:hAnsi="Arial" w:cs="Arial"/>
          <w:sz w:val="24"/>
          <w:szCs w:val="24"/>
        </w:rPr>
        <w:t xml:space="preserve"> As Guy </w:t>
      </w:r>
      <w:proofErr w:type="gramStart"/>
      <w:r w:rsidR="001B5C9F" w:rsidRPr="00E02003">
        <w:rPr>
          <w:rFonts w:ascii="Arial" w:hAnsi="Arial" w:cs="Arial"/>
          <w:sz w:val="24"/>
          <w:szCs w:val="24"/>
        </w:rPr>
        <w:t>Standing</w:t>
      </w:r>
      <w:proofErr w:type="gramEnd"/>
      <w:r w:rsidR="001B5C9F" w:rsidRPr="00E02003">
        <w:rPr>
          <w:rFonts w:ascii="Arial" w:hAnsi="Arial" w:cs="Arial"/>
          <w:sz w:val="24"/>
          <w:szCs w:val="24"/>
        </w:rPr>
        <w:t xml:space="preserve"> states:</w:t>
      </w:r>
    </w:p>
    <w:p w:rsidR="001B5C9F" w:rsidRPr="00E02003" w:rsidRDefault="001B5C9F" w:rsidP="00E02003">
      <w:pPr>
        <w:ind w:left="720"/>
        <w:jc w:val="both"/>
        <w:rPr>
          <w:rFonts w:ascii="Arial" w:hAnsi="Arial" w:cs="Arial"/>
          <w:sz w:val="24"/>
          <w:szCs w:val="24"/>
        </w:rPr>
      </w:pPr>
      <w:r w:rsidRPr="00E02003">
        <w:rPr>
          <w:rFonts w:ascii="Arial" w:hAnsi="Arial" w:cs="Arial"/>
          <w:sz w:val="24"/>
          <w:szCs w:val="24"/>
        </w:rPr>
        <w:t>If, as we should, we see unemployment as a mishap that is not the fault of individuals, we would wish to make the experience of unemployment as painless as possible, and neither stigmatizing nor humiliating. We would wish to provide a benefit to make dignified survival possible and provide services that people could use or not according to their perceived needs and aspirations. The trend away from that perspective must be reversed.</w:t>
      </w:r>
      <w:r w:rsidRPr="00E02003">
        <w:rPr>
          <w:rStyle w:val="FootnoteReference"/>
          <w:rFonts w:ascii="Arial" w:hAnsi="Arial" w:cs="Arial"/>
          <w:sz w:val="24"/>
          <w:szCs w:val="24"/>
        </w:rPr>
        <w:footnoteReference w:id="66"/>
      </w:r>
    </w:p>
    <w:p w:rsidR="00CA31E8" w:rsidRPr="00E02003" w:rsidRDefault="000624FA" w:rsidP="00E02003">
      <w:pPr>
        <w:jc w:val="both"/>
        <w:rPr>
          <w:rFonts w:ascii="Arial" w:hAnsi="Arial" w:cs="Arial"/>
          <w:sz w:val="24"/>
          <w:szCs w:val="24"/>
        </w:rPr>
      </w:pPr>
      <w:r w:rsidRPr="00E02003">
        <w:rPr>
          <w:rFonts w:ascii="Arial" w:hAnsi="Arial" w:cs="Arial"/>
          <w:sz w:val="24"/>
          <w:szCs w:val="24"/>
        </w:rPr>
        <w:t>What new paternalism and the contemporary income management system fail to acknowledge it that ‘the probability of becoming or remaining unemployed has become increasingly non-random. People with certain characteristics – lack of qualifications, age, gender, disability, race, etc. – have much higher probabilities than others.’</w:t>
      </w:r>
      <w:r w:rsidRPr="00E02003">
        <w:rPr>
          <w:rStyle w:val="FootnoteReference"/>
          <w:rFonts w:ascii="Arial" w:hAnsi="Arial" w:cs="Arial"/>
          <w:sz w:val="24"/>
          <w:szCs w:val="24"/>
        </w:rPr>
        <w:footnoteReference w:id="67"/>
      </w:r>
      <w:r w:rsidRPr="00E02003">
        <w:rPr>
          <w:rFonts w:ascii="Arial" w:hAnsi="Arial" w:cs="Arial"/>
          <w:sz w:val="24"/>
          <w:szCs w:val="24"/>
        </w:rPr>
        <w:t xml:space="preserve"> This means that those who have historically been most marginalised by society will be disproportionally reflected in compulsory income management categories, and this will lead to further negative impacts upon them. </w:t>
      </w:r>
      <w:r w:rsidR="00CA31E8" w:rsidRPr="00E02003">
        <w:rPr>
          <w:rFonts w:ascii="Arial" w:hAnsi="Arial" w:cs="Arial"/>
          <w:sz w:val="24"/>
          <w:szCs w:val="24"/>
        </w:rPr>
        <w:t>As Zoe Williams states, ‘[w]</w:t>
      </w:r>
      <w:proofErr w:type="spellStart"/>
      <w:r w:rsidR="00CA31E8" w:rsidRPr="00E02003">
        <w:rPr>
          <w:rFonts w:ascii="Arial" w:hAnsi="Arial" w:cs="Arial"/>
          <w:sz w:val="24"/>
          <w:szCs w:val="24"/>
        </w:rPr>
        <w:t>hen</w:t>
      </w:r>
      <w:proofErr w:type="spellEnd"/>
      <w:r w:rsidR="00CA31E8" w:rsidRPr="00E02003">
        <w:rPr>
          <w:rFonts w:ascii="Arial" w:hAnsi="Arial" w:cs="Arial"/>
          <w:sz w:val="24"/>
          <w:szCs w:val="24"/>
        </w:rPr>
        <w:t xml:space="preserve"> you relegate people to a world without money, you create a true underclass: a group whose privacy and autonomy are worth less than everyone else’s, who are stateless in a world made of shops.’</w:t>
      </w:r>
      <w:r w:rsidR="00CA31E8" w:rsidRPr="00E02003">
        <w:rPr>
          <w:rStyle w:val="FootnoteReference"/>
          <w:rFonts w:ascii="Arial" w:hAnsi="Arial" w:cs="Arial"/>
          <w:sz w:val="24"/>
          <w:szCs w:val="24"/>
        </w:rPr>
        <w:footnoteReference w:id="68"/>
      </w:r>
    </w:p>
    <w:p w:rsidR="00053349" w:rsidRDefault="00053349" w:rsidP="00053349">
      <w:pPr>
        <w:pStyle w:val="ListParagraph"/>
        <w:jc w:val="both"/>
        <w:rPr>
          <w:rFonts w:ascii="Arial" w:hAnsi="Arial" w:cs="Arial"/>
          <w:b/>
          <w:sz w:val="24"/>
          <w:szCs w:val="24"/>
        </w:rPr>
      </w:pPr>
    </w:p>
    <w:p w:rsidR="00BA61D0" w:rsidRDefault="00BA61D0" w:rsidP="00053349">
      <w:pPr>
        <w:pStyle w:val="ListParagraph"/>
        <w:jc w:val="both"/>
        <w:rPr>
          <w:rFonts w:ascii="Arial" w:hAnsi="Arial" w:cs="Arial"/>
          <w:b/>
          <w:sz w:val="24"/>
          <w:szCs w:val="24"/>
        </w:rPr>
      </w:pPr>
    </w:p>
    <w:p w:rsidR="00BA61D0" w:rsidRDefault="00BA61D0" w:rsidP="00053349">
      <w:pPr>
        <w:pStyle w:val="ListParagraph"/>
        <w:jc w:val="both"/>
        <w:rPr>
          <w:rFonts w:ascii="Arial" w:hAnsi="Arial" w:cs="Arial"/>
          <w:b/>
          <w:sz w:val="24"/>
          <w:szCs w:val="24"/>
        </w:rPr>
      </w:pPr>
    </w:p>
    <w:p w:rsidR="00DF5E7A" w:rsidRPr="00DF5E7A" w:rsidRDefault="00DF5E7A" w:rsidP="00DF5E7A">
      <w:pPr>
        <w:pStyle w:val="ListParagraph"/>
        <w:numPr>
          <w:ilvl w:val="0"/>
          <w:numId w:val="11"/>
        </w:numPr>
        <w:jc w:val="both"/>
        <w:rPr>
          <w:rFonts w:ascii="Arial" w:hAnsi="Arial" w:cs="Arial"/>
          <w:b/>
          <w:sz w:val="24"/>
          <w:szCs w:val="24"/>
        </w:rPr>
      </w:pPr>
      <w:r w:rsidRPr="00DF5E7A">
        <w:rPr>
          <w:rFonts w:ascii="Arial" w:hAnsi="Arial" w:cs="Arial"/>
          <w:b/>
          <w:sz w:val="24"/>
          <w:szCs w:val="24"/>
        </w:rPr>
        <w:lastRenderedPageBreak/>
        <w:t>Problems with proposed sanctions and greater government coercion advocated by the McClure Report</w:t>
      </w:r>
    </w:p>
    <w:p w:rsidR="009D3652" w:rsidRPr="00E02003" w:rsidRDefault="009D3652" w:rsidP="00E02003">
      <w:pPr>
        <w:jc w:val="both"/>
        <w:rPr>
          <w:rFonts w:ascii="Arial" w:hAnsi="Arial" w:cs="Arial"/>
          <w:sz w:val="24"/>
          <w:szCs w:val="24"/>
        </w:rPr>
      </w:pPr>
      <w:r w:rsidRPr="00E02003">
        <w:rPr>
          <w:rFonts w:ascii="Arial" w:hAnsi="Arial" w:cs="Arial"/>
          <w:sz w:val="24"/>
          <w:szCs w:val="24"/>
        </w:rPr>
        <w:t>The Mc</w:t>
      </w:r>
      <w:r w:rsidR="001D6F27">
        <w:rPr>
          <w:rFonts w:ascii="Arial" w:hAnsi="Arial" w:cs="Arial"/>
          <w:sz w:val="24"/>
          <w:szCs w:val="24"/>
        </w:rPr>
        <w:t>Cl</w:t>
      </w:r>
      <w:r w:rsidRPr="00E02003">
        <w:rPr>
          <w:rFonts w:ascii="Arial" w:hAnsi="Arial" w:cs="Arial"/>
          <w:sz w:val="24"/>
          <w:szCs w:val="24"/>
        </w:rPr>
        <w:t>ure Report employs the new paternalist rhetoric of ‘mutual obligations’.</w:t>
      </w:r>
      <w:r w:rsidRPr="00E02003">
        <w:rPr>
          <w:rStyle w:val="FootnoteReference"/>
          <w:rFonts w:ascii="Arial" w:hAnsi="Arial" w:cs="Arial"/>
          <w:sz w:val="24"/>
          <w:szCs w:val="24"/>
        </w:rPr>
        <w:footnoteReference w:id="69"/>
      </w:r>
      <w:r w:rsidRPr="00E02003">
        <w:rPr>
          <w:rFonts w:ascii="Arial" w:hAnsi="Arial" w:cs="Arial"/>
          <w:sz w:val="24"/>
          <w:szCs w:val="24"/>
        </w:rPr>
        <w:t xml:space="preserve"> Although it claims that this promotes ‘norms and behaviours that benefit individuals, families and communities’,</w:t>
      </w:r>
      <w:r w:rsidRPr="00E02003">
        <w:rPr>
          <w:rStyle w:val="FootnoteReference"/>
          <w:rFonts w:ascii="Arial" w:hAnsi="Arial" w:cs="Arial"/>
          <w:sz w:val="24"/>
          <w:szCs w:val="24"/>
        </w:rPr>
        <w:footnoteReference w:id="70"/>
      </w:r>
      <w:r w:rsidRPr="00E02003">
        <w:rPr>
          <w:rFonts w:ascii="Arial" w:hAnsi="Arial" w:cs="Arial"/>
          <w:sz w:val="24"/>
          <w:szCs w:val="24"/>
        </w:rPr>
        <w:t xml:space="preserve"> what this means in practice is </w:t>
      </w:r>
      <w:r w:rsidR="00955FD0">
        <w:rPr>
          <w:rFonts w:ascii="Arial" w:hAnsi="Arial" w:cs="Arial"/>
          <w:sz w:val="24"/>
          <w:szCs w:val="24"/>
        </w:rPr>
        <w:t>s</w:t>
      </w:r>
      <w:r w:rsidRPr="00E02003">
        <w:rPr>
          <w:rFonts w:ascii="Arial" w:hAnsi="Arial" w:cs="Arial"/>
          <w:sz w:val="24"/>
          <w:szCs w:val="24"/>
        </w:rPr>
        <w:t>tate</w:t>
      </w:r>
      <w:r w:rsidR="00955FD0">
        <w:rPr>
          <w:rFonts w:ascii="Arial" w:hAnsi="Arial" w:cs="Arial"/>
          <w:sz w:val="24"/>
          <w:szCs w:val="24"/>
        </w:rPr>
        <w:t>-</w:t>
      </w:r>
      <w:r w:rsidRPr="00E02003">
        <w:rPr>
          <w:rFonts w:ascii="Arial" w:hAnsi="Arial" w:cs="Arial"/>
          <w:sz w:val="24"/>
          <w:szCs w:val="24"/>
        </w:rPr>
        <w:t>sanctioned coercion of the most economical</w:t>
      </w:r>
      <w:r w:rsidR="00E02003">
        <w:rPr>
          <w:rFonts w:ascii="Arial" w:hAnsi="Arial" w:cs="Arial"/>
          <w:sz w:val="24"/>
          <w:szCs w:val="24"/>
        </w:rPr>
        <w:t xml:space="preserve">ly </w:t>
      </w:r>
      <w:r w:rsidR="00955FD0">
        <w:rPr>
          <w:rFonts w:ascii="Arial" w:hAnsi="Arial" w:cs="Arial"/>
          <w:sz w:val="24"/>
          <w:szCs w:val="24"/>
        </w:rPr>
        <w:t xml:space="preserve">and politically </w:t>
      </w:r>
      <w:r w:rsidR="00E02003">
        <w:rPr>
          <w:rFonts w:ascii="Arial" w:hAnsi="Arial" w:cs="Arial"/>
          <w:sz w:val="24"/>
          <w:szCs w:val="24"/>
        </w:rPr>
        <w:t>marginalis</w:t>
      </w:r>
      <w:r w:rsidRPr="00E02003">
        <w:rPr>
          <w:rFonts w:ascii="Arial" w:hAnsi="Arial" w:cs="Arial"/>
          <w:sz w:val="24"/>
          <w:szCs w:val="24"/>
        </w:rPr>
        <w:t xml:space="preserve">ed. </w:t>
      </w:r>
      <w:r w:rsidR="002747C0" w:rsidRPr="00E02003">
        <w:rPr>
          <w:rFonts w:ascii="Arial" w:hAnsi="Arial" w:cs="Arial"/>
          <w:sz w:val="24"/>
          <w:szCs w:val="24"/>
        </w:rPr>
        <w:t xml:space="preserve">This is unmerited punishment for the poor. </w:t>
      </w:r>
      <w:r w:rsidRPr="00E02003">
        <w:rPr>
          <w:rFonts w:ascii="Arial" w:hAnsi="Arial" w:cs="Arial"/>
          <w:sz w:val="24"/>
          <w:szCs w:val="24"/>
        </w:rPr>
        <w:t>The Report advocates more sanctions for welfare recipients, stating:</w:t>
      </w:r>
    </w:p>
    <w:p w:rsidR="009D3652" w:rsidRPr="00E02003" w:rsidRDefault="009D3652" w:rsidP="00E02003">
      <w:pPr>
        <w:ind w:left="720"/>
        <w:jc w:val="both"/>
        <w:rPr>
          <w:rFonts w:ascii="Arial" w:hAnsi="Arial" w:cs="Arial"/>
          <w:sz w:val="24"/>
          <w:szCs w:val="24"/>
        </w:rPr>
      </w:pPr>
      <w:r w:rsidRPr="00E02003">
        <w:rPr>
          <w:rFonts w:ascii="Arial" w:hAnsi="Arial" w:cs="Arial"/>
          <w:sz w:val="24"/>
          <w:szCs w:val="24"/>
        </w:rPr>
        <w:t>Participation requirements should be accompanied by an appropriate and effective compliance framework. The current lag between non-compliance and the imposition of sanctions has been criticised for making the system ineffective. Effectiveness might be improved by giving employment service providers greater management of sanctions, including suspension and penalties.</w:t>
      </w:r>
      <w:r w:rsidRPr="00E02003">
        <w:rPr>
          <w:rStyle w:val="FootnoteReference"/>
          <w:rFonts w:ascii="Arial" w:hAnsi="Arial" w:cs="Arial"/>
          <w:sz w:val="24"/>
          <w:szCs w:val="24"/>
        </w:rPr>
        <w:footnoteReference w:id="71"/>
      </w:r>
    </w:p>
    <w:p w:rsidR="009D3652" w:rsidRPr="00E02003" w:rsidRDefault="009D3652" w:rsidP="00E02003">
      <w:pPr>
        <w:jc w:val="both"/>
        <w:rPr>
          <w:rFonts w:ascii="Arial" w:hAnsi="Arial" w:cs="Arial"/>
          <w:sz w:val="24"/>
          <w:szCs w:val="24"/>
        </w:rPr>
      </w:pPr>
      <w:r w:rsidRPr="00E02003">
        <w:rPr>
          <w:rFonts w:ascii="Arial" w:hAnsi="Arial" w:cs="Arial"/>
          <w:sz w:val="24"/>
          <w:szCs w:val="24"/>
        </w:rPr>
        <w:t>This would involve travelling in the same misguided direction as the United States.</w:t>
      </w:r>
      <w:r w:rsidR="004D631D">
        <w:rPr>
          <w:rFonts w:ascii="Arial" w:hAnsi="Arial" w:cs="Arial"/>
          <w:sz w:val="24"/>
          <w:szCs w:val="24"/>
        </w:rPr>
        <w:t xml:space="preserve"> </w:t>
      </w:r>
      <w:r w:rsidR="004D631D" w:rsidRPr="004D631D">
        <w:rPr>
          <w:rFonts w:ascii="Arial" w:hAnsi="Arial" w:cs="Arial"/>
          <w:sz w:val="24"/>
          <w:szCs w:val="24"/>
        </w:rPr>
        <w:t xml:space="preserve">As </w:t>
      </w:r>
      <w:proofErr w:type="spellStart"/>
      <w:r w:rsidR="004D631D" w:rsidRPr="004D631D">
        <w:rPr>
          <w:rFonts w:ascii="Arial" w:hAnsi="Arial" w:cs="Arial"/>
          <w:sz w:val="24"/>
          <w:szCs w:val="24"/>
        </w:rPr>
        <w:t>Loic</w:t>
      </w:r>
      <w:proofErr w:type="spellEnd"/>
      <w:r w:rsidR="004D631D" w:rsidRPr="004D631D">
        <w:rPr>
          <w:rFonts w:ascii="Arial" w:hAnsi="Arial" w:cs="Arial"/>
          <w:sz w:val="24"/>
          <w:szCs w:val="24"/>
        </w:rPr>
        <w:t xml:space="preserve"> </w:t>
      </w:r>
      <w:proofErr w:type="spellStart"/>
      <w:r w:rsidR="004D631D" w:rsidRPr="004D631D">
        <w:rPr>
          <w:rFonts w:ascii="Arial" w:hAnsi="Arial" w:cs="Arial"/>
          <w:sz w:val="24"/>
          <w:szCs w:val="24"/>
        </w:rPr>
        <w:t>Wacquant</w:t>
      </w:r>
      <w:proofErr w:type="spellEnd"/>
      <w:r w:rsidR="004D631D" w:rsidRPr="004D631D">
        <w:rPr>
          <w:rFonts w:ascii="Arial" w:hAnsi="Arial" w:cs="Arial"/>
          <w:sz w:val="24"/>
          <w:szCs w:val="24"/>
        </w:rPr>
        <w:t xml:space="preserve"> </w:t>
      </w:r>
      <w:r w:rsidR="008D16AA">
        <w:rPr>
          <w:rFonts w:ascii="Arial" w:hAnsi="Arial" w:cs="Arial"/>
          <w:sz w:val="24"/>
          <w:szCs w:val="24"/>
        </w:rPr>
        <w:t>makes clear</w:t>
      </w:r>
      <w:r w:rsidR="004D631D" w:rsidRPr="004D631D">
        <w:rPr>
          <w:rFonts w:ascii="Arial" w:hAnsi="Arial" w:cs="Arial"/>
          <w:sz w:val="24"/>
          <w:szCs w:val="24"/>
        </w:rPr>
        <w:t>, this sort of system seeks to construct a ‘sacred border between commendable citizens and deviant categories, the “deserving” and the “undeserving” poor’.</w:t>
      </w:r>
      <w:r w:rsidR="004D631D" w:rsidRPr="004D631D">
        <w:rPr>
          <w:rStyle w:val="FootnoteReference"/>
          <w:rFonts w:ascii="Arial" w:hAnsi="Arial" w:cs="Arial"/>
          <w:sz w:val="24"/>
          <w:szCs w:val="24"/>
        </w:rPr>
        <w:footnoteReference w:id="72"/>
      </w:r>
      <w:r w:rsidR="004D631D" w:rsidRPr="004D631D">
        <w:rPr>
          <w:rFonts w:ascii="Arial" w:hAnsi="Arial" w:cs="Arial"/>
          <w:sz w:val="24"/>
          <w:szCs w:val="24"/>
        </w:rPr>
        <w:t xml:space="preserve"> </w:t>
      </w:r>
      <w:r w:rsidR="00DF47D6">
        <w:rPr>
          <w:rFonts w:ascii="Arial" w:hAnsi="Arial" w:cs="Arial"/>
          <w:sz w:val="24"/>
          <w:szCs w:val="24"/>
        </w:rPr>
        <w:t xml:space="preserve">In critiquing similar welfare reforms in the US, </w:t>
      </w:r>
      <w:proofErr w:type="spellStart"/>
      <w:r w:rsidR="003F4FAE" w:rsidRPr="004D631D">
        <w:rPr>
          <w:rFonts w:ascii="Arial" w:hAnsi="Arial" w:cs="Arial"/>
          <w:sz w:val="24"/>
          <w:szCs w:val="24"/>
        </w:rPr>
        <w:t>Wacquant</w:t>
      </w:r>
      <w:proofErr w:type="spellEnd"/>
      <w:r w:rsidR="003F4FAE" w:rsidRPr="004D631D">
        <w:rPr>
          <w:rFonts w:ascii="Arial" w:hAnsi="Arial" w:cs="Arial"/>
          <w:sz w:val="24"/>
          <w:szCs w:val="24"/>
        </w:rPr>
        <w:t xml:space="preserve"> </w:t>
      </w:r>
      <w:r w:rsidR="003F4FAE">
        <w:rPr>
          <w:rFonts w:ascii="Arial" w:hAnsi="Arial" w:cs="Arial"/>
          <w:sz w:val="24"/>
          <w:szCs w:val="24"/>
        </w:rPr>
        <w:t>has written eloquently about ‘the colossal social cost and the irreversible debasement of the ideals of freedom and equality implied in the criminalization of social insecurity.’</w:t>
      </w:r>
      <w:r w:rsidR="00BE2500">
        <w:rPr>
          <w:rStyle w:val="FootnoteReference"/>
          <w:rFonts w:ascii="Arial" w:hAnsi="Arial" w:cs="Arial"/>
          <w:sz w:val="24"/>
          <w:szCs w:val="24"/>
        </w:rPr>
        <w:footnoteReference w:id="73"/>
      </w:r>
      <w:r w:rsidR="003F4FAE">
        <w:rPr>
          <w:rFonts w:ascii="Arial" w:hAnsi="Arial" w:cs="Arial"/>
          <w:sz w:val="24"/>
          <w:szCs w:val="24"/>
        </w:rPr>
        <w:t xml:space="preserve"> </w:t>
      </w:r>
      <w:r w:rsidR="004D631D" w:rsidRPr="004D631D">
        <w:rPr>
          <w:rFonts w:ascii="Arial" w:hAnsi="Arial" w:cs="Arial"/>
          <w:sz w:val="24"/>
          <w:szCs w:val="24"/>
        </w:rPr>
        <w:t xml:space="preserve">To </w:t>
      </w:r>
      <w:r w:rsidR="005E3967">
        <w:rPr>
          <w:rFonts w:ascii="Arial" w:hAnsi="Arial" w:cs="Arial"/>
          <w:sz w:val="24"/>
          <w:szCs w:val="24"/>
        </w:rPr>
        <w:t>impose</w:t>
      </w:r>
      <w:r w:rsidR="004D631D" w:rsidRPr="004D631D">
        <w:rPr>
          <w:rFonts w:ascii="Arial" w:hAnsi="Arial" w:cs="Arial"/>
          <w:sz w:val="24"/>
          <w:szCs w:val="24"/>
        </w:rPr>
        <w:t xml:space="preserve"> sanctions and penalties</w:t>
      </w:r>
      <w:r w:rsidR="005E3967">
        <w:rPr>
          <w:rFonts w:ascii="Arial" w:hAnsi="Arial" w:cs="Arial"/>
          <w:sz w:val="24"/>
          <w:szCs w:val="24"/>
        </w:rPr>
        <w:t xml:space="preserve"> upon those who are economically marginalised</w:t>
      </w:r>
      <w:r w:rsidR="004D631D" w:rsidRPr="004D631D">
        <w:rPr>
          <w:rFonts w:ascii="Arial" w:hAnsi="Arial" w:cs="Arial"/>
          <w:sz w:val="24"/>
          <w:szCs w:val="24"/>
        </w:rPr>
        <w:t xml:space="preserve"> is</w:t>
      </w:r>
      <w:r w:rsidR="004D631D">
        <w:t xml:space="preserve"> </w:t>
      </w:r>
      <w:r w:rsidRPr="00E02003">
        <w:rPr>
          <w:rFonts w:ascii="Arial" w:hAnsi="Arial" w:cs="Arial"/>
          <w:sz w:val="24"/>
          <w:szCs w:val="24"/>
        </w:rPr>
        <w:t>a socially unjust course which unnecessarily bloats the bureaucratic infrastructure at the expense of providing more constructive services to those in need. It consumes scarce resources based upon an unproven assumption that welfare recipients are untrustworthy/deviant subjects who require constant paternalistic oversight. The Mc</w:t>
      </w:r>
      <w:r w:rsidR="001D6F27">
        <w:rPr>
          <w:rFonts w:ascii="Arial" w:hAnsi="Arial" w:cs="Arial"/>
          <w:sz w:val="24"/>
          <w:szCs w:val="24"/>
        </w:rPr>
        <w:t>Cl</w:t>
      </w:r>
      <w:r w:rsidRPr="00E02003">
        <w:rPr>
          <w:rFonts w:ascii="Arial" w:hAnsi="Arial" w:cs="Arial"/>
          <w:sz w:val="24"/>
          <w:szCs w:val="24"/>
        </w:rPr>
        <w:t>ure Report claims to be about ‘moving towards … rules which provide appropriate rewards for work.’</w:t>
      </w:r>
      <w:r w:rsidRPr="00E02003">
        <w:rPr>
          <w:rStyle w:val="FootnoteReference"/>
          <w:rFonts w:ascii="Arial" w:hAnsi="Arial" w:cs="Arial"/>
          <w:sz w:val="24"/>
          <w:szCs w:val="24"/>
        </w:rPr>
        <w:footnoteReference w:id="74"/>
      </w:r>
      <w:r w:rsidRPr="00E02003">
        <w:rPr>
          <w:rFonts w:ascii="Arial" w:hAnsi="Arial" w:cs="Arial"/>
          <w:sz w:val="24"/>
          <w:szCs w:val="24"/>
        </w:rPr>
        <w:t xml:space="preserve"> </w:t>
      </w:r>
      <w:r w:rsidR="00807EC5">
        <w:rPr>
          <w:rFonts w:ascii="Arial" w:hAnsi="Arial" w:cs="Arial"/>
          <w:sz w:val="24"/>
          <w:szCs w:val="24"/>
        </w:rPr>
        <w:t xml:space="preserve">However, </w:t>
      </w:r>
      <w:r w:rsidRPr="00E02003">
        <w:rPr>
          <w:rFonts w:ascii="Arial" w:hAnsi="Arial" w:cs="Arial"/>
          <w:sz w:val="24"/>
          <w:szCs w:val="24"/>
        </w:rPr>
        <w:t>th</w:t>
      </w:r>
      <w:r w:rsidR="00807EC5">
        <w:rPr>
          <w:rFonts w:ascii="Arial" w:hAnsi="Arial" w:cs="Arial"/>
          <w:sz w:val="24"/>
          <w:szCs w:val="24"/>
        </w:rPr>
        <w:t>e</w:t>
      </w:r>
      <w:r w:rsidRPr="00E02003">
        <w:rPr>
          <w:rFonts w:ascii="Arial" w:hAnsi="Arial" w:cs="Arial"/>
          <w:sz w:val="24"/>
          <w:szCs w:val="24"/>
        </w:rPr>
        <w:t xml:space="preserve"> proposed s</w:t>
      </w:r>
      <w:r w:rsidR="009B5533">
        <w:rPr>
          <w:rFonts w:ascii="Arial" w:hAnsi="Arial" w:cs="Arial"/>
          <w:sz w:val="24"/>
          <w:szCs w:val="24"/>
        </w:rPr>
        <w:t>ystem does not merely do that—</w:t>
      </w:r>
      <w:r w:rsidRPr="00E02003">
        <w:rPr>
          <w:rFonts w:ascii="Arial" w:hAnsi="Arial" w:cs="Arial"/>
          <w:sz w:val="24"/>
          <w:szCs w:val="24"/>
        </w:rPr>
        <w:t xml:space="preserve">it imposes stigmatising and impoverishing punishments for </w:t>
      </w:r>
      <w:r w:rsidRPr="00E02003">
        <w:rPr>
          <w:rFonts w:ascii="Arial" w:hAnsi="Arial" w:cs="Arial"/>
          <w:sz w:val="24"/>
          <w:szCs w:val="24"/>
        </w:rPr>
        <w:lastRenderedPageBreak/>
        <w:t xml:space="preserve">those who </w:t>
      </w:r>
      <w:r w:rsidR="00807EC5">
        <w:rPr>
          <w:rFonts w:ascii="Arial" w:hAnsi="Arial" w:cs="Arial"/>
          <w:sz w:val="24"/>
          <w:szCs w:val="24"/>
        </w:rPr>
        <w:t>are not employed</w:t>
      </w:r>
      <w:r w:rsidRPr="00E02003">
        <w:rPr>
          <w:rFonts w:ascii="Arial" w:hAnsi="Arial" w:cs="Arial"/>
          <w:sz w:val="24"/>
          <w:szCs w:val="24"/>
        </w:rPr>
        <w:t>.</w:t>
      </w:r>
      <w:r w:rsidRPr="00E02003">
        <w:rPr>
          <w:rStyle w:val="FootnoteReference"/>
          <w:rFonts w:ascii="Arial" w:hAnsi="Arial" w:cs="Arial"/>
          <w:sz w:val="24"/>
          <w:szCs w:val="24"/>
        </w:rPr>
        <w:footnoteReference w:id="75"/>
      </w:r>
      <w:r w:rsidRPr="00E02003">
        <w:rPr>
          <w:rFonts w:ascii="Arial" w:hAnsi="Arial" w:cs="Arial"/>
          <w:sz w:val="24"/>
          <w:szCs w:val="24"/>
        </w:rPr>
        <w:t xml:space="preserve"> That is a substantially different thing from encouraging people to work. The imposition of welfare ‘conditionality is not the same as encouragement’, and to suggest otherwise perpetuate</w:t>
      </w:r>
      <w:r w:rsidR="00A10F22" w:rsidRPr="00E02003">
        <w:rPr>
          <w:rFonts w:ascii="Arial" w:hAnsi="Arial" w:cs="Arial"/>
          <w:sz w:val="24"/>
          <w:szCs w:val="24"/>
        </w:rPr>
        <w:t>s</w:t>
      </w:r>
      <w:r w:rsidRPr="00E02003">
        <w:rPr>
          <w:rFonts w:ascii="Arial" w:hAnsi="Arial" w:cs="Arial"/>
          <w:sz w:val="24"/>
          <w:szCs w:val="24"/>
        </w:rPr>
        <w:t xml:space="preserve"> a falsehood </w:t>
      </w:r>
      <w:r w:rsidR="00C9237D" w:rsidRPr="00E02003">
        <w:rPr>
          <w:rFonts w:ascii="Arial" w:hAnsi="Arial" w:cs="Arial"/>
          <w:sz w:val="24"/>
          <w:szCs w:val="24"/>
        </w:rPr>
        <w:t>that will</w:t>
      </w:r>
      <w:r w:rsidRPr="00E02003">
        <w:rPr>
          <w:rFonts w:ascii="Arial" w:hAnsi="Arial" w:cs="Arial"/>
          <w:sz w:val="24"/>
          <w:szCs w:val="24"/>
        </w:rPr>
        <w:t xml:space="preserve"> further disadvantage those already experiencing </w:t>
      </w:r>
      <w:r w:rsidR="00314C0E" w:rsidRPr="00E02003">
        <w:rPr>
          <w:rFonts w:ascii="Arial" w:hAnsi="Arial" w:cs="Arial"/>
          <w:sz w:val="24"/>
          <w:szCs w:val="24"/>
        </w:rPr>
        <w:t>grave difficulties.</w:t>
      </w:r>
      <w:r w:rsidRPr="00E02003">
        <w:rPr>
          <w:rStyle w:val="FootnoteReference"/>
          <w:rFonts w:ascii="Arial" w:hAnsi="Arial" w:cs="Arial"/>
          <w:sz w:val="24"/>
          <w:szCs w:val="24"/>
        </w:rPr>
        <w:footnoteReference w:id="76"/>
      </w:r>
    </w:p>
    <w:p w:rsidR="001F1235" w:rsidRPr="00E02003" w:rsidRDefault="00CA31E8" w:rsidP="00E02003">
      <w:pPr>
        <w:jc w:val="both"/>
        <w:rPr>
          <w:rFonts w:ascii="Arial" w:hAnsi="Arial" w:cs="Arial"/>
          <w:b/>
          <w:sz w:val="24"/>
          <w:szCs w:val="24"/>
        </w:rPr>
      </w:pPr>
      <w:r w:rsidRPr="00E02003">
        <w:rPr>
          <w:rFonts w:ascii="Arial" w:hAnsi="Arial" w:cs="Arial"/>
          <w:b/>
          <w:sz w:val="24"/>
          <w:szCs w:val="24"/>
        </w:rPr>
        <w:t>Conclusion</w:t>
      </w:r>
    </w:p>
    <w:p w:rsidR="00053349" w:rsidRDefault="00D77E22" w:rsidP="00E02003">
      <w:pPr>
        <w:jc w:val="both"/>
        <w:rPr>
          <w:rFonts w:ascii="Arial" w:hAnsi="Arial" w:cs="Arial"/>
          <w:sz w:val="24"/>
          <w:szCs w:val="24"/>
        </w:rPr>
      </w:pPr>
      <w:r w:rsidRPr="00BC7B3B">
        <w:rPr>
          <w:rFonts w:ascii="Arial" w:hAnsi="Arial" w:cs="Arial"/>
          <w:sz w:val="24"/>
          <w:szCs w:val="24"/>
        </w:rPr>
        <w:t>The McClure report claims the role of government includes ensuring that ‘taxpayer funds are well targeted.’</w:t>
      </w:r>
      <w:r w:rsidRPr="00BC7B3B">
        <w:rPr>
          <w:rStyle w:val="FootnoteReference"/>
          <w:rFonts w:ascii="Arial" w:hAnsi="Arial" w:cs="Arial"/>
          <w:sz w:val="24"/>
          <w:szCs w:val="24"/>
        </w:rPr>
        <w:footnoteReference w:id="77"/>
      </w:r>
      <w:r w:rsidRPr="00BC7B3B">
        <w:rPr>
          <w:rFonts w:ascii="Arial" w:hAnsi="Arial" w:cs="Arial"/>
          <w:sz w:val="24"/>
          <w:szCs w:val="24"/>
        </w:rPr>
        <w:t xml:space="preserve"> However, this remains questionable in the compu</w:t>
      </w:r>
      <w:r w:rsidR="00A3603B">
        <w:rPr>
          <w:rFonts w:ascii="Arial" w:hAnsi="Arial" w:cs="Arial"/>
          <w:sz w:val="24"/>
          <w:szCs w:val="24"/>
        </w:rPr>
        <w:t>lsory income management context</w:t>
      </w:r>
      <w:r w:rsidRPr="00BC7B3B">
        <w:rPr>
          <w:rFonts w:ascii="Arial" w:hAnsi="Arial" w:cs="Arial"/>
          <w:sz w:val="24"/>
          <w:szCs w:val="24"/>
        </w:rPr>
        <w:t xml:space="preserve"> given the lack of convincing evidence to justify the </w:t>
      </w:r>
      <w:r w:rsidRPr="00172787">
        <w:rPr>
          <w:rFonts w:ascii="Arial" w:hAnsi="Arial" w:cs="Arial"/>
          <w:sz w:val="24"/>
          <w:szCs w:val="24"/>
        </w:rPr>
        <w:t>continuation of the scheme</w:t>
      </w:r>
      <w:r w:rsidR="009B5533" w:rsidRPr="00172787">
        <w:rPr>
          <w:rFonts w:ascii="Arial" w:hAnsi="Arial" w:cs="Arial"/>
          <w:sz w:val="24"/>
          <w:szCs w:val="24"/>
        </w:rPr>
        <w:t xml:space="preserve"> and its extraordinary administrative cost</w:t>
      </w:r>
      <w:r w:rsidRPr="00172787">
        <w:rPr>
          <w:rFonts w:ascii="Arial" w:hAnsi="Arial" w:cs="Arial"/>
          <w:sz w:val="24"/>
          <w:szCs w:val="24"/>
        </w:rPr>
        <w:t>.</w:t>
      </w:r>
      <w:r w:rsidR="00CC0C81" w:rsidRPr="00172787">
        <w:rPr>
          <w:rFonts w:ascii="Arial" w:hAnsi="Arial" w:cs="Arial"/>
          <w:sz w:val="24"/>
          <w:szCs w:val="24"/>
        </w:rPr>
        <w:t xml:space="preserve"> The estimated cost of income management is ‘$1 billion’ between ‘2005-06 to 2014-15’.</w:t>
      </w:r>
      <w:r w:rsidR="00CC0C81" w:rsidRPr="00172787">
        <w:rPr>
          <w:rStyle w:val="FootnoteReference"/>
          <w:rFonts w:ascii="Arial" w:hAnsi="Arial" w:cs="Arial"/>
          <w:sz w:val="24"/>
          <w:szCs w:val="24"/>
        </w:rPr>
        <w:footnoteReference w:id="78"/>
      </w:r>
      <w:r w:rsidR="00CC0C81" w:rsidRPr="00172787">
        <w:rPr>
          <w:rFonts w:ascii="Arial" w:hAnsi="Arial" w:cs="Arial"/>
          <w:sz w:val="24"/>
          <w:szCs w:val="24"/>
        </w:rPr>
        <w:t xml:space="preserve"> </w:t>
      </w:r>
      <w:r w:rsidR="00A12B35">
        <w:rPr>
          <w:rFonts w:ascii="Arial" w:hAnsi="Arial" w:cs="Arial"/>
          <w:sz w:val="24"/>
          <w:szCs w:val="24"/>
        </w:rPr>
        <w:t>I</w:t>
      </w:r>
      <w:r w:rsidR="00172787" w:rsidRPr="00172787">
        <w:rPr>
          <w:rFonts w:ascii="Arial" w:hAnsi="Arial" w:cs="Arial"/>
          <w:sz w:val="24"/>
          <w:szCs w:val="24"/>
        </w:rPr>
        <w:t xml:space="preserve">ncome management for welfare recipients living in remote areas </w:t>
      </w:r>
      <w:r w:rsidR="00A12B35">
        <w:rPr>
          <w:rFonts w:ascii="Arial" w:hAnsi="Arial" w:cs="Arial"/>
          <w:sz w:val="24"/>
          <w:szCs w:val="24"/>
        </w:rPr>
        <w:t xml:space="preserve">has been estimated to cost </w:t>
      </w:r>
      <w:r w:rsidR="00172787" w:rsidRPr="00172787">
        <w:rPr>
          <w:rFonts w:ascii="Arial" w:hAnsi="Arial" w:cs="Arial"/>
          <w:sz w:val="24"/>
          <w:szCs w:val="24"/>
        </w:rPr>
        <w:t>approximately ‘$6600 to $7900 per annum’,</w:t>
      </w:r>
      <w:r w:rsidR="00172787" w:rsidRPr="00172787">
        <w:rPr>
          <w:rStyle w:val="FootnoteReference"/>
          <w:rFonts w:ascii="Arial" w:hAnsi="Arial" w:cs="Arial"/>
          <w:sz w:val="24"/>
          <w:szCs w:val="24"/>
        </w:rPr>
        <w:footnoteReference w:id="79"/>
      </w:r>
      <w:r w:rsidR="00172787" w:rsidRPr="00172787">
        <w:rPr>
          <w:rFonts w:ascii="Arial" w:hAnsi="Arial" w:cs="Arial"/>
          <w:sz w:val="24"/>
          <w:szCs w:val="24"/>
        </w:rPr>
        <w:t xml:space="preserve"> which is ‘equal to 62 per cent of the $246-a-week </w:t>
      </w:r>
      <w:proofErr w:type="spellStart"/>
      <w:r w:rsidR="00172787" w:rsidRPr="00172787">
        <w:rPr>
          <w:rFonts w:ascii="Arial" w:hAnsi="Arial" w:cs="Arial"/>
          <w:sz w:val="24"/>
          <w:szCs w:val="24"/>
        </w:rPr>
        <w:t>Newstart</w:t>
      </w:r>
      <w:proofErr w:type="spellEnd"/>
      <w:r w:rsidR="00172787" w:rsidRPr="00172787">
        <w:rPr>
          <w:rFonts w:ascii="Arial" w:hAnsi="Arial" w:cs="Arial"/>
          <w:sz w:val="24"/>
          <w:szCs w:val="24"/>
        </w:rPr>
        <w:t xml:space="preserve"> payment.’</w:t>
      </w:r>
      <w:r w:rsidR="00172787" w:rsidRPr="00172787">
        <w:rPr>
          <w:rStyle w:val="FootnoteReference"/>
          <w:rFonts w:ascii="Arial" w:hAnsi="Arial" w:cs="Arial"/>
          <w:sz w:val="24"/>
          <w:szCs w:val="24"/>
        </w:rPr>
        <w:footnoteReference w:id="80"/>
      </w:r>
    </w:p>
    <w:p w:rsidR="00053349" w:rsidRDefault="00653DD0" w:rsidP="00E02003">
      <w:pPr>
        <w:jc w:val="both"/>
        <w:rPr>
          <w:rFonts w:ascii="Arial" w:hAnsi="Arial" w:cs="Arial"/>
          <w:sz w:val="24"/>
          <w:szCs w:val="24"/>
        </w:rPr>
      </w:pPr>
      <w:r>
        <w:rPr>
          <w:rFonts w:ascii="Arial" w:hAnsi="Arial" w:cs="Arial"/>
          <w:sz w:val="24"/>
          <w:szCs w:val="24"/>
        </w:rPr>
        <w:t>O</w:t>
      </w:r>
      <w:r w:rsidR="001B416B">
        <w:rPr>
          <w:rFonts w:ascii="Arial" w:hAnsi="Arial" w:cs="Arial"/>
          <w:sz w:val="24"/>
          <w:szCs w:val="24"/>
        </w:rPr>
        <w:t>bjections to the excessive cost of the income management scheme have been raised in the recently released Forrest Review.</w:t>
      </w:r>
      <w:r w:rsidR="001B416B">
        <w:rPr>
          <w:rStyle w:val="FootnoteReference"/>
          <w:rFonts w:ascii="Arial" w:hAnsi="Arial" w:cs="Arial"/>
          <w:sz w:val="24"/>
          <w:szCs w:val="24"/>
        </w:rPr>
        <w:footnoteReference w:id="81"/>
      </w:r>
      <w:r>
        <w:rPr>
          <w:rFonts w:ascii="Arial" w:hAnsi="Arial" w:cs="Arial"/>
          <w:sz w:val="24"/>
          <w:szCs w:val="24"/>
        </w:rPr>
        <w:t xml:space="preserve"> The Forrest Review states that income management ‘</w:t>
      </w:r>
      <w:r w:rsidRPr="00653DD0">
        <w:rPr>
          <w:rFonts w:ascii="Arial" w:hAnsi="Arial" w:cs="Arial"/>
          <w:sz w:val="24"/>
          <w:szCs w:val="24"/>
        </w:rPr>
        <w:t>comes with a cost that renders it unsustainable and unsuitable for broader application.</w:t>
      </w:r>
      <w:r>
        <w:rPr>
          <w:rFonts w:ascii="Arial" w:hAnsi="Arial" w:cs="Arial"/>
          <w:sz w:val="24"/>
          <w:szCs w:val="24"/>
        </w:rPr>
        <w:t>’</w:t>
      </w:r>
      <w:r>
        <w:rPr>
          <w:rStyle w:val="FootnoteReference"/>
          <w:rFonts w:ascii="Arial" w:hAnsi="Arial" w:cs="Arial"/>
          <w:sz w:val="24"/>
          <w:szCs w:val="24"/>
        </w:rPr>
        <w:footnoteReference w:id="82"/>
      </w:r>
      <w:r w:rsidR="005B5866">
        <w:rPr>
          <w:rFonts w:ascii="Arial" w:hAnsi="Arial" w:cs="Arial"/>
          <w:sz w:val="24"/>
          <w:szCs w:val="24"/>
        </w:rPr>
        <w:t xml:space="preserve"> </w:t>
      </w:r>
      <w:r w:rsidR="00A72DB7" w:rsidRPr="004503CA">
        <w:rPr>
          <w:rFonts w:ascii="Arial" w:hAnsi="Arial" w:cs="Arial"/>
          <w:sz w:val="24"/>
          <w:szCs w:val="24"/>
        </w:rPr>
        <w:t xml:space="preserve">Whilst the Forrest Review has its own set of </w:t>
      </w:r>
      <w:r w:rsidR="00A72DB7">
        <w:rPr>
          <w:rFonts w:ascii="Arial" w:hAnsi="Arial" w:cs="Arial"/>
          <w:sz w:val="24"/>
          <w:szCs w:val="24"/>
        </w:rPr>
        <w:t>problems worthy of critical examination</w:t>
      </w:r>
      <w:r w:rsidR="00A72DB7" w:rsidRPr="004503CA">
        <w:rPr>
          <w:rFonts w:ascii="Arial" w:hAnsi="Arial" w:cs="Arial"/>
          <w:sz w:val="24"/>
          <w:szCs w:val="24"/>
        </w:rPr>
        <w:t xml:space="preserve">, it is not the purpose of this submission to detail </w:t>
      </w:r>
      <w:r w:rsidR="00A72DB7">
        <w:rPr>
          <w:rFonts w:ascii="Arial" w:hAnsi="Arial" w:cs="Arial"/>
          <w:sz w:val="24"/>
          <w:szCs w:val="24"/>
        </w:rPr>
        <w:t>its</w:t>
      </w:r>
      <w:r w:rsidR="00A72DB7" w:rsidRPr="004503CA">
        <w:rPr>
          <w:rFonts w:ascii="Arial" w:hAnsi="Arial" w:cs="Arial"/>
          <w:sz w:val="24"/>
          <w:szCs w:val="24"/>
        </w:rPr>
        <w:t xml:space="preserve"> shortcomings</w:t>
      </w:r>
      <w:r w:rsidR="004503CA" w:rsidRPr="004503CA">
        <w:rPr>
          <w:rFonts w:ascii="Arial" w:hAnsi="Arial" w:cs="Arial"/>
          <w:sz w:val="24"/>
          <w:szCs w:val="24"/>
        </w:rPr>
        <w:t>.</w:t>
      </w:r>
      <w:r w:rsidR="00F07712">
        <w:rPr>
          <w:rFonts w:ascii="Arial" w:hAnsi="Arial" w:cs="Arial"/>
          <w:sz w:val="24"/>
          <w:szCs w:val="24"/>
        </w:rPr>
        <w:t xml:space="preserve"> </w:t>
      </w:r>
      <w:r w:rsidR="00F07712" w:rsidRPr="00F07712">
        <w:rPr>
          <w:rFonts w:ascii="Arial" w:hAnsi="Arial" w:cs="Arial"/>
          <w:sz w:val="24"/>
          <w:szCs w:val="24"/>
        </w:rPr>
        <w:t>For the present</w:t>
      </w:r>
      <w:r w:rsidR="00F07712">
        <w:rPr>
          <w:rFonts w:ascii="Arial" w:hAnsi="Arial" w:cs="Arial"/>
          <w:sz w:val="24"/>
          <w:szCs w:val="24"/>
        </w:rPr>
        <w:t>,</w:t>
      </w:r>
      <w:r w:rsidR="00F07712" w:rsidRPr="00F07712">
        <w:rPr>
          <w:rFonts w:ascii="Arial" w:hAnsi="Arial" w:cs="Arial"/>
          <w:sz w:val="24"/>
          <w:szCs w:val="24"/>
        </w:rPr>
        <w:t xml:space="preserve"> it is sufficient to note that Recommendation 5 for a ‘</w:t>
      </w:r>
      <w:r w:rsidR="00A3603B">
        <w:rPr>
          <w:rFonts w:ascii="Arial" w:hAnsi="Arial" w:cs="Arial"/>
          <w:sz w:val="24"/>
          <w:szCs w:val="24"/>
        </w:rPr>
        <w:t>H</w:t>
      </w:r>
      <w:r w:rsidR="00F07712" w:rsidRPr="00F07712">
        <w:rPr>
          <w:rFonts w:ascii="Arial" w:hAnsi="Arial" w:cs="Arial"/>
          <w:sz w:val="24"/>
          <w:szCs w:val="24"/>
        </w:rPr>
        <w:t>ealthy</w:t>
      </w:r>
      <w:r w:rsidR="00A3603B">
        <w:rPr>
          <w:rFonts w:ascii="Arial" w:hAnsi="Arial" w:cs="Arial"/>
          <w:sz w:val="24"/>
          <w:szCs w:val="24"/>
        </w:rPr>
        <w:t xml:space="preserve"> Welfare C</w:t>
      </w:r>
      <w:r w:rsidR="00F07712" w:rsidRPr="00F07712">
        <w:rPr>
          <w:rFonts w:ascii="Arial" w:hAnsi="Arial" w:cs="Arial"/>
          <w:sz w:val="24"/>
          <w:szCs w:val="24"/>
        </w:rPr>
        <w:t>ard’ is based upon the same flawed philosophical foundation of new paternalism and would lead to the same problems of stigmatisation, reduction of autonomy and failure to address structural inequalities as the current income management system it proposes to replace.</w:t>
      </w:r>
      <w:r w:rsidR="004503CA" w:rsidRPr="00F07712">
        <w:rPr>
          <w:rFonts w:ascii="Arial" w:hAnsi="Arial" w:cs="Arial"/>
          <w:sz w:val="24"/>
          <w:szCs w:val="24"/>
        </w:rPr>
        <w:t xml:space="preserve"> </w:t>
      </w:r>
      <w:r w:rsidR="004503CA" w:rsidRPr="004503CA">
        <w:rPr>
          <w:rFonts w:ascii="Arial" w:hAnsi="Arial" w:cs="Arial"/>
          <w:sz w:val="24"/>
          <w:szCs w:val="24"/>
        </w:rPr>
        <w:t xml:space="preserve">However, </w:t>
      </w:r>
      <w:r w:rsidR="00F07712">
        <w:rPr>
          <w:rFonts w:ascii="Arial" w:hAnsi="Arial" w:cs="Arial"/>
          <w:sz w:val="24"/>
          <w:szCs w:val="24"/>
        </w:rPr>
        <w:t>the</w:t>
      </w:r>
      <w:r w:rsidR="004503CA" w:rsidRPr="004503CA">
        <w:rPr>
          <w:rFonts w:ascii="Arial" w:hAnsi="Arial" w:cs="Arial"/>
          <w:sz w:val="24"/>
          <w:szCs w:val="24"/>
        </w:rPr>
        <w:t xml:space="preserve"> point </w:t>
      </w:r>
      <w:r w:rsidR="00F07712">
        <w:rPr>
          <w:rFonts w:ascii="Arial" w:hAnsi="Arial" w:cs="Arial"/>
          <w:sz w:val="24"/>
          <w:szCs w:val="24"/>
        </w:rPr>
        <w:t xml:space="preserve">made in the </w:t>
      </w:r>
      <w:r w:rsidR="00F07712" w:rsidRPr="004503CA">
        <w:rPr>
          <w:rFonts w:ascii="Arial" w:hAnsi="Arial" w:cs="Arial"/>
          <w:sz w:val="24"/>
          <w:szCs w:val="24"/>
        </w:rPr>
        <w:t xml:space="preserve">Forrest Review </w:t>
      </w:r>
      <w:r w:rsidR="004503CA" w:rsidRPr="004503CA">
        <w:rPr>
          <w:rFonts w:ascii="Arial" w:hAnsi="Arial" w:cs="Arial"/>
          <w:sz w:val="24"/>
          <w:szCs w:val="24"/>
        </w:rPr>
        <w:t>about inefficient use of taxpayer funds via income management is well made.</w:t>
      </w:r>
      <w:r w:rsidR="004503CA">
        <w:rPr>
          <w:rFonts w:ascii="Arial" w:hAnsi="Arial" w:cs="Arial"/>
        </w:rPr>
        <w:t xml:space="preserve"> </w:t>
      </w:r>
      <w:r w:rsidR="002747C0" w:rsidRPr="00E02003">
        <w:rPr>
          <w:rFonts w:ascii="Arial" w:hAnsi="Arial" w:cs="Arial"/>
          <w:sz w:val="24"/>
          <w:szCs w:val="24"/>
        </w:rPr>
        <w:t>By</w:t>
      </w:r>
      <w:r w:rsidR="00CA31E8" w:rsidRPr="00E02003">
        <w:rPr>
          <w:rFonts w:ascii="Arial" w:hAnsi="Arial" w:cs="Arial"/>
          <w:sz w:val="24"/>
          <w:szCs w:val="24"/>
        </w:rPr>
        <w:t xml:space="preserve"> requiring a </w:t>
      </w:r>
      <w:r w:rsidR="00517B4C" w:rsidRPr="00E02003">
        <w:rPr>
          <w:rFonts w:ascii="Arial" w:hAnsi="Arial" w:cs="Arial"/>
          <w:sz w:val="24"/>
          <w:szCs w:val="24"/>
        </w:rPr>
        <w:t>large</w:t>
      </w:r>
      <w:r w:rsidR="00CA31E8" w:rsidRPr="00E02003">
        <w:rPr>
          <w:rFonts w:ascii="Arial" w:hAnsi="Arial" w:cs="Arial"/>
          <w:sz w:val="24"/>
          <w:szCs w:val="24"/>
        </w:rPr>
        <w:t xml:space="preserve"> bureaucratic infrastructure, the</w:t>
      </w:r>
      <w:r w:rsidR="002747C0" w:rsidRPr="00E02003">
        <w:rPr>
          <w:rFonts w:ascii="Arial" w:hAnsi="Arial" w:cs="Arial"/>
          <w:sz w:val="24"/>
          <w:szCs w:val="24"/>
        </w:rPr>
        <w:t xml:space="preserve"> income management reforms </w:t>
      </w:r>
      <w:r w:rsidR="00A72DB7">
        <w:rPr>
          <w:rFonts w:ascii="Arial" w:hAnsi="Arial" w:cs="Arial"/>
          <w:sz w:val="24"/>
          <w:szCs w:val="24"/>
        </w:rPr>
        <w:t>are</w:t>
      </w:r>
      <w:r w:rsidR="00CA31E8" w:rsidRPr="00E02003">
        <w:rPr>
          <w:rFonts w:ascii="Arial" w:hAnsi="Arial" w:cs="Arial"/>
          <w:sz w:val="24"/>
          <w:szCs w:val="24"/>
        </w:rPr>
        <w:t xml:space="preserve"> unlikely to cut long term costs if that is the government’s aim.</w:t>
      </w:r>
      <w:r w:rsidR="00C82363" w:rsidRPr="00E02003">
        <w:rPr>
          <w:rFonts w:ascii="Arial" w:hAnsi="Arial" w:cs="Arial"/>
          <w:sz w:val="24"/>
          <w:szCs w:val="24"/>
        </w:rPr>
        <w:t xml:space="preserve"> </w:t>
      </w:r>
    </w:p>
    <w:p w:rsidR="004D055C" w:rsidRDefault="00517B4C" w:rsidP="00E02003">
      <w:pPr>
        <w:jc w:val="both"/>
        <w:rPr>
          <w:rFonts w:ascii="Arial" w:hAnsi="Arial" w:cs="Arial"/>
          <w:sz w:val="24"/>
          <w:szCs w:val="24"/>
        </w:rPr>
      </w:pPr>
      <w:r w:rsidRPr="00E02003">
        <w:rPr>
          <w:rFonts w:ascii="Arial" w:hAnsi="Arial" w:cs="Arial"/>
          <w:sz w:val="24"/>
          <w:szCs w:val="24"/>
        </w:rPr>
        <w:t>What the</w:t>
      </w:r>
      <w:r w:rsidR="00037AB9" w:rsidRPr="00E02003">
        <w:rPr>
          <w:rFonts w:ascii="Arial" w:hAnsi="Arial" w:cs="Arial"/>
          <w:sz w:val="24"/>
          <w:szCs w:val="24"/>
        </w:rPr>
        <w:t xml:space="preserve">se reforms </w:t>
      </w:r>
      <w:r w:rsidRPr="00E02003">
        <w:rPr>
          <w:rFonts w:ascii="Arial" w:hAnsi="Arial" w:cs="Arial"/>
          <w:sz w:val="24"/>
          <w:szCs w:val="24"/>
        </w:rPr>
        <w:t xml:space="preserve">will do is </w:t>
      </w:r>
      <w:r w:rsidR="00C82363" w:rsidRPr="00E02003">
        <w:rPr>
          <w:rFonts w:ascii="Arial" w:hAnsi="Arial" w:cs="Arial"/>
          <w:sz w:val="24"/>
          <w:szCs w:val="24"/>
        </w:rPr>
        <w:t>demoniz</w:t>
      </w:r>
      <w:r w:rsidRPr="00E02003">
        <w:rPr>
          <w:rFonts w:ascii="Arial" w:hAnsi="Arial" w:cs="Arial"/>
          <w:sz w:val="24"/>
          <w:szCs w:val="24"/>
        </w:rPr>
        <w:t>e</w:t>
      </w:r>
      <w:r w:rsidR="00C82363" w:rsidRPr="00E02003">
        <w:rPr>
          <w:rFonts w:ascii="Arial" w:hAnsi="Arial" w:cs="Arial"/>
          <w:sz w:val="24"/>
          <w:szCs w:val="24"/>
        </w:rPr>
        <w:t xml:space="preserve"> the poor and reinforc</w:t>
      </w:r>
      <w:r w:rsidRPr="00E02003">
        <w:rPr>
          <w:rFonts w:ascii="Arial" w:hAnsi="Arial" w:cs="Arial"/>
          <w:sz w:val="24"/>
          <w:szCs w:val="24"/>
        </w:rPr>
        <w:t>e</w:t>
      </w:r>
      <w:r w:rsidR="00037AB9" w:rsidRPr="00E02003">
        <w:rPr>
          <w:rFonts w:ascii="Arial" w:hAnsi="Arial" w:cs="Arial"/>
          <w:sz w:val="24"/>
          <w:szCs w:val="24"/>
        </w:rPr>
        <w:t xml:space="preserve"> populist prejudice. This is not an admirable outcome for the most marginalised in our society who deserve a socially just welfare system based </w:t>
      </w:r>
      <w:r w:rsidR="00460421">
        <w:rPr>
          <w:rFonts w:ascii="Arial" w:hAnsi="Arial" w:cs="Arial"/>
          <w:sz w:val="24"/>
          <w:szCs w:val="24"/>
        </w:rPr>
        <w:t>up</w:t>
      </w:r>
      <w:r w:rsidR="00037AB9" w:rsidRPr="00E02003">
        <w:rPr>
          <w:rFonts w:ascii="Arial" w:hAnsi="Arial" w:cs="Arial"/>
          <w:sz w:val="24"/>
          <w:szCs w:val="24"/>
        </w:rPr>
        <w:t>on need not prejudice</w:t>
      </w:r>
      <w:r w:rsidR="00A72DB7">
        <w:rPr>
          <w:rFonts w:ascii="Arial" w:hAnsi="Arial" w:cs="Arial"/>
          <w:sz w:val="24"/>
          <w:szCs w:val="24"/>
        </w:rPr>
        <w:t xml:space="preserve"> and the </w:t>
      </w:r>
      <w:r w:rsidR="00A72DB7">
        <w:rPr>
          <w:rFonts w:ascii="Arial" w:hAnsi="Arial" w:cs="Arial"/>
          <w:sz w:val="24"/>
          <w:szCs w:val="24"/>
        </w:rPr>
        <w:lastRenderedPageBreak/>
        <w:t>targeting of public funds to productively improve their livelihoods rather than unproductively vilify their generally imagined unacceptable behaviours</w:t>
      </w:r>
      <w:r w:rsidR="00037AB9" w:rsidRPr="00E02003">
        <w:rPr>
          <w:rFonts w:ascii="Arial" w:hAnsi="Arial" w:cs="Arial"/>
          <w:sz w:val="24"/>
          <w:szCs w:val="24"/>
        </w:rPr>
        <w:t>.</w:t>
      </w:r>
      <w:r w:rsidR="00867743" w:rsidRPr="00E02003">
        <w:rPr>
          <w:rFonts w:ascii="Arial" w:hAnsi="Arial" w:cs="Arial"/>
          <w:sz w:val="24"/>
          <w:szCs w:val="24"/>
        </w:rPr>
        <w:t xml:space="preserve"> </w:t>
      </w:r>
      <w:r w:rsidR="00084BB8" w:rsidRPr="00E02003">
        <w:rPr>
          <w:rFonts w:ascii="Arial" w:hAnsi="Arial" w:cs="Arial"/>
          <w:sz w:val="24"/>
          <w:szCs w:val="24"/>
        </w:rPr>
        <w:t>For a humane and dignified society ‘[m]</w:t>
      </w:r>
      <w:proofErr w:type="spellStart"/>
      <w:r w:rsidR="00867743" w:rsidRPr="00E02003">
        <w:rPr>
          <w:rFonts w:ascii="Arial" w:hAnsi="Arial" w:cs="Arial"/>
          <w:sz w:val="24"/>
          <w:szCs w:val="24"/>
        </w:rPr>
        <w:t>oralistic</w:t>
      </w:r>
      <w:proofErr w:type="spellEnd"/>
      <w:r w:rsidR="00867743" w:rsidRPr="00E02003">
        <w:rPr>
          <w:rFonts w:ascii="Arial" w:hAnsi="Arial" w:cs="Arial"/>
          <w:sz w:val="24"/>
          <w:szCs w:val="24"/>
        </w:rPr>
        <w:t xml:space="preserve"> social policy must be displaced by rights-based policy.’</w:t>
      </w:r>
      <w:r w:rsidR="00867743" w:rsidRPr="00E02003">
        <w:rPr>
          <w:rStyle w:val="FootnoteReference"/>
          <w:rFonts w:ascii="Arial" w:hAnsi="Arial" w:cs="Arial"/>
          <w:sz w:val="24"/>
          <w:szCs w:val="24"/>
        </w:rPr>
        <w:footnoteReference w:id="83"/>
      </w:r>
      <w:r w:rsidR="00A72DB7">
        <w:rPr>
          <w:rFonts w:ascii="Arial" w:hAnsi="Arial" w:cs="Arial"/>
          <w:sz w:val="24"/>
          <w:szCs w:val="24"/>
        </w:rPr>
        <w:t xml:space="preserve"> Only a rights-</w:t>
      </w:r>
      <w:r w:rsidR="00867743" w:rsidRPr="00E02003">
        <w:rPr>
          <w:rFonts w:ascii="Arial" w:hAnsi="Arial" w:cs="Arial"/>
          <w:sz w:val="24"/>
          <w:szCs w:val="24"/>
        </w:rPr>
        <w:t>based approach will safeguard the position of those who are most disadvantaged.</w:t>
      </w:r>
      <w:r w:rsidR="004D055C" w:rsidRPr="00E02003">
        <w:rPr>
          <w:rFonts w:ascii="Arial" w:hAnsi="Arial" w:cs="Arial"/>
          <w:sz w:val="24"/>
          <w:szCs w:val="24"/>
        </w:rPr>
        <w:t xml:space="preserve"> It is important that the government not abdicate its responsibilit</w:t>
      </w:r>
      <w:r w:rsidR="008922D1">
        <w:rPr>
          <w:rFonts w:ascii="Arial" w:hAnsi="Arial" w:cs="Arial"/>
          <w:sz w:val="24"/>
          <w:szCs w:val="24"/>
        </w:rPr>
        <w:t>y</w:t>
      </w:r>
      <w:r w:rsidR="004D055C" w:rsidRPr="00E02003">
        <w:rPr>
          <w:rFonts w:ascii="Arial" w:hAnsi="Arial" w:cs="Arial"/>
          <w:sz w:val="24"/>
          <w:szCs w:val="24"/>
        </w:rPr>
        <w:t xml:space="preserve"> to</w:t>
      </w:r>
      <w:r w:rsidR="00F767A0">
        <w:rPr>
          <w:rFonts w:ascii="Arial" w:hAnsi="Arial" w:cs="Arial"/>
          <w:sz w:val="24"/>
          <w:szCs w:val="24"/>
        </w:rPr>
        <w:t>wards</w:t>
      </w:r>
      <w:r w:rsidR="004D055C" w:rsidRPr="00E02003">
        <w:rPr>
          <w:rFonts w:ascii="Arial" w:hAnsi="Arial" w:cs="Arial"/>
          <w:sz w:val="24"/>
          <w:szCs w:val="24"/>
        </w:rPr>
        <w:t xml:space="preserve"> its most marginalised citizens</w:t>
      </w:r>
      <w:r w:rsidR="00084BB8" w:rsidRPr="00E02003">
        <w:rPr>
          <w:rFonts w:ascii="Arial" w:hAnsi="Arial" w:cs="Arial"/>
          <w:sz w:val="24"/>
          <w:szCs w:val="24"/>
        </w:rPr>
        <w:t xml:space="preserve"> by travel</w:t>
      </w:r>
      <w:r w:rsidR="00CE3D88">
        <w:rPr>
          <w:rFonts w:ascii="Arial" w:hAnsi="Arial" w:cs="Arial"/>
          <w:sz w:val="24"/>
          <w:szCs w:val="24"/>
        </w:rPr>
        <w:t>ling</w:t>
      </w:r>
      <w:r w:rsidR="00084BB8" w:rsidRPr="00E02003">
        <w:rPr>
          <w:rFonts w:ascii="Arial" w:hAnsi="Arial" w:cs="Arial"/>
          <w:sz w:val="24"/>
          <w:szCs w:val="24"/>
        </w:rPr>
        <w:t xml:space="preserve"> down </w:t>
      </w:r>
      <w:r w:rsidR="00FC0D14">
        <w:rPr>
          <w:rFonts w:ascii="Arial" w:hAnsi="Arial" w:cs="Arial"/>
          <w:sz w:val="24"/>
          <w:szCs w:val="24"/>
        </w:rPr>
        <w:t xml:space="preserve">precarious </w:t>
      </w:r>
      <w:r w:rsidR="00A72DB7" w:rsidRPr="00E02003">
        <w:rPr>
          <w:rFonts w:ascii="Arial" w:hAnsi="Arial" w:cs="Arial"/>
          <w:sz w:val="24"/>
          <w:szCs w:val="24"/>
        </w:rPr>
        <w:t>pathways</w:t>
      </w:r>
      <w:r w:rsidR="00FC0D14">
        <w:rPr>
          <w:rFonts w:ascii="Arial" w:hAnsi="Arial" w:cs="Arial"/>
          <w:sz w:val="24"/>
          <w:szCs w:val="24"/>
        </w:rPr>
        <w:t>.</w:t>
      </w:r>
    </w:p>
    <w:p w:rsidR="00D86ECF" w:rsidRDefault="00D86ECF" w:rsidP="00E02003">
      <w:pPr>
        <w:jc w:val="both"/>
        <w:rPr>
          <w:rFonts w:ascii="Arial" w:hAnsi="Arial" w:cs="Arial"/>
          <w:sz w:val="24"/>
          <w:szCs w:val="24"/>
        </w:rPr>
      </w:pPr>
    </w:p>
    <w:p w:rsidR="009B2C66" w:rsidRPr="00E02003" w:rsidRDefault="009B2C66" w:rsidP="00E02003">
      <w:pPr>
        <w:jc w:val="both"/>
        <w:rPr>
          <w:rFonts w:ascii="Arial" w:hAnsi="Arial" w:cs="Arial"/>
          <w:sz w:val="24"/>
          <w:szCs w:val="24"/>
        </w:rPr>
      </w:pPr>
      <w:r w:rsidRPr="00E02003">
        <w:rPr>
          <w:rFonts w:ascii="Arial" w:hAnsi="Arial" w:cs="Arial"/>
          <w:sz w:val="24"/>
          <w:szCs w:val="24"/>
        </w:rPr>
        <w:t>Yours sincerely,</w:t>
      </w:r>
    </w:p>
    <w:p w:rsidR="009B2C66" w:rsidRPr="00E02003" w:rsidRDefault="009B2C66" w:rsidP="00E02003">
      <w:pPr>
        <w:jc w:val="both"/>
        <w:rPr>
          <w:rFonts w:ascii="Arial" w:hAnsi="Arial" w:cs="Arial"/>
          <w:sz w:val="24"/>
          <w:szCs w:val="24"/>
        </w:rPr>
      </w:pPr>
      <w:r w:rsidRPr="00E02003">
        <w:rPr>
          <w:rFonts w:ascii="Arial" w:hAnsi="Arial" w:cs="Arial"/>
          <w:noProof/>
          <w:sz w:val="24"/>
          <w:szCs w:val="24"/>
          <w:lang w:eastAsia="en-AU"/>
        </w:rPr>
        <w:drawing>
          <wp:inline distT="0" distB="0" distL="0" distR="0" wp14:anchorId="05D9E340" wp14:editId="12EFC121">
            <wp:extent cx="2026956" cy="1095375"/>
            <wp:effectExtent l="0" t="0" r="0" b="0"/>
            <wp:docPr id="2" name="Picture 2" descr="cid:image001.png@01CF647E.606C7050"/>
            <wp:cNvGraphicFramePr/>
            <a:graphic xmlns:a="http://schemas.openxmlformats.org/drawingml/2006/main">
              <a:graphicData uri="http://schemas.openxmlformats.org/drawingml/2006/picture">
                <pic:pic xmlns:pic="http://schemas.openxmlformats.org/drawingml/2006/picture">
                  <pic:nvPicPr>
                    <pic:cNvPr id="2" name="Picture 2" descr="cid:image001.png@01CF647E.606C7050"/>
                    <pic:cNvPicPr/>
                  </pic:nvPicPr>
                  <pic:blipFill>
                    <a:blip r:embed="rId10" r:link="rId11" cstate="print"/>
                    <a:srcRect/>
                    <a:stretch>
                      <a:fillRect/>
                    </a:stretch>
                  </pic:blipFill>
                  <pic:spPr bwMode="auto">
                    <a:xfrm>
                      <a:off x="0" y="0"/>
                      <a:ext cx="2026965" cy="1095380"/>
                    </a:xfrm>
                    <a:prstGeom prst="rect">
                      <a:avLst/>
                    </a:prstGeom>
                    <a:noFill/>
                    <a:ln w="9525">
                      <a:noFill/>
                      <a:miter lim="800000"/>
                      <a:headEnd/>
                      <a:tailEnd/>
                    </a:ln>
                  </pic:spPr>
                </pic:pic>
              </a:graphicData>
            </a:graphic>
          </wp:inline>
        </w:drawing>
      </w:r>
      <w:r w:rsidRPr="00E02003">
        <w:rPr>
          <w:rFonts w:ascii="Arial" w:hAnsi="Arial" w:cs="Arial"/>
          <w:sz w:val="24"/>
          <w:szCs w:val="24"/>
        </w:rPr>
        <w:t xml:space="preserve"> </w:t>
      </w:r>
    </w:p>
    <w:p w:rsidR="009B2C66" w:rsidRPr="00E02003" w:rsidRDefault="009B2C66" w:rsidP="00E02003">
      <w:pPr>
        <w:jc w:val="both"/>
        <w:rPr>
          <w:rFonts w:ascii="Arial" w:hAnsi="Arial" w:cs="Arial"/>
          <w:sz w:val="24"/>
          <w:szCs w:val="24"/>
        </w:rPr>
      </w:pPr>
      <w:r w:rsidRPr="00E02003">
        <w:rPr>
          <w:rFonts w:ascii="Arial" w:hAnsi="Arial" w:cs="Arial"/>
          <w:sz w:val="24"/>
          <w:szCs w:val="24"/>
        </w:rPr>
        <w:t>Dr Shelley Bielefeld</w:t>
      </w:r>
    </w:p>
    <w:p w:rsidR="009B2C66" w:rsidRPr="009857CE" w:rsidRDefault="009B2C66" w:rsidP="009857CE">
      <w:pPr>
        <w:pStyle w:val="NoSpacing"/>
        <w:rPr>
          <w:rFonts w:ascii="Arial" w:hAnsi="Arial" w:cs="Arial"/>
          <w:noProof/>
          <w:sz w:val="24"/>
          <w:szCs w:val="24"/>
        </w:rPr>
      </w:pPr>
      <w:r w:rsidRPr="009857CE">
        <w:rPr>
          <w:rFonts w:ascii="Arial" w:hAnsi="Arial" w:cs="Arial"/>
          <w:noProof/>
          <w:sz w:val="24"/>
          <w:szCs w:val="24"/>
        </w:rPr>
        <w:t>School of Law</w:t>
      </w:r>
    </w:p>
    <w:p w:rsidR="009B2C66" w:rsidRPr="009857CE" w:rsidRDefault="009B2C66" w:rsidP="009857CE">
      <w:pPr>
        <w:pStyle w:val="NoSpacing"/>
        <w:rPr>
          <w:rFonts w:ascii="Arial" w:hAnsi="Arial" w:cs="Arial"/>
          <w:noProof/>
          <w:sz w:val="24"/>
          <w:szCs w:val="24"/>
        </w:rPr>
      </w:pPr>
      <w:r w:rsidRPr="009857CE">
        <w:rPr>
          <w:rFonts w:ascii="Arial" w:hAnsi="Arial" w:cs="Arial"/>
          <w:noProof/>
          <w:sz w:val="24"/>
          <w:szCs w:val="24"/>
        </w:rPr>
        <w:t>University of Western Sydney</w:t>
      </w:r>
    </w:p>
    <w:p w:rsidR="009B2C66" w:rsidRPr="009857CE" w:rsidRDefault="009B2C66" w:rsidP="009857CE">
      <w:pPr>
        <w:pStyle w:val="NoSpacing"/>
        <w:rPr>
          <w:rFonts w:ascii="Arial" w:hAnsi="Arial" w:cs="Arial"/>
          <w:noProof/>
          <w:sz w:val="24"/>
          <w:szCs w:val="24"/>
        </w:rPr>
      </w:pPr>
      <w:r w:rsidRPr="009857CE">
        <w:rPr>
          <w:rFonts w:ascii="Arial" w:hAnsi="Arial" w:cs="Arial"/>
          <w:noProof/>
          <w:sz w:val="24"/>
          <w:szCs w:val="24"/>
        </w:rPr>
        <w:t>Locked Bag 1797</w:t>
      </w:r>
    </w:p>
    <w:p w:rsidR="009B2C66" w:rsidRPr="009857CE" w:rsidRDefault="009B2C66" w:rsidP="009857CE">
      <w:pPr>
        <w:pStyle w:val="NoSpacing"/>
        <w:rPr>
          <w:rFonts w:ascii="Arial" w:hAnsi="Arial" w:cs="Arial"/>
          <w:noProof/>
          <w:sz w:val="24"/>
          <w:szCs w:val="24"/>
        </w:rPr>
      </w:pPr>
      <w:r w:rsidRPr="009857CE">
        <w:rPr>
          <w:rFonts w:ascii="Arial" w:hAnsi="Arial" w:cs="Arial"/>
          <w:noProof/>
          <w:sz w:val="24"/>
          <w:szCs w:val="24"/>
        </w:rPr>
        <w:t>Penrith South DC</w:t>
      </w:r>
    </w:p>
    <w:p w:rsidR="009B2C66" w:rsidRPr="009857CE" w:rsidRDefault="009B2C66" w:rsidP="009857CE">
      <w:pPr>
        <w:pStyle w:val="NoSpacing"/>
        <w:rPr>
          <w:rFonts w:ascii="Arial" w:hAnsi="Arial" w:cs="Arial"/>
          <w:noProof/>
          <w:sz w:val="24"/>
          <w:szCs w:val="24"/>
        </w:rPr>
      </w:pPr>
      <w:r w:rsidRPr="009857CE">
        <w:rPr>
          <w:rFonts w:ascii="Arial" w:hAnsi="Arial" w:cs="Arial"/>
          <w:noProof/>
          <w:sz w:val="24"/>
          <w:szCs w:val="24"/>
        </w:rPr>
        <w:t>NSW 2751 Australia</w:t>
      </w:r>
    </w:p>
    <w:p w:rsidR="00AF48FC" w:rsidRPr="00E02003" w:rsidRDefault="009B2C66" w:rsidP="00534AC6">
      <w:pPr>
        <w:pStyle w:val="NoSpacing"/>
        <w:rPr>
          <w:rFonts w:ascii="Arial" w:hAnsi="Arial" w:cs="Arial"/>
          <w:sz w:val="24"/>
          <w:szCs w:val="24"/>
        </w:rPr>
      </w:pPr>
      <w:r w:rsidRPr="009857CE">
        <w:rPr>
          <w:rFonts w:ascii="Arial" w:hAnsi="Arial" w:cs="Arial"/>
          <w:noProof/>
          <w:sz w:val="24"/>
          <w:szCs w:val="24"/>
        </w:rPr>
        <w:t xml:space="preserve">Email: </w:t>
      </w:r>
      <w:hyperlink r:id="rId12" w:history="1">
        <w:r w:rsidRPr="009857CE">
          <w:rPr>
            <w:rStyle w:val="Hyperlink"/>
            <w:rFonts w:ascii="Arial" w:hAnsi="Arial" w:cs="Arial"/>
            <w:sz w:val="24"/>
            <w:szCs w:val="24"/>
            <w:lang w:val="en-US"/>
          </w:rPr>
          <w:t>S.Bielefeld@uws.edu.au</w:t>
        </w:r>
      </w:hyperlink>
    </w:p>
    <w:sectPr w:rsidR="00AF48FC" w:rsidRPr="00E02003" w:rsidSect="000079A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C0" w:rsidRDefault="002747C0" w:rsidP="00E401A0">
      <w:pPr>
        <w:spacing w:after="0" w:line="240" w:lineRule="auto"/>
      </w:pPr>
      <w:r>
        <w:separator/>
      </w:r>
    </w:p>
  </w:endnote>
  <w:endnote w:type="continuationSeparator" w:id="0">
    <w:p w:rsidR="002747C0" w:rsidRDefault="002747C0" w:rsidP="00E4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450027"/>
      <w:docPartObj>
        <w:docPartGallery w:val="Page Numbers (Bottom of Page)"/>
        <w:docPartUnique/>
      </w:docPartObj>
    </w:sdtPr>
    <w:sdtEndPr>
      <w:rPr>
        <w:noProof/>
      </w:rPr>
    </w:sdtEndPr>
    <w:sdtContent>
      <w:p w:rsidR="002747C0" w:rsidRDefault="004A519C">
        <w:pPr>
          <w:pStyle w:val="Footer"/>
          <w:jc w:val="right"/>
        </w:pPr>
        <w:r>
          <w:fldChar w:fldCharType="begin"/>
        </w:r>
        <w:r>
          <w:instrText xml:space="preserve"> PAGE   \* MERGEFORMAT </w:instrText>
        </w:r>
        <w:r>
          <w:fldChar w:fldCharType="separate"/>
        </w:r>
        <w:r w:rsidR="005B034F">
          <w:rPr>
            <w:noProof/>
          </w:rPr>
          <w:t>1</w:t>
        </w:r>
        <w:r>
          <w:rPr>
            <w:noProof/>
          </w:rPr>
          <w:fldChar w:fldCharType="end"/>
        </w:r>
      </w:p>
    </w:sdtContent>
  </w:sdt>
  <w:p w:rsidR="002747C0" w:rsidRDefault="00274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C0" w:rsidRDefault="002747C0" w:rsidP="00E401A0">
      <w:pPr>
        <w:spacing w:after="0" w:line="240" w:lineRule="auto"/>
      </w:pPr>
      <w:r>
        <w:separator/>
      </w:r>
    </w:p>
  </w:footnote>
  <w:footnote w:type="continuationSeparator" w:id="0">
    <w:p w:rsidR="002747C0" w:rsidRDefault="002747C0" w:rsidP="00E401A0">
      <w:pPr>
        <w:spacing w:after="0" w:line="240" w:lineRule="auto"/>
      </w:pPr>
      <w:r>
        <w:continuationSeparator/>
      </w:r>
    </w:p>
  </w:footnote>
  <w:footnote w:id="1">
    <w:p w:rsidR="00265704" w:rsidRPr="00F94AF3" w:rsidRDefault="00265704" w:rsidP="00265704">
      <w:pPr>
        <w:pStyle w:val="FootnoteText"/>
        <w:rPr>
          <w:rFonts w:ascii="Arial" w:hAnsi="Arial" w:cs="Arial"/>
        </w:rPr>
      </w:pPr>
      <w:r w:rsidRPr="00F94AF3">
        <w:rPr>
          <w:rFonts w:ascii="Arial" w:hAnsi="Arial" w:cs="Arial"/>
        </w:rPr>
        <w:t>* The author wishes to acknowledge the helpful comments of Professor Jon Altman on an earlier draft of this submission.</w:t>
      </w:r>
    </w:p>
    <w:p w:rsidR="002747C0" w:rsidRPr="00F94AF3" w:rsidRDefault="002747C0" w:rsidP="00B67574">
      <w:pPr>
        <w:pStyle w:val="NoSpacing"/>
        <w:rPr>
          <w:rFonts w:ascii="Arial" w:hAnsi="Arial" w:cs="Arial"/>
          <w:sz w:val="20"/>
          <w:szCs w:val="20"/>
        </w:rPr>
      </w:pPr>
      <w:r w:rsidRPr="00F94AF3">
        <w:rPr>
          <w:rStyle w:val="FootnoteReference"/>
          <w:rFonts w:ascii="Arial" w:hAnsi="Arial" w:cs="Arial"/>
          <w:sz w:val="20"/>
          <w:szCs w:val="20"/>
        </w:rPr>
        <w:footnoteRef/>
      </w:r>
      <w:r w:rsidRPr="00F94AF3">
        <w:rPr>
          <w:rFonts w:ascii="Arial" w:hAnsi="Arial" w:cs="Arial"/>
          <w:sz w:val="20"/>
          <w:szCs w:val="20"/>
        </w:rPr>
        <w:t xml:space="preserve"> Shelley Bielefeld, ‘History Wars and Stronger Futures Laws: A Stronger Future or Perpetuating Past Paternalism?’ </w:t>
      </w:r>
      <w:proofErr w:type="gramStart"/>
      <w:r w:rsidRPr="00F94AF3">
        <w:rPr>
          <w:rFonts w:ascii="Arial" w:hAnsi="Arial" w:cs="Arial"/>
          <w:sz w:val="20"/>
          <w:szCs w:val="20"/>
        </w:rPr>
        <w:t xml:space="preserve">(2014) 39(1) </w:t>
      </w:r>
      <w:r w:rsidRPr="00F94AF3">
        <w:rPr>
          <w:rFonts w:ascii="Arial" w:hAnsi="Arial" w:cs="Arial"/>
          <w:i/>
          <w:sz w:val="20"/>
          <w:szCs w:val="20"/>
        </w:rPr>
        <w:t>Alternative Law Journal</w:t>
      </w:r>
      <w:r w:rsidRPr="00F94AF3">
        <w:rPr>
          <w:rFonts w:ascii="Arial" w:hAnsi="Arial" w:cs="Arial"/>
          <w:sz w:val="20"/>
          <w:szCs w:val="20"/>
        </w:rPr>
        <w:t xml:space="preserve"> 15-18; Shelley Bielefeld,</w:t>
      </w:r>
      <w:r w:rsidRPr="00F94AF3">
        <w:rPr>
          <w:rFonts w:ascii="Arial" w:hAnsi="Arial" w:cs="Arial"/>
          <w:b/>
          <w:sz w:val="20"/>
          <w:szCs w:val="20"/>
        </w:rPr>
        <w:t xml:space="preserve"> </w:t>
      </w:r>
      <w:r w:rsidRPr="00F94AF3">
        <w:rPr>
          <w:rFonts w:ascii="Arial" w:hAnsi="Arial" w:cs="Arial"/>
          <w:sz w:val="20"/>
          <w:szCs w:val="20"/>
        </w:rPr>
        <w:t>‘Compulsory Income Management under the Stronger Futures Laws – Providing ‘Flexibility’ or Overturning Freedom of Contract?’</w:t>
      </w:r>
      <w:proofErr w:type="gramEnd"/>
      <w:r w:rsidRPr="00F94AF3">
        <w:rPr>
          <w:rFonts w:ascii="Arial" w:hAnsi="Arial" w:cs="Arial"/>
          <w:sz w:val="20"/>
          <w:szCs w:val="20"/>
        </w:rPr>
        <w:t xml:space="preserve"> </w:t>
      </w:r>
      <w:proofErr w:type="gramStart"/>
      <w:r w:rsidRPr="00F94AF3">
        <w:rPr>
          <w:rFonts w:ascii="Arial" w:hAnsi="Arial" w:cs="Arial"/>
          <w:sz w:val="20"/>
          <w:szCs w:val="20"/>
        </w:rPr>
        <w:t xml:space="preserve">(2013) 8(5) </w:t>
      </w:r>
      <w:r w:rsidRPr="00F94AF3">
        <w:rPr>
          <w:rFonts w:ascii="Arial" w:hAnsi="Arial" w:cs="Arial"/>
          <w:i/>
          <w:sz w:val="20"/>
          <w:szCs w:val="20"/>
        </w:rPr>
        <w:t xml:space="preserve">Indigenous Law Bulletin </w:t>
      </w:r>
      <w:r w:rsidRPr="00F94AF3">
        <w:rPr>
          <w:rFonts w:ascii="Arial" w:hAnsi="Arial" w:cs="Arial"/>
          <w:sz w:val="20"/>
          <w:szCs w:val="20"/>
        </w:rPr>
        <w:t>18-21; Shelley Bielefeld,</w:t>
      </w:r>
      <w:r w:rsidRPr="00F94AF3">
        <w:rPr>
          <w:rFonts w:ascii="Arial" w:hAnsi="Arial" w:cs="Arial"/>
          <w:b/>
          <w:sz w:val="20"/>
          <w:szCs w:val="20"/>
        </w:rPr>
        <w:t xml:space="preserve"> </w:t>
      </w:r>
      <w:r w:rsidRPr="00F94AF3">
        <w:rPr>
          <w:rFonts w:ascii="Arial" w:hAnsi="Arial" w:cs="Arial"/>
          <w:sz w:val="20"/>
          <w:szCs w:val="20"/>
        </w:rPr>
        <w:t>‘Compulsory Income Management and Indigenous Australians – Delivering Social Justice or Furthering Colonial Domination?’</w:t>
      </w:r>
      <w:proofErr w:type="gramEnd"/>
      <w:r w:rsidRPr="00F94AF3">
        <w:rPr>
          <w:rFonts w:ascii="Arial" w:hAnsi="Arial" w:cs="Arial"/>
          <w:sz w:val="20"/>
          <w:szCs w:val="20"/>
        </w:rPr>
        <w:t xml:space="preserve"> (2012) 35(2) </w:t>
      </w:r>
      <w:r w:rsidRPr="00F94AF3">
        <w:rPr>
          <w:rFonts w:ascii="Arial" w:hAnsi="Arial" w:cs="Arial"/>
          <w:i/>
          <w:sz w:val="20"/>
          <w:szCs w:val="20"/>
        </w:rPr>
        <w:t xml:space="preserve">University of New South Wales Law Journal </w:t>
      </w:r>
      <w:r w:rsidRPr="00F94AF3">
        <w:rPr>
          <w:rFonts w:ascii="Arial" w:hAnsi="Arial" w:cs="Arial"/>
          <w:sz w:val="20"/>
          <w:szCs w:val="20"/>
        </w:rPr>
        <w:t xml:space="preserve">522-562. </w:t>
      </w:r>
    </w:p>
  </w:footnote>
  <w:footnote w:id="2">
    <w:p w:rsidR="002747C0" w:rsidRPr="00F94AF3" w:rsidRDefault="002747C0" w:rsidP="00B67574">
      <w:pPr>
        <w:pStyle w:val="NoSpacing"/>
        <w:rPr>
          <w:rFonts w:ascii="Arial" w:hAnsi="Arial" w:cs="Arial"/>
          <w:sz w:val="20"/>
          <w:szCs w:val="20"/>
        </w:rPr>
      </w:pPr>
      <w:r w:rsidRPr="00F94AF3">
        <w:rPr>
          <w:rStyle w:val="FootnoteReference"/>
          <w:rFonts w:ascii="Arial" w:hAnsi="Arial" w:cs="Arial"/>
          <w:sz w:val="20"/>
          <w:szCs w:val="20"/>
        </w:rPr>
        <w:footnoteRef/>
      </w:r>
      <w:r w:rsidRPr="00F94AF3">
        <w:rPr>
          <w:rFonts w:ascii="Arial" w:hAnsi="Arial" w:cs="Arial"/>
          <w:sz w:val="20"/>
          <w:szCs w:val="20"/>
        </w:rPr>
        <w:t xml:space="preserve"> Shelley Bielefeld and Peter Billings, ‘Structural Violence, Colonialism and Income Management’, 13th Australian Institute of Family Studies Conference, 30 July 2014; Shelley Bielefeld, Sally Cowling, and Greg Marston, ‘Tensions and contradictions in Australian social policy reform’, 13th Australian Institute of Family Studies Conference, 30 July 2014.</w:t>
      </w:r>
    </w:p>
  </w:footnote>
  <w:footnote w:id="3">
    <w:p w:rsidR="0035708D" w:rsidRPr="00F94AF3" w:rsidRDefault="0035708D"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Department of Social Services, </w:t>
      </w:r>
      <w:r w:rsidRPr="00F94AF3">
        <w:rPr>
          <w:rFonts w:ascii="Arial" w:hAnsi="Arial" w:cs="Arial"/>
          <w:i/>
        </w:rPr>
        <w:t>A New System for Better Employment and Social Outcomes – Interim Report of the Reference Group on Welfare Reform to the Minister for Social Services</w:t>
      </w:r>
      <w:r w:rsidRPr="00F94AF3">
        <w:rPr>
          <w:rFonts w:ascii="Arial" w:hAnsi="Arial" w:cs="Arial"/>
        </w:rPr>
        <w:t xml:space="preserve"> (June 2014).</w:t>
      </w:r>
    </w:p>
  </w:footnote>
  <w:footnote w:id="4">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Lawrence Mead, ‘The Rise of Paternalism’ in Lawrence Mead (</w:t>
      </w:r>
      <w:proofErr w:type="spellStart"/>
      <w:r w:rsidRPr="00F94AF3">
        <w:rPr>
          <w:rFonts w:ascii="Arial" w:hAnsi="Arial" w:cs="Arial"/>
        </w:rPr>
        <w:t>ed</w:t>
      </w:r>
      <w:proofErr w:type="spellEnd"/>
      <w:r w:rsidRPr="00F94AF3">
        <w:rPr>
          <w:rFonts w:ascii="Arial" w:hAnsi="Arial" w:cs="Arial"/>
        </w:rPr>
        <w:t xml:space="preserve">), </w:t>
      </w:r>
      <w:r w:rsidRPr="00F94AF3">
        <w:rPr>
          <w:rFonts w:ascii="Arial" w:hAnsi="Arial" w:cs="Arial"/>
          <w:i/>
        </w:rPr>
        <w:t>The New Paternalism: Supervisory Approaches to Poverty</w:t>
      </w:r>
      <w:r w:rsidRPr="00F94AF3">
        <w:rPr>
          <w:rFonts w:ascii="Arial" w:hAnsi="Arial" w:cs="Arial"/>
        </w:rPr>
        <w:t xml:space="preserve"> (Brookings Institution Press, 1997) 4, 33-34; Mark </w:t>
      </w:r>
      <w:proofErr w:type="spellStart"/>
      <w:r w:rsidRPr="00F94AF3">
        <w:rPr>
          <w:rFonts w:ascii="Arial" w:hAnsi="Arial" w:cs="Arial"/>
        </w:rPr>
        <w:t>Kleiman</w:t>
      </w:r>
      <w:proofErr w:type="spellEnd"/>
      <w:r w:rsidRPr="00F94AF3">
        <w:rPr>
          <w:rFonts w:ascii="Arial" w:hAnsi="Arial" w:cs="Arial"/>
        </w:rPr>
        <w:t xml:space="preserve">, ‘Coerced Abstinence: A </w:t>
      </w:r>
      <w:proofErr w:type="spellStart"/>
      <w:r w:rsidRPr="00F94AF3">
        <w:rPr>
          <w:rFonts w:ascii="Arial" w:hAnsi="Arial" w:cs="Arial"/>
        </w:rPr>
        <w:t>Neopaternalist</w:t>
      </w:r>
      <w:proofErr w:type="spellEnd"/>
      <w:r w:rsidRPr="00F94AF3">
        <w:rPr>
          <w:rFonts w:ascii="Arial" w:hAnsi="Arial" w:cs="Arial"/>
        </w:rPr>
        <w:t xml:space="preserve"> Drug Policy Initiative’ in Lawrence Mead (</w:t>
      </w:r>
      <w:proofErr w:type="spellStart"/>
      <w:r w:rsidRPr="00F94AF3">
        <w:rPr>
          <w:rFonts w:ascii="Arial" w:hAnsi="Arial" w:cs="Arial"/>
        </w:rPr>
        <w:t>ed</w:t>
      </w:r>
      <w:proofErr w:type="spellEnd"/>
      <w:r w:rsidRPr="00F94AF3">
        <w:rPr>
          <w:rFonts w:ascii="Arial" w:hAnsi="Arial" w:cs="Arial"/>
        </w:rPr>
        <w:t xml:space="preserve">), </w:t>
      </w:r>
      <w:r w:rsidRPr="00F94AF3">
        <w:rPr>
          <w:rFonts w:ascii="Arial" w:hAnsi="Arial" w:cs="Arial"/>
          <w:i/>
        </w:rPr>
        <w:t>The New Paternalism: Supervisory Approaches to Poverty</w:t>
      </w:r>
      <w:r w:rsidRPr="00F94AF3">
        <w:rPr>
          <w:rFonts w:ascii="Arial" w:hAnsi="Arial" w:cs="Arial"/>
        </w:rPr>
        <w:t xml:space="preserve"> (Brookings Institution Press, 1997) 190; George Valliant, ‘Poverty and Paternalism: A Psychiatric Viewpoint’ in in Lawrence Mead (</w:t>
      </w:r>
      <w:proofErr w:type="spellStart"/>
      <w:r w:rsidRPr="00F94AF3">
        <w:rPr>
          <w:rFonts w:ascii="Arial" w:hAnsi="Arial" w:cs="Arial"/>
        </w:rPr>
        <w:t>ed</w:t>
      </w:r>
      <w:proofErr w:type="spellEnd"/>
      <w:r w:rsidRPr="00F94AF3">
        <w:rPr>
          <w:rFonts w:ascii="Arial" w:hAnsi="Arial" w:cs="Arial"/>
        </w:rPr>
        <w:t xml:space="preserve">), </w:t>
      </w:r>
      <w:r w:rsidRPr="00F94AF3">
        <w:rPr>
          <w:rFonts w:ascii="Arial" w:hAnsi="Arial" w:cs="Arial"/>
          <w:i/>
        </w:rPr>
        <w:t>The New Paternalism: Supervisory Approaches to Poverty</w:t>
      </w:r>
      <w:r w:rsidRPr="00F94AF3">
        <w:rPr>
          <w:rFonts w:ascii="Arial" w:hAnsi="Arial" w:cs="Arial"/>
        </w:rPr>
        <w:t xml:space="preserve"> (Brookings Institution Press, 1997) 280.</w:t>
      </w:r>
    </w:p>
  </w:footnote>
  <w:footnote w:id="5">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Lawrence Mead, ‘The Rise of Paternalism’ in Lawrence Mead (</w:t>
      </w:r>
      <w:proofErr w:type="spellStart"/>
      <w:proofErr w:type="gramStart"/>
      <w:r w:rsidRPr="00F94AF3">
        <w:rPr>
          <w:rFonts w:ascii="Arial" w:hAnsi="Arial" w:cs="Arial"/>
        </w:rPr>
        <w:t>ed</w:t>
      </w:r>
      <w:proofErr w:type="spellEnd"/>
      <w:proofErr w:type="gramEnd"/>
      <w:r w:rsidRPr="00F94AF3">
        <w:rPr>
          <w:rFonts w:ascii="Arial" w:hAnsi="Arial" w:cs="Arial"/>
        </w:rPr>
        <w:t xml:space="preserve">), </w:t>
      </w:r>
      <w:r w:rsidRPr="00F94AF3">
        <w:rPr>
          <w:rFonts w:ascii="Arial" w:hAnsi="Arial" w:cs="Arial"/>
          <w:i/>
        </w:rPr>
        <w:t>The New Paternalism: Supervisory Approaches to Poverty</w:t>
      </w:r>
      <w:r w:rsidRPr="00F94AF3">
        <w:rPr>
          <w:rFonts w:ascii="Arial" w:hAnsi="Arial" w:cs="Arial"/>
        </w:rPr>
        <w:t xml:space="preserve"> (Brookings Institution Press, 1997) 21.</w:t>
      </w:r>
    </w:p>
  </w:footnote>
  <w:footnote w:id="6">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Commonwealth, </w:t>
      </w:r>
      <w:r w:rsidRPr="00F94AF3">
        <w:rPr>
          <w:rFonts w:ascii="Arial" w:hAnsi="Arial" w:cs="Arial"/>
          <w:i/>
        </w:rPr>
        <w:t>Parliamentary Debates</w:t>
      </w:r>
      <w:r w:rsidRPr="00F94AF3">
        <w:rPr>
          <w:rFonts w:ascii="Arial" w:hAnsi="Arial" w:cs="Arial"/>
        </w:rPr>
        <w:t xml:space="preserve">, House of Representatives, 7 August 2007, 2 (Minister Malcolm </w:t>
      </w:r>
      <w:proofErr w:type="spellStart"/>
      <w:r w:rsidRPr="00F94AF3">
        <w:rPr>
          <w:rFonts w:ascii="Arial" w:hAnsi="Arial" w:cs="Arial"/>
        </w:rPr>
        <w:t>Brough</w:t>
      </w:r>
      <w:proofErr w:type="spellEnd"/>
      <w:r w:rsidRPr="00F94AF3">
        <w:rPr>
          <w:rFonts w:ascii="Arial" w:hAnsi="Arial" w:cs="Arial"/>
        </w:rPr>
        <w:t>, Minister for Families, Community Services and Indigenous Affairs and Minister Assisting the Prime Minister for Indigenous Affairs).</w:t>
      </w:r>
    </w:p>
  </w:footnote>
  <w:footnote w:id="7">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Department of Social Services, </w:t>
      </w:r>
      <w:r w:rsidRPr="00F94AF3">
        <w:rPr>
          <w:rFonts w:ascii="Arial" w:hAnsi="Arial" w:cs="Arial"/>
          <w:i/>
        </w:rPr>
        <w:t>A New System for Better Employment and Social Outcomes – Interim Report of the Reference Group on Welfare Reform to the Minister for Social Services</w:t>
      </w:r>
      <w:r w:rsidRPr="00F94AF3">
        <w:rPr>
          <w:rFonts w:ascii="Arial" w:hAnsi="Arial" w:cs="Arial"/>
        </w:rPr>
        <w:t xml:space="preserve"> (June 2014) 117.</w:t>
      </w:r>
    </w:p>
  </w:footnote>
  <w:footnote w:id="8">
    <w:p w:rsidR="00693C73" w:rsidRPr="00F94AF3" w:rsidRDefault="00693C73"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Australian National Audit Office, </w:t>
      </w:r>
      <w:r w:rsidRPr="00F94AF3">
        <w:rPr>
          <w:rFonts w:ascii="Arial" w:hAnsi="Arial" w:cs="Arial"/>
          <w:i/>
        </w:rPr>
        <w:t xml:space="preserve">Administration of New Income Management in the Northern Territory </w:t>
      </w:r>
      <w:r w:rsidRPr="00F94AF3">
        <w:rPr>
          <w:rFonts w:ascii="Arial" w:hAnsi="Arial" w:cs="Arial"/>
        </w:rPr>
        <w:t>(Audit Report No. 19, 2012–13) 17.</w:t>
      </w:r>
    </w:p>
  </w:footnote>
  <w:footnote w:id="9">
    <w:p w:rsidR="00417879" w:rsidRPr="00F94AF3" w:rsidRDefault="00417879" w:rsidP="00417879">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J Rob Bray et al, </w:t>
      </w:r>
      <w:r w:rsidRPr="00F94AF3">
        <w:rPr>
          <w:rFonts w:ascii="Arial" w:hAnsi="Arial" w:cs="Arial"/>
          <w:i/>
        </w:rPr>
        <w:t>Evaluating New Income Management in the Northern Territory: First Evaluation Report</w:t>
      </w:r>
      <w:r w:rsidRPr="00F94AF3">
        <w:rPr>
          <w:rFonts w:ascii="Arial" w:hAnsi="Arial" w:cs="Arial"/>
        </w:rPr>
        <w:t xml:space="preserve"> (Social Policy Research Centre UNSW, July 2012) 33.</w:t>
      </w:r>
    </w:p>
  </w:footnote>
  <w:footnote w:id="10">
    <w:p w:rsidR="00266BFA" w:rsidRPr="00F94AF3" w:rsidRDefault="00266BFA" w:rsidP="00266BFA">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proofErr w:type="gramStart"/>
      <w:r w:rsidRPr="00F94AF3">
        <w:rPr>
          <w:rFonts w:ascii="Arial" w:hAnsi="Arial" w:cs="Arial"/>
        </w:rPr>
        <w:t xml:space="preserve">Shelley Bielefeld, ‘Compulsory Income Management – Exploring Counter Narratives amidst Colonial Constructions of Vulnerability’ (2014) forthcoming/accepted for publication </w:t>
      </w:r>
      <w:r w:rsidRPr="00F94AF3">
        <w:rPr>
          <w:rFonts w:ascii="Arial" w:hAnsi="Arial" w:cs="Arial"/>
          <w:i/>
        </w:rPr>
        <w:t>Sydney Law Review</w:t>
      </w:r>
      <w:r w:rsidRPr="00F94AF3">
        <w:rPr>
          <w:rFonts w:ascii="Arial" w:hAnsi="Arial" w:cs="Arial"/>
        </w:rPr>
        <w:t xml:space="preserve"> 1-31</w:t>
      </w:r>
      <w:r w:rsidR="00550465">
        <w:rPr>
          <w:rFonts w:ascii="Arial" w:hAnsi="Arial" w:cs="Arial"/>
        </w:rPr>
        <w:t>, 29</w:t>
      </w:r>
      <w:r w:rsidRPr="00F94AF3">
        <w:rPr>
          <w:rFonts w:ascii="Arial" w:hAnsi="Arial" w:cs="Arial"/>
        </w:rPr>
        <w:t>.</w:t>
      </w:r>
      <w:proofErr w:type="gramEnd"/>
    </w:p>
  </w:footnote>
  <w:footnote w:id="11">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Department of Social Services, </w:t>
      </w:r>
      <w:r w:rsidRPr="00F94AF3">
        <w:rPr>
          <w:rFonts w:ascii="Arial" w:hAnsi="Arial" w:cs="Arial"/>
          <w:i/>
        </w:rPr>
        <w:t>A New System for Better Employment and Social Outcomes – Interim Report of the Reference Group on Welfare Reform to the Minister for Social Services</w:t>
      </w:r>
      <w:r w:rsidRPr="00F94AF3">
        <w:rPr>
          <w:rFonts w:ascii="Arial" w:hAnsi="Arial" w:cs="Arial"/>
        </w:rPr>
        <w:t xml:space="preserve"> (June 2014) 84.</w:t>
      </w:r>
    </w:p>
  </w:footnote>
  <w:footnote w:id="12">
    <w:p w:rsidR="00840384" w:rsidRPr="00F94AF3" w:rsidRDefault="00840384" w:rsidP="00B67574">
      <w:pPr>
        <w:pStyle w:val="NoSpacing"/>
        <w:rPr>
          <w:rFonts w:ascii="Arial" w:hAnsi="Arial" w:cs="Arial"/>
          <w:sz w:val="20"/>
          <w:szCs w:val="20"/>
        </w:rPr>
      </w:pPr>
      <w:r w:rsidRPr="00F94AF3">
        <w:rPr>
          <w:rStyle w:val="FootnoteReference"/>
          <w:rFonts w:ascii="Arial" w:hAnsi="Arial" w:cs="Arial"/>
          <w:sz w:val="20"/>
          <w:szCs w:val="20"/>
        </w:rPr>
        <w:footnoteRef/>
      </w:r>
      <w:r w:rsidRPr="00F94AF3">
        <w:rPr>
          <w:rFonts w:ascii="Arial" w:hAnsi="Arial" w:cs="Arial"/>
          <w:sz w:val="20"/>
          <w:szCs w:val="20"/>
        </w:rPr>
        <w:t xml:space="preserve"> Commonwealth, </w:t>
      </w:r>
      <w:r w:rsidRPr="00F94AF3">
        <w:rPr>
          <w:rFonts w:ascii="Arial" w:hAnsi="Arial" w:cs="Arial"/>
          <w:i/>
          <w:sz w:val="20"/>
          <w:szCs w:val="20"/>
        </w:rPr>
        <w:t>Parliamentary Debates</w:t>
      </w:r>
      <w:r w:rsidRPr="00F94AF3">
        <w:rPr>
          <w:rFonts w:ascii="Arial" w:hAnsi="Arial" w:cs="Arial"/>
          <w:sz w:val="20"/>
          <w:szCs w:val="20"/>
        </w:rPr>
        <w:t xml:space="preserve">, House of Representatives, 7 August 2007, 2, 4, 6 (Minister Malcolm </w:t>
      </w:r>
      <w:proofErr w:type="spellStart"/>
      <w:r w:rsidRPr="00F94AF3">
        <w:rPr>
          <w:rFonts w:ascii="Arial" w:hAnsi="Arial" w:cs="Arial"/>
          <w:sz w:val="20"/>
          <w:szCs w:val="20"/>
        </w:rPr>
        <w:t>Brough</w:t>
      </w:r>
      <w:proofErr w:type="spellEnd"/>
      <w:r w:rsidRPr="00F94AF3">
        <w:rPr>
          <w:rFonts w:ascii="Arial" w:hAnsi="Arial" w:cs="Arial"/>
          <w:sz w:val="20"/>
          <w:szCs w:val="20"/>
        </w:rPr>
        <w:t xml:space="preserve">, Minister for Families, Community Services and Indigenous Affairs and Minister Assisting the Prime Minister for Indigenous Affairs); Commonwealth, </w:t>
      </w:r>
      <w:r w:rsidRPr="00F94AF3">
        <w:rPr>
          <w:rFonts w:ascii="Arial" w:hAnsi="Arial" w:cs="Arial"/>
          <w:i/>
          <w:sz w:val="20"/>
          <w:szCs w:val="20"/>
        </w:rPr>
        <w:t>Parliamentary Debates</w:t>
      </w:r>
      <w:r w:rsidRPr="00F94AF3">
        <w:rPr>
          <w:rFonts w:ascii="Arial" w:hAnsi="Arial" w:cs="Arial"/>
          <w:sz w:val="20"/>
          <w:szCs w:val="20"/>
        </w:rPr>
        <w:t xml:space="preserve">, House of Representatives, 25 November 2009, 12786 (Minister Jennifer Macklin, Minister for Families, Housing, Community Services and Indigenous Affairs); Commonwealth, </w:t>
      </w:r>
      <w:r w:rsidRPr="00F94AF3">
        <w:rPr>
          <w:rFonts w:ascii="Arial" w:hAnsi="Arial" w:cs="Arial"/>
          <w:i/>
          <w:iCs/>
          <w:sz w:val="20"/>
          <w:szCs w:val="20"/>
        </w:rPr>
        <w:t xml:space="preserve">Parliamentary Debates, </w:t>
      </w:r>
      <w:r w:rsidRPr="00F94AF3">
        <w:rPr>
          <w:rFonts w:ascii="Arial" w:hAnsi="Arial" w:cs="Arial"/>
          <w:iCs/>
          <w:sz w:val="20"/>
          <w:szCs w:val="20"/>
        </w:rPr>
        <w:t>House of Representatives, 23 November 2011</w:t>
      </w:r>
      <w:r w:rsidRPr="00F94AF3">
        <w:rPr>
          <w:rFonts w:ascii="Arial" w:hAnsi="Arial" w:cs="Arial"/>
          <w:sz w:val="20"/>
          <w:szCs w:val="20"/>
        </w:rPr>
        <w:t xml:space="preserve">, 13540 (Jennifer Macklin, Minister for Families, Housing, Community Services and Indigenous Affairs); </w:t>
      </w:r>
      <w:r w:rsidRPr="00F94AF3">
        <w:rPr>
          <w:rFonts w:ascii="Arial" w:hAnsi="Arial" w:cs="Arial"/>
          <w:sz w:val="20"/>
          <w:szCs w:val="20"/>
          <w:lang w:val="en-US"/>
        </w:rPr>
        <w:t>Explanatory Memorandum, Social Security Legislation Amendment Bill 2011</w:t>
      </w:r>
      <w:r w:rsidRPr="00F94AF3">
        <w:rPr>
          <w:rFonts w:ascii="Arial" w:hAnsi="Arial" w:cs="Arial"/>
          <w:i/>
          <w:sz w:val="20"/>
          <w:szCs w:val="20"/>
          <w:lang w:val="en-US"/>
        </w:rPr>
        <w:t xml:space="preserve"> </w:t>
      </w:r>
      <w:r w:rsidRPr="00F94AF3">
        <w:rPr>
          <w:rFonts w:ascii="Arial" w:hAnsi="Arial" w:cs="Arial"/>
          <w:sz w:val="20"/>
          <w:szCs w:val="20"/>
          <w:lang w:val="en-US"/>
        </w:rPr>
        <w:t>(</w:t>
      </w:r>
      <w:proofErr w:type="spellStart"/>
      <w:r w:rsidRPr="00F94AF3">
        <w:rPr>
          <w:rFonts w:ascii="Arial" w:hAnsi="Arial" w:cs="Arial"/>
          <w:sz w:val="20"/>
          <w:szCs w:val="20"/>
          <w:lang w:val="en-US"/>
        </w:rPr>
        <w:t>Cth</w:t>
      </w:r>
      <w:proofErr w:type="spellEnd"/>
      <w:r w:rsidRPr="00F94AF3">
        <w:rPr>
          <w:rFonts w:ascii="Arial" w:hAnsi="Arial" w:cs="Arial"/>
          <w:sz w:val="20"/>
          <w:szCs w:val="20"/>
          <w:lang w:val="en-US"/>
        </w:rPr>
        <w:t>) 2.</w:t>
      </w:r>
    </w:p>
  </w:footnote>
  <w:footnote w:id="13">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J Rob Bray et al, </w:t>
      </w:r>
      <w:r w:rsidRPr="00F94AF3">
        <w:rPr>
          <w:rFonts w:ascii="Arial" w:hAnsi="Arial" w:cs="Arial"/>
          <w:i/>
        </w:rPr>
        <w:t>Evaluating New Income Management in the Northern Territory: First Evaluation Report</w:t>
      </w:r>
      <w:r w:rsidRPr="00F94AF3">
        <w:rPr>
          <w:rFonts w:ascii="Arial" w:hAnsi="Arial" w:cs="Arial"/>
        </w:rPr>
        <w:t xml:space="preserve"> (Social Policy Research Centre UNSW, July 2012) 9.</w:t>
      </w:r>
    </w:p>
  </w:footnote>
  <w:footnote w:id="14">
    <w:p w:rsidR="002747C0" w:rsidRPr="00F94AF3" w:rsidRDefault="002747C0" w:rsidP="00B67574">
      <w:pPr>
        <w:pStyle w:val="NoSpacing"/>
        <w:rPr>
          <w:rFonts w:ascii="Arial" w:hAnsi="Arial" w:cs="Arial"/>
          <w:sz w:val="20"/>
          <w:szCs w:val="20"/>
        </w:rPr>
      </w:pPr>
      <w:r w:rsidRPr="00F94AF3">
        <w:rPr>
          <w:rStyle w:val="FootnoteReference"/>
          <w:rFonts w:ascii="Arial" w:hAnsi="Arial" w:cs="Arial"/>
          <w:sz w:val="20"/>
          <w:szCs w:val="20"/>
        </w:rPr>
        <w:footnoteRef/>
      </w:r>
      <w:r w:rsidRPr="00F94AF3">
        <w:rPr>
          <w:rFonts w:ascii="Arial" w:hAnsi="Arial" w:cs="Arial"/>
          <w:sz w:val="20"/>
          <w:szCs w:val="20"/>
        </w:rPr>
        <w:t xml:space="preserve"> J Rob Bray et al, </w:t>
      </w:r>
      <w:r w:rsidRPr="00F94AF3">
        <w:rPr>
          <w:rFonts w:ascii="Arial" w:hAnsi="Arial" w:cs="Arial"/>
          <w:i/>
          <w:sz w:val="20"/>
          <w:szCs w:val="20"/>
        </w:rPr>
        <w:t>Evaluating New Income Management in the Northern Territory: First Evaluation Report</w:t>
      </w:r>
      <w:r w:rsidRPr="00F94AF3">
        <w:rPr>
          <w:rFonts w:ascii="Arial" w:hAnsi="Arial" w:cs="Arial"/>
          <w:sz w:val="20"/>
          <w:szCs w:val="20"/>
        </w:rPr>
        <w:t xml:space="preserve"> (Social Policy Research Centre UNSW, July 2012) 267.</w:t>
      </w:r>
    </w:p>
  </w:footnote>
  <w:footnote w:id="15">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J Rob Bray et al, </w:t>
      </w:r>
      <w:r w:rsidRPr="00F94AF3">
        <w:rPr>
          <w:rFonts w:ascii="Arial" w:hAnsi="Arial" w:cs="Arial"/>
          <w:i/>
        </w:rPr>
        <w:t>Evaluating New Income Management in the Northern Territory: First Evaluation Report</w:t>
      </w:r>
      <w:r w:rsidRPr="00F94AF3">
        <w:rPr>
          <w:rFonts w:ascii="Arial" w:hAnsi="Arial" w:cs="Arial"/>
        </w:rPr>
        <w:t xml:space="preserve"> (Social Policy Research Centre UNSW, July 2012) 229.</w:t>
      </w:r>
    </w:p>
  </w:footnote>
  <w:footnote w:id="16">
    <w:p w:rsidR="00732A89" w:rsidRPr="00F94AF3" w:rsidRDefault="00732A89"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J Rob Bray et al, </w:t>
      </w:r>
      <w:r w:rsidRPr="00F94AF3">
        <w:rPr>
          <w:rFonts w:ascii="Arial" w:hAnsi="Arial" w:cs="Arial"/>
          <w:i/>
        </w:rPr>
        <w:t>Evaluating New Income Management in the Northern Territory: First Evaluation Report</w:t>
      </w:r>
      <w:r w:rsidRPr="00F94AF3">
        <w:rPr>
          <w:rFonts w:ascii="Arial" w:hAnsi="Arial" w:cs="Arial"/>
        </w:rPr>
        <w:t xml:space="preserve"> (Social Policy Research Centre UNSW, July 2012) xx.</w:t>
      </w:r>
    </w:p>
  </w:footnote>
  <w:footnote w:id="17">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proofErr w:type="gramStart"/>
      <w:r w:rsidRPr="00F94AF3">
        <w:rPr>
          <w:rFonts w:ascii="Arial" w:hAnsi="Arial" w:cs="Arial"/>
          <w:lang w:val="en-US"/>
        </w:rPr>
        <w:t xml:space="preserve">Equality Rights Alliance, </w:t>
      </w:r>
      <w:r w:rsidRPr="00F94AF3">
        <w:rPr>
          <w:rFonts w:ascii="Arial" w:hAnsi="Arial" w:cs="Arial"/>
          <w:i/>
          <w:lang w:val="en-US"/>
        </w:rPr>
        <w:t>Women’s Experience of Income Management in the Northern Territory</w:t>
      </w:r>
      <w:r w:rsidRPr="00F94AF3">
        <w:rPr>
          <w:rFonts w:ascii="Arial" w:hAnsi="Arial" w:cs="Arial"/>
          <w:lang w:val="en-US"/>
        </w:rPr>
        <w:t xml:space="preserve"> (2011), 40 &lt;www.equalityrightsalliance.org.au&gt;.</w:t>
      </w:r>
      <w:proofErr w:type="gramEnd"/>
    </w:p>
  </w:footnote>
  <w:footnote w:id="18">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proofErr w:type="gramStart"/>
      <w:r w:rsidRPr="00F94AF3">
        <w:rPr>
          <w:rFonts w:ascii="Arial" w:hAnsi="Arial" w:cs="Arial"/>
          <w:lang w:val="en-US"/>
        </w:rPr>
        <w:t xml:space="preserve">Equality Rights Alliance, </w:t>
      </w:r>
      <w:r w:rsidRPr="00F94AF3">
        <w:rPr>
          <w:rFonts w:ascii="Arial" w:hAnsi="Arial" w:cs="Arial"/>
          <w:i/>
          <w:lang w:val="en-US"/>
        </w:rPr>
        <w:t>Women’s Experience of Income Management in the Northern Territory</w:t>
      </w:r>
      <w:r w:rsidRPr="00F94AF3">
        <w:rPr>
          <w:rFonts w:ascii="Arial" w:hAnsi="Arial" w:cs="Arial"/>
          <w:lang w:val="en-US"/>
        </w:rPr>
        <w:t xml:space="preserve"> (2011), 40 &lt;www.equalityrightsalliance.org.au&gt;.</w:t>
      </w:r>
      <w:proofErr w:type="gramEnd"/>
    </w:p>
  </w:footnote>
  <w:footnote w:id="19">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proofErr w:type="gramStart"/>
      <w:r w:rsidRPr="00F94AF3">
        <w:rPr>
          <w:rFonts w:ascii="Arial" w:hAnsi="Arial" w:cs="Arial"/>
          <w:lang w:val="en-US"/>
        </w:rPr>
        <w:t xml:space="preserve">Equality Rights Alliance, </w:t>
      </w:r>
      <w:r w:rsidRPr="00F94AF3">
        <w:rPr>
          <w:rFonts w:ascii="Arial" w:hAnsi="Arial" w:cs="Arial"/>
          <w:i/>
          <w:lang w:val="en-US"/>
        </w:rPr>
        <w:t>Women’s Experience of Income Management in the Northern Territory</w:t>
      </w:r>
      <w:r w:rsidRPr="00F94AF3">
        <w:rPr>
          <w:rFonts w:ascii="Arial" w:hAnsi="Arial" w:cs="Arial"/>
          <w:lang w:val="en-US"/>
        </w:rPr>
        <w:t xml:space="preserve"> (2011), 29 &lt;www.equalityrightsalliance.org.au&gt;.</w:t>
      </w:r>
      <w:proofErr w:type="gramEnd"/>
    </w:p>
  </w:footnote>
  <w:footnote w:id="20">
    <w:p w:rsidR="00A678A5" w:rsidRPr="00F94AF3" w:rsidRDefault="00A678A5" w:rsidP="0049683F">
      <w:pPr>
        <w:pStyle w:val="NoSpacing"/>
        <w:rPr>
          <w:rFonts w:ascii="Arial" w:hAnsi="Arial" w:cs="Arial"/>
          <w:sz w:val="20"/>
          <w:szCs w:val="20"/>
        </w:rPr>
      </w:pPr>
      <w:r w:rsidRPr="00F94AF3">
        <w:rPr>
          <w:rStyle w:val="FootnoteReference"/>
          <w:rFonts w:ascii="Arial" w:hAnsi="Arial" w:cs="Arial"/>
          <w:sz w:val="20"/>
          <w:szCs w:val="20"/>
        </w:rPr>
        <w:footnoteRef/>
      </w:r>
      <w:r w:rsidRPr="00F94AF3">
        <w:rPr>
          <w:rFonts w:ascii="Arial" w:hAnsi="Arial" w:cs="Arial"/>
          <w:sz w:val="20"/>
          <w:szCs w:val="20"/>
        </w:rPr>
        <w:t xml:space="preserve"> </w:t>
      </w:r>
      <w:proofErr w:type="gramStart"/>
      <w:r w:rsidR="00281AE2" w:rsidRPr="00F94AF3">
        <w:rPr>
          <w:rFonts w:ascii="Arial" w:hAnsi="Arial" w:cs="Arial"/>
          <w:color w:val="000000"/>
          <w:sz w:val="20"/>
          <w:szCs w:val="20"/>
        </w:rPr>
        <w:t>Dep</w:t>
      </w:r>
      <w:r w:rsidR="0049683F" w:rsidRPr="00F94AF3">
        <w:rPr>
          <w:rFonts w:ascii="Arial" w:hAnsi="Arial" w:cs="Arial"/>
          <w:color w:val="000000"/>
          <w:sz w:val="20"/>
          <w:szCs w:val="20"/>
        </w:rPr>
        <w:t xml:space="preserve">artment </w:t>
      </w:r>
      <w:r w:rsidR="00281AE2" w:rsidRPr="00F94AF3">
        <w:rPr>
          <w:rFonts w:ascii="Arial" w:hAnsi="Arial" w:cs="Arial"/>
          <w:color w:val="000000"/>
          <w:sz w:val="20"/>
          <w:szCs w:val="20"/>
        </w:rPr>
        <w:t>of Families, Housing, Community Services and Indigenous Affairs</w:t>
      </w:r>
      <w:r w:rsidR="0049683F" w:rsidRPr="00F94AF3">
        <w:rPr>
          <w:rFonts w:ascii="Arial" w:hAnsi="Arial" w:cs="Arial"/>
          <w:color w:val="000000"/>
          <w:sz w:val="20"/>
          <w:szCs w:val="20"/>
        </w:rPr>
        <w:t xml:space="preserve">, </w:t>
      </w:r>
      <w:r w:rsidR="00281AE2" w:rsidRPr="00F94AF3">
        <w:rPr>
          <w:rFonts w:ascii="Arial" w:hAnsi="Arial" w:cs="Arial"/>
          <w:i/>
          <w:sz w:val="20"/>
          <w:szCs w:val="20"/>
        </w:rPr>
        <w:t xml:space="preserve">Cape York Welfare Reform Evaluation </w:t>
      </w:r>
      <w:r w:rsidR="0049683F" w:rsidRPr="00F94AF3">
        <w:rPr>
          <w:rFonts w:ascii="Arial" w:hAnsi="Arial" w:cs="Arial"/>
          <w:sz w:val="20"/>
          <w:szCs w:val="20"/>
        </w:rPr>
        <w:t>(</w:t>
      </w:r>
      <w:r w:rsidR="00281AE2" w:rsidRPr="00F94AF3">
        <w:rPr>
          <w:rFonts w:ascii="Arial" w:hAnsi="Arial" w:cs="Arial"/>
          <w:sz w:val="20"/>
          <w:szCs w:val="20"/>
        </w:rPr>
        <w:t>2012</w:t>
      </w:r>
      <w:r w:rsidR="0049683F" w:rsidRPr="00F94AF3">
        <w:rPr>
          <w:rFonts w:ascii="Arial" w:hAnsi="Arial" w:cs="Arial"/>
          <w:sz w:val="20"/>
          <w:szCs w:val="20"/>
        </w:rPr>
        <w:t>)</w:t>
      </w:r>
      <w:r w:rsidR="00281AE2" w:rsidRPr="00F94AF3">
        <w:rPr>
          <w:rFonts w:ascii="Arial" w:hAnsi="Arial" w:cs="Arial"/>
          <w:sz w:val="20"/>
          <w:szCs w:val="20"/>
        </w:rPr>
        <w:t xml:space="preserve"> </w:t>
      </w:r>
      <w:r w:rsidRPr="00F94AF3">
        <w:rPr>
          <w:rFonts w:ascii="Arial" w:hAnsi="Arial" w:cs="Arial"/>
          <w:sz w:val="20"/>
          <w:szCs w:val="20"/>
        </w:rPr>
        <w:t>206.</w:t>
      </w:r>
      <w:proofErr w:type="gramEnd"/>
    </w:p>
  </w:footnote>
  <w:footnote w:id="21">
    <w:p w:rsidR="00A678A5" w:rsidRPr="00F94AF3" w:rsidRDefault="00A678A5" w:rsidP="0049683F">
      <w:pPr>
        <w:pStyle w:val="NoSpacing"/>
        <w:rPr>
          <w:rFonts w:ascii="Arial" w:hAnsi="Arial" w:cs="Arial"/>
          <w:sz w:val="20"/>
          <w:szCs w:val="20"/>
        </w:rPr>
      </w:pPr>
      <w:r w:rsidRPr="00F94AF3">
        <w:rPr>
          <w:rStyle w:val="FootnoteReference"/>
          <w:rFonts w:ascii="Arial" w:hAnsi="Arial" w:cs="Arial"/>
          <w:sz w:val="20"/>
          <w:szCs w:val="20"/>
        </w:rPr>
        <w:footnoteRef/>
      </w:r>
      <w:r w:rsidRPr="00F94AF3">
        <w:rPr>
          <w:rFonts w:ascii="Arial" w:hAnsi="Arial" w:cs="Arial"/>
          <w:sz w:val="20"/>
          <w:szCs w:val="20"/>
        </w:rPr>
        <w:t xml:space="preserve"> </w:t>
      </w:r>
      <w:proofErr w:type="gramStart"/>
      <w:r w:rsidR="0049683F" w:rsidRPr="00F94AF3">
        <w:rPr>
          <w:rFonts w:ascii="Arial" w:hAnsi="Arial" w:cs="Arial"/>
          <w:color w:val="000000"/>
          <w:sz w:val="20"/>
          <w:szCs w:val="20"/>
        </w:rPr>
        <w:t xml:space="preserve">Department of Families, Housing, Community Services and Indigenous Affairs, </w:t>
      </w:r>
      <w:r w:rsidR="0049683F" w:rsidRPr="00F94AF3">
        <w:rPr>
          <w:rFonts w:ascii="Arial" w:hAnsi="Arial" w:cs="Arial"/>
          <w:i/>
          <w:sz w:val="20"/>
          <w:szCs w:val="20"/>
        </w:rPr>
        <w:t xml:space="preserve">Cape York Welfare Reform Evaluation </w:t>
      </w:r>
      <w:r w:rsidR="0049683F" w:rsidRPr="00F94AF3">
        <w:rPr>
          <w:rFonts w:ascii="Arial" w:hAnsi="Arial" w:cs="Arial"/>
          <w:sz w:val="20"/>
          <w:szCs w:val="20"/>
        </w:rPr>
        <w:t xml:space="preserve">(2012) </w:t>
      </w:r>
      <w:r w:rsidRPr="00F94AF3">
        <w:rPr>
          <w:rFonts w:ascii="Arial" w:hAnsi="Arial" w:cs="Arial"/>
          <w:sz w:val="20"/>
          <w:szCs w:val="20"/>
        </w:rPr>
        <w:t>207.</w:t>
      </w:r>
      <w:proofErr w:type="gramEnd"/>
    </w:p>
  </w:footnote>
  <w:footnote w:id="22">
    <w:p w:rsidR="00724745" w:rsidRPr="00F94AF3" w:rsidRDefault="00724745">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proofErr w:type="gramStart"/>
      <w:r w:rsidR="0049683F" w:rsidRPr="00F94AF3">
        <w:rPr>
          <w:rFonts w:ascii="Arial" w:hAnsi="Arial" w:cs="Arial"/>
          <w:color w:val="000000"/>
        </w:rPr>
        <w:t xml:space="preserve">Department of Families, Housing, Community Services and Indigenous Affairs, </w:t>
      </w:r>
      <w:r w:rsidR="0049683F" w:rsidRPr="00F94AF3">
        <w:rPr>
          <w:rFonts w:ascii="Arial" w:hAnsi="Arial" w:cs="Arial"/>
          <w:i/>
        </w:rPr>
        <w:t xml:space="preserve">Cape York Welfare Reform Evaluation </w:t>
      </w:r>
      <w:r w:rsidR="0049683F" w:rsidRPr="00F94AF3">
        <w:rPr>
          <w:rFonts w:ascii="Arial" w:hAnsi="Arial" w:cs="Arial"/>
        </w:rPr>
        <w:t xml:space="preserve">(2012) </w:t>
      </w:r>
      <w:r w:rsidRPr="00F94AF3">
        <w:rPr>
          <w:rFonts w:ascii="Arial" w:hAnsi="Arial" w:cs="Arial"/>
        </w:rPr>
        <w:t>207.</w:t>
      </w:r>
      <w:proofErr w:type="gramEnd"/>
    </w:p>
  </w:footnote>
  <w:footnote w:id="23">
    <w:p w:rsidR="00F07AF2" w:rsidRPr="00F94AF3" w:rsidRDefault="00F07AF2">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proofErr w:type="gramStart"/>
      <w:r w:rsidRPr="00F94AF3">
        <w:rPr>
          <w:rFonts w:ascii="Arial" w:hAnsi="Arial" w:cs="Arial"/>
          <w:color w:val="000000"/>
        </w:rPr>
        <w:t xml:space="preserve">Department of Families, Housing, Community Services and Indigenous Affairs, </w:t>
      </w:r>
      <w:r w:rsidRPr="00F94AF3">
        <w:rPr>
          <w:rFonts w:ascii="Arial" w:hAnsi="Arial" w:cs="Arial"/>
          <w:i/>
        </w:rPr>
        <w:t xml:space="preserve">Cape York Welfare Reform Evaluation </w:t>
      </w:r>
      <w:r w:rsidRPr="00F94AF3">
        <w:rPr>
          <w:rFonts w:ascii="Arial" w:hAnsi="Arial" w:cs="Arial"/>
        </w:rPr>
        <w:t>(2012) 212.</w:t>
      </w:r>
      <w:proofErr w:type="gramEnd"/>
    </w:p>
  </w:footnote>
  <w:footnote w:id="24">
    <w:p w:rsidR="002747C0" w:rsidRPr="00F94AF3" w:rsidRDefault="002747C0" w:rsidP="00B67574">
      <w:pPr>
        <w:pStyle w:val="NoSpacing"/>
        <w:rPr>
          <w:rFonts w:ascii="Arial" w:hAnsi="Arial" w:cs="Arial"/>
          <w:sz w:val="20"/>
          <w:szCs w:val="20"/>
        </w:rPr>
      </w:pPr>
      <w:r w:rsidRPr="00F94AF3">
        <w:rPr>
          <w:rStyle w:val="FootnoteReference"/>
          <w:rFonts w:ascii="Arial" w:hAnsi="Arial" w:cs="Arial"/>
          <w:sz w:val="20"/>
          <w:szCs w:val="20"/>
        </w:rPr>
        <w:footnoteRef/>
      </w:r>
      <w:r w:rsidRPr="00F94AF3">
        <w:rPr>
          <w:rFonts w:ascii="Arial" w:hAnsi="Arial" w:cs="Arial"/>
          <w:sz w:val="20"/>
          <w:szCs w:val="20"/>
        </w:rPr>
        <w:t xml:space="preserve"> Australian Indigenous Doctors’ Association (AIDA) and Centre for Health Equity Training, Research and Evaluation, University of New South Wales, </w:t>
      </w:r>
      <w:r w:rsidRPr="00F94AF3">
        <w:rPr>
          <w:rFonts w:ascii="Arial" w:hAnsi="Arial" w:cs="Arial"/>
          <w:i/>
          <w:sz w:val="20"/>
          <w:szCs w:val="20"/>
        </w:rPr>
        <w:t xml:space="preserve">Health Impact Assessment of the Northern Territory Emergency Response </w:t>
      </w:r>
      <w:r w:rsidRPr="00F94AF3">
        <w:rPr>
          <w:rFonts w:ascii="Arial" w:hAnsi="Arial" w:cs="Arial"/>
          <w:sz w:val="20"/>
          <w:szCs w:val="20"/>
        </w:rPr>
        <w:t>(2010) 23-25.</w:t>
      </w:r>
    </w:p>
  </w:footnote>
  <w:footnote w:id="25">
    <w:p w:rsidR="002747C0" w:rsidRPr="00F94AF3" w:rsidRDefault="002747C0" w:rsidP="00B67574">
      <w:pPr>
        <w:pStyle w:val="NoSpacing"/>
        <w:rPr>
          <w:rFonts w:ascii="Arial" w:hAnsi="Arial" w:cs="Arial"/>
          <w:sz w:val="20"/>
          <w:szCs w:val="20"/>
        </w:rPr>
      </w:pPr>
      <w:r w:rsidRPr="00F94AF3">
        <w:rPr>
          <w:rStyle w:val="FootnoteReference"/>
          <w:rFonts w:ascii="Arial" w:hAnsi="Arial" w:cs="Arial"/>
          <w:sz w:val="20"/>
          <w:szCs w:val="20"/>
        </w:rPr>
        <w:footnoteRef/>
      </w:r>
      <w:r w:rsidRPr="00F94AF3">
        <w:rPr>
          <w:rFonts w:ascii="Arial" w:hAnsi="Arial" w:cs="Arial"/>
          <w:sz w:val="20"/>
          <w:szCs w:val="20"/>
        </w:rPr>
        <w:t xml:space="preserve"> Senate Estimates, Parliament of Australia, House of Representatives, </w:t>
      </w:r>
      <w:r w:rsidRPr="00F94AF3">
        <w:rPr>
          <w:rFonts w:ascii="Arial" w:hAnsi="Arial" w:cs="Arial"/>
          <w:i/>
          <w:color w:val="000000"/>
          <w:sz w:val="20"/>
          <w:szCs w:val="20"/>
        </w:rPr>
        <w:t xml:space="preserve">Income Management Summary </w:t>
      </w:r>
      <w:r w:rsidRPr="00F94AF3">
        <w:rPr>
          <w:rFonts w:ascii="Arial" w:hAnsi="Arial" w:cs="Arial"/>
          <w:sz w:val="20"/>
          <w:szCs w:val="20"/>
        </w:rPr>
        <w:t xml:space="preserve">– </w:t>
      </w:r>
      <w:r w:rsidRPr="00F94AF3">
        <w:rPr>
          <w:rFonts w:ascii="Arial" w:hAnsi="Arial" w:cs="Arial"/>
          <w:i/>
          <w:color w:val="000000"/>
          <w:sz w:val="20"/>
          <w:szCs w:val="20"/>
        </w:rPr>
        <w:t>27 December 2013</w:t>
      </w:r>
      <w:r w:rsidRPr="00F94AF3">
        <w:rPr>
          <w:rFonts w:ascii="Arial" w:hAnsi="Arial" w:cs="Arial"/>
          <w:color w:val="000000"/>
          <w:sz w:val="20"/>
          <w:szCs w:val="20"/>
        </w:rPr>
        <w:t xml:space="preserve"> (February 2014) 1; </w:t>
      </w:r>
      <w:r w:rsidRPr="00F94AF3">
        <w:rPr>
          <w:rFonts w:ascii="Arial" w:hAnsi="Arial" w:cs="Arial"/>
          <w:sz w:val="20"/>
          <w:szCs w:val="20"/>
        </w:rPr>
        <w:t xml:space="preserve">J Rob Bray et al, </w:t>
      </w:r>
      <w:r w:rsidRPr="00F94AF3">
        <w:rPr>
          <w:rFonts w:ascii="Arial" w:hAnsi="Arial" w:cs="Arial"/>
          <w:i/>
          <w:sz w:val="20"/>
          <w:szCs w:val="20"/>
        </w:rPr>
        <w:t>Evaluating New Income Management in the Northern Territory: First Evaluation Report</w:t>
      </w:r>
      <w:r w:rsidRPr="00F94AF3">
        <w:rPr>
          <w:rFonts w:ascii="Arial" w:hAnsi="Arial" w:cs="Arial"/>
          <w:sz w:val="20"/>
          <w:szCs w:val="20"/>
        </w:rPr>
        <w:t xml:space="preserve"> (Social Policy Research Centre UNSW, July 2012) 254. </w:t>
      </w:r>
    </w:p>
  </w:footnote>
  <w:footnote w:id="26">
    <w:p w:rsidR="009B6E0B" w:rsidRPr="00F94AF3" w:rsidRDefault="009B6E0B" w:rsidP="009B6E0B">
      <w:pPr>
        <w:pStyle w:val="NoSpacing"/>
        <w:rPr>
          <w:rFonts w:ascii="Arial" w:hAnsi="Arial" w:cs="Arial"/>
          <w:sz w:val="20"/>
          <w:szCs w:val="20"/>
        </w:rPr>
      </w:pPr>
      <w:r w:rsidRPr="00F94AF3">
        <w:rPr>
          <w:rStyle w:val="FootnoteReference"/>
          <w:rFonts w:ascii="Arial" w:hAnsi="Arial" w:cs="Arial"/>
          <w:sz w:val="20"/>
          <w:szCs w:val="20"/>
        </w:rPr>
        <w:footnoteRef/>
      </w:r>
      <w:r w:rsidRPr="00F94AF3">
        <w:rPr>
          <w:rFonts w:ascii="Arial" w:hAnsi="Arial" w:cs="Arial"/>
          <w:sz w:val="20"/>
          <w:szCs w:val="20"/>
        </w:rPr>
        <w:t xml:space="preserve"> </w:t>
      </w:r>
      <w:proofErr w:type="gramStart"/>
      <w:r w:rsidRPr="00F94AF3">
        <w:rPr>
          <w:rFonts w:ascii="Arial" w:hAnsi="Arial" w:cs="Arial"/>
          <w:sz w:val="20"/>
          <w:szCs w:val="20"/>
          <w:lang w:val="en-US"/>
        </w:rPr>
        <w:t>Explanatory Memorandum, Social Security Legislation Amendment Bill 2011</w:t>
      </w:r>
      <w:r w:rsidRPr="00F94AF3">
        <w:rPr>
          <w:rFonts w:ascii="Arial" w:hAnsi="Arial" w:cs="Arial"/>
          <w:i/>
          <w:sz w:val="20"/>
          <w:szCs w:val="20"/>
          <w:lang w:val="en-US"/>
        </w:rPr>
        <w:t xml:space="preserve"> </w:t>
      </w:r>
      <w:r w:rsidRPr="00F94AF3">
        <w:rPr>
          <w:rFonts w:ascii="Arial" w:hAnsi="Arial" w:cs="Arial"/>
          <w:sz w:val="20"/>
          <w:szCs w:val="20"/>
          <w:lang w:val="en-US"/>
        </w:rPr>
        <w:t>(</w:t>
      </w:r>
      <w:proofErr w:type="spellStart"/>
      <w:r w:rsidRPr="00F94AF3">
        <w:rPr>
          <w:rFonts w:ascii="Arial" w:hAnsi="Arial" w:cs="Arial"/>
          <w:sz w:val="20"/>
          <w:szCs w:val="20"/>
          <w:lang w:val="en-US"/>
        </w:rPr>
        <w:t>Cth</w:t>
      </w:r>
      <w:proofErr w:type="spellEnd"/>
      <w:r w:rsidRPr="00F94AF3">
        <w:rPr>
          <w:rFonts w:ascii="Arial" w:hAnsi="Arial" w:cs="Arial"/>
          <w:sz w:val="20"/>
          <w:szCs w:val="20"/>
          <w:lang w:val="en-US"/>
        </w:rPr>
        <w:t>), 2.</w:t>
      </w:r>
      <w:proofErr w:type="gramEnd"/>
    </w:p>
  </w:footnote>
  <w:footnote w:id="27">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Australian Law Reform Commission (ALRC), </w:t>
      </w:r>
      <w:r w:rsidRPr="00F94AF3">
        <w:rPr>
          <w:rFonts w:ascii="Arial" w:hAnsi="Arial" w:cs="Arial"/>
          <w:i/>
        </w:rPr>
        <w:t>Family Violence and Commonwealth Laws – Improving Legal Frameworks</w:t>
      </w:r>
      <w:r w:rsidRPr="00F94AF3">
        <w:rPr>
          <w:rFonts w:ascii="Arial" w:hAnsi="Arial" w:cs="Arial"/>
        </w:rPr>
        <w:t>, Report No 117 (2011) 267-268.</w:t>
      </w:r>
    </w:p>
  </w:footnote>
  <w:footnote w:id="28">
    <w:p w:rsidR="00815574" w:rsidRPr="00F94AF3" w:rsidRDefault="00815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r w:rsidR="00EB79DA" w:rsidRPr="00F94AF3">
        <w:rPr>
          <w:rFonts w:ascii="Arial" w:hAnsi="Arial" w:cs="Arial"/>
        </w:rPr>
        <w:t xml:space="preserve">Indigenous Law Centre, </w:t>
      </w:r>
      <w:r w:rsidR="00EB79DA" w:rsidRPr="00F94AF3">
        <w:rPr>
          <w:rFonts w:ascii="Arial" w:hAnsi="Arial" w:cs="Arial"/>
          <w:i/>
        </w:rPr>
        <w:t>Submission CFV 144</w:t>
      </w:r>
      <w:r w:rsidR="00EB79DA" w:rsidRPr="00F94AF3">
        <w:rPr>
          <w:rFonts w:ascii="Arial" w:hAnsi="Arial" w:cs="Arial"/>
        </w:rPr>
        <w:t xml:space="preserve"> in </w:t>
      </w:r>
      <w:r w:rsidRPr="00F94AF3">
        <w:rPr>
          <w:rFonts w:ascii="Arial" w:hAnsi="Arial" w:cs="Arial"/>
        </w:rPr>
        <w:t xml:space="preserve">Australian Law Reform Commission (ALRC), </w:t>
      </w:r>
      <w:r w:rsidRPr="00F94AF3">
        <w:rPr>
          <w:rFonts w:ascii="Arial" w:hAnsi="Arial" w:cs="Arial"/>
          <w:i/>
        </w:rPr>
        <w:t>Family Violence and Commonwealth Laws – Improving Legal Frameworks</w:t>
      </w:r>
      <w:r w:rsidRPr="00F94AF3">
        <w:rPr>
          <w:rFonts w:ascii="Arial" w:hAnsi="Arial" w:cs="Arial"/>
        </w:rPr>
        <w:t>, Report No 117 (2011) 271.</w:t>
      </w:r>
    </w:p>
  </w:footnote>
  <w:footnote w:id="29">
    <w:p w:rsidR="00815574" w:rsidRPr="00F94AF3" w:rsidRDefault="00815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r w:rsidR="000841F3" w:rsidRPr="00F94AF3">
        <w:rPr>
          <w:rFonts w:ascii="Arial" w:hAnsi="Arial" w:cs="Arial"/>
        </w:rPr>
        <w:t xml:space="preserve">Australian Law Reform Commission (ALRC), </w:t>
      </w:r>
      <w:r w:rsidR="000841F3" w:rsidRPr="00F94AF3">
        <w:rPr>
          <w:rFonts w:ascii="Arial" w:hAnsi="Arial" w:cs="Arial"/>
          <w:i/>
        </w:rPr>
        <w:t>Family Violence and Commonwealth Laws – Improving Legal Frameworks</w:t>
      </w:r>
      <w:r w:rsidR="000841F3" w:rsidRPr="00F94AF3">
        <w:rPr>
          <w:rFonts w:ascii="Arial" w:hAnsi="Arial" w:cs="Arial"/>
        </w:rPr>
        <w:t>, Report No 117 (2011) 279.</w:t>
      </w:r>
      <w:r w:rsidR="0064688E" w:rsidRPr="00F94AF3">
        <w:rPr>
          <w:rFonts w:ascii="Arial" w:hAnsi="Arial" w:cs="Arial"/>
        </w:rPr>
        <w:t xml:space="preserve"> ‘Priority needs’ are defined by legislation, the </w:t>
      </w:r>
      <w:r w:rsidR="0064688E" w:rsidRPr="00F94AF3">
        <w:rPr>
          <w:rFonts w:ascii="Arial" w:hAnsi="Arial" w:cs="Arial"/>
          <w:i/>
        </w:rPr>
        <w:t>Social Security (Administration) Act 1999</w:t>
      </w:r>
      <w:r w:rsidR="0064688E" w:rsidRPr="00F94AF3">
        <w:rPr>
          <w:rFonts w:ascii="Arial" w:hAnsi="Arial" w:cs="Arial"/>
        </w:rPr>
        <w:t xml:space="preserve"> (</w:t>
      </w:r>
      <w:proofErr w:type="spellStart"/>
      <w:r w:rsidR="0064688E" w:rsidRPr="00F94AF3">
        <w:rPr>
          <w:rFonts w:ascii="Arial" w:hAnsi="Arial" w:cs="Arial"/>
        </w:rPr>
        <w:t>Cth</w:t>
      </w:r>
      <w:proofErr w:type="spellEnd"/>
      <w:r w:rsidR="0064688E" w:rsidRPr="00F94AF3">
        <w:rPr>
          <w:rFonts w:ascii="Arial" w:hAnsi="Arial" w:cs="Arial"/>
        </w:rPr>
        <w:t>) s 123TH(1) and include food, clothing, health, housing needs and certain household utilities.</w:t>
      </w:r>
    </w:p>
  </w:footnote>
  <w:footnote w:id="30">
    <w:p w:rsidR="00891F66" w:rsidRPr="00F94AF3" w:rsidRDefault="00891F66">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This issue was addressed in Recommendation 10—3, Australian Law Reform Commission (ALRC), </w:t>
      </w:r>
      <w:r w:rsidRPr="00F94AF3">
        <w:rPr>
          <w:rFonts w:ascii="Arial" w:hAnsi="Arial" w:cs="Arial"/>
          <w:i/>
        </w:rPr>
        <w:t>Family Violence and Commonwealth Laws – Improving Legal Frameworks</w:t>
      </w:r>
      <w:r w:rsidRPr="00F94AF3">
        <w:rPr>
          <w:rFonts w:ascii="Arial" w:hAnsi="Arial" w:cs="Arial"/>
        </w:rPr>
        <w:t>, Report No 117 (2011) 18.</w:t>
      </w:r>
    </w:p>
  </w:footnote>
  <w:footnote w:id="31">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Australian Law Reform Commission (ALRC), </w:t>
      </w:r>
      <w:r w:rsidRPr="00F94AF3">
        <w:rPr>
          <w:rFonts w:ascii="Arial" w:hAnsi="Arial" w:cs="Arial"/>
          <w:i/>
        </w:rPr>
        <w:t>Family Violence and Commonwealth Laws – Improving Legal Frameworks</w:t>
      </w:r>
      <w:r w:rsidRPr="00F94AF3">
        <w:rPr>
          <w:rFonts w:ascii="Arial" w:hAnsi="Arial" w:cs="Arial"/>
        </w:rPr>
        <w:t>, Report No 117 (2011) 268.</w:t>
      </w:r>
    </w:p>
  </w:footnote>
  <w:footnote w:id="32">
    <w:p w:rsidR="00E96ABB" w:rsidRPr="00F94AF3" w:rsidRDefault="00E96ABB" w:rsidP="00E96ABB">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Australian Law Reform Commission (ALRC), </w:t>
      </w:r>
      <w:r w:rsidRPr="00F94AF3">
        <w:rPr>
          <w:rFonts w:ascii="Arial" w:hAnsi="Arial" w:cs="Arial"/>
          <w:i/>
        </w:rPr>
        <w:t>Family Violence and Commonwealth Laws – Improving Legal Frameworks</w:t>
      </w:r>
      <w:r w:rsidRPr="00F94AF3">
        <w:rPr>
          <w:rFonts w:ascii="Arial" w:hAnsi="Arial" w:cs="Arial"/>
        </w:rPr>
        <w:t>, Report No 117 (2011) 18.</w:t>
      </w:r>
    </w:p>
  </w:footnote>
  <w:footnote w:id="33">
    <w:p w:rsidR="00112ECD" w:rsidRPr="00F94AF3" w:rsidRDefault="00112ECD">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Australian Law Reform Commission (ALRC), </w:t>
      </w:r>
      <w:r w:rsidRPr="00F94AF3">
        <w:rPr>
          <w:rFonts w:ascii="Arial" w:hAnsi="Arial" w:cs="Arial"/>
          <w:i/>
        </w:rPr>
        <w:t>Family Violence and Commonwealth Laws – Improving Legal Frameworks</w:t>
      </w:r>
      <w:r w:rsidRPr="00F94AF3">
        <w:rPr>
          <w:rFonts w:ascii="Arial" w:hAnsi="Arial" w:cs="Arial"/>
        </w:rPr>
        <w:t>, Report No 117 (2011) 260.</w:t>
      </w:r>
    </w:p>
  </w:footnote>
  <w:footnote w:id="34">
    <w:p w:rsidR="00112ECD" w:rsidRPr="00F94AF3" w:rsidRDefault="00112ECD">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Australian Law Reform Commission (ALRC), </w:t>
      </w:r>
      <w:r w:rsidRPr="00F94AF3">
        <w:rPr>
          <w:rFonts w:ascii="Arial" w:hAnsi="Arial" w:cs="Arial"/>
          <w:i/>
        </w:rPr>
        <w:t>Family Violence and Commonwealth Laws – Improving Legal Frameworks</w:t>
      </w:r>
      <w:r w:rsidRPr="00F94AF3">
        <w:rPr>
          <w:rFonts w:ascii="Arial" w:hAnsi="Arial" w:cs="Arial"/>
        </w:rPr>
        <w:t>, Report No 117 (2011) 260.</w:t>
      </w:r>
    </w:p>
  </w:footnote>
  <w:footnote w:id="35">
    <w:p w:rsidR="00112ECD" w:rsidRPr="00F94AF3" w:rsidRDefault="00112ECD">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Good Shepherd Youth &amp; Family Service, </w:t>
      </w:r>
      <w:r w:rsidRPr="00F94AF3">
        <w:rPr>
          <w:rFonts w:ascii="Arial" w:hAnsi="Arial" w:cs="Arial"/>
          <w:i/>
        </w:rPr>
        <w:t>Submission CFV 132</w:t>
      </w:r>
      <w:r w:rsidRPr="00F94AF3">
        <w:rPr>
          <w:rFonts w:ascii="Arial" w:hAnsi="Arial" w:cs="Arial"/>
        </w:rPr>
        <w:t xml:space="preserve"> in Australian Law Reform Commission (ALRC), </w:t>
      </w:r>
      <w:r w:rsidRPr="00F94AF3">
        <w:rPr>
          <w:rFonts w:ascii="Arial" w:hAnsi="Arial" w:cs="Arial"/>
          <w:i/>
        </w:rPr>
        <w:t>Family Violence and Commonwealth Laws – Improving Legal Frameworks</w:t>
      </w:r>
      <w:r w:rsidRPr="00F94AF3">
        <w:rPr>
          <w:rFonts w:ascii="Arial" w:hAnsi="Arial" w:cs="Arial"/>
        </w:rPr>
        <w:t>, Report No 117 (2011) 260.</w:t>
      </w:r>
    </w:p>
  </w:footnote>
  <w:footnote w:id="36">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Australian Law Reform Commission (ALRC), </w:t>
      </w:r>
      <w:r w:rsidRPr="00F94AF3">
        <w:rPr>
          <w:rFonts w:ascii="Arial" w:hAnsi="Arial" w:cs="Arial"/>
          <w:i/>
        </w:rPr>
        <w:t>Family Violence and Commonwealth Laws – Improving Legal Frameworks</w:t>
      </w:r>
      <w:r w:rsidRPr="00F94AF3">
        <w:rPr>
          <w:rFonts w:ascii="Arial" w:hAnsi="Arial" w:cs="Arial"/>
        </w:rPr>
        <w:t>, Report No 117 (2011) 267.</w:t>
      </w:r>
    </w:p>
  </w:footnote>
  <w:footnote w:id="37">
    <w:p w:rsidR="0018216A" w:rsidRPr="00F94AF3" w:rsidRDefault="0018216A"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proofErr w:type="gramStart"/>
      <w:r w:rsidRPr="00F94AF3">
        <w:rPr>
          <w:rFonts w:ascii="Arial" w:hAnsi="Arial" w:cs="Arial"/>
        </w:rPr>
        <w:t xml:space="preserve">Under the </w:t>
      </w:r>
      <w:r w:rsidRPr="00F94AF3">
        <w:rPr>
          <w:rFonts w:ascii="Arial" w:hAnsi="Arial" w:cs="Arial"/>
          <w:i/>
          <w:lang w:val="en-US"/>
        </w:rPr>
        <w:t xml:space="preserve">Social Security Legislation Amendment Act 2012 </w:t>
      </w:r>
      <w:r w:rsidRPr="00F94AF3">
        <w:rPr>
          <w:rFonts w:ascii="Arial" w:hAnsi="Arial" w:cs="Arial"/>
          <w:lang w:val="en-US"/>
        </w:rPr>
        <w:t>(</w:t>
      </w:r>
      <w:proofErr w:type="spellStart"/>
      <w:r w:rsidRPr="00F94AF3">
        <w:rPr>
          <w:rFonts w:ascii="Arial" w:hAnsi="Arial" w:cs="Arial"/>
          <w:lang w:val="en-US"/>
        </w:rPr>
        <w:t>Cth</w:t>
      </w:r>
      <w:proofErr w:type="spellEnd"/>
      <w:r w:rsidRPr="00F94AF3">
        <w:rPr>
          <w:rFonts w:ascii="Arial" w:hAnsi="Arial" w:cs="Arial"/>
          <w:lang w:val="en-US"/>
        </w:rPr>
        <w:t>)</w:t>
      </w:r>
      <w:r w:rsidRPr="00F94AF3">
        <w:rPr>
          <w:rFonts w:ascii="Arial" w:hAnsi="Arial" w:cs="Arial"/>
        </w:rPr>
        <w:t>.</w:t>
      </w:r>
      <w:proofErr w:type="gramEnd"/>
    </w:p>
  </w:footnote>
  <w:footnote w:id="38">
    <w:p w:rsidR="00F531C8" w:rsidRPr="00F94AF3" w:rsidRDefault="00F531C8"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Parliamentary Joint Committee on Human Rights (PJCHR), Commonwealth Parliament, </w:t>
      </w:r>
      <w:r w:rsidRPr="00F94AF3">
        <w:rPr>
          <w:rFonts w:ascii="Arial" w:hAnsi="Arial" w:cs="Arial"/>
          <w:i/>
        </w:rPr>
        <w:t xml:space="preserve">Examination of legislation in accordance with the Human Rights (Parliamentary Scrutiny) Act 2011: Stronger Futures in the Northern Territory Act 2012 and related legislation </w:t>
      </w:r>
      <w:r w:rsidRPr="00F94AF3">
        <w:rPr>
          <w:rFonts w:ascii="Arial" w:hAnsi="Arial" w:cs="Arial"/>
        </w:rPr>
        <w:t>(June 2013) 49.</w:t>
      </w:r>
    </w:p>
  </w:footnote>
  <w:footnote w:id="39">
    <w:p w:rsidR="00F531C8" w:rsidRPr="00F94AF3" w:rsidRDefault="00F531C8"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Parliamentary Joint Committee on Human Rights (PJCHR), Commonwealth Parliament, </w:t>
      </w:r>
      <w:r w:rsidRPr="00F94AF3">
        <w:rPr>
          <w:rFonts w:ascii="Arial" w:hAnsi="Arial" w:cs="Arial"/>
          <w:i/>
        </w:rPr>
        <w:t xml:space="preserve">Examination of legislation in accordance with the Human Rights (Parliamentary Scrutiny) Act 2011: </w:t>
      </w:r>
      <w:r w:rsidRPr="00CB481B">
        <w:rPr>
          <w:rFonts w:ascii="Arial" w:hAnsi="Arial" w:cs="Arial"/>
          <w:i/>
        </w:rPr>
        <w:t xml:space="preserve">Stronger Futures in the Northern Territory Act 2012 and related legislation </w:t>
      </w:r>
      <w:r w:rsidRPr="00CB481B">
        <w:rPr>
          <w:rFonts w:ascii="Arial" w:hAnsi="Arial" w:cs="Arial"/>
        </w:rPr>
        <w:t>(June 2013) 51-52.</w:t>
      </w:r>
      <w:r w:rsidR="00CB481B" w:rsidRPr="00CB481B">
        <w:rPr>
          <w:rFonts w:ascii="Arial" w:hAnsi="Arial" w:cs="Arial"/>
        </w:rPr>
        <w:t xml:space="preserve"> The ICERD is the </w:t>
      </w:r>
      <w:r w:rsidR="00CB481B" w:rsidRPr="00CB481B">
        <w:rPr>
          <w:rFonts w:ascii="Arial" w:hAnsi="Arial" w:cs="Arial"/>
          <w:i/>
        </w:rPr>
        <w:t>International Convention on the Elimination of All Forms of Racial Discrimination</w:t>
      </w:r>
      <w:r w:rsidR="00CB481B" w:rsidRPr="00CB481B">
        <w:rPr>
          <w:rFonts w:ascii="Arial" w:hAnsi="Arial" w:cs="Arial"/>
        </w:rPr>
        <w:t>, opened for signature 21 December 1965, 660 UNTS 195 (entered into force 4 January 1969).</w:t>
      </w:r>
      <w:r w:rsidR="00CB481B">
        <w:t xml:space="preserve"> </w:t>
      </w:r>
    </w:p>
  </w:footnote>
  <w:footnote w:id="40">
    <w:p w:rsidR="007B134D" w:rsidRPr="00F94AF3" w:rsidRDefault="007B134D"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Parliamentary Joint Committee on Human Rights (PJCHR), Commonwealth Parliament, </w:t>
      </w:r>
      <w:r w:rsidRPr="00F94AF3">
        <w:rPr>
          <w:rFonts w:ascii="Arial" w:hAnsi="Arial" w:cs="Arial"/>
          <w:i/>
        </w:rPr>
        <w:t xml:space="preserve">Examination of legislation in accordance with the Human Rights (Parliamentary Scrutiny) Act 2011: Stronger Futures in the Northern Territory Act 2012 and related legislation </w:t>
      </w:r>
      <w:r w:rsidRPr="00F94AF3">
        <w:rPr>
          <w:rFonts w:ascii="Arial" w:hAnsi="Arial" w:cs="Arial"/>
        </w:rPr>
        <w:t>(June 2013) 61-62.</w:t>
      </w:r>
    </w:p>
  </w:footnote>
  <w:footnote w:id="41">
    <w:p w:rsidR="00861C99" w:rsidRPr="00F94AF3" w:rsidRDefault="00861C99" w:rsidP="00861C99">
      <w:pPr>
        <w:pStyle w:val="NoSpacing"/>
        <w:rPr>
          <w:rFonts w:ascii="Arial" w:hAnsi="Arial" w:cs="Arial"/>
          <w:sz w:val="20"/>
          <w:szCs w:val="20"/>
        </w:rPr>
      </w:pPr>
      <w:r w:rsidRPr="00F94AF3">
        <w:rPr>
          <w:rStyle w:val="FootnoteReference"/>
          <w:rFonts w:ascii="Arial" w:hAnsi="Arial" w:cs="Arial"/>
          <w:sz w:val="20"/>
          <w:szCs w:val="20"/>
        </w:rPr>
        <w:footnoteRef/>
      </w:r>
      <w:r w:rsidRPr="00F94AF3">
        <w:rPr>
          <w:rFonts w:ascii="Arial" w:hAnsi="Arial" w:cs="Arial"/>
          <w:sz w:val="20"/>
          <w:szCs w:val="20"/>
        </w:rPr>
        <w:t xml:space="preserve"> Parliamentary Joint Committee on Human Rights (PJCHR), Commonwealth Parliament, </w:t>
      </w:r>
      <w:r w:rsidRPr="00F94AF3">
        <w:rPr>
          <w:rFonts w:ascii="Arial" w:hAnsi="Arial" w:cs="Arial"/>
          <w:i/>
          <w:sz w:val="20"/>
          <w:szCs w:val="20"/>
        </w:rPr>
        <w:t xml:space="preserve">Examination of legislation in accordance with the Human Rights (Parliamentary Scrutiny) Act 2011: Stronger Futures in the Northern Territory Act 2012 and related legislation </w:t>
      </w:r>
      <w:r w:rsidRPr="00F94AF3">
        <w:rPr>
          <w:rFonts w:ascii="Arial" w:hAnsi="Arial" w:cs="Arial"/>
          <w:sz w:val="20"/>
          <w:szCs w:val="20"/>
        </w:rPr>
        <w:t xml:space="preserve">(June 2013) 75. The International Covenants on Human Rights referred to in this extract are the </w:t>
      </w:r>
      <w:r w:rsidRPr="00F94AF3">
        <w:rPr>
          <w:rStyle w:val="Emphasis"/>
          <w:rFonts w:ascii="Arial" w:hAnsi="Arial" w:cs="Arial"/>
          <w:sz w:val="20"/>
          <w:szCs w:val="20"/>
        </w:rPr>
        <w:t>International Covenant on Economic, Social and Cultural Rights</w:t>
      </w:r>
      <w:r w:rsidRPr="00F94AF3">
        <w:rPr>
          <w:rStyle w:val="option"/>
          <w:rFonts w:ascii="Arial" w:hAnsi="Arial" w:cs="Arial"/>
          <w:sz w:val="20"/>
          <w:szCs w:val="20"/>
        </w:rPr>
        <w:t xml:space="preserve">, opened for signature 16 December 1966, 993 UNTS 3 (entered into force 3 November 1976) (ICESCR); </w:t>
      </w:r>
      <w:r w:rsidRPr="00F94AF3">
        <w:rPr>
          <w:rStyle w:val="Emphasis"/>
          <w:rFonts w:ascii="Arial" w:hAnsi="Arial" w:cs="Arial"/>
          <w:sz w:val="20"/>
          <w:szCs w:val="20"/>
        </w:rPr>
        <w:t>International Covenant on Civil and Political Rights</w:t>
      </w:r>
      <w:r w:rsidRPr="00F94AF3">
        <w:rPr>
          <w:rStyle w:val="option"/>
          <w:rFonts w:ascii="Arial" w:hAnsi="Arial" w:cs="Arial"/>
          <w:sz w:val="20"/>
          <w:szCs w:val="20"/>
        </w:rPr>
        <w:t>, opened for signature 16 December 1966, UNTS 171 (entered into force 23 March 1976) (ICCPR).</w:t>
      </w:r>
    </w:p>
  </w:footnote>
  <w:footnote w:id="42">
    <w:p w:rsidR="0059780E" w:rsidRPr="00F94AF3" w:rsidRDefault="0059780E"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Such as those contained in the </w:t>
      </w:r>
      <w:r w:rsidRPr="00F94AF3">
        <w:rPr>
          <w:rFonts w:ascii="Arial" w:hAnsi="Arial" w:cs="Arial"/>
          <w:i/>
        </w:rPr>
        <w:t>International Convention on the Elimination of All Forms of Racial Discrimination</w:t>
      </w:r>
      <w:r w:rsidRPr="00F94AF3">
        <w:rPr>
          <w:rFonts w:ascii="Arial" w:hAnsi="Arial" w:cs="Arial"/>
        </w:rPr>
        <w:t xml:space="preserve">, opened for signature 21 December 1965, 660 UNTS 195 (entered into force 4 January 1969) Article 1 and the </w:t>
      </w:r>
      <w:r w:rsidRPr="00F94AF3">
        <w:rPr>
          <w:rStyle w:val="Emphasis"/>
          <w:rFonts w:ascii="Arial" w:hAnsi="Arial" w:cs="Arial"/>
        </w:rPr>
        <w:t>International Covenant on Economic, Social and Cultural Rights</w:t>
      </w:r>
      <w:r w:rsidRPr="00F94AF3">
        <w:rPr>
          <w:rStyle w:val="option"/>
          <w:rFonts w:ascii="Arial" w:hAnsi="Arial" w:cs="Arial"/>
        </w:rPr>
        <w:t>, opened for signature 16 December 1966, 993 UNTS 3 (entered into force 3 November 1976) Article 9.</w:t>
      </w:r>
    </w:p>
  </w:footnote>
  <w:footnote w:id="43">
    <w:p w:rsidR="00D53091" w:rsidRPr="00F94AF3" w:rsidRDefault="00D53091" w:rsidP="00B67574">
      <w:pPr>
        <w:pStyle w:val="NoSpacing"/>
        <w:rPr>
          <w:rFonts w:ascii="Arial" w:hAnsi="Arial" w:cs="Arial"/>
          <w:sz w:val="20"/>
          <w:szCs w:val="20"/>
          <w:lang w:val="en-US"/>
        </w:rPr>
      </w:pPr>
      <w:r w:rsidRPr="00F94AF3">
        <w:rPr>
          <w:rStyle w:val="FootnoteReference"/>
          <w:rFonts w:ascii="Arial" w:hAnsi="Arial" w:cs="Arial"/>
          <w:sz w:val="20"/>
          <w:szCs w:val="20"/>
        </w:rPr>
        <w:footnoteRef/>
      </w:r>
      <w:r w:rsidRPr="00F94AF3">
        <w:rPr>
          <w:rFonts w:ascii="Arial" w:hAnsi="Arial" w:cs="Arial"/>
          <w:sz w:val="20"/>
          <w:szCs w:val="20"/>
        </w:rPr>
        <w:t xml:space="preserve"> </w:t>
      </w:r>
      <w:proofErr w:type="gramStart"/>
      <w:r w:rsidRPr="00F94AF3">
        <w:rPr>
          <w:rFonts w:ascii="Arial" w:hAnsi="Arial" w:cs="Arial"/>
          <w:sz w:val="20"/>
          <w:szCs w:val="20"/>
        </w:rPr>
        <w:t>Shelley Bielefeld, ‘Compulsory Income Management and Indigenous Australians – Delivering Social Justice or Furthering Colonial Domination?’</w:t>
      </w:r>
      <w:proofErr w:type="gramEnd"/>
      <w:r w:rsidRPr="00F94AF3">
        <w:rPr>
          <w:rFonts w:ascii="Arial" w:hAnsi="Arial" w:cs="Arial"/>
          <w:sz w:val="20"/>
          <w:szCs w:val="20"/>
        </w:rPr>
        <w:t xml:space="preserve"> (2012) 35(2) </w:t>
      </w:r>
      <w:r w:rsidRPr="00F94AF3">
        <w:rPr>
          <w:rFonts w:ascii="Arial" w:hAnsi="Arial" w:cs="Arial"/>
          <w:i/>
          <w:sz w:val="20"/>
          <w:szCs w:val="20"/>
        </w:rPr>
        <w:t xml:space="preserve">University of New South Wales Law Journal </w:t>
      </w:r>
      <w:r w:rsidRPr="00F94AF3">
        <w:rPr>
          <w:rFonts w:ascii="Arial" w:hAnsi="Arial" w:cs="Arial"/>
          <w:sz w:val="20"/>
          <w:szCs w:val="20"/>
        </w:rPr>
        <w:t xml:space="preserve">522, 549; </w:t>
      </w:r>
      <w:r w:rsidRPr="00F94AF3">
        <w:rPr>
          <w:rFonts w:ascii="Arial" w:hAnsi="Arial" w:cs="Arial"/>
          <w:sz w:val="20"/>
          <w:szCs w:val="20"/>
          <w:lang w:val="en-US"/>
        </w:rPr>
        <w:t xml:space="preserve">Equality Rights Alliance, </w:t>
      </w:r>
      <w:r w:rsidRPr="00F94AF3">
        <w:rPr>
          <w:rFonts w:ascii="Arial" w:hAnsi="Arial" w:cs="Arial"/>
          <w:i/>
          <w:sz w:val="20"/>
          <w:szCs w:val="20"/>
          <w:lang w:val="en-US"/>
        </w:rPr>
        <w:t>Women’s Experience of Income Management in the Northern Territory</w:t>
      </w:r>
      <w:r w:rsidRPr="00F94AF3">
        <w:rPr>
          <w:rFonts w:ascii="Arial" w:hAnsi="Arial" w:cs="Arial"/>
          <w:sz w:val="20"/>
          <w:szCs w:val="20"/>
          <w:lang w:val="en-US"/>
        </w:rPr>
        <w:t xml:space="preserve"> (2011), 36 &lt;www.equalityrightsalliance.org.au&gt;; </w:t>
      </w:r>
      <w:r w:rsidRPr="00F94AF3">
        <w:rPr>
          <w:rFonts w:ascii="Arial" w:hAnsi="Arial" w:cs="Arial"/>
          <w:sz w:val="20"/>
          <w:szCs w:val="20"/>
        </w:rPr>
        <w:t xml:space="preserve">Australian Law Reform Commission (ALRC), </w:t>
      </w:r>
      <w:r w:rsidRPr="00F94AF3">
        <w:rPr>
          <w:rFonts w:ascii="Arial" w:hAnsi="Arial" w:cs="Arial"/>
          <w:i/>
          <w:sz w:val="20"/>
          <w:szCs w:val="20"/>
        </w:rPr>
        <w:t>Family Violence and Commonwealth Laws – Improving Legal Frameworks</w:t>
      </w:r>
      <w:r w:rsidRPr="00F94AF3">
        <w:rPr>
          <w:rFonts w:ascii="Arial" w:hAnsi="Arial" w:cs="Arial"/>
          <w:sz w:val="20"/>
          <w:szCs w:val="20"/>
        </w:rPr>
        <w:t xml:space="preserve">, Report No 117 (2011) 266. </w:t>
      </w:r>
    </w:p>
  </w:footnote>
  <w:footnote w:id="44">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Commonwealth Ombudsman, </w:t>
      </w:r>
      <w:r w:rsidRPr="00F94AF3">
        <w:rPr>
          <w:rFonts w:ascii="Arial" w:hAnsi="Arial" w:cs="Arial"/>
          <w:i/>
        </w:rPr>
        <w:t xml:space="preserve">Review of Centrelink Income Management Decisions in the Northern Territory: Financial Vulnerability Exemption and Vulnerable Welfare Payment Recipient Decisions </w:t>
      </w:r>
      <w:r w:rsidRPr="00F94AF3">
        <w:rPr>
          <w:rFonts w:ascii="Arial" w:hAnsi="Arial" w:cs="Arial"/>
        </w:rPr>
        <w:t>(June 2012) 30.</w:t>
      </w:r>
    </w:p>
  </w:footnote>
  <w:footnote w:id="45">
    <w:p w:rsidR="00752C36" w:rsidRPr="00F94AF3" w:rsidRDefault="00752C36">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r w:rsidR="00954DEA" w:rsidRPr="00F94AF3">
        <w:rPr>
          <w:rFonts w:ascii="Arial" w:hAnsi="Arial" w:cs="Arial"/>
        </w:rPr>
        <w:t xml:space="preserve">Cultural racism is a form of ‘racism based upon cultural differences’– </w:t>
      </w:r>
      <w:r w:rsidRPr="00F94AF3">
        <w:rPr>
          <w:rFonts w:ascii="Arial" w:hAnsi="Arial" w:cs="Arial"/>
        </w:rPr>
        <w:t xml:space="preserve">Tariq </w:t>
      </w:r>
      <w:proofErr w:type="spellStart"/>
      <w:r w:rsidRPr="00F94AF3">
        <w:rPr>
          <w:rFonts w:ascii="Arial" w:hAnsi="Arial" w:cs="Arial"/>
        </w:rPr>
        <w:t>Modood</w:t>
      </w:r>
      <w:proofErr w:type="spellEnd"/>
      <w:r w:rsidRPr="00F94AF3">
        <w:rPr>
          <w:rFonts w:ascii="Arial" w:hAnsi="Arial" w:cs="Arial"/>
        </w:rPr>
        <w:t xml:space="preserve">, ‘“Difference”, Cultural Racism and Anti-Racism’ in </w:t>
      </w:r>
      <w:proofErr w:type="spellStart"/>
      <w:r w:rsidRPr="00F94AF3">
        <w:rPr>
          <w:rFonts w:ascii="Arial" w:hAnsi="Arial" w:cs="Arial"/>
        </w:rPr>
        <w:t>Werbner</w:t>
      </w:r>
      <w:proofErr w:type="spellEnd"/>
      <w:r w:rsidRPr="00F94AF3">
        <w:rPr>
          <w:rFonts w:ascii="Arial" w:hAnsi="Arial" w:cs="Arial"/>
        </w:rPr>
        <w:t xml:space="preserve"> and </w:t>
      </w:r>
      <w:proofErr w:type="spellStart"/>
      <w:r w:rsidRPr="00F94AF3">
        <w:rPr>
          <w:rFonts w:ascii="Arial" w:hAnsi="Arial" w:cs="Arial"/>
        </w:rPr>
        <w:t>Modood</w:t>
      </w:r>
      <w:proofErr w:type="spellEnd"/>
      <w:r w:rsidRPr="00F94AF3">
        <w:rPr>
          <w:rFonts w:ascii="Arial" w:hAnsi="Arial" w:cs="Arial"/>
        </w:rPr>
        <w:t xml:space="preserve"> (</w:t>
      </w:r>
      <w:proofErr w:type="spellStart"/>
      <w:r w:rsidRPr="00F94AF3">
        <w:rPr>
          <w:rFonts w:ascii="Arial" w:hAnsi="Arial" w:cs="Arial"/>
        </w:rPr>
        <w:t>eds</w:t>
      </w:r>
      <w:proofErr w:type="spellEnd"/>
      <w:r w:rsidRPr="00F94AF3">
        <w:rPr>
          <w:rFonts w:ascii="Arial" w:hAnsi="Arial" w:cs="Arial"/>
        </w:rPr>
        <w:t xml:space="preserve">), </w:t>
      </w:r>
      <w:r w:rsidRPr="00F94AF3">
        <w:rPr>
          <w:rFonts w:ascii="Arial" w:hAnsi="Arial" w:cs="Arial"/>
          <w:i/>
        </w:rPr>
        <w:t xml:space="preserve">Debating Cultural Hybridity: Multi-Cultural Identities and the Politics of Anti-Racism </w:t>
      </w:r>
      <w:r w:rsidRPr="00F94AF3">
        <w:rPr>
          <w:rFonts w:ascii="Arial" w:hAnsi="Arial" w:cs="Arial"/>
        </w:rPr>
        <w:t xml:space="preserve">(Zed Books, 1997) 154 in Margaret Davies, </w:t>
      </w:r>
      <w:r w:rsidRPr="00F94AF3">
        <w:rPr>
          <w:rFonts w:ascii="Arial" w:hAnsi="Arial" w:cs="Arial"/>
          <w:i/>
        </w:rPr>
        <w:t xml:space="preserve">Asking the Law Question </w:t>
      </w:r>
      <w:r w:rsidRPr="00F94AF3">
        <w:rPr>
          <w:rFonts w:ascii="Arial" w:hAnsi="Arial" w:cs="Arial"/>
        </w:rPr>
        <w:t>(</w:t>
      </w:r>
      <w:proofErr w:type="spellStart"/>
      <w:r w:rsidRPr="00F94AF3">
        <w:rPr>
          <w:rFonts w:ascii="Arial" w:hAnsi="Arial" w:cs="Arial"/>
        </w:rPr>
        <w:t>Lawbook</w:t>
      </w:r>
      <w:proofErr w:type="spellEnd"/>
      <w:r w:rsidRPr="00F94AF3">
        <w:rPr>
          <w:rFonts w:ascii="Arial" w:hAnsi="Arial" w:cs="Arial"/>
        </w:rPr>
        <w:t>, 3</w:t>
      </w:r>
      <w:r w:rsidRPr="00F94AF3">
        <w:rPr>
          <w:rFonts w:ascii="Arial" w:hAnsi="Arial" w:cs="Arial"/>
          <w:vertAlign w:val="superscript"/>
        </w:rPr>
        <w:t>rd</w:t>
      </w:r>
      <w:r w:rsidRPr="00F94AF3">
        <w:rPr>
          <w:rFonts w:ascii="Arial" w:hAnsi="Arial" w:cs="Arial"/>
        </w:rPr>
        <w:t xml:space="preserve"> </w:t>
      </w:r>
      <w:proofErr w:type="spellStart"/>
      <w:r w:rsidRPr="00F94AF3">
        <w:rPr>
          <w:rFonts w:ascii="Arial" w:hAnsi="Arial" w:cs="Arial"/>
        </w:rPr>
        <w:t>ed</w:t>
      </w:r>
      <w:proofErr w:type="spellEnd"/>
      <w:r w:rsidRPr="00F94AF3">
        <w:rPr>
          <w:rFonts w:ascii="Arial" w:hAnsi="Arial" w:cs="Arial"/>
        </w:rPr>
        <w:t>, 2008) 296.</w:t>
      </w:r>
    </w:p>
  </w:footnote>
  <w:footnote w:id="46">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Jon Altman, ‘A Genealogy of “Demand Sharing”: From Pure Anthropology to Public Policy’ in Yasmine </w:t>
      </w:r>
      <w:proofErr w:type="spellStart"/>
      <w:r w:rsidRPr="00F94AF3">
        <w:rPr>
          <w:rFonts w:ascii="Arial" w:hAnsi="Arial" w:cs="Arial"/>
        </w:rPr>
        <w:t>Musharbash</w:t>
      </w:r>
      <w:proofErr w:type="spellEnd"/>
      <w:r w:rsidRPr="00F94AF3">
        <w:rPr>
          <w:rFonts w:ascii="Arial" w:hAnsi="Arial" w:cs="Arial"/>
        </w:rPr>
        <w:t xml:space="preserve"> and Marcus Barber (</w:t>
      </w:r>
      <w:proofErr w:type="spellStart"/>
      <w:proofErr w:type="gramStart"/>
      <w:r w:rsidRPr="00F94AF3">
        <w:rPr>
          <w:rFonts w:ascii="Arial" w:hAnsi="Arial" w:cs="Arial"/>
        </w:rPr>
        <w:t>eds</w:t>
      </w:r>
      <w:proofErr w:type="spellEnd"/>
      <w:proofErr w:type="gramEnd"/>
      <w:r w:rsidRPr="00F94AF3">
        <w:rPr>
          <w:rFonts w:ascii="Arial" w:hAnsi="Arial" w:cs="Arial"/>
        </w:rPr>
        <w:t xml:space="preserve">), </w:t>
      </w:r>
      <w:r w:rsidRPr="00F94AF3">
        <w:rPr>
          <w:rFonts w:ascii="Arial" w:hAnsi="Arial" w:cs="Arial"/>
          <w:i/>
        </w:rPr>
        <w:t>Ethnography &amp; the Production of Anthropological Knowledge</w:t>
      </w:r>
      <w:r w:rsidRPr="00F94AF3">
        <w:rPr>
          <w:rFonts w:ascii="Arial" w:hAnsi="Arial" w:cs="Arial"/>
        </w:rPr>
        <w:t xml:space="preserve"> (ANU E Press, 2011) 187, 191, 193–4.</w:t>
      </w:r>
    </w:p>
  </w:footnote>
  <w:footnote w:id="47">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Commonwealth Ombudsman, </w:t>
      </w:r>
      <w:r w:rsidRPr="00F94AF3">
        <w:rPr>
          <w:rFonts w:ascii="Arial" w:hAnsi="Arial" w:cs="Arial"/>
          <w:i/>
        </w:rPr>
        <w:t xml:space="preserve">Ombudsman 2012–2013 Annual Report </w:t>
      </w:r>
      <w:r w:rsidRPr="00F94AF3">
        <w:rPr>
          <w:rFonts w:ascii="Arial" w:hAnsi="Arial" w:cs="Arial"/>
        </w:rPr>
        <w:t>(October 2013) 43-45.</w:t>
      </w:r>
    </w:p>
  </w:footnote>
  <w:footnote w:id="48">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Commonwealth Ombudsman, </w:t>
      </w:r>
      <w:r w:rsidRPr="00F94AF3">
        <w:rPr>
          <w:rFonts w:ascii="Arial" w:hAnsi="Arial" w:cs="Arial"/>
          <w:i/>
        </w:rPr>
        <w:t xml:space="preserve">Ombudsman 2012–2013 Annual Report </w:t>
      </w:r>
      <w:r w:rsidRPr="00F94AF3">
        <w:rPr>
          <w:rFonts w:ascii="Arial" w:hAnsi="Arial" w:cs="Arial"/>
        </w:rPr>
        <w:t>(October 2013) 44.</w:t>
      </w:r>
    </w:p>
  </w:footnote>
  <w:footnote w:id="49">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Jamie Peck, </w:t>
      </w:r>
      <w:r w:rsidRPr="00F94AF3">
        <w:rPr>
          <w:rFonts w:ascii="Arial" w:hAnsi="Arial" w:cs="Arial"/>
          <w:i/>
        </w:rPr>
        <w:t>Constructions of Neoliberal Reason</w:t>
      </w:r>
      <w:r w:rsidRPr="00F94AF3">
        <w:rPr>
          <w:rFonts w:ascii="Arial" w:hAnsi="Arial" w:cs="Arial"/>
        </w:rPr>
        <w:t xml:space="preserve"> (Oxford University Press, 2012) xiii.</w:t>
      </w:r>
    </w:p>
  </w:footnote>
  <w:footnote w:id="50">
    <w:p w:rsidR="002747C0" w:rsidRPr="00F94AF3" w:rsidRDefault="002747C0" w:rsidP="00B67574">
      <w:pPr>
        <w:pStyle w:val="NoSpacing"/>
        <w:rPr>
          <w:rFonts w:ascii="Arial" w:hAnsi="Arial" w:cs="Arial"/>
          <w:sz w:val="20"/>
          <w:szCs w:val="20"/>
        </w:rPr>
      </w:pPr>
      <w:r w:rsidRPr="00F94AF3">
        <w:rPr>
          <w:rStyle w:val="FootnoteReference"/>
          <w:rFonts w:ascii="Arial" w:hAnsi="Arial" w:cs="Arial"/>
          <w:sz w:val="20"/>
          <w:szCs w:val="20"/>
        </w:rPr>
        <w:footnoteRef/>
      </w:r>
      <w:r w:rsidRPr="00F94AF3">
        <w:rPr>
          <w:rFonts w:ascii="Arial" w:hAnsi="Arial" w:cs="Arial"/>
          <w:sz w:val="20"/>
          <w:szCs w:val="20"/>
        </w:rPr>
        <w:t xml:space="preserve"> Department of Social Services, </w:t>
      </w:r>
      <w:r w:rsidRPr="00F94AF3">
        <w:rPr>
          <w:rFonts w:ascii="Arial" w:hAnsi="Arial" w:cs="Arial"/>
          <w:i/>
          <w:sz w:val="20"/>
          <w:szCs w:val="20"/>
        </w:rPr>
        <w:t>A New System for Better Employment and Social Outcomes – Interim Report of the Reference Group on Welfare Reform to the Minister for Social Services</w:t>
      </w:r>
      <w:r w:rsidRPr="00F94AF3">
        <w:rPr>
          <w:rFonts w:ascii="Arial" w:hAnsi="Arial" w:cs="Arial"/>
          <w:sz w:val="20"/>
          <w:szCs w:val="20"/>
        </w:rPr>
        <w:t xml:space="preserve"> (June 2014) 5.</w:t>
      </w:r>
    </w:p>
  </w:footnote>
  <w:footnote w:id="51">
    <w:p w:rsidR="00D97AA9" w:rsidRPr="00F94AF3" w:rsidRDefault="00D97AA9" w:rsidP="00D97AA9">
      <w:pPr>
        <w:pStyle w:val="FootnoteText"/>
        <w:jc w:val="both"/>
        <w:rPr>
          <w:rFonts w:ascii="Arial" w:hAnsi="Arial" w:cs="Arial"/>
        </w:rPr>
      </w:pPr>
      <w:r w:rsidRPr="00F94AF3">
        <w:rPr>
          <w:rStyle w:val="FootnoteReference"/>
          <w:rFonts w:ascii="Arial" w:hAnsi="Arial" w:cs="Arial"/>
        </w:rPr>
        <w:footnoteRef/>
      </w:r>
      <w:r w:rsidRPr="00F94AF3">
        <w:rPr>
          <w:rFonts w:ascii="Arial" w:hAnsi="Arial" w:cs="Arial"/>
        </w:rPr>
        <w:t xml:space="preserve"> Centrelink Customer Service Adviser quoted in J Rob Bray et al, </w:t>
      </w:r>
      <w:r w:rsidRPr="00F94AF3">
        <w:rPr>
          <w:rFonts w:ascii="Arial" w:hAnsi="Arial" w:cs="Arial"/>
          <w:i/>
        </w:rPr>
        <w:t>Evaluating New Income Management in the Northern Territory: First Evaluation Report</w:t>
      </w:r>
      <w:r w:rsidRPr="00F94AF3">
        <w:rPr>
          <w:rFonts w:ascii="Arial" w:hAnsi="Arial" w:cs="Arial"/>
        </w:rPr>
        <w:t xml:space="preserve"> (Social Policy Research Centre UNSW, July 2012) 94.</w:t>
      </w:r>
    </w:p>
  </w:footnote>
  <w:footnote w:id="52">
    <w:p w:rsidR="00D97AA9" w:rsidRPr="00F94AF3" w:rsidRDefault="00D97AA9" w:rsidP="00D97AA9">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J Rob Bray et al, </w:t>
      </w:r>
      <w:r w:rsidRPr="00F94AF3">
        <w:rPr>
          <w:rFonts w:ascii="Arial" w:hAnsi="Arial" w:cs="Arial"/>
          <w:i/>
        </w:rPr>
        <w:t>Evaluating New Income Management in the Northern Territory: First Evaluation Report</w:t>
      </w:r>
      <w:r w:rsidRPr="00F94AF3">
        <w:rPr>
          <w:rFonts w:ascii="Arial" w:hAnsi="Arial" w:cs="Arial"/>
        </w:rPr>
        <w:t xml:space="preserve"> (Social Policy Research Centre UNSW, July 2012) 169.</w:t>
      </w:r>
    </w:p>
  </w:footnote>
  <w:footnote w:id="53">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J Rob Bray et al, </w:t>
      </w:r>
      <w:r w:rsidRPr="00F94AF3">
        <w:rPr>
          <w:rFonts w:ascii="Arial" w:hAnsi="Arial" w:cs="Arial"/>
          <w:i/>
        </w:rPr>
        <w:t>Evaluating New Income Management in the Northern Territory: First Evaluation Report</w:t>
      </w:r>
      <w:r w:rsidRPr="00F94AF3">
        <w:rPr>
          <w:rFonts w:ascii="Arial" w:hAnsi="Arial" w:cs="Arial"/>
        </w:rPr>
        <w:t xml:space="preserve"> (Social Policy Research Centre UNSW, July 2012) xviii.</w:t>
      </w:r>
    </w:p>
  </w:footnote>
  <w:footnote w:id="54">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J Rob Bray et al, </w:t>
      </w:r>
      <w:r w:rsidRPr="00F94AF3">
        <w:rPr>
          <w:rFonts w:ascii="Arial" w:hAnsi="Arial" w:cs="Arial"/>
          <w:i/>
        </w:rPr>
        <w:t>Evaluating New Income Management in the Northern Territory: First Evaluation Report</w:t>
      </w:r>
      <w:r w:rsidRPr="00F94AF3">
        <w:rPr>
          <w:rFonts w:ascii="Arial" w:hAnsi="Arial" w:cs="Arial"/>
        </w:rPr>
        <w:t xml:space="preserve"> (Social Policy Research Centre UNSW, July 2012) 233.</w:t>
      </w:r>
    </w:p>
  </w:footnote>
  <w:footnote w:id="55">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proofErr w:type="gramStart"/>
      <w:r w:rsidRPr="00F94AF3">
        <w:rPr>
          <w:rFonts w:ascii="Arial" w:hAnsi="Arial" w:cs="Arial"/>
        </w:rPr>
        <w:t>Elizabeth Ben-</w:t>
      </w:r>
      <w:proofErr w:type="spellStart"/>
      <w:r w:rsidRPr="00F94AF3">
        <w:rPr>
          <w:rFonts w:ascii="Arial" w:hAnsi="Arial" w:cs="Arial"/>
        </w:rPr>
        <w:t>Ishai</w:t>
      </w:r>
      <w:proofErr w:type="spellEnd"/>
      <w:r w:rsidRPr="00F94AF3">
        <w:rPr>
          <w:rFonts w:ascii="Arial" w:hAnsi="Arial" w:cs="Arial"/>
        </w:rPr>
        <w:t xml:space="preserve">, </w:t>
      </w:r>
      <w:r w:rsidRPr="00F94AF3">
        <w:rPr>
          <w:rFonts w:ascii="Arial" w:hAnsi="Arial" w:cs="Arial"/>
          <w:i/>
        </w:rPr>
        <w:t xml:space="preserve">Fostering Autonomy – A Theory of Citizenship, the State, and Social Service Delivery </w:t>
      </w:r>
      <w:r w:rsidRPr="00F94AF3">
        <w:rPr>
          <w:rFonts w:ascii="Arial" w:hAnsi="Arial" w:cs="Arial"/>
        </w:rPr>
        <w:t>(Pennsylvania State University Press, 2012) 21.</w:t>
      </w:r>
      <w:proofErr w:type="gramEnd"/>
    </w:p>
  </w:footnote>
  <w:footnote w:id="56">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Shelley Bielefeld,</w:t>
      </w:r>
      <w:r w:rsidRPr="00F94AF3">
        <w:rPr>
          <w:rFonts w:ascii="Arial" w:hAnsi="Arial" w:cs="Arial"/>
          <w:b/>
        </w:rPr>
        <w:t xml:space="preserve"> </w:t>
      </w:r>
      <w:r w:rsidRPr="00F94AF3">
        <w:rPr>
          <w:rFonts w:ascii="Arial" w:hAnsi="Arial" w:cs="Arial"/>
        </w:rPr>
        <w:t xml:space="preserve">‘Compulsory Income Management under the Stronger Futures Laws – Providing ‘Flexibility’ or Overturning Freedom of Contract?’ </w:t>
      </w:r>
      <w:proofErr w:type="gramStart"/>
      <w:r w:rsidRPr="00F94AF3">
        <w:rPr>
          <w:rFonts w:ascii="Arial" w:hAnsi="Arial" w:cs="Arial"/>
        </w:rPr>
        <w:t xml:space="preserve">(2013) 8(5) </w:t>
      </w:r>
      <w:r w:rsidRPr="00F94AF3">
        <w:rPr>
          <w:rFonts w:ascii="Arial" w:hAnsi="Arial" w:cs="Arial"/>
          <w:i/>
        </w:rPr>
        <w:t xml:space="preserve">Indigenous Law Bulletin </w:t>
      </w:r>
      <w:r w:rsidRPr="00F94AF3">
        <w:rPr>
          <w:rFonts w:ascii="Arial" w:hAnsi="Arial" w:cs="Arial"/>
        </w:rPr>
        <w:t>18, 19.</w:t>
      </w:r>
      <w:proofErr w:type="gramEnd"/>
    </w:p>
  </w:footnote>
  <w:footnote w:id="57">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J Rob Bray et al, </w:t>
      </w:r>
      <w:r w:rsidRPr="00F94AF3">
        <w:rPr>
          <w:rFonts w:ascii="Arial" w:hAnsi="Arial" w:cs="Arial"/>
          <w:i/>
        </w:rPr>
        <w:t>Evaluating New Income Management in the Northern Territory: First Evaluation Report</w:t>
      </w:r>
      <w:r w:rsidRPr="00F94AF3">
        <w:rPr>
          <w:rFonts w:ascii="Arial" w:hAnsi="Arial" w:cs="Arial"/>
        </w:rPr>
        <w:t xml:space="preserve"> (Social Policy Research Centre UNSW, July 2012) 92.</w:t>
      </w:r>
    </w:p>
  </w:footnote>
  <w:footnote w:id="58">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J Rob Bray et al, </w:t>
      </w:r>
      <w:r w:rsidRPr="00F94AF3">
        <w:rPr>
          <w:rFonts w:ascii="Arial" w:hAnsi="Arial" w:cs="Arial"/>
          <w:i/>
        </w:rPr>
        <w:t>Evaluating New Income Management in the Northern Territory: First Evaluation Report</w:t>
      </w:r>
      <w:r w:rsidRPr="00F94AF3">
        <w:rPr>
          <w:rFonts w:ascii="Arial" w:hAnsi="Arial" w:cs="Arial"/>
        </w:rPr>
        <w:t xml:space="preserve"> (Social Policy Research Centre UNSW, July 2012) 230.</w:t>
      </w:r>
    </w:p>
  </w:footnote>
  <w:footnote w:id="59">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Prohibited items for income managed funds include alcohol, tobacco and pornographic material under s </w:t>
      </w:r>
      <w:proofErr w:type="gramStart"/>
      <w:r w:rsidRPr="00F94AF3">
        <w:rPr>
          <w:rFonts w:ascii="Arial" w:hAnsi="Arial" w:cs="Arial"/>
        </w:rPr>
        <w:t>123TI(</w:t>
      </w:r>
      <w:proofErr w:type="gramEnd"/>
      <w:r w:rsidRPr="00F94AF3">
        <w:rPr>
          <w:rFonts w:ascii="Arial" w:hAnsi="Arial" w:cs="Arial"/>
        </w:rPr>
        <w:t xml:space="preserve">1) of the </w:t>
      </w:r>
      <w:r w:rsidRPr="00F94AF3">
        <w:rPr>
          <w:rFonts w:ascii="Arial" w:hAnsi="Arial" w:cs="Arial"/>
          <w:lang w:val="en-US"/>
        </w:rPr>
        <w:t xml:space="preserve">the </w:t>
      </w:r>
      <w:r w:rsidRPr="00F94AF3">
        <w:rPr>
          <w:rFonts w:ascii="Arial" w:hAnsi="Arial" w:cs="Arial"/>
          <w:i/>
        </w:rPr>
        <w:t>Social Security (Administration) Act 1999</w:t>
      </w:r>
      <w:r w:rsidRPr="00F94AF3">
        <w:rPr>
          <w:rFonts w:ascii="Arial" w:hAnsi="Arial" w:cs="Arial"/>
        </w:rPr>
        <w:t xml:space="preserve"> (</w:t>
      </w:r>
      <w:proofErr w:type="spellStart"/>
      <w:r w:rsidRPr="00F94AF3">
        <w:rPr>
          <w:rFonts w:ascii="Arial" w:hAnsi="Arial" w:cs="Arial"/>
        </w:rPr>
        <w:t>Cth</w:t>
      </w:r>
      <w:proofErr w:type="spellEnd"/>
      <w:r w:rsidRPr="00F94AF3">
        <w:rPr>
          <w:rFonts w:ascii="Arial" w:hAnsi="Arial" w:cs="Arial"/>
        </w:rPr>
        <w:t>) and gambling services under s 123TI(2).</w:t>
      </w:r>
    </w:p>
  </w:footnote>
  <w:footnote w:id="60">
    <w:p w:rsidR="0089344D" w:rsidRPr="00F94AF3" w:rsidRDefault="0089344D">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r w:rsidRPr="00F94AF3">
        <w:rPr>
          <w:rStyle w:val="Emphasis"/>
          <w:rFonts w:ascii="Arial" w:hAnsi="Arial" w:cs="Arial"/>
          <w:lang w:val="en"/>
        </w:rPr>
        <w:t xml:space="preserve">Competition and Consumer Act 2010 </w:t>
      </w:r>
      <w:r w:rsidRPr="00F94AF3">
        <w:rPr>
          <w:rStyle w:val="Emphasis"/>
          <w:rFonts w:ascii="Arial" w:hAnsi="Arial" w:cs="Arial"/>
          <w:i w:val="0"/>
          <w:lang w:val="en"/>
        </w:rPr>
        <w:t>(</w:t>
      </w:r>
      <w:proofErr w:type="spellStart"/>
      <w:r w:rsidRPr="00F94AF3">
        <w:rPr>
          <w:rStyle w:val="Emphasis"/>
          <w:rFonts w:ascii="Arial" w:hAnsi="Arial" w:cs="Arial"/>
          <w:i w:val="0"/>
          <w:lang w:val="en"/>
        </w:rPr>
        <w:t>Cth</w:t>
      </w:r>
      <w:proofErr w:type="spellEnd"/>
      <w:r w:rsidRPr="00F94AF3">
        <w:rPr>
          <w:rStyle w:val="Emphasis"/>
          <w:rFonts w:ascii="Arial" w:hAnsi="Arial" w:cs="Arial"/>
          <w:i w:val="0"/>
          <w:lang w:val="en"/>
        </w:rPr>
        <w:t>) s 45</w:t>
      </w:r>
      <w:r w:rsidRPr="00F94AF3">
        <w:rPr>
          <w:rFonts w:ascii="Arial" w:hAnsi="Arial" w:cs="Arial"/>
          <w:lang w:val="en"/>
        </w:rPr>
        <w:t xml:space="preserve"> prohibits ‘contracts, arrangements or understandings that restrict dealings or affect competition’.</w:t>
      </w:r>
    </w:p>
  </w:footnote>
  <w:footnote w:id="61">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Rob Bray et al, </w:t>
      </w:r>
      <w:r w:rsidRPr="00F94AF3">
        <w:rPr>
          <w:rFonts w:ascii="Arial" w:hAnsi="Arial" w:cs="Arial"/>
          <w:i/>
        </w:rPr>
        <w:t>Evaluating New Income Management in the Northern Territory: First Evaluation Report</w:t>
      </w:r>
      <w:r w:rsidRPr="00F94AF3">
        <w:rPr>
          <w:rFonts w:ascii="Arial" w:hAnsi="Arial" w:cs="Arial"/>
        </w:rPr>
        <w:t xml:space="preserve"> (Social Policy Research Centre UNSW, July 2012) 233.</w:t>
      </w:r>
    </w:p>
  </w:footnote>
  <w:footnote w:id="62">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Rob Bray et al, </w:t>
      </w:r>
      <w:r w:rsidRPr="00F94AF3">
        <w:rPr>
          <w:rFonts w:ascii="Arial" w:hAnsi="Arial" w:cs="Arial"/>
          <w:i/>
        </w:rPr>
        <w:t>Evaluating New Income Management in the Northern Territory: First Evaluation Report</w:t>
      </w:r>
      <w:r w:rsidRPr="00F94AF3">
        <w:rPr>
          <w:rFonts w:ascii="Arial" w:hAnsi="Arial" w:cs="Arial"/>
        </w:rPr>
        <w:t xml:space="preserve"> (Social Policy Research Centre UNSW, July 2012) 261.</w:t>
      </w:r>
    </w:p>
  </w:footnote>
  <w:footnote w:id="63">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r w:rsidRPr="00F94AF3">
        <w:rPr>
          <w:rFonts w:ascii="Arial" w:hAnsi="Arial" w:cs="Arial"/>
          <w:lang w:val="en-US"/>
        </w:rPr>
        <w:t xml:space="preserve">Eva Cox, ‘Evidence-Free Policy Making? </w:t>
      </w:r>
      <w:proofErr w:type="gramStart"/>
      <w:r w:rsidRPr="00F94AF3">
        <w:rPr>
          <w:rFonts w:ascii="Arial" w:hAnsi="Arial" w:cs="Arial"/>
          <w:lang w:val="en-US"/>
        </w:rPr>
        <w:t xml:space="preserve">The Case of Income Management’ (2011) 12 </w:t>
      </w:r>
      <w:r w:rsidRPr="00F94AF3">
        <w:rPr>
          <w:rFonts w:ascii="Arial" w:hAnsi="Arial" w:cs="Arial"/>
          <w:i/>
          <w:lang w:val="en-US"/>
        </w:rPr>
        <w:t xml:space="preserve">Journal of Indigenous Policy </w:t>
      </w:r>
      <w:r w:rsidRPr="00F94AF3">
        <w:rPr>
          <w:rFonts w:ascii="Arial" w:hAnsi="Arial" w:cs="Arial"/>
          <w:lang w:val="en-US"/>
        </w:rPr>
        <w:t xml:space="preserve">1, </w:t>
      </w:r>
      <w:r w:rsidRPr="00F94AF3">
        <w:rPr>
          <w:rFonts w:ascii="Arial" w:hAnsi="Arial" w:cs="Arial"/>
        </w:rPr>
        <w:t>87.</w:t>
      </w:r>
      <w:proofErr w:type="gramEnd"/>
    </w:p>
  </w:footnote>
  <w:footnote w:id="64">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Guy Standing, </w:t>
      </w:r>
      <w:r w:rsidRPr="00F94AF3">
        <w:rPr>
          <w:rFonts w:ascii="Arial" w:hAnsi="Arial" w:cs="Arial"/>
          <w:i/>
        </w:rPr>
        <w:t xml:space="preserve">The </w:t>
      </w:r>
      <w:proofErr w:type="spellStart"/>
      <w:r w:rsidRPr="00F94AF3">
        <w:rPr>
          <w:rFonts w:ascii="Arial" w:hAnsi="Arial" w:cs="Arial"/>
          <w:i/>
        </w:rPr>
        <w:t>Precariat</w:t>
      </w:r>
      <w:proofErr w:type="spellEnd"/>
      <w:r w:rsidRPr="00F94AF3">
        <w:rPr>
          <w:rFonts w:ascii="Arial" w:hAnsi="Arial" w:cs="Arial"/>
          <w:i/>
        </w:rPr>
        <w:t xml:space="preserve"> – The New Dangerous Class </w:t>
      </w:r>
      <w:r w:rsidRPr="00F94AF3">
        <w:rPr>
          <w:rFonts w:ascii="Arial" w:hAnsi="Arial" w:cs="Arial"/>
        </w:rPr>
        <w:t xml:space="preserve">(Bloomsbury, first published 2011, 2014 </w:t>
      </w:r>
      <w:proofErr w:type="spellStart"/>
      <w:r w:rsidRPr="00F94AF3">
        <w:rPr>
          <w:rFonts w:ascii="Arial" w:hAnsi="Arial" w:cs="Arial"/>
        </w:rPr>
        <w:t>ed</w:t>
      </w:r>
      <w:proofErr w:type="spellEnd"/>
      <w:proofErr w:type="gramStart"/>
      <w:r w:rsidRPr="00F94AF3">
        <w:rPr>
          <w:rFonts w:ascii="Arial" w:hAnsi="Arial" w:cs="Arial"/>
        </w:rPr>
        <w:t>)104</w:t>
      </w:r>
      <w:proofErr w:type="gramEnd"/>
      <w:r w:rsidRPr="00F94AF3">
        <w:rPr>
          <w:rFonts w:ascii="Arial" w:hAnsi="Arial" w:cs="Arial"/>
        </w:rPr>
        <w:t>-105, 112-114.</w:t>
      </w:r>
    </w:p>
  </w:footnote>
  <w:footnote w:id="65">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proofErr w:type="gramStart"/>
      <w:r w:rsidRPr="00F94AF3">
        <w:rPr>
          <w:rFonts w:ascii="Arial" w:hAnsi="Arial" w:cs="Arial"/>
        </w:rPr>
        <w:t xml:space="preserve">Guy Standing, </w:t>
      </w:r>
      <w:r w:rsidRPr="00F94AF3">
        <w:rPr>
          <w:rFonts w:ascii="Arial" w:hAnsi="Arial" w:cs="Arial"/>
          <w:i/>
        </w:rPr>
        <w:t xml:space="preserve">Beyond the New Paternalism – Basic Security as Equality </w:t>
      </w:r>
      <w:r w:rsidRPr="00F94AF3">
        <w:rPr>
          <w:rFonts w:ascii="Arial" w:hAnsi="Arial" w:cs="Arial"/>
        </w:rPr>
        <w:t>(Verso, 2001) 104.</w:t>
      </w:r>
      <w:proofErr w:type="gramEnd"/>
    </w:p>
  </w:footnote>
  <w:footnote w:id="66">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proofErr w:type="gramStart"/>
      <w:r w:rsidRPr="00F94AF3">
        <w:rPr>
          <w:rFonts w:ascii="Arial" w:hAnsi="Arial" w:cs="Arial"/>
        </w:rPr>
        <w:t xml:space="preserve">Guy Standing, </w:t>
      </w:r>
      <w:r w:rsidRPr="00F94AF3">
        <w:rPr>
          <w:rFonts w:ascii="Arial" w:hAnsi="Arial" w:cs="Arial"/>
          <w:i/>
        </w:rPr>
        <w:t xml:space="preserve">A </w:t>
      </w:r>
      <w:proofErr w:type="spellStart"/>
      <w:r w:rsidRPr="00F94AF3">
        <w:rPr>
          <w:rFonts w:ascii="Arial" w:hAnsi="Arial" w:cs="Arial"/>
          <w:i/>
        </w:rPr>
        <w:t>Precariat</w:t>
      </w:r>
      <w:proofErr w:type="spellEnd"/>
      <w:r w:rsidRPr="00F94AF3">
        <w:rPr>
          <w:rFonts w:ascii="Arial" w:hAnsi="Arial" w:cs="Arial"/>
          <w:i/>
        </w:rPr>
        <w:t xml:space="preserve"> Charter – From Denizens to Citizens </w:t>
      </w:r>
      <w:r w:rsidRPr="00F94AF3">
        <w:rPr>
          <w:rFonts w:ascii="Arial" w:hAnsi="Arial" w:cs="Arial"/>
        </w:rPr>
        <w:t>(Bloomsbury, 2014) 225.</w:t>
      </w:r>
      <w:proofErr w:type="gramEnd"/>
    </w:p>
  </w:footnote>
  <w:footnote w:id="67">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proofErr w:type="gramStart"/>
      <w:r w:rsidRPr="00F94AF3">
        <w:rPr>
          <w:rFonts w:ascii="Arial" w:hAnsi="Arial" w:cs="Arial"/>
        </w:rPr>
        <w:t xml:space="preserve">Guy Standing, </w:t>
      </w:r>
      <w:r w:rsidRPr="00F94AF3">
        <w:rPr>
          <w:rFonts w:ascii="Arial" w:hAnsi="Arial" w:cs="Arial"/>
          <w:i/>
        </w:rPr>
        <w:t xml:space="preserve">Beyond the New Paternalism – Basic Security as Equality </w:t>
      </w:r>
      <w:r w:rsidRPr="00F94AF3">
        <w:rPr>
          <w:rFonts w:ascii="Arial" w:hAnsi="Arial" w:cs="Arial"/>
        </w:rPr>
        <w:t>(Verso, 2001) 137.</w:t>
      </w:r>
      <w:proofErr w:type="gramEnd"/>
    </w:p>
  </w:footnote>
  <w:footnote w:id="68">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Zoe Williams, ‘Nobody wants to have their groceries served with pity’, </w:t>
      </w:r>
      <w:r w:rsidRPr="00F94AF3">
        <w:rPr>
          <w:rFonts w:ascii="Arial" w:hAnsi="Arial" w:cs="Arial"/>
          <w:i/>
        </w:rPr>
        <w:t>The Guardian</w:t>
      </w:r>
      <w:r w:rsidRPr="00F94AF3">
        <w:rPr>
          <w:rFonts w:ascii="Arial" w:hAnsi="Arial" w:cs="Arial"/>
        </w:rPr>
        <w:t xml:space="preserve">, 28 March 2013, quoted in Guy Standing, </w:t>
      </w:r>
      <w:r w:rsidRPr="00F94AF3">
        <w:rPr>
          <w:rFonts w:ascii="Arial" w:hAnsi="Arial" w:cs="Arial"/>
          <w:i/>
        </w:rPr>
        <w:t xml:space="preserve">A </w:t>
      </w:r>
      <w:proofErr w:type="spellStart"/>
      <w:r w:rsidRPr="00F94AF3">
        <w:rPr>
          <w:rFonts w:ascii="Arial" w:hAnsi="Arial" w:cs="Arial"/>
          <w:i/>
        </w:rPr>
        <w:t>Precariat</w:t>
      </w:r>
      <w:proofErr w:type="spellEnd"/>
      <w:r w:rsidRPr="00F94AF3">
        <w:rPr>
          <w:rFonts w:ascii="Arial" w:hAnsi="Arial" w:cs="Arial"/>
          <w:i/>
        </w:rPr>
        <w:t xml:space="preserve"> Charter – From Denizens to Citizens </w:t>
      </w:r>
      <w:r w:rsidRPr="00F94AF3">
        <w:rPr>
          <w:rFonts w:ascii="Arial" w:hAnsi="Arial" w:cs="Arial"/>
        </w:rPr>
        <w:t>(Bloomsbury, 2014) 378.</w:t>
      </w:r>
    </w:p>
  </w:footnote>
  <w:footnote w:id="69">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Department of Social Services, </w:t>
      </w:r>
      <w:r w:rsidRPr="00F94AF3">
        <w:rPr>
          <w:rFonts w:ascii="Arial" w:hAnsi="Arial" w:cs="Arial"/>
          <w:i/>
        </w:rPr>
        <w:t>A New System for Better Employment and Social Outcomes – Interim Report of the Reference Group on Welfare Reform to the Minister for Social Services</w:t>
      </w:r>
      <w:r w:rsidRPr="00F94AF3">
        <w:rPr>
          <w:rFonts w:ascii="Arial" w:hAnsi="Arial" w:cs="Arial"/>
        </w:rPr>
        <w:t xml:space="preserve"> (June 2014) 80.</w:t>
      </w:r>
    </w:p>
  </w:footnote>
  <w:footnote w:id="70">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Department of Social Services, </w:t>
      </w:r>
      <w:r w:rsidRPr="00F94AF3">
        <w:rPr>
          <w:rFonts w:ascii="Arial" w:hAnsi="Arial" w:cs="Arial"/>
          <w:i/>
        </w:rPr>
        <w:t>A New System for Better Employment and Social Outcomes – Interim Report of the Reference Group on Welfare Reform to the Minister for Social Services</w:t>
      </w:r>
      <w:r w:rsidRPr="00F94AF3">
        <w:rPr>
          <w:rFonts w:ascii="Arial" w:hAnsi="Arial" w:cs="Arial"/>
        </w:rPr>
        <w:t xml:space="preserve"> (June 2014) 82.</w:t>
      </w:r>
    </w:p>
  </w:footnote>
  <w:footnote w:id="71">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Department of Social Services, </w:t>
      </w:r>
      <w:r w:rsidRPr="00F94AF3">
        <w:rPr>
          <w:rFonts w:ascii="Arial" w:hAnsi="Arial" w:cs="Arial"/>
          <w:i/>
        </w:rPr>
        <w:t>A New System for Better Employment and Social Outcomes – Interim Report of the Reference Group on Welfare Reform to the Minister for Social Services</w:t>
      </w:r>
      <w:r w:rsidRPr="00F94AF3">
        <w:rPr>
          <w:rFonts w:ascii="Arial" w:hAnsi="Arial" w:cs="Arial"/>
        </w:rPr>
        <w:t xml:space="preserve"> (June 2014) 81.</w:t>
      </w:r>
    </w:p>
  </w:footnote>
  <w:footnote w:id="72">
    <w:p w:rsidR="004D631D" w:rsidRPr="00F94AF3" w:rsidRDefault="004D631D">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proofErr w:type="spellStart"/>
      <w:proofErr w:type="gramStart"/>
      <w:r w:rsidRPr="00F94AF3">
        <w:rPr>
          <w:rFonts w:ascii="Arial" w:hAnsi="Arial" w:cs="Arial"/>
        </w:rPr>
        <w:t>Loic</w:t>
      </w:r>
      <w:proofErr w:type="spellEnd"/>
      <w:r w:rsidRPr="00F94AF3">
        <w:rPr>
          <w:rFonts w:ascii="Arial" w:hAnsi="Arial" w:cs="Arial"/>
        </w:rPr>
        <w:t xml:space="preserve"> </w:t>
      </w:r>
      <w:proofErr w:type="spellStart"/>
      <w:r w:rsidRPr="00F94AF3">
        <w:rPr>
          <w:rFonts w:ascii="Arial" w:hAnsi="Arial" w:cs="Arial"/>
        </w:rPr>
        <w:t>Wacquant</w:t>
      </w:r>
      <w:proofErr w:type="spellEnd"/>
      <w:r w:rsidRPr="00F94AF3">
        <w:rPr>
          <w:rFonts w:ascii="Arial" w:hAnsi="Arial" w:cs="Arial"/>
        </w:rPr>
        <w:t xml:space="preserve">, </w:t>
      </w:r>
      <w:r w:rsidRPr="00F94AF3">
        <w:rPr>
          <w:rFonts w:ascii="Arial" w:hAnsi="Arial" w:cs="Arial"/>
          <w:i/>
        </w:rPr>
        <w:t xml:space="preserve">Punishing the Poor – The Neoliberal Government of Social Insecurity </w:t>
      </w:r>
      <w:r w:rsidRPr="00F94AF3">
        <w:rPr>
          <w:rFonts w:ascii="Arial" w:hAnsi="Arial" w:cs="Arial"/>
        </w:rPr>
        <w:t>(Duke University Press, 2009) xvii.</w:t>
      </w:r>
      <w:proofErr w:type="gramEnd"/>
    </w:p>
  </w:footnote>
  <w:footnote w:id="73">
    <w:p w:rsidR="00BE2500" w:rsidRPr="00F94AF3" w:rsidRDefault="00BE2500">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proofErr w:type="spellStart"/>
      <w:proofErr w:type="gramStart"/>
      <w:r w:rsidRPr="00F94AF3">
        <w:rPr>
          <w:rFonts w:ascii="Arial" w:hAnsi="Arial" w:cs="Arial"/>
        </w:rPr>
        <w:t>Loic</w:t>
      </w:r>
      <w:proofErr w:type="spellEnd"/>
      <w:r w:rsidRPr="00F94AF3">
        <w:rPr>
          <w:rFonts w:ascii="Arial" w:hAnsi="Arial" w:cs="Arial"/>
        </w:rPr>
        <w:t xml:space="preserve"> </w:t>
      </w:r>
      <w:proofErr w:type="spellStart"/>
      <w:r w:rsidRPr="00F94AF3">
        <w:rPr>
          <w:rFonts w:ascii="Arial" w:hAnsi="Arial" w:cs="Arial"/>
        </w:rPr>
        <w:t>Wacquant</w:t>
      </w:r>
      <w:proofErr w:type="spellEnd"/>
      <w:r w:rsidRPr="00F94AF3">
        <w:rPr>
          <w:rFonts w:ascii="Arial" w:hAnsi="Arial" w:cs="Arial"/>
        </w:rPr>
        <w:t xml:space="preserve">, </w:t>
      </w:r>
      <w:r w:rsidRPr="00F94AF3">
        <w:rPr>
          <w:rFonts w:ascii="Arial" w:hAnsi="Arial" w:cs="Arial"/>
          <w:i/>
        </w:rPr>
        <w:t xml:space="preserve">Punishing the Poor – The Neoliberal Government of Social Insecurity </w:t>
      </w:r>
      <w:r w:rsidRPr="00F94AF3">
        <w:rPr>
          <w:rFonts w:ascii="Arial" w:hAnsi="Arial" w:cs="Arial"/>
        </w:rPr>
        <w:t>(Duke University Press, 2009) xxiii.</w:t>
      </w:r>
      <w:proofErr w:type="gramEnd"/>
    </w:p>
  </w:footnote>
  <w:footnote w:id="74">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Department of Social Services, </w:t>
      </w:r>
      <w:r w:rsidRPr="00F94AF3">
        <w:rPr>
          <w:rFonts w:ascii="Arial" w:hAnsi="Arial" w:cs="Arial"/>
          <w:i/>
        </w:rPr>
        <w:t>A New System for Better Employment and Social Outcomes – Interim Report of the Reference Group on Welfare Reform to the Minister for Social Services</w:t>
      </w:r>
      <w:r w:rsidRPr="00F94AF3">
        <w:rPr>
          <w:rFonts w:ascii="Arial" w:hAnsi="Arial" w:cs="Arial"/>
        </w:rPr>
        <w:t xml:space="preserve"> (June 2014) 9.</w:t>
      </w:r>
    </w:p>
  </w:footnote>
  <w:footnote w:id="75">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Department of Social Services, </w:t>
      </w:r>
      <w:r w:rsidRPr="00F94AF3">
        <w:rPr>
          <w:rFonts w:ascii="Arial" w:hAnsi="Arial" w:cs="Arial"/>
          <w:i/>
        </w:rPr>
        <w:t>A New System for Better Employment and Social Outcomes – Interim Report of the Reference Group on Welfare Reform to the Minister for Social Services</w:t>
      </w:r>
      <w:r w:rsidRPr="00F94AF3">
        <w:rPr>
          <w:rFonts w:ascii="Arial" w:hAnsi="Arial" w:cs="Arial"/>
        </w:rPr>
        <w:t xml:space="preserve"> (June 2014) 10.</w:t>
      </w:r>
    </w:p>
  </w:footnote>
  <w:footnote w:id="76">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proofErr w:type="gramStart"/>
      <w:r w:rsidRPr="00F94AF3">
        <w:rPr>
          <w:rFonts w:ascii="Arial" w:hAnsi="Arial" w:cs="Arial"/>
        </w:rPr>
        <w:t xml:space="preserve">Guy Standing, </w:t>
      </w:r>
      <w:r w:rsidRPr="00F94AF3">
        <w:rPr>
          <w:rFonts w:ascii="Arial" w:hAnsi="Arial" w:cs="Arial"/>
          <w:i/>
        </w:rPr>
        <w:t xml:space="preserve">A </w:t>
      </w:r>
      <w:proofErr w:type="spellStart"/>
      <w:r w:rsidRPr="00F94AF3">
        <w:rPr>
          <w:rFonts w:ascii="Arial" w:hAnsi="Arial" w:cs="Arial"/>
          <w:i/>
        </w:rPr>
        <w:t>Precariat</w:t>
      </w:r>
      <w:proofErr w:type="spellEnd"/>
      <w:r w:rsidRPr="00F94AF3">
        <w:rPr>
          <w:rFonts w:ascii="Arial" w:hAnsi="Arial" w:cs="Arial"/>
          <w:i/>
        </w:rPr>
        <w:t xml:space="preserve"> Charter – From Denizens to Citizens </w:t>
      </w:r>
      <w:r w:rsidRPr="00F94AF3">
        <w:rPr>
          <w:rFonts w:ascii="Arial" w:hAnsi="Arial" w:cs="Arial"/>
        </w:rPr>
        <w:t>(Bloomsbury, 2014) 256.</w:t>
      </w:r>
      <w:proofErr w:type="gramEnd"/>
    </w:p>
  </w:footnote>
  <w:footnote w:id="77">
    <w:p w:rsidR="00D77E22" w:rsidRPr="00F94AF3" w:rsidRDefault="00D77E22" w:rsidP="00B67574">
      <w:pPr>
        <w:pStyle w:val="NoSpacing"/>
        <w:rPr>
          <w:rFonts w:ascii="Arial" w:hAnsi="Arial" w:cs="Arial"/>
          <w:sz w:val="20"/>
          <w:szCs w:val="20"/>
        </w:rPr>
      </w:pPr>
      <w:r w:rsidRPr="00F94AF3">
        <w:rPr>
          <w:rStyle w:val="FootnoteReference"/>
          <w:rFonts w:ascii="Arial" w:hAnsi="Arial" w:cs="Arial"/>
          <w:sz w:val="20"/>
          <w:szCs w:val="20"/>
        </w:rPr>
        <w:footnoteRef/>
      </w:r>
      <w:r w:rsidRPr="00F94AF3">
        <w:rPr>
          <w:rFonts w:ascii="Arial" w:hAnsi="Arial" w:cs="Arial"/>
          <w:sz w:val="20"/>
          <w:szCs w:val="20"/>
        </w:rPr>
        <w:t xml:space="preserve"> Department of Social Services, </w:t>
      </w:r>
      <w:r w:rsidRPr="00F94AF3">
        <w:rPr>
          <w:rFonts w:ascii="Arial" w:hAnsi="Arial" w:cs="Arial"/>
          <w:i/>
          <w:sz w:val="20"/>
          <w:szCs w:val="20"/>
        </w:rPr>
        <w:t>A New System for Better Employment and Social Outcomes – Interim Report of the Reference Group on Welfare Reform to the Minister for Social Services</w:t>
      </w:r>
      <w:r w:rsidRPr="00F94AF3">
        <w:rPr>
          <w:rFonts w:ascii="Arial" w:hAnsi="Arial" w:cs="Arial"/>
          <w:sz w:val="20"/>
          <w:szCs w:val="20"/>
        </w:rPr>
        <w:t xml:space="preserve"> (June 2014) 15.</w:t>
      </w:r>
    </w:p>
  </w:footnote>
  <w:footnote w:id="78">
    <w:p w:rsidR="00CC0C81" w:rsidRPr="00F94AF3" w:rsidRDefault="00CC0C81" w:rsidP="00CC0C81">
      <w:pPr>
        <w:pStyle w:val="FootnoteText"/>
        <w:jc w:val="both"/>
        <w:rPr>
          <w:rFonts w:ascii="Arial" w:hAnsi="Arial" w:cs="Arial"/>
        </w:rPr>
      </w:pPr>
      <w:r w:rsidRPr="00F94AF3">
        <w:rPr>
          <w:rStyle w:val="FootnoteReference"/>
          <w:rFonts w:ascii="Arial" w:hAnsi="Arial" w:cs="Arial"/>
        </w:rPr>
        <w:footnoteRef/>
      </w:r>
      <w:r w:rsidRPr="00F94AF3">
        <w:rPr>
          <w:rFonts w:ascii="Arial" w:hAnsi="Arial" w:cs="Arial"/>
        </w:rPr>
        <w:t xml:space="preserve"> Luke </w:t>
      </w:r>
      <w:proofErr w:type="spellStart"/>
      <w:r w:rsidRPr="00F94AF3">
        <w:rPr>
          <w:rFonts w:ascii="Arial" w:hAnsi="Arial" w:cs="Arial"/>
        </w:rPr>
        <w:t>Buckmaster</w:t>
      </w:r>
      <w:proofErr w:type="spellEnd"/>
      <w:r w:rsidRPr="00F94AF3">
        <w:rPr>
          <w:rFonts w:ascii="Arial" w:hAnsi="Arial" w:cs="Arial"/>
        </w:rPr>
        <w:t xml:space="preserve">, Carol </w:t>
      </w:r>
      <w:proofErr w:type="spellStart"/>
      <w:r w:rsidRPr="00F94AF3">
        <w:rPr>
          <w:rFonts w:ascii="Arial" w:hAnsi="Arial" w:cs="Arial"/>
        </w:rPr>
        <w:t>Ey</w:t>
      </w:r>
      <w:proofErr w:type="spellEnd"/>
      <w:r w:rsidRPr="00F94AF3">
        <w:rPr>
          <w:rFonts w:ascii="Arial" w:hAnsi="Arial" w:cs="Arial"/>
        </w:rPr>
        <w:t xml:space="preserve">, and Michael </w:t>
      </w:r>
      <w:proofErr w:type="spellStart"/>
      <w:r w:rsidRPr="00F94AF3">
        <w:rPr>
          <w:rFonts w:ascii="Arial" w:hAnsi="Arial" w:cs="Arial"/>
        </w:rPr>
        <w:t>Klapdor</w:t>
      </w:r>
      <w:proofErr w:type="spellEnd"/>
      <w:r w:rsidRPr="00F94AF3">
        <w:rPr>
          <w:rFonts w:ascii="Arial" w:hAnsi="Arial" w:cs="Arial"/>
        </w:rPr>
        <w:t>, ‘Income Management: an Overview’ (Background Note, Parliamentary Library, Parliament of Australia, 2012) 34.</w:t>
      </w:r>
    </w:p>
  </w:footnote>
  <w:footnote w:id="79">
    <w:p w:rsidR="00172787" w:rsidRPr="00F94AF3" w:rsidRDefault="00172787" w:rsidP="00172787">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Australian National Audit Office, </w:t>
      </w:r>
      <w:r w:rsidRPr="00F94AF3">
        <w:rPr>
          <w:rFonts w:ascii="Arial" w:hAnsi="Arial" w:cs="Arial"/>
          <w:i/>
        </w:rPr>
        <w:t xml:space="preserve">Administration of New Income Management in the Northern Territory </w:t>
      </w:r>
      <w:r w:rsidRPr="00F94AF3">
        <w:rPr>
          <w:rFonts w:ascii="Arial" w:hAnsi="Arial" w:cs="Arial"/>
        </w:rPr>
        <w:t>(Audit Report No. 19, 2012–13) 17.</w:t>
      </w:r>
    </w:p>
  </w:footnote>
  <w:footnote w:id="80">
    <w:p w:rsidR="00172787" w:rsidRPr="00F94AF3" w:rsidRDefault="00172787" w:rsidP="00172787">
      <w:pPr>
        <w:pStyle w:val="NoSpacing"/>
        <w:rPr>
          <w:rFonts w:ascii="Arial" w:hAnsi="Arial" w:cs="Arial"/>
          <w:sz w:val="20"/>
          <w:szCs w:val="20"/>
        </w:rPr>
      </w:pPr>
      <w:r w:rsidRPr="00F94AF3">
        <w:rPr>
          <w:rStyle w:val="FootnoteReference"/>
          <w:rFonts w:ascii="Arial" w:hAnsi="Arial" w:cs="Arial"/>
          <w:sz w:val="20"/>
          <w:szCs w:val="20"/>
        </w:rPr>
        <w:footnoteRef/>
      </w:r>
      <w:r w:rsidRPr="00F94AF3">
        <w:rPr>
          <w:rFonts w:ascii="Arial" w:hAnsi="Arial" w:cs="Arial"/>
          <w:sz w:val="20"/>
          <w:szCs w:val="20"/>
        </w:rPr>
        <w:t xml:space="preserve"> Patricia </w:t>
      </w:r>
      <w:proofErr w:type="spellStart"/>
      <w:r w:rsidRPr="00F94AF3">
        <w:rPr>
          <w:rFonts w:ascii="Arial" w:hAnsi="Arial" w:cs="Arial"/>
          <w:sz w:val="20"/>
          <w:szCs w:val="20"/>
        </w:rPr>
        <w:t>Karvelas</w:t>
      </w:r>
      <w:proofErr w:type="spellEnd"/>
      <w:r w:rsidRPr="00F94AF3">
        <w:rPr>
          <w:rFonts w:ascii="Arial" w:hAnsi="Arial" w:cs="Arial"/>
          <w:sz w:val="20"/>
          <w:szCs w:val="20"/>
        </w:rPr>
        <w:t xml:space="preserve">, ‘Coalition bid to expand welfare quarantining’, </w:t>
      </w:r>
      <w:r w:rsidRPr="00F94AF3">
        <w:rPr>
          <w:rFonts w:ascii="Arial" w:hAnsi="Arial" w:cs="Arial"/>
          <w:i/>
          <w:sz w:val="20"/>
          <w:szCs w:val="20"/>
        </w:rPr>
        <w:t>The Australian</w:t>
      </w:r>
      <w:r w:rsidRPr="00F94AF3">
        <w:rPr>
          <w:rFonts w:ascii="Arial" w:hAnsi="Arial" w:cs="Arial"/>
          <w:sz w:val="20"/>
          <w:szCs w:val="20"/>
        </w:rPr>
        <w:t>, 1 October 2013, &lt;http://www.theaustralian.com.au/national-affairs/coalition-bid-to-expand-welfare-quarantining/story-fn59niix-1226730353663&gt;.</w:t>
      </w:r>
    </w:p>
  </w:footnote>
  <w:footnote w:id="81">
    <w:p w:rsidR="001B416B" w:rsidRPr="00F94AF3" w:rsidRDefault="001B416B">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w:t>
      </w:r>
      <w:r w:rsidR="005B5866" w:rsidRPr="00F94AF3">
        <w:rPr>
          <w:rFonts w:ascii="Arial" w:hAnsi="Arial" w:cs="Arial"/>
        </w:rPr>
        <w:t xml:space="preserve">Commonwealth, </w:t>
      </w:r>
      <w:proofErr w:type="gramStart"/>
      <w:r w:rsidRPr="00F94AF3">
        <w:rPr>
          <w:rFonts w:ascii="Arial" w:hAnsi="Arial" w:cs="Arial"/>
          <w:i/>
        </w:rPr>
        <w:t>The</w:t>
      </w:r>
      <w:proofErr w:type="gramEnd"/>
      <w:r w:rsidRPr="00F94AF3">
        <w:rPr>
          <w:rFonts w:ascii="Arial" w:hAnsi="Arial" w:cs="Arial"/>
          <w:i/>
        </w:rPr>
        <w:t xml:space="preserve"> Forrest Review</w:t>
      </w:r>
      <w:r w:rsidR="005B5866" w:rsidRPr="00F94AF3">
        <w:rPr>
          <w:rFonts w:ascii="Arial" w:hAnsi="Arial" w:cs="Arial"/>
        </w:rPr>
        <w:t xml:space="preserve"> (2014)</w:t>
      </w:r>
      <w:r w:rsidR="00653DD0" w:rsidRPr="00F94AF3">
        <w:rPr>
          <w:rFonts w:ascii="Arial" w:hAnsi="Arial" w:cs="Arial"/>
        </w:rPr>
        <w:t xml:space="preserve"> 27</w:t>
      </w:r>
      <w:r w:rsidR="005B5866" w:rsidRPr="00F94AF3">
        <w:rPr>
          <w:rFonts w:ascii="Arial" w:hAnsi="Arial" w:cs="Arial"/>
        </w:rPr>
        <w:t>.</w:t>
      </w:r>
    </w:p>
  </w:footnote>
  <w:footnote w:id="82">
    <w:p w:rsidR="00653DD0" w:rsidRPr="00F94AF3" w:rsidRDefault="00653DD0" w:rsidP="00653DD0">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Commonwealth, </w:t>
      </w:r>
      <w:proofErr w:type="gramStart"/>
      <w:r w:rsidRPr="00F94AF3">
        <w:rPr>
          <w:rFonts w:ascii="Arial" w:hAnsi="Arial" w:cs="Arial"/>
          <w:i/>
        </w:rPr>
        <w:t>The</w:t>
      </w:r>
      <w:proofErr w:type="gramEnd"/>
      <w:r w:rsidRPr="00F94AF3">
        <w:rPr>
          <w:rFonts w:ascii="Arial" w:hAnsi="Arial" w:cs="Arial"/>
          <w:i/>
        </w:rPr>
        <w:t xml:space="preserve"> Forrest Review</w:t>
      </w:r>
      <w:r w:rsidRPr="00F94AF3">
        <w:rPr>
          <w:rFonts w:ascii="Arial" w:hAnsi="Arial" w:cs="Arial"/>
        </w:rPr>
        <w:t xml:space="preserve"> (2014) 27.</w:t>
      </w:r>
    </w:p>
  </w:footnote>
  <w:footnote w:id="83">
    <w:p w:rsidR="002747C0" w:rsidRPr="00F94AF3" w:rsidRDefault="002747C0" w:rsidP="00B67574">
      <w:pPr>
        <w:pStyle w:val="FootnoteText"/>
        <w:rPr>
          <w:rFonts w:ascii="Arial" w:hAnsi="Arial" w:cs="Arial"/>
        </w:rPr>
      </w:pPr>
      <w:r w:rsidRPr="00F94AF3">
        <w:rPr>
          <w:rStyle w:val="FootnoteReference"/>
          <w:rFonts w:ascii="Arial" w:hAnsi="Arial" w:cs="Arial"/>
        </w:rPr>
        <w:footnoteRef/>
      </w:r>
      <w:r w:rsidRPr="00F94AF3">
        <w:rPr>
          <w:rFonts w:ascii="Arial" w:hAnsi="Arial" w:cs="Arial"/>
        </w:rPr>
        <w:t xml:space="preserve"> Guy Standing, </w:t>
      </w:r>
      <w:r w:rsidRPr="00F94AF3">
        <w:rPr>
          <w:rFonts w:ascii="Arial" w:hAnsi="Arial" w:cs="Arial"/>
          <w:i/>
        </w:rPr>
        <w:t xml:space="preserve">A </w:t>
      </w:r>
      <w:proofErr w:type="spellStart"/>
      <w:r w:rsidRPr="00F94AF3">
        <w:rPr>
          <w:rFonts w:ascii="Arial" w:hAnsi="Arial" w:cs="Arial"/>
          <w:i/>
        </w:rPr>
        <w:t>Precariat</w:t>
      </w:r>
      <w:proofErr w:type="spellEnd"/>
      <w:r w:rsidRPr="00F94AF3">
        <w:rPr>
          <w:rFonts w:ascii="Arial" w:hAnsi="Arial" w:cs="Arial"/>
          <w:i/>
        </w:rPr>
        <w:t xml:space="preserve"> Charter – From Denizens to Citizens </w:t>
      </w:r>
      <w:r w:rsidRPr="00F94AF3">
        <w:rPr>
          <w:rFonts w:ascii="Arial" w:hAnsi="Arial" w:cs="Arial"/>
        </w:rPr>
        <w:t>(Bloomsbury, 2014) 384-385.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5AFF49"/>
    <w:multiLevelType w:val="hybridMultilevel"/>
    <w:tmpl w:val="382192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93BA4"/>
    <w:multiLevelType w:val="hybridMultilevel"/>
    <w:tmpl w:val="6A440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191F99"/>
    <w:multiLevelType w:val="hybridMultilevel"/>
    <w:tmpl w:val="A8D0D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5D369D"/>
    <w:multiLevelType w:val="hybridMultilevel"/>
    <w:tmpl w:val="F4243E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23C14F2"/>
    <w:multiLevelType w:val="hybridMultilevel"/>
    <w:tmpl w:val="6B3068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9C03F35"/>
    <w:multiLevelType w:val="hybridMultilevel"/>
    <w:tmpl w:val="6A440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F8804F1"/>
    <w:multiLevelType w:val="hybridMultilevel"/>
    <w:tmpl w:val="4A8E9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2D865F1"/>
    <w:multiLevelType w:val="hybridMultilevel"/>
    <w:tmpl w:val="6A440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77575F8"/>
    <w:multiLevelType w:val="hybridMultilevel"/>
    <w:tmpl w:val="4E1635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C7E1376"/>
    <w:multiLevelType w:val="hybridMultilevel"/>
    <w:tmpl w:val="77A2F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67F6F3F"/>
    <w:multiLevelType w:val="hybridMultilevel"/>
    <w:tmpl w:val="6A440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4"/>
  </w:num>
  <w:num w:numId="6">
    <w:abstractNumId w:val="8"/>
  </w:num>
  <w:num w:numId="7">
    <w:abstractNumId w:val="1"/>
  </w:num>
  <w:num w:numId="8">
    <w:abstractNumId w:val="5"/>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5F"/>
    <w:rsid w:val="0000209F"/>
    <w:rsid w:val="000079A5"/>
    <w:rsid w:val="00014AA3"/>
    <w:rsid w:val="00014D3D"/>
    <w:rsid w:val="000216A3"/>
    <w:rsid w:val="00021EEC"/>
    <w:rsid w:val="00030843"/>
    <w:rsid w:val="000333F3"/>
    <w:rsid w:val="00036BA9"/>
    <w:rsid w:val="00037AB9"/>
    <w:rsid w:val="00041023"/>
    <w:rsid w:val="000445B0"/>
    <w:rsid w:val="000475F9"/>
    <w:rsid w:val="00047B79"/>
    <w:rsid w:val="0005243C"/>
    <w:rsid w:val="00053349"/>
    <w:rsid w:val="0006007F"/>
    <w:rsid w:val="000624FA"/>
    <w:rsid w:val="00064A2B"/>
    <w:rsid w:val="00066443"/>
    <w:rsid w:val="00074E98"/>
    <w:rsid w:val="00077E17"/>
    <w:rsid w:val="000841F3"/>
    <w:rsid w:val="00084BB8"/>
    <w:rsid w:val="00085039"/>
    <w:rsid w:val="00091130"/>
    <w:rsid w:val="00093CD3"/>
    <w:rsid w:val="000A4A2A"/>
    <w:rsid w:val="000A6510"/>
    <w:rsid w:val="000A677C"/>
    <w:rsid w:val="000B1D53"/>
    <w:rsid w:val="000B3126"/>
    <w:rsid w:val="000B7964"/>
    <w:rsid w:val="000D5F77"/>
    <w:rsid w:val="000E56C8"/>
    <w:rsid w:val="000E6D23"/>
    <w:rsid w:val="000F1E8A"/>
    <w:rsid w:val="000F70B2"/>
    <w:rsid w:val="00112ECD"/>
    <w:rsid w:val="00113DBC"/>
    <w:rsid w:val="00121DBD"/>
    <w:rsid w:val="001246E8"/>
    <w:rsid w:val="00125C34"/>
    <w:rsid w:val="00134B63"/>
    <w:rsid w:val="00134C97"/>
    <w:rsid w:val="00136C04"/>
    <w:rsid w:val="00143182"/>
    <w:rsid w:val="00150AF3"/>
    <w:rsid w:val="001522FC"/>
    <w:rsid w:val="00152716"/>
    <w:rsid w:val="001542C5"/>
    <w:rsid w:val="00154FE4"/>
    <w:rsid w:val="0016247D"/>
    <w:rsid w:val="00166566"/>
    <w:rsid w:val="00170C5C"/>
    <w:rsid w:val="00172787"/>
    <w:rsid w:val="00173B5E"/>
    <w:rsid w:val="00180DF0"/>
    <w:rsid w:val="0018216A"/>
    <w:rsid w:val="00186BA0"/>
    <w:rsid w:val="00190A36"/>
    <w:rsid w:val="00190F62"/>
    <w:rsid w:val="001934B9"/>
    <w:rsid w:val="00195372"/>
    <w:rsid w:val="00196095"/>
    <w:rsid w:val="001B2A0C"/>
    <w:rsid w:val="001B416B"/>
    <w:rsid w:val="001B5C9F"/>
    <w:rsid w:val="001C10F9"/>
    <w:rsid w:val="001C1D91"/>
    <w:rsid w:val="001C31AF"/>
    <w:rsid w:val="001C781F"/>
    <w:rsid w:val="001D0B01"/>
    <w:rsid w:val="001D3171"/>
    <w:rsid w:val="001D64B5"/>
    <w:rsid w:val="001D6F27"/>
    <w:rsid w:val="001E3167"/>
    <w:rsid w:val="001F1235"/>
    <w:rsid w:val="001F1544"/>
    <w:rsid w:val="00200886"/>
    <w:rsid w:val="00214A92"/>
    <w:rsid w:val="00215F95"/>
    <w:rsid w:val="002209B5"/>
    <w:rsid w:val="002221DA"/>
    <w:rsid w:val="002257E5"/>
    <w:rsid w:val="00226A24"/>
    <w:rsid w:val="00227E54"/>
    <w:rsid w:val="00233AA3"/>
    <w:rsid w:val="00236A2C"/>
    <w:rsid w:val="00240E76"/>
    <w:rsid w:val="00245E60"/>
    <w:rsid w:val="002516FA"/>
    <w:rsid w:val="00255E33"/>
    <w:rsid w:val="00256874"/>
    <w:rsid w:val="002575CB"/>
    <w:rsid w:val="00260069"/>
    <w:rsid w:val="00262D79"/>
    <w:rsid w:val="00265704"/>
    <w:rsid w:val="00266BFA"/>
    <w:rsid w:val="002747C0"/>
    <w:rsid w:val="00281AE2"/>
    <w:rsid w:val="0028762C"/>
    <w:rsid w:val="002907A1"/>
    <w:rsid w:val="002976C7"/>
    <w:rsid w:val="002A1411"/>
    <w:rsid w:val="002A2521"/>
    <w:rsid w:val="002A6400"/>
    <w:rsid w:val="002B1BF0"/>
    <w:rsid w:val="002B75D2"/>
    <w:rsid w:val="002B7614"/>
    <w:rsid w:val="002C07E6"/>
    <w:rsid w:val="002C0D38"/>
    <w:rsid w:val="002C253C"/>
    <w:rsid w:val="002C2F73"/>
    <w:rsid w:val="002D002F"/>
    <w:rsid w:val="002D2DD1"/>
    <w:rsid w:val="002D3132"/>
    <w:rsid w:val="002D35AB"/>
    <w:rsid w:val="002D4BBD"/>
    <w:rsid w:val="002E514D"/>
    <w:rsid w:val="002E5F66"/>
    <w:rsid w:val="002E6049"/>
    <w:rsid w:val="002E75B3"/>
    <w:rsid w:val="002F1811"/>
    <w:rsid w:val="002F1BB4"/>
    <w:rsid w:val="002F5FBF"/>
    <w:rsid w:val="002F71A6"/>
    <w:rsid w:val="002F73F6"/>
    <w:rsid w:val="00302FA2"/>
    <w:rsid w:val="003043A9"/>
    <w:rsid w:val="00304754"/>
    <w:rsid w:val="00305295"/>
    <w:rsid w:val="0030560B"/>
    <w:rsid w:val="00311900"/>
    <w:rsid w:val="00314C0E"/>
    <w:rsid w:val="00324B73"/>
    <w:rsid w:val="00325C05"/>
    <w:rsid w:val="00326596"/>
    <w:rsid w:val="00327F45"/>
    <w:rsid w:val="00333680"/>
    <w:rsid w:val="00333805"/>
    <w:rsid w:val="00341A78"/>
    <w:rsid w:val="00343A9C"/>
    <w:rsid w:val="003442BC"/>
    <w:rsid w:val="00355F82"/>
    <w:rsid w:val="0035708D"/>
    <w:rsid w:val="00362006"/>
    <w:rsid w:val="003637E0"/>
    <w:rsid w:val="00363CD9"/>
    <w:rsid w:val="00363F9E"/>
    <w:rsid w:val="00364B8C"/>
    <w:rsid w:val="00367741"/>
    <w:rsid w:val="00367FF7"/>
    <w:rsid w:val="003775E3"/>
    <w:rsid w:val="00377B4E"/>
    <w:rsid w:val="003810C7"/>
    <w:rsid w:val="00382FAD"/>
    <w:rsid w:val="00390203"/>
    <w:rsid w:val="003A1BF9"/>
    <w:rsid w:val="003A2035"/>
    <w:rsid w:val="003A46AA"/>
    <w:rsid w:val="003A77BF"/>
    <w:rsid w:val="003A7B7A"/>
    <w:rsid w:val="003B0B97"/>
    <w:rsid w:val="003B125E"/>
    <w:rsid w:val="003B2378"/>
    <w:rsid w:val="003B762C"/>
    <w:rsid w:val="003C63CD"/>
    <w:rsid w:val="003D6035"/>
    <w:rsid w:val="003E1679"/>
    <w:rsid w:val="003E7C29"/>
    <w:rsid w:val="003F2883"/>
    <w:rsid w:val="003F3AF5"/>
    <w:rsid w:val="003F482A"/>
    <w:rsid w:val="003F4FAE"/>
    <w:rsid w:val="003F689F"/>
    <w:rsid w:val="004019C9"/>
    <w:rsid w:val="00412E7A"/>
    <w:rsid w:val="00414111"/>
    <w:rsid w:val="00416583"/>
    <w:rsid w:val="00417879"/>
    <w:rsid w:val="00417E4B"/>
    <w:rsid w:val="004227B2"/>
    <w:rsid w:val="00423016"/>
    <w:rsid w:val="004330FA"/>
    <w:rsid w:val="004350AE"/>
    <w:rsid w:val="00436D98"/>
    <w:rsid w:val="00437C20"/>
    <w:rsid w:val="004417D9"/>
    <w:rsid w:val="004466C7"/>
    <w:rsid w:val="004503CA"/>
    <w:rsid w:val="00460421"/>
    <w:rsid w:val="0047388E"/>
    <w:rsid w:val="00474311"/>
    <w:rsid w:val="00475C0F"/>
    <w:rsid w:val="0048168E"/>
    <w:rsid w:val="00481D25"/>
    <w:rsid w:val="004851C0"/>
    <w:rsid w:val="00485B04"/>
    <w:rsid w:val="004879E8"/>
    <w:rsid w:val="0049220D"/>
    <w:rsid w:val="0049392A"/>
    <w:rsid w:val="0049683F"/>
    <w:rsid w:val="004A01CA"/>
    <w:rsid w:val="004A0B1D"/>
    <w:rsid w:val="004A519C"/>
    <w:rsid w:val="004B35BA"/>
    <w:rsid w:val="004B4BE9"/>
    <w:rsid w:val="004B5BD9"/>
    <w:rsid w:val="004B60AD"/>
    <w:rsid w:val="004B7813"/>
    <w:rsid w:val="004C0177"/>
    <w:rsid w:val="004C1227"/>
    <w:rsid w:val="004C1581"/>
    <w:rsid w:val="004C3589"/>
    <w:rsid w:val="004C51A5"/>
    <w:rsid w:val="004C62EC"/>
    <w:rsid w:val="004D055C"/>
    <w:rsid w:val="004D631D"/>
    <w:rsid w:val="004D7754"/>
    <w:rsid w:val="004D778E"/>
    <w:rsid w:val="004F1A00"/>
    <w:rsid w:val="004F2029"/>
    <w:rsid w:val="00500CE9"/>
    <w:rsid w:val="00504116"/>
    <w:rsid w:val="00513560"/>
    <w:rsid w:val="00515526"/>
    <w:rsid w:val="00517B4C"/>
    <w:rsid w:val="00517C39"/>
    <w:rsid w:val="00520385"/>
    <w:rsid w:val="00521897"/>
    <w:rsid w:val="00523C44"/>
    <w:rsid w:val="00527F81"/>
    <w:rsid w:val="00530594"/>
    <w:rsid w:val="00531116"/>
    <w:rsid w:val="0053185A"/>
    <w:rsid w:val="00534AC6"/>
    <w:rsid w:val="00544B67"/>
    <w:rsid w:val="00550465"/>
    <w:rsid w:val="005524C5"/>
    <w:rsid w:val="005620D1"/>
    <w:rsid w:val="00563E5B"/>
    <w:rsid w:val="00564B9B"/>
    <w:rsid w:val="00564F81"/>
    <w:rsid w:val="00574405"/>
    <w:rsid w:val="00574B10"/>
    <w:rsid w:val="00581942"/>
    <w:rsid w:val="0058234A"/>
    <w:rsid w:val="00582AA0"/>
    <w:rsid w:val="005833D1"/>
    <w:rsid w:val="00585C15"/>
    <w:rsid w:val="00586E0F"/>
    <w:rsid w:val="0059201D"/>
    <w:rsid w:val="00593FAE"/>
    <w:rsid w:val="0059780E"/>
    <w:rsid w:val="005A010F"/>
    <w:rsid w:val="005A3803"/>
    <w:rsid w:val="005A6B04"/>
    <w:rsid w:val="005B034F"/>
    <w:rsid w:val="005B1E7E"/>
    <w:rsid w:val="005B3FF3"/>
    <w:rsid w:val="005B5020"/>
    <w:rsid w:val="005B5866"/>
    <w:rsid w:val="005C276A"/>
    <w:rsid w:val="005C5B87"/>
    <w:rsid w:val="005C6417"/>
    <w:rsid w:val="005D14B7"/>
    <w:rsid w:val="005D4183"/>
    <w:rsid w:val="005E3967"/>
    <w:rsid w:val="005E4037"/>
    <w:rsid w:val="005E64FB"/>
    <w:rsid w:val="005E65AE"/>
    <w:rsid w:val="005E746E"/>
    <w:rsid w:val="005F4645"/>
    <w:rsid w:val="005F6034"/>
    <w:rsid w:val="00606883"/>
    <w:rsid w:val="00607E9E"/>
    <w:rsid w:val="00610F4A"/>
    <w:rsid w:val="0061304B"/>
    <w:rsid w:val="006179F4"/>
    <w:rsid w:val="00621DA1"/>
    <w:rsid w:val="00625E81"/>
    <w:rsid w:val="00631A2E"/>
    <w:rsid w:val="00633B1A"/>
    <w:rsid w:val="00634556"/>
    <w:rsid w:val="00641BC9"/>
    <w:rsid w:val="006439CA"/>
    <w:rsid w:val="006442F4"/>
    <w:rsid w:val="0064688E"/>
    <w:rsid w:val="00646DA6"/>
    <w:rsid w:val="00647CAE"/>
    <w:rsid w:val="00653DD0"/>
    <w:rsid w:val="00661315"/>
    <w:rsid w:val="0066414F"/>
    <w:rsid w:val="00666430"/>
    <w:rsid w:val="00671BB4"/>
    <w:rsid w:val="006726C7"/>
    <w:rsid w:val="006772D9"/>
    <w:rsid w:val="006776CC"/>
    <w:rsid w:val="00686BBD"/>
    <w:rsid w:val="00687632"/>
    <w:rsid w:val="00692389"/>
    <w:rsid w:val="00693C73"/>
    <w:rsid w:val="00694BCC"/>
    <w:rsid w:val="006968C1"/>
    <w:rsid w:val="00696F74"/>
    <w:rsid w:val="006A0BED"/>
    <w:rsid w:val="006A1B47"/>
    <w:rsid w:val="006A2FF9"/>
    <w:rsid w:val="006B1579"/>
    <w:rsid w:val="006B4ECA"/>
    <w:rsid w:val="006B6AB9"/>
    <w:rsid w:val="006F27CE"/>
    <w:rsid w:val="006F53A5"/>
    <w:rsid w:val="006F56D1"/>
    <w:rsid w:val="006F60EC"/>
    <w:rsid w:val="006F6155"/>
    <w:rsid w:val="00703C2C"/>
    <w:rsid w:val="00705E8E"/>
    <w:rsid w:val="00707CA5"/>
    <w:rsid w:val="00710876"/>
    <w:rsid w:val="00724745"/>
    <w:rsid w:val="00724F36"/>
    <w:rsid w:val="00725D60"/>
    <w:rsid w:val="00730F80"/>
    <w:rsid w:val="00732A89"/>
    <w:rsid w:val="00735FBC"/>
    <w:rsid w:val="0074043D"/>
    <w:rsid w:val="0074328C"/>
    <w:rsid w:val="00744A35"/>
    <w:rsid w:val="0074736A"/>
    <w:rsid w:val="00752BA0"/>
    <w:rsid w:val="00752BA7"/>
    <w:rsid w:val="00752C36"/>
    <w:rsid w:val="00761F46"/>
    <w:rsid w:val="00764BA0"/>
    <w:rsid w:val="00783762"/>
    <w:rsid w:val="0078527E"/>
    <w:rsid w:val="00786403"/>
    <w:rsid w:val="007938B6"/>
    <w:rsid w:val="007A4B03"/>
    <w:rsid w:val="007A765E"/>
    <w:rsid w:val="007B134D"/>
    <w:rsid w:val="007B1938"/>
    <w:rsid w:val="007B5A49"/>
    <w:rsid w:val="007B76F2"/>
    <w:rsid w:val="007B789C"/>
    <w:rsid w:val="007C59CF"/>
    <w:rsid w:val="007C6D6E"/>
    <w:rsid w:val="007D4DA9"/>
    <w:rsid w:val="007D5049"/>
    <w:rsid w:val="007D7CD0"/>
    <w:rsid w:val="007E166B"/>
    <w:rsid w:val="007E2470"/>
    <w:rsid w:val="007E59DA"/>
    <w:rsid w:val="007E5C3D"/>
    <w:rsid w:val="007F4756"/>
    <w:rsid w:val="007F6E1A"/>
    <w:rsid w:val="007F7D6E"/>
    <w:rsid w:val="00806174"/>
    <w:rsid w:val="00807EC5"/>
    <w:rsid w:val="00815574"/>
    <w:rsid w:val="00815F60"/>
    <w:rsid w:val="008230EE"/>
    <w:rsid w:val="00823A49"/>
    <w:rsid w:val="00827B55"/>
    <w:rsid w:val="008358F2"/>
    <w:rsid w:val="00837F28"/>
    <w:rsid w:val="00840384"/>
    <w:rsid w:val="00846860"/>
    <w:rsid w:val="00847B8C"/>
    <w:rsid w:val="00860182"/>
    <w:rsid w:val="008607EC"/>
    <w:rsid w:val="00861C99"/>
    <w:rsid w:val="00862EF4"/>
    <w:rsid w:val="00867743"/>
    <w:rsid w:val="008700F0"/>
    <w:rsid w:val="008708AB"/>
    <w:rsid w:val="00871CDB"/>
    <w:rsid w:val="008723F6"/>
    <w:rsid w:val="0087245A"/>
    <w:rsid w:val="008739C6"/>
    <w:rsid w:val="00876191"/>
    <w:rsid w:val="008763CF"/>
    <w:rsid w:val="008767C2"/>
    <w:rsid w:val="00880B15"/>
    <w:rsid w:val="00884324"/>
    <w:rsid w:val="00891F66"/>
    <w:rsid w:val="008922D1"/>
    <w:rsid w:val="00892D0F"/>
    <w:rsid w:val="0089344D"/>
    <w:rsid w:val="00895811"/>
    <w:rsid w:val="00896F96"/>
    <w:rsid w:val="008A1B82"/>
    <w:rsid w:val="008A4056"/>
    <w:rsid w:val="008A4D66"/>
    <w:rsid w:val="008A5446"/>
    <w:rsid w:val="008B02EC"/>
    <w:rsid w:val="008B15CA"/>
    <w:rsid w:val="008B2C0E"/>
    <w:rsid w:val="008B77A5"/>
    <w:rsid w:val="008B7FA0"/>
    <w:rsid w:val="008C0DC6"/>
    <w:rsid w:val="008C333B"/>
    <w:rsid w:val="008C7EE0"/>
    <w:rsid w:val="008D002F"/>
    <w:rsid w:val="008D132E"/>
    <w:rsid w:val="008D16AA"/>
    <w:rsid w:val="008D302A"/>
    <w:rsid w:val="008D424A"/>
    <w:rsid w:val="008D5406"/>
    <w:rsid w:val="008D73DD"/>
    <w:rsid w:val="008F1D54"/>
    <w:rsid w:val="008F76E8"/>
    <w:rsid w:val="00907D0B"/>
    <w:rsid w:val="0091298D"/>
    <w:rsid w:val="00923585"/>
    <w:rsid w:val="00925E18"/>
    <w:rsid w:val="00935C43"/>
    <w:rsid w:val="0094053C"/>
    <w:rsid w:val="009440DF"/>
    <w:rsid w:val="0094457B"/>
    <w:rsid w:val="00950705"/>
    <w:rsid w:val="009521B0"/>
    <w:rsid w:val="00954548"/>
    <w:rsid w:val="00954DEA"/>
    <w:rsid w:val="00955FD0"/>
    <w:rsid w:val="00956054"/>
    <w:rsid w:val="009573E8"/>
    <w:rsid w:val="009577CB"/>
    <w:rsid w:val="0097505E"/>
    <w:rsid w:val="0097680B"/>
    <w:rsid w:val="00982764"/>
    <w:rsid w:val="009857CE"/>
    <w:rsid w:val="0099075A"/>
    <w:rsid w:val="009912F7"/>
    <w:rsid w:val="00994F15"/>
    <w:rsid w:val="009A034F"/>
    <w:rsid w:val="009A452E"/>
    <w:rsid w:val="009B2C66"/>
    <w:rsid w:val="009B4827"/>
    <w:rsid w:val="009B5533"/>
    <w:rsid w:val="009B6E0B"/>
    <w:rsid w:val="009B7934"/>
    <w:rsid w:val="009D0172"/>
    <w:rsid w:val="009D3652"/>
    <w:rsid w:val="009D5EA1"/>
    <w:rsid w:val="009E79E7"/>
    <w:rsid w:val="009F031B"/>
    <w:rsid w:val="009F3E5F"/>
    <w:rsid w:val="009F4ACB"/>
    <w:rsid w:val="009F71C6"/>
    <w:rsid w:val="00A04072"/>
    <w:rsid w:val="00A05FBC"/>
    <w:rsid w:val="00A10F22"/>
    <w:rsid w:val="00A12B35"/>
    <w:rsid w:val="00A1449C"/>
    <w:rsid w:val="00A149FB"/>
    <w:rsid w:val="00A14E6C"/>
    <w:rsid w:val="00A15C4C"/>
    <w:rsid w:val="00A1726F"/>
    <w:rsid w:val="00A175E8"/>
    <w:rsid w:val="00A2142D"/>
    <w:rsid w:val="00A23714"/>
    <w:rsid w:val="00A3071A"/>
    <w:rsid w:val="00A31B0E"/>
    <w:rsid w:val="00A3511E"/>
    <w:rsid w:val="00A3603B"/>
    <w:rsid w:val="00A411DD"/>
    <w:rsid w:val="00A4295A"/>
    <w:rsid w:val="00A43080"/>
    <w:rsid w:val="00A43A17"/>
    <w:rsid w:val="00A44D14"/>
    <w:rsid w:val="00A54BBF"/>
    <w:rsid w:val="00A6303A"/>
    <w:rsid w:val="00A678A5"/>
    <w:rsid w:val="00A67CDD"/>
    <w:rsid w:val="00A67FA4"/>
    <w:rsid w:val="00A72DB7"/>
    <w:rsid w:val="00A811DC"/>
    <w:rsid w:val="00A90D1D"/>
    <w:rsid w:val="00A917C6"/>
    <w:rsid w:val="00AA25F3"/>
    <w:rsid w:val="00AA4C25"/>
    <w:rsid w:val="00AA6AE9"/>
    <w:rsid w:val="00AB1BAA"/>
    <w:rsid w:val="00AB2A65"/>
    <w:rsid w:val="00AB377F"/>
    <w:rsid w:val="00AC0120"/>
    <w:rsid w:val="00AC0E35"/>
    <w:rsid w:val="00AC3FEE"/>
    <w:rsid w:val="00AC6361"/>
    <w:rsid w:val="00AD06C9"/>
    <w:rsid w:val="00AD125A"/>
    <w:rsid w:val="00AD1B9D"/>
    <w:rsid w:val="00AD7560"/>
    <w:rsid w:val="00AD79DD"/>
    <w:rsid w:val="00AE29BF"/>
    <w:rsid w:val="00AE4CB8"/>
    <w:rsid w:val="00AE5359"/>
    <w:rsid w:val="00AE552F"/>
    <w:rsid w:val="00AE5A31"/>
    <w:rsid w:val="00AF0A78"/>
    <w:rsid w:val="00AF48FC"/>
    <w:rsid w:val="00AF4BEE"/>
    <w:rsid w:val="00AF7867"/>
    <w:rsid w:val="00B0148C"/>
    <w:rsid w:val="00B04980"/>
    <w:rsid w:val="00B106CC"/>
    <w:rsid w:val="00B11819"/>
    <w:rsid w:val="00B14325"/>
    <w:rsid w:val="00B1548D"/>
    <w:rsid w:val="00B17A6E"/>
    <w:rsid w:val="00B21067"/>
    <w:rsid w:val="00B2392A"/>
    <w:rsid w:val="00B25FF7"/>
    <w:rsid w:val="00B2792F"/>
    <w:rsid w:val="00B40213"/>
    <w:rsid w:val="00B43051"/>
    <w:rsid w:val="00B56786"/>
    <w:rsid w:val="00B60C36"/>
    <w:rsid w:val="00B67574"/>
    <w:rsid w:val="00B80036"/>
    <w:rsid w:val="00B90D48"/>
    <w:rsid w:val="00B92429"/>
    <w:rsid w:val="00B939EB"/>
    <w:rsid w:val="00B9698A"/>
    <w:rsid w:val="00B973EA"/>
    <w:rsid w:val="00BA0267"/>
    <w:rsid w:val="00BA4B5E"/>
    <w:rsid w:val="00BA4FB5"/>
    <w:rsid w:val="00BA61D0"/>
    <w:rsid w:val="00BA77FD"/>
    <w:rsid w:val="00BA7CD2"/>
    <w:rsid w:val="00BB00B5"/>
    <w:rsid w:val="00BB3F43"/>
    <w:rsid w:val="00BB6FBC"/>
    <w:rsid w:val="00BB70DA"/>
    <w:rsid w:val="00BC6378"/>
    <w:rsid w:val="00BC6F21"/>
    <w:rsid w:val="00BC78F7"/>
    <w:rsid w:val="00BC7EB2"/>
    <w:rsid w:val="00BD3CA4"/>
    <w:rsid w:val="00BD60DD"/>
    <w:rsid w:val="00BE2500"/>
    <w:rsid w:val="00BE29BA"/>
    <w:rsid w:val="00BE6C53"/>
    <w:rsid w:val="00BF0457"/>
    <w:rsid w:val="00BF1B2C"/>
    <w:rsid w:val="00BF3EFA"/>
    <w:rsid w:val="00BF4609"/>
    <w:rsid w:val="00BF52D5"/>
    <w:rsid w:val="00C04164"/>
    <w:rsid w:val="00C06C0A"/>
    <w:rsid w:val="00C07E5A"/>
    <w:rsid w:val="00C133C7"/>
    <w:rsid w:val="00C13A3C"/>
    <w:rsid w:val="00C14C34"/>
    <w:rsid w:val="00C2102B"/>
    <w:rsid w:val="00C22BD1"/>
    <w:rsid w:val="00C269D4"/>
    <w:rsid w:val="00C27A89"/>
    <w:rsid w:val="00C30231"/>
    <w:rsid w:val="00C34C01"/>
    <w:rsid w:val="00C42718"/>
    <w:rsid w:val="00C44EF0"/>
    <w:rsid w:val="00C52962"/>
    <w:rsid w:val="00C5341C"/>
    <w:rsid w:val="00C62551"/>
    <w:rsid w:val="00C6618E"/>
    <w:rsid w:val="00C82363"/>
    <w:rsid w:val="00C849CD"/>
    <w:rsid w:val="00C90250"/>
    <w:rsid w:val="00C90611"/>
    <w:rsid w:val="00C911D2"/>
    <w:rsid w:val="00C9237D"/>
    <w:rsid w:val="00C94850"/>
    <w:rsid w:val="00C95695"/>
    <w:rsid w:val="00C95B47"/>
    <w:rsid w:val="00C96FF2"/>
    <w:rsid w:val="00C97632"/>
    <w:rsid w:val="00C97915"/>
    <w:rsid w:val="00CA2A76"/>
    <w:rsid w:val="00CA31E8"/>
    <w:rsid w:val="00CA3500"/>
    <w:rsid w:val="00CB2F9E"/>
    <w:rsid w:val="00CB40BB"/>
    <w:rsid w:val="00CB481B"/>
    <w:rsid w:val="00CB566C"/>
    <w:rsid w:val="00CB58AA"/>
    <w:rsid w:val="00CC0C81"/>
    <w:rsid w:val="00CC63CA"/>
    <w:rsid w:val="00CD32A3"/>
    <w:rsid w:val="00CD69C1"/>
    <w:rsid w:val="00CD7972"/>
    <w:rsid w:val="00CE3D88"/>
    <w:rsid w:val="00CF4B2C"/>
    <w:rsid w:val="00D01891"/>
    <w:rsid w:val="00D05247"/>
    <w:rsid w:val="00D1206B"/>
    <w:rsid w:val="00D17BD0"/>
    <w:rsid w:val="00D22B54"/>
    <w:rsid w:val="00D25EBF"/>
    <w:rsid w:val="00D446EF"/>
    <w:rsid w:val="00D46DC2"/>
    <w:rsid w:val="00D53091"/>
    <w:rsid w:val="00D55258"/>
    <w:rsid w:val="00D568A8"/>
    <w:rsid w:val="00D60373"/>
    <w:rsid w:val="00D609FA"/>
    <w:rsid w:val="00D672CC"/>
    <w:rsid w:val="00D70E1D"/>
    <w:rsid w:val="00D7337E"/>
    <w:rsid w:val="00D77E22"/>
    <w:rsid w:val="00D83A9F"/>
    <w:rsid w:val="00D86ECF"/>
    <w:rsid w:val="00D86F9C"/>
    <w:rsid w:val="00D93FE3"/>
    <w:rsid w:val="00D948FF"/>
    <w:rsid w:val="00D95122"/>
    <w:rsid w:val="00D95E25"/>
    <w:rsid w:val="00D97AA9"/>
    <w:rsid w:val="00DA3CE8"/>
    <w:rsid w:val="00DA3D8E"/>
    <w:rsid w:val="00DA457D"/>
    <w:rsid w:val="00DA5181"/>
    <w:rsid w:val="00DB11F8"/>
    <w:rsid w:val="00DB41A3"/>
    <w:rsid w:val="00DB57C7"/>
    <w:rsid w:val="00DB78AD"/>
    <w:rsid w:val="00DC2B67"/>
    <w:rsid w:val="00DC35A3"/>
    <w:rsid w:val="00DC53FB"/>
    <w:rsid w:val="00DC6EE4"/>
    <w:rsid w:val="00DD365F"/>
    <w:rsid w:val="00DD79C0"/>
    <w:rsid w:val="00DE3C8E"/>
    <w:rsid w:val="00DE6E0C"/>
    <w:rsid w:val="00DF16AD"/>
    <w:rsid w:val="00DF47D6"/>
    <w:rsid w:val="00DF4A30"/>
    <w:rsid w:val="00DF5E7A"/>
    <w:rsid w:val="00DF6F21"/>
    <w:rsid w:val="00E01FDA"/>
    <w:rsid w:val="00E02003"/>
    <w:rsid w:val="00E051AD"/>
    <w:rsid w:val="00E1034F"/>
    <w:rsid w:val="00E119DB"/>
    <w:rsid w:val="00E11D1D"/>
    <w:rsid w:val="00E123F0"/>
    <w:rsid w:val="00E16C0C"/>
    <w:rsid w:val="00E2298A"/>
    <w:rsid w:val="00E3074C"/>
    <w:rsid w:val="00E401A0"/>
    <w:rsid w:val="00E40919"/>
    <w:rsid w:val="00E44CC9"/>
    <w:rsid w:val="00E53826"/>
    <w:rsid w:val="00E53891"/>
    <w:rsid w:val="00E57A46"/>
    <w:rsid w:val="00E61528"/>
    <w:rsid w:val="00E637BD"/>
    <w:rsid w:val="00E6445D"/>
    <w:rsid w:val="00E652E8"/>
    <w:rsid w:val="00E70FBE"/>
    <w:rsid w:val="00E72922"/>
    <w:rsid w:val="00E73744"/>
    <w:rsid w:val="00E9084D"/>
    <w:rsid w:val="00E96ABB"/>
    <w:rsid w:val="00EA3F28"/>
    <w:rsid w:val="00EA453D"/>
    <w:rsid w:val="00EA69C9"/>
    <w:rsid w:val="00EB5C69"/>
    <w:rsid w:val="00EB79DA"/>
    <w:rsid w:val="00EC0C10"/>
    <w:rsid w:val="00EC22D0"/>
    <w:rsid w:val="00EC2844"/>
    <w:rsid w:val="00EC6B13"/>
    <w:rsid w:val="00EC78F4"/>
    <w:rsid w:val="00ED3252"/>
    <w:rsid w:val="00EE0C02"/>
    <w:rsid w:val="00EE2711"/>
    <w:rsid w:val="00EE39BA"/>
    <w:rsid w:val="00EE5490"/>
    <w:rsid w:val="00EF3D5F"/>
    <w:rsid w:val="00EF7C2E"/>
    <w:rsid w:val="00F00953"/>
    <w:rsid w:val="00F00B43"/>
    <w:rsid w:val="00F0125E"/>
    <w:rsid w:val="00F04823"/>
    <w:rsid w:val="00F07712"/>
    <w:rsid w:val="00F07AF2"/>
    <w:rsid w:val="00F12E9C"/>
    <w:rsid w:val="00F145B3"/>
    <w:rsid w:val="00F225BE"/>
    <w:rsid w:val="00F23730"/>
    <w:rsid w:val="00F261B6"/>
    <w:rsid w:val="00F363FD"/>
    <w:rsid w:val="00F4434C"/>
    <w:rsid w:val="00F531C8"/>
    <w:rsid w:val="00F57899"/>
    <w:rsid w:val="00F6154E"/>
    <w:rsid w:val="00F6450D"/>
    <w:rsid w:val="00F64935"/>
    <w:rsid w:val="00F65F75"/>
    <w:rsid w:val="00F767A0"/>
    <w:rsid w:val="00F76BBA"/>
    <w:rsid w:val="00F83743"/>
    <w:rsid w:val="00F92C38"/>
    <w:rsid w:val="00F93909"/>
    <w:rsid w:val="00F94AF3"/>
    <w:rsid w:val="00F94C66"/>
    <w:rsid w:val="00F958F3"/>
    <w:rsid w:val="00F97661"/>
    <w:rsid w:val="00F97A82"/>
    <w:rsid w:val="00F97C5B"/>
    <w:rsid w:val="00FA0C0E"/>
    <w:rsid w:val="00FA0F2D"/>
    <w:rsid w:val="00FA4EB0"/>
    <w:rsid w:val="00FB4BDF"/>
    <w:rsid w:val="00FB7625"/>
    <w:rsid w:val="00FC0D14"/>
    <w:rsid w:val="00FC681C"/>
    <w:rsid w:val="00FE5DF3"/>
    <w:rsid w:val="00FF2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3C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03C2C"/>
    <w:rPr>
      <w:rFonts w:ascii="Consolas" w:hAnsi="Consolas"/>
      <w:sz w:val="21"/>
      <w:szCs w:val="21"/>
    </w:rPr>
  </w:style>
  <w:style w:type="paragraph" w:styleId="FootnoteText">
    <w:name w:val="footnote text"/>
    <w:aliases w:val="[X]"/>
    <w:basedOn w:val="Normal"/>
    <w:link w:val="FootnoteTextChar"/>
    <w:unhideWhenUsed/>
    <w:rsid w:val="00E401A0"/>
    <w:pPr>
      <w:spacing w:after="0" w:line="240" w:lineRule="auto"/>
    </w:pPr>
    <w:rPr>
      <w:sz w:val="20"/>
      <w:szCs w:val="20"/>
    </w:rPr>
  </w:style>
  <w:style w:type="character" w:customStyle="1" w:styleId="FootnoteTextChar">
    <w:name w:val="Footnote Text Char"/>
    <w:aliases w:val="[X] Char"/>
    <w:basedOn w:val="DefaultParagraphFont"/>
    <w:link w:val="FootnoteText"/>
    <w:rsid w:val="00E401A0"/>
    <w:rPr>
      <w:sz w:val="20"/>
      <w:szCs w:val="20"/>
    </w:rPr>
  </w:style>
  <w:style w:type="character" w:styleId="FootnoteReference">
    <w:name w:val="footnote reference"/>
    <w:aliases w:val="Footnote,Footnotes refss,4_G,Footnote number,Stinking Styles"/>
    <w:basedOn w:val="DefaultParagraphFont"/>
    <w:unhideWhenUsed/>
    <w:qFormat/>
    <w:rsid w:val="00E401A0"/>
    <w:rPr>
      <w:vertAlign w:val="superscript"/>
    </w:rPr>
  </w:style>
  <w:style w:type="paragraph" w:styleId="Header">
    <w:name w:val="header"/>
    <w:basedOn w:val="Normal"/>
    <w:link w:val="HeaderChar"/>
    <w:uiPriority w:val="99"/>
    <w:unhideWhenUsed/>
    <w:rsid w:val="00B04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980"/>
  </w:style>
  <w:style w:type="paragraph" w:styleId="Footer">
    <w:name w:val="footer"/>
    <w:basedOn w:val="Normal"/>
    <w:link w:val="FooterChar"/>
    <w:uiPriority w:val="99"/>
    <w:unhideWhenUsed/>
    <w:rsid w:val="00B04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980"/>
  </w:style>
  <w:style w:type="paragraph" w:styleId="NoSpacing">
    <w:name w:val="No Spacing"/>
    <w:uiPriority w:val="1"/>
    <w:qFormat/>
    <w:rsid w:val="00B40213"/>
    <w:pPr>
      <w:spacing w:after="0" w:line="240" w:lineRule="auto"/>
    </w:pPr>
  </w:style>
  <w:style w:type="paragraph" w:styleId="EndnoteText">
    <w:name w:val="endnote text"/>
    <w:basedOn w:val="Normal"/>
    <w:link w:val="EndnoteTextChar"/>
    <w:uiPriority w:val="99"/>
    <w:semiHidden/>
    <w:unhideWhenUsed/>
    <w:rsid w:val="001D64B5"/>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1D64B5"/>
    <w:rPr>
      <w:rFonts w:ascii="Calibri" w:eastAsia="Calibri" w:hAnsi="Calibri" w:cs="Times New Roman"/>
      <w:sz w:val="20"/>
      <w:szCs w:val="20"/>
    </w:rPr>
  </w:style>
  <w:style w:type="character" w:styleId="EndnoteReference">
    <w:name w:val="endnote reference"/>
    <w:uiPriority w:val="99"/>
    <w:semiHidden/>
    <w:unhideWhenUsed/>
    <w:rsid w:val="001D64B5"/>
    <w:rPr>
      <w:vertAlign w:val="superscript"/>
    </w:rPr>
  </w:style>
  <w:style w:type="character" w:styleId="Hyperlink">
    <w:name w:val="Hyperlink"/>
    <w:basedOn w:val="DefaultParagraphFont"/>
    <w:uiPriority w:val="99"/>
    <w:unhideWhenUsed/>
    <w:rsid w:val="009B2C66"/>
    <w:rPr>
      <w:color w:val="005A70"/>
      <w:u w:val="single"/>
    </w:rPr>
  </w:style>
  <w:style w:type="paragraph" w:styleId="BalloonText">
    <w:name w:val="Balloon Text"/>
    <w:basedOn w:val="Normal"/>
    <w:link w:val="BalloonTextChar"/>
    <w:uiPriority w:val="99"/>
    <w:semiHidden/>
    <w:unhideWhenUsed/>
    <w:rsid w:val="009B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C66"/>
    <w:rPr>
      <w:rFonts w:ascii="Tahoma" w:hAnsi="Tahoma" w:cs="Tahoma"/>
      <w:sz w:val="16"/>
      <w:szCs w:val="16"/>
    </w:rPr>
  </w:style>
  <w:style w:type="paragraph" w:customStyle="1" w:styleId="Default">
    <w:name w:val="Default"/>
    <w:rsid w:val="00A630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5181"/>
    <w:pPr>
      <w:ind w:left="720"/>
      <w:contextualSpacing/>
    </w:pPr>
  </w:style>
  <w:style w:type="character" w:customStyle="1" w:styleId="option">
    <w:name w:val="option"/>
    <w:basedOn w:val="DefaultParagraphFont"/>
    <w:rsid w:val="0059780E"/>
  </w:style>
  <w:style w:type="character" w:styleId="Emphasis">
    <w:name w:val="Emphasis"/>
    <w:basedOn w:val="DefaultParagraphFont"/>
    <w:uiPriority w:val="20"/>
    <w:qFormat/>
    <w:rsid w:val="0059780E"/>
    <w:rPr>
      <w:i/>
      <w:iCs/>
    </w:rPr>
  </w:style>
  <w:style w:type="paragraph" w:styleId="CommentText">
    <w:name w:val="annotation text"/>
    <w:basedOn w:val="Normal"/>
    <w:link w:val="CommentTextChar"/>
    <w:uiPriority w:val="99"/>
    <w:semiHidden/>
    <w:unhideWhenUsed/>
    <w:rsid w:val="00DE6E0C"/>
    <w:pPr>
      <w:spacing w:line="240" w:lineRule="auto"/>
    </w:pPr>
    <w:rPr>
      <w:sz w:val="20"/>
      <w:szCs w:val="20"/>
    </w:rPr>
  </w:style>
  <w:style w:type="character" w:customStyle="1" w:styleId="CommentTextChar">
    <w:name w:val="Comment Text Char"/>
    <w:basedOn w:val="DefaultParagraphFont"/>
    <w:link w:val="CommentText"/>
    <w:uiPriority w:val="99"/>
    <w:semiHidden/>
    <w:rsid w:val="00DE6E0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3C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03C2C"/>
    <w:rPr>
      <w:rFonts w:ascii="Consolas" w:hAnsi="Consolas"/>
      <w:sz w:val="21"/>
      <w:szCs w:val="21"/>
    </w:rPr>
  </w:style>
  <w:style w:type="paragraph" w:styleId="FootnoteText">
    <w:name w:val="footnote text"/>
    <w:aliases w:val="[X]"/>
    <w:basedOn w:val="Normal"/>
    <w:link w:val="FootnoteTextChar"/>
    <w:unhideWhenUsed/>
    <w:rsid w:val="00E401A0"/>
    <w:pPr>
      <w:spacing w:after="0" w:line="240" w:lineRule="auto"/>
    </w:pPr>
    <w:rPr>
      <w:sz w:val="20"/>
      <w:szCs w:val="20"/>
    </w:rPr>
  </w:style>
  <w:style w:type="character" w:customStyle="1" w:styleId="FootnoteTextChar">
    <w:name w:val="Footnote Text Char"/>
    <w:aliases w:val="[X] Char"/>
    <w:basedOn w:val="DefaultParagraphFont"/>
    <w:link w:val="FootnoteText"/>
    <w:rsid w:val="00E401A0"/>
    <w:rPr>
      <w:sz w:val="20"/>
      <w:szCs w:val="20"/>
    </w:rPr>
  </w:style>
  <w:style w:type="character" w:styleId="FootnoteReference">
    <w:name w:val="footnote reference"/>
    <w:aliases w:val="Footnote,Footnotes refss,4_G,Footnote number,Stinking Styles"/>
    <w:basedOn w:val="DefaultParagraphFont"/>
    <w:unhideWhenUsed/>
    <w:qFormat/>
    <w:rsid w:val="00E401A0"/>
    <w:rPr>
      <w:vertAlign w:val="superscript"/>
    </w:rPr>
  </w:style>
  <w:style w:type="paragraph" w:styleId="Header">
    <w:name w:val="header"/>
    <w:basedOn w:val="Normal"/>
    <w:link w:val="HeaderChar"/>
    <w:uiPriority w:val="99"/>
    <w:unhideWhenUsed/>
    <w:rsid w:val="00B04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980"/>
  </w:style>
  <w:style w:type="paragraph" w:styleId="Footer">
    <w:name w:val="footer"/>
    <w:basedOn w:val="Normal"/>
    <w:link w:val="FooterChar"/>
    <w:uiPriority w:val="99"/>
    <w:unhideWhenUsed/>
    <w:rsid w:val="00B04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980"/>
  </w:style>
  <w:style w:type="paragraph" w:styleId="NoSpacing">
    <w:name w:val="No Spacing"/>
    <w:uiPriority w:val="1"/>
    <w:qFormat/>
    <w:rsid w:val="00B40213"/>
    <w:pPr>
      <w:spacing w:after="0" w:line="240" w:lineRule="auto"/>
    </w:pPr>
  </w:style>
  <w:style w:type="paragraph" w:styleId="EndnoteText">
    <w:name w:val="endnote text"/>
    <w:basedOn w:val="Normal"/>
    <w:link w:val="EndnoteTextChar"/>
    <w:uiPriority w:val="99"/>
    <w:semiHidden/>
    <w:unhideWhenUsed/>
    <w:rsid w:val="001D64B5"/>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1D64B5"/>
    <w:rPr>
      <w:rFonts w:ascii="Calibri" w:eastAsia="Calibri" w:hAnsi="Calibri" w:cs="Times New Roman"/>
      <w:sz w:val="20"/>
      <w:szCs w:val="20"/>
    </w:rPr>
  </w:style>
  <w:style w:type="character" w:styleId="EndnoteReference">
    <w:name w:val="endnote reference"/>
    <w:uiPriority w:val="99"/>
    <w:semiHidden/>
    <w:unhideWhenUsed/>
    <w:rsid w:val="001D64B5"/>
    <w:rPr>
      <w:vertAlign w:val="superscript"/>
    </w:rPr>
  </w:style>
  <w:style w:type="character" w:styleId="Hyperlink">
    <w:name w:val="Hyperlink"/>
    <w:basedOn w:val="DefaultParagraphFont"/>
    <w:uiPriority w:val="99"/>
    <w:unhideWhenUsed/>
    <w:rsid w:val="009B2C66"/>
    <w:rPr>
      <w:color w:val="005A70"/>
      <w:u w:val="single"/>
    </w:rPr>
  </w:style>
  <w:style w:type="paragraph" w:styleId="BalloonText">
    <w:name w:val="Balloon Text"/>
    <w:basedOn w:val="Normal"/>
    <w:link w:val="BalloonTextChar"/>
    <w:uiPriority w:val="99"/>
    <w:semiHidden/>
    <w:unhideWhenUsed/>
    <w:rsid w:val="009B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C66"/>
    <w:rPr>
      <w:rFonts w:ascii="Tahoma" w:hAnsi="Tahoma" w:cs="Tahoma"/>
      <w:sz w:val="16"/>
      <w:szCs w:val="16"/>
    </w:rPr>
  </w:style>
  <w:style w:type="paragraph" w:customStyle="1" w:styleId="Default">
    <w:name w:val="Default"/>
    <w:rsid w:val="00A630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5181"/>
    <w:pPr>
      <w:ind w:left="720"/>
      <w:contextualSpacing/>
    </w:pPr>
  </w:style>
  <w:style w:type="character" w:customStyle="1" w:styleId="option">
    <w:name w:val="option"/>
    <w:basedOn w:val="DefaultParagraphFont"/>
    <w:rsid w:val="0059780E"/>
  </w:style>
  <w:style w:type="character" w:styleId="Emphasis">
    <w:name w:val="Emphasis"/>
    <w:basedOn w:val="DefaultParagraphFont"/>
    <w:uiPriority w:val="20"/>
    <w:qFormat/>
    <w:rsid w:val="0059780E"/>
    <w:rPr>
      <w:i/>
      <w:iCs/>
    </w:rPr>
  </w:style>
  <w:style w:type="paragraph" w:styleId="CommentText">
    <w:name w:val="annotation text"/>
    <w:basedOn w:val="Normal"/>
    <w:link w:val="CommentTextChar"/>
    <w:uiPriority w:val="99"/>
    <w:semiHidden/>
    <w:unhideWhenUsed/>
    <w:rsid w:val="00DE6E0C"/>
    <w:pPr>
      <w:spacing w:line="240" w:lineRule="auto"/>
    </w:pPr>
    <w:rPr>
      <w:sz w:val="20"/>
      <w:szCs w:val="20"/>
    </w:rPr>
  </w:style>
  <w:style w:type="character" w:customStyle="1" w:styleId="CommentTextChar">
    <w:name w:val="Comment Text Char"/>
    <w:basedOn w:val="DefaultParagraphFont"/>
    <w:link w:val="CommentText"/>
    <w:uiPriority w:val="99"/>
    <w:semiHidden/>
    <w:rsid w:val="00DE6E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Bielefeld@uws.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CF647E.606C70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mailto:welfarereview@dss.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E584-DA9D-4C86-9B17-73E638EE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4727</Words>
  <Characters>27041</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Stefanac, Sandra</cp:lastModifiedBy>
  <cp:revision>2</cp:revision>
  <cp:lastPrinted>2014-08-07T14:16:00Z</cp:lastPrinted>
  <dcterms:created xsi:type="dcterms:W3CDTF">2014-08-19T04:43:00Z</dcterms:created>
  <dcterms:modified xsi:type="dcterms:W3CDTF">2014-08-19T04:43:00Z</dcterms:modified>
</cp:coreProperties>
</file>