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Default="001C2BE7" w:rsidP="001C2BE7">
      <w:pPr>
        <w:pStyle w:val="ListParagraph"/>
      </w:pPr>
      <w:r w:rsidRPr="001C2BE7">
        <w:t>What are the incremental steps to a new architecture?</w:t>
      </w:r>
    </w:p>
    <w:p w:rsidR="00D83E7D" w:rsidRPr="001C2BE7" w:rsidRDefault="00D83E7D" w:rsidP="00D83E7D">
      <w:pPr>
        <w:pStyle w:val="ListParagraph"/>
        <w:numPr>
          <w:ilvl w:val="0"/>
          <w:numId w:val="0"/>
        </w:numPr>
        <w:ind w:left="426"/>
      </w:pPr>
    </w:p>
    <w:tbl>
      <w:tblPr>
        <w:tblStyle w:val="TableGrid"/>
        <w:tblW w:w="0" w:type="auto"/>
        <w:tblInd w:w="108" w:type="dxa"/>
        <w:tblLook w:val="04A0" w:firstRow="1" w:lastRow="0" w:firstColumn="1" w:lastColumn="0" w:noHBand="0" w:noVBand="1"/>
        <w:tblDescription w:val="Simpler architecture"/>
      </w:tblPr>
      <w:tblGrid>
        <w:gridCol w:w="10065"/>
      </w:tblGrid>
      <w:tr w:rsidR="001C2BE7" w:rsidTr="008C5A75">
        <w:trPr>
          <w:tblHeader/>
        </w:trPr>
        <w:tc>
          <w:tcPr>
            <w:tcW w:w="10065" w:type="dxa"/>
          </w:tcPr>
          <w:p w:rsidR="00D83E7D" w:rsidRPr="002F7050" w:rsidRDefault="00D83E7D" w:rsidP="00CD079B">
            <w:r>
              <w:t>Supplements are exhausting, confusing, and subject to government policy changes.  Payments</w:t>
            </w:r>
            <w:r w:rsidR="00CD079B">
              <w:t xml:space="preserve"> should be </w:t>
            </w:r>
            <w:r>
              <w:t>pegged to a percentage of the minimum wage.</w:t>
            </w:r>
          </w:p>
          <w:p w:rsidR="00CD079B" w:rsidRDefault="00CD079B" w:rsidP="00CD079B">
            <w:pPr>
              <w:ind w:left="426" w:hanging="426"/>
            </w:pPr>
          </w:p>
          <w:p w:rsidR="00FC4037" w:rsidRDefault="00D83E7D" w:rsidP="00CD079B">
            <w:pPr>
              <w:pStyle w:val="BodyTextIndent2"/>
            </w:pPr>
            <w:r>
              <w:t xml:space="preserve">People may be assessed as having a permanent impairment and unable to work; it is unfair to subject them to repeated assessments and uncertainty for future eligibility.  </w:t>
            </w:r>
            <w:r w:rsidR="00334146">
              <w:t>However s</w:t>
            </w:r>
            <w:r>
              <w:t xml:space="preserve">ome </w:t>
            </w:r>
            <w:r w:rsidRPr="00334146">
              <w:rPr>
                <w:i/>
              </w:rPr>
              <w:t>d</w:t>
            </w:r>
            <w:r w:rsidR="00C97A40" w:rsidRPr="00334146">
              <w:rPr>
                <w:i/>
              </w:rPr>
              <w:t>o</w:t>
            </w:r>
            <w:r w:rsidR="00C97A40">
              <w:t xml:space="preserve"> wish to work; </w:t>
            </w:r>
            <w:r>
              <w:t>they should have access to Disability Employment Networks and the opportunity to find a willing and flexible employer</w:t>
            </w:r>
            <w:r w:rsidR="00334146">
              <w:t xml:space="preserve"> despite their assessment of permanent incapacity</w:t>
            </w:r>
            <w:r>
              <w:t>.</w:t>
            </w:r>
          </w:p>
          <w:p w:rsidR="00D83E7D" w:rsidRDefault="00D83E7D" w:rsidP="00D83E7D">
            <w:pPr>
              <w:pStyle w:val="ListParagraph"/>
              <w:numPr>
                <w:ilvl w:val="0"/>
                <w:numId w:val="0"/>
              </w:numPr>
              <w:ind w:left="426"/>
            </w:pPr>
          </w:p>
        </w:tc>
      </w:tr>
    </w:tbl>
    <w:p w:rsidR="008C5A75" w:rsidRPr="008C5A75" w:rsidRDefault="008C5A75" w:rsidP="008C5A75"/>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Description w:val="Fair rate structure"/>
      </w:tblPr>
      <w:tblGrid>
        <w:gridCol w:w="10065"/>
      </w:tblGrid>
      <w:tr w:rsidR="001C2BE7" w:rsidTr="008C5A75">
        <w:trPr>
          <w:tblHeader/>
        </w:trPr>
        <w:tc>
          <w:tcPr>
            <w:tcW w:w="10065" w:type="dxa"/>
          </w:tcPr>
          <w:p w:rsidR="00FC4037" w:rsidRPr="00FC4037" w:rsidRDefault="00596594" w:rsidP="00FC4037">
            <w:pPr>
              <w:spacing w:after="840"/>
              <w:rPr>
                <w:iCs/>
                <w:smallCaps/>
              </w:rPr>
            </w:pPr>
            <w:r>
              <w:rPr>
                <w:iCs/>
                <w:smallCaps/>
              </w:rPr>
              <w:t xml:space="preserve"> </w:t>
            </w:r>
          </w:p>
        </w:tc>
      </w:tr>
    </w:tbl>
    <w:p w:rsidR="008C5A75" w:rsidRPr="008C5A75" w:rsidRDefault="008C5A75" w:rsidP="008C5A75"/>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lastRenderedPageBreak/>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Description w:val="Common approach to adjusting payments"/>
      </w:tblPr>
      <w:tblGrid>
        <w:gridCol w:w="10065"/>
      </w:tblGrid>
      <w:tr w:rsidR="001C2BE7" w:rsidTr="008C5A75">
        <w:trPr>
          <w:tblHeader/>
        </w:trPr>
        <w:tc>
          <w:tcPr>
            <w:tcW w:w="10065" w:type="dxa"/>
          </w:tcPr>
          <w:p w:rsidR="00417C60" w:rsidRDefault="00417C60" w:rsidP="00417C60">
            <w:r w:rsidRPr="00FC088F">
              <w:t xml:space="preserve">The only single income payment adequate to sustain a private rental market tenancy (tenancy being a proven indicator of health, safety and citizenship) is the Disability Pension.  Those on other types of single person payments are more likely to be in informal housing arrangements with no security of tenure and therefore more susceptible to homelessness. </w:t>
            </w:r>
          </w:p>
          <w:p w:rsidR="00417C60" w:rsidRDefault="00417C60" w:rsidP="00417C60">
            <w:pPr>
              <w:ind w:left="426" w:hanging="426"/>
            </w:pPr>
          </w:p>
          <w:p w:rsidR="00417C60" w:rsidRPr="00FC088F" w:rsidRDefault="00C672FA" w:rsidP="00417C60">
            <w:pPr>
              <w:ind w:left="426" w:hanging="426"/>
            </w:pPr>
            <w:r>
              <w:t>25% of homeless people in A</w:t>
            </w:r>
            <w:r w:rsidR="00417C60" w:rsidRPr="00FC088F">
              <w:t>ustralia are aged</w:t>
            </w:r>
            <w:r w:rsidR="00417C60">
              <w:t xml:space="preserve"> under 25; likely to be on the Y</w:t>
            </w:r>
            <w:r w:rsidR="00417C60" w:rsidRPr="00FC088F">
              <w:t xml:space="preserve">outh </w:t>
            </w:r>
            <w:r w:rsidR="00417C60">
              <w:t>A</w:t>
            </w:r>
            <w:r w:rsidR="00417C60" w:rsidRPr="00FC088F">
              <w:t xml:space="preserve">llowance/ </w:t>
            </w:r>
            <w:r w:rsidR="00417C60">
              <w:t>N</w:t>
            </w:r>
            <w:r w:rsidR="00417C60" w:rsidRPr="00FC088F">
              <w:t>ewstart.</w:t>
            </w:r>
          </w:p>
          <w:p w:rsidR="00417C60" w:rsidRDefault="00417C60" w:rsidP="00417C60">
            <w:pPr>
              <w:ind w:left="426" w:hanging="426"/>
            </w:pPr>
          </w:p>
          <w:p w:rsidR="00417C60" w:rsidRDefault="00417C60" w:rsidP="00417C60">
            <w:pPr>
              <w:pStyle w:val="BodyTextIndent"/>
            </w:pPr>
            <w:r>
              <w:t>T</w:t>
            </w:r>
            <w:r w:rsidRPr="00FC088F">
              <w:t>he private rental market is often out of reach, and implies that apart from li</w:t>
            </w:r>
            <w:r>
              <w:t xml:space="preserve">mited ‘affordable housing’ they </w:t>
            </w:r>
            <w:r w:rsidRPr="00FC088F">
              <w:t xml:space="preserve">must secure a social housing property.  </w:t>
            </w:r>
            <w:r w:rsidR="00C97A40">
              <w:t>The social housing market is miniscule.</w:t>
            </w:r>
          </w:p>
          <w:p w:rsidR="001A337B" w:rsidRDefault="001A337B" w:rsidP="00417C60">
            <w:pPr>
              <w:pStyle w:val="BodyTextIndent"/>
            </w:pPr>
          </w:p>
          <w:p w:rsidR="001A337B" w:rsidRPr="002F7050" w:rsidRDefault="001A337B" w:rsidP="00417C60">
            <w:pPr>
              <w:pStyle w:val="BodyTextIndent"/>
            </w:pPr>
            <w:r>
              <w:t>Payment changes should be pegged to increases in the CPI; increments below the CPI guarantee the slide into further disadvantage</w:t>
            </w:r>
            <w:r w:rsidR="008D0D8E">
              <w:t>.  R</w:t>
            </w:r>
            <w:r>
              <w:t>espon</w:t>
            </w:r>
            <w:r w:rsidR="008D0D8E">
              <w:t>ses</w:t>
            </w:r>
            <w:r>
              <w:t xml:space="preserve"> </w:t>
            </w:r>
            <w:r w:rsidR="008D0D8E">
              <w:t xml:space="preserve">to </w:t>
            </w:r>
            <w:r>
              <w:t xml:space="preserve">the </w:t>
            </w:r>
            <w:r w:rsidR="008D0D8E">
              <w:t xml:space="preserve">associated </w:t>
            </w:r>
            <w:r>
              <w:t xml:space="preserve">impact on child wellbeing, </w:t>
            </w:r>
            <w:r w:rsidR="008D0D8E">
              <w:t xml:space="preserve">community </w:t>
            </w:r>
            <w:r w:rsidR="00CD079B">
              <w:t>health, the justice system etc are</w:t>
            </w:r>
            <w:r w:rsidR="008D0D8E">
              <w:t xml:space="preserve"> more costly than prevention</w:t>
            </w:r>
            <w:r>
              <w:t>.</w:t>
            </w:r>
          </w:p>
          <w:p w:rsidR="001C2BE7" w:rsidRDefault="001C2BE7" w:rsidP="00417C60">
            <w:pPr>
              <w:pStyle w:val="ListParagraph"/>
              <w:numPr>
                <w:ilvl w:val="0"/>
                <w:numId w:val="0"/>
              </w:numPr>
              <w:ind w:left="426"/>
            </w:pPr>
          </w:p>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Description w:val="Support for families with children and young people"/>
      </w:tblPr>
      <w:tblGrid>
        <w:gridCol w:w="10065"/>
      </w:tblGrid>
      <w:tr w:rsidR="001C2BE7" w:rsidTr="008C5A75">
        <w:trPr>
          <w:tblHeader/>
        </w:trPr>
        <w:tc>
          <w:tcPr>
            <w:tcW w:w="10065" w:type="dxa"/>
          </w:tcPr>
          <w:p w:rsidR="004D742D" w:rsidRDefault="004D742D" w:rsidP="004D742D">
            <w:r w:rsidRPr="002F7050">
              <w:t>Young people must remain eligible for living away from home allowance (or similar).  To remove eligibility means young people may have no option but to remain in unsafe or inadequate situations.  In our exper</w:t>
            </w:r>
            <w:r>
              <w:t>ience C</w:t>
            </w:r>
            <w:r w:rsidRPr="002F7050">
              <w:t xml:space="preserve">hild </w:t>
            </w:r>
            <w:r>
              <w:t>S</w:t>
            </w:r>
            <w:r w:rsidRPr="002F7050">
              <w:t>afety are limited in their capacity to respond to concerns for people aged 14 and over.</w:t>
            </w:r>
          </w:p>
          <w:p w:rsidR="004D742D" w:rsidRPr="002F7050" w:rsidRDefault="004D742D" w:rsidP="004D742D"/>
          <w:p w:rsidR="004D742D" w:rsidRDefault="004D742D" w:rsidP="004D742D">
            <w:pPr>
              <w:pStyle w:val="BodyTextIndent"/>
            </w:pPr>
            <w:r>
              <w:t xml:space="preserve">In Logan </w:t>
            </w:r>
            <w:r w:rsidRPr="002F7050">
              <w:t>parents could be prosecuted/ fined for their children’s non-attenda</w:t>
            </w:r>
            <w:r>
              <w:t xml:space="preserve">nce at school.  We </w:t>
            </w:r>
            <w:r w:rsidRPr="002F7050">
              <w:t xml:space="preserve">are aware of </w:t>
            </w:r>
            <w:r>
              <w:t xml:space="preserve">significant numbers (hundreds) of </w:t>
            </w:r>
            <w:r w:rsidRPr="002F7050">
              <w:t xml:space="preserve">children </w:t>
            </w:r>
            <w:r>
              <w:t>consistently absent</w:t>
            </w:r>
            <w:r w:rsidRPr="002F7050">
              <w:t xml:space="preserve">; </w:t>
            </w:r>
            <w:r>
              <w:t xml:space="preserve">despite </w:t>
            </w:r>
            <w:r w:rsidRPr="002F7050">
              <w:t>report</w:t>
            </w:r>
            <w:r>
              <w:t>s</w:t>
            </w:r>
            <w:r w:rsidRPr="002F7050">
              <w:t xml:space="preserve"> to </w:t>
            </w:r>
            <w:r>
              <w:t>Child S</w:t>
            </w:r>
            <w:r w:rsidRPr="002F7050">
              <w:t>afety while working with the family to</w:t>
            </w:r>
            <w:r>
              <w:t xml:space="preserve"> encourage school attendance w</w:t>
            </w:r>
            <w:r w:rsidRPr="002F7050">
              <w:t xml:space="preserve">e are unaware of any fine/ prosecution for parents.  </w:t>
            </w:r>
            <w:r w:rsidR="00C97A40">
              <w:t>Child Safety say school non-attendance is a Department of Education problem; children continue to miss school while Departments disagree on who is to lead a response.</w:t>
            </w:r>
          </w:p>
          <w:p w:rsidR="004D742D" w:rsidRDefault="004D742D" w:rsidP="004D742D">
            <w:pPr>
              <w:pStyle w:val="BodyTextIndent"/>
            </w:pPr>
          </w:p>
          <w:p w:rsidR="004D742D" w:rsidRPr="004D742D" w:rsidRDefault="004D742D" w:rsidP="004D742D">
            <w:pPr>
              <w:ind w:left="426" w:hanging="426"/>
              <w:rPr>
                <w:i/>
              </w:rPr>
            </w:pPr>
            <w:r w:rsidRPr="004D742D">
              <w:rPr>
                <w:i/>
              </w:rPr>
              <w:t>Payments for children must be linked to school attendance.</w:t>
            </w:r>
          </w:p>
          <w:p w:rsidR="00596594" w:rsidRDefault="00596594" w:rsidP="004D742D">
            <w:pPr>
              <w:pStyle w:val="ListParagraph"/>
              <w:numPr>
                <w:ilvl w:val="0"/>
                <w:numId w:val="0"/>
              </w:numPr>
              <w:ind w:left="426"/>
            </w:pPr>
          </w:p>
          <w:p w:rsidR="004D742D" w:rsidRDefault="004D742D" w:rsidP="004D742D">
            <w:pPr>
              <w:pStyle w:val="ListParagraph"/>
              <w:numPr>
                <w:ilvl w:val="0"/>
                <w:numId w:val="0"/>
              </w:numPr>
              <w:ind w:left="426"/>
            </w:pPr>
          </w:p>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Description w:val="Effective rent assistance"/>
      </w:tblPr>
      <w:tblGrid>
        <w:gridCol w:w="10065"/>
      </w:tblGrid>
      <w:tr w:rsidR="001C2BE7" w:rsidTr="008C5A75">
        <w:trPr>
          <w:tblHeader/>
        </w:trPr>
        <w:tc>
          <w:tcPr>
            <w:tcW w:w="10065" w:type="dxa"/>
          </w:tcPr>
          <w:p w:rsidR="001C2BE7" w:rsidRDefault="0064771F" w:rsidP="0064771F">
            <w:pPr>
              <w:contextualSpacing/>
            </w:pPr>
            <w:r w:rsidRPr="0064771F">
              <w:lastRenderedPageBreak/>
              <w:t xml:space="preserve">People </w:t>
            </w:r>
            <w:r w:rsidRPr="004C421B">
              <w:t>who</w:t>
            </w:r>
            <w:r w:rsidRPr="0064771F">
              <w:t xml:space="preserve"> pay their</w:t>
            </w:r>
            <w:r w:rsidRPr="004C421B">
              <w:t xml:space="preserve"> rents through Centrepay </w:t>
            </w:r>
            <w:r w:rsidRPr="0064771F">
              <w:t xml:space="preserve">can and do cancel their rent payments at any time (apart from income managed) </w:t>
            </w:r>
            <w:r w:rsidRPr="004C421B">
              <w:rPr>
                <w:i/>
              </w:rPr>
              <w:t xml:space="preserve">yet </w:t>
            </w:r>
            <w:r w:rsidRPr="0064771F">
              <w:rPr>
                <w:i/>
              </w:rPr>
              <w:t>continue to be paid Rent Assistance</w:t>
            </w:r>
            <w:r w:rsidRPr="0064771F">
              <w:t>.</w:t>
            </w:r>
            <w:r w:rsidRPr="004C421B">
              <w:t xml:space="preserve"> This reinforces an ‘all rights, no responsibilities’ message.</w:t>
            </w:r>
          </w:p>
          <w:p w:rsidR="004C421B" w:rsidRPr="004C421B" w:rsidRDefault="004C421B" w:rsidP="0064771F">
            <w:pPr>
              <w:contextualSpacing/>
            </w:pPr>
          </w:p>
          <w:p w:rsidR="001A337B" w:rsidRPr="004C421B" w:rsidRDefault="001A337B" w:rsidP="0064771F">
            <w:pPr>
              <w:contextualSpacing/>
            </w:pPr>
            <w:r w:rsidRPr="004C421B">
              <w:t>Rent assistance is not always used for rent; it is now seen as a part of standard payments with little association to rent.</w:t>
            </w:r>
          </w:p>
          <w:p w:rsidR="001A337B" w:rsidRPr="004C421B" w:rsidRDefault="001A337B" w:rsidP="0064771F">
            <w:pPr>
              <w:contextualSpacing/>
            </w:pPr>
          </w:p>
          <w:p w:rsidR="001A337B" w:rsidRPr="004C421B" w:rsidRDefault="001A337B" w:rsidP="0064771F">
            <w:pPr>
              <w:contextualSpacing/>
            </w:pPr>
            <w:r w:rsidRPr="004C421B">
              <w:t xml:space="preserve">Eligibility for social housing requires disadvantage, including the inability to afford private market rent. </w:t>
            </w:r>
            <w:r w:rsidRPr="00851703">
              <w:rPr>
                <w:i/>
              </w:rPr>
              <w:t xml:space="preserve"> Social housing should require rent payments via Centrepay regardless of if they are on income management.</w:t>
            </w:r>
          </w:p>
          <w:p w:rsidR="0064771F" w:rsidRPr="0064771F" w:rsidRDefault="0064771F" w:rsidP="0064771F">
            <w:pPr>
              <w:contextualSpacing/>
              <w:rPr>
                <w:sz w:val="20"/>
                <w:szCs w:val="20"/>
              </w:rPr>
            </w:pPr>
          </w:p>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Description w:val="Rewards for work and targeting assistance to need"/>
      </w:tblPr>
      <w:tblGrid>
        <w:gridCol w:w="10065"/>
      </w:tblGrid>
      <w:tr w:rsidR="001C2BE7" w:rsidTr="008C5A75">
        <w:trPr>
          <w:tblHeader/>
        </w:trPr>
        <w:tc>
          <w:tcPr>
            <w:tcW w:w="10065" w:type="dxa"/>
          </w:tcPr>
          <w:p w:rsidR="001C2BE7" w:rsidRDefault="001C2BE7" w:rsidP="0064771F">
            <w:pPr>
              <w:rPr>
                <w:i/>
                <w:iCs/>
                <w:smallCaps/>
              </w:rPr>
            </w:pPr>
          </w:p>
          <w:p w:rsidR="0064771F" w:rsidRDefault="0064771F" w:rsidP="0064771F">
            <w:pPr>
              <w:rPr>
                <w:i/>
                <w:iCs/>
                <w:smallCaps/>
              </w:rPr>
            </w:pPr>
          </w:p>
          <w:p w:rsidR="0064771F" w:rsidRDefault="0064771F" w:rsidP="0064771F">
            <w:pPr>
              <w:rPr>
                <w:i/>
                <w:iCs/>
                <w:smallCaps/>
              </w:rPr>
            </w:pPr>
          </w:p>
        </w:tc>
      </w:tr>
    </w:tbl>
    <w:p w:rsidR="00FC4037" w:rsidRDefault="00FC4037" w:rsidP="008C5A75">
      <w:pPr>
        <w:pStyle w:val="Heading2"/>
      </w:pPr>
    </w:p>
    <w:p w:rsidR="00FC4037" w:rsidRDefault="00FC4037" w:rsidP="008C5A75">
      <w:pPr>
        <w:pStyle w:val="Heading2"/>
      </w:pPr>
    </w:p>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Description w:val="Mutual obligation"/>
      </w:tblPr>
      <w:tblGrid>
        <w:gridCol w:w="10206"/>
      </w:tblGrid>
      <w:tr w:rsidR="001C2BE7" w:rsidTr="008C5A75">
        <w:trPr>
          <w:tblHeader/>
        </w:trPr>
        <w:tc>
          <w:tcPr>
            <w:tcW w:w="10206" w:type="dxa"/>
          </w:tcPr>
          <w:p w:rsidR="00417C60" w:rsidRPr="002F7050" w:rsidRDefault="00417C60" w:rsidP="00417C60">
            <w:r>
              <w:lastRenderedPageBreak/>
              <w:t xml:space="preserve">Until the impact of the NDIS on carer capacity for employment can be seen, for many caring </w:t>
            </w:r>
            <w:r w:rsidRPr="00417C60">
              <w:rPr>
                <w:i/>
              </w:rPr>
              <w:t>is</w:t>
            </w:r>
            <w:r>
              <w:t xml:space="preserve"> a full time job and it is unviable to expect them to participate in the labour force as well.</w:t>
            </w:r>
          </w:p>
          <w:p w:rsidR="001C2BE7" w:rsidRDefault="001C2BE7" w:rsidP="00417C60">
            <w:pPr>
              <w:ind w:left="426" w:hanging="426"/>
            </w:pPr>
          </w:p>
          <w:p w:rsidR="00AF3693" w:rsidRDefault="00417C60" w:rsidP="00107DB7">
            <w:pPr>
              <w:ind w:left="34"/>
            </w:pPr>
            <w:r>
              <w:t xml:space="preserve">YFS support fair and robust application of income management.  It allows necessities to be met while giving space to address their disadvantage.  It also protects children who bear the consequences of poor financial </w:t>
            </w:r>
            <w:r w:rsidR="00AF3693">
              <w:t>decisions</w:t>
            </w:r>
            <w:r>
              <w:t>.  Income management is flawed; YFS are aware of cases of ‘system malfunction’ (which meant rent was unpaid and led to arrears)</w:t>
            </w:r>
            <w:r w:rsidR="00AF3693">
              <w:t xml:space="preserve">.  Income management should care enough about people to maintain a </w:t>
            </w:r>
            <w:r w:rsidR="00AF3693" w:rsidRPr="00AF3693">
              <w:rPr>
                <w:i/>
              </w:rPr>
              <w:t>robust</w:t>
            </w:r>
            <w:r w:rsidR="00AF3693">
              <w:t xml:space="preserve"> system.  The system designed to ensure necessities </w:t>
            </w:r>
            <w:r w:rsidR="00CA577A">
              <w:t xml:space="preserve">are paid has </w:t>
            </w:r>
            <w:r w:rsidR="00C97A40">
              <w:t xml:space="preserve">also </w:t>
            </w:r>
            <w:r w:rsidR="00CA577A">
              <w:t xml:space="preserve">shown it </w:t>
            </w:r>
            <w:r w:rsidR="00C97A40">
              <w:t>allows rent to go unpaid.</w:t>
            </w:r>
          </w:p>
          <w:p w:rsidR="00CA577A" w:rsidRDefault="00CA577A" w:rsidP="00107DB7">
            <w:pPr>
              <w:ind w:left="34"/>
            </w:pPr>
          </w:p>
          <w:p w:rsidR="00CA577A" w:rsidRDefault="00CA577A" w:rsidP="00107DB7">
            <w:pPr>
              <w:ind w:left="34"/>
            </w:pPr>
            <w:r>
              <w:t xml:space="preserve">Income management should </w:t>
            </w:r>
            <w:r w:rsidRPr="00A86F5F">
              <w:rPr>
                <w:i/>
              </w:rPr>
              <w:t>not</w:t>
            </w:r>
            <w:r>
              <w:t xml:space="preserve"> take 100% of someone’s welfare payment.  In order to be financially </w:t>
            </w:r>
            <w:r w:rsidR="00C97A40">
              <w:t>responsible</w:t>
            </w:r>
            <w:r>
              <w:t xml:space="preserve"> </w:t>
            </w:r>
            <w:r w:rsidR="00A86F5F">
              <w:t xml:space="preserve">people </w:t>
            </w:r>
            <w:r>
              <w:t>must have an amount of discretionary s</w:t>
            </w:r>
            <w:r w:rsidR="00A86F5F">
              <w:t xml:space="preserve">pending. </w:t>
            </w:r>
            <w:r w:rsidR="00C97A40">
              <w:t xml:space="preserve"> Income management should be about developing or redeveloping a pattern of behaviour.  As people improve and understand their responsibilities – gradually </w:t>
            </w:r>
            <w:r w:rsidR="001A337B">
              <w:t xml:space="preserve">withdraw for </w:t>
            </w:r>
            <w:r w:rsidR="00C97A40">
              <w:t>them take over.</w:t>
            </w:r>
            <w:r w:rsidR="00A86F5F">
              <w:t xml:space="preserve"> If an individual is incapable of managing this amount well, the Public Trustee (or state equivalent) is another option.  Income management is not the only option.</w:t>
            </w:r>
          </w:p>
          <w:p w:rsidR="00AF3693" w:rsidRDefault="00AF3693" w:rsidP="00AF3693">
            <w:pPr>
              <w:ind w:left="426" w:hanging="426"/>
            </w:pPr>
          </w:p>
          <w:p w:rsidR="00417C60" w:rsidRDefault="00417C60" w:rsidP="00CA577A"/>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Description w:val="Early intervention"/>
      </w:tblPr>
      <w:tblGrid>
        <w:gridCol w:w="10206"/>
      </w:tblGrid>
      <w:tr w:rsidR="001C2BE7" w:rsidTr="008C5A75">
        <w:trPr>
          <w:tblHeader/>
        </w:trPr>
        <w:tc>
          <w:tcPr>
            <w:tcW w:w="10206" w:type="dxa"/>
          </w:tcPr>
          <w:p w:rsidR="00A86F5F" w:rsidRDefault="00A86F5F" w:rsidP="00A86F5F">
            <w:r>
              <w:t xml:space="preserve">Systems are isolated and communicate poorly.  Communities would benefit from a Collective Impact type investment where agreed benchmarks and community buy-in work to the same ends.  </w:t>
            </w:r>
          </w:p>
          <w:p w:rsidR="00A86F5F" w:rsidRDefault="00A86F5F" w:rsidP="00A86F5F"/>
          <w:p w:rsidR="00A86F5F" w:rsidRPr="00A91777" w:rsidRDefault="00A86F5F" w:rsidP="00A86F5F">
            <w:r w:rsidRPr="00A91777">
              <w:t xml:space="preserve">There is an increasing tendency to </w:t>
            </w:r>
            <w:r w:rsidRPr="00107DB7">
              <w:t xml:space="preserve">fund </w:t>
            </w:r>
            <w:r w:rsidRPr="00107DB7">
              <w:rPr>
                <w:i/>
              </w:rPr>
              <w:t>referral</w:t>
            </w:r>
            <w:r w:rsidRPr="00107DB7">
              <w:rPr>
                <w:b/>
                <w:i/>
              </w:rPr>
              <w:t xml:space="preserve"> </w:t>
            </w:r>
            <w:r w:rsidRPr="00A91777">
              <w:t xml:space="preserve">services. Providers and people get caught up in endless referrals; </w:t>
            </w:r>
            <w:r w:rsidRPr="00107DB7">
              <w:rPr>
                <w:i/>
              </w:rPr>
              <w:t xml:space="preserve">doing </w:t>
            </w:r>
            <w:r w:rsidRPr="00A91777">
              <w:t>services are required. Both government and non-government services must methodically connect people and families back to the institutions that provide the stability for a full life</w:t>
            </w:r>
            <w:r w:rsidR="001A337B" w:rsidRPr="00A91777">
              <w:t xml:space="preserve"> (child care, care schools, </w:t>
            </w:r>
            <w:r w:rsidRPr="00A91777">
              <w:t>employment, medical services, neighbours, family and friends, local traders).  This requires secure housing</w:t>
            </w:r>
            <w:r w:rsidR="00A91777" w:rsidRPr="00A91777">
              <w:t xml:space="preserve"> (and adequate supply)</w:t>
            </w:r>
            <w:r w:rsidRPr="00A91777">
              <w:t>.</w:t>
            </w:r>
          </w:p>
          <w:p w:rsidR="001C2BE7" w:rsidRPr="002A74D8" w:rsidRDefault="001C2BE7" w:rsidP="00A86F5F">
            <w:pPr>
              <w:pStyle w:val="ListParagraph"/>
              <w:numPr>
                <w:ilvl w:val="0"/>
                <w:numId w:val="0"/>
              </w:numPr>
              <w:ind w:left="426"/>
            </w:pPr>
          </w:p>
        </w:tc>
      </w:tr>
    </w:tbl>
    <w:p w:rsidR="008C5A75" w:rsidRPr="008C5A75" w:rsidRDefault="008C5A75" w:rsidP="008C5A75"/>
    <w:p w:rsidR="001C2BE7" w:rsidRPr="008C5A75" w:rsidRDefault="001C2BE7" w:rsidP="008C5A75">
      <w:pPr>
        <w:pStyle w:val="Heading3"/>
      </w:pPr>
      <w:r w:rsidRPr="007D7F83">
        <w:t>Education and Training</w:t>
      </w:r>
    </w:p>
    <w:p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How can a focus on ‘earn or learn’ for young Australians be enhanced?</w:t>
      </w:r>
    </w:p>
    <w:tbl>
      <w:tblPr>
        <w:tblStyle w:val="TableGrid"/>
        <w:tblW w:w="0" w:type="auto"/>
        <w:tblInd w:w="108" w:type="dxa"/>
        <w:tblLook w:val="04A0" w:firstRow="1" w:lastRow="0" w:firstColumn="1" w:lastColumn="0" w:noHBand="0" w:noVBand="1"/>
        <w:tblDescription w:val="Education and Training"/>
      </w:tblPr>
      <w:tblGrid>
        <w:gridCol w:w="10206"/>
      </w:tblGrid>
      <w:tr w:rsidR="001C2BE7" w:rsidTr="008C5A75">
        <w:trPr>
          <w:tblHeader/>
        </w:trPr>
        <w:tc>
          <w:tcPr>
            <w:tcW w:w="10206" w:type="dxa"/>
          </w:tcPr>
          <w:p w:rsidR="00C97A40" w:rsidRDefault="00C97A40" w:rsidP="00C97A40">
            <w:r>
              <w:t>Money management should be taught in schools.</w:t>
            </w:r>
          </w:p>
          <w:p w:rsidR="001C2BE7" w:rsidRDefault="00C97A40" w:rsidP="00C97A40">
            <w:r>
              <w:t xml:space="preserve">The problem of learning this skill from parents is that not all parents (or people) are good managers of money.  People live and are encouraged to live beyond their means.  </w:t>
            </w:r>
          </w:p>
          <w:p w:rsidR="00C97A40" w:rsidRPr="00C97A40" w:rsidRDefault="00C97A40" w:rsidP="00C97A40"/>
        </w:tc>
      </w:tr>
    </w:tbl>
    <w:p w:rsidR="00C97A40" w:rsidRDefault="00C97A40" w:rsidP="008C5A75">
      <w:pPr>
        <w:pStyle w:val="Heading3"/>
      </w:pPr>
    </w:p>
    <w:p w:rsidR="001C2BE7" w:rsidRPr="006C5254" w:rsidRDefault="001C2BE7" w:rsidP="008C5A75">
      <w:pPr>
        <w:pStyle w:val="Heading3"/>
        <w:rPr>
          <w:iCs/>
          <w:smallCaps/>
        </w:rPr>
      </w:pPr>
      <w:r w:rsidRPr="006C5254">
        <w:lastRenderedPageBreak/>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Description w:val="Improving individual and family functioning"/>
      </w:tblPr>
      <w:tblGrid>
        <w:gridCol w:w="10206"/>
      </w:tblGrid>
      <w:tr w:rsidR="001C2BE7" w:rsidTr="008C5A75">
        <w:trPr>
          <w:tblHeader/>
        </w:trPr>
        <w:tc>
          <w:tcPr>
            <w:tcW w:w="10206" w:type="dxa"/>
          </w:tcPr>
          <w:p w:rsidR="00A86F5F" w:rsidRDefault="00A86F5F" w:rsidP="00A86F5F">
            <w:r>
              <w:t>See response to page 85 – 88.</w:t>
            </w:r>
          </w:p>
          <w:p w:rsidR="004F4987" w:rsidRDefault="004F4987" w:rsidP="00A86F5F"/>
          <w:p w:rsidR="00375286" w:rsidRDefault="004F4987" w:rsidP="00375286">
            <w:r>
              <w:t xml:space="preserve">Collaboration between services requires a lead with delegated authority to ensure consistency of services.  Collaboration which relies on the good intentions of agencies invites poorer outcomes for families, individuals and the community.   </w:t>
            </w:r>
            <w:r w:rsidR="00375286">
              <w:t>Collaboration at any cost is destructive.</w:t>
            </w:r>
          </w:p>
          <w:p w:rsidR="001C2BE7" w:rsidRDefault="001C2BE7" w:rsidP="00A86F5F"/>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Description w:val="Evaluating outcomes"/>
      </w:tblPr>
      <w:tblGrid>
        <w:gridCol w:w="10206"/>
      </w:tblGrid>
      <w:tr w:rsidR="001C2BE7" w:rsidTr="008C5A75">
        <w:trPr>
          <w:tblHeader/>
        </w:trPr>
        <w:tc>
          <w:tcPr>
            <w:tcW w:w="10206" w:type="dxa"/>
          </w:tcPr>
          <w:p w:rsidR="004F4987" w:rsidRDefault="004F4987" w:rsidP="004F4987">
            <w:r>
              <w:t xml:space="preserve">Consistency of client achievement measures across programs, measured over time by both </w:t>
            </w:r>
            <w:r w:rsidR="00107DB7">
              <w:t xml:space="preserve">the </w:t>
            </w:r>
            <w:r>
              <w:t xml:space="preserve">person/ family and the agency. </w:t>
            </w:r>
          </w:p>
          <w:p w:rsidR="004F4987" w:rsidRDefault="004F4987" w:rsidP="004F4987"/>
          <w:p w:rsidR="00375286" w:rsidRPr="002F7050" w:rsidRDefault="004F4987" w:rsidP="004F4987">
            <w:r>
              <w:t xml:space="preserve">Contract management </w:t>
            </w:r>
            <w:r w:rsidR="00375286">
              <w:t>should</w:t>
            </w:r>
            <w:r>
              <w:t xml:space="preserve"> review not only the systems in place but the quality of the work (ie ISO).</w:t>
            </w:r>
            <w:r w:rsidR="00375286">
              <w:t xml:space="preserve">  Talented contract managers are required; those who can see</w:t>
            </w:r>
            <w:r w:rsidR="00A91777">
              <w:t xml:space="preserve"> that</w:t>
            </w:r>
            <w:r w:rsidR="00375286">
              <w:t xml:space="preserve"> the value and the quality of the work takes precedence over any relationship they may have with the agency.</w:t>
            </w:r>
          </w:p>
          <w:p w:rsidR="001C2BE7" w:rsidRDefault="001C2BE7" w:rsidP="004F4987"/>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lastRenderedPageBreak/>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Description w:val="Employment focus – making jobs available"/>
      </w:tblPr>
      <w:tblGrid>
        <w:gridCol w:w="10206"/>
      </w:tblGrid>
      <w:tr w:rsidR="001C2BE7" w:rsidTr="008C5A75">
        <w:trPr>
          <w:tblHeader/>
        </w:trPr>
        <w:tc>
          <w:tcPr>
            <w:tcW w:w="10206" w:type="dxa"/>
          </w:tcPr>
          <w:p w:rsidR="004F7FB0" w:rsidRDefault="004F7FB0" w:rsidP="004F7FB0">
            <w:r>
              <w:t xml:space="preserve">The </w:t>
            </w:r>
            <w:r w:rsidRPr="00865B4D">
              <w:t>McClure interim report acknowledges the</w:t>
            </w:r>
            <w:r>
              <w:t xml:space="preserve"> </w:t>
            </w:r>
            <w:r w:rsidRPr="00865B4D">
              <w:t>success of social enterprise, noting s</w:t>
            </w:r>
            <w:r w:rsidRPr="00865B4D">
              <w:rPr>
                <w:i/>
              </w:rPr>
              <w:t>ocial enterprises have been shown to improve employment outcomes for disadvantaged groups as well as provide long-term sustainable employment.</w:t>
            </w:r>
            <w:r w:rsidRPr="00865B4D">
              <w:t xml:space="preserve">  </w:t>
            </w:r>
          </w:p>
          <w:p w:rsidR="004F7FB0" w:rsidRPr="00865B4D" w:rsidRDefault="004F7FB0" w:rsidP="004F7FB0"/>
          <w:p w:rsidR="004F7FB0" w:rsidRDefault="004F7FB0" w:rsidP="004F7FB0">
            <w:r w:rsidRPr="00865B4D">
              <w:t xml:space="preserve">YFS Ltd </w:t>
            </w:r>
            <w:r>
              <w:t xml:space="preserve">has invested in </w:t>
            </w:r>
            <w:r w:rsidRPr="00865B4D">
              <w:t>social enterprise</w:t>
            </w:r>
            <w:r>
              <w:t xml:space="preserve">, believing it </w:t>
            </w:r>
            <w:r w:rsidRPr="00865B4D">
              <w:t xml:space="preserve">key to creating local employment and subsequent </w:t>
            </w:r>
            <w:r>
              <w:t>opportunities for</w:t>
            </w:r>
            <w:r w:rsidRPr="00865B4D">
              <w:t xml:space="preserve"> long term employment.  </w:t>
            </w:r>
            <w:r>
              <w:t>Of the proposed four pillars of reform, social enterprise has a role in three; strengthening individual and family capability, engaging with employers and building community capacity.</w:t>
            </w:r>
          </w:p>
          <w:p w:rsidR="004F7FB0" w:rsidRDefault="004F7FB0" w:rsidP="004F7FB0"/>
          <w:p w:rsidR="001A337B" w:rsidRDefault="001A337B" w:rsidP="001A337B">
            <w:r>
              <w:t xml:space="preserve">Social enterprise jobs may look soft to the inexperienced eye, yet they are extremely clever at getting people back into the pattern of work.  People learn timekeeping, social skills and team work; the value of honest labour gives a sense of achievement. </w:t>
            </w:r>
          </w:p>
          <w:p w:rsidR="001A337B" w:rsidRDefault="001A337B" w:rsidP="001A337B"/>
          <w:p w:rsidR="004F7FB0" w:rsidRDefault="004F7FB0" w:rsidP="004F7FB0">
            <w:r>
              <w:t>To achieve this, YFS calls for t</w:t>
            </w:r>
            <w:r w:rsidRPr="00865B4D">
              <w:t xml:space="preserve">he </w:t>
            </w:r>
            <w:r>
              <w:t>g</w:t>
            </w:r>
            <w:r w:rsidRPr="00865B4D">
              <w:t xml:space="preserve">overnment and business sectors </w:t>
            </w:r>
            <w:r>
              <w:t>to</w:t>
            </w:r>
            <w:r w:rsidRPr="00865B4D">
              <w:t xml:space="preserve"> </w:t>
            </w:r>
            <w:r>
              <w:t>contribute</w:t>
            </w:r>
            <w:r w:rsidRPr="00865B4D">
              <w:t xml:space="preserve"> via social procurement policies; an innovative response to addressing unemployment by ensuring multiple outcomes are achieved through procurement practices. Social procurement is not a radical initiative and works effectively with current policy guidelines and regulations.</w:t>
            </w:r>
          </w:p>
          <w:p w:rsidR="004F7FB0" w:rsidRPr="00865B4D" w:rsidRDefault="004F7FB0" w:rsidP="004F7FB0"/>
          <w:p w:rsidR="004F7FB0" w:rsidRDefault="004F7FB0" w:rsidP="004F7FB0">
            <w:r>
              <w:t>YFS believes this should be an attractive proposition as it requires n</w:t>
            </w:r>
            <w:r w:rsidRPr="00865B4D">
              <w:t xml:space="preserve">o additional funding </w:t>
            </w:r>
            <w:r>
              <w:t>–</w:t>
            </w:r>
            <w:r w:rsidRPr="00865B4D">
              <w:t xml:space="preserve"> </w:t>
            </w:r>
            <w:r>
              <w:t xml:space="preserve">currently </w:t>
            </w:r>
            <w:r w:rsidRPr="00865B4D">
              <w:t>a small percent</w:t>
            </w:r>
            <w:r>
              <w:t xml:space="preserve">age of government or business </w:t>
            </w:r>
            <w:r w:rsidRPr="00865B4D">
              <w:t xml:space="preserve">procurement is allocated to social enterprise.  Significant results can be achieved if </w:t>
            </w:r>
            <w:r>
              <w:t xml:space="preserve">expenditure requires providers to deliver </w:t>
            </w:r>
            <w:r w:rsidRPr="00865B4D">
              <w:t xml:space="preserve">positive social </w:t>
            </w:r>
            <w:r>
              <w:t>impact as part of a contract’s key deliverables.</w:t>
            </w:r>
          </w:p>
          <w:p w:rsidR="004F7FB0" w:rsidRPr="00865B4D" w:rsidRDefault="004F7FB0" w:rsidP="004F7FB0"/>
          <w:p w:rsidR="004F7FB0" w:rsidRDefault="004F7FB0" w:rsidP="004F7FB0">
            <w:r w:rsidRPr="00865B4D">
              <w:t xml:space="preserve">Social enterprises are increasing in number and capacity and are an important addition to the supply market. </w:t>
            </w:r>
            <w:r>
              <w:t xml:space="preserve">Critical </w:t>
            </w:r>
            <w:r w:rsidRPr="00865B4D">
              <w:t xml:space="preserve">to unlocking their potential </w:t>
            </w:r>
            <w:r>
              <w:t>is e</w:t>
            </w:r>
            <w:r w:rsidRPr="00865B4D">
              <w:t xml:space="preserve">nsuring social procurement processes are flexible enough to allow </w:t>
            </w:r>
            <w:r>
              <w:t>a diversity of</w:t>
            </w:r>
            <w:r w:rsidRPr="00865B4D">
              <w:t xml:space="preserve"> suppliers to compete for co</w:t>
            </w:r>
            <w:r>
              <w:t>uncil and government contracts</w:t>
            </w:r>
            <w:r w:rsidRPr="00865B4D">
              <w:t xml:space="preserve">. </w:t>
            </w:r>
            <w:r>
              <w:t xml:space="preserve">Services with a </w:t>
            </w:r>
            <w:r w:rsidRPr="00865B4D">
              <w:t>focus on delivering social impacts</w:t>
            </w:r>
            <w:r>
              <w:t xml:space="preserve"> can be competitive tenderers, while </w:t>
            </w:r>
            <w:r w:rsidRPr="00865B4D">
              <w:t>channel</w:t>
            </w:r>
            <w:r>
              <w:t>ling</w:t>
            </w:r>
            <w:r w:rsidRPr="00865B4D">
              <w:t xml:space="preserve"> economic and social resources into </w:t>
            </w:r>
            <w:r>
              <w:t xml:space="preserve">the </w:t>
            </w:r>
            <w:r w:rsidRPr="00865B4D">
              <w:t>communit</w:t>
            </w:r>
            <w:r>
              <w:t>y</w:t>
            </w:r>
            <w:r w:rsidRPr="00865B4D">
              <w:t>.</w:t>
            </w:r>
          </w:p>
          <w:p w:rsidR="004F7FB0" w:rsidRPr="00865B4D" w:rsidRDefault="004F7FB0" w:rsidP="004F7FB0"/>
          <w:p w:rsidR="004F7FB0" w:rsidRDefault="004F7FB0" w:rsidP="004F7FB0">
            <w:r>
              <w:t xml:space="preserve">The McClure report, in conjunction with </w:t>
            </w:r>
            <w:r w:rsidRPr="00865B4D">
              <w:t>social procurement</w:t>
            </w:r>
            <w:r>
              <w:t>,</w:t>
            </w:r>
            <w:r w:rsidRPr="00865B4D">
              <w:t xml:space="preserve"> offers government an opportunity to demonstrate leadership in developing local business and</w:t>
            </w:r>
            <w:r>
              <w:t xml:space="preserve"> industry</w:t>
            </w:r>
            <w:r w:rsidRPr="00865B4D">
              <w:t xml:space="preserve"> as responsible and sustainable s</w:t>
            </w:r>
            <w:r>
              <w:t xml:space="preserve">uppliers of goods and services.  A purpose of the McClure report is to adopt a welfare system that encourages people to work.  Punitive measures only serve to compound existing disadvantage.  </w:t>
            </w:r>
          </w:p>
          <w:p w:rsidR="004F7FB0" w:rsidRPr="00865B4D" w:rsidRDefault="004F7FB0" w:rsidP="004F7FB0"/>
          <w:p w:rsidR="001C2BE7" w:rsidRDefault="004F7FB0" w:rsidP="004F7FB0">
            <w:r>
              <w:t xml:space="preserve">YFS contends there are </w:t>
            </w:r>
            <w:r w:rsidRPr="00673C7B">
              <w:rPr>
                <w:i/>
              </w:rPr>
              <w:t xml:space="preserve">very few </w:t>
            </w:r>
            <w:r w:rsidRPr="00673C7B">
              <w:t xml:space="preserve">people </w:t>
            </w:r>
            <w:r>
              <w:t xml:space="preserve">who do not want to work.  There are however people who are excluded from the labour market.  Social procurement provides this opportunity via its social and economic framework.  </w:t>
            </w:r>
          </w:p>
          <w:p w:rsidR="001A337B" w:rsidRPr="004F7FB0" w:rsidRDefault="001A337B" w:rsidP="001A337B"/>
        </w:tc>
      </w:tr>
    </w:tbl>
    <w:p w:rsidR="008C5A75" w:rsidRPr="008C5A75" w:rsidRDefault="008C5A75" w:rsidP="008C5A75"/>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Description w:val="Improving pathways to employment"/>
      </w:tblPr>
      <w:tblGrid>
        <w:gridCol w:w="10206"/>
      </w:tblGrid>
      <w:tr w:rsidR="001C2BE7" w:rsidTr="008C5A75">
        <w:trPr>
          <w:tblHeader/>
        </w:trPr>
        <w:tc>
          <w:tcPr>
            <w:tcW w:w="10206" w:type="dxa"/>
          </w:tcPr>
          <w:p w:rsidR="001C2BE7" w:rsidRPr="00A91777" w:rsidRDefault="004C421B" w:rsidP="004C421B">
            <w:pPr>
              <w:rPr>
                <w:iCs/>
                <w:smallCaps/>
              </w:rPr>
            </w:pPr>
            <w:r>
              <w:lastRenderedPageBreak/>
              <w:t>Services that address non-vocational barriers to employment are required.  The services should target highly disadvantaged job seekers (Stream 4), and focus on personal and social outcomes alongside employment outcomes.  These services need to work closely with JSAs.   Once in employment time limited service is then provided to ensure the sustainability of the employment.</w:t>
            </w: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Description w:val="Supporting employers"/>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Description w:val="Role of civil society"/>
      </w:tblPr>
      <w:tblGrid>
        <w:gridCol w:w="10206"/>
      </w:tblGrid>
      <w:tr w:rsidR="001C2BE7" w:rsidTr="008C5A75">
        <w:trPr>
          <w:tblHeader/>
        </w:trPr>
        <w:tc>
          <w:tcPr>
            <w:tcW w:w="10206" w:type="dxa"/>
          </w:tcPr>
          <w:p w:rsidR="001C2BE7" w:rsidRDefault="001C2BE7" w:rsidP="001A337B"/>
          <w:p w:rsidR="001A337B" w:rsidRDefault="001A337B" w:rsidP="001A337B"/>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Description w:val="Role of government"/>
      </w:tblPr>
      <w:tblGrid>
        <w:gridCol w:w="10206"/>
      </w:tblGrid>
      <w:tr w:rsidR="001C2BE7" w:rsidTr="008C5A75">
        <w:trPr>
          <w:tblHeader/>
        </w:trPr>
        <w:tc>
          <w:tcPr>
            <w:tcW w:w="10206" w:type="dxa"/>
          </w:tcPr>
          <w:p w:rsidR="004F4987" w:rsidRDefault="004F4987" w:rsidP="004F4987">
            <w:r>
              <w:lastRenderedPageBreak/>
              <w:t>See response to page 85 – 88.</w:t>
            </w:r>
          </w:p>
          <w:p w:rsidR="001C2BE7" w:rsidRDefault="001C2BE7" w:rsidP="001C2BE7">
            <w:pPr>
              <w:spacing w:after="840"/>
              <w:rPr>
                <w:i/>
                <w:iCs/>
                <w:smallCaps/>
              </w:rPr>
            </w:pPr>
          </w:p>
        </w:tc>
      </w:tr>
    </w:tbl>
    <w:p w:rsidR="008C5A75" w:rsidRPr="008C5A75" w:rsidRDefault="008C5A75" w:rsidP="008C5A75"/>
    <w:p w:rsidR="001C2BE7" w:rsidRPr="00CE7674" w:rsidRDefault="001C2BE7" w:rsidP="008C5A75">
      <w:pPr>
        <w:pStyle w:val="Heading3"/>
        <w:rPr>
          <w:iCs/>
          <w:smallCaps/>
        </w:rPr>
      </w:pPr>
      <w:r w:rsidRPr="00CE7674">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Description w:val="Role of local business"/>
      </w:tblPr>
      <w:tblGrid>
        <w:gridCol w:w="10206"/>
      </w:tblGrid>
      <w:tr w:rsidR="001C2BE7" w:rsidTr="008C5A75">
        <w:trPr>
          <w:tblHeader/>
        </w:trPr>
        <w:tc>
          <w:tcPr>
            <w:tcW w:w="10206" w:type="dxa"/>
          </w:tcPr>
          <w:p w:rsidR="004F4987" w:rsidRPr="002F7050" w:rsidRDefault="004F4987" w:rsidP="004F4987">
            <w:r>
              <w:t>See response to page 95 – 100.</w:t>
            </w:r>
          </w:p>
          <w:p w:rsidR="001C2BE7" w:rsidRDefault="001C2BE7" w:rsidP="004F4987">
            <w:pPr>
              <w:pStyle w:val="ListParagraph"/>
              <w:numPr>
                <w:ilvl w:val="0"/>
                <w:numId w:val="0"/>
              </w:numPr>
              <w:ind w:left="426"/>
            </w:pP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Description w:val="Access to technology"/>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Default="008C5A75">
      <w:pPr>
        <w:rPr>
          <w:b/>
          <w:lang w:eastAsia="en-AU"/>
        </w:rPr>
      </w:pPr>
      <w:r>
        <w:br w:type="page"/>
      </w:r>
    </w:p>
    <w:p w:rsidR="001C2BE7" w:rsidRPr="008C5A75" w:rsidRDefault="001C2BE7" w:rsidP="008C5A75">
      <w:pPr>
        <w:pStyle w:val="Heading3"/>
        <w:rPr>
          <w:iCs/>
          <w:smallCaps/>
        </w:rPr>
      </w:pPr>
      <w:r w:rsidRPr="008C5A75">
        <w:lastRenderedPageBreak/>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Description w:val="Community Resilience"/>
      </w:tblPr>
      <w:tblGrid>
        <w:gridCol w:w="10206"/>
      </w:tblGrid>
      <w:tr w:rsidR="001C2BE7" w:rsidTr="008C5A75">
        <w:trPr>
          <w:trHeight w:val="710"/>
          <w:tblHeader/>
        </w:trPr>
        <w:tc>
          <w:tcPr>
            <w:tcW w:w="10206" w:type="dxa"/>
          </w:tcPr>
          <w:p w:rsidR="00F0431A" w:rsidRDefault="00F0431A" w:rsidP="00F0431A">
            <w:r>
              <w:t>See response to page 85 – 88.</w:t>
            </w:r>
          </w:p>
          <w:p w:rsidR="00375286" w:rsidRDefault="00375286" w:rsidP="00F0431A"/>
          <w:p w:rsidR="001A337B" w:rsidRDefault="00375286" w:rsidP="001A337B">
            <w:r>
              <w:t>When parties undermine increases in the minimum wage they must be mindful it sends the message that people on low income and their work is not valued.</w:t>
            </w:r>
            <w:r w:rsidR="001A337B">
              <w:t xml:space="preserve"> Government should promote the value of all labour.</w:t>
            </w:r>
          </w:p>
          <w:p w:rsidR="00375286" w:rsidRDefault="00375286" w:rsidP="00F0431A"/>
          <w:p w:rsidR="001C2BE7" w:rsidRDefault="001C2BE7" w:rsidP="001C2BE7">
            <w:pPr>
              <w:spacing w:after="840"/>
              <w:rPr>
                <w:i/>
                <w:iCs/>
                <w:smallCaps/>
              </w:rPr>
            </w:pPr>
          </w:p>
        </w:tc>
      </w:tr>
    </w:tbl>
    <w:p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10" w:rsidRDefault="00214210" w:rsidP="00214210">
      <w:pPr>
        <w:spacing w:after="0" w:line="240" w:lineRule="auto"/>
      </w:pPr>
      <w:r>
        <w:separator/>
      </w:r>
    </w:p>
  </w:endnote>
  <w:endnote w:type="continuationSeparator" w:id="0">
    <w:p w:rsidR="00214210" w:rsidRDefault="00214210"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10" w:rsidRPr="006F436A" w:rsidRDefault="006F436A">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10" w:rsidRDefault="00214210" w:rsidP="00214210">
      <w:pPr>
        <w:spacing w:after="0" w:line="240" w:lineRule="auto"/>
      </w:pPr>
      <w:r>
        <w:separator/>
      </w:r>
    </w:p>
  </w:footnote>
  <w:footnote w:type="continuationSeparator" w:id="0">
    <w:p w:rsidR="00214210" w:rsidRDefault="00214210"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F74B17"/>
    <w:multiLevelType w:val="hybridMultilevel"/>
    <w:tmpl w:val="FD72C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8"/>
  </w:num>
  <w:num w:numId="3">
    <w:abstractNumId w:val="24"/>
  </w:num>
  <w:num w:numId="4">
    <w:abstractNumId w:val="7"/>
  </w:num>
  <w:num w:numId="5">
    <w:abstractNumId w:val="5"/>
  </w:num>
  <w:num w:numId="6">
    <w:abstractNumId w:val="27"/>
  </w:num>
  <w:num w:numId="7">
    <w:abstractNumId w:val="25"/>
  </w:num>
  <w:num w:numId="8">
    <w:abstractNumId w:val="9"/>
  </w:num>
  <w:num w:numId="9">
    <w:abstractNumId w:val="0"/>
  </w:num>
  <w:num w:numId="10">
    <w:abstractNumId w:val="6"/>
  </w:num>
  <w:num w:numId="11">
    <w:abstractNumId w:val="4"/>
  </w:num>
  <w:num w:numId="12">
    <w:abstractNumId w:val="2"/>
  </w:num>
  <w:num w:numId="13">
    <w:abstractNumId w:val="23"/>
  </w:num>
  <w:num w:numId="14">
    <w:abstractNumId w:val="14"/>
  </w:num>
  <w:num w:numId="15">
    <w:abstractNumId w:val="20"/>
  </w:num>
  <w:num w:numId="16">
    <w:abstractNumId w:val="10"/>
  </w:num>
  <w:num w:numId="17">
    <w:abstractNumId w:val="12"/>
  </w:num>
  <w:num w:numId="18">
    <w:abstractNumId w:val="17"/>
  </w:num>
  <w:num w:numId="19">
    <w:abstractNumId w:val="26"/>
  </w:num>
  <w:num w:numId="20">
    <w:abstractNumId w:val="21"/>
  </w:num>
  <w:num w:numId="21">
    <w:abstractNumId w:val="15"/>
  </w:num>
  <w:num w:numId="22">
    <w:abstractNumId w:val="22"/>
  </w:num>
  <w:num w:numId="23">
    <w:abstractNumId w:val="11"/>
  </w:num>
  <w:num w:numId="24">
    <w:abstractNumId w:val="8"/>
  </w:num>
  <w:num w:numId="25">
    <w:abstractNumId w:val="16"/>
  </w:num>
  <w:num w:numId="26">
    <w:abstractNumId w:val="19"/>
  </w:num>
  <w:num w:numId="27">
    <w:abstractNumId w:val="18"/>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TrackFormattin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64C0"/>
    <w:rsid w:val="00007C52"/>
    <w:rsid w:val="00047DF2"/>
    <w:rsid w:val="00080BCE"/>
    <w:rsid w:val="00085D36"/>
    <w:rsid w:val="0009727B"/>
    <w:rsid w:val="000A676D"/>
    <w:rsid w:val="000B0DFF"/>
    <w:rsid w:val="000E12CC"/>
    <w:rsid w:val="000F2CD5"/>
    <w:rsid w:val="000F44EA"/>
    <w:rsid w:val="00107DB7"/>
    <w:rsid w:val="00122D0C"/>
    <w:rsid w:val="00127D81"/>
    <w:rsid w:val="00135FB7"/>
    <w:rsid w:val="0014745C"/>
    <w:rsid w:val="001536C8"/>
    <w:rsid w:val="00162BCB"/>
    <w:rsid w:val="00166710"/>
    <w:rsid w:val="001775AB"/>
    <w:rsid w:val="001A1E5E"/>
    <w:rsid w:val="001A337B"/>
    <w:rsid w:val="001A4D8F"/>
    <w:rsid w:val="001C2BE7"/>
    <w:rsid w:val="001D02A4"/>
    <w:rsid w:val="001E2E3B"/>
    <w:rsid w:val="001E3EA9"/>
    <w:rsid w:val="001E630D"/>
    <w:rsid w:val="001F4C15"/>
    <w:rsid w:val="00214210"/>
    <w:rsid w:val="00223BB8"/>
    <w:rsid w:val="0023096B"/>
    <w:rsid w:val="0023686F"/>
    <w:rsid w:val="00237E0B"/>
    <w:rsid w:val="0029140D"/>
    <w:rsid w:val="00315FC6"/>
    <w:rsid w:val="00334146"/>
    <w:rsid w:val="0035362A"/>
    <w:rsid w:val="00356F1B"/>
    <w:rsid w:val="00373641"/>
    <w:rsid w:val="00375286"/>
    <w:rsid w:val="003B2BB8"/>
    <w:rsid w:val="003B5339"/>
    <w:rsid w:val="003D34FF"/>
    <w:rsid w:val="003E56A6"/>
    <w:rsid w:val="003E5FD4"/>
    <w:rsid w:val="0041533F"/>
    <w:rsid w:val="00417C60"/>
    <w:rsid w:val="00443F1C"/>
    <w:rsid w:val="0046471F"/>
    <w:rsid w:val="00494CBC"/>
    <w:rsid w:val="004A148C"/>
    <w:rsid w:val="004B54CA"/>
    <w:rsid w:val="004C421B"/>
    <w:rsid w:val="004D742D"/>
    <w:rsid w:val="004E5CBF"/>
    <w:rsid w:val="004F4987"/>
    <w:rsid w:val="004F6157"/>
    <w:rsid w:val="004F7FB0"/>
    <w:rsid w:val="005057B8"/>
    <w:rsid w:val="00515AF7"/>
    <w:rsid w:val="00555E3E"/>
    <w:rsid w:val="00585179"/>
    <w:rsid w:val="005935E6"/>
    <w:rsid w:val="00596594"/>
    <w:rsid w:val="00596EEA"/>
    <w:rsid w:val="005C3AA9"/>
    <w:rsid w:val="005D3EAB"/>
    <w:rsid w:val="005D4A60"/>
    <w:rsid w:val="00617EBD"/>
    <w:rsid w:val="00625EE2"/>
    <w:rsid w:val="00626096"/>
    <w:rsid w:val="00631B41"/>
    <w:rsid w:val="00634728"/>
    <w:rsid w:val="00635EE5"/>
    <w:rsid w:val="006371EE"/>
    <w:rsid w:val="0064771F"/>
    <w:rsid w:val="006770A7"/>
    <w:rsid w:val="00696ED6"/>
    <w:rsid w:val="006A4CE7"/>
    <w:rsid w:val="006B61A4"/>
    <w:rsid w:val="006C775B"/>
    <w:rsid w:val="006F436A"/>
    <w:rsid w:val="00707EF3"/>
    <w:rsid w:val="00714720"/>
    <w:rsid w:val="00731565"/>
    <w:rsid w:val="00734082"/>
    <w:rsid w:val="0073584F"/>
    <w:rsid w:val="0075282F"/>
    <w:rsid w:val="00767CF1"/>
    <w:rsid w:val="00770E22"/>
    <w:rsid w:val="00785261"/>
    <w:rsid w:val="00791FBE"/>
    <w:rsid w:val="007B0256"/>
    <w:rsid w:val="00824A02"/>
    <w:rsid w:val="00826024"/>
    <w:rsid w:val="00835484"/>
    <w:rsid w:val="00847FA0"/>
    <w:rsid w:val="00851703"/>
    <w:rsid w:val="008647F0"/>
    <w:rsid w:val="008C5A75"/>
    <w:rsid w:val="008C62DC"/>
    <w:rsid w:val="008D0D8E"/>
    <w:rsid w:val="008D7A5A"/>
    <w:rsid w:val="008F770A"/>
    <w:rsid w:val="00915C67"/>
    <w:rsid w:val="009225F0"/>
    <w:rsid w:val="0096286F"/>
    <w:rsid w:val="00977EED"/>
    <w:rsid w:val="009836E4"/>
    <w:rsid w:val="00987FA0"/>
    <w:rsid w:val="009A7546"/>
    <w:rsid w:val="009E7724"/>
    <w:rsid w:val="00A06548"/>
    <w:rsid w:val="00A17AFA"/>
    <w:rsid w:val="00A32D61"/>
    <w:rsid w:val="00A673D9"/>
    <w:rsid w:val="00A70E1E"/>
    <w:rsid w:val="00A86F5F"/>
    <w:rsid w:val="00A90945"/>
    <w:rsid w:val="00A91777"/>
    <w:rsid w:val="00A92138"/>
    <w:rsid w:val="00AA451B"/>
    <w:rsid w:val="00AC0B89"/>
    <w:rsid w:val="00AC0E82"/>
    <w:rsid w:val="00AC21F5"/>
    <w:rsid w:val="00AF3693"/>
    <w:rsid w:val="00B01913"/>
    <w:rsid w:val="00B01B10"/>
    <w:rsid w:val="00B06238"/>
    <w:rsid w:val="00B5345A"/>
    <w:rsid w:val="00B63CF5"/>
    <w:rsid w:val="00B74B28"/>
    <w:rsid w:val="00B81C57"/>
    <w:rsid w:val="00B87E99"/>
    <w:rsid w:val="00B9617A"/>
    <w:rsid w:val="00BA2DB9"/>
    <w:rsid w:val="00BC5D99"/>
    <w:rsid w:val="00BE7148"/>
    <w:rsid w:val="00C542F9"/>
    <w:rsid w:val="00C5438C"/>
    <w:rsid w:val="00C640EA"/>
    <w:rsid w:val="00C672FA"/>
    <w:rsid w:val="00C95AA3"/>
    <w:rsid w:val="00C97A40"/>
    <w:rsid w:val="00CA577A"/>
    <w:rsid w:val="00CC5C1C"/>
    <w:rsid w:val="00CD079B"/>
    <w:rsid w:val="00D17402"/>
    <w:rsid w:val="00D21839"/>
    <w:rsid w:val="00D24567"/>
    <w:rsid w:val="00D3285D"/>
    <w:rsid w:val="00D83E7D"/>
    <w:rsid w:val="00D84C52"/>
    <w:rsid w:val="00DA301B"/>
    <w:rsid w:val="00DB5908"/>
    <w:rsid w:val="00DC1A8C"/>
    <w:rsid w:val="00DE3E32"/>
    <w:rsid w:val="00DF3B4B"/>
    <w:rsid w:val="00DF4413"/>
    <w:rsid w:val="00E05B7E"/>
    <w:rsid w:val="00E30D47"/>
    <w:rsid w:val="00E35FE7"/>
    <w:rsid w:val="00E90279"/>
    <w:rsid w:val="00ED1C85"/>
    <w:rsid w:val="00F0431A"/>
    <w:rsid w:val="00F255FE"/>
    <w:rsid w:val="00F47B32"/>
    <w:rsid w:val="00F623DF"/>
    <w:rsid w:val="00F73BA1"/>
    <w:rsid w:val="00F943BD"/>
    <w:rsid w:val="00FA05A4"/>
    <w:rsid w:val="00FA6287"/>
    <w:rsid w:val="00FB6D4F"/>
    <w:rsid w:val="00FC4037"/>
    <w:rsid w:val="00FD3D55"/>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 w:type="paragraph" w:styleId="BodyTextIndent">
    <w:name w:val="Body Text Indent"/>
    <w:basedOn w:val="Normal"/>
    <w:link w:val="BodyTextIndentChar"/>
    <w:uiPriority w:val="99"/>
    <w:unhideWhenUsed/>
    <w:rsid w:val="004D742D"/>
    <w:pPr>
      <w:spacing w:after="0" w:line="240" w:lineRule="auto"/>
      <w:ind w:left="34" w:hanging="34"/>
    </w:pPr>
  </w:style>
  <w:style w:type="character" w:customStyle="1" w:styleId="BodyTextIndentChar">
    <w:name w:val="Body Text Indent Char"/>
    <w:basedOn w:val="DefaultParagraphFont"/>
    <w:link w:val="BodyTextIndent"/>
    <w:uiPriority w:val="99"/>
    <w:rsid w:val="004D742D"/>
  </w:style>
  <w:style w:type="paragraph" w:styleId="BodyTextIndent2">
    <w:name w:val="Body Text Indent 2"/>
    <w:basedOn w:val="Normal"/>
    <w:link w:val="BodyTextIndent2Char"/>
    <w:uiPriority w:val="99"/>
    <w:unhideWhenUsed/>
    <w:rsid w:val="00CD079B"/>
    <w:pPr>
      <w:spacing w:after="0" w:line="240" w:lineRule="auto"/>
      <w:ind w:left="34"/>
    </w:pPr>
  </w:style>
  <w:style w:type="character" w:customStyle="1" w:styleId="BodyTextIndent2Char">
    <w:name w:val="Body Text Indent 2 Char"/>
    <w:basedOn w:val="DefaultParagraphFont"/>
    <w:link w:val="BodyTextIndent2"/>
    <w:uiPriority w:val="99"/>
    <w:rsid w:val="00CD0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 w:type="paragraph" w:styleId="BodyTextIndent">
    <w:name w:val="Body Text Indent"/>
    <w:basedOn w:val="Normal"/>
    <w:link w:val="BodyTextIndentChar"/>
    <w:uiPriority w:val="99"/>
    <w:unhideWhenUsed/>
    <w:rsid w:val="004D742D"/>
    <w:pPr>
      <w:spacing w:after="0" w:line="240" w:lineRule="auto"/>
      <w:ind w:left="34" w:hanging="34"/>
    </w:pPr>
  </w:style>
  <w:style w:type="character" w:customStyle="1" w:styleId="BodyTextIndentChar">
    <w:name w:val="Body Text Indent Char"/>
    <w:basedOn w:val="DefaultParagraphFont"/>
    <w:link w:val="BodyTextIndent"/>
    <w:uiPriority w:val="99"/>
    <w:rsid w:val="004D742D"/>
  </w:style>
  <w:style w:type="paragraph" w:styleId="BodyTextIndent2">
    <w:name w:val="Body Text Indent 2"/>
    <w:basedOn w:val="Normal"/>
    <w:link w:val="BodyTextIndent2Char"/>
    <w:uiPriority w:val="99"/>
    <w:unhideWhenUsed/>
    <w:rsid w:val="00CD079B"/>
    <w:pPr>
      <w:spacing w:after="0" w:line="240" w:lineRule="auto"/>
      <w:ind w:left="34"/>
    </w:pPr>
  </w:style>
  <w:style w:type="character" w:customStyle="1" w:styleId="BodyTextIndent2Char">
    <w:name w:val="Body Text Indent 2 Char"/>
    <w:basedOn w:val="DefaultParagraphFont"/>
    <w:link w:val="BodyTextIndent2"/>
    <w:uiPriority w:val="99"/>
    <w:rsid w:val="00CD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36FE-3FC2-48CC-81AF-16C771F7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3144</Words>
  <Characters>17927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Stefanac, Sandra</cp:lastModifiedBy>
  <cp:revision>2</cp:revision>
  <cp:lastPrinted>2014-08-07T08:10:00Z</cp:lastPrinted>
  <dcterms:created xsi:type="dcterms:W3CDTF">2014-08-19T01:17:00Z</dcterms:created>
  <dcterms:modified xsi:type="dcterms:W3CDTF">2014-08-19T01:17:00Z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