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Default="001C2BE7" w:rsidP="001C2BE7">
      <w:pPr>
        <w:pStyle w:val="ListParagraph"/>
      </w:pPr>
      <w:r w:rsidRPr="001C2BE7">
        <w:t>Should people with a permanent impairment and no capacity to work receive a separate payment from other working age recipients?</w:t>
      </w:r>
    </w:p>
    <w:p w:rsidR="00827A01" w:rsidRPr="001C2BE7" w:rsidRDefault="00827A01" w:rsidP="001C2BE7">
      <w:pPr>
        <w:pStyle w:val="ListParagraph"/>
      </w:pPr>
      <w:r w:rsidRPr="001C2BE7">
        <w:t>How could supplements be simplified? What should they be?</w:t>
      </w:r>
      <w:r>
        <w:t xml:space="preserve"> </w:t>
      </w:r>
      <w:r w:rsidRPr="001C2BE7">
        <w:t>What are the incremental steps to a new architecture?</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446AB0" w:rsidRDefault="00446AB0" w:rsidP="002165A3">
            <w:pPr>
              <w:autoSpaceDE w:val="0"/>
              <w:autoSpaceDN w:val="0"/>
              <w:adjustRightInd w:val="0"/>
              <w:rPr>
                <w:i/>
                <w:iCs/>
                <w:smallCaps/>
              </w:rPr>
            </w:pPr>
          </w:p>
          <w:p w:rsidR="00446AB0" w:rsidRPr="00446AB0" w:rsidRDefault="00770CF2" w:rsidP="002165A3">
            <w:pPr>
              <w:autoSpaceDE w:val="0"/>
              <w:autoSpaceDN w:val="0"/>
              <w:adjustRightInd w:val="0"/>
              <w:rPr>
                <w:iCs/>
                <w:smallCaps/>
              </w:rPr>
            </w:pPr>
            <w:r>
              <w:rPr>
                <w:iCs/>
                <w:smallCaps/>
              </w:rPr>
              <w:t xml:space="preserve">as an educator, intended social worker (master of social work </w:t>
            </w:r>
            <w:proofErr w:type="spellStart"/>
            <w:r>
              <w:rPr>
                <w:iCs/>
                <w:smallCaps/>
              </w:rPr>
              <w:t>qut</w:t>
            </w:r>
            <w:proofErr w:type="spellEnd"/>
            <w:r>
              <w:rPr>
                <w:iCs/>
                <w:smallCaps/>
              </w:rPr>
              <w:t xml:space="preserve"> </w:t>
            </w:r>
            <w:proofErr w:type="spellStart"/>
            <w:r>
              <w:rPr>
                <w:iCs/>
                <w:smallCaps/>
              </w:rPr>
              <w:t>brisbane</w:t>
            </w:r>
            <w:proofErr w:type="spellEnd"/>
            <w:r>
              <w:rPr>
                <w:iCs/>
                <w:smallCaps/>
              </w:rPr>
              <w:t xml:space="preserve">) and most importantly a mother of a child who has been a recipient of the disability support pension, i advocate for individuals who have a mental health condition. </w:t>
            </w:r>
          </w:p>
          <w:p w:rsidR="00446AB0" w:rsidRDefault="00446AB0" w:rsidP="002165A3">
            <w:pPr>
              <w:autoSpaceDE w:val="0"/>
              <w:autoSpaceDN w:val="0"/>
              <w:adjustRightInd w:val="0"/>
              <w:rPr>
                <w:i/>
                <w:iCs/>
                <w:smallCaps/>
              </w:rPr>
            </w:pPr>
          </w:p>
          <w:p w:rsidR="00770CF2" w:rsidRPr="00066FCB" w:rsidRDefault="00827A01" w:rsidP="002165A3">
            <w:pPr>
              <w:autoSpaceDE w:val="0"/>
              <w:autoSpaceDN w:val="0"/>
              <w:adjustRightInd w:val="0"/>
              <w:rPr>
                <w:iCs/>
                <w:smallCaps/>
              </w:rPr>
            </w:pPr>
            <w:r w:rsidRPr="00066FCB">
              <w:rPr>
                <w:iCs/>
                <w:smallCaps/>
              </w:rPr>
              <w:t>s</w:t>
            </w:r>
            <w:r w:rsidR="002165A3" w:rsidRPr="00066FCB">
              <w:rPr>
                <w:iCs/>
                <w:smallCaps/>
              </w:rPr>
              <w:t xml:space="preserve">implifying the approach to </w:t>
            </w:r>
            <w:r w:rsidR="00C953BE" w:rsidRPr="00066FCB">
              <w:rPr>
                <w:iCs/>
                <w:smallCaps/>
              </w:rPr>
              <w:t>‘</w:t>
            </w:r>
            <w:r w:rsidR="002165A3" w:rsidRPr="00066FCB">
              <w:rPr>
                <w:iCs/>
                <w:smallCaps/>
              </w:rPr>
              <w:t>income support</w:t>
            </w:r>
            <w:r w:rsidR="00C953BE" w:rsidRPr="00066FCB">
              <w:rPr>
                <w:iCs/>
                <w:smallCaps/>
              </w:rPr>
              <w:t>’</w:t>
            </w:r>
            <w:r w:rsidR="002165A3" w:rsidRPr="00066FCB">
              <w:rPr>
                <w:iCs/>
                <w:smallCaps/>
              </w:rPr>
              <w:t xml:space="preserve"> to include a review of eligibility for the disability support pension (dsp) </w:t>
            </w:r>
            <w:r w:rsidR="00066FCB">
              <w:rPr>
                <w:iCs/>
                <w:smallCaps/>
              </w:rPr>
              <w:t>could</w:t>
            </w:r>
            <w:r w:rsidR="00C953BE" w:rsidRPr="00066FCB">
              <w:rPr>
                <w:iCs/>
                <w:smallCaps/>
              </w:rPr>
              <w:t xml:space="preserve">, by definition, move all  but </w:t>
            </w:r>
            <w:r w:rsidRPr="00066FCB">
              <w:rPr>
                <w:iCs/>
                <w:smallCaps/>
              </w:rPr>
              <w:t xml:space="preserve">the </w:t>
            </w:r>
            <w:r w:rsidR="00C953BE" w:rsidRPr="00066FCB">
              <w:rPr>
                <w:iCs/>
                <w:smallCaps/>
              </w:rPr>
              <w:t xml:space="preserve">most severely disabled over to </w:t>
            </w:r>
            <w:r w:rsidR="00770CF2" w:rsidRPr="00066FCB">
              <w:rPr>
                <w:iCs/>
                <w:smallCaps/>
              </w:rPr>
              <w:t>a</w:t>
            </w:r>
            <w:r w:rsidR="00C953BE" w:rsidRPr="00066FCB">
              <w:rPr>
                <w:iCs/>
                <w:smallCaps/>
              </w:rPr>
              <w:t xml:space="preserve"> proposed working age payment</w:t>
            </w:r>
            <w:r w:rsidR="00770CF2" w:rsidRPr="00066FCB">
              <w:rPr>
                <w:iCs/>
                <w:smallCaps/>
              </w:rPr>
              <w:t>,</w:t>
            </w:r>
            <w:r w:rsidR="00AF77FB" w:rsidRPr="00066FCB">
              <w:rPr>
                <w:iCs/>
                <w:smallCaps/>
              </w:rPr>
              <w:t xml:space="preserve"> which in turn </w:t>
            </w:r>
            <w:r w:rsidR="00066FCB">
              <w:rPr>
                <w:iCs/>
                <w:smallCaps/>
              </w:rPr>
              <w:t>will</w:t>
            </w:r>
            <w:r w:rsidR="00AF77FB" w:rsidRPr="00066FCB">
              <w:rPr>
                <w:iCs/>
                <w:smallCaps/>
              </w:rPr>
              <w:t xml:space="preserve"> cause extreme hardship for those suffering mental health conditions</w:t>
            </w:r>
            <w:r w:rsidR="00C953BE" w:rsidRPr="00066FCB">
              <w:rPr>
                <w:iCs/>
                <w:smallCaps/>
              </w:rPr>
              <w:t xml:space="preserve">. assessing </w:t>
            </w:r>
            <w:r w:rsidR="00510C38" w:rsidRPr="00066FCB">
              <w:rPr>
                <w:iCs/>
                <w:smallCaps/>
              </w:rPr>
              <w:t>capacity for work of individuals who experience episodic mental health conditions and psychosocial disability</w:t>
            </w:r>
            <w:r w:rsidR="00C953BE" w:rsidRPr="00066FCB">
              <w:rPr>
                <w:iCs/>
                <w:smallCaps/>
              </w:rPr>
              <w:t xml:space="preserve"> can be extremely complex. </w:t>
            </w:r>
            <w:r w:rsidR="00872615" w:rsidRPr="00066FCB">
              <w:rPr>
                <w:iCs/>
                <w:smallCaps/>
              </w:rPr>
              <w:t>‘</w:t>
            </w:r>
            <w:r w:rsidR="00510C38" w:rsidRPr="00066FCB">
              <w:rPr>
                <w:iCs/>
                <w:smallCaps/>
              </w:rPr>
              <w:t>capacity</w:t>
            </w:r>
            <w:r w:rsidR="00872615" w:rsidRPr="00066FCB">
              <w:rPr>
                <w:iCs/>
                <w:smallCaps/>
              </w:rPr>
              <w:t>’</w:t>
            </w:r>
            <w:r w:rsidR="00510C38" w:rsidRPr="00066FCB">
              <w:rPr>
                <w:iCs/>
                <w:smallCaps/>
              </w:rPr>
              <w:t xml:space="preserve"> is level of quality over an extended period and for individuals with episodic mental health conditions, this may be problematic to assess</w:t>
            </w:r>
            <w:r w:rsidR="00872615" w:rsidRPr="00066FCB">
              <w:rPr>
                <w:iCs/>
                <w:smallCaps/>
              </w:rPr>
              <w:t xml:space="preserve"> </w:t>
            </w:r>
            <w:r w:rsidR="00066FCB">
              <w:rPr>
                <w:iCs/>
                <w:smallCaps/>
              </w:rPr>
              <w:t>when</w:t>
            </w:r>
            <w:r w:rsidR="00872615" w:rsidRPr="00066FCB">
              <w:rPr>
                <w:iCs/>
                <w:smallCaps/>
              </w:rPr>
              <w:t xml:space="preserve"> the condition </w:t>
            </w:r>
            <w:r w:rsidR="00066FCB">
              <w:rPr>
                <w:iCs/>
                <w:smallCaps/>
              </w:rPr>
              <w:t>manifests</w:t>
            </w:r>
            <w:r w:rsidR="00872615" w:rsidRPr="00066FCB">
              <w:rPr>
                <w:iCs/>
                <w:smallCaps/>
              </w:rPr>
              <w:t xml:space="preserve"> inconsistent</w:t>
            </w:r>
            <w:r w:rsidR="00066FCB">
              <w:rPr>
                <w:iCs/>
                <w:smallCaps/>
              </w:rPr>
              <w:t>ly</w:t>
            </w:r>
            <w:r w:rsidR="00510C38" w:rsidRPr="00066FCB">
              <w:rPr>
                <w:iCs/>
                <w:smallCaps/>
              </w:rPr>
              <w:t xml:space="preserve">. </w:t>
            </w:r>
          </w:p>
          <w:p w:rsidR="00770CF2" w:rsidRPr="00066FCB" w:rsidRDefault="00770CF2" w:rsidP="002165A3">
            <w:pPr>
              <w:autoSpaceDE w:val="0"/>
              <w:autoSpaceDN w:val="0"/>
              <w:adjustRightInd w:val="0"/>
              <w:rPr>
                <w:iCs/>
                <w:smallCaps/>
              </w:rPr>
            </w:pPr>
          </w:p>
          <w:p w:rsidR="00AF77FB" w:rsidRPr="00066FCB" w:rsidRDefault="00872615" w:rsidP="002165A3">
            <w:pPr>
              <w:autoSpaceDE w:val="0"/>
              <w:autoSpaceDN w:val="0"/>
              <w:adjustRightInd w:val="0"/>
              <w:rPr>
                <w:iCs/>
                <w:smallCaps/>
              </w:rPr>
            </w:pPr>
            <w:r w:rsidRPr="00066FCB">
              <w:rPr>
                <w:iCs/>
                <w:smallCaps/>
              </w:rPr>
              <w:t xml:space="preserve">under the proposed reform, </w:t>
            </w:r>
            <w:r w:rsidR="00AF77FB" w:rsidRPr="00066FCB">
              <w:rPr>
                <w:iCs/>
                <w:smallCaps/>
              </w:rPr>
              <w:t>individuals</w:t>
            </w:r>
            <w:r w:rsidRPr="00066FCB">
              <w:rPr>
                <w:iCs/>
                <w:smallCaps/>
              </w:rPr>
              <w:t xml:space="preserve"> receiving the dsp who are</w:t>
            </w:r>
            <w:r w:rsidR="00C953BE" w:rsidRPr="00066FCB">
              <w:rPr>
                <w:iCs/>
                <w:smallCaps/>
              </w:rPr>
              <w:t xml:space="preserve"> </w:t>
            </w:r>
            <w:r w:rsidR="00770CF2" w:rsidRPr="00066FCB">
              <w:rPr>
                <w:iCs/>
                <w:smallCaps/>
              </w:rPr>
              <w:t xml:space="preserve">deemed eligible for work will be </w:t>
            </w:r>
            <w:r w:rsidR="00066FCB">
              <w:rPr>
                <w:iCs/>
                <w:smallCaps/>
              </w:rPr>
              <w:t>transferred to</w:t>
            </w:r>
            <w:r w:rsidR="00C953BE" w:rsidRPr="00066FCB">
              <w:rPr>
                <w:iCs/>
                <w:smallCaps/>
              </w:rPr>
              <w:t xml:space="preserve"> a working age payment w</w:t>
            </w:r>
            <w:r w:rsidRPr="00066FCB">
              <w:rPr>
                <w:iCs/>
                <w:smallCaps/>
              </w:rPr>
              <w:t>hich ha</w:t>
            </w:r>
            <w:r w:rsidR="00066FCB">
              <w:rPr>
                <w:iCs/>
                <w:smallCaps/>
              </w:rPr>
              <w:t>s</w:t>
            </w:r>
            <w:r w:rsidR="00C953BE" w:rsidRPr="00066FCB">
              <w:rPr>
                <w:iCs/>
                <w:smallCaps/>
              </w:rPr>
              <w:t xml:space="preserve"> expected requirements of mutual obligation activities</w:t>
            </w:r>
            <w:r w:rsidR="00770CF2" w:rsidRPr="00066FCB">
              <w:rPr>
                <w:iCs/>
                <w:smallCaps/>
              </w:rPr>
              <w:t xml:space="preserve">. </w:t>
            </w:r>
            <w:r w:rsidR="00C953BE" w:rsidRPr="00066FCB">
              <w:rPr>
                <w:iCs/>
                <w:smallCaps/>
              </w:rPr>
              <w:t xml:space="preserve">the mental health council of </w:t>
            </w:r>
            <w:r w:rsidR="00AF77FB" w:rsidRPr="00066FCB">
              <w:rPr>
                <w:iCs/>
                <w:smallCaps/>
              </w:rPr>
              <w:t>a</w:t>
            </w:r>
            <w:r w:rsidR="00C953BE" w:rsidRPr="00066FCB">
              <w:rPr>
                <w:iCs/>
                <w:smallCaps/>
              </w:rPr>
              <w:t>ustralia</w:t>
            </w:r>
            <w:r w:rsidR="000D5C2B" w:rsidRPr="00066FCB">
              <w:rPr>
                <w:iCs/>
                <w:smallCaps/>
              </w:rPr>
              <w:t xml:space="preserve"> states that imposing compulsory participation requirements on individuals to enable a transition to </w:t>
            </w:r>
            <w:r w:rsidR="00F6391B" w:rsidRPr="00066FCB">
              <w:rPr>
                <w:iCs/>
                <w:smallCaps/>
              </w:rPr>
              <w:t>work</w:t>
            </w:r>
            <w:r w:rsidR="000D5C2B" w:rsidRPr="00066FCB">
              <w:rPr>
                <w:iCs/>
                <w:smallCaps/>
              </w:rPr>
              <w:t xml:space="preserve"> may have severe detrimental outcomes (2014). </w:t>
            </w:r>
          </w:p>
          <w:p w:rsidR="00AF77FB" w:rsidRPr="00066FCB" w:rsidRDefault="00AF77FB" w:rsidP="002165A3">
            <w:pPr>
              <w:autoSpaceDE w:val="0"/>
              <w:autoSpaceDN w:val="0"/>
              <w:adjustRightInd w:val="0"/>
              <w:rPr>
                <w:iCs/>
                <w:smallCaps/>
              </w:rPr>
            </w:pPr>
          </w:p>
          <w:p w:rsidR="00AF77FB" w:rsidRPr="00066FCB" w:rsidRDefault="000D5C2B" w:rsidP="002165A3">
            <w:pPr>
              <w:autoSpaceDE w:val="0"/>
              <w:autoSpaceDN w:val="0"/>
              <w:adjustRightInd w:val="0"/>
              <w:rPr>
                <w:iCs/>
                <w:smallCaps/>
              </w:rPr>
            </w:pPr>
            <w:r w:rsidRPr="00066FCB">
              <w:rPr>
                <w:iCs/>
                <w:smallCaps/>
              </w:rPr>
              <w:t>moving individuals off the dsp and onto a working age payment</w:t>
            </w:r>
            <w:r w:rsidR="00C953BE" w:rsidRPr="00066FCB">
              <w:rPr>
                <w:iCs/>
                <w:smallCaps/>
              </w:rPr>
              <w:t xml:space="preserve"> </w:t>
            </w:r>
            <w:r w:rsidR="002165A3" w:rsidRPr="00066FCB">
              <w:rPr>
                <w:iCs/>
                <w:smallCaps/>
              </w:rPr>
              <w:t xml:space="preserve">does not take into account </w:t>
            </w:r>
            <w:r w:rsidR="00AF77FB" w:rsidRPr="00066FCB">
              <w:rPr>
                <w:iCs/>
                <w:smallCaps/>
              </w:rPr>
              <w:t>well documented</w:t>
            </w:r>
            <w:r w:rsidR="002165A3" w:rsidRPr="00066FCB">
              <w:rPr>
                <w:iCs/>
                <w:smallCaps/>
              </w:rPr>
              <w:t xml:space="preserve"> social, attitudinal and economic barriers which those with a disability face when attempting to access employment.</w:t>
            </w:r>
            <w:r w:rsidR="00CB506E" w:rsidRPr="00066FCB">
              <w:rPr>
                <w:iCs/>
                <w:smallCaps/>
              </w:rPr>
              <w:t xml:space="preserve"> </w:t>
            </w:r>
            <w:r w:rsidR="002165A3" w:rsidRPr="00066FCB">
              <w:rPr>
                <w:iCs/>
                <w:smallCaps/>
              </w:rPr>
              <w:t xml:space="preserve"> </w:t>
            </w:r>
            <w:r w:rsidR="00BC2E65" w:rsidRPr="00066FCB">
              <w:rPr>
                <w:iCs/>
                <w:smallCaps/>
              </w:rPr>
              <w:t xml:space="preserve">although it is accepted that </w:t>
            </w:r>
            <w:r w:rsidR="007B542E" w:rsidRPr="00066FCB">
              <w:rPr>
                <w:iCs/>
                <w:smallCaps/>
              </w:rPr>
              <w:t xml:space="preserve">many </w:t>
            </w:r>
            <w:r w:rsidR="00BC2E65" w:rsidRPr="00066FCB">
              <w:rPr>
                <w:iCs/>
                <w:smallCaps/>
              </w:rPr>
              <w:t>people with disability have capacity and willingness to participate in the workforce, studies show that employers are resistant to recruiting people with mental health issues (bloom,</w:t>
            </w:r>
            <w:r w:rsidRPr="00066FCB">
              <w:rPr>
                <w:iCs/>
                <w:smallCaps/>
              </w:rPr>
              <w:t xml:space="preserve"> </w:t>
            </w:r>
            <w:r w:rsidR="00BC2E65" w:rsidRPr="00066FCB">
              <w:rPr>
                <w:iCs/>
                <w:smallCaps/>
              </w:rPr>
              <w:t>2008).</w:t>
            </w:r>
            <w:r w:rsidR="00C953BE" w:rsidRPr="00066FCB">
              <w:rPr>
                <w:iCs/>
                <w:smallCaps/>
              </w:rPr>
              <w:t xml:space="preserve"> </w:t>
            </w:r>
            <w:r w:rsidR="002165A3" w:rsidRPr="00066FCB">
              <w:rPr>
                <w:iCs/>
                <w:smallCaps/>
              </w:rPr>
              <w:t xml:space="preserve">stigma and discrimination are significant barriers to employment (Barkway 2006, kelly &amp; jorm 2007). </w:t>
            </w:r>
            <w:r w:rsidR="00BC2E65" w:rsidRPr="00066FCB">
              <w:rPr>
                <w:iCs/>
                <w:smallCaps/>
              </w:rPr>
              <w:t xml:space="preserve">current stereotypes and prejudices about people with mental </w:t>
            </w:r>
            <w:r w:rsidR="007B542E" w:rsidRPr="00066FCB">
              <w:rPr>
                <w:iCs/>
                <w:smallCaps/>
              </w:rPr>
              <w:t>health conditions</w:t>
            </w:r>
            <w:r w:rsidR="00BC2E65" w:rsidRPr="00066FCB">
              <w:rPr>
                <w:iCs/>
                <w:smallCaps/>
              </w:rPr>
              <w:t xml:space="preserve"> swing employer attitudes towards the negative (bloom, 2008).</w:t>
            </w:r>
            <w:r w:rsidR="007B542E" w:rsidRPr="00066FCB">
              <w:rPr>
                <w:iCs/>
                <w:smallCaps/>
              </w:rPr>
              <w:t xml:space="preserve"> </w:t>
            </w:r>
          </w:p>
          <w:p w:rsidR="00AF77FB" w:rsidRPr="00066FCB" w:rsidRDefault="00AF77FB" w:rsidP="002165A3">
            <w:pPr>
              <w:autoSpaceDE w:val="0"/>
              <w:autoSpaceDN w:val="0"/>
              <w:adjustRightInd w:val="0"/>
              <w:rPr>
                <w:iCs/>
                <w:smallCaps/>
              </w:rPr>
            </w:pPr>
          </w:p>
          <w:p w:rsidR="00F6391B" w:rsidRPr="00066FCB" w:rsidRDefault="00E65BFF" w:rsidP="002165A3">
            <w:pPr>
              <w:autoSpaceDE w:val="0"/>
              <w:autoSpaceDN w:val="0"/>
              <w:adjustRightInd w:val="0"/>
              <w:rPr>
                <w:iCs/>
                <w:smallCaps/>
              </w:rPr>
            </w:pPr>
            <w:r w:rsidRPr="00066FCB">
              <w:rPr>
                <w:iCs/>
                <w:smallCaps/>
              </w:rPr>
              <w:t xml:space="preserve">there </w:t>
            </w:r>
            <w:r w:rsidR="00197908" w:rsidRPr="00066FCB">
              <w:rPr>
                <w:iCs/>
                <w:smallCaps/>
              </w:rPr>
              <w:t>is real</w:t>
            </w:r>
            <w:r w:rsidRPr="00066FCB">
              <w:rPr>
                <w:iCs/>
                <w:smallCaps/>
              </w:rPr>
              <w:t xml:space="preserve"> concern regarding the reality of genuine job opportunities for the many individuals who will be a</w:t>
            </w:r>
            <w:r w:rsidR="00FB42B4">
              <w:rPr>
                <w:iCs/>
                <w:smallCaps/>
              </w:rPr>
              <w:t>ss</w:t>
            </w:r>
            <w:r w:rsidRPr="00066FCB">
              <w:rPr>
                <w:iCs/>
                <w:smallCaps/>
              </w:rPr>
              <w:t xml:space="preserve">essed as having capacity to work. </w:t>
            </w:r>
            <w:r w:rsidR="00F6391B" w:rsidRPr="00066FCB">
              <w:rPr>
                <w:iCs/>
                <w:smallCaps/>
              </w:rPr>
              <w:t>The economic policy institute (2013), report</w:t>
            </w:r>
            <w:r w:rsidR="00066FCB">
              <w:rPr>
                <w:iCs/>
                <w:smallCaps/>
              </w:rPr>
              <w:t>s</w:t>
            </w:r>
            <w:r w:rsidR="00F6391B" w:rsidRPr="00066FCB">
              <w:rPr>
                <w:iCs/>
                <w:smallCaps/>
              </w:rPr>
              <w:t xml:space="preserve"> that </w:t>
            </w:r>
            <w:r w:rsidR="00FB42B4">
              <w:rPr>
                <w:iCs/>
                <w:smallCaps/>
              </w:rPr>
              <w:t>‘</w:t>
            </w:r>
            <w:r w:rsidR="00F6391B" w:rsidRPr="00066FCB">
              <w:rPr>
                <w:iCs/>
                <w:smallCaps/>
              </w:rPr>
              <w:t>unemployed workers dramatically outnumber job openings across the board</w:t>
            </w:r>
            <w:r w:rsidR="00FB42B4">
              <w:rPr>
                <w:iCs/>
                <w:smallCaps/>
              </w:rPr>
              <w:t>’</w:t>
            </w:r>
            <w:r w:rsidR="00F6391B" w:rsidRPr="00066FCB">
              <w:rPr>
                <w:iCs/>
                <w:smallCaps/>
              </w:rPr>
              <w:t xml:space="preserve">. How can we expect individuals with disability to compete for work in the current labour market?   </w:t>
            </w:r>
          </w:p>
          <w:p w:rsidR="00F6391B" w:rsidRPr="00066FCB" w:rsidRDefault="00F6391B" w:rsidP="002165A3">
            <w:pPr>
              <w:autoSpaceDE w:val="0"/>
              <w:autoSpaceDN w:val="0"/>
              <w:adjustRightInd w:val="0"/>
              <w:rPr>
                <w:iCs/>
                <w:smallCaps/>
              </w:rPr>
            </w:pPr>
          </w:p>
          <w:p w:rsidR="00446AB0" w:rsidRPr="00066FCB" w:rsidRDefault="00F94CB5" w:rsidP="002165A3">
            <w:pPr>
              <w:autoSpaceDE w:val="0"/>
              <w:autoSpaceDN w:val="0"/>
              <w:adjustRightInd w:val="0"/>
              <w:rPr>
                <w:iCs/>
                <w:smallCaps/>
              </w:rPr>
            </w:pPr>
            <w:r w:rsidRPr="00066FCB">
              <w:rPr>
                <w:iCs/>
                <w:smallCaps/>
              </w:rPr>
              <w:t xml:space="preserve">moving off the dsp to a lower paid working age payment will further </w:t>
            </w:r>
            <w:r w:rsidR="0028627D" w:rsidRPr="00066FCB">
              <w:rPr>
                <w:iCs/>
                <w:smallCaps/>
              </w:rPr>
              <w:t xml:space="preserve">exacerbate </w:t>
            </w:r>
            <w:r w:rsidR="00446AB0" w:rsidRPr="00066FCB">
              <w:rPr>
                <w:iCs/>
                <w:smallCaps/>
              </w:rPr>
              <w:t xml:space="preserve">the </w:t>
            </w:r>
            <w:r w:rsidR="008C1E30" w:rsidRPr="00066FCB">
              <w:rPr>
                <w:iCs/>
                <w:smallCaps/>
              </w:rPr>
              <w:t xml:space="preserve">additional </w:t>
            </w:r>
            <w:r w:rsidRPr="00066FCB">
              <w:rPr>
                <w:iCs/>
                <w:smallCaps/>
              </w:rPr>
              <w:t xml:space="preserve">disadvantages faced by many individuals who have mental health challenges. </w:t>
            </w:r>
            <w:r w:rsidR="0028627D" w:rsidRPr="00066FCB">
              <w:rPr>
                <w:iCs/>
                <w:smallCaps/>
              </w:rPr>
              <w:t xml:space="preserve">research led by professor eric emerson (university of sydney, 2001-2011) found that </w:t>
            </w:r>
            <w:r w:rsidRPr="00066FCB">
              <w:rPr>
                <w:iCs/>
                <w:smallCaps/>
              </w:rPr>
              <w:t xml:space="preserve">young disabled </w:t>
            </w:r>
            <w:r w:rsidR="00AF77FB" w:rsidRPr="00066FCB">
              <w:rPr>
                <w:iCs/>
                <w:smallCaps/>
              </w:rPr>
              <w:t>a</w:t>
            </w:r>
            <w:r w:rsidRPr="00066FCB">
              <w:rPr>
                <w:iCs/>
                <w:smallCaps/>
              </w:rPr>
              <w:t>ustralians were</w:t>
            </w:r>
            <w:r w:rsidR="00066FCB">
              <w:rPr>
                <w:iCs/>
                <w:smallCaps/>
              </w:rPr>
              <w:t xml:space="preserve"> five</w:t>
            </w:r>
            <w:r w:rsidRPr="00066FCB">
              <w:rPr>
                <w:iCs/>
                <w:smallCaps/>
              </w:rPr>
              <w:t xml:space="preserve"> times more likely than their non</w:t>
            </w:r>
            <w:r w:rsidR="00197908" w:rsidRPr="00066FCB">
              <w:rPr>
                <w:iCs/>
                <w:smallCaps/>
              </w:rPr>
              <w:t>-</w:t>
            </w:r>
            <w:r w:rsidRPr="00066FCB">
              <w:rPr>
                <w:iCs/>
                <w:smallCaps/>
              </w:rPr>
              <w:t xml:space="preserve">disabled peers to experience entrenched multiple disadvantage </w:t>
            </w:r>
            <w:r w:rsidR="0028627D" w:rsidRPr="00066FCB">
              <w:rPr>
                <w:iCs/>
                <w:smallCaps/>
              </w:rPr>
              <w:t>including</w:t>
            </w:r>
            <w:r w:rsidRPr="00066FCB">
              <w:rPr>
                <w:iCs/>
                <w:smallCaps/>
              </w:rPr>
              <w:t xml:space="preserve"> housing instability, homelessness, social exclusion and ongoing health problems</w:t>
            </w:r>
            <w:r w:rsidR="0028627D" w:rsidRPr="00066FCB">
              <w:rPr>
                <w:iCs/>
                <w:smallCaps/>
              </w:rPr>
              <w:t>.</w:t>
            </w:r>
            <w:r w:rsidR="00827A01" w:rsidRPr="00066FCB">
              <w:rPr>
                <w:iCs/>
                <w:smallCaps/>
              </w:rPr>
              <w:t xml:space="preserve"> </w:t>
            </w:r>
            <w:r w:rsidR="00446AB0" w:rsidRPr="00066FCB">
              <w:rPr>
                <w:iCs/>
                <w:smallCaps/>
              </w:rPr>
              <w:t xml:space="preserve">these disadvantages faced by individuals with a disability have financial implications which will not be addressed by moving from the dsp to a </w:t>
            </w:r>
            <w:r w:rsidR="00872615" w:rsidRPr="00066FCB">
              <w:rPr>
                <w:iCs/>
                <w:smallCaps/>
              </w:rPr>
              <w:t xml:space="preserve">lower rate </w:t>
            </w:r>
            <w:r w:rsidR="00446AB0" w:rsidRPr="00066FCB">
              <w:rPr>
                <w:iCs/>
                <w:smallCaps/>
              </w:rPr>
              <w:t>working age payment.</w:t>
            </w:r>
          </w:p>
          <w:p w:rsidR="005730D5" w:rsidRPr="00066FCB" w:rsidRDefault="005730D5" w:rsidP="002165A3">
            <w:pPr>
              <w:autoSpaceDE w:val="0"/>
              <w:autoSpaceDN w:val="0"/>
              <w:adjustRightInd w:val="0"/>
              <w:rPr>
                <w:iCs/>
                <w:smallCaps/>
              </w:rPr>
            </w:pPr>
          </w:p>
          <w:p w:rsidR="004379D2" w:rsidRPr="00066FCB" w:rsidRDefault="005730D5" w:rsidP="002165A3">
            <w:pPr>
              <w:autoSpaceDE w:val="0"/>
              <w:autoSpaceDN w:val="0"/>
              <w:adjustRightInd w:val="0"/>
              <w:rPr>
                <w:iCs/>
                <w:smallCaps/>
              </w:rPr>
            </w:pPr>
            <w:r w:rsidRPr="00066FCB">
              <w:rPr>
                <w:iCs/>
                <w:smallCaps/>
              </w:rPr>
              <w:t xml:space="preserve">This proposed reform views disability as the </w:t>
            </w:r>
            <w:r w:rsidR="00446AB0" w:rsidRPr="00066FCB">
              <w:rPr>
                <w:iCs/>
                <w:smallCaps/>
              </w:rPr>
              <w:t>‘</w:t>
            </w:r>
            <w:r w:rsidRPr="00066FCB">
              <w:rPr>
                <w:iCs/>
                <w:smallCaps/>
              </w:rPr>
              <w:t>problem of the individual</w:t>
            </w:r>
            <w:r w:rsidR="00446AB0" w:rsidRPr="00066FCB">
              <w:rPr>
                <w:iCs/>
                <w:smallCaps/>
              </w:rPr>
              <w:t>’</w:t>
            </w:r>
            <w:r w:rsidRPr="00066FCB">
              <w:rPr>
                <w:iCs/>
                <w:smallCaps/>
              </w:rPr>
              <w:t xml:space="preserve"> rather than from a social perspective. A social model sees disability as the result of ‘the interaction between people living with impairments and an environment filled with physical, attitudinal, communication and social barriers’ (</w:t>
            </w:r>
            <w:r w:rsidR="004379D2" w:rsidRPr="00066FCB">
              <w:rPr>
                <w:iCs/>
                <w:smallCaps/>
              </w:rPr>
              <w:t>people with disability australia, 2012)</w:t>
            </w:r>
            <w:r w:rsidR="00066FCB">
              <w:rPr>
                <w:iCs/>
                <w:smallCaps/>
              </w:rPr>
              <w:t>.</w:t>
            </w:r>
            <w:r w:rsidRPr="00066FCB">
              <w:rPr>
                <w:iCs/>
                <w:smallCaps/>
              </w:rPr>
              <w:t xml:space="preserve"> the social model does not seek to change people with the disability to </w:t>
            </w:r>
            <w:r w:rsidR="004379D2" w:rsidRPr="00066FCB">
              <w:rPr>
                <w:iCs/>
                <w:smallCaps/>
              </w:rPr>
              <w:t>accommodate</w:t>
            </w:r>
            <w:r w:rsidRPr="00066FCB">
              <w:rPr>
                <w:iCs/>
                <w:smallCaps/>
              </w:rPr>
              <w:t xml:space="preserve"> society</w:t>
            </w:r>
            <w:r w:rsidR="00446AB0" w:rsidRPr="00066FCB">
              <w:rPr>
                <w:iCs/>
                <w:smallCaps/>
              </w:rPr>
              <w:t>, as this reform area leans toward</w:t>
            </w:r>
            <w:r w:rsidR="004379D2" w:rsidRPr="00066FCB">
              <w:rPr>
                <w:iCs/>
                <w:smallCaps/>
              </w:rPr>
              <w:t xml:space="preserve">. until a genuine change in the physical, attitudinal, </w:t>
            </w:r>
            <w:r w:rsidR="00066FCB">
              <w:rPr>
                <w:iCs/>
                <w:smallCaps/>
              </w:rPr>
              <w:t>economic</w:t>
            </w:r>
            <w:r w:rsidR="004379D2" w:rsidRPr="00066FCB">
              <w:rPr>
                <w:iCs/>
                <w:smallCaps/>
              </w:rPr>
              <w:t xml:space="preserve"> and social environment has occurred, people with  a mental health illness must be supported rather than pushed into an even more precarious </w:t>
            </w:r>
            <w:r w:rsidR="00A30346" w:rsidRPr="00066FCB">
              <w:rPr>
                <w:iCs/>
                <w:smallCaps/>
              </w:rPr>
              <w:t xml:space="preserve">social and </w:t>
            </w:r>
            <w:r w:rsidR="004379D2" w:rsidRPr="00066FCB">
              <w:rPr>
                <w:iCs/>
                <w:smallCaps/>
              </w:rPr>
              <w:t xml:space="preserve">financial position. </w:t>
            </w:r>
          </w:p>
          <w:p w:rsidR="00446AB0" w:rsidRPr="00066FCB" w:rsidRDefault="00446AB0" w:rsidP="002165A3">
            <w:pPr>
              <w:autoSpaceDE w:val="0"/>
              <w:autoSpaceDN w:val="0"/>
              <w:adjustRightInd w:val="0"/>
              <w:rPr>
                <w:iCs/>
                <w:smallCaps/>
              </w:rPr>
            </w:pPr>
          </w:p>
          <w:p w:rsidR="00446AB0" w:rsidRPr="00446AB0" w:rsidRDefault="00446AB0" w:rsidP="002165A3">
            <w:pPr>
              <w:autoSpaceDE w:val="0"/>
              <w:autoSpaceDN w:val="0"/>
              <w:adjustRightInd w:val="0"/>
              <w:rPr>
                <w:iCs/>
                <w:smallCaps/>
              </w:rPr>
            </w:pPr>
          </w:p>
          <w:p w:rsidR="004379D2" w:rsidRPr="00197908" w:rsidRDefault="004379D2" w:rsidP="002165A3">
            <w:pPr>
              <w:autoSpaceDE w:val="0"/>
              <w:autoSpaceDN w:val="0"/>
              <w:adjustRightInd w:val="0"/>
              <w:rPr>
                <w:i/>
                <w:iCs/>
                <w:smallCaps/>
              </w:rPr>
            </w:pPr>
          </w:p>
          <w:p w:rsidR="004379D2" w:rsidRPr="00197908" w:rsidRDefault="004379D2" w:rsidP="002165A3">
            <w:pPr>
              <w:autoSpaceDE w:val="0"/>
              <w:autoSpaceDN w:val="0"/>
              <w:adjustRightInd w:val="0"/>
              <w:rPr>
                <w:i/>
                <w:iCs/>
                <w:smallCaps/>
              </w:rPr>
            </w:pPr>
          </w:p>
          <w:p w:rsidR="001C2BE7" w:rsidRPr="00197908" w:rsidRDefault="001C2BE7" w:rsidP="004379D2">
            <w:pPr>
              <w:autoSpaceDE w:val="0"/>
              <w:autoSpaceDN w:val="0"/>
              <w:adjustRightInd w:val="0"/>
              <w:rPr>
                <w:i/>
                <w:iCs/>
                <w:smallCaps/>
              </w:rPr>
            </w:pP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lastRenderedPageBreak/>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lastRenderedPageBreak/>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Pr>
      <w:tblGrid>
        <w:gridCol w:w="10065"/>
      </w:tblGrid>
      <w:tr w:rsidR="001C2BE7" w:rsidTr="008C5A75">
        <w:trPr>
          <w:tblHeader/>
        </w:trPr>
        <w:tc>
          <w:tcPr>
            <w:tcW w:w="10065" w:type="dxa"/>
          </w:tcPr>
          <w:p w:rsidR="001C2BE7" w:rsidRDefault="001C2BE7" w:rsidP="001C2BE7">
            <w:pPr>
              <w:spacing w:after="840"/>
              <w:rPr>
                <w:i/>
                <w:iCs/>
                <w:smallCaps/>
              </w:rPr>
            </w:pP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6B61A4">
            <w:pPr>
              <w:spacing w:after="840"/>
              <w:rPr>
                <w:i/>
                <w:iCs/>
                <w:smallCaps/>
              </w:rPr>
            </w:pP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Pr="002A74D8" w:rsidRDefault="001C2BE7" w:rsidP="001C2BE7">
            <w:pPr>
              <w:spacing w:after="840"/>
              <w:rPr>
                <w:i/>
                <w:iCs/>
                <w:smallCaps/>
              </w:rPr>
            </w:pP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lastRenderedPageBreak/>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lastRenderedPageBreak/>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lastRenderedPageBreak/>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Pr>
      <w:tblGrid>
        <w:gridCol w:w="10206"/>
      </w:tblGrid>
      <w:tr w:rsidR="001C2BE7" w:rsidTr="008C5A75">
        <w:trPr>
          <w:trHeight w:val="710"/>
          <w:tblHeader/>
        </w:trPr>
        <w:tc>
          <w:tcPr>
            <w:tcW w:w="10206" w:type="dxa"/>
          </w:tcPr>
          <w:p w:rsidR="001C2BE7" w:rsidRDefault="001C2BE7" w:rsidP="001C2BE7">
            <w:pPr>
              <w:spacing w:after="840"/>
              <w:rPr>
                <w:i/>
                <w:iCs/>
                <w:smallCaps/>
              </w:rPr>
            </w:pP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63" w:rsidRDefault="00F36263" w:rsidP="00214210">
      <w:pPr>
        <w:spacing w:after="0" w:line="240" w:lineRule="auto"/>
      </w:pPr>
      <w:r>
        <w:separator/>
      </w:r>
    </w:p>
  </w:endnote>
  <w:endnote w:type="continuationSeparator" w:id="0">
    <w:p w:rsidR="00F36263" w:rsidRDefault="00F36263"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10" w:rsidRPr="006F436A" w:rsidRDefault="006F436A">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63" w:rsidRDefault="00F36263" w:rsidP="00214210">
      <w:pPr>
        <w:spacing w:after="0" w:line="240" w:lineRule="auto"/>
      </w:pPr>
      <w:r>
        <w:separator/>
      </w:r>
    </w:p>
  </w:footnote>
  <w:footnote w:type="continuationSeparator" w:id="0">
    <w:p w:rsidR="00F36263" w:rsidRDefault="00F36263"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
  <w:rsids>
    <w:rsidRoot w:val="001536C8"/>
    <w:rsid w:val="000064C0"/>
    <w:rsid w:val="00007C52"/>
    <w:rsid w:val="00047DF2"/>
    <w:rsid w:val="00066FCB"/>
    <w:rsid w:val="00080BCE"/>
    <w:rsid w:val="00085D36"/>
    <w:rsid w:val="0009727B"/>
    <w:rsid w:val="000A676D"/>
    <w:rsid w:val="000B0DFF"/>
    <w:rsid w:val="000D5C2B"/>
    <w:rsid w:val="000E12CC"/>
    <w:rsid w:val="000E1CDF"/>
    <w:rsid w:val="000F2CD5"/>
    <w:rsid w:val="000F44EA"/>
    <w:rsid w:val="00122D0C"/>
    <w:rsid w:val="00127D81"/>
    <w:rsid w:val="00135FB7"/>
    <w:rsid w:val="0014745C"/>
    <w:rsid w:val="001536C8"/>
    <w:rsid w:val="00162BCB"/>
    <w:rsid w:val="00166710"/>
    <w:rsid w:val="001775AB"/>
    <w:rsid w:val="00197908"/>
    <w:rsid w:val="001A1E5E"/>
    <w:rsid w:val="001A4D8F"/>
    <w:rsid w:val="001C2BE7"/>
    <w:rsid w:val="001D02A4"/>
    <w:rsid w:val="001E2E3B"/>
    <w:rsid w:val="001E3EA9"/>
    <w:rsid w:val="001E630D"/>
    <w:rsid w:val="001F0053"/>
    <w:rsid w:val="001F4C15"/>
    <w:rsid w:val="00214210"/>
    <w:rsid w:val="002165A3"/>
    <w:rsid w:val="00223BB8"/>
    <w:rsid w:val="0023096B"/>
    <w:rsid w:val="0023686F"/>
    <w:rsid w:val="00237E0B"/>
    <w:rsid w:val="0028627D"/>
    <w:rsid w:val="0029140D"/>
    <w:rsid w:val="00315FC6"/>
    <w:rsid w:val="0034658C"/>
    <w:rsid w:val="0035362A"/>
    <w:rsid w:val="00356F1B"/>
    <w:rsid w:val="00373641"/>
    <w:rsid w:val="003B2BB8"/>
    <w:rsid w:val="003B5339"/>
    <w:rsid w:val="003D34FF"/>
    <w:rsid w:val="003E56A6"/>
    <w:rsid w:val="003E5FD4"/>
    <w:rsid w:val="0040659A"/>
    <w:rsid w:val="0041533F"/>
    <w:rsid w:val="0043217A"/>
    <w:rsid w:val="004379D2"/>
    <w:rsid w:val="00443F1C"/>
    <w:rsid w:val="00446AB0"/>
    <w:rsid w:val="0046471F"/>
    <w:rsid w:val="00494CBC"/>
    <w:rsid w:val="004A148C"/>
    <w:rsid w:val="004B54CA"/>
    <w:rsid w:val="004E5CBF"/>
    <w:rsid w:val="004F6157"/>
    <w:rsid w:val="005057B8"/>
    <w:rsid w:val="00510C38"/>
    <w:rsid w:val="00515AF7"/>
    <w:rsid w:val="005523BD"/>
    <w:rsid w:val="00555E3E"/>
    <w:rsid w:val="005730D5"/>
    <w:rsid w:val="00585179"/>
    <w:rsid w:val="005935E6"/>
    <w:rsid w:val="00596EEA"/>
    <w:rsid w:val="005C3AA9"/>
    <w:rsid w:val="005D3EAB"/>
    <w:rsid w:val="005D4A60"/>
    <w:rsid w:val="00617EBD"/>
    <w:rsid w:val="00625EE2"/>
    <w:rsid w:val="00626096"/>
    <w:rsid w:val="00631B41"/>
    <w:rsid w:val="00634728"/>
    <w:rsid w:val="00635EE5"/>
    <w:rsid w:val="006371EE"/>
    <w:rsid w:val="00650E55"/>
    <w:rsid w:val="006770A7"/>
    <w:rsid w:val="00696ED6"/>
    <w:rsid w:val="006A4CE7"/>
    <w:rsid w:val="006B61A4"/>
    <w:rsid w:val="006C775B"/>
    <w:rsid w:val="006F436A"/>
    <w:rsid w:val="00707EF3"/>
    <w:rsid w:val="00714720"/>
    <w:rsid w:val="00731565"/>
    <w:rsid w:val="00734082"/>
    <w:rsid w:val="0073584F"/>
    <w:rsid w:val="0075282F"/>
    <w:rsid w:val="00767CF1"/>
    <w:rsid w:val="00770CF2"/>
    <w:rsid w:val="00770E22"/>
    <w:rsid w:val="00785261"/>
    <w:rsid w:val="00791FBE"/>
    <w:rsid w:val="007B0256"/>
    <w:rsid w:val="007B542E"/>
    <w:rsid w:val="00824A02"/>
    <w:rsid w:val="00826024"/>
    <w:rsid w:val="00827A01"/>
    <w:rsid w:val="00835484"/>
    <w:rsid w:val="00847FA0"/>
    <w:rsid w:val="008647F0"/>
    <w:rsid w:val="00872615"/>
    <w:rsid w:val="008C1E30"/>
    <w:rsid w:val="008C5A75"/>
    <w:rsid w:val="008D7A5A"/>
    <w:rsid w:val="008F770A"/>
    <w:rsid w:val="00915C67"/>
    <w:rsid w:val="009225F0"/>
    <w:rsid w:val="0096286F"/>
    <w:rsid w:val="00977EED"/>
    <w:rsid w:val="009836E4"/>
    <w:rsid w:val="009863BE"/>
    <w:rsid w:val="00987FA0"/>
    <w:rsid w:val="009A7546"/>
    <w:rsid w:val="009D1904"/>
    <w:rsid w:val="009E7724"/>
    <w:rsid w:val="00A06548"/>
    <w:rsid w:val="00A17AFA"/>
    <w:rsid w:val="00A30346"/>
    <w:rsid w:val="00A32D61"/>
    <w:rsid w:val="00A673D9"/>
    <w:rsid w:val="00A70E1E"/>
    <w:rsid w:val="00A90945"/>
    <w:rsid w:val="00A92138"/>
    <w:rsid w:val="00AA451B"/>
    <w:rsid w:val="00AC0B89"/>
    <w:rsid w:val="00AC0E82"/>
    <w:rsid w:val="00AC21F5"/>
    <w:rsid w:val="00AF77FB"/>
    <w:rsid w:val="00B01913"/>
    <w:rsid w:val="00B01B10"/>
    <w:rsid w:val="00B06238"/>
    <w:rsid w:val="00B52F8C"/>
    <w:rsid w:val="00B5345A"/>
    <w:rsid w:val="00B63CF5"/>
    <w:rsid w:val="00B74B28"/>
    <w:rsid w:val="00B81C57"/>
    <w:rsid w:val="00B87E99"/>
    <w:rsid w:val="00B9617A"/>
    <w:rsid w:val="00BA2DB9"/>
    <w:rsid w:val="00BC2E65"/>
    <w:rsid w:val="00BC5D99"/>
    <w:rsid w:val="00BE7148"/>
    <w:rsid w:val="00C542F9"/>
    <w:rsid w:val="00C5438C"/>
    <w:rsid w:val="00C640EA"/>
    <w:rsid w:val="00C953BE"/>
    <w:rsid w:val="00CB506E"/>
    <w:rsid w:val="00CC5C1C"/>
    <w:rsid w:val="00D17402"/>
    <w:rsid w:val="00D21839"/>
    <w:rsid w:val="00D24567"/>
    <w:rsid w:val="00D3285D"/>
    <w:rsid w:val="00D37D5A"/>
    <w:rsid w:val="00D95E32"/>
    <w:rsid w:val="00DA301B"/>
    <w:rsid w:val="00DB5908"/>
    <w:rsid w:val="00DC1A8C"/>
    <w:rsid w:val="00DE3E32"/>
    <w:rsid w:val="00DF3B4B"/>
    <w:rsid w:val="00DF4413"/>
    <w:rsid w:val="00E05B7E"/>
    <w:rsid w:val="00E30D47"/>
    <w:rsid w:val="00E35FE7"/>
    <w:rsid w:val="00E65BFF"/>
    <w:rsid w:val="00E90279"/>
    <w:rsid w:val="00ED1C85"/>
    <w:rsid w:val="00EE2507"/>
    <w:rsid w:val="00F255FE"/>
    <w:rsid w:val="00F36263"/>
    <w:rsid w:val="00F47B32"/>
    <w:rsid w:val="00F623DF"/>
    <w:rsid w:val="00F6391B"/>
    <w:rsid w:val="00F73BA1"/>
    <w:rsid w:val="00F943BD"/>
    <w:rsid w:val="00F94CB5"/>
    <w:rsid w:val="00FA05A4"/>
    <w:rsid w:val="00FA6287"/>
    <w:rsid w:val="00FB42B4"/>
    <w:rsid w:val="00FB6D4F"/>
    <w:rsid w:val="00FD3D55"/>
    <w:rsid w:val="00FD6F10"/>
    <w:rsid w:val="00FD730B"/>
    <w:rsid w:val="00FF0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6684-D7ED-4781-9068-EE8693FC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2370</Words>
  <Characters>13512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Stefanac, Sandra</cp:lastModifiedBy>
  <cp:revision>2</cp:revision>
  <cp:lastPrinted>2014-05-12T02:02:00Z</cp:lastPrinted>
  <dcterms:created xsi:type="dcterms:W3CDTF">2014-08-19T02:31:00Z</dcterms:created>
  <dcterms:modified xsi:type="dcterms:W3CDTF">2014-08-19T02:31:00Z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