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w:t>
      </w:r>
      <w:proofErr w:type="gramStart"/>
      <w:r w:rsidR="003B5339" w:rsidRPr="00A92138">
        <w:t>the</w:t>
      </w:r>
      <w:proofErr w:type="gramEnd"/>
      <w:r w:rsidR="003B5339" w:rsidRPr="00A92138">
        <w:t xml:space="preserv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9332B0" w:rsidRDefault="009332B0" w:rsidP="0090010C">
            <w:pPr>
              <w:spacing w:after="840"/>
              <w:rPr>
                <w:i/>
                <w:iCs/>
                <w:smallCaps/>
              </w:rPr>
            </w:pPr>
            <w:r>
              <w:rPr>
                <w:i/>
                <w:iCs/>
                <w:smallCaps/>
              </w:rPr>
              <w:lastRenderedPageBreak/>
              <w:t>IN regards to carers payments i would like to highlight the research finding of carers victoria;</w:t>
            </w:r>
          </w:p>
          <w:p w:rsidR="009332B0" w:rsidRDefault="009332B0" w:rsidP="0090010C">
            <w:pPr>
              <w:spacing w:after="840"/>
              <w:rPr>
                <w:i/>
                <w:iCs/>
                <w:smallCaps/>
              </w:rPr>
            </w:pPr>
          </w:p>
          <w:p w:rsidR="00377E7C" w:rsidRDefault="00377E7C" w:rsidP="0090010C">
            <w:pPr>
              <w:spacing w:after="840"/>
              <w:rPr>
                <w:i/>
                <w:iCs/>
                <w:smallCaps/>
              </w:rPr>
            </w:pPr>
            <w:r>
              <w:rPr>
                <w:i/>
                <w:iCs/>
                <w:smallCaps/>
              </w:rPr>
              <w:t>I would like to highlight the Relevant research provided within the INVISIBLE CARE Report (Carers Victorias report August 2013) – Access to Carer Payment and Carer allowance by Victorian Carers of a Person with Mental Illness. THis report attempts to convey the level of feeling that carers of a person with a mental illness have about access to Carer Payment and Carer Allowance</w:t>
            </w:r>
            <w:r w:rsidR="0090010C">
              <w:rPr>
                <w:i/>
                <w:iCs/>
                <w:smallCaps/>
              </w:rPr>
              <w:t>. Lack of access to the payment is frequently seen as a deeply symbolic issue by a group who already feel that their role, and its value, often goes unnoticed or is misunderstood within the community</w:t>
            </w:r>
            <w:r w:rsidR="00A56FF4">
              <w:rPr>
                <w:i/>
                <w:iCs/>
                <w:smallCaps/>
              </w:rPr>
              <w:t>.</w:t>
            </w:r>
          </w:p>
          <w:p w:rsidR="009332B0" w:rsidRDefault="009332B0" w:rsidP="0090010C">
            <w:pPr>
              <w:spacing w:after="840"/>
              <w:rPr>
                <w:i/>
                <w:iCs/>
                <w:smallCaps/>
              </w:rPr>
            </w:pPr>
            <w:r>
              <w:rPr>
                <w:i/>
                <w:iCs/>
                <w:smallCaps/>
              </w:rPr>
              <w:t>the report highlights that mothers of a son or daughter with schizophrenia who lived separately were amongst those least likely to receive carer allowance or carer payment, even though  they provided significant care to a highly vulnurable population.  THE ADAT (Adult disability tool) questionanaire includes very view questions in realtion to advocacy, managing crisis, liasing with health professionals and trasport to health appointment.</w:t>
            </w:r>
          </w:p>
          <w:p w:rsidR="00A56FF4" w:rsidRDefault="00A56FF4" w:rsidP="0090010C">
            <w:pPr>
              <w:spacing w:after="840"/>
              <w:rPr>
                <w:i/>
                <w:iCs/>
                <w:smallCaps/>
              </w:rPr>
            </w:pPr>
            <w:r>
              <w:rPr>
                <w:i/>
                <w:iCs/>
                <w:smallCaps/>
              </w:rPr>
              <w:t>One of the more noteworthy findings from this study is that carers and family members of this group face significant and often bewildering difficulties in accessing the income support and recognition they deserve.</w:t>
            </w:r>
          </w:p>
          <w:p w:rsidR="009B3287" w:rsidRDefault="009B3287" w:rsidP="0090010C">
            <w:pPr>
              <w:spacing w:after="840"/>
              <w:rPr>
                <w:i/>
                <w:iCs/>
                <w:smallCaps/>
              </w:rPr>
            </w:pPr>
            <w:r>
              <w:rPr>
                <w:i/>
                <w:iCs/>
                <w:smallCaps/>
              </w:rPr>
              <w:t xml:space="preserve">Recommendations to improve awareness of carer allowance (ADULT) and carer payment (ADULT): Within the community: </w:t>
            </w:r>
          </w:p>
          <w:p w:rsidR="009B3287" w:rsidRDefault="009B3287" w:rsidP="0090010C">
            <w:pPr>
              <w:spacing w:after="840"/>
              <w:rPr>
                <w:i/>
                <w:iCs/>
                <w:smallCaps/>
              </w:rPr>
            </w:pPr>
            <w:r>
              <w:rPr>
                <w:i/>
                <w:iCs/>
                <w:smallCaps/>
              </w:rPr>
              <w:t xml:space="preserve">Carers Victoria recommends that the Commonwealth department of HUman Services (DHS) considers the distribution and target of information about carer allowance (adult) and CArer </w:t>
            </w:r>
            <w:proofErr w:type="gramStart"/>
            <w:r>
              <w:rPr>
                <w:i/>
                <w:iCs/>
                <w:smallCaps/>
              </w:rPr>
              <w:t>Payment(</w:t>
            </w:r>
            <w:proofErr w:type="gramEnd"/>
            <w:r>
              <w:rPr>
                <w:i/>
                <w:iCs/>
                <w:smallCaps/>
              </w:rPr>
              <w:t xml:space="preserve"> Adult) specifically for carers of a person with mental  illness. particular attention should be given to those who may not have existing contact with centrelink or specialist mental health services.</w:t>
            </w:r>
          </w:p>
          <w:p w:rsidR="009B3287" w:rsidRDefault="009B3287" w:rsidP="0090010C">
            <w:pPr>
              <w:spacing w:after="840"/>
              <w:rPr>
                <w:i/>
                <w:iCs/>
                <w:smallCaps/>
              </w:rPr>
            </w:pPr>
            <w:r>
              <w:rPr>
                <w:i/>
                <w:iCs/>
                <w:smallCaps/>
              </w:rPr>
              <w:t>CArers victoria recommends that the Department of human services identifies opportunities to identify carers of a person with a</w:t>
            </w:r>
            <w:r w:rsidR="009332B0">
              <w:rPr>
                <w:i/>
                <w:iCs/>
                <w:smallCaps/>
              </w:rPr>
              <w:t xml:space="preserve"> </w:t>
            </w:r>
            <w:r>
              <w:rPr>
                <w:i/>
                <w:iCs/>
                <w:smallCaps/>
              </w:rPr>
              <w:t>mental illnes</w:t>
            </w:r>
            <w:r w:rsidR="009332B0">
              <w:rPr>
                <w:i/>
                <w:iCs/>
                <w:smallCaps/>
              </w:rPr>
              <w:t>s</w:t>
            </w:r>
            <w:r>
              <w:rPr>
                <w:i/>
                <w:iCs/>
                <w:smallCaps/>
              </w:rPr>
              <w:t xml:space="preserve"> through existing income support programs and initiatives. For eample, there are opportunities to engage with family members who accompany dsp applicants or recipients to centrelink interviews.</w:t>
            </w:r>
          </w:p>
          <w:p w:rsidR="009B3287" w:rsidRDefault="009B3287" w:rsidP="0090010C">
            <w:pPr>
              <w:spacing w:after="840"/>
              <w:rPr>
                <w:i/>
                <w:iCs/>
                <w:smallCaps/>
              </w:rPr>
            </w:pPr>
            <w:r>
              <w:rPr>
                <w:i/>
                <w:iCs/>
                <w:smallCaps/>
              </w:rPr>
              <w:t xml:space="preserve">Carers victoria recommends that the dept of health and aging 9doha0 and dept of </w:t>
            </w:r>
            <w:proofErr w:type="gramStart"/>
            <w:r>
              <w:rPr>
                <w:i/>
                <w:iCs/>
                <w:smallCaps/>
              </w:rPr>
              <w:t>families ,</w:t>
            </w:r>
            <w:proofErr w:type="gramEnd"/>
            <w:r>
              <w:rPr>
                <w:i/>
                <w:iCs/>
                <w:smallCaps/>
              </w:rPr>
              <w:t xml:space="preserve"> housing ccommunity services and indigenous affairs (FAHCSIA) seek opportunites to promote awareness and good practice in realtion to Carer Payment through the design and administration of of its programs and services. Examples of opportunities in this regard include: Mental Health practice nurses, Personal Helpers and Mentor sprogram (PHAMS), new employment focused PHAMS&lt;day to day living partners, partners in recovery (PIR), medicar</w:t>
            </w:r>
            <w:r w:rsidR="009332B0">
              <w:rPr>
                <w:i/>
                <w:iCs/>
                <w:smallCaps/>
              </w:rPr>
              <w:t>e</w:t>
            </w:r>
            <w:r>
              <w:rPr>
                <w:i/>
                <w:iCs/>
                <w:smallCaps/>
              </w:rPr>
              <w:t xml:space="preserve"> locals and service coordination funding.</w:t>
            </w:r>
          </w:p>
          <w:p w:rsidR="009B3287" w:rsidRDefault="009B3287" w:rsidP="0090010C">
            <w:pPr>
              <w:spacing w:after="840"/>
              <w:rPr>
                <w:i/>
                <w:iCs/>
                <w:smallCaps/>
              </w:rPr>
            </w:pPr>
          </w:p>
          <w:p w:rsidR="009B3287" w:rsidRDefault="009B3287" w:rsidP="0090010C">
            <w:pPr>
              <w:spacing w:after="840"/>
              <w:rPr>
                <w:i/>
                <w:iCs/>
                <w:smallCaps/>
              </w:rPr>
            </w:pPr>
          </w:p>
          <w:p w:rsidR="00A56FF4" w:rsidRDefault="00A56FF4" w:rsidP="0090010C">
            <w:pPr>
              <w:spacing w:after="840"/>
              <w:rPr>
                <w:i/>
                <w:iCs/>
                <w:smallCaps/>
              </w:rPr>
            </w:pPr>
          </w:p>
          <w:p w:rsidR="00A56FF4" w:rsidRDefault="00A56FF4" w:rsidP="0090010C">
            <w:pPr>
              <w:spacing w:after="840"/>
              <w:rPr>
                <w:i/>
                <w:iCs/>
                <w:smallCaps/>
              </w:rPr>
            </w:pPr>
          </w:p>
          <w:p w:rsidR="00A56FF4" w:rsidRDefault="00A56FF4" w:rsidP="0090010C">
            <w:pPr>
              <w:spacing w:after="840"/>
              <w:rPr>
                <w:i/>
                <w:iCs/>
                <w:smallCaps/>
              </w:rPr>
            </w:pPr>
          </w:p>
          <w:p w:rsidR="00A56FF4" w:rsidRDefault="00A56FF4" w:rsidP="0090010C">
            <w:pPr>
              <w:spacing w:after="840"/>
              <w:rPr>
                <w:i/>
                <w:iCs/>
                <w:smallCaps/>
              </w:rPr>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ED45EB" w:rsidP="001C2BE7">
            <w:pPr>
              <w:spacing w:after="840"/>
              <w:rPr>
                <w:i/>
                <w:iCs/>
                <w:smallCaps/>
              </w:rPr>
            </w:pPr>
            <w:r>
              <w:rPr>
                <w:i/>
                <w:iCs/>
                <w:smallCaps/>
              </w:rPr>
              <w:t>NO COMMENT</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ED45EB" w:rsidP="001C2BE7">
            <w:pPr>
              <w:spacing w:after="840"/>
              <w:rPr>
                <w:i/>
                <w:iCs/>
                <w:smallCaps/>
              </w:rPr>
            </w:pPr>
            <w:r>
              <w:rPr>
                <w:i/>
                <w:iCs/>
                <w:smallCaps/>
              </w:rPr>
              <w:t>NO COMMENT</w:t>
            </w: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ED45EB" w:rsidP="001C2BE7">
            <w:pPr>
              <w:spacing w:after="840"/>
              <w:rPr>
                <w:i/>
                <w:iCs/>
                <w:smallCaps/>
              </w:rPr>
            </w:pPr>
            <w:r>
              <w:rPr>
                <w:i/>
                <w:iCs/>
                <w:smallCaps/>
              </w:rPr>
              <w:t>NO COMMENT</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ED45EB" w:rsidP="001C2BE7">
            <w:pPr>
              <w:spacing w:after="840"/>
              <w:rPr>
                <w:i/>
                <w:iCs/>
                <w:smallCaps/>
              </w:rPr>
            </w:pPr>
            <w:r>
              <w:rPr>
                <w:i/>
                <w:iCs/>
                <w:smallCaps/>
              </w:rPr>
              <w:lastRenderedPageBreak/>
              <w:t>NO COMMENT</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ED45EB" w:rsidP="001C2BE7">
            <w:pPr>
              <w:spacing w:after="840"/>
              <w:rPr>
                <w:i/>
                <w:iCs/>
                <w:smallCaps/>
              </w:rPr>
            </w:pPr>
            <w:r>
              <w:rPr>
                <w:i/>
                <w:iCs/>
                <w:smallCaps/>
              </w:rPr>
              <w:t>NO COMMENT</w:t>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ED45EB" w:rsidP="006B61A4">
            <w:pPr>
              <w:spacing w:after="840"/>
              <w:rPr>
                <w:i/>
                <w:iCs/>
                <w:smallCaps/>
              </w:rPr>
            </w:pPr>
            <w:r>
              <w:rPr>
                <w:i/>
                <w:iCs/>
                <w:smallCaps/>
              </w:rPr>
              <w:t>NO COMMENT</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2A74D8" w:rsidRDefault="00ED45EB" w:rsidP="001C2BE7">
            <w:pPr>
              <w:spacing w:after="840"/>
              <w:rPr>
                <w:i/>
                <w:iCs/>
                <w:smallCaps/>
              </w:rPr>
            </w:pPr>
            <w:r>
              <w:rPr>
                <w:i/>
                <w:iCs/>
                <w:smallCaps/>
              </w:rPr>
              <w:lastRenderedPageBreak/>
              <w:t>NO COMMENT</w:t>
            </w: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 xml:space="preserve">How can a focus on ‘earn or learn’ for young Australians </w:t>
      </w:r>
      <w:proofErr w:type="gramStart"/>
      <w:r w:rsidRPr="001C2BE7">
        <w:t>be</w:t>
      </w:r>
      <w:proofErr w:type="gramEnd"/>
      <w:r w:rsidRPr="001C2BE7">
        <w:t xml:space="preserve"> enhanced?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ED45EB" w:rsidP="001C2BE7">
            <w:pPr>
              <w:spacing w:after="840"/>
              <w:rPr>
                <w:i/>
                <w:iCs/>
                <w:smallCaps/>
              </w:rPr>
            </w:pPr>
            <w:r>
              <w:rPr>
                <w:i/>
                <w:iCs/>
                <w:smallCaps/>
              </w:rPr>
              <w:t>NO COMMENT</w:t>
            </w: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ED45EB" w:rsidRDefault="00ED45EB" w:rsidP="00ED45EB">
            <w:pPr>
              <w:pStyle w:val="ListParagraph"/>
              <w:numPr>
                <w:ilvl w:val="0"/>
                <w:numId w:val="29"/>
              </w:numPr>
              <w:spacing w:after="840"/>
              <w:rPr>
                <w:i/>
                <w:iCs/>
                <w:smallCaps/>
              </w:rPr>
            </w:pPr>
            <w:r>
              <w:rPr>
                <w:i/>
                <w:iCs/>
                <w:smallCaps/>
              </w:rPr>
              <w:t xml:space="preserve">Carers and family members bring can provide insight and support to family members in assisting their family members source and maintain meaningful and sustainable </w:t>
            </w:r>
            <w:proofErr w:type="gramStart"/>
            <w:r>
              <w:rPr>
                <w:i/>
                <w:iCs/>
                <w:smallCaps/>
              </w:rPr>
              <w:t>employment .</w:t>
            </w:r>
            <w:proofErr w:type="gramEnd"/>
            <w:r>
              <w:rPr>
                <w:i/>
                <w:iCs/>
                <w:smallCaps/>
              </w:rPr>
              <w:t xml:space="preserve"> </w:t>
            </w:r>
          </w:p>
          <w:p w:rsidR="001C2BE7" w:rsidRDefault="00ED45EB" w:rsidP="00A15B2A">
            <w:pPr>
              <w:pStyle w:val="ListParagraph"/>
              <w:numPr>
                <w:ilvl w:val="0"/>
                <w:numId w:val="29"/>
              </w:numPr>
              <w:spacing w:after="840"/>
              <w:rPr>
                <w:i/>
                <w:iCs/>
                <w:smallCaps/>
              </w:rPr>
            </w:pPr>
            <w:r>
              <w:rPr>
                <w:i/>
                <w:iCs/>
                <w:smallCaps/>
              </w:rPr>
              <w:t>meaningful employment opportunities for people with mental health issues must be offered, and must include more opportunities than simply cleaning work, which has been traditionally offered. people with mental health issues must be supported in the work place, with reviews conducted by carers, family members and people with lived experience. there must be strong mechanisms in place to ensure bullying and harassment are identified and dealt with.</w:t>
            </w:r>
            <w:r w:rsidR="00A15B2A">
              <w:rPr>
                <w:i/>
                <w:iCs/>
                <w:smallCaps/>
              </w:rPr>
              <w:t xml:space="preserve"> Mechanism could include 24 phone lines, which must be advertised in work places and also provided to every person prior to commencing work. carers and family members must also be provided with contacts for support when they suspect bullying, harrassment or exploitation in the workplace</w:t>
            </w:r>
          </w:p>
          <w:p w:rsidR="00A15B2A" w:rsidRDefault="00A15B2A" w:rsidP="00A15B2A">
            <w:pPr>
              <w:pStyle w:val="ListParagraph"/>
              <w:numPr>
                <w:ilvl w:val="0"/>
                <w:numId w:val="29"/>
              </w:numPr>
              <w:spacing w:after="840"/>
              <w:rPr>
                <w:i/>
                <w:iCs/>
                <w:smallCaps/>
              </w:rPr>
            </w:pPr>
            <w:r>
              <w:rPr>
                <w:i/>
                <w:iCs/>
                <w:smallCaps/>
              </w:rPr>
              <w:t>conflict of interests with employment agencies must screened and punishable</w:t>
            </w:r>
          </w:p>
          <w:p w:rsidR="00A15B2A" w:rsidRPr="00ED45EB" w:rsidRDefault="00A15B2A" w:rsidP="00A15B2A">
            <w:pPr>
              <w:pStyle w:val="ListParagraph"/>
              <w:numPr>
                <w:ilvl w:val="0"/>
                <w:numId w:val="29"/>
              </w:numPr>
              <w:spacing w:after="840"/>
              <w:rPr>
                <w:i/>
                <w:iCs/>
                <w:smallCaps/>
              </w:rPr>
            </w:pPr>
            <w:r>
              <w:rPr>
                <w:i/>
                <w:iCs/>
                <w:smallCaps/>
              </w:rPr>
              <w:t>tertiary education must be offered as an option, with appropriate supports in place to ensure the best possible outcomes, including access to alternative forms of assessment for students who experience anxiety</w:t>
            </w: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lastRenderedPageBreak/>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7D4A0E" w:rsidP="007D4A0E">
            <w:pPr>
              <w:spacing w:after="840"/>
              <w:rPr>
                <w:i/>
                <w:iCs/>
                <w:smallCaps/>
              </w:rPr>
            </w:pPr>
            <w:r>
              <w:rPr>
                <w:i/>
                <w:iCs/>
                <w:smallCaps/>
              </w:rPr>
              <w:t xml:space="preserve">seek feedback from clients. carers, family members, and peers and link the feedback to the funding streams of the organisations. also seek feedback from gp’s and psychiatrists in regards to people with mental health issues. </w:t>
            </w: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lastRenderedPageBreak/>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lastRenderedPageBreak/>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A15B2A" w:rsidP="00A15B2A">
            <w:pPr>
              <w:spacing w:after="840"/>
              <w:rPr>
                <w:i/>
                <w:iCs/>
                <w:smallCaps/>
              </w:rPr>
            </w:pPr>
            <w:r>
              <w:rPr>
                <w:i/>
                <w:iCs/>
                <w:smallCaps/>
              </w:rPr>
              <w:t xml:space="preserve">liase with key corporations re apple and negotiate for everyone with a disability to have access to technology. IPADS are extremely user </w:t>
            </w:r>
            <w:proofErr w:type="gramStart"/>
            <w:r>
              <w:rPr>
                <w:i/>
                <w:iCs/>
                <w:smallCaps/>
              </w:rPr>
              <w:t>friendly .</w:t>
            </w:r>
            <w:proofErr w:type="gramEnd"/>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Pr>
      <w:tblGrid>
        <w:gridCol w:w="10206"/>
      </w:tblGrid>
      <w:tr w:rsidR="001C2BE7" w:rsidTr="008C5A75">
        <w:trPr>
          <w:trHeight w:val="710"/>
          <w:tblHeader/>
        </w:trPr>
        <w:tc>
          <w:tcPr>
            <w:tcW w:w="10206" w:type="dxa"/>
          </w:tcPr>
          <w:p w:rsidR="001C2BE7" w:rsidRDefault="001C2BE7" w:rsidP="001C2BE7">
            <w:pPr>
              <w:spacing w:after="840"/>
              <w:rPr>
                <w:i/>
                <w:iCs/>
                <w:smallCaps/>
              </w:rPr>
            </w:pP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0E" w:rsidRDefault="0096530E" w:rsidP="00214210">
      <w:pPr>
        <w:spacing w:after="0" w:line="240" w:lineRule="auto"/>
      </w:pPr>
      <w:r>
        <w:separator/>
      </w:r>
    </w:p>
  </w:endnote>
  <w:endnote w:type="continuationSeparator" w:id="0">
    <w:p w:rsidR="0096530E" w:rsidRDefault="0096530E"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0E" w:rsidRDefault="0096530E" w:rsidP="00214210">
      <w:pPr>
        <w:spacing w:after="0" w:line="240" w:lineRule="auto"/>
      </w:pPr>
      <w:r>
        <w:separator/>
      </w:r>
    </w:p>
  </w:footnote>
  <w:footnote w:type="continuationSeparator" w:id="0">
    <w:p w:rsidR="0096530E" w:rsidRDefault="0096530E"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05558C6"/>
    <w:multiLevelType w:val="hybridMultilevel"/>
    <w:tmpl w:val="F2E6154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24"/>
  </w:num>
  <w:num w:numId="4">
    <w:abstractNumId w:val="8"/>
  </w:num>
  <w:num w:numId="5">
    <w:abstractNumId w:val="6"/>
  </w:num>
  <w:num w:numId="6">
    <w:abstractNumId w:val="27"/>
  </w:num>
  <w:num w:numId="7">
    <w:abstractNumId w:val="25"/>
  </w:num>
  <w:num w:numId="8">
    <w:abstractNumId w:val="10"/>
  </w:num>
  <w:num w:numId="9">
    <w:abstractNumId w:val="0"/>
  </w:num>
  <w:num w:numId="10">
    <w:abstractNumId w:val="7"/>
  </w:num>
  <w:num w:numId="11">
    <w:abstractNumId w:val="5"/>
  </w:num>
  <w:num w:numId="12">
    <w:abstractNumId w:val="3"/>
  </w:num>
  <w:num w:numId="13">
    <w:abstractNumId w:val="23"/>
  </w:num>
  <w:num w:numId="14">
    <w:abstractNumId w:val="14"/>
  </w:num>
  <w:num w:numId="15">
    <w:abstractNumId w:val="20"/>
  </w:num>
  <w:num w:numId="16">
    <w:abstractNumId w:val="11"/>
  </w:num>
  <w:num w:numId="17">
    <w:abstractNumId w:val="13"/>
  </w:num>
  <w:num w:numId="18">
    <w:abstractNumId w:val="17"/>
  </w:num>
  <w:num w:numId="19">
    <w:abstractNumId w:val="26"/>
  </w:num>
  <w:num w:numId="20">
    <w:abstractNumId w:val="21"/>
  </w:num>
  <w:num w:numId="21">
    <w:abstractNumId w:val="15"/>
  </w:num>
  <w:num w:numId="22">
    <w:abstractNumId w:val="22"/>
  </w:num>
  <w:num w:numId="23">
    <w:abstractNumId w:val="12"/>
  </w:num>
  <w:num w:numId="24">
    <w:abstractNumId w:val="9"/>
  </w:num>
  <w:num w:numId="25">
    <w:abstractNumId w:val="16"/>
  </w:num>
  <w:num w:numId="26">
    <w:abstractNumId w:val="19"/>
  </w:num>
  <w:num w:numId="27">
    <w:abstractNumId w:val="18"/>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1536C8"/>
    <w:rsid w:val="000064C0"/>
    <w:rsid w:val="00007C52"/>
    <w:rsid w:val="00047DF2"/>
    <w:rsid w:val="00080BCE"/>
    <w:rsid w:val="00085D36"/>
    <w:rsid w:val="0009727B"/>
    <w:rsid w:val="000A298C"/>
    <w:rsid w:val="000A676D"/>
    <w:rsid w:val="000B0DFF"/>
    <w:rsid w:val="000E12CC"/>
    <w:rsid w:val="000F2CD5"/>
    <w:rsid w:val="000F44EA"/>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9140D"/>
    <w:rsid w:val="00315FC6"/>
    <w:rsid w:val="0035362A"/>
    <w:rsid w:val="00356F1B"/>
    <w:rsid w:val="00373641"/>
    <w:rsid w:val="00377E7C"/>
    <w:rsid w:val="003B2BB8"/>
    <w:rsid w:val="003B5339"/>
    <w:rsid w:val="003D34FF"/>
    <w:rsid w:val="003E56A6"/>
    <w:rsid w:val="003E5FD4"/>
    <w:rsid w:val="0041533F"/>
    <w:rsid w:val="00443F1C"/>
    <w:rsid w:val="0046471F"/>
    <w:rsid w:val="00494CBC"/>
    <w:rsid w:val="004A148C"/>
    <w:rsid w:val="004A5E96"/>
    <w:rsid w:val="004B54CA"/>
    <w:rsid w:val="004E5CBF"/>
    <w:rsid w:val="004F6157"/>
    <w:rsid w:val="005057B8"/>
    <w:rsid w:val="00515AF7"/>
    <w:rsid w:val="00517EB5"/>
    <w:rsid w:val="00555E3E"/>
    <w:rsid w:val="00585179"/>
    <w:rsid w:val="005935E6"/>
    <w:rsid w:val="00596EEA"/>
    <w:rsid w:val="005C3AA9"/>
    <w:rsid w:val="005D3EAB"/>
    <w:rsid w:val="005D4A60"/>
    <w:rsid w:val="00617EBD"/>
    <w:rsid w:val="00625EE2"/>
    <w:rsid w:val="00626096"/>
    <w:rsid w:val="00631B41"/>
    <w:rsid w:val="006338C4"/>
    <w:rsid w:val="00634728"/>
    <w:rsid w:val="00635EE5"/>
    <w:rsid w:val="006371EE"/>
    <w:rsid w:val="006770A7"/>
    <w:rsid w:val="00696ED6"/>
    <w:rsid w:val="006A4CE7"/>
    <w:rsid w:val="006B61A4"/>
    <w:rsid w:val="006C775B"/>
    <w:rsid w:val="006F436A"/>
    <w:rsid w:val="00707EF3"/>
    <w:rsid w:val="00714720"/>
    <w:rsid w:val="00731565"/>
    <w:rsid w:val="00734082"/>
    <w:rsid w:val="0073584F"/>
    <w:rsid w:val="0075282F"/>
    <w:rsid w:val="00767CF1"/>
    <w:rsid w:val="00770E22"/>
    <w:rsid w:val="00785261"/>
    <w:rsid w:val="00791FBE"/>
    <w:rsid w:val="007B0256"/>
    <w:rsid w:val="007D4A0E"/>
    <w:rsid w:val="00824A02"/>
    <w:rsid w:val="00826024"/>
    <w:rsid w:val="00835484"/>
    <w:rsid w:val="00847FA0"/>
    <w:rsid w:val="008647F0"/>
    <w:rsid w:val="008C5A75"/>
    <w:rsid w:val="008D7A5A"/>
    <w:rsid w:val="008F770A"/>
    <w:rsid w:val="0090010C"/>
    <w:rsid w:val="00915C67"/>
    <w:rsid w:val="009225F0"/>
    <w:rsid w:val="009332B0"/>
    <w:rsid w:val="0096286F"/>
    <w:rsid w:val="0096530E"/>
    <w:rsid w:val="00977EED"/>
    <w:rsid w:val="009836E4"/>
    <w:rsid w:val="00987FA0"/>
    <w:rsid w:val="009A7546"/>
    <w:rsid w:val="009B3287"/>
    <w:rsid w:val="009E7724"/>
    <w:rsid w:val="00A06548"/>
    <w:rsid w:val="00A15B2A"/>
    <w:rsid w:val="00A17AFA"/>
    <w:rsid w:val="00A32D61"/>
    <w:rsid w:val="00A56FF4"/>
    <w:rsid w:val="00A673D9"/>
    <w:rsid w:val="00A70E1E"/>
    <w:rsid w:val="00A90945"/>
    <w:rsid w:val="00A92138"/>
    <w:rsid w:val="00AA451B"/>
    <w:rsid w:val="00AC0B89"/>
    <w:rsid w:val="00AC0E82"/>
    <w:rsid w:val="00AC21F5"/>
    <w:rsid w:val="00AD0D79"/>
    <w:rsid w:val="00B01913"/>
    <w:rsid w:val="00B01B10"/>
    <w:rsid w:val="00B06238"/>
    <w:rsid w:val="00B5345A"/>
    <w:rsid w:val="00B63CF5"/>
    <w:rsid w:val="00B74B28"/>
    <w:rsid w:val="00B81C57"/>
    <w:rsid w:val="00B87E99"/>
    <w:rsid w:val="00B9617A"/>
    <w:rsid w:val="00BA2DB9"/>
    <w:rsid w:val="00BC5D99"/>
    <w:rsid w:val="00BE7148"/>
    <w:rsid w:val="00C542F9"/>
    <w:rsid w:val="00C5438C"/>
    <w:rsid w:val="00C640EA"/>
    <w:rsid w:val="00CC5C1C"/>
    <w:rsid w:val="00D17402"/>
    <w:rsid w:val="00D21839"/>
    <w:rsid w:val="00D24567"/>
    <w:rsid w:val="00D3285D"/>
    <w:rsid w:val="00DA301B"/>
    <w:rsid w:val="00DB5908"/>
    <w:rsid w:val="00DC1A8C"/>
    <w:rsid w:val="00DE3E32"/>
    <w:rsid w:val="00DF3B4B"/>
    <w:rsid w:val="00DF4413"/>
    <w:rsid w:val="00E05B7E"/>
    <w:rsid w:val="00E30D47"/>
    <w:rsid w:val="00E35FE7"/>
    <w:rsid w:val="00E90279"/>
    <w:rsid w:val="00ED1C85"/>
    <w:rsid w:val="00ED45EB"/>
    <w:rsid w:val="00F255F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DF6E-EB4C-4E25-B2B2-C98646C4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2472</Words>
  <Characters>14093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2014-08-15T03:41:00Z</dcterms:created>
  <dcterms:modified xsi:type="dcterms:W3CDTF">2014-08-15T03:41:00Z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