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B6" w:rsidRDefault="00EC21B6" w:rsidP="00EC21B6">
      <w:pPr>
        <w:pStyle w:val="Title"/>
        <w:ind w:left="-709"/>
        <w:rPr>
          <w:rStyle w:val="BookTitle"/>
          <w:i w:val="0"/>
          <w:iCs w:val="0"/>
          <w:smallCaps w:val="0"/>
          <w:spacing w:val="0"/>
        </w:rPr>
      </w:pPr>
      <w:r w:rsidRPr="00EC21B6">
        <w:rPr>
          <w:rStyle w:val="BookTitle"/>
          <w:i w:val="0"/>
          <w:iCs w:val="0"/>
          <w:smallCaps w:val="0"/>
          <w:spacing w:val="0"/>
        </w:rPr>
        <w:t xml:space="preserve">Families and Communities Programme </w:t>
      </w:r>
    </w:p>
    <w:p w:rsidR="009D5FFE" w:rsidRDefault="00EC21B6" w:rsidP="00EC21B6">
      <w:pPr>
        <w:pStyle w:val="Subtitle"/>
        <w:ind w:hanging="567"/>
        <w:rPr>
          <w:sz w:val="24"/>
          <w:szCs w:val="26"/>
        </w:rPr>
      </w:pPr>
      <w:bookmarkStart w:id="0" w:name="_GoBack"/>
      <w:r w:rsidRPr="00EC21B6">
        <w:t xml:space="preserve">Families and Children Access Strategy Guidelines </w:t>
      </w:r>
      <w:bookmarkEnd w:id="0"/>
      <w:r w:rsidR="009D5FFE">
        <w:br w:type="page"/>
      </w:r>
    </w:p>
    <w:p w:rsidR="00EC21B6" w:rsidRDefault="00EC21B6" w:rsidP="00EC21B6">
      <w:pPr>
        <w:pStyle w:val="Heading1"/>
      </w:pPr>
      <w:r>
        <w:lastRenderedPageBreak/>
        <w:t>Overview</w:t>
      </w:r>
    </w:p>
    <w:p w:rsidR="00EC21B6" w:rsidRDefault="00EC21B6" w:rsidP="00EC21B6">
      <w:r>
        <w:t>Organisations funded by the Department of Social Services (DSS) are no longer required to complete a Vulnerable and Disadvantaged Client Access Strategy (VADCAS).</w:t>
      </w:r>
    </w:p>
    <w:p w:rsidR="00EC21B6" w:rsidRDefault="00EC21B6" w:rsidP="00EC21B6">
      <w:r>
        <w:t>In line with the Government’s commitment to reduce red tape and reporting obligations, the VADCAS is being replaced with a less onerous Access Strategy.</w:t>
      </w:r>
    </w:p>
    <w:p w:rsidR="00EC21B6" w:rsidRDefault="00EC21B6" w:rsidP="00EC21B6">
      <w:r>
        <w:t xml:space="preserve">From 1 July 2014, agencies will be required to develop and implement an Access Strategy to increase access for vulnerable children and families to their services as part of their funding requirements. </w:t>
      </w:r>
    </w:p>
    <w:p w:rsidR="00EC21B6" w:rsidRDefault="00EC21B6" w:rsidP="00EC21B6">
      <w:pPr>
        <w:pStyle w:val="Heading1"/>
      </w:pPr>
      <w:r>
        <w:t>Aims and objectives</w:t>
      </w:r>
    </w:p>
    <w:p w:rsidR="00EC21B6" w:rsidRDefault="00EC21B6" w:rsidP="00EC21B6">
      <w:r>
        <w:t>The Access Strategy aims to support and encourage service providers to ensure their services are inclusive and appropriate to assist the most vulnerable members of the community through:</w:t>
      </w:r>
    </w:p>
    <w:p w:rsidR="00EC21B6" w:rsidRDefault="00EC21B6" w:rsidP="00EC21B6">
      <w:pPr>
        <w:pStyle w:val="ListParagraph"/>
        <w:numPr>
          <w:ilvl w:val="0"/>
          <w:numId w:val="45"/>
        </w:numPr>
      </w:pPr>
      <w:r>
        <w:t>understanding their communities better and identifying vulnerable groups within them;</w:t>
      </w:r>
    </w:p>
    <w:p w:rsidR="00EC21B6" w:rsidRDefault="00EC21B6" w:rsidP="00EC21B6">
      <w:pPr>
        <w:pStyle w:val="ListParagraph"/>
        <w:numPr>
          <w:ilvl w:val="0"/>
          <w:numId w:val="45"/>
        </w:numPr>
      </w:pPr>
      <w:r>
        <w:t xml:space="preserve">reflecting on how they do business and what they could do better (including developing staff to work with new client groups); and </w:t>
      </w:r>
    </w:p>
    <w:p w:rsidR="00EC21B6" w:rsidRDefault="00EC21B6" w:rsidP="00EC21B6">
      <w:pPr>
        <w:pStyle w:val="ListParagraph"/>
        <w:numPr>
          <w:ilvl w:val="0"/>
          <w:numId w:val="45"/>
        </w:numPr>
      </w:pPr>
      <w:proofErr w:type="gramStart"/>
      <w:r>
        <w:t>working</w:t>
      </w:r>
      <w:proofErr w:type="gramEnd"/>
      <w:r>
        <w:t xml:space="preserve"> better with other agencies in their community. </w:t>
      </w:r>
    </w:p>
    <w:p w:rsidR="00EC21B6" w:rsidRDefault="00EC21B6" w:rsidP="00EC21B6">
      <w:r>
        <w:t xml:space="preserve">The Access Strategy is intended to be a living document, owned at all levels of an organisation, to support cultural change in the way an organisation operates.  Its broader purpose is to encourage innovation and creativity in reaching out to ‘new’ client groups in different ways.  </w:t>
      </w:r>
    </w:p>
    <w:p w:rsidR="00EC21B6" w:rsidRDefault="00EC21B6" w:rsidP="00EC21B6">
      <w:pPr>
        <w:pStyle w:val="Heading1"/>
      </w:pPr>
      <w:r>
        <w:t>Reporting Requirements</w:t>
      </w:r>
    </w:p>
    <w:p w:rsidR="00EC21B6" w:rsidRDefault="00EC21B6" w:rsidP="00EC21B6">
      <w:r>
        <w:t>Organisations will no longer be required to complete a comprehensive form and submit it to the Department and there will no longer be specific Indigenous targets.</w:t>
      </w:r>
    </w:p>
    <w:p w:rsidR="00EC21B6" w:rsidRDefault="00EC21B6" w:rsidP="00EC21B6">
      <w:r>
        <w:t xml:space="preserve">Documentation should be brief and concise (two page maximum).  Rather than submitting a written report at the end of a designated reporting period, Grant Agreement Managers (GAMs) will discuss the organisation’s Access Strategy during regular site visits. </w:t>
      </w:r>
    </w:p>
    <w:p w:rsidR="00EC21B6" w:rsidRDefault="00EC21B6" w:rsidP="00EC21B6">
      <w:r>
        <w:t xml:space="preserve">This discussion will cover issues such as any changing needs in the community, actions the organisation intends to take to improve organisational capacity or service delivery, and progress against goals identified in the access strategy.  Agencies will only need to provide the documentation if requested by their GAM.  </w:t>
      </w:r>
    </w:p>
    <w:p w:rsidR="00EC21B6" w:rsidRDefault="00EC21B6" w:rsidP="00EC21B6">
      <w:r>
        <w:t xml:space="preserve">For more information refer to the </w:t>
      </w:r>
      <w:hyperlink r:id="rId9" w:history="1">
        <w:r w:rsidRPr="00EC21B6">
          <w:rPr>
            <w:rStyle w:val="Hyperlink"/>
          </w:rPr>
          <w:t>DSS website</w:t>
        </w:r>
      </w:hyperlink>
      <w:r>
        <w:t>.</w:t>
      </w:r>
    </w:p>
    <w:p w:rsidR="007B0256" w:rsidRPr="00702143" w:rsidRDefault="007B0256" w:rsidP="00EC21B6">
      <w:pPr>
        <w:pStyle w:val="Heading1"/>
      </w:pPr>
    </w:p>
    <w:sectPr w:rsidR="007B0256" w:rsidRPr="00702143" w:rsidSect="00A747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43" w:rsidRDefault="00702143" w:rsidP="008F3023">
      <w:pPr>
        <w:spacing w:before="0" w:after="0" w:line="240" w:lineRule="auto"/>
      </w:pPr>
      <w:r>
        <w:separator/>
      </w:r>
    </w:p>
  </w:endnote>
  <w:endnote w:type="continuationSeparator" w:id="0">
    <w:p w:rsidR="00702143" w:rsidRDefault="00702143"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43" w:rsidRDefault="00702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43" w:rsidRDefault="007021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FC143A" w:rsidP="00B10EB1">
    <w:pPr>
      <w:pStyle w:val="Footer"/>
      <w:ind w:left="-1417"/>
    </w:pPr>
    <w:r>
      <w:rPr>
        <w:noProof/>
      </w:rPr>
      <w:drawing>
        <wp:inline distT="0" distB="0" distL="0" distR="0">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43" w:rsidRDefault="00702143" w:rsidP="008F3023">
      <w:pPr>
        <w:spacing w:before="0" w:after="0" w:line="240" w:lineRule="auto"/>
      </w:pPr>
      <w:r>
        <w:separator/>
      </w:r>
    </w:p>
  </w:footnote>
  <w:footnote w:type="continuationSeparator" w:id="0">
    <w:p w:rsidR="00702143" w:rsidRDefault="00702143"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43" w:rsidRDefault="00702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Pr="00EC21B6" w:rsidRDefault="00EC21B6" w:rsidP="00EC21B6">
    <w:pPr>
      <w:pStyle w:val="Header"/>
    </w:pPr>
    <w:r w:rsidRPr="00EC21B6">
      <w:t>Families and Children Access Strategy Guidelines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179F5231" wp14:editId="5620DB0C">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32F"/>
    <w:multiLevelType w:val="hybridMultilevel"/>
    <w:tmpl w:val="B750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A4F2F"/>
    <w:multiLevelType w:val="hybridMultilevel"/>
    <w:tmpl w:val="E354BDF6"/>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11FA"/>
    <w:multiLevelType w:val="hybridMultilevel"/>
    <w:tmpl w:val="CB52A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D5C83"/>
    <w:multiLevelType w:val="hybridMultilevel"/>
    <w:tmpl w:val="D13226C6"/>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E2D7663"/>
    <w:multiLevelType w:val="hybridMultilevel"/>
    <w:tmpl w:val="18302DAC"/>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B037B0"/>
    <w:multiLevelType w:val="hybridMultilevel"/>
    <w:tmpl w:val="2F08928C"/>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065614"/>
    <w:multiLevelType w:val="hybridMultilevel"/>
    <w:tmpl w:val="03E4A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6513B8"/>
    <w:multiLevelType w:val="hybridMultilevel"/>
    <w:tmpl w:val="6F2C7FEA"/>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E54D20"/>
    <w:multiLevelType w:val="hybridMultilevel"/>
    <w:tmpl w:val="02B8BADE"/>
    <w:lvl w:ilvl="0" w:tplc="616E5454">
      <w:numFmt w:val="bullet"/>
      <w:lvlText w:val="•"/>
      <w:lvlJc w:val="left"/>
      <w:pPr>
        <w:ind w:left="1080" w:hanging="360"/>
      </w:pPr>
      <w:rPr>
        <w:rFonts w:ascii="Arial" w:eastAsia="Times New Roman" w:hAnsi="Arial" w:cs="Arial" w:hint="default"/>
      </w:rPr>
    </w:lvl>
    <w:lvl w:ilvl="1" w:tplc="7AD0FD7E">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8B874E2"/>
    <w:multiLevelType w:val="hybridMultilevel"/>
    <w:tmpl w:val="5E6AA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8F055C"/>
    <w:multiLevelType w:val="hybridMultilevel"/>
    <w:tmpl w:val="9296F838"/>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7A7C46"/>
    <w:multiLevelType w:val="hybridMultilevel"/>
    <w:tmpl w:val="A57E42BE"/>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FFF34B9"/>
    <w:multiLevelType w:val="hybridMultilevel"/>
    <w:tmpl w:val="B95CA4A4"/>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26C40B4"/>
    <w:multiLevelType w:val="hybridMultilevel"/>
    <w:tmpl w:val="DADEF944"/>
    <w:lvl w:ilvl="0" w:tplc="0C09000F">
      <w:start w:val="1"/>
      <w:numFmt w:val="decimal"/>
      <w:lvlText w:val="%1."/>
      <w:lvlJc w:val="left"/>
      <w:pPr>
        <w:ind w:left="720" w:hanging="360"/>
      </w:pPr>
    </w:lvl>
    <w:lvl w:ilvl="1" w:tplc="616E545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AB73A0"/>
    <w:multiLevelType w:val="hybridMultilevel"/>
    <w:tmpl w:val="01883562"/>
    <w:lvl w:ilvl="0" w:tplc="616E5454">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3E179FA"/>
    <w:multiLevelType w:val="hybridMultilevel"/>
    <w:tmpl w:val="A1A23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F7385A"/>
    <w:multiLevelType w:val="hybridMultilevel"/>
    <w:tmpl w:val="45D69682"/>
    <w:lvl w:ilvl="0" w:tplc="616E5454">
      <w:numFmt w:val="bullet"/>
      <w:lvlText w:val="•"/>
      <w:lvlJc w:val="left"/>
      <w:pPr>
        <w:ind w:left="1440" w:hanging="72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6046D85"/>
    <w:multiLevelType w:val="hybridMultilevel"/>
    <w:tmpl w:val="A314E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F635B4"/>
    <w:multiLevelType w:val="hybridMultilevel"/>
    <w:tmpl w:val="CFD473F2"/>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B30E87"/>
    <w:multiLevelType w:val="hybridMultilevel"/>
    <w:tmpl w:val="F216D10A"/>
    <w:lvl w:ilvl="0" w:tplc="0C09000F">
      <w:start w:val="1"/>
      <w:numFmt w:val="decimal"/>
      <w:lvlText w:val="%1."/>
      <w:lvlJc w:val="left"/>
      <w:pPr>
        <w:ind w:left="720" w:hanging="360"/>
      </w:pPr>
    </w:lvl>
    <w:lvl w:ilvl="1" w:tplc="616E545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AC2F4E"/>
    <w:multiLevelType w:val="hybridMultilevel"/>
    <w:tmpl w:val="D98A1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C17D62"/>
    <w:multiLevelType w:val="hybridMultilevel"/>
    <w:tmpl w:val="A210A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4F3AB3"/>
    <w:multiLevelType w:val="hybridMultilevel"/>
    <w:tmpl w:val="5EC2CC4E"/>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47C0EB5"/>
    <w:multiLevelType w:val="hybridMultilevel"/>
    <w:tmpl w:val="AB3CB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2B7636"/>
    <w:multiLevelType w:val="hybridMultilevel"/>
    <w:tmpl w:val="8D36F8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7D441BA"/>
    <w:multiLevelType w:val="hybridMultilevel"/>
    <w:tmpl w:val="755E3B52"/>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524250"/>
    <w:multiLevelType w:val="hybridMultilevel"/>
    <w:tmpl w:val="D25A71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6F4BDB"/>
    <w:multiLevelType w:val="hybridMultilevel"/>
    <w:tmpl w:val="761EE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CE08E7"/>
    <w:multiLevelType w:val="hybridMultilevel"/>
    <w:tmpl w:val="4FCCD75C"/>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466FD5"/>
    <w:multiLevelType w:val="hybridMultilevel"/>
    <w:tmpl w:val="4D30A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C2B290B"/>
    <w:multiLevelType w:val="hybridMultilevel"/>
    <w:tmpl w:val="6AE40CBE"/>
    <w:lvl w:ilvl="0" w:tplc="616E5454">
      <w:numFmt w:val="bullet"/>
      <w:lvlText w:val="•"/>
      <w:lvlJc w:val="left"/>
      <w:pPr>
        <w:ind w:left="2160" w:hanging="72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nsid w:val="5C3472C3"/>
    <w:multiLevelType w:val="hybridMultilevel"/>
    <w:tmpl w:val="CDDAA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C515828"/>
    <w:multiLevelType w:val="hybridMultilevel"/>
    <w:tmpl w:val="8DA6BCF6"/>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DF548DC"/>
    <w:multiLevelType w:val="hybridMultilevel"/>
    <w:tmpl w:val="FA682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E540966"/>
    <w:multiLevelType w:val="hybridMultilevel"/>
    <w:tmpl w:val="60168AA2"/>
    <w:lvl w:ilvl="0" w:tplc="616E54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322E8F"/>
    <w:multiLevelType w:val="hybridMultilevel"/>
    <w:tmpl w:val="FA682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5F374F4"/>
    <w:multiLevelType w:val="hybridMultilevel"/>
    <w:tmpl w:val="1B7E3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B6C623E"/>
    <w:multiLevelType w:val="hybridMultilevel"/>
    <w:tmpl w:val="3FCCD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CA240C9"/>
    <w:multiLevelType w:val="hybridMultilevel"/>
    <w:tmpl w:val="1DA6A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FD9164B"/>
    <w:multiLevelType w:val="hybridMultilevel"/>
    <w:tmpl w:val="DA3A8790"/>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15C2CDF"/>
    <w:multiLevelType w:val="hybridMultilevel"/>
    <w:tmpl w:val="4DD2CB7C"/>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4302C6C"/>
    <w:multiLevelType w:val="hybridMultilevel"/>
    <w:tmpl w:val="2CB2F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6BC6E13"/>
    <w:multiLevelType w:val="hybridMultilevel"/>
    <w:tmpl w:val="1DA6AA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C243F00"/>
    <w:multiLevelType w:val="hybridMultilevel"/>
    <w:tmpl w:val="261AFF1E"/>
    <w:lvl w:ilvl="0" w:tplc="616E5454">
      <w:numFmt w:val="bullet"/>
      <w:lvlText w:val="•"/>
      <w:lvlJc w:val="left"/>
      <w:pPr>
        <w:ind w:left="1080" w:hanging="360"/>
      </w:pPr>
      <w:rPr>
        <w:rFonts w:ascii="Arial" w:eastAsia="Times New Roman"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0"/>
  </w:num>
  <w:num w:numId="3">
    <w:abstractNumId w:val="26"/>
  </w:num>
  <w:num w:numId="4">
    <w:abstractNumId w:val="29"/>
  </w:num>
  <w:num w:numId="5">
    <w:abstractNumId w:val="25"/>
  </w:num>
  <w:num w:numId="6">
    <w:abstractNumId w:val="14"/>
  </w:num>
  <w:num w:numId="7">
    <w:abstractNumId w:val="20"/>
  </w:num>
  <w:num w:numId="8">
    <w:abstractNumId w:val="18"/>
  </w:num>
  <w:num w:numId="9">
    <w:abstractNumId w:val="39"/>
  </w:num>
  <w:num w:numId="10">
    <w:abstractNumId w:val="9"/>
  </w:num>
  <w:num w:numId="11">
    <w:abstractNumId w:val="44"/>
  </w:num>
  <w:num w:numId="12">
    <w:abstractNumId w:val="43"/>
  </w:num>
  <w:num w:numId="13">
    <w:abstractNumId w:val="16"/>
  </w:num>
  <w:num w:numId="14">
    <w:abstractNumId w:val="5"/>
  </w:num>
  <w:num w:numId="15">
    <w:abstractNumId w:val="2"/>
  </w:num>
  <w:num w:numId="16">
    <w:abstractNumId w:val="28"/>
  </w:num>
  <w:num w:numId="17">
    <w:abstractNumId w:val="15"/>
  </w:num>
  <w:num w:numId="18">
    <w:abstractNumId w:val="17"/>
  </w:num>
  <w:num w:numId="19">
    <w:abstractNumId w:val="13"/>
  </w:num>
  <w:num w:numId="20">
    <w:abstractNumId w:val="35"/>
  </w:num>
  <w:num w:numId="21">
    <w:abstractNumId w:val="27"/>
  </w:num>
  <w:num w:numId="22">
    <w:abstractNumId w:val="31"/>
  </w:num>
  <w:num w:numId="23">
    <w:abstractNumId w:val="37"/>
  </w:num>
  <w:num w:numId="24">
    <w:abstractNumId w:val="30"/>
  </w:num>
  <w:num w:numId="25">
    <w:abstractNumId w:val="33"/>
  </w:num>
  <w:num w:numId="26">
    <w:abstractNumId w:val="38"/>
  </w:num>
  <w:num w:numId="27">
    <w:abstractNumId w:val="4"/>
  </w:num>
  <w:num w:numId="28">
    <w:abstractNumId w:val="6"/>
  </w:num>
  <w:num w:numId="29">
    <w:abstractNumId w:val="24"/>
  </w:num>
  <w:num w:numId="30">
    <w:abstractNumId w:val="10"/>
  </w:num>
  <w:num w:numId="31">
    <w:abstractNumId w:val="12"/>
  </w:num>
  <w:num w:numId="32">
    <w:abstractNumId w:val="3"/>
  </w:num>
  <w:num w:numId="33">
    <w:abstractNumId w:val="8"/>
  </w:num>
  <w:num w:numId="34">
    <w:abstractNumId w:val="32"/>
  </w:num>
  <w:num w:numId="35">
    <w:abstractNumId w:val="23"/>
  </w:num>
  <w:num w:numId="36">
    <w:abstractNumId w:val="11"/>
  </w:num>
  <w:num w:numId="37">
    <w:abstractNumId w:val="42"/>
  </w:num>
  <w:num w:numId="38">
    <w:abstractNumId w:val="1"/>
  </w:num>
  <w:num w:numId="39">
    <w:abstractNumId w:val="19"/>
  </w:num>
  <w:num w:numId="40">
    <w:abstractNumId w:val="34"/>
  </w:num>
  <w:num w:numId="41">
    <w:abstractNumId w:val="40"/>
  </w:num>
  <w:num w:numId="42">
    <w:abstractNumId w:val="41"/>
  </w:num>
  <w:num w:numId="43">
    <w:abstractNumId w:val="22"/>
  </w:num>
  <w:num w:numId="44">
    <w:abstractNumId w:val="3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43"/>
    <w:rsid w:val="00081610"/>
    <w:rsid w:val="001E630D"/>
    <w:rsid w:val="0038044C"/>
    <w:rsid w:val="003B2BB8"/>
    <w:rsid w:val="003D34FF"/>
    <w:rsid w:val="003E2B62"/>
    <w:rsid w:val="00440CB8"/>
    <w:rsid w:val="004B54CA"/>
    <w:rsid w:val="004E5CBF"/>
    <w:rsid w:val="00517AE4"/>
    <w:rsid w:val="00552C0A"/>
    <w:rsid w:val="005C3AA9"/>
    <w:rsid w:val="00642522"/>
    <w:rsid w:val="006A4CE7"/>
    <w:rsid w:val="00702143"/>
    <w:rsid w:val="00785261"/>
    <w:rsid w:val="007B0256"/>
    <w:rsid w:val="008565DF"/>
    <w:rsid w:val="0085710F"/>
    <w:rsid w:val="008F3023"/>
    <w:rsid w:val="009225F0"/>
    <w:rsid w:val="009D3CCB"/>
    <w:rsid w:val="009D5FFE"/>
    <w:rsid w:val="00A13549"/>
    <w:rsid w:val="00A3246A"/>
    <w:rsid w:val="00A74769"/>
    <w:rsid w:val="00B10EB1"/>
    <w:rsid w:val="00B25125"/>
    <w:rsid w:val="00BA2DB9"/>
    <w:rsid w:val="00BE7148"/>
    <w:rsid w:val="00C027B8"/>
    <w:rsid w:val="00C57001"/>
    <w:rsid w:val="00CA6649"/>
    <w:rsid w:val="00E61277"/>
    <w:rsid w:val="00EC21B6"/>
    <w:rsid w:val="00F30908"/>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702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70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341">
      <w:bodyDiv w:val="1"/>
      <w:marLeft w:val="0"/>
      <w:marRight w:val="0"/>
      <w:marTop w:val="0"/>
      <w:marBottom w:val="0"/>
      <w:divBdr>
        <w:top w:val="none" w:sz="0" w:space="0" w:color="auto"/>
        <w:left w:val="none" w:sz="0" w:space="0" w:color="auto"/>
        <w:bottom w:val="none" w:sz="0" w:space="0" w:color="auto"/>
        <w:right w:val="none" w:sz="0" w:space="0" w:color="auto"/>
      </w:divBdr>
    </w:div>
    <w:div w:id="196745169">
      <w:bodyDiv w:val="1"/>
      <w:marLeft w:val="0"/>
      <w:marRight w:val="0"/>
      <w:marTop w:val="0"/>
      <w:marBottom w:val="0"/>
      <w:divBdr>
        <w:top w:val="none" w:sz="0" w:space="0" w:color="auto"/>
        <w:left w:val="none" w:sz="0" w:space="0" w:color="auto"/>
        <w:bottom w:val="none" w:sz="0" w:space="0" w:color="auto"/>
        <w:right w:val="none" w:sz="0" w:space="0" w:color="auto"/>
      </w:divBdr>
    </w:div>
    <w:div w:id="240720446">
      <w:bodyDiv w:val="1"/>
      <w:marLeft w:val="0"/>
      <w:marRight w:val="0"/>
      <w:marTop w:val="0"/>
      <w:marBottom w:val="0"/>
      <w:divBdr>
        <w:top w:val="none" w:sz="0" w:space="0" w:color="auto"/>
        <w:left w:val="none" w:sz="0" w:space="0" w:color="auto"/>
        <w:bottom w:val="none" w:sz="0" w:space="0" w:color="auto"/>
        <w:right w:val="none" w:sz="0" w:space="0" w:color="auto"/>
      </w:divBdr>
    </w:div>
    <w:div w:id="320041301">
      <w:bodyDiv w:val="1"/>
      <w:marLeft w:val="0"/>
      <w:marRight w:val="0"/>
      <w:marTop w:val="0"/>
      <w:marBottom w:val="0"/>
      <w:divBdr>
        <w:top w:val="none" w:sz="0" w:space="0" w:color="auto"/>
        <w:left w:val="none" w:sz="0" w:space="0" w:color="auto"/>
        <w:bottom w:val="none" w:sz="0" w:space="0" w:color="auto"/>
        <w:right w:val="none" w:sz="0" w:space="0" w:color="auto"/>
      </w:divBdr>
    </w:div>
    <w:div w:id="342126065">
      <w:bodyDiv w:val="1"/>
      <w:marLeft w:val="0"/>
      <w:marRight w:val="0"/>
      <w:marTop w:val="0"/>
      <w:marBottom w:val="0"/>
      <w:divBdr>
        <w:top w:val="none" w:sz="0" w:space="0" w:color="auto"/>
        <w:left w:val="none" w:sz="0" w:space="0" w:color="auto"/>
        <w:bottom w:val="none" w:sz="0" w:space="0" w:color="auto"/>
        <w:right w:val="none" w:sz="0" w:space="0" w:color="auto"/>
      </w:divBdr>
    </w:div>
    <w:div w:id="403457147">
      <w:bodyDiv w:val="1"/>
      <w:marLeft w:val="0"/>
      <w:marRight w:val="0"/>
      <w:marTop w:val="0"/>
      <w:marBottom w:val="0"/>
      <w:divBdr>
        <w:top w:val="none" w:sz="0" w:space="0" w:color="auto"/>
        <w:left w:val="none" w:sz="0" w:space="0" w:color="auto"/>
        <w:bottom w:val="none" w:sz="0" w:space="0" w:color="auto"/>
        <w:right w:val="none" w:sz="0" w:space="0" w:color="auto"/>
      </w:divBdr>
    </w:div>
    <w:div w:id="435490300">
      <w:bodyDiv w:val="1"/>
      <w:marLeft w:val="0"/>
      <w:marRight w:val="0"/>
      <w:marTop w:val="0"/>
      <w:marBottom w:val="0"/>
      <w:divBdr>
        <w:top w:val="none" w:sz="0" w:space="0" w:color="auto"/>
        <w:left w:val="none" w:sz="0" w:space="0" w:color="auto"/>
        <w:bottom w:val="none" w:sz="0" w:space="0" w:color="auto"/>
        <w:right w:val="none" w:sz="0" w:space="0" w:color="auto"/>
      </w:divBdr>
    </w:div>
    <w:div w:id="579949555">
      <w:bodyDiv w:val="1"/>
      <w:marLeft w:val="0"/>
      <w:marRight w:val="0"/>
      <w:marTop w:val="0"/>
      <w:marBottom w:val="0"/>
      <w:divBdr>
        <w:top w:val="none" w:sz="0" w:space="0" w:color="auto"/>
        <w:left w:val="none" w:sz="0" w:space="0" w:color="auto"/>
        <w:bottom w:val="none" w:sz="0" w:space="0" w:color="auto"/>
        <w:right w:val="none" w:sz="0" w:space="0" w:color="auto"/>
      </w:divBdr>
    </w:div>
    <w:div w:id="649479558">
      <w:bodyDiv w:val="1"/>
      <w:marLeft w:val="0"/>
      <w:marRight w:val="0"/>
      <w:marTop w:val="0"/>
      <w:marBottom w:val="0"/>
      <w:divBdr>
        <w:top w:val="none" w:sz="0" w:space="0" w:color="auto"/>
        <w:left w:val="none" w:sz="0" w:space="0" w:color="auto"/>
        <w:bottom w:val="none" w:sz="0" w:space="0" w:color="auto"/>
        <w:right w:val="none" w:sz="0" w:space="0" w:color="auto"/>
      </w:divBdr>
    </w:div>
    <w:div w:id="653341449">
      <w:bodyDiv w:val="1"/>
      <w:marLeft w:val="0"/>
      <w:marRight w:val="0"/>
      <w:marTop w:val="0"/>
      <w:marBottom w:val="0"/>
      <w:divBdr>
        <w:top w:val="none" w:sz="0" w:space="0" w:color="auto"/>
        <w:left w:val="none" w:sz="0" w:space="0" w:color="auto"/>
        <w:bottom w:val="none" w:sz="0" w:space="0" w:color="auto"/>
        <w:right w:val="none" w:sz="0" w:space="0" w:color="auto"/>
      </w:divBdr>
    </w:div>
    <w:div w:id="863709615">
      <w:bodyDiv w:val="1"/>
      <w:marLeft w:val="0"/>
      <w:marRight w:val="0"/>
      <w:marTop w:val="0"/>
      <w:marBottom w:val="0"/>
      <w:divBdr>
        <w:top w:val="none" w:sz="0" w:space="0" w:color="auto"/>
        <w:left w:val="none" w:sz="0" w:space="0" w:color="auto"/>
        <w:bottom w:val="none" w:sz="0" w:space="0" w:color="auto"/>
        <w:right w:val="none" w:sz="0" w:space="0" w:color="auto"/>
      </w:divBdr>
    </w:div>
    <w:div w:id="1279683627">
      <w:bodyDiv w:val="1"/>
      <w:marLeft w:val="0"/>
      <w:marRight w:val="0"/>
      <w:marTop w:val="0"/>
      <w:marBottom w:val="0"/>
      <w:divBdr>
        <w:top w:val="none" w:sz="0" w:space="0" w:color="auto"/>
        <w:left w:val="none" w:sz="0" w:space="0" w:color="auto"/>
        <w:bottom w:val="none" w:sz="0" w:space="0" w:color="auto"/>
        <w:right w:val="none" w:sz="0" w:space="0" w:color="auto"/>
      </w:divBdr>
    </w:div>
    <w:div w:id="1303001753">
      <w:bodyDiv w:val="1"/>
      <w:marLeft w:val="0"/>
      <w:marRight w:val="0"/>
      <w:marTop w:val="0"/>
      <w:marBottom w:val="0"/>
      <w:divBdr>
        <w:top w:val="none" w:sz="0" w:space="0" w:color="auto"/>
        <w:left w:val="none" w:sz="0" w:space="0" w:color="auto"/>
        <w:bottom w:val="none" w:sz="0" w:space="0" w:color="auto"/>
        <w:right w:val="none" w:sz="0" w:space="0" w:color="auto"/>
      </w:divBdr>
    </w:div>
    <w:div w:id="14680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s.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7D26-A92E-4992-BEC3-C91B5AAC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0</TotalTime>
  <Pages>2</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Families and Children Activity Administrative Approval Requirements</vt:lpstr>
      <vt:lpstr>Overview</vt:lpstr>
      <vt:lpstr>Aims and objectives</vt:lpstr>
      <vt:lpstr>Reporting Requirements</vt:lpstr>
      <vt:lpstr/>
    </vt:vector>
  </TitlesOfParts>
  <Company>FaHCSIA</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Access Strategy Guidelines</dc:title>
  <dc:creator>DSS</dc:creator>
  <cp:lastModifiedBy>DSS</cp:lastModifiedBy>
  <cp:revision>3</cp:revision>
  <cp:lastPrinted>2014-07-17T06:38:00Z</cp:lastPrinted>
  <dcterms:created xsi:type="dcterms:W3CDTF">2014-07-18T04:52:00Z</dcterms:created>
  <dcterms:modified xsi:type="dcterms:W3CDTF">2014-07-18T04:52:00Z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