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7B" w:rsidRDefault="00D14F7B" w:rsidP="006B7CC9">
      <w:bookmarkStart w:id="0" w:name="_Toc353794641"/>
      <w:r>
        <w:rPr>
          <w:noProof/>
          <w:lang w:val="en-AU" w:eastAsia="en-AU"/>
        </w:rPr>
        <w:drawing>
          <wp:inline distT="0" distB="0" distL="0" distR="0" wp14:anchorId="3A0E7898" wp14:editId="583530D1">
            <wp:extent cx="5061098" cy="1009777"/>
            <wp:effectExtent l="0" t="0" r="6350" b="0"/>
            <wp:docPr id="3" name="Picture 3" descr="Central Lan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c_logo_long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1899" cy="1009937"/>
                    </a:xfrm>
                    <a:prstGeom prst="rect">
                      <a:avLst/>
                    </a:prstGeom>
                    <a:noFill/>
                    <a:ln>
                      <a:noFill/>
                    </a:ln>
                  </pic:spPr>
                </pic:pic>
              </a:graphicData>
            </a:graphic>
          </wp:inline>
        </w:drawing>
      </w:r>
      <w:bookmarkEnd w:id="0"/>
    </w:p>
    <w:p w:rsidR="00D14F7B" w:rsidRDefault="00D14F7B" w:rsidP="006B7CC9"/>
    <w:p w:rsidR="00DF2C33" w:rsidRPr="00873B52" w:rsidRDefault="00D14F7B" w:rsidP="00D14F7B">
      <w:pPr>
        <w:pStyle w:val="Heading1"/>
      </w:pPr>
      <w:bookmarkStart w:id="1" w:name="_Toc353794642"/>
      <w:r>
        <w:t>Community Living Area Land Reform in the Northern Territory Discussion Paper</w:t>
      </w:r>
      <w:r w:rsidR="00DF2C33" w:rsidRPr="00873B52">
        <w:t>- C</w:t>
      </w:r>
      <w:r>
        <w:t xml:space="preserve">entral </w:t>
      </w:r>
      <w:r w:rsidR="00DF2C33" w:rsidRPr="00873B52">
        <w:t>L</w:t>
      </w:r>
      <w:r>
        <w:t xml:space="preserve">and </w:t>
      </w:r>
      <w:r w:rsidR="00DF2C33" w:rsidRPr="00873B52">
        <w:t>C</w:t>
      </w:r>
      <w:r>
        <w:t>ouncil</w:t>
      </w:r>
      <w:r w:rsidR="00DF2C33" w:rsidRPr="00873B52">
        <w:t xml:space="preserve"> </w:t>
      </w:r>
      <w:r>
        <w:t>Response</w:t>
      </w:r>
      <w:bookmarkEnd w:id="1"/>
    </w:p>
    <w:sdt>
      <w:sdtPr>
        <w:rPr>
          <w:rFonts w:eastAsiaTheme="minorHAnsi" w:cstheme="minorBidi"/>
          <w:b w:val="0"/>
          <w:bCs w:val="0"/>
          <w:sz w:val="22"/>
          <w:szCs w:val="22"/>
          <w:lang w:bidi="ar-SA"/>
        </w:rPr>
        <w:id w:val="-2028004913"/>
        <w:docPartObj>
          <w:docPartGallery w:val="Table of Contents"/>
          <w:docPartUnique/>
        </w:docPartObj>
      </w:sdtPr>
      <w:sdtEndPr>
        <w:rPr>
          <w:noProof/>
        </w:rPr>
      </w:sdtEndPr>
      <w:sdtContent>
        <w:p w:rsidR="00E54AE7" w:rsidRDefault="00E54AE7">
          <w:pPr>
            <w:pStyle w:val="TOCHeading"/>
          </w:pPr>
          <w:r>
            <w:t>Contents</w:t>
          </w:r>
        </w:p>
        <w:p w:rsidR="006835D0" w:rsidRDefault="00E54AE7">
          <w:pPr>
            <w:pStyle w:val="TOC1"/>
            <w:tabs>
              <w:tab w:val="right" w:leader="dot" w:pos="9016"/>
            </w:tabs>
            <w:rPr>
              <w:rFonts w:asciiTheme="minorHAnsi" w:eastAsiaTheme="minorEastAsia" w:hAnsiTheme="minorHAnsi"/>
              <w:noProof/>
              <w:lang w:val="en-AU" w:eastAsia="en-AU"/>
            </w:rPr>
          </w:pPr>
          <w:r>
            <w:fldChar w:fldCharType="begin"/>
          </w:r>
          <w:r>
            <w:instrText xml:space="preserve"> TOC \o "1-3" \h \z \u </w:instrText>
          </w:r>
          <w:r>
            <w:fldChar w:fldCharType="separate"/>
          </w:r>
        </w:p>
        <w:p w:rsidR="006835D0" w:rsidRDefault="006536C0">
          <w:pPr>
            <w:pStyle w:val="TOC2"/>
            <w:tabs>
              <w:tab w:val="right" w:leader="dot" w:pos="9016"/>
            </w:tabs>
            <w:rPr>
              <w:rFonts w:asciiTheme="minorHAnsi" w:eastAsiaTheme="minorEastAsia" w:hAnsiTheme="minorHAnsi"/>
              <w:noProof/>
              <w:lang w:val="en-AU" w:eastAsia="en-AU"/>
            </w:rPr>
          </w:pPr>
          <w:hyperlink w:anchor="_Toc353794643" w:history="1">
            <w:r w:rsidR="006835D0" w:rsidRPr="002F1EAD">
              <w:rPr>
                <w:rStyle w:val="Hyperlink"/>
                <w:noProof/>
                <w:lang w:val="en-AU"/>
              </w:rPr>
              <w:t>Introduction</w:t>
            </w:r>
            <w:r w:rsidR="006835D0">
              <w:rPr>
                <w:noProof/>
                <w:webHidden/>
              </w:rPr>
              <w:tab/>
            </w:r>
            <w:r w:rsidR="006835D0">
              <w:rPr>
                <w:noProof/>
                <w:webHidden/>
              </w:rPr>
              <w:fldChar w:fldCharType="begin"/>
            </w:r>
            <w:r w:rsidR="006835D0">
              <w:rPr>
                <w:noProof/>
                <w:webHidden/>
              </w:rPr>
              <w:instrText xml:space="preserve"> PAGEREF _Toc353794643 \h </w:instrText>
            </w:r>
            <w:r w:rsidR="006835D0">
              <w:rPr>
                <w:noProof/>
                <w:webHidden/>
              </w:rPr>
            </w:r>
            <w:r w:rsidR="006835D0">
              <w:rPr>
                <w:noProof/>
                <w:webHidden/>
              </w:rPr>
              <w:fldChar w:fldCharType="separate"/>
            </w:r>
            <w:r w:rsidR="001C2BA6">
              <w:rPr>
                <w:noProof/>
                <w:webHidden/>
              </w:rPr>
              <w:t>1</w:t>
            </w:r>
            <w:r w:rsidR="006835D0">
              <w:rPr>
                <w:noProof/>
                <w:webHidden/>
              </w:rPr>
              <w:fldChar w:fldCharType="end"/>
            </w:r>
          </w:hyperlink>
        </w:p>
        <w:p w:rsidR="006835D0" w:rsidRDefault="006536C0">
          <w:pPr>
            <w:pStyle w:val="TOC2"/>
            <w:tabs>
              <w:tab w:val="right" w:leader="dot" w:pos="9016"/>
            </w:tabs>
            <w:rPr>
              <w:rFonts w:asciiTheme="minorHAnsi" w:eastAsiaTheme="minorEastAsia" w:hAnsiTheme="minorHAnsi"/>
              <w:noProof/>
              <w:lang w:val="en-AU" w:eastAsia="en-AU"/>
            </w:rPr>
          </w:pPr>
          <w:hyperlink w:anchor="_Toc353794644" w:history="1">
            <w:r w:rsidR="006835D0" w:rsidRPr="002F1EAD">
              <w:rPr>
                <w:rStyle w:val="Hyperlink"/>
                <w:noProof/>
                <w:lang w:val="en-AU"/>
              </w:rPr>
              <w:t>Constraints on the rights of CLA land owners to control decisions about land use</w:t>
            </w:r>
            <w:r w:rsidR="006835D0">
              <w:rPr>
                <w:noProof/>
                <w:webHidden/>
              </w:rPr>
              <w:tab/>
            </w:r>
            <w:r w:rsidR="006835D0">
              <w:rPr>
                <w:noProof/>
                <w:webHidden/>
              </w:rPr>
              <w:fldChar w:fldCharType="begin"/>
            </w:r>
            <w:r w:rsidR="006835D0">
              <w:rPr>
                <w:noProof/>
                <w:webHidden/>
              </w:rPr>
              <w:instrText xml:space="preserve"> PAGEREF _Toc353794644 \h </w:instrText>
            </w:r>
            <w:r w:rsidR="006835D0">
              <w:rPr>
                <w:noProof/>
                <w:webHidden/>
              </w:rPr>
            </w:r>
            <w:r w:rsidR="006835D0">
              <w:rPr>
                <w:noProof/>
                <w:webHidden/>
              </w:rPr>
              <w:fldChar w:fldCharType="separate"/>
            </w:r>
            <w:r w:rsidR="001C2BA6">
              <w:rPr>
                <w:noProof/>
                <w:webHidden/>
              </w:rPr>
              <w:t>2</w:t>
            </w:r>
            <w:r w:rsidR="006835D0">
              <w:rPr>
                <w:noProof/>
                <w:webHidden/>
              </w:rPr>
              <w:fldChar w:fldCharType="end"/>
            </w:r>
          </w:hyperlink>
        </w:p>
        <w:p w:rsidR="006835D0" w:rsidRDefault="006536C0">
          <w:pPr>
            <w:pStyle w:val="TOC2"/>
            <w:tabs>
              <w:tab w:val="right" w:leader="dot" w:pos="9016"/>
            </w:tabs>
            <w:rPr>
              <w:rFonts w:asciiTheme="minorHAnsi" w:eastAsiaTheme="minorEastAsia" w:hAnsiTheme="minorHAnsi"/>
              <w:noProof/>
              <w:lang w:val="en-AU" w:eastAsia="en-AU"/>
            </w:rPr>
          </w:pPr>
          <w:hyperlink w:anchor="_Toc353794645" w:history="1">
            <w:r w:rsidR="006835D0" w:rsidRPr="002F1EAD">
              <w:rPr>
                <w:rStyle w:val="Hyperlink"/>
                <w:noProof/>
                <w:lang w:val="en-AU"/>
              </w:rPr>
              <w:t>CLC function to provide assistance</w:t>
            </w:r>
            <w:r w:rsidR="006835D0">
              <w:rPr>
                <w:noProof/>
                <w:webHidden/>
              </w:rPr>
              <w:tab/>
            </w:r>
            <w:r w:rsidR="006835D0">
              <w:rPr>
                <w:noProof/>
                <w:webHidden/>
              </w:rPr>
              <w:fldChar w:fldCharType="begin"/>
            </w:r>
            <w:r w:rsidR="006835D0">
              <w:rPr>
                <w:noProof/>
                <w:webHidden/>
              </w:rPr>
              <w:instrText xml:space="preserve"> PAGEREF _Toc353794645 \h </w:instrText>
            </w:r>
            <w:r w:rsidR="006835D0">
              <w:rPr>
                <w:noProof/>
                <w:webHidden/>
              </w:rPr>
            </w:r>
            <w:r w:rsidR="006835D0">
              <w:rPr>
                <w:noProof/>
                <w:webHidden/>
              </w:rPr>
              <w:fldChar w:fldCharType="separate"/>
            </w:r>
            <w:r w:rsidR="001C2BA6">
              <w:rPr>
                <w:noProof/>
                <w:webHidden/>
              </w:rPr>
              <w:t>3</w:t>
            </w:r>
            <w:r w:rsidR="006835D0">
              <w:rPr>
                <w:noProof/>
                <w:webHidden/>
              </w:rPr>
              <w:fldChar w:fldCharType="end"/>
            </w:r>
          </w:hyperlink>
        </w:p>
        <w:p w:rsidR="006835D0" w:rsidRDefault="006536C0">
          <w:pPr>
            <w:pStyle w:val="TOC2"/>
            <w:tabs>
              <w:tab w:val="right" w:leader="dot" w:pos="9016"/>
            </w:tabs>
            <w:rPr>
              <w:rFonts w:asciiTheme="minorHAnsi" w:eastAsiaTheme="minorEastAsia" w:hAnsiTheme="minorHAnsi"/>
              <w:noProof/>
              <w:lang w:val="en-AU" w:eastAsia="en-AU"/>
            </w:rPr>
          </w:pPr>
          <w:hyperlink w:anchor="_Toc353794646" w:history="1">
            <w:r w:rsidR="006835D0" w:rsidRPr="002F1EAD">
              <w:rPr>
                <w:rStyle w:val="Hyperlink"/>
                <w:rFonts w:eastAsia="Calibri"/>
                <w:noProof/>
                <w:lang w:val="en-AU"/>
              </w:rPr>
              <w:t>Changed requirements for CLA land owning associations and corporations</w:t>
            </w:r>
            <w:r w:rsidR="006835D0">
              <w:rPr>
                <w:noProof/>
                <w:webHidden/>
              </w:rPr>
              <w:tab/>
            </w:r>
            <w:r w:rsidR="006835D0">
              <w:rPr>
                <w:noProof/>
                <w:webHidden/>
              </w:rPr>
              <w:fldChar w:fldCharType="begin"/>
            </w:r>
            <w:r w:rsidR="006835D0">
              <w:rPr>
                <w:noProof/>
                <w:webHidden/>
              </w:rPr>
              <w:instrText xml:space="preserve"> PAGEREF _Toc353794646 \h </w:instrText>
            </w:r>
            <w:r w:rsidR="006835D0">
              <w:rPr>
                <w:noProof/>
                <w:webHidden/>
              </w:rPr>
            </w:r>
            <w:r w:rsidR="006835D0">
              <w:rPr>
                <w:noProof/>
                <w:webHidden/>
              </w:rPr>
              <w:fldChar w:fldCharType="separate"/>
            </w:r>
            <w:r w:rsidR="001C2BA6">
              <w:rPr>
                <w:noProof/>
                <w:webHidden/>
              </w:rPr>
              <w:t>4</w:t>
            </w:r>
            <w:r w:rsidR="006835D0">
              <w:rPr>
                <w:noProof/>
                <w:webHidden/>
              </w:rPr>
              <w:fldChar w:fldCharType="end"/>
            </w:r>
          </w:hyperlink>
        </w:p>
        <w:p w:rsidR="006835D0" w:rsidRDefault="006536C0">
          <w:pPr>
            <w:pStyle w:val="TOC2"/>
            <w:tabs>
              <w:tab w:val="right" w:leader="dot" w:pos="9016"/>
            </w:tabs>
            <w:rPr>
              <w:rFonts w:asciiTheme="minorHAnsi" w:eastAsiaTheme="minorEastAsia" w:hAnsiTheme="minorHAnsi"/>
              <w:noProof/>
              <w:lang w:val="en-AU" w:eastAsia="en-AU"/>
            </w:rPr>
          </w:pPr>
          <w:hyperlink w:anchor="_Toc353794647" w:history="1">
            <w:r w:rsidR="006835D0" w:rsidRPr="002F1EAD">
              <w:rPr>
                <w:rStyle w:val="Hyperlink"/>
                <w:noProof/>
                <w:lang w:val="en-AU"/>
              </w:rPr>
              <w:t>Ensure the right processes are in place for land dealings</w:t>
            </w:r>
            <w:r w:rsidR="006835D0">
              <w:rPr>
                <w:noProof/>
                <w:webHidden/>
              </w:rPr>
              <w:tab/>
            </w:r>
            <w:r w:rsidR="006835D0">
              <w:rPr>
                <w:noProof/>
                <w:webHidden/>
              </w:rPr>
              <w:fldChar w:fldCharType="begin"/>
            </w:r>
            <w:r w:rsidR="006835D0">
              <w:rPr>
                <w:noProof/>
                <w:webHidden/>
              </w:rPr>
              <w:instrText xml:space="preserve"> PAGEREF _Toc353794647 \h </w:instrText>
            </w:r>
            <w:r w:rsidR="006835D0">
              <w:rPr>
                <w:noProof/>
                <w:webHidden/>
              </w:rPr>
            </w:r>
            <w:r w:rsidR="006835D0">
              <w:rPr>
                <w:noProof/>
                <w:webHidden/>
              </w:rPr>
              <w:fldChar w:fldCharType="separate"/>
            </w:r>
            <w:r w:rsidR="001C2BA6">
              <w:rPr>
                <w:noProof/>
                <w:webHidden/>
              </w:rPr>
              <w:t>4</w:t>
            </w:r>
            <w:r w:rsidR="006835D0">
              <w:rPr>
                <w:noProof/>
                <w:webHidden/>
              </w:rPr>
              <w:fldChar w:fldCharType="end"/>
            </w:r>
          </w:hyperlink>
        </w:p>
        <w:p w:rsidR="006835D0" w:rsidRDefault="006536C0">
          <w:pPr>
            <w:pStyle w:val="TOC2"/>
            <w:tabs>
              <w:tab w:val="right" w:leader="dot" w:pos="9016"/>
            </w:tabs>
            <w:rPr>
              <w:rFonts w:asciiTheme="minorHAnsi" w:eastAsiaTheme="minorEastAsia" w:hAnsiTheme="minorHAnsi"/>
              <w:noProof/>
              <w:lang w:val="en-AU" w:eastAsia="en-AU"/>
            </w:rPr>
          </w:pPr>
          <w:hyperlink w:anchor="_Toc353794648" w:history="1">
            <w:r w:rsidR="006835D0" w:rsidRPr="002F1EAD">
              <w:rPr>
                <w:rStyle w:val="Hyperlink"/>
                <w:rFonts w:eastAsia="Calibri"/>
                <w:noProof/>
                <w:lang w:val="en-AU"/>
              </w:rPr>
              <w:t>Other issues about CLA land not listed in this paper that people need to think about</w:t>
            </w:r>
            <w:r w:rsidR="006835D0">
              <w:rPr>
                <w:noProof/>
                <w:webHidden/>
              </w:rPr>
              <w:tab/>
            </w:r>
            <w:r w:rsidR="006835D0">
              <w:rPr>
                <w:noProof/>
                <w:webHidden/>
              </w:rPr>
              <w:fldChar w:fldCharType="begin"/>
            </w:r>
            <w:r w:rsidR="006835D0">
              <w:rPr>
                <w:noProof/>
                <w:webHidden/>
              </w:rPr>
              <w:instrText xml:space="preserve"> PAGEREF _Toc353794648 \h </w:instrText>
            </w:r>
            <w:r w:rsidR="006835D0">
              <w:rPr>
                <w:noProof/>
                <w:webHidden/>
              </w:rPr>
            </w:r>
            <w:r w:rsidR="006835D0">
              <w:rPr>
                <w:noProof/>
                <w:webHidden/>
              </w:rPr>
              <w:fldChar w:fldCharType="separate"/>
            </w:r>
            <w:r w:rsidR="001C2BA6">
              <w:rPr>
                <w:noProof/>
                <w:webHidden/>
              </w:rPr>
              <w:t>4</w:t>
            </w:r>
            <w:r w:rsidR="006835D0">
              <w:rPr>
                <w:noProof/>
                <w:webHidden/>
              </w:rPr>
              <w:fldChar w:fldCharType="end"/>
            </w:r>
          </w:hyperlink>
        </w:p>
        <w:p w:rsidR="006835D0" w:rsidRDefault="006536C0">
          <w:pPr>
            <w:pStyle w:val="TOC2"/>
            <w:tabs>
              <w:tab w:val="right" w:leader="dot" w:pos="9016"/>
            </w:tabs>
            <w:rPr>
              <w:rFonts w:asciiTheme="minorHAnsi" w:eastAsiaTheme="minorEastAsia" w:hAnsiTheme="minorHAnsi"/>
              <w:noProof/>
              <w:lang w:val="en-AU" w:eastAsia="en-AU"/>
            </w:rPr>
          </w:pPr>
          <w:hyperlink w:anchor="_Toc353794649" w:history="1">
            <w:r w:rsidR="006835D0" w:rsidRPr="002F1EAD">
              <w:rPr>
                <w:rStyle w:val="Hyperlink"/>
                <w:rFonts w:eastAsia="Calibri"/>
                <w:noProof/>
                <w:lang w:val="en-AU"/>
              </w:rPr>
              <w:t>Appendix 1: What should a comprehensive CLA reform model look like?</w:t>
            </w:r>
            <w:r w:rsidR="006835D0">
              <w:rPr>
                <w:noProof/>
                <w:webHidden/>
              </w:rPr>
              <w:tab/>
            </w:r>
            <w:r w:rsidR="006835D0">
              <w:rPr>
                <w:noProof/>
                <w:webHidden/>
              </w:rPr>
              <w:fldChar w:fldCharType="begin"/>
            </w:r>
            <w:r w:rsidR="006835D0">
              <w:rPr>
                <w:noProof/>
                <w:webHidden/>
              </w:rPr>
              <w:instrText xml:space="preserve"> PAGEREF _Toc353794649 \h </w:instrText>
            </w:r>
            <w:r w:rsidR="006835D0">
              <w:rPr>
                <w:noProof/>
                <w:webHidden/>
              </w:rPr>
            </w:r>
            <w:r w:rsidR="006835D0">
              <w:rPr>
                <w:noProof/>
                <w:webHidden/>
              </w:rPr>
              <w:fldChar w:fldCharType="separate"/>
            </w:r>
            <w:r w:rsidR="001C2BA6">
              <w:rPr>
                <w:noProof/>
                <w:webHidden/>
              </w:rPr>
              <w:t>5</w:t>
            </w:r>
            <w:r w:rsidR="006835D0">
              <w:rPr>
                <w:noProof/>
                <w:webHidden/>
              </w:rPr>
              <w:fldChar w:fldCharType="end"/>
            </w:r>
          </w:hyperlink>
        </w:p>
        <w:p w:rsidR="006835D0" w:rsidRDefault="006536C0">
          <w:pPr>
            <w:pStyle w:val="TOC2"/>
            <w:tabs>
              <w:tab w:val="right" w:leader="dot" w:pos="9016"/>
            </w:tabs>
            <w:rPr>
              <w:rFonts w:asciiTheme="minorHAnsi" w:eastAsiaTheme="minorEastAsia" w:hAnsiTheme="minorHAnsi"/>
              <w:noProof/>
              <w:lang w:val="en-AU" w:eastAsia="en-AU"/>
            </w:rPr>
          </w:pPr>
          <w:hyperlink w:anchor="_Toc353794650" w:history="1">
            <w:r w:rsidR="006835D0" w:rsidRPr="002F1EAD">
              <w:rPr>
                <w:rStyle w:val="Hyperlink"/>
                <w:rFonts w:eastAsia="Calibri"/>
                <w:noProof/>
                <w:lang w:val="en-AU"/>
              </w:rPr>
              <w:t>Appendix 2- Community Living Areas in the CLC Region</w:t>
            </w:r>
            <w:r w:rsidR="006835D0">
              <w:rPr>
                <w:noProof/>
                <w:webHidden/>
              </w:rPr>
              <w:tab/>
            </w:r>
            <w:r w:rsidR="006835D0">
              <w:rPr>
                <w:noProof/>
                <w:webHidden/>
              </w:rPr>
              <w:fldChar w:fldCharType="begin"/>
            </w:r>
            <w:r w:rsidR="006835D0">
              <w:rPr>
                <w:noProof/>
                <w:webHidden/>
              </w:rPr>
              <w:instrText xml:space="preserve"> PAGEREF _Toc353794650 \h </w:instrText>
            </w:r>
            <w:r w:rsidR="006835D0">
              <w:rPr>
                <w:noProof/>
                <w:webHidden/>
              </w:rPr>
            </w:r>
            <w:r w:rsidR="006835D0">
              <w:rPr>
                <w:noProof/>
                <w:webHidden/>
              </w:rPr>
              <w:fldChar w:fldCharType="separate"/>
            </w:r>
            <w:r w:rsidR="001C2BA6">
              <w:rPr>
                <w:noProof/>
                <w:webHidden/>
              </w:rPr>
              <w:t>7</w:t>
            </w:r>
            <w:r w:rsidR="006835D0">
              <w:rPr>
                <w:noProof/>
                <w:webHidden/>
              </w:rPr>
              <w:fldChar w:fldCharType="end"/>
            </w:r>
          </w:hyperlink>
        </w:p>
        <w:p w:rsidR="00E54AE7" w:rsidRDefault="00E54AE7">
          <w:r>
            <w:rPr>
              <w:b/>
              <w:bCs/>
              <w:noProof/>
            </w:rPr>
            <w:fldChar w:fldCharType="end"/>
          </w:r>
        </w:p>
      </w:sdtContent>
    </w:sdt>
    <w:p w:rsidR="00CB3047" w:rsidRPr="00CB3047" w:rsidRDefault="00CB3047" w:rsidP="00873B52">
      <w:pPr>
        <w:pStyle w:val="Heading2"/>
        <w:rPr>
          <w:lang w:val="en-AU"/>
        </w:rPr>
      </w:pPr>
      <w:bookmarkStart w:id="2" w:name="_Toc353794643"/>
      <w:r w:rsidRPr="00CB3047">
        <w:rPr>
          <w:lang w:val="en-AU"/>
        </w:rPr>
        <w:t>Introduction</w:t>
      </w:r>
      <w:bookmarkEnd w:id="2"/>
    </w:p>
    <w:p w:rsidR="00CB3047" w:rsidRDefault="00CB3047" w:rsidP="00180D2B">
      <w:pPr>
        <w:spacing w:after="0" w:line="240" w:lineRule="auto"/>
        <w:rPr>
          <w:lang w:val="en-AU"/>
        </w:rPr>
      </w:pPr>
    </w:p>
    <w:p w:rsidR="00755A6C" w:rsidRDefault="00377005" w:rsidP="00755A6C">
      <w:pPr>
        <w:spacing w:after="0" w:line="240" w:lineRule="auto"/>
        <w:rPr>
          <w:lang w:val="en-AU"/>
        </w:rPr>
      </w:pPr>
      <w:r>
        <w:rPr>
          <w:lang w:val="en-AU"/>
        </w:rPr>
        <w:t xml:space="preserve">The </w:t>
      </w:r>
      <w:r w:rsidR="00660CB3">
        <w:rPr>
          <w:lang w:val="en-AU"/>
        </w:rPr>
        <w:t>Central Land Council (</w:t>
      </w:r>
      <w:r>
        <w:rPr>
          <w:lang w:val="en-AU"/>
        </w:rPr>
        <w:t>CLC</w:t>
      </w:r>
      <w:r w:rsidR="00660CB3">
        <w:rPr>
          <w:lang w:val="en-AU"/>
        </w:rPr>
        <w:t>)</w:t>
      </w:r>
      <w:r>
        <w:rPr>
          <w:lang w:val="en-AU"/>
        </w:rPr>
        <w:t xml:space="preserve"> welcomes the opportunity to respond to the </w:t>
      </w:r>
      <w:r w:rsidR="004C71CF">
        <w:rPr>
          <w:lang w:val="en-AU"/>
        </w:rPr>
        <w:t xml:space="preserve">Commonwealth’s </w:t>
      </w:r>
      <w:r>
        <w:rPr>
          <w:lang w:val="en-AU"/>
        </w:rPr>
        <w:t>Community Living Area (CLA) discussion paper. The CLC provide</w:t>
      </w:r>
      <w:r w:rsidR="00660CB3">
        <w:rPr>
          <w:lang w:val="en-AU"/>
        </w:rPr>
        <w:t>s</w:t>
      </w:r>
      <w:r>
        <w:rPr>
          <w:lang w:val="en-AU"/>
        </w:rPr>
        <w:t xml:space="preserve"> legal and administrative support </w:t>
      </w:r>
      <w:r w:rsidR="00660CB3">
        <w:rPr>
          <w:lang w:val="en-AU"/>
        </w:rPr>
        <w:t xml:space="preserve">to title holding bodies of </w:t>
      </w:r>
      <w:r>
        <w:rPr>
          <w:lang w:val="en-AU"/>
        </w:rPr>
        <w:t xml:space="preserve">Community Living Areas </w:t>
      </w:r>
      <w:r w:rsidR="004E7076">
        <w:rPr>
          <w:lang w:val="en-AU"/>
        </w:rPr>
        <w:t xml:space="preserve">throughout the CLC </w:t>
      </w:r>
      <w:r>
        <w:rPr>
          <w:lang w:val="en-AU"/>
        </w:rPr>
        <w:t>region</w:t>
      </w:r>
      <w:r w:rsidR="002C6173">
        <w:rPr>
          <w:lang w:val="en-AU"/>
        </w:rPr>
        <w:t xml:space="preserve"> (see Appendix 2)</w:t>
      </w:r>
      <w:r>
        <w:rPr>
          <w:lang w:val="en-AU"/>
        </w:rPr>
        <w:t xml:space="preserve">. </w:t>
      </w:r>
      <w:r w:rsidR="00E30C1E" w:rsidRPr="00E30C1E">
        <w:rPr>
          <w:lang w:val="en-AU"/>
        </w:rPr>
        <w:t>The CLC continue</w:t>
      </w:r>
      <w:r w:rsidR="00E30C1E">
        <w:rPr>
          <w:lang w:val="en-AU"/>
        </w:rPr>
        <w:t>s</w:t>
      </w:r>
      <w:r w:rsidR="00E30C1E" w:rsidRPr="00E30C1E">
        <w:rPr>
          <w:lang w:val="en-AU"/>
        </w:rPr>
        <w:t xml:space="preserve"> to emphasise the need for comprehensive reform to CLA title in order to provide residents with control over their affairs, certainty and effective administrative </w:t>
      </w:r>
      <w:r w:rsidR="004C71CF">
        <w:rPr>
          <w:lang w:val="en-AU"/>
        </w:rPr>
        <w:t xml:space="preserve">and legal </w:t>
      </w:r>
      <w:r w:rsidR="00E30C1E" w:rsidRPr="00E30C1E">
        <w:rPr>
          <w:lang w:val="en-AU"/>
        </w:rPr>
        <w:t>support.</w:t>
      </w:r>
      <w:r w:rsidR="00DF2C33">
        <w:rPr>
          <w:lang w:val="en-AU"/>
        </w:rPr>
        <w:t xml:space="preserve"> </w:t>
      </w:r>
      <w:r w:rsidR="000F514E">
        <w:rPr>
          <w:lang w:val="en-AU"/>
        </w:rPr>
        <w:t>S</w:t>
      </w:r>
      <w:r w:rsidR="00DF2C33">
        <w:rPr>
          <w:lang w:val="en-AU"/>
        </w:rPr>
        <w:t xml:space="preserve">uch reform is also necessary in order for </w:t>
      </w:r>
      <w:r w:rsidR="004C71CF">
        <w:rPr>
          <w:lang w:val="en-AU"/>
        </w:rPr>
        <w:t xml:space="preserve">the </w:t>
      </w:r>
      <w:r w:rsidR="00DF2C33">
        <w:rPr>
          <w:lang w:val="en-AU"/>
        </w:rPr>
        <w:t xml:space="preserve">support </w:t>
      </w:r>
      <w:r w:rsidR="00755A6C">
        <w:rPr>
          <w:lang w:val="en-AU"/>
        </w:rPr>
        <w:t xml:space="preserve">currently </w:t>
      </w:r>
      <w:r w:rsidR="00DF2C33">
        <w:rPr>
          <w:lang w:val="en-AU"/>
        </w:rPr>
        <w:t xml:space="preserve">provided by the CLC to be </w:t>
      </w:r>
      <w:r w:rsidR="004C71CF">
        <w:rPr>
          <w:lang w:val="en-AU"/>
        </w:rPr>
        <w:t>sustainable</w:t>
      </w:r>
      <w:r w:rsidR="00DF2C33">
        <w:rPr>
          <w:lang w:val="en-AU"/>
        </w:rPr>
        <w:t>.</w:t>
      </w:r>
      <w:r w:rsidR="00755A6C" w:rsidRPr="00755A6C">
        <w:rPr>
          <w:lang w:val="en-AU"/>
        </w:rPr>
        <w:t xml:space="preserve"> </w:t>
      </w:r>
      <w:r w:rsidR="00755A6C">
        <w:rPr>
          <w:lang w:val="en-AU"/>
        </w:rPr>
        <w:t xml:space="preserve">The submission of the CLC </w:t>
      </w:r>
      <w:r w:rsidR="00755A6C" w:rsidRPr="004C71CF">
        <w:rPr>
          <w:lang w:val="en-AU"/>
        </w:rPr>
        <w:t>to the Senate Community Affairs Committee Inquiry into the Stronger Futures in the Northern Territory Bill 2011 and two related bills</w:t>
      </w:r>
      <w:r w:rsidR="00755A6C">
        <w:rPr>
          <w:lang w:val="en-AU"/>
        </w:rPr>
        <w:t xml:space="preserve"> (‘Senate Committee submission’)</w:t>
      </w:r>
      <w:r w:rsidR="00755A6C" w:rsidRPr="004C71CF">
        <w:rPr>
          <w:lang w:val="en-AU"/>
        </w:rPr>
        <w:t xml:space="preserve"> </w:t>
      </w:r>
      <w:r w:rsidR="00755A6C">
        <w:rPr>
          <w:lang w:val="en-AU"/>
        </w:rPr>
        <w:t xml:space="preserve">remains relevant in </w:t>
      </w:r>
      <w:proofErr w:type="gramStart"/>
      <w:r w:rsidR="00755A6C">
        <w:rPr>
          <w:lang w:val="en-AU"/>
        </w:rPr>
        <w:t>this</w:t>
      </w:r>
      <w:proofErr w:type="gramEnd"/>
      <w:r w:rsidR="00755A6C">
        <w:rPr>
          <w:lang w:val="en-AU"/>
        </w:rPr>
        <w:t xml:space="preserve"> respect</w:t>
      </w:r>
      <w:r w:rsidR="004E7076">
        <w:rPr>
          <w:lang w:val="en-AU"/>
        </w:rPr>
        <w:t xml:space="preserve"> and provides useful background for the purpose of this submission</w:t>
      </w:r>
      <w:r w:rsidR="00755A6C">
        <w:rPr>
          <w:lang w:val="en-AU"/>
        </w:rPr>
        <w:t>.</w:t>
      </w:r>
      <w:r w:rsidR="00755A6C">
        <w:rPr>
          <w:rStyle w:val="FootnoteReference"/>
          <w:lang w:val="en-AU"/>
        </w:rPr>
        <w:footnoteReference w:id="1"/>
      </w:r>
    </w:p>
    <w:p w:rsidR="00377005" w:rsidRDefault="00377005" w:rsidP="00180D2B">
      <w:pPr>
        <w:spacing w:after="0" w:line="240" w:lineRule="auto"/>
        <w:rPr>
          <w:lang w:val="en-AU"/>
        </w:rPr>
      </w:pPr>
    </w:p>
    <w:p w:rsidR="00377005" w:rsidRPr="00377005" w:rsidRDefault="00377005" w:rsidP="00377005">
      <w:pPr>
        <w:spacing w:after="0" w:line="240" w:lineRule="auto"/>
        <w:rPr>
          <w:lang w:val="en-AU"/>
        </w:rPr>
      </w:pPr>
      <w:r w:rsidRPr="00377005">
        <w:rPr>
          <w:lang w:val="en-AU"/>
        </w:rPr>
        <w:t xml:space="preserve">CLAs were granted by the Northern Territory Government and there is a suite of Northern Territory legislation that constrains land dealings on CLAs. These include, but are not limited </w:t>
      </w:r>
      <w:r w:rsidRPr="00377005">
        <w:rPr>
          <w:lang w:val="en-AU"/>
        </w:rPr>
        <w:lastRenderedPageBreak/>
        <w:t>to, the inability (in all but a few limited circumstances) to grant leases and licences to third parties</w:t>
      </w:r>
      <w:r w:rsidR="004E7076">
        <w:rPr>
          <w:lang w:val="en-AU"/>
        </w:rPr>
        <w:t xml:space="preserve"> and constraints imposed by the Planning Scheme on permitted uses</w:t>
      </w:r>
      <w:r w:rsidRPr="00377005">
        <w:rPr>
          <w:lang w:val="en-AU"/>
        </w:rPr>
        <w:t xml:space="preserve">. </w:t>
      </w:r>
    </w:p>
    <w:p w:rsidR="00377005" w:rsidRPr="00377005" w:rsidRDefault="00377005" w:rsidP="00377005">
      <w:pPr>
        <w:spacing w:after="0" w:line="240" w:lineRule="auto"/>
        <w:rPr>
          <w:lang w:val="en-AU"/>
        </w:rPr>
      </w:pPr>
    </w:p>
    <w:p w:rsidR="00377005" w:rsidRPr="00377005" w:rsidRDefault="00377005" w:rsidP="00377005">
      <w:pPr>
        <w:spacing w:after="0" w:line="240" w:lineRule="auto"/>
        <w:rPr>
          <w:lang w:val="en-AU"/>
        </w:rPr>
      </w:pPr>
      <w:r w:rsidRPr="00377005">
        <w:rPr>
          <w:lang w:val="en-AU"/>
        </w:rPr>
        <w:t xml:space="preserve">There </w:t>
      </w:r>
      <w:r w:rsidR="004E7076">
        <w:rPr>
          <w:lang w:val="en-AU"/>
        </w:rPr>
        <w:t>is</w:t>
      </w:r>
      <w:r w:rsidRPr="00377005">
        <w:rPr>
          <w:lang w:val="en-AU"/>
        </w:rPr>
        <w:t xml:space="preserve"> </w:t>
      </w:r>
      <w:r w:rsidR="004E7076">
        <w:rPr>
          <w:lang w:val="en-AU"/>
        </w:rPr>
        <w:t xml:space="preserve">a </w:t>
      </w:r>
      <w:r w:rsidRPr="00377005">
        <w:rPr>
          <w:lang w:val="en-AU"/>
        </w:rPr>
        <w:t xml:space="preserve">genuine and </w:t>
      </w:r>
      <w:r>
        <w:rPr>
          <w:lang w:val="en-AU"/>
        </w:rPr>
        <w:t xml:space="preserve">increasingly </w:t>
      </w:r>
      <w:r w:rsidR="00542ED3">
        <w:rPr>
          <w:lang w:val="en-AU"/>
        </w:rPr>
        <w:t>urgent</w:t>
      </w:r>
      <w:r w:rsidRPr="00377005">
        <w:rPr>
          <w:lang w:val="en-AU"/>
        </w:rPr>
        <w:t xml:space="preserve"> need for reform of the Northern Territory legislation affecting CLAs </w:t>
      </w:r>
      <w:r>
        <w:rPr>
          <w:lang w:val="en-AU"/>
        </w:rPr>
        <w:t xml:space="preserve">in order </w:t>
      </w:r>
      <w:r w:rsidRPr="00377005">
        <w:rPr>
          <w:lang w:val="en-AU"/>
        </w:rPr>
        <w:t xml:space="preserve">to allow for </w:t>
      </w:r>
      <w:r w:rsidR="00660CB3">
        <w:rPr>
          <w:lang w:val="en-AU"/>
        </w:rPr>
        <w:t xml:space="preserve">the residents of CLAs to have more control over their land. This includes the ability for </w:t>
      </w:r>
      <w:r w:rsidRPr="00377005">
        <w:rPr>
          <w:lang w:val="en-AU"/>
        </w:rPr>
        <w:t>leases or licences to be granted by the Aboriginal land</w:t>
      </w:r>
      <w:r w:rsidR="000F514E">
        <w:rPr>
          <w:lang w:val="en-AU"/>
        </w:rPr>
        <w:t xml:space="preserve"> </w:t>
      </w:r>
      <w:r w:rsidRPr="00377005">
        <w:rPr>
          <w:lang w:val="en-AU"/>
        </w:rPr>
        <w:t xml:space="preserve">owners </w:t>
      </w:r>
      <w:r w:rsidR="00542ED3">
        <w:rPr>
          <w:lang w:val="en-AU"/>
        </w:rPr>
        <w:t xml:space="preserve">for </w:t>
      </w:r>
      <w:r w:rsidR="00755A6C">
        <w:rPr>
          <w:lang w:val="en-AU"/>
        </w:rPr>
        <w:t xml:space="preserve">existing and proposed </w:t>
      </w:r>
      <w:r>
        <w:rPr>
          <w:lang w:val="en-AU"/>
        </w:rPr>
        <w:t xml:space="preserve">stores, art centres, </w:t>
      </w:r>
      <w:r w:rsidRPr="00377005">
        <w:rPr>
          <w:lang w:val="en-AU"/>
        </w:rPr>
        <w:t>police stations, power and water assets, offices</w:t>
      </w:r>
      <w:r w:rsidR="00755A6C">
        <w:rPr>
          <w:lang w:val="en-AU"/>
        </w:rPr>
        <w:t xml:space="preserve"> and other </w:t>
      </w:r>
      <w:r w:rsidRPr="00377005">
        <w:rPr>
          <w:lang w:val="en-AU"/>
        </w:rPr>
        <w:t>businesses</w:t>
      </w:r>
      <w:r w:rsidR="00E30C1E">
        <w:rPr>
          <w:lang w:val="en-AU"/>
        </w:rPr>
        <w:t>. There is also a need to address the inequitable situation that currently exists under the planning scheme whereby CLAs face much greater restrictions than a</w:t>
      </w:r>
      <w:r w:rsidR="00755A6C">
        <w:rPr>
          <w:lang w:val="en-AU"/>
        </w:rPr>
        <w:t>pply</w:t>
      </w:r>
      <w:r w:rsidR="00E30C1E">
        <w:rPr>
          <w:lang w:val="en-AU"/>
        </w:rPr>
        <w:t xml:space="preserve"> for communities on Aboriginal land</w:t>
      </w:r>
      <w:r w:rsidR="004C71CF">
        <w:rPr>
          <w:lang w:val="en-AU"/>
        </w:rPr>
        <w:t>.</w:t>
      </w:r>
      <w:r w:rsidR="006B28DF">
        <w:rPr>
          <w:rStyle w:val="FootnoteReference"/>
          <w:lang w:val="en-AU"/>
        </w:rPr>
        <w:footnoteReference w:id="2"/>
      </w:r>
      <w:r w:rsidR="006B7CC9">
        <w:rPr>
          <w:lang w:val="en-AU"/>
        </w:rPr>
        <w:t xml:space="preserve"> </w:t>
      </w:r>
    </w:p>
    <w:p w:rsidR="00D14F7B" w:rsidRDefault="00D14F7B" w:rsidP="00377005">
      <w:pPr>
        <w:spacing w:after="0" w:line="240" w:lineRule="auto"/>
        <w:rPr>
          <w:lang w:val="en-AU"/>
        </w:rPr>
      </w:pPr>
    </w:p>
    <w:p w:rsidR="00377005" w:rsidRDefault="00E30C1E" w:rsidP="00377005">
      <w:pPr>
        <w:spacing w:after="0" w:line="240" w:lineRule="auto"/>
        <w:rPr>
          <w:lang w:val="en-AU"/>
        </w:rPr>
      </w:pPr>
      <w:r>
        <w:rPr>
          <w:lang w:val="en-AU"/>
        </w:rPr>
        <w:t xml:space="preserve">Though </w:t>
      </w:r>
      <w:r w:rsidR="00377005" w:rsidRPr="00377005">
        <w:rPr>
          <w:lang w:val="en-AU"/>
        </w:rPr>
        <w:t xml:space="preserve">reform would </w:t>
      </w:r>
      <w:r>
        <w:rPr>
          <w:lang w:val="en-AU"/>
        </w:rPr>
        <w:t xml:space="preserve">ideally be </w:t>
      </w:r>
      <w:r w:rsidR="00377005" w:rsidRPr="00377005">
        <w:rPr>
          <w:lang w:val="en-AU"/>
        </w:rPr>
        <w:t>led by the Northern Territory Government</w:t>
      </w:r>
      <w:r>
        <w:rPr>
          <w:lang w:val="en-AU"/>
        </w:rPr>
        <w:t xml:space="preserve"> it is evident to the CLC that there has been insufficient </w:t>
      </w:r>
      <w:r w:rsidR="00960FC2">
        <w:rPr>
          <w:lang w:val="en-AU"/>
        </w:rPr>
        <w:t>movement</w:t>
      </w:r>
      <w:r w:rsidR="00377005" w:rsidRPr="00377005">
        <w:rPr>
          <w:lang w:val="en-AU"/>
        </w:rPr>
        <w:t xml:space="preserve"> by the Northern Territory Government</w:t>
      </w:r>
      <w:r>
        <w:rPr>
          <w:lang w:val="en-AU"/>
        </w:rPr>
        <w:t xml:space="preserve"> </w:t>
      </w:r>
      <w:r w:rsidR="00960FC2">
        <w:rPr>
          <w:lang w:val="en-AU"/>
        </w:rPr>
        <w:t>towards</w:t>
      </w:r>
      <w:r>
        <w:rPr>
          <w:lang w:val="en-AU"/>
        </w:rPr>
        <w:t xml:space="preserve"> addressing this important </w:t>
      </w:r>
      <w:r w:rsidR="009644FC">
        <w:rPr>
          <w:lang w:val="en-AU"/>
        </w:rPr>
        <w:t>matter</w:t>
      </w:r>
      <w:r>
        <w:rPr>
          <w:lang w:val="en-AU"/>
        </w:rPr>
        <w:t xml:space="preserve">. Accordingly, the CLC supports the Commonwealth using its regulation making powers under the Stronger Futures in the Northern Territory Act 2012, </w:t>
      </w:r>
      <w:r w:rsidRPr="004C71CF">
        <w:rPr>
          <w:i/>
          <w:lang w:val="en-AU"/>
        </w:rPr>
        <w:t>provided</w:t>
      </w:r>
      <w:r>
        <w:rPr>
          <w:lang w:val="en-AU"/>
        </w:rPr>
        <w:t xml:space="preserve"> that the regulations respond to the issues identified in consultations with residents of CLAs and the Land Councils.</w:t>
      </w:r>
    </w:p>
    <w:p w:rsidR="00377005" w:rsidRDefault="00377005" w:rsidP="00180D2B">
      <w:pPr>
        <w:spacing w:after="0" w:line="240" w:lineRule="auto"/>
        <w:rPr>
          <w:lang w:val="en-AU"/>
        </w:rPr>
      </w:pPr>
    </w:p>
    <w:p w:rsidR="00CB3047" w:rsidRDefault="00CB3047" w:rsidP="00873B52">
      <w:pPr>
        <w:pStyle w:val="Heading2"/>
        <w:rPr>
          <w:lang w:val="en-AU"/>
        </w:rPr>
      </w:pPr>
      <w:bookmarkStart w:id="3" w:name="_Toc353794644"/>
      <w:r w:rsidRPr="00CB3047">
        <w:rPr>
          <w:lang w:val="en-AU"/>
        </w:rPr>
        <w:t xml:space="preserve">Constraints on the rights of CLA land owners to </w:t>
      </w:r>
      <w:r>
        <w:rPr>
          <w:lang w:val="en-AU"/>
        </w:rPr>
        <w:t>control decisions about land use</w:t>
      </w:r>
      <w:bookmarkEnd w:id="3"/>
    </w:p>
    <w:p w:rsidR="00AC45F1" w:rsidRDefault="00377005" w:rsidP="00406810">
      <w:pPr>
        <w:spacing w:before="60" w:after="60"/>
        <w:rPr>
          <w:lang w:val="en-AU"/>
        </w:rPr>
      </w:pPr>
      <w:r>
        <w:rPr>
          <w:lang w:val="en-AU"/>
        </w:rPr>
        <w:t>As the discussion paper notes</w:t>
      </w:r>
      <w:r w:rsidR="004C71CF">
        <w:rPr>
          <w:lang w:val="en-AU"/>
        </w:rPr>
        <w:t>,</w:t>
      </w:r>
      <w:r>
        <w:rPr>
          <w:lang w:val="en-AU"/>
        </w:rPr>
        <w:t xml:space="preserve"> constraints </w:t>
      </w:r>
      <w:r w:rsidR="007900B0" w:rsidRPr="006F126B">
        <w:rPr>
          <w:lang w:val="en-AU"/>
        </w:rPr>
        <w:t xml:space="preserve">on how </w:t>
      </w:r>
      <w:r w:rsidR="007900B0">
        <w:rPr>
          <w:lang w:val="en-AU"/>
        </w:rPr>
        <w:t>CLA</w:t>
      </w:r>
      <w:r w:rsidR="007900B0" w:rsidRPr="006F126B">
        <w:rPr>
          <w:lang w:val="en-AU"/>
        </w:rPr>
        <w:t xml:space="preserve"> land </w:t>
      </w:r>
      <w:r w:rsidR="007900B0">
        <w:rPr>
          <w:lang w:val="en-AU"/>
        </w:rPr>
        <w:t>can be</w:t>
      </w:r>
      <w:r w:rsidR="007900B0" w:rsidRPr="006F126B">
        <w:rPr>
          <w:lang w:val="en-AU"/>
        </w:rPr>
        <w:t xml:space="preserve"> used mean that currently, CLA </w:t>
      </w:r>
      <w:r w:rsidR="007900B0">
        <w:rPr>
          <w:lang w:val="en-AU"/>
        </w:rPr>
        <w:t xml:space="preserve">land </w:t>
      </w:r>
      <w:r w:rsidR="007900B0" w:rsidRPr="006F126B">
        <w:rPr>
          <w:lang w:val="en-AU"/>
        </w:rPr>
        <w:t xml:space="preserve">owners have less </w:t>
      </w:r>
      <w:r>
        <w:rPr>
          <w:lang w:val="en-AU"/>
        </w:rPr>
        <w:t xml:space="preserve">control over the use of </w:t>
      </w:r>
      <w:r w:rsidR="002C6173">
        <w:rPr>
          <w:lang w:val="en-AU"/>
        </w:rPr>
        <w:t xml:space="preserve">their </w:t>
      </w:r>
      <w:r>
        <w:rPr>
          <w:lang w:val="en-AU"/>
        </w:rPr>
        <w:t xml:space="preserve">land than the owners of other </w:t>
      </w:r>
      <w:r w:rsidR="007900B0" w:rsidRPr="006F126B">
        <w:rPr>
          <w:lang w:val="en-AU"/>
        </w:rPr>
        <w:t xml:space="preserve">Aboriginal communities in the NT. </w:t>
      </w:r>
      <w:r>
        <w:rPr>
          <w:lang w:val="en-AU"/>
        </w:rPr>
        <w:t>While it is not true to say that land cannot be used at all for economic development (community s</w:t>
      </w:r>
      <w:r w:rsidR="00E30C1E">
        <w:rPr>
          <w:lang w:val="en-AU"/>
        </w:rPr>
        <w:t>tores</w:t>
      </w:r>
      <w:r>
        <w:rPr>
          <w:lang w:val="en-AU"/>
        </w:rPr>
        <w:t>, for example, are permitted under the planning scheme</w:t>
      </w:r>
      <w:r w:rsidR="00D14F7B">
        <w:rPr>
          <w:lang w:val="en-AU"/>
        </w:rPr>
        <w:t xml:space="preserve"> though they cannot be granted a lease</w:t>
      </w:r>
      <w:r w:rsidR="00660CB3">
        <w:rPr>
          <w:lang w:val="en-AU"/>
        </w:rPr>
        <w:t>)</w:t>
      </w:r>
      <w:r w:rsidR="004C71CF">
        <w:rPr>
          <w:rStyle w:val="FootnoteReference"/>
          <w:lang w:val="en-AU"/>
        </w:rPr>
        <w:footnoteReference w:id="3"/>
      </w:r>
      <w:r>
        <w:rPr>
          <w:lang w:val="en-AU"/>
        </w:rPr>
        <w:t xml:space="preserve"> the ongoing and anachronistic constraints on CLA</w:t>
      </w:r>
      <w:r w:rsidR="00755A6C">
        <w:rPr>
          <w:lang w:val="en-AU"/>
        </w:rPr>
        <w:t xml:space="preserve"> land use</w:t>
      </w:r>
      <w:r>
        <w:rPr>
          <w:lang w:val="en-AU"/>
        </w:rPr>
        <w:t xml:space="preserve"> are in urgent need of </w:t>
      </w:r>
      <w:r w:rsidR="00CB3047">
        <w:rPr>
          <w:lang w:val="en-AU"/>
        </w:rPr>
        <w:t>change</w:t>
      </w:r>
      <w:r>
        <w:rPr>
          <w:lang w:val="en-AU"/>
        </w:rPr>
        <w:t xml:space="preserve">. </w:t>
      </w:r>
    </w:p>
    <w:p w:rsidR="00376D8C" w:rsidRPr="006F126B" w:rsidRDefault="00376D8C" w:rsidP="00180D2B">
      <w:pPr>
        <w:spacing w:after="0" w:line="240" w:lineRule="auto"/>
        <w:rPr>
          <w:rFonts w:eastAsia="MS Mincho"/>
          <w:lang w:val="en-AU" w:eastAsia="ja-JP"/>
        </w:rPr>
      </w:pPr>
    </w:p>
    <w:p w:rsidR="00AC45F1" w:rsidRPr="006F126B" w:rsidRDefault="00E30C1E" w:rsidP="000F514E">
      <w:pPr>
        <w:spacing w:before="60" w:after="60"/>
        <w:rPr>
          <w:rFonts w:cs="Arial"/>
          <w:lang w:val="en-AU"/>
        </w:rPr>
      </w:pPr>
      <w:r>
        <w:rPr>
          <w:rFonts w:eastAsia="MS Mincho"/>
          <w:lang w:val="en-AU" w:eastAsia="ja-JP"/>
        </w:rPr>
        <w:t xml:space="preserve">The CLC supports the Commonwealth’s </w:t>
      </w:r>
      <w:r w:rsidR="00755A6C">
        <w:rPr>
          <w:rFonts w:eastAsia="MS Mincho"/>
          <w:lang w:val="en-AU" w:eastAsia="ja-JP"/>
        </w:rPr>
        <w:t xml:space="preserve">stated </w:t>
      </w:r>
      <w:r>
        <w:rPr>
          <w:rFonts w:eastAsia="MS Mincho"/>
          <w:lang w:val="en-AU" w:eastAsia="ja-JP"/>
        </w:rPr>
        <w:t xml:space="preserve">objective </w:t>
      </w:r>
      <w:r w:rsidR="006B28DF">
        <w:rPr>
          <w:rFonts w:eastAsia="MS Mincho"/>
          <w:lang w:val="en-AU" w:eastAsia="ja-JP"/>
        </w:rPr>
        <w:t xml:space="preserve">that </w:t>
      </w:r>
      <w:r w:rsidR="00BF0889" w:rsidRPr="00D478BC">
        <w:rPr>
          <w:rFonts w:eastAsia="MS Mincho"/>
          <w:lang w:val="en-AU" w:eastAsia="ja-JP"/>
        </w:rPr>
        <w:t>CLA</w:t>
      </w:r>
      <w:r w:rsidR="00786A79" w:rsidRPr="00D478BC">
        <w:rPr>
          <w:rFonts w:eastAsia="MS Mincho"/>
          <w:lang w:val="en-AU" w:eastAsia="ja-JP"/>
        </w:rPr>
        <w:t xml:space="preserve"> land owners </w:t>
      </w:r>
      <w:r w:rsidR="002C6173">
        <w:rPr>
          <w:rFonts w:eastAsia="MS Mincho"/>
          <w:lang w:val="en-AU" w:eastAsia="ja-JP"/>
        </w:rPr>
        <w:t xml:space="preserve">ought to </w:t>
      </w:r>
      <w:r w:rsidR="00786A79" w:rsidRPr="00D478BC">
        <w:rPr>
          <w:rFonts w:eastAsia="MS Mincho"/>
          <w:lang w:val="en-AU" w:eastAsia="ja-JP"/>
        </w:rPr>
        <w:t xml:space="preserve">have the same opportunities to </w:t>
      </w:r>
      <w:r w:rsidR="00AB49AE">
        <w:rPr>
          <w:rFonts w:eastAsia="MS Mincho"/>
          <w:lang w:val="en-AU" w:eastAsia="ja-JP"/>
        </w:rPr>
        <w:t xml:space="preserve">manage </w:t>
      </w:r>
      <w:r w:rsidR="00786A79" w:rsidRPr="00D478BC">
        <w:rPr>
          <w:rFonts w:eastAsia="MS Mincho"/>
          <w:lang w:val="en-AU" w:eastAsia="ja-JP"/>
        </w:rPr>
        <w:t>their land as other remote Indigenous communities in the NT</w:t>
      </w:r>
      <w:r>
        <w:rPr>
          <w:rFonts w:eastAsia="MS Mincho"/>
          <w:lang w:val="en-AU" w:eastAsia="ja-JP"/>
        </w:rPr>
        <w:t>.</w:t>
      </w:r>
      <w:r w:rsidR="000F514E">
        <w:rPr>
          <w:rFonts w:eastAsia="MS Mincho"/>
          <w:lang w:val="en-AU" w:eastAsia="ja-JP"/>
        </w:rPr>
        <w:t xml:space="preserve"> </w:t>
      </w:r>
      <w:r>
        <w:rPr>
          <w:rFonts w:eastAsia="MS Mincho"/>
          <w:lang w:val="en-AU" w:eastAsia="ja-JP"/>
        </w:rPr>
        <w:t xml:space="preserve">It is important to the CLC that the </w:t>
      </w:r>
      <w:r w:rsidR="004C71CF">
        <w:rPr>
          <w:rFonts w:eastAsia="MS Mincho"/>
          <w:lang w:val="en-AU" w:eastAsia="ja-JP"/>
        </w:rPr>
        <w:t>Commonwealth</w:t>
      </w:r>
      <w:r w:rsidR="00051065">
        <w:rPr>
          <w:rFonts w:eastAsia="MS Mincho"/>
          <w:lang w:val="en-AU" w:eastAsia="ja-JP"/>
        </w:rPr>
        <w:t xml:space="preserve"> </w:t>
      </w:r>
      <w:r w:rsidR="00DF2C33">
        <w:rPr>
          <w:rFonts w:eastAsia="MS Mincho"/>
          <w:lang w:val="en-AU" w:eastAsia="ja-JP"/>
        </w:rPr>
        <w:t>commit to comprehensive reform</w:t>
      </w:r>
      <w:r w:rsidR="004C71CF">
        <w:rPr>
          <w:rFonts w:eastAsia="MS Mincho"/>
          <w:lang w:val="en-AU" w:eastAsia="ja-JP"/>
        </w:rPr>
        <w:t xml:space="preserve"> of CLA title</w:t>
      </w:r>
      <w:r w:rsidR="00DF2C33">
        <w:rPr>
          <w:rFonts w:eastAsia="MS Mincho"/>
          <w:lang w:val="en-AU" w:eastAsia="ja-JP"/>
        </w:rPr>
        <w:t xml:space="preserve">. The CLC, therefore, remains </w:t>
      </w:r>
      <w:r w:rsidR="00C6643B">
        <w:rPr>
          <w:rFonts w:eastAsia="MS Mincho"/>
          <w:lang w:val="en-AU" w:eastAsia="ja-JP"/>
        </w:rPr>
        <w:t xml:space="preserve">somewhat </w:t>
      </w:r>
      <w:r w:rsidR="00DF2C33">
        <w:rPr>
          <w:rFonts w:eastAsia="MS Mincho"/>
          <w:lang w:val="en-AU" w:eastAsia="ja-JP"/>
        </w:rPr>
        <w:t xml:space="preserve">cautious about </w:t>
      </w:r>
      <w:r w:rsidR="002C6173">
        <w:rPr>
          <w:rFonts w:eastAsia="MS Mincho"/>
          <w:lang w:val="en-AU" w:eastAsia="ja-JP"/>
        </w:rPr>
        <w:t xml:space="preserve">the risk of </w:t>
      </w:r>
      <w:r w:rsidR="00DF2C33">
        <w:rPr>
          <w:rFonts w:eastAsia="MS Mincho"/>
          <w:lang w:val="en-AU" w:eastAsia="ja-JP"/>
        </w:rPr>
        <w:t>a</w:t>
      </w:r>
      <w:r w:rsidR="009B039A">
        <w:rPr>
          <w:rFonts w:eastAsia="MS Mincho"/>
          <w:lang w:val="en-AU" w:eastAsia="ja-JP"/>
        </w:rPr>
        <w:t>n</w:t>
      </w:r>
      <w:r w:rsidR="00DF2C33">
        <w:rPr>
          <w:rFonts w:eastAsia="MS Mincho"/>
          <w:lang w:val="en-AU" w:eastAsia="ja-JP"/>
        </w:rPr>
        <w:t xml:space="preserve"> </w:t>
      </w:r>
      <w:r w:rsidR="009B039A">
        <w:rPr>
          <w:rFonts w:eastAsia="MS Mincho"/>
          <w:lang w:val="en-AU" w:eastAsia="ja-JP"/>
        </w:rPr>
        <w:t xml:space="preserve">inchoate </w:t>
      </w:r>
      <w:r w:rsidR="00DF2C33">
        <w:rPr>
          <w:rFonts w:eastAsia="MS Mincho"/>
          <w:lang w:val="en-AU" w:eastAsia="ja-JP"/>
        </w:rPr>
        <w:t xml:space="preserve">staged approach that lifts restrictions on leasing and land use but </w:t>
      </w:r>
      <w:r w:rsidR="00960FC2">
        <w:rPr>
          <w:rFonts w:eastAsia="MS Mincho"/>
          <w:lang w:val="en-AU" w:eastAsia="ja-JP"/>
        </w:rPr>
        <w:t>fails</w:t>
      </w:r>
      <w:r w:rsidR="00DF2C33">
        <w:rPr>
          <w:rFonts w:eastAsia="MS Mincho"/>
          <w:lang w:val="en-AU" w:eastAsia="ja-JP"/>
        </w:rPr>
        <w:t xml:space="preserve"> </w:t>
      </w:r>
      <w:r w:rsidR="00960FC2">
        <w:rPr>
          <w:rFonts w:eastAsia="MS Mincho"/>
          <w:lang w:val="en-AU" w:eastAsia="ja-JP"/>
        </w:rPr>
        <w:t>to</w:t>
      </w:r>
      <w:r w:rsidR="00DF2C33">
        <w:rPr>
          <w:rFonts w:eastAsia="MS Mincho"/>
          <w:lang w:val="en-AU" w:eastAsia="ja-JP"/>
        </w:rPr>
        <w:t xml:space="preserve"> address more fundamental issues relating to the vulnerability of title</w:t>
      </w:r>
      <w:r w:rsidR="00CB3047">
        <w:rPr>
          <w:rFonts w:eastAsia="MS Mincho"/>
          <w:lang w:val="en-AU" w:eastAsia="ja-JP"/>
        </w:rPr>
        <w:t xml:space="preserve"> and administrative uncertainty</w:t>
      </w:r>
      <w:r w:rsidR="00AC45F1" w:rsidRPr="006F126B">
        <w:rPr>
          <w:rFonts w:cs="Arial"/>
          <w:lang w:val="en-AU"/>
        </w:rPr>
        <w:t xml:space="preserve">. </w:t>
      </w:r>
    </w:p>
    <w:p w:rsidR="00376D8C" w:rsidRPr="006F126B" w:rsidRDefault="00376D8C" w:rsidP="00376D8C">
      <w:pPr>
        <w:pStyle w:val="ListParagraph"/>
        <w:autoSpaceDE w:val="0"/>
        <w:autoSpaceDN w:val="0"/>
        <w:adjustRightInd w:val="0"/>
        <w:spacing w:before="60" w:after="60"/>
        <w:ind w:left="0"/>
        <w:rPr>
          <w:rFonts w:cs="Arial"/>
          <w:lang w:val="en-AU"/>
        </w:rPr>
      </w:pPr>
    </w:p>
    <w:p w:rsidR="007E0350" w:rsidRDefault="00C6643B" w:rsidP="007E0350">
      <w:pPr>
        <w:spacing w:before="60" w:after="60"/>
        <w:rPr>
          <w:rFonts w:cs="Arial"/>
          <w:lang w:val="en-AU"/>
        </w:rPr>
      </w:pPr>
      <w:r>
        <w:rPr>
          <w:rFonts w:cs="Arial"/>
          <w:lang w:val="en-AU"/>
        </w:rPr>
        <w:t xml:space="preserve">The discussion paper </w:t>
      </w:r>
      <w:r w:rsidR="00DF2C33">
        <w:rPr>
          <w:rFonts w:cs="Arial"/>
          <w:lang w:val="en-AU"/>
        </w:rPr>
        <w:t>is right in saying that t</w:t>
      </w:r>
      <w:r w:rsidR="007E0350" w:rsidRPr="006F126B">
        <w:rPr>
          <w:rFonts w:cs="Arial"/>
          <w:lang w:val="en-AU"/>
        </w:rPr>
        <w:t>he legislative and administrative framework which currently applies to CLA land has contributed to uncertainty for CLA land owners in dealing with their land</w:t>
      </w:r>
      <w:r w:rsidR="00DF2C33">
        <w:rPr>
          <w:rFonts w:cs="Arial"/>
          <w:lang w:val="en-AU"/>
        </w:rPr>
        <w:t xml:space="preserve">. The CLC does not share the view that this has historically </w:t>
      </w:r>
      <w:r w:rsidR="00CB3047" w:rsidRPr="006B28DF">
        <w:rPr>
          <w:rFonts w:cs="Arial"/>
          <w:i/>
          <w:lang w:val="en-AU"/>
        </w:rPr>
        <w:t>caused</w:t>
      </w:r>
      <w:r w:rsidR="00CB3047">
        <w:rPr>
          <w:rFonts w:cs="Arial"/>
          <w:lang w:val="en-AU"/>
        </w:rPr>
        <w:t xml:space="preserve"> </w:t>
      </w:r>
      <w:r w:rsidR="00DF2C33">
        <w:rPr>
          <w:rFonts w:cs="Arial"/>
          <w:lang w:val="en-AU"/>
        </w:rPr>
        <w:t>problems in providing key government services. It must be noted that it is the ‘secure tenure’ policy of government that insists on leases being in place</w:t>
      </w:r>
      <w:r w:rsidR="004C71CF">
        <w:rPr>
          <w:rFonts w:cs="Arial"/>
          <w:lang w:val="en-AU"/>
        </w:rPr>
        <w:t>.</w:t>
      </w:r>
      <w:r w:rsidR="006B28DF">
        <w:rPr>
          <w:rStyle w:val="FootnoteReference"/>
          <w:rFonts w:cs="Arial"/>
          <w:lang w:val="en-AU"/>
        </w:rPr>
        <w:footnoteReference w:id="4"/>
      </w:r>
      <w:r w:rsidR="006B28DF">
        <w:rPr>
          <w:rFonts w:cs="Arial"/>
          <w:lang w:val="en-AU"/>
        </w:rPr>
        <w:t xml:space="preserve"> </w:t>
      </w:r>
      <w:r w:rsidR="004C71CF">
        <w:rPr>
          <w:rFonts w:cs="Arial"/>
          <w:lang w:val="en-AU"/>
        </w:rPr>
        <w:t>T</w:t>
      </w:r>
      <w:r w:rsidR="00DF2C33">
        <w:rPr>
          <w:rFonts w:cs="Arial"/>
          <w:lang w:val="en-AU"/>
        </w:rPr>
        <w:t>he provision of key government services does not, per se, require that leases be in place</w:t>
      </w:r>
      <w:r w:rsidR="004C71CF">
        <w:rPr>
          <w:rFonts w:cs="Arial"/>
          <w:lang w:val="en-AU"/>
        </w:rPr>
        <w:t xml:space="preserve"> and g</w:t>
      </w:r>
      <w:r w:rsidR="00DF2C33">
        <w:rPr>
          <w:rFonts w:cs="Arial"/>
          <w:lang w:val="en-AU"/>
        </w:rPr>
        <w:t>overnment se</w:t>
      </w:r>
      <w:r w:rsidR="00CB3047">
        <w:rPr>
          <w:rFonts w:cs="Arial"/>
          <w:lang w:val="en-AU"/>
        </w:rPr>
        <w:t>r</w:t>
      </w:r>
      <w:r w:rsidR="00DF2C33">
        <w:rPr>
          <w:rFonts w:cs="Arial"/>
          <w:lang w:val="en-AU"/>
        </w:rPr>
        <w:t xml:space="preserve">vices have </w:t>
      </w:r>
      <w:r w:rsidR="00DF2C33">
        <w:rPr>
          <w:rFonts w:cs="Arial"/>
          <w:lang w:val="en-AU"/>
        </w:rPr>
        <w:lastRenderedPageBreak/>
        <w:t>historically been delivered on CLAs under informal arrangements.</w:t>
      </w:r>
      <w:r w:rsidR="00542ED3">
        <w:rPr>
          <w:rStyle w:val="FootnoteReference"/>
          <w:rFonts w:cs="Arial"/>
          <w:lang w:val="en-AU"/>
        </w:rPr>
        <w:footnoteReference w:id="5"/>
      </w:r>
      <w:r w:rsidR="00DF2C33">
        <w:rPr>
          <w:rFonts w:cs="Arial"/>
          <w:lang w:val="en-AU"/>
        </w:rPr>
        <w:t xml:space="preserve"> The CLC does, however, agree that opportunities for economic and social enterprise development have been limited by the constraints on the use of CLA land</w:t>
      </w:r>
      <w:r w:rsidR="004C71CF">
        <w:rPr>
          <w:rFonts w:cs="Arial"/>
          <w:lang w:val="en-AU"/>
        </w:rPr>
        <w:t>.</w:t>
      </w:r>
      <w:r w:rsidR="00DF2C33">
        <w:rPr>
          <w:rFonts w:cs="Arial"/>
          <w:lang w:val="en-AU"/>
        </w:rPr>
        <w:t xml:space="preserve"> </w:t>
      </w:r>
      <w:r w:rsidR="004C71CF">
        <w:rPr>
          <w:rFonts w:cs="Arial"/>
          <w:lang w:val="en-AU"/>
        </w:rPr>
        <w:t>T</w:t>
      </w:r>
      <w:r w:rsidR="00DF2C33">
        <w:rPr>
          <w:rFonts w:cs="Arial"/>
          <w:lang w:val="en-AU"/>
        </w:rPr>
        <w:t>his has been a problem for CLA communities both large and small.</w:t>
      </w:r>
      <w:r w:rsidR="004C71CF">
        <w:rPr>
          <w:rStyle w:val="FootnoteReference"/>
          <w:rFonts w:cs="Arial"/>
          <w:lang w:val="en-AU"/>
        </w:rPr>
        <w:footnoteReference w:id="6"/>
      </w:r>
      <w:r w:rsidR="00660CB3">
        <w:rPr>
          <w:rFonts w:cs="Arial"/>
          <w:lang w:val="en-AU"/>
        </w:rPr>
        <w:t xml:space="preserve"> </w:t>
      </w:r>
      <w:r w:rsidR="00DF2C33">
        <w:rPr>
          <w:rFonts w:cs="Arial"/>
          <w:lang w:val="en-AU"/>
        </w:rPr>
        <w:t>The CLC</w:t>
      </w:r>
      <w:r w:rsidR="009644FC">
        <w:rPr>
          <w:rFonts w:cs="Arial"/>
          <w:lang w:val="en-AU"/>
        </w:rPr>
        <w:t>,</w:t>
      </w:r>
      <w:r w:rsidR="00DF2C33">
        <w:rPr>
          <w:rFonts w:cs="Arial"/>
          <w:lang w:val="en-AU"/>
        </w:rPr>
        <w:t xml:space="preserve"> </w:t>
      </w:r>
      <w:r w:rsidR="009644FC">
        <w:rPr>
          <w:rFonts w:cs="Arial"/>
          <w:lang w:val="en-AU"/>
        </w:rPr>
        <w:t>further,</w:t>
      </w:r>
      <w:r w:rsidR="00DF2C33">
        <w:rPr>
          <w:rFonts w:cs="Arial"/>
          <w:lang w:val="en-AU"/>
        </w:rPr>
        <w:t xml:space="preserve"> supports the payment by governments and third parties of rent to land owners for their occupation</w:t>
      </w:r>
      <w:r w:rsidR="006B28DF">
        <w:rPr>
          <w:rFonts w:cs="Arial"/>
          <w:lang w:val="en-AU"/>
        </w:rPr>
        <w:t xml:space="preserve"> and use of CLA land</w:t>
      </w:r>
      <w:r w:rsidR="00660CB3">
        <w:rPr>
          <w:rFonts w:cs="Arial"/>
          <w:lang w:val="en-AU"/>
        </w:rPr>
        <w:t>. As well as the payment of rent, the CLC considers that such formalisation appropriately recognises the need to seek permission of the land owners for</w:t>
      </w:r>
      <w:r w:rsidR="004C71CF">
        <w:rPr>
          <w:rFonts w:cs="Arial"/>
          <w:lang w:val="en-AU"/>
        </w:rPr>
        <w:t xml:space="preserve"> continued land use</w:t>
      </w:r>
      <w:r w:rsidR="00DF2C33">
        <w:rPr>
          <w:rFonts w:cs="Arial"/>
          <w:lang w:val="en-AU"/>
        </w:rPr>
        <w:t>.</w:t>
      </w:r>
      <w:r w:rsidR="006B7CC9">
        <w:rPr>
          <w:rFonts w:cs="Arial"/>
          <w:lang w:val="en-AU"/>
        </w:rPr>
        <w:t xml:space="preserve"> </w:t>
      </w:r>
      <w:r w:rsidR="007E0350" w:rsidRPr="006F126B">
        <w:rPr>
          <w:rFonts w:cs="Arial"/>
          <w:lang w:val="en-AU"/>
        </w:rPr>
        <w:t xml:space="preserve"> </w:t>
      </w:r>
    </w:p>
    <w:p w:rsidR="00CB3047" w:rsidRPr="00CB3047" w:rsidRDefault="00CB3047" w:rsidP="00873B52">
      <w:pPr>
        <w:pStyle w:val="Heading2"/>
        <w:rPr>
          <w:lang w:val="en-AU"/>
        </w:rPr>
      </w:pPr>
      <w:bookmarkStart w:id="4" w:name="_Toc353794645"/>
      <w:r>
        <w:rPr>
          <w:lang w:val="en-AU"/>
        </w:rPr>
        <w:t>CLC function to provide assistance</w:t>
      </w:r>
      <w:bookmarkEnd w:id="4"/>
    </w:p>
    <w:p w:rsidR="0090533B" w:rsidRDefault="00CB3047" w:rsidP="00BA2398">
      <w:pPr>
        <w:spacing w:before="60" w:after="60"/>
        <w:rPr>
          <w:rFonts w:eastAsia="Calibri" w:cs="Arial"/>
          <w:lang w:val="en-AU"/>
        </w:rPr>
      </w:pPr>
      <w:r>
        <w:rPr>
          <w:rFonts w:cs="Arial"/>
          <w:lang w:val="en-AU"/>
        </w:rPr>
        <w:t xml:space="preserve">The CLC has historically provided administrative and legal assistance to </w:t>
      </w:r>
      <w:r w:rsidR="006B28DF">
        <w:rPr>
          <w:rFonts w:cs="Arial"/>
          <w:lang w:val="en-AU"/>
        </w:rPr>
        <w:t>m</w:t>
      </w:r>
      <w:r w:rsidR="002C6173">
        <w:rPr>
          <w:rFonts w:cs="Arial"/>
          <w:lang w:val="en-AU"/>
        </w:rPr>
        <w:t>ost</w:t>
      </w:r>
      <w:r w:rsidR="006B28DF">
        <w:rPr>
          <w:rFonts w:cs="Arial"/>
          <w:lang w:val="en-AU"/>
        </w:rPr>
        <w:t xml:space="preserve"> </w:t>
      </w:r>
      <w:r>
        <w:rPr>
          <w:rFonts w:cs="Arial"/>
          <w:lang w:val="en-AU"/>
        </w:rPr>
        <w:t xml:space="preserve">CLAs in </w:t>
      </w:r>
      <w:r w:rsidR="00960FC2">
        <w:rPr>
          <w:rFonts w:cs="Arial"/>
          <w:lang w:val="en-AU"/>
        </w:rPr>
        <w:t>our</w:t>
      </w:r>
      <w:r>
        <w:rPr>
          <w:rFonts w:cs="Arial"/>
          <w:lang w:val="en-AU"/>
        </w:rPr>
        <w:t xml:space="preserve"> region </w:t>
      </w:r>
      <w:r w:rsidRPr="006F126B">
        <w:rPr>
          <w:rFonts w:cs="Arial"/>
          <w:lang w:val="en-AU"/>
        </w:rPr>
        <w:t>in relation to dealings in their land</w:t>
      </w:r>
      <w:r w:rsidR="00F454C8">
        <w:rPr>
          <w:rFonts w:cs="Arial"/>
          <w:lang w:val="en-AU"/>
        </w:rPr>
        <w:t xml:space="preserve"> and other matters</w:t>
      </w:r>
      <w:r w:rsidR="002C6173">
        <w:rPr>
          <w:rFonts w:cs="Arial"/>
          <w:lang w:val="en-AU"/>
        </w:rPr>
        <w:t xml:space="preserve"> (including the initial struggle to secure CLA title)</w:t>
      </w:r>
      <w:r w:rsidR="006B28DF">
        <w:rPr>
          <w:rFonts w:cs="Arial"/>
          <w:lang w:val="en-AU"/>
        </w:rPr>
        <w:t xml:space="preserve">. </w:t>
      </w:r>
      <w:r w:rsidR="00F454C8">
        <w:rPr>
          <w:rFonts w:cs="Arial"/>
          <w:lang w:val="en-AU"/>
        </w:rPr>
        <w:t>A</w:t>
      </w:r>
      <w:r w:rsidR="006B28DF">
        <w:rPr>
          <w:rFonts w:cs="Arial"/>
          <w:lang w:val="en-AU"/>
        </w:rPr>
        <w:t xml:space="preserve"> </w:t>
      </w:r>
      <w:r>
        <w:rPr>
          <w:rFonts w:cs="Arial"/>
          <w:lang w:val="en-AU"/>
        </w:rPr>
        <w:t xml:space="preserve">function </w:t>
      </w:r>
      <w:r w:rsidR="00F454C8">
        <w:rPr>
          <w:rFonts w:cs="Arial"/>
          <w:lang w:val="en-AU"/>
        </w:rPr>
        <w:t xml:space="preserve">reflecting </w:t>
      </w:r>
      <w:r w:rsidR="002C6173">
        <w:rPr>
          <w:rFonts w:cs="Arial"/>
          <w:lang w:val="en-AU"/>
        </w:rPr>
        <w:t xml:space="preserve">aspects of </w:t>
      </w:r>
      <w:r w:rsidR="00F454C8">
        <w:rPr>
          <w:rFonts w:cs="Arial"/>
          <w:lang w:val="en-AU"/>
        </w:rPr>
        <w:t xml:space="preserve">this work </w:t>
      </w:r>
      <w:r>
        <w:rPr>
          <w:rFonts w:cs="Arial"/>
          <w:lang w:val="en-AU"/>
        </w:rPr>
        <w:t>has now been inserted into the ALRA</w:t>
      </w:r>
      <w:r w:rsidR="007E0350">
        <w:rPr>
          <w:rFonts w:cs="Arial"/>
          <w:lang w:val="en-AU"/>
        </w:rPr>
        <w:t>.</w:t>
      </w:r>
      <w:r>
        <w:rPr>
          <w:rFonts w:cs="Arial"/>
          <w:lang w:val="en-AU"/>
        </w:rPr>
        <w:t xml:space="preserve"> The CLC happily provides such assistance </w:t>
      </w:r>
      <w:r w:rsidR="00960FC2">
        <w:rPr>
          <w:rFonts w:cs="Arial"/>
          <w:lang w:val="en-AU"/>
        </w:rPr>
        <w:t>to CLA communities,</w:t>
      </w:r>
      <w:r w:rsidR="00960FC2">
        <w:rPr>
          <w:rStyle w:val="FootnoteReference"/>
          <w:rFonts w:cs="Arial"/>
          <w:lang w:val="en-AU"/>
        </w:rPr>
        <w:footnoteReference w:id="7"/>
      </w:r>
      <w:r w:rsidR="00960FC2">
        <w:rPr>
          <w:rFonts w:cs="Arial"/>
          <w:lang w:val="en-AU"/>
        </w:rPr>
        <w:t xml:space="preserve"> </w:t>
      </w:r>
      <w:r>
        <w:rPr>
          <w:rFonts w:cs="Arial"/>
          <w:lang w:val="en-AU"/>
        </w:rPr>
        <w:t xml:space="preserve">but does not agree that the insertion of a function into the ALRA </w:t>
      </w:r>
      <w:r w:rsidR="00C6643B">
        <w:rPr>
          <w:rFonts w:cs="Arial"/>
          <w:lang w:val="en-AU"/>
        </w:rPr>
        <w:t xml:space="preserve">will always </w:t>
      </w:r>
      <w:r>
        <w:rPr>
          <w:rFonts w:cs="Arial"/>
          <w:lang w:val="en-AU"/>
        </w:rPr>
        <w:t xml:space="preserve">mean that </w:t>
      </w:r>
      <w:r w:rsidR="007E0350" w:rsidRPr="006F126B">
        <w:rPr>
          <w:rFonts w:cs="Arial"/>
          <w:lang w:val="en-AU"/>
        </w:rPr>
        <w:t xml:space="preserve">associations and corporations </w:t>
      </w:r>
      <w:r>
        <w:rPr>
          <w:rFonts w:cs="Arial"/>
          <w:lang w:val="en-AU"/>
        </w:rPr>
        <w:t xml:space="preserve">now </w:t>
      </w:r>
      <w:r w:rsidR="007E0350">
        <w:rPr>
          <w:rFonts w:cs="Arial"/>
          <w:lang w:val="en-AU"/>
        </w:rPr>
        <w:t xml:space="preserve">have </w:t>
      </w:r>
      <w:r w:rsidR="007E0350" w:rsidRPr="006F126B">
        <w:rPr>
          <w:rFonts w:cs="Arial"/>
          <w:lang w:val="en-AU"/>
        </w:rPr>
        <w:t>the necessary administrative and legal support to deal effectively with their land</w:t>
      </w:r>
      <w:r w:rsidR="000F514E">
        <w:rPr>
          <w:rFonts w:cs="Arial"/>
          <w:lang w:val="en-AU"/>
        </w:rPr>
        <w:t xml:space="preserve">. In order to </w:t>
      </w:r>
      <w:r w:rsidR="00755A6C">
        <w:rPr>
          <w:rFonts w:cs="Arial"/>
          <w:lang w:val="en-AU"/>
        </w:rPr>
        <w:t xml:space="preserve">be effectively supported by the CLC to </w:t>
      </w:r>
      <w:r w:rsidR="00660CB3">
        <w:rPr>
          <w:rFonts w:cs="Arial"/>
          <w:lang w:val="en-AU"/>
        </w:rPr>
        <w:t xml:space="preserve">make decisions about </w:t>
      </w:r>
      <w:r w:rsidR="000F514E">
        <w:rPr>
          <w:rFonts w:cs="Arial"/>
          <w:lang w:val="en-AU"/>
        </w:rPr>
        <w:t xml:space="preserve">their land CLA landowners </w:t>
      </w:r>
      <w:r w:rsidR="00C6643B">
        <w:rPr>
          <w:rFonts w:cs="Arial"/>
          <w:lang w:val="en-AU"/>
        </w:rPr>
        <w:t xml:space="preserve">ultimately </w:t>
      </w:r>
      <w:r w:rsidR="000F514E">
        <w:rPr>
          <w:rFonts w:cs="Arial"/>
          <w:lang w:val="en-AU"/>
        </w:rPr>
        <w:t xml:space="preserve">need </w:t>
      </w:r>
      <w:r>
        <w:rPr>
          <w:rFonts w:cs="Arial"/>
          <w:lang w:val="en-AU"/>
        </w:rPr>
        <w:t xml:space="preserve">comprehensive reform to </w:t>
      </w:r>
      <w:r w:rsidR="000F514E">
        <w:rPr>
          <w:rFonts w:cs="Arial"/>
          <w:lang w:val="en-AU"/>
        </w:rPr>
        <w:t xml:space="preserve">strengthen the </w:t>
      </w:r>
      <w:r>
        <w:rPr>
          <w:rFonts w:cs="Arial"/>
          <w:lang w:val="en-AU"/>
        </w:rPr>
        <w:t>way CLA title is held</w:t>
      </w:r>
      <w:r w:rsidR="00660CB3">
        <w:rPr>
          <w:rFonts w:cs="Arial"/>
          <w:lang w:val="en-AU"/>
        </w:rPr>
        <w:t xml:space="preserve"> and</w:t>
      </w:r>
      <w:r w:rsidR="002C6173">
        <w:rPr>
          <w:rFonts w:cs="Arial"/>
          <w:lang w:val="en-AU"/>
        </w:rPr>
        <w:t xml:space="preserve"> to</w:t>
      </w:r>
      <w:r w:rsidR="00660CB3">
        <w:rPr>
          <w:rFonts w:cs="Arial"/>
          <w:lang w:val="en-AU"/>
        </w:rPr>
        <w:t xml:space="preserve"> systematise the available support</w:t>
      </w:r>
      <w:r>
        <w:rPr>
          <w:rFonts w:cs="Arial"/>
          <w:lang w:val="en-AU"/>
        </w:rPr>
        <w:t>.</w:t>
      </w:r>
      <w:r w:rsidR="007E0350" w:rsidRPr="006F126B">
        <w:rPr>
          <w:rFonts w:eastAsia="Calibri" w:cs="Arial"/>
          <w:lang w:val="en-AU"/>
        </w:rPr>
        <w:t xml:space="preserve"> </w:t>
      </w:r>
    </w:p>
    <w:p w:rsidR="00F454C8" w:rsidRDefault="00F454C8" w:rsidP="00BA2398">
      <w:pPr>
        <w:spacing w:before="60" w:after="60"/>
        <w:rPr>
          <w:rFonts w:eastAsia="Calibri" w:cs="Arial"/>
          <w:lang w:val="en-AU"/>
        </w:rPr>
      </w:pPr>
    </w:p>
    <w:p w:rsidR="00755A6C" w:rsidRDefault="006B28DF" w:rsidP="00BA2398">
      <w:pPr>
        <w:spacing w:before="60" w:after="60"/>
        <w:rPr>
          <w:rFonts w:eastAsia="Calibri" w:cs="Arial"/>
          <w:lang w:val="en-AU"/>
        </w:rPr>
      </w:pPr>
      <w:r>
        <w:rPr>
          <w:rFonts w:eastAsia="Calibri" w:cs="Arial"/>
          <w:lang w:val="en-AU"/>
        </w:rPr>
        <w:t xml:space="preserve">The level of administrative and legal support </w:t>
      </w:r>
      <w:r w:rsidR="000F514E">
        <w:rPr>
          <w:rFonts w:eastAsia="Calibri" w:cs="Arial"/>
          <w:lang w:val="en-AU"/>
        </w:rPr>
        <w:t xml:space="preserve">available to CLAs </w:t>
      </w:r>
      <w:r>
        <w:rPr>
          <w:rFonts w:eastAsia="Calibri" w:cs="Arial"/>
          <w:lang w:val="en-AU"/>
        </w:rPr>
        <w:t xml:space="preserve">is not as strong as </w:t>
      </w:r>
      <w:r w:rsidRPr="006B28DF">
        <w:rPr>
          <w:rFonts w:eastAsia="Calibri" w:cs="Arial"/>
          <w:lang w:val="en-AU"/>
        </w:rPr>
        <w:t xml:space="preserve">on Aboriginal land because </w:t>
      </w:r>
      <w:r w:rsidR="000F514E">
        <w:rPr>
          <w:rFonts w:eastAsia="Calibri" w:cs="Arial"/>
          <w:lang w:val="en-AU"/>
        </w:rPr>
        <w:t>a</w:t>
      </w:r>
      <w:r w:rsidRPr="006B28DF">
        <w:rPr>
          <w:rFonts w:eastAsia="Calibri" w:cs="Arial"/>
          <w:lang w:val="en-AU"/>
        </w:rPr>
        <w:t xml:space="preserve"> legislative scheme </w:t>
      </w:r>
      <w:r w:rsidR="000F514E">
        <w:rPr>
          <w:rFonts w:eastAsia="Calibri" w:cs="Arial"/>
          <w:lang w:val="en-AU"/>
        </w:rPr>
        <w:t xml:space="preserve">such as that </w:t>
      </w:r>
      <w:r w:rsidRPr="006B28DF">
        <w:rPr>
          <w:rFonts w:eastAsia="Calibri" w:cs="Arial"/>
          <w:lang w:val="en-AU"/>
        </w:rPr>
        <w:t xml:space="preserve">established by the Land Rights Act </w:t>
      </w:r>
      <w:r w:rsidR="00F454C8">
        <w:rPr>
          <w:rFonts w:eastAsia="Calibri" w:cs="Arial"/>
          <w:lang w:val="en-AU"/>
        </w:rPr>
        <w:t>does not apply. Th</w:t>
      </w:r>
      <w:r w:rsidR="000F514E">
        <w:rPr>
          <w:rFonts w:eastAsia="Calibri" w:cs="Arial"/>
          <w:lang w:val="en-AU"/>
        </w:rPr>
        <w:t>e ALRA</w:t>
      </w:r>
      <w:r w:rsidR="00F454C8">
        <w:rPr>
          <w:rFonts w:eastAsia="Calibri" w:cs="Arial"/>
          <w:lang w:val="en-AU"/>
        </w:rPr>
        <w:t xml:space="preserve"> legislative scheme </w:t>
      </w:r>
      <w:r w:rsidRPr="006B28DF">
        <w:rPr>
          <w:rFonts w:eastAsia="Calibri" w:cs="Arial"/>
          <w:lang w:val="en-AU"/>
        </w:rPr>
        <w:t>deliver</w:t>
      </w:r>
      <w:r w:rsidR="00660CB3">
        <w:rPr>
          <w:rFonts w:eastAsia="Calibri" w:cs="Arial"/>
          <w:lang w:val="en-AU"/>
        </w:rPr>
        <w:t>s</w:t>
      </w:r>
      <w:r w:rsidRPr="006B28DF">
        <w:rPr>
          <w:rFonts w:eastAsia="Calibri" w:cs="Arial"/>
          <w:lang w:val="en-AU"/>
        </w:rPr>
        <w:t xml:space="preserve"> </w:t>
      </w:r>
      <w:r w:rsidR="00F454C8">
        <w:rPr>
          <w:rFonts w:eastAsia="Calibri" w:cs="Arial"/>
          <w:lang w:val="en-AU"/>
        </w:rPr>
        <w:t xml:space="preserve">legal and administrative support and provides certainty in relation to </w:t>
      </w:r>
      <w:r w:rsidRPr="006B28DF">
        <w:rPr>
          <w:rFonts w:eastAsia="Calibri" w:cs="Arial"/>
          <w:lang w:val="en-AU"/>
        </w:rPr>
        <w:t xml:space="preserve">leases and licences </w:t>
      </w:r>
      <w:r w:rsidR="00F454C8">
        <w:rPr>
          <w:rFonts w:eastAsia="Calibri" w:cs="Arial"/>
          <w:lang w:val="en-AU"/>
        </w:rPr>
        <w:t>for</w:t>
      </w:r>
      <w:r w:rsidRPr="006B28DF">
        <w:rPr>
          <w:rFonts w:eastAsia="Calibri" w:cs="Arial"/>
          <w:lang w:val="en-AU"/>
        </w:rPr>
        <w:t xml:space="preserve"> third parties. The procedures allow </w:t>
      </w:r>
      <w:r w:rsidR="00660CB3">
        <w:rPr>
          <w:rFonts w:eastAsia="Calibri" w:cs="Arial"/>
          <w:lang w:val="en-AU"/>
        </w:rPr>
        <w:t>Aboriginal land</w:t>
      </w:r>
      <w:r w:rsidRPr="006B28DF">
        <w:rPr>
          <w:rFonts w:eastAsia="Calibri" w:cs="Arial"/>
          <w:lang w:val="en-AU"/>
        </w:rPr>
        <w:t xml:space="preserve"> owners to make binding decisions as a group and decisions are validated by the land council. Certainty is delivered to lessees and licence holders because they can be confident that the correct people were consulted and gave their informed consent to the grant</w:t>
      </w:r>
      <w:r w:rsidR="006D1784">
        <w:rPr>
          <w:rFonts w:eastAsia="Calibri" w:cs="Arial"/>
          <w:lang w:val="en-AU"/>
        </w:rPr>
        <w:t xml:space="preserve"> </w:t>
      </w:r>
      <w:r w:rsidR="006D1784" w:rsidRPr="006D1784">
        <w:rPr>
          <w:rFonts w:eastAsia="Calibri" w:cs="Arial"/>
          <w:lang w:val="en-AU"/>
        </w:rPr>
        <w:t>(see Appendix 1 for what would be required to achieve such comprehensive reform)</w:t>
      </w:r>
      <w:r w:rsidRPr="006B28DF">
        <w:rPr>
          <w:rFonts w:eastAsia="Calibri" w:cs="Arial"/>
          <w:lang w:val="en-AU"/>
        </w:rPr>
        <w:t>.</w:t>
      </w:r>
      <w:r w:rsidR="00F454C8">
        <w:rPr>
          <w:rFonts w:eastAsia="Calibri" w:cs="Arial"/>
          <w:lang w:val="en-AU"/>
        </w:rPr>
        <w:t xml:space="preserve"> </w:t>
      </w:r>
    </w:p>
    <w:p w:rsidR="00755A6C" w:rsidRDefault="00755A6C" w:rsidP="00BA2398">
      <w:pPr>
        <w:spacing w:before="60" w:after="60"/>
        <w:rPr>
          <w:rFonts w:eastAsia="Calibri" w:cs="Arial"/>
          <w:lang w:val="en-AU"/>
        </w:rPr>
      </w:pPr>
    </w:p>
    <w:p w:rsidR="006B28DF" w:rsidRDefault="00C20D60" w:rsidP="00BA2398">
      <w:pPr>
        <w:spacing w:before="60" w:after="60"/>
        <w:rPr>
          <w:rFonts w:eastAsia="Calibri" w:cs="Arial"/>
          <w:lang w:val="en-AU"/>
        </w:rPr>
      </w:pPr>
      <w:r>
        <w:rPr>
          <w:rFonts w:eastAsia="Calibri" w:cs="Arial"/>
          <w:lang w:val="en-AU"/>
        </w:rPr>
        <w:t>T</w:t>
      </w:r>
      <w:r w:rsidR="005D1851">
        <w:rPr>
          <w:rFonts w:eastAsia="Calibri" w:cs="Arial"/>
          <w:lang w:val="en-AU"/>
        </w:rPr>
        <w:t>he 10 larger CLA communities in the CLC region have requested that</w:t>
      </w:r>
      <w:r>
        <w:rPr>
          <w:rFonts w:eastAsia="Calibri" w:cs="Arial"/>
          <w:lang w:val="en-AU"/>
        </w:rPr>
        <w:t xml:space="preserve"> the</w:t>
      </w:r>
      <w:r w:rsidR="005D1851">
        <w:rPr>
          <w:rFonts w:eastAsia="Calibri" w:cs="Arial"/>
          <w:lang w:val="en-AU"/>
        </w:rPr>
        <w:t xml:space="preserve"> CLC assist them in relation to leasing and related matters</w:t>
      </w:r>
      <w:r>
        <w:rPr>
          <w:rFonts w:eastAsia="Calibri" w:cs="Arial"/>
          <w:lang w:val="en-AU"/>
        </w:rPr>
        <w:t>. However, there is</w:t>
      </w:r>
      <w:r w:rsidR="00827D8F">
        <w:rPr>
          <w:rFonts w:eastAsia="Calibri" w:cs="Arial"/>
          <w:lang w:val="en-AU"/>
        </w:rPr>
        <w:t xml:space="preserve"> </w:t>
      </w:r>
      <w:r w:rsidR="00F454C8">
        <w:rPr>
          <w:rFonts w:eastAsia="Calibri" w:cs="Arial"/>
          <w:lang w:val="en-AU"/>
        </w:rPr>
        <w:t xml:space="preserve">nothing </w:t>
      </w:r>
      <w:r>
        <w:rPr>
          <w:rFonts w:eastAsia="Calibri" w:cs="Arial"/>
          <w:lang w:val="en-AU"/>
        </w:rPr>
        <w:t xml:space="preserve">that </w:t>
      </w:r>
      <w:r w:rsidR="00F454C8">
        <w:rPr>
          <w:rFonts w:eastAsia="Calibri" w:cs="Arial"/>
          <w:lang w:val="en-AU"/>
        </w:rPr>
        <w:t xml:space="preserve">requires CLA land </w:t>
      </w:r>
      <w:r w:rsidR="005D1851">
        <w:rPr>
          <w:rFonts w:eastAsia="Calibri" w:cs="Arial"/>
          <w:lang w:val="en-AU"/>
        </w:rPr>
        <w:t xml:space="preserve">holding corporations and associations </w:t>
      </w:r>
      <w:r w:rsidR="00F454C8">
        <w:rPr>
          <w:rFonts w:eastAsia="Calibri" w:cs="Arial"/>
          <w:lang w:val="en-AU"/>
        </w:rPr>
        <w:t>to make decisions through the land council</w:t>
      </w:r>
      <w:r w:rsidR="005D1851">
        <w:rPr>
          <w:rFonts w:eastAsia="Calibri" w:cs="Arial"/>
          <w:lang w:val="en-AU"/>
        </w:rPr>
        <w:t>. T</w:t>
      </w:r>
      <w:r w:rsidR="00F454C8">
        <w:rPr>
          <w:rFonts w:eastAsia="Calibri" w:cs="Arial"/>
          <w:lang w:val="en-AU"/>
        </w:rPr>
        <w:t>here is, accordingly</w:t>
      </w:r>
      <w:r w:rsidR="005D1851">
        <w:rPr>
          <w:rFonts w:eastAsia="Calibri" w:cs="Arial"/>
          <w:lang w:val="en-AU"/>
        </w:rPr>
        <w:t>,</w:t>
      </w:r>
      <w:r w:rsidR="00F454C8">
        <w:rPr>
          <w:rFonts w:eastAsia="Calibri" w:cs="Arial"/>
          <w:lang w:val="en-AU"/>
        </w:rPr>
        <w:t xml:space="preserve"> a risk that the CLC will not be aware of existing grants of </w:t>
      </w:r>
      <w:r w:rsidR="00A403E3">
        <w:rPr>
          <w:rFonts w:eastAsia="Calibri" w:cs="Arial"/>
          <w:lang w:val="en-AU"/>
        </w:rPr>
        <w:t xml:space="preserve">unregistered </w:t>
      </w:r>
      <w:r w:rsidR="00F454C8">
        <w:rPr>
          <w:rFonts w:eastAsia="Calibri" w:cs="Arial"/>
          <w:lang w:val="en-AU"/>
        </w:rPr>
        <w:t xml:space="preserve">interests in land or financial dealings that </w:t>
      </w:r>
      <w:r w:rsidR="005D1851">
        <w:rPr>
          <w:rFonts w:eastAsia="Calibri" w:cs="Arial"/>
          <w:lang w:val="en-AU"/>
        </w:rPr>
        <w:t>the corporation or association</w:t>
      </w:r>
      <w:r w:rsidR="000F514E">
        <w:rPr>
          <w:rFonts w:eastAsia="Calibri" w:cs="Arial"/>
          <w:lang w:val="en-AU"/>
        </w:rPr>
        <w:t xml:space="preserve"> may be involved in </w:t>
      </w:r>
      <w:r w:rsidR="005D1851">
        <w:rPr>
          <w:rFonts w:eastAsia="Calibri" w:cs="Arial"/>
          <w:lang w:val="en-AU"/>
        </w:rPr>
        <w:t>that</w:t>
      </w:r>
      <w:r w:rsidR="000F514E">
        <w:rPr>
          <w:rFonts w:eastAsia="Calibri" w:cs="Arial"/>
          <w:lang w:val="en-AU"/>
        </w:rPr>
        <w:t xml:space="preserve"> </w:t>
      </w:r>
      <w:r w:rsidR="005D1851">
        <w:rPr>
          <w:rFonts w:eastAsia="Calibri" w:cs="Arial"/>
          <w:lang w:val="en-AU"/>
        </w:rPr>
        <w:t xml:space="preserve">could </w:t>
      </w:r>
      <w:r w:rsidR="00F454C8">
        <w:rPr>
          <w:rFonts w:eastAsia="Calibri" w:cs="Arial"/>
          <w:lang w:val="en-AU"/>
        </w:rPr>
        <w:t>jeopardise CLA title</w:t>
      </w:r>
      <w:r w:rsidR="005D1851">
        <w:rPr>
          <w:rFonts w:eastAsia="Calibri" w:cs="Arial"/>
          <w:lang w:val="en-AU"/>
        </w:rPr>
        <w:t xml:space="preserve"> (and therefore any third party interests granted)</w:t>
      </w:r>
      <w:r w:rsidR="00F454C8">
        <w:rPr>
          <w:rFonts w:eastAsia="Calibri" w:cs="Arial"/>
          <w:lang w:val="en-AU"/>
        </w:rPr>
        <w:t>.</w:t>
      </w:r>
      <w:r w:rsidR="002C6173">
        <w:rPr>
          <w:rStyle w:val="FootnoteReference"/>
          <w:rFonts w:eastAsia="Calibri" w:cs="Arial"/>
          <w:lang w:val="en-AU"/>
        </w:rPr>
        <w:footnoteReference w:id="8"/>
      </w:r>
      <w:r w:rsidR="005D1851">
        <w:rPr>
          <w:rFonts w:eastAsia="Calibri" w:cs="Arial"/>
          <w:lang w:val="en-AU"/>
        </w:rPr>
        <w:t xml:space="preserve"> This situation means </w:t>
      </w:r>
      <w:r w:rsidR="005D1851">
        <w:rPr>
          <w:rFonts w:eastAsia="Calibri" w:cs="Arial"/>
          <w:lang w:val="en-AU"/>
        </w:rPr>
        <w:lastRenderedPageBreak/>
        <w:t>that the level of certainty provided to lessees and licensees under the ALRA cannot be delivered</w:t>
      </w:r>
      <w:r w:rsidR="006D1784">
        <w:rPr>
          <w:rFonts w:eastAsia="Calibri" w:cs="Arial"/>
          <w:lang w:val="en-AU"/>
        </w:rPr>
        <w:t xml:space="preserve">. </w:t>
      </w:r>
    </w:p>
    <w:p w:rsidR="00370D99" w:rsidRPr="00B40B0E" w:rsidRDefault="00755A6C" w:rsidP="00755A6C">
      <w:pPr>
        <w:pStyle w:val="Heading2"/>
        <w:rPr>
          <w:rFonts w:eastAsia="Calibri"/>
          <w:lang w:val="en-AU"/>
        </w:rPr>
      </w:pPr>
      <w:bookmarkStart w:id="5" w:name="_Toc353794646"/>
      <w:r>
        <w:rPr>
          <w:rFonts w:eastAsia="Calibri"/>
          <w:lang w:val="en-AU"/>
        </w:rPr>
        <w:t xml:space="preserve">Changed requirements for </w:t>
      </w:r>
      <w:r w:rsidR="00370D99" w:rsidRPr="00B40B0E">
        <w:rPr>
          <w:rFonts w:eastAsia="Calibri"/>
          <w:lang w:val="en-AU"/>
        </w:rPr>
        <w:t>CLA land owning associations and corporations</w:t>
      </w:r>
      <w:bookmarkEnd w:id="5"/>
    </w:p>
    <w:p w:rsidR="00A403E3" w:rsidRDefault="0058075E" w:rsidP="0058075E">
      <w:pPr>
        <w:autoSpaceDE w:val="0"/>
        <w:autoSpaceDN w:val="0"/>
        <w:adjustRightInd w:val="0"/>
        <w:spacing w:before="60" w:after="60"/>
        <w:rPr>
          <w:rFonts w:cs="Arial"/>
          <w:lang w:val="en-AU"/>
        </w:rPr>
      </w:pPr>
      <w:r>
        <w:rPr>
          <w:rFonts w:cs="Arial"/>
          <w:lang w:val="en-AU"/>
        </w:rPr>
        <w:t>The CLC agre</w:t>
      </w:r>
      <w:r w:rsidR="005D1851">
        <w:rPr>
          <w:rFonts w:cs="Arial"/>
          <w:lang w:val="en-AU"/>
        </w:rPr>
        <w:t>e</w:t>
      </w:r>
      <w:r>
        <w:rPr>
          <w:rFonts w:cs="Arial"/>
          <w:lang w:val="en-AU"/>
        </w:rPr>
        <w:t xml:space="preserve">s that it is important to </w:t>
      </w:r>
      <w:r w:rsidR="00370D99" w:rsidRPr="0058075E">
        <w:rPr>
          <w:rFonts w:cs="Arial"/>
          <w:lang w:val="en-AU"/>
        </w:rPr>
        <w:t>lessen the burden of administrative requirements for entities that do not engage in any other activities beyond holding title</w:t>
      </w:r>
      <w:r w:rsidR="00755A6C">
        <w:rPr>
          <w:rFonts w:cs="Arial"/>
          <w:lang w:val="en-AU"/>
        </w:rPr>
        <w:t xml:space="preserve"> to CLA land</w:t>
      </w:r>
      <w:r w:rsidR="00370D99" w:rsidRPr="0058075E">
        <w:rPr>
          <w:rFonts w:cs="Arial"/>
          <w:lang w:val="en-AU"/>
        </w:rPr>
        <w:t>.</w:t>
      </w:r>
      <w:r>
        <w:rPr>
          <w:rFonts w:cs="Arial"/>
          <w:lang w:val="en-AU"/>
        </w:rPr>
        <w:t xml:space="preserve"> The best </w:t>
      </w:r>
      <w:r w:rsidR="00755A6C">
        <w:rPr>
          <w:rFonts w:cs="Arial"/>
          <w:lang w:val="en-AU"/>
        </w:rPr>
        <w:t xml:space="preserve">way to achieve this </w:t>
      </w:r>
      <w:r>
        <w:rPr>
          <w:rFonts w:cs="Arial"/>
          <w:lang w:val="en-AU"/>
        </w:rPr>
        <w:t xml:space="preserve">would be to allow for the voluntary conversion of title held by an association or corporation into land held </w:t>
      </w:r>
      <w:r w:rsidR="00C44880">
        <w:rPr>
          <w:rFonts w:cs="Arial"/>
          <w:lang w:val="en-AU"/>
        </w:rPr>
        <w:t xml:space="preserve">by a </w:t>
      </w:r>
      <w:r w:rsidR="002C6173">
        <w:rPr>
          <w:rFonts w:cs="Arial"/>
          <w:lang w:val="en-AU"/>
        </w:rPr>
        <w:t xml:space="preserve">CLA </w:t>
      </w:r>
      <w:r w:rsidR="00C44880">
        <w:rPr>
          <w:rFonts w:cs="Arial"/>
          <w:lang w:val="en-AU"/>
        </w:rPr>
        <w:t>Land Trust and not subject to association/corporation reporting requirements that are</w:t>
      </w:r>
      <w:r w:rsidR="002C6173">
        <w:rPr>
          <w:rFonts w:cs="Arial"/>
          <w:lang w:val="en-AU"/>
        </w:rPr>
        <w:t>, in many ways,</w:t>
      </w:r>
      <w:r w:rsidR="00C44880">
        <w:rPr>
          <w:rFonts w:cs="Arial"/>
          <w:lang w:val="en-AU"/>
        </w:rPr>
        <w:t xml:space="preserve"> a poor fit with </w:t>
      </w:r>
      <w:r w:rsidR="002C6173">
        <w:rPr>
          <w:rFonts w:cs="Arial"/>
          <w:lang w:val="en-AU"/>
        </w:rPr>
        <w:t xml:space="preserve">the purpose of </w:t>
      </w:r>
      <w:r w:rsidR="00C44880">
        <w:rPr>
          <w:rFonts w:cs="Arial"/>
          <w:lang w:val="en-AU"/>
        </w:rPr>
        <w:t>land holding</w:t>
      </w:r>
      <w:r w:rsidR="009B039A">
        <w:rPr>
          <w:rFonts w:cs="Arial"/>
          <w:lang w:val="en-AU"/>
        </w:rPr>
        <w:t>.</w:t>
      </w:r>
      <w:r w:rsidR="00827D8F">
        <w:rPr>
          <w:rStyle w:val="FootnoteReference"/>
          <w:rFonts w:cs="Arial"/>
          <w:lang w:val="en-AU"/>
        </w:rPr>
        <w:footnoteReference w:id="9"/>
      </w:r>
      <w:r w:rsidR="006B7CC9">
        <w:rPr>
          <w:rFonts w:cs="Arial"/>
          <w:lang w:val="en-AU"/>
        </w:rPr>
        <w:t xml:space="preserve"> </w:t>
      </w:r>
      <w:r w:rsidR="009B039A">
        <w:rPr>
          <w:rFonts w:cs="Arial"/>
          <w:lang w:val="en-AU"/>
        </w:rPr>
        <w:t>No change in beneficial ownership should accompany the conversion to stronger title</w:t>
      </w:r>
      <w:r w:rsidR="00C44880">
        <w:rPr>
          <w:rFonts w:cs="Arial"/>
          <w:lang w:val="en-AU"/>
        </w:rPr>
        <w:t>.</w:t>
      </w:r>
      <w:r w:rsidR="00A403E3">
        <w:rPr>
          <w:rFonts w:cs="Arial"/>
          <w:lang w:val="en-AU"/>
        </w:rPr>
        <w:t xml:space="preserve"> The CLC believes that such voluntary conversion to CLA Land Trust title would obviate the need</w:t>
      </w:r>
      <w:r w:rsidR="005E0C60">
        <w:rPr>
          <w:rFonts w:cs="Arial"/>
          <w:lang w:val="en-AU"/>
        </w:rPr>
        <w:t>,</w:t>
      </w:r>
      <w:r w:rsidR="00A403E3">
        <w:rPr>
          <w:rFonts w:cs="Arial"/>
          <w:lang w:val="en-AU"/>
        </w:rPr>
        <w:t xml:space="preserve"> </w:t>
      </w:r>
      <w:r w:rsidR="005E0C60">
        <w:rPr>
          <w:rFonts w:cs="Arial"/>
          <w:lang w:val="en-AU"/>
        </w:rPr>
        <w:t>addressed</w:t>
      </w:r>
      <w:r w:rsidR="00A403E3">
        <w:rPr>
          <w:rFonts w:cs="Arial"/>
          <w:lang w:val="en-AU"/>
        </w:rPr>
        <w:t xml:space="preserve"> in the discussion paper</w:t>
      </w:r>
      <w:r w:rsidR="005E0C60">
        <w:rPr>
          <w:rFonts w:cs="Arial"/>
          <w:lang w:val="en-AU"/>
        </w:rPr>
        <w:t>,</w:t>
      </w:r>
      <w:r w:rsidR="00A403E3">
        <w:rPr>
          <w:rFonts w:cs="Arial"/>
          <w:lang w:val="en-AU"/>
        </w:rPr>
        <w:t xml:space="preserve"> </w:t>
      </w:r>
      <w:r w:rsidR="005E0C60">
        <w:rPr>
          <w:rFonts w:cs="Arial"/>
          <w:lang w:val="en-AU"/>
        </w:rPr>
        <w:t>for</w:t>
      </w:r>
      <w:r w:rsidR="00A403E3">
        <w:rPr>
          <w:rFonts w:cs="Arial"/>
          <w:lang w:val="en-AU"/>
        </w:rPr>
        <w:t xml:space="preserve"> </w:t>
      </w:r>
      <w:r w:rsidR="00A403E3" w:rsidRPr="00A403E3">
        <w:rPr>
          <w:rFonts w:cs="Arial"/>
          <w:lang w:val="en-AU"/>
        </w:rPr>
        <w:t xml:space="preserve">assistance </w:t>
      </w:r>
      <w:r w:rsidR="005E0C60">
        <w:rPr>
          <w:rFonts w:cs="Arial"/>
          <w:lang w:val="en-AU"/>
        </w:rPr>
        <w:t>to</w:t>
      </w:r>
      <w:r w:rsidR="00A403E3">
        <w:rPr>
          <w:rFonts w:cs="Arial"/>
          <w:lang w:val="en-AU"/>
        </w:rPr>
        <w:t xml:space="preserve"> </w:t>
      </w:r>
      <w:r w:rsidR="00A403E3" w:rsidRPr="00A403E3">
        <w:rPr>
          <w:rFonts w:cs="Arial"/>
          <w:lang w:val="en-AU"/>
        </w:rPr>
        <w:t xml:space="preserve">be provided to resurrect CLA land owning associations and corporations that are non-operational </w:t>
      </w:r>
      <w:r w:rsidR="00A403E3">
        <w:rPr>
          <w:rFonts w:cs="Arial"/>
          <w:lang w:val="en-AU"/>
        </w:rPr>
        <w:t>(see Appendix 1 or further detail)</w:t>
      </w:r>
      <w:r w:rsidR="005E0C60">
        <w:rPr>
          <w:rFonts w:cs="Arial"/>
          <w:lang w:val="en-AU"/>
        </w:rPr>
        <w:t xml:space="preserve">. </w:t>
      </w:r>
    </w:p>
    <w:p w:rsidR="00370D99" w:rsidRPr="00B40B0E" w:rsidRDefault="00370D99" w:rsidP="00B62525">
      <w:pPr>
        <w:pStyle w:val="Heading2"/>
        <w:rPr>
          <w:lang w:val="en-AU"/>
        </w:rPr>
      </w:pPr>
      <w:bookmarkStart w:id="6" w:name="_Toc353794647"/>
      <w:r w:rsidRPr="00B40B0E">
        <w:rPr>
          <w:lang w:val="en-AU"/>
        </w:rPr>
        <w:t>Ensure the right processes are in place for land dealings</w:t>
      </w:r>
      <w:bookmarkEnd w:id="6"/>
    </w:p>
    <w:p w:rsidR="00BB6026" w:rsidRDefault="005D1851" w:rsidP="00C44880">
      <w:pPr>
        <w:autoSpaceDE w:val="0"/>
        <w:autoSpaceDN w:val="0"/>
        <w:adjustRightInd w:val="0"/>
        <w:spacing w:before="60" w:after="60"/>
        <w:rPr>
          <w:rFonts w:cs="Arial"/>
          <w:lang w:val="en-AU"/>
        </w:rPr>
      </w:pPr>
      <w:r>
        <w:rPr>
          <w:rFonts w:cs="Arial"/>
          <w:lang w:val="en-AU"/>
        </w:rPr>
        <w:t>Gi</w:t>
      </w:r>
      <w:r w:rsidR="00C44880">
        <w:rPr>
          <w:rFonts w:cs="Arial"/>
          <w:lang w:val="en-AU"/>
        </w:rPr>
        <w:t xml:space="preserve">ven the </w:t>
      </w:r>
      <w:r w:rsidR="00B62525">
        <w:rPr>
          <w:rFonts w:cs="Arial"/>
          <w:lang w:val="en-AU"/>
        </w:rPr>
        <w:t xml:space="preserve">Commonwealth’s </w:t>
      </w:r>
      <w:r w:rsidR="00C44880">
        <w:rPr>
          <w:rFonts w:cs="Arial"/>
          <w:lang w:val="en-AU"/>
        </w:rPr>
        <w:t xml:space="preserve">objective </w:t>
      </w:r>
      <w:r w:rsidR="00C44880" w:rsidRPr="00C44880">
        <w:rPr>
          <w:rFonts w:cs="Arial"/>
          <w:lang w:val="en-AU"/>
        </w:rPr>
        <w:t xml:space="preserve">that CLA land owners </w:t>
      </w:r>
      <w:r w:rsidR="00C44880">
        <w:rPr>
          <w:rFonts w:cs="Arial"/>
          <w:lang w:val="en-AU"/>
        </w:rPr>
        <w:t xml:space="preserve">should </w:t>
      </w:r>
      <w:r w:rsidR="00C44880" w:rsidRPr="00C44880">
        <w:rPr>
          <w:rFonts w:cs="Arial"/>
          <w:lang w:val="en-AU"/>
        </w:rPr>
        <w:t>have the same opportunities to manage their land as other remote Indigenous communities in the NT</w:t>
      </w:r>
      <w:r>
        <w:rPr>
          <w:rFonts w:cs="Arial"/>
          <w:lang w:val="en-AU"/>
        </w:rPr>
        <w:t>, the CLC considers that</w:t>
      </w:r>
      <w:r w:rsidR="00C44880" w:rsidRPr="00C44880">
        <w:rPr>
          <w:rFonts w:cs="Arial"/>
          <w:lang w:val="en-AU"/>
        </w:rPr>
        <w:t xml:space="preserve"> </w:t>
      </w:r>
      <w:r w:rsidR="00036BA2">
        <w:rPr>
          <w:rFonts w:cs="Arial"/>
          <w:lang w:val="en-AU"/>
        </w:rPr>
        <w:t>,</w:t>
      </w:r>
      <w:r w:rsidR="00663E64" w:rsidRPr="00C44880">
        <w:rPr>
          <w:rFonts w:cs="Arial"/>
          <w:lang w:val="en-AU"/>
        </w:rPr>
        <w:t xml:space="preserve"> </w:t>
      </w:r>
      <w:r w:rsidR="00D14F7B">
        <w:rPr>
          <w:rFonts w:cs="Arial"/>
          <w:lang w:val="en-AU"/>
        </w:rPr>
        <w:t>as</w:t>
      </w:r>
      <w:r w:rsidR="00036BA2">
        <w:rPr>
          <w:rFonts w:cs="Arial"/>
          <w:lang w:val="en-AU"/>
        </w:rPr>
        <w:t xml:space="preserve"> under the ALRA, only a </w:t>
      </w:r>
      <w:r w:rsidR="00370D99" w:rsidRPr="00C44880">
        <w:rPr>
          <w:rFonts w:cs="Arial"/>
          <w:lang w:val="en-AU"/>
        </w:rPr>
        <w:t xml:space="preserve">lease period </w:t>
      </w:r>
      <w:r w:rsidR="00036BA2">
        <w:rPr>
          <w:rFonts w:cs="Arial"/>
          <w:lang w:val="en-AU"/>
        </w:rPr>
        <w:t>o</w:t>
      </w:r>
      <w:r w:rsidR="00C44880">
        <w:rPr>
          <w:rFonts w:cs="Arial"/>
          <w:lang w:val="en-AU"/>
        </w:rPr>
        <w:t>f 40 years</w:t>
      </w:r>
      <w:r w:rsidR="00036BA2">
        <w:rPr>
          <w:rFonts w:cs="Arial"/>
          <w:lang w:val="en-AU"/>
        </w:rPr>
        <w:t xml:space="preserve"> or above</w:t>
      </w:r>
      <w:r w:rsidR="00C44880">
        <w:rPr>
          <w:rFonts w:cs="Arial"/>
          <w:lang w:val="en-AU"/>
        </w:rPr>
        <w:t xml:space="preserve"> </w:t>
      </w:r>
      <w:r w:rsidR="009B039A">
        <w:rPr>
          <w:rFonts w:cs="Arial"/>
          <w:lang w:val="en-AU"/>
        </w:rPr>
        <w:t>sh</w:t>
      </w:r>
      <w:r w:rsidR="00370D99" w:rsidRPr="00C44880">
        <w:rPr>
          <w:rFonts w:cs="Arial"/>
          <w:lang w:val="en-AU"/>
        </w:rPr>
        <w:t>ould trigger the need for NT Ministerial approval</w:t>
      </w:r>
      <w:r w:rsidR="00C44880">
        <w:rPr>
          <w:rFonts w:cs="Arial"/>
          <w:lang w:val="en-AU"/>
        </w:rPr>
        <w:t>.</w:t>
      </w:r>
      <w:r w:rsidR="00B62525">
        <w:rPr>
          <w:rFonts w:cs="Arial"/>
          <w:lang w:val="en-AU"/>
        </w:rPr>
        <w:t xml:space="preserve"> </w:t>
      </w:r>
      <w:r w:rsidR="00036BA2">
        <w:rPr>
          <w:rFonts w:cs="Arial"/>
          <w:lang w:val="en-AU"/>
        </w:rPr>
        <w:t>Similarly, i</w:t>
      </w:r>
      <w:r w:rsidR="00C44880">
        <w:rPr>
          <w:rFonts w:cs="Arial"/>
          <w:lang w:val="en-AU"/>
        </w:rPr>
        <w:t>n furtherance of th</w:t>
      </w:r>
      <w:r w:rsidR="009B039A">
        <w:rPr>
          <w:rFonts w:cs="Arial"/>
          <w:lang w:val="en-AU"/>
        </w:rPr>
        <w:t xml:space="preserve">e </w:t>
      </w:r>
      <w:r w:rsidR="006D1784">
        <w:rPr>
          <w:rFonts w:cs="Arial"/>
          <w:lang w:val="en-AU"/>
        </w:rPr>
        <w:t xml:space="preserve">above </w:t>
      </w:r>
      <w:r w:rsidR="00C44880">
        <w:rPr>
          <w:rFonts w:cs="Arial"/>
          <w:lang w:val="en-AU"/>
        </w:rPr>
        <w:t>objective</w:t>
      </w:r>
      <w:r w:rsidR="00036BA2">
        <w:rPr>
          <w:rFonts w:cs="Arial"/>
          <w:lang w:val="en-AU"/>
        </w:rPr>
        <w:t>,</w:t>
      </w:r>
      <w:r w:rsidR="00C44880">
        <w:rPr>
          <w:rFonts w:cs="Arial"/>
          <w:lang w:val="en-AU"/>
        </w:rPr>
        <w:t xml:space="preserve"> the planning scheme should apply in the way that it does for towns on Aboriginal Land</w:t>
      </w:r>
      <w:r w:rsidR="009644FC">
        <w:rPr>
          <w:rFonts w:cs="Arial"/>
          <w:lang w:val="en-AU"/>
        </w:rPr>
        <w:t>,</w:t>
      </w:r>
      <w:r w:rsidR="00036BA2">
        <w:rPr>
          <w:rFonts w:cs="Arial"/>
          <w:lang w:val="en-AU"/>
        </w:rPr>
        <w:t xml:space="preserve"> rather than being more restrictive</w:t>
      </w:r>
      <w:r w:rsidR="00C44880">
        <w:rPr>
          <w:rFonts w:cs="Arial"/>
          <w:lang w:val="en-AU"/>
        </w:rPr>
        <w:t>.</w:t>
      </w:r>
      <w:r w:rsidR="006B7CC9">
        <w:rPr>
          <w:rFonts w:cs="Arial"/>
          <w:lang w:val="en-AU"/>
        </w:rPr>
        <w:t xml:space="preserve"> </w:t>
      </w:r>
    </w:p>
    <w:p w:rsidR="00E54AE7" w:rsidRDefault="00E54AE7" w:rsidP="00E54AE7">
      <w:pPr>
        <w:pStyle w:val="Heading2"/>
        <w:rPr>
          <w:rFonts w:eastAsia="Calibri"/>
          <w:lang w:val="en-AU"/>
        </w:rPr>
      </w:pPr>
      <w:bookmarkStart w:id="7" w:name="_Toc353794648"/>
      <w:r>
        <w:rPr>
          <w:rFonts w:eastAsia="Calibri"/>
          <w:lang w:val="en-AU"/>
        </w:rPr>
        <w:t>O</w:t>
      </w:r>
      <w:r w:rsidRPr="00E54AE7">
        <w:rPr>
          <w:rFonts w:eastAsia="Calibri"/>
          <w:lang w:val="en-AU"/>
        </w:rPr>
        <w:t>ther issues about CLA land not listed in this paper that people</w:t>
      </w:r>
      <w:r>
        <w:rPr>
          <w:rFonts w:eastAsia="Calibri"/>
          <w:lang w:val="en-AU"/>
        </w:rPr>
        <w:t xml:space="preserve"> need to think about</w:t>
      </w:r>
      <w:bookmarkEnd w:id="7"/>
    </w:p>
    <w:p w:rsidR="00E54AE7" w:rsidRPr="00E54AE7" w:rsidRDefault="00E54AE7" w:rsidP="00E54AE7">
      <w:pPr>
        <w:rPr>
          <w:lang w:val="en-AU"/>
        </w:rPr>
      </w:pPr>
      <w:r>
        <w:rPr>
          <w:lang w:val="en-AU"/>
        </w:rPr>
        <w:t>If there is a genuine commitment to economic development and private home ownership the Commo</w:t>
      </w:r>
      <w:r w:rsidR="009644FC">
        <w:rPr>
          <w:lang w:val="en-AU"/>
        </w:rPr>
        <w:t>n</w:t>
      </w:r>
      <w:r>
        <w:rPr>
          <w:lang w:val="en-AU"/>
        </w:rPr>
        <w:t>wealth need</w:t>
      </w:r>
      <w:r w:rsidR="009644FC">
        <w:rPr>
          <w:lang w:val="en-AU"/>
        </w:rPr>
        <w:t>s</w:t>
      </w:r>
      <w:r>
        <w:rPr>
          <w:lang w:val="en-AU"/>
        </w:rPr>
        <w:t xml:space="preserve"> to </w:t>
      </w:r>
      <w:r w:rsidR="005E0C60">
        <w:rPr>
          <w:lang w:val="en-AU"/>
        </w:rPr>
        <w:t xml:space="preserve">urgently </w:t>
      </w:r>
      <w:r>
        <w:rPr>
          <w:lang w:val="en-AU"/>
        </w:rPr>
        <w:t>invest</w:t>
      </w:r>
      <w:r w:rsidR="005E0C60">
        <w:rPr>
          <w:lang w:val="en-AU"/>
        </w:rPr>
        <w:t xml:space="preserve"> </w:t>
      </w:r>
      <w:r>
        <w:rPr>
          <w:lang w:val="en-AU"/>
        </w:rPr>
        <w:t>in addressing infrastructure constraints around power water and sewerage</w:t>
      </w:r>
      <w:r w:rsidR="005E0C60">
        <w:rPr>
          <w:lang w:val="en-AU"/>
        </w:rPr>
        <w:t xml:space="preserve"> on CLA communities. Such </w:t>
      </w:r>
      <w:r>
        <w:rPr>
          <w:lang w:val="en-AU"/>
        </w:rPr>
        <w:t>invest</w:t>
      </w:r>
      <w:r w:rsidR="005E0C60">
        <w:rPr>
          <w:lang w:val="en-AU"/>
        </w:rPr>
        <w:t>ment is also needed to inc</w:t>
      </w:r>
      <w:r>
        <w:rPr>
          <w:lang w:val="en-AU"/>
        </w:rPr>
        <w:t>reas</w:t>
      </w:r>
      <w:r w:rsidR="005E0C60">
        <w:rPr>
          <w:lang w:val="en-AU"/>
        </w:rPr>
        <w:t>e</w:t>
      </w:r>
      <w:r>
        <w:rPr>
          <w:lang w:val="en-AU"/>
        </w:rPr>
        <w:t xml:space="preserve"> the availability of serviced lots for future growth of communities</w:t>
      </w:r>
      <w:r w:rsidR="005E0C60">
        <w:rPr>
          <w:lang w:val="en-AU"/>
        </w:rPr>
        <w:t xml:space="preserve"> as there is currently a critical shortage of such serviced lots in almost all communities</w:t>
      </w:r>
      <w:r>
        <w:rPr>
          <w:lang w:val="en-AU"/>
        </w:rPr>
        <w:t>.</w:t>
      </w:r>
      <w:r w:rsidR="009644FC">
        <w:rPr>
          <w:lang w:val="en-AU"/>
        </w:rPr>
        <w:t xml:space="preserve"> </w:t>
      </w:r>
    </w:p>
    <w:p w:rsidR="00E54AE7" w:rsidRDefault="00E54AE7" w:rsidP="00E54AE7">
      <w:pPr>
        <w:rPr>
          <w:lang w:val="en-AU"/>
        </w:rPr>
      </w:pPr>
      <w:r>
        <w:rPr>
          <w:lang w:val="en-AU"/>
        </w:rPr>
        <w:t xml:space="preserve">A related matter that would better facilitate the grant of leases for economic development and achieve ‘secure tenure is the need for whole of community </w:t>
      </w:r>
      <w:r w:rsidR="006D1784">
        <w:rPr>
          <w:lang w:val="en-AU"/>
        </w:rPr>
        <w:t xml:space="preserve">cadastral </w:t>
      </w:r>
      <w:r>
        <w:rPr>
          <w:lang w:val="en-AU"/>
        </w:rPr>
        <w:t>surveys to be funded and implemented as soon as possible</w:t>
      </w:r>
      <w:r w:rsidR="009B039A">
        <w:rPr>
          <w:lang w:val="en-AU"/>
        </w:rPr>
        <w:t xml:space="preserve"> so as to mi</w:t>
      </w:r>
      <w:r w:rsidR="005E0C60">
        <w:rPr>
          <w:lang w:val="en-AU"/>
        </w:rPr>
        <w:t xml:space="preserve">nimise the transaction costs associated with formalised </w:t>
      </w:r>
      <w:r w:rsidR="009B039A">
        <w:rPr>
          <w:lang w:val="en-AU"/>
        </w:rPr>
        <w:t>land use</w:t>
      </w:r>
      <w:r>
        <w:rPr>
          <w:lang w:val="en-AU"/>
        </w:rPr>
        <w:t>.</w:t>
      </w:r>
      <w:r w:rsidR="006D1784">
        <w:rPr>
          <w:rStyle w:val="FootnoteReference"/>
          <w:lang w:val="en-AU"/>
        </w:rPr>
        <w:footnoteReference w:id="10"/>
      </w:r>
    </w:p>
    <w:p w:rsidR="00413AD1" w:rsidRDefault="00413AD1" w:rsidP="00E54AE7">
      <w:pPr>
        <w:pStyle w:val="Heading2"/>
        <w:rPr>
          <w:rFonts w:eastAsia="Calibri"/>
          <w:lang w:val="en-AU"/>
        </w:rPr>
      </w:pPr>
    </w:p>
    <w:p w:rsidR="00B62525" w:rsidRPr="00B62525" w:rsidRDefault="00660CB3" w:rsidP="00E54AE7">
      <w:pPr>
        <w:pStyle w:val="Heading2"/>
        <w:rPr>
          <w:rFonts w:eastAsia="Calibri"/>
          <w:lang w:val="en-AU"/>
        </w:rPr>
      </w:pPr>
      <w:bookmarkStart w:id="8" w:name="_Toc353794649"/>
      <w:r>
        <w:rPr>
          <w:rFonts w:eastAsia="Calibri"/>
          <w:lang w:val="en-AU"/>
        </w:rPr>
        <w:lastRenderedPageBreak/>
        <w:t>App</w:t>
      </w:r>
      <w:bookmarkStart w:id="9" w:name="_GoBack"/>
      <w:bookmarkEnd w:id="9"/>
      <w:r>
        <w:rPr>
          <w:rFonts w:eastAsia="Calibri"/>
          <w:lang w:val="en-AU"/>
        </w:rPr>
        <w:t xml:space="preserve">endix 1: </w:t>
      </w:r>
      <w:r w:rsidR="00B62525" w:rsidRPr="00B62525">
        <w:rPr>
          <w:rFonts w:eastAsia="Calibri"/>
          <w:lang w:val="en-AU"/>
        </w:rPr>
        <w:t>What should a comprehensive CLA reform model look like?</w:t>
      </w:r>
      <w:bookmarkEnd w:id="8"/>
    </w:p>
    <w:p w:rsidR="00B62525" w:rsidRDefault="00B62525" w:rsidP="00B62525">
      <w:pPr>
        <w:spacing w:before="60" w:after="60"/>
        <w:rPr>
          <w:rFonts w:eastAsia="Calibri" w:cs="Arial"/>
          <w:lang w:val="en-AU"/>
        </w:rPr>
      </w:pPr>
    </w:p>
    <w:p w:rsidR="00B62525" w:rsidRPr="00B62525" w:rsidRDefault="00B62525" w:rsidP="00B62525">
      <w:pPr>
        <w:spacing w:before="60" w:after="60"/>
        <w:rPr>
          <w:rFonts w:eastAsia="Calibri" w:cs="Arial"/>
          <w:lang w:val="en-AU"/>
        </w:rPr>
      </w:pPr>
      <w:r w:rsidRPr="00B62525">
        <w:rPr>
          <w:rFonts w:eastAsia="Calibri" w:cs="Arial"/>
          <w:lang w:val="en-AU"/>
        </w:rPr>
        <w:t xml:space="preserve">Only comprehensive reform will provide certainty for all parties who are interested in the grant or receipt of derivative interests (whether for </w:t>
      </w:r>
      <w:r>
        <w:rPr>
          <w:rFonts w:eastAsia="Calibri" w:cs="Arial"/>
          <w:lang w:val="en-AU"/>
        </w:rPr>
        <w:t xml:space="preserve">commercial </w:t>
      </w:r>
      <w:r w:rsidRPr="00B62525">
        <w:rPr>
          <w:rFonts w:eastAsia="Calibri" w:cs="Arial"/>
          <w:lang w:val="en-AU"/>
        </w:rPr>
        <w:t>activity or service delivery in community living areas).</w:t>
      </w:r>
    </w:p>
    <w:p w:rsidR="00B62525" w:rsidRPr="00B62525" w:rsidRDefault="00B62525" w:rsidP="00B62525">
      <w:pPr>
        <w:spacing w:before="60" w:after="60"/>
        <w:rPr>
          <w:rFonts w:eastAsia="Calibri" w:cs="Arial"/>
          <w:lang w:val="en-AU"/>
        </w:rPr>
      </w:pPr>
    </w:p>
    <w:p w:rsidR="00B62525" w:rsidRDefault="00B62525" w:rsidP="00B62525">
      <w:pPr>
        <w:spacing w:before="60" w:after="60"/>
        <w:rPr>
          <w:rFonts w:eastAsia="Calibri" w:cs="Arial"/>
          <w:lang w:val="en-AU"/>
        </w:rPr>
      </w:pPr>
      <w:r>
        <w:rPr>
          <w:rFonts w:eastAsia="Calibri" w:cs="Arial"/>
          <w:lang w:val="en-AU"/>
        </w:rPr>
        <w:t>T</w:t>
      </w:r>
      <w:r w:rsidRPr="00B62525">
        <w:rPr>
          <w:rFonts w:eastAsia="Calibri" w:cs="Arial"/>
          <w:lang w:val="en-AU"/>
        </w:rPr>
        <w:t>he three main elements required in order to deliver certainty of dealings with respect to CLAs are:</w:t>
      </w:r>
    </w:p>
    <w:p w:rsidR="004E7076" w:rsidRPr="00B62525" w:rsidRDefault="004E7076" w:rsidP="00B62525">
      <w:pPr>
        <w:spacing w:before="60" w:after="60"/>
        <w:rPr>
          <w:rFonts w:eastAsia="Calibri" w:cs="Arial"/>
          <w:lang w:val="en-AU"/>
        </w:rPr>
      </w:pPr>
    </w:p>
    <w:p w:rsidR="004E7076" w:rsidRDefault="00B62525" w:rsidP="00B62525">
      <w:pPr>
        <w:pStyle w:val="ListParagraph"/>
        <w:numPr>
          <w:ilvl w:val="0"/>
          <w:numId w:val="7"/>
        </w:numPr>
        <w:spacing w:before="60" w:after="60"/>
        <w:rPr>
          <w:rFonts w:eastAsia="Calibri" w:cs="Arial"/>
          <w:lang w:val="en-AU"/>
        </w:rPr>
      </w:pPr>
      <w:r w:rsidRPr="004E7076">
        <w:rPr>
          <w:rFonts w:eastAsia="Calibri" w:cs="Arial"/>
          <w:lang w:val="en-AU"/>
        </w:rPr>
        <w:t>Removing restrictions on dealing with CLA title</w:t>
      </w:r>
    </w:p>
    <w:p w:rsidR="004E7076" w:rsidRDefault="00C20D60" w:rsidP="00B62525">
      <w:pPr>
        <w:pStyle w:val="ListParagraph"/>
        <w:numPr>
          <w:ilvl w:val="0"/>
          <w:numId w:val="7"/>
        </w:numPr>
        <w:spacing w:before="60" w:after="60"/>
        <w:rPr>
          <w:rFonts w:eastAsia="Calibri" w:cs="Arial"/>
          <w:lang w:val="en-AU"/>
        </w:rPr>
      </w:pPr>
      <w:r w:rsidRPr="004E7076">
        <w:rPr>
          <w:rFonts w:eastAsia="Calibri" w:cs="Arial"/>
          <w:lang w:val="en-AU"/>
        </w:rPr>
        <w:t>Addressing</w:t>
      </w:r>
      <w:r w:rsidR="00B62525" w:rsidRPr="004E7076">
        <w:rPr>
          <w:rFonts w:eastAsia="Calibri" w:cs="Arial"/>
          <w:lang w:val="en-AU"/>
        </w:rPr>
        <w:t xml:space="preserve"> the vulnerability of the titleholder</w:t>
      </w:r>
    </w:p>
    <w:p w:rsidR="00B62525" w:rsidRPr="004E7076" w:rsidRDefault="00B62525" w:rsidP="00B62525">
      <w:pPr>
        <w:pStyle w:val="ListParagraph"/>
        <w:numPr>
          <w:ilvl w:val="0"/>
          <w:numId w:val="7"/>
        </w:numPr>
        <w:spacing w:before="60" w:after="60"/>
        <w:rPr>
          <w:rFonts w:eastAsia="Calibri" w:cs="Arial"/>
          <w:lang w:val="en-AU"/>
        </w:rPr>
      </w:pPr>
      <w:r w:rsidRPr="004E7076">
        <w:rPr>
          <w:rFonts w:eastAsia="Calibri" w:cs="Arial"/>
          <w:lang w:val="en-AU"/>
        </w:rPr>
        <w:t>Establishing administrative processes for obtaining valid and secure leases</w:t>
      </w:r>
    </w:p>
    <w:p w:rsidR="00B62525" w:rsidRPr="00B62525" w:rsidRDefault="00B62525" w:rsidP="00B62525">
      <w:pPr>
        <w:spacing w:before="60" w:after="60"/>
        <w:rPr>
          <w:rFonts w:eastAsia="Calibri" w:cs="Arial"/>
          <w:lang w:val="en-AU"/>
        </w:rPr>
      </w:pPr>
    </w:p>
    <w:p w:rsidR="00B62525" w:rsidRPr="00B62525" w:rsidRDefault="00B62525" w:rsidP="00B62525">
      <w:pPr>
        <w:spacing w:before="60" w:after="60"/>
        <w:rPr>
          <w:rFonts w:eastAsia="Calibri" w:cs="Arial"/>
          <w:lang w:val="en-AU"/>
        </w:rPr>
      </w:pPr>
      <w:r w:rsidRPr="00B62525">
        <w:rPr>
          <w:rFonts w:eastAsia="Calibri" w:cs="Arial"/>
          <w:lang w:val="en-AU"/>
        </w:rPr>
        <w:t xml:space="preserve">To resolve these restrictions and constraints several relevant Northern Territory laws would need to be </w:t>
      </w:r>
      <w:r w:rsidR="00746D96">
        <w:rPr>
          <w:rFonts w:eastAsia="Calibri" w:cs="Arial"/>
          <w:lang w:val="en-AU"/>
        </w:rPr>
        <w:t>amended, in concert, including:</w:t>
      </w:r>
    </w:p>
    <w:p w:rsidR="00746D96" w:rsidRDefault="00746D96" w:rsidP="00B62525">
      <w:pPr>
        <w:spacing w:before="60" w:after="60"/>
        <w:rPr>
          <w:rFonts w:eastAsia="Calibri" w:cs="Arial"/>
          <w:lang w:val="en-AU"/>
        </w:rPr>
      </w:pPr>
    </w:p>
    <w:p w:rsidR="00B62525" w:rsidRPr="00746D96" w:rsidRDefault="00B62525" w:rsidP="00746D96">
      <w:pPr>
        <w:pStyle w:val="ListParagraph"/>
        <w:numPr>
          <w:ilvl w:val="0"/>
          <w:numId w:val="6"/>
        </w:numPr>
        <w:spacing w:before="60" w:after="60"/>
        <w:rPr>
          <w:rFonts w:eastAsia="Calibri" w:cs="Arial"/>
          <w:lang w:val="en-AU"/>
        </w:rPr>
      </w:pPr>
      <w:r w:rsidRPr="00746D96">
        <w:rPr>
          <w:rFonts w:eastAsia="Calibri" w:cs="Arial"/>
          <w:lang w:val="en-AU"/>
        </w:rPr>
        <w:t>Associations Act (NT) – Part 6 stipulates that associations or corporations holding title to CLAs cannot deal with land (including granting a lease for more than 12 months)</w:t>
      </w:r>
      <w:r w:rsidR="00746D96">
        <w:rPr>
          <w:rStyle w:val="FootnoteReference"/>
          <w:rFonts w:eastAsia="Calibri" w:cs="Arial"/>
          <w:lang w:val="en-AU"/>
        </w:rPr>
        <w:footnoteReference w:id="11"/>
      </w:r>
      <w:r w:rsidRPr="00746D96">
        <w:rPr>
          <w:rFonts w:eastAsia="Calibri" w:cs="Arial"/>
          <w:lang w:val="en-AU"/>
        </w:rPr>
        <w:t xml:space="preserve"> without the consent of the Minister.</w:t>
      </w:r>
      <w:r w:rsidR="006B7CC9">
        <w:rPr>
          <w:rFonts w:eastAsia="Calibri" w:cs="Arial"/>
          <w:lang w:val="en-AU"/>
        </w:rPr>
        <w:t xml:space="preserve"> </w:t>
      </w:r>
      <w:r w:rsidR="00746D96" w:rsidRPr="00746D96">
        <w:rPr>
          <w:rFonts w:eastAsia="Calibri" w:cs="Arial"/>
          <w:lang w:val="en-AU"/>
        </w:rPr>
        <w:t>Under section 110, t</w:t>
      </w:r>
      <w:r w:rsidRPr="00746D96">
        <w:rPr>
          <w:rFonts w:eastAsia="Calibri" w:cs="Arial"/>
          <w:lang w:val="en-AU"/>
        </w:rPr>
        <w:t>he Minister cannot consent to a dealing in the land except in a very limited number of circumstances such a</w:t>
      </w:r>
      <w:r w:rsidR="00746D96" w:rsidRPr="00746D96">
        <w:rPr>
          <w:rFonts w:eastAsia="Calibri" w:cs="Arial"/>
          <w:lang w:val="en-AU"/>
        </w:rPr>
        <w:t xml:space="preserve">s to </w:t>
      </w:r>
      <w:r w:rsidRPr="00746D96">
        <w:rPr>
          <w:rFonts w:eastAsia="Calibri" w:cs="Arial"/>
          <w:lang w:val="en-AU"/>
        </w:rPr>
        <w:t>provide health, education or housing services</w:t>
      </w:r>
      <w:r w:rsidR="00746D96" w:rsidRPr="00746D96">
        <w:rPr>
          <w:rFonts w:eastAsia="Calibri" w:cs="Arial"/>
          <w:lang w:val="en-AU"/>
        </w:rPr>
        <w:t xml:space="preserve"> to the residents of the CLA (as members of the association or corporation)</w:t>
      </w:r>
      <w:r w:rsidRPr="00746D96">
        <w:rPr>
          <w:rFonts w:eastAsia="Calibri" w:cs="Arial"/>
          <w:lang w:val="en-AU"/>
        </w:rPr>
        <w:t>.</w:t>
      </w:r>
    </w:p>
    <w:p w:rsidR="00B62525" w:rsidRDefault="00B62525" w:rsidP="00746D96">
      <w:pPr>
        <w:pStyle w:val="ListParagraph"/>
        <w:numPr>
          <w:ilvl w:val="0"/>
          <w:numId w:val="6"/>
        </w:numPr>
        <w:spacing w:before="60" w:after="60"/>
        <w:rPr>
          <w:rFonts w:eastAsia="Calibri" w:cs="Arial"/>
          <w:lang w:val="en-AU"/>
        </w:rPr>
      </w:pPr>
      <w:r w:rsidRPr="00746D96">
        <w:rPr>
          <w:rFonts w:eastAsia="Calibri" w:cs="Arial"/>
          <w:lang w:val="en-AU"/>
        </w:rPr>
        <w:t xml:space="preserve">Planning Act (NT) – Part 6 of the Northern Territory Planning Scheme provides for only a limited range of permit uses of CLA land without consent. The extent of these restrictions has fettered economic development in CLA communities more so than ALRA communities. </w:t>
      </w:r>
    </w:p>
    <w:p w:rsidR="00B62525" w:rsidRDefault="00B62525" w:rsidP="00B62525">
      <w:pPr>
        <w:spacing w:before="60" w:after="60"/>
        <w:rPr>
          <w:rFonts w:eastAsia="Calibri" w:cs="Arial"/>
          <w:lang w:val="en-AU"/>
        </w:rPr>
      </w:pPr>
    </w:p>
    <w:p w:rsidR="00B62525" w:rsidRPr="00B62525" w:rsidRDefault="00B62525" w:rsidP="00B62525">
      <w:pPr>
        <w:spacing w:before="60" w:after="60"/>
        <w:rPr>
          <w:rFonts w:eastAsia="Calibri" w:cs="Arial"/>
          <w:b/>
          <w:lang w:val="en-AU"/>
        </w:rPr>
      </w:pPr>
      <w:r w:rsidRPr="00B62525">
        <w:rPr>
          <w:rFonts w:eastAsia="Calibri" w:cs="Arial"/>
          <w:b/>
          <w:lang w:val="en-AU"/>
        </w:rPr>
        <w:t xml:space="preserve">The key principles that must underpin </w:t>
      </w:r>
      <w:r>
        <w:rPr>
          <w:rFonts w:eastAsia="Calibri" w:cs="Arial"/>
          <w:b/>
          <w:lang w:val="en-AU"/>
        </w:rPr>
        <w:t xml:space="preserve">comprehensive </w:t>
      </w:r>
      <w:r w:rsidRPr="00B62525">
        <w:rPr>
          <w:rFonts w:eastAsia="Calibri" w:cs="Arial"/>
          <w:b/>
          <w:lang w:val="en-AU"/>
        </w:rPr>
        <w:t>CLA reforms are:</w:t>
      </w:r>
    </w:p>
    <w:p w:rsidR="00B62525" w:rsidRPr="00B62525" w:rsidRDefault="00B62525" w:rsidP="00B62525">
      <w:pPr>
        <w:spacing w:before="60" w:after="60"/>
        <w:rPr>
          <w:rFonts w:eastAsia="Calibri" w:cs="Arial"/>
          <w:lang w:val="en-AU"/>
        </w:rPr>
      </w:pPr>
    </w:p>
    <w:p w:rsidR="00B62525" w:rsidRPr="00B62525" w:rsidRDefault="00B62525" w:rsidP="00B62525">
      <w:pPr>
        <w:spacing w:before="60" w:after="60"/>
        <w:rPr>
          <w:rFonts w:eastAsia="Calibri" w:cs="Arial"/>
          <w:b/>
          <w:lang w:val="en-AU"/>
        </w:rPr>
      </w:pPr>
      <w:r w:rsidRPr="00B62525">
        <w:rPr>
          <w:rFonts w:eastAsia="Calibri" w:cs="Arial"/>
          <w:b/>
          <w:lang w:val="en-AU"/>
        </w:rPr>
        <w:t>1)</w:t>
      </w:r>
      <w:r w:rsidRPr="00B62525">
        <w:rPr>
          <w:rFonts w:eastAsia="Calibri" w:cs="Arial"/>
          <w:b/>
          <w:lang w:val="en-AU"/>
        </w:rPr>
        <w:tab/>
        <w:t>Titles to CLA should be held by an entity that exists in perpetuity</w:t>
      </w:r>
    </w:p>
    <w:p w:rsidR="00B62525" w:rsidRDefault="00B62525" w:rsidP="00B62525">
      <w:pPr>
        <w:spacing w:before="60" w:after="60"/>
        <w:rPr>
          <w:rFonts w:eastAsia="Calibri" w:cs="Arial"/>
          <w:lang w:val="en-AU"/>
        </w:rPr>
      </w:pPr>
    </w:p>
    <w:p w:rsidR="00B62525" w:rsidRPr="00B62525" w:rsidRDefault="00B62525" w:rsidP="00B62525">
      <w:pPr>
        <w:spacing w:before="60" w:after="60"/>
        <w:rPr>
          <w:rFonts w:eastAsia="Calibri" w:cs="Arial"/>
          <w:lang w:val="en-AU"/>
        </w:rPr>
      </w:pPr>
      <w:r w:rsidRPr="00B62525">
        <w:rPr>
          <w:rFonts w:eastAsia="Calibri" w:cs="Arial"/>
          <w:lang w:val="en-AU"/>
        </w:rPr>
        <w:t>A new CLA freehold title should be created with the following features:</w:t>
      </w:r>
    </w:p>
    <w:p w:rsidR="00B62525" w:rsidRPr="00B62525" w:rsidRDefault="00B62525" w:rsidP="004E7076">
      <w:pPr>
        <w:spacing w:before="60" w:after="60"/>
        <w:ind w:left="720" w:hanging="720"/>
        <w:rPr>
          <w:rFonts w:eastAsia="Calibri" w:cs="Arial"/>
          <w:lang w:val="en-AU"/>
        </w:rPr>
      </w:pPr>
      <w:r w:rsidRPr="00B62525">
        <w:rPr>
          <w:rFonts w:eastAsia="Calibri" w:cs="Arial"/>
          <w:lang w:val="en-AU"/>
        </w:rPr>
        <w:t>-</w:t>
      </w:r>
      <w:r w:rsidRPr="00B62525">
        <w:rPr>
          <w:rFonts w:eastAsia="Calibri" w:cs="Arial"/>
          <w:lang w:val="en-AU"/>
        </w:rPr>
        <w:tab/>
      </w:r>
      <w:proofErr w:type="gramStart"/>
      <w:r w:rsidRPr="00B62525">
        <w:rPr>
          <w:rFonts w:eastAsia="Calibri" w:cs="Arial"/>
          <w:lang w:val="en-AU"/>
        </w:rPr>
        <w:t>title</w:t>
      </w:r>
      <w:proofErr w:type="gramEnd"/>
      <w:r w:rsidRPr="00B62525">
        <w:rPr>
          <w:rFonts w:eastAsia="Calibri" w:cs="Arial"/>
          <w:lang w:val="en-AU"/>
        </w:rPr>
        <w:t xml:space="preserve"> would be held in perpetuity </w:t>
      </w:r>
      <w:r w:rsidR="004E7076">
        <w:rPr>
          <w:rFonts w:eastAsia="Calibri" w:cs="Arial"/>
          <w:lang w:val="en-AU"/>
        </w:rPr>
        <w:t>(and so not vulnerable to resumption under the Pastoral Land Act or winding up by ORIC or the NT Commissioner</w:t>
      </w:r>
      <w:r w:rsidR="009B039A">
        <w:rPr>
          <w:rFonts w:eastAsia="Calibri" w:cs="Arial"/>
          <w:lang w:val="en-AU"/>
        </w:rPr>
        <w:t xml:space="preserve"> for Consumer Affairs</w:t>
      </w:r>
      <w:r w:rsidR="004E7076">
        <w:rPr>
          <w:rFonts w:eastAsia="Calibri" w:cs="Arial"/>
          <w:lang w:val="en-AU"/>
        </w:rPr>
        <w:t xml:space="preserve">) </w:t>
      </w:r>
    </w:p>
    <w:p w:rsidR="00B62525" w:rsidRPr="00B62525" w:rsidRDefault="00B62525" w:rsidP="005D1851">
      <w:pPr>
        <w:spacing w:before="60" w:after="60"/>
        <w:ind w:left="720" w:hanging="720"/>
        <w:rPr>
          <w:rFonts w:eastAsia="Calibri" w:cs="Arial"/>
          <w:lang w:val="en-AU"/>
        </w:rPr>
      </w:pPr>
      <w:r w:rsidRPr="00B62525">
        <w:rPr>
          <w:rFonts w:eastAsia="Calibri" w:cs="Arial"/>
          <w:lang w:val="en-AU"/>
        </w:rPr>
        <w:t>-</w:t>
      </w:r>
      <w:r w:rsidRPr="00B62525">
        <w:rPr>
          <w:rFonts w:eastAsia="Calibri" w:cs="Arial"/>
          <w:lang w:val="en-AU"/>
        </w:rPr>
        <w:tab/>
        <w:t>title held by a ‘CLA Land Trust’</w:t>
      </w:r>
      <w:r w:rsidR="005D1851">
        <w:rPr>
          <w:rFonts w:eastAsia="Calibri" w:cs="Arial"/>
          <w:lang w:val="en-AU"/>
        </w:rPr>
        <w:t xml:space="preserve"> that solely holds title to and makes decisions with respect to the land of the CLA</w:t>
      </w:r>
      <w:r w:rsidR="006B7CC9">
        <w:rPr>
          <w:rFonts w:eastAsia="Calibri" w:cs="Arial"/>
          <w:lang w:val="en-AU"/>
        </w:rPr>
        <w:t xml:space="preserve"> </w:t>
      </w:r>
    </w:p>
    <w:p w:rsidR="00B62525" w:rsidRPr="00B62525" w:rsidRDefault="00B62525" w:rsidP="00B62525">
      <w:pPr>
        <w:spacing w:before="60" w:after="60"/>
        <w:ind w:left="720" w:hanging="720"/>
        <w:rPr>
          <w:rFonts w:eastAsia="Calibri" w:cs="Arial"/>
          <w:lang w:val="en-AU"/>
        </w:rPr>
      </w:pPr>
      <w:r w:rsidRPr="00B62525">
        <w:rPr>
          <w:rFonts w:eastAsia="Calibri" w:cs="Arial"/>
          <w:lang w:val="en-AU"/>
        </w:rPr>
        <w:t>-</w:t>
      </w:r>
      <w:r w:rsidRPr="00B62525">
        <w:rPr>
          <w:rFonts w:eastAsia="Calibri" w:cs="Arial"/>
          <w:lang w:val="en-AU"/>
        </w:rPr>
        <w:tab/>
        <w:t>the CLA Land Trust would</w:t>
      </w:r>
      <w:r w:rsidR="004E7076">
        <w:rPr>
          <w:rFonts w:eastAsia="Calibri" w:cs="Arial"/>
          <w:lang w:val="en-AU"/>
        </w:rPr>
        <w:t>, in a similar manner to Aboriginal land,</w:t>
      </w:r>
      <w:r w:rsidRPr="00B62525">
        <w:rPr>
          <w:rFonts w:eastAsia="Calibri" w:cs="Arial"/>
          <w:lang w:val="en-AU"/>
        </w:rPr>
        <w:t xml:space="preserve"> be able to grant leases, licences and otherwise deal in land (but not alienate the land or encumber the land)</w:t>
      </w:r>
    </w:p>
    <w:p w:rsidR="00B62525" w:rsidRDefault="00B62525" w:rsidP="00B62525">
      <w:pPr>
        <w:spacing w:before="60" w:after="60"/>
        <w:rPr>
          <w:rFonts w:eastAsia="Calibri" w:cs="Arial"/>
          <w:lang w:val="en-AU"/>
        </w:rPr>
      </w:pPr>
    </w:p>
    <w:p w:rsidR="00B62525" w:rsidRPr="00B62525" w:rsidRDefault="00B62525" w:rsidP="00B62525">
      <w:pPr>
        <w:spacing w:before="60" w:after="60"/>
        <w:rPr>
          <w:rFonts w:eastAsia="Calibri" w:cs="Arial"/>
          <w:lang w:val="en-AU"/>
        </w:rPr>
      </w:pPr>
      <w:r w:rsidRPr="00B62525">
        <w:rPr>
          <w:rFonts w:eastAsia="Calibri" w:cs="Arial"/>
          <w:lang w:val="en-AU"/>
        </w:rPr>
        <w:t xml:space="preserve">The CLC supports establishing a statutory land trust similar to those the Northern Territory has created through the Parks and Reserves (Framework for the Future) Act and Regulations or the </w:t>
      </w:r>
      <w:proofErr w:type="spellStart"/>
      <w:r w:rsidRPr="00B62525">
        <w:rPr>
          <w:rFonts w:eastAsia="Calibri" w:cs="Arial"/>
          <w:lang w:val="en-AU"/>
        </w:rPr>
        <w:t>Kenbi</w:t>
      </w:r>
      <w:proofErr w:type="spellEnd"/>
      <w:r w:rsidRPr="00B62525">
        <w:rPr>
          <w:rFonts w:eastAsia="Calibri" w:cs="Arial"/>
          <w:lang w:val="en-AU"/>
        </w:rPr>
        <w:t xml:space="preserve"> Land Trust Act 2011</w:t>
      </w:r>
      <w:r w:rsidR="00906EAB">
        <w:rPr>
          <w:rFonts w:eastAsia="Calibri" w:cs="Arial"/>
          <w:lang w:val="en-AU"/>
        </w:rPr>
        <w:t xml:space="preserve"> but, given we are talking about small areas used primarily for community living mineral and petroleum exploration should not be permitted</w:t>
      </w:r>
      <w:r w:rsidRPr="00B62525">
        <w:rPr>
          <w:rFonts w:eastAsia="Calibri" w:cs="Arial"/>
          <w:lang w:val="en-AU"/>
        </w:rPr>
        <w:t>.</w:t>
      </w:r>
    </w:p>
    <w:p w:rsidR="00B62525" w:rsidRPr="00B62525" w:rsidRDefault="00B62525" w:rsidP="00B62525">
      <w:pPr>
        <w:spacing w:before="60" w:after="60"/>
        <w:rPr>
          <w:rFonts w:eastAsia="Calibri" w:cs="Arial"/>
          <w:lang w:val="en-AU"/>
        </w:rPr>
      </w:pPr>
    </w:p>
    <w:p w:rsidR="00B62525" w:rsidRPr="00B62525" w:rsidRDefault="00B62525" w:rsidP="00B62525">
      <w:pPr>
        <w:spacing w:before="60" w:after="60"/>
        <w:rPr>
          <w:rFonts w:eastAsia="Calibri" w:cs="Arial"/>
          <w:b/>
          <w:lang w:val="en-AU"/>
        </w:rPr>
      </w:pPr>
      <w:r w:rsidRPr="00B62525">
        <w:rPr>
          <w:rFonts w:eastAsia="Calibri" w:cs="Arial"/>
          <w:b/>
          <w:lang w:val="en-AU"/>
        </w:rPr>
        <w:t>2)</w:t>
      </w:r>
      <w:r w:rsidRPr="00B62525">
        <w:rPr>
          <w:rFonts w:eastAsia="Calibri" w:cs="Arial"/>
          <w:b/>
          <w:lang w:val="en-AU"/>
        </w:rPr>
        <w:tab/>
        <w:t>The transition to CLA title must be voluntary</w:t>
      </w:r>
    </w:p>
    <w:p w:rsidR="00B62525" w:rsidRPr="00B62525" w:rsidRDefault="00B62525" w:rsidP="00B62525">
      <w:pPr>
        <w:spacing w:before="60" w:after="60"/>
        <w:rPr>
          <w:rFonts w:eastAsia="Calibri" w:cs="Arial"/>
          <w:lang w:val="en-AU"/>
        </w:rPr>
      </w:pPr>
      <w:r w:rsidRPr="00B62525">
        <w:rPr>
          <w:rFonts w:eastAsia="Calibri" w:cs="Arial"/>
          <w:lang w:val="en-AU"/>
        </w:rPr>
        <w:t xml:space="preserve">Existing associations and corporations that hold title to CLAs should have the choice of converting their title to the new CLA </w:t>
      </w:r>
      <w:r w:rsidR="004E7076">
        <w:rPr>
          <w:rFonts w:eastAsia="Calibri" w:cs="Arial"/>
          <w:lang w:val="en-AU"/>
        </w:rPr>
        <w:t xml:space="preserve">Land Trust </w:t>
      </w:r>
      <w:r w:rsidRPr="00B62525">
        <w:rPr>
          <w:rFonts w:eastAsia="Calibri" w:cs="Arial"/>
          <w:lang w:val="en-AU"/>
        </w:rPr>
        <w:t>title.</w:t>
      </w:r>
      <w:r w:rsidR="006B7CC9">
        <w:rPr>
          <w:rFonts w:eastAsia="Calibri" w:cs="Arial"/>
          <w:lang w:val="en-AU"/>
        </w:rPr>
        <w:t xml:space="preserve"> </w:t>
      </w:r>
    </w:p>
    <w:p w:rsidR="00B62525" w:rsidRPr="00B62525" w:rsidRDefault="00B62525" w:rsidP="00B62525">
      <w:pPr>
        <w:spacing w:before="60" w:after="60"/>
        <w:rPr>
          <w:rFonts w:eastAsia="Calibri" w:cs="Arial"/>
          <w:lang w:val="en-AU"/>
        </w:rPr>
      </w:pPr>
    </w:p>
    <w:p w:rsidR="00B62525" w:rsidRPr="00B62525" w:rsidRDefault="00B62525" w:rsidP="00B62525">
      <w:pPr>
        <w:spacing w:before="60" w:after="60"/>
        <w:rPr>
          <w:rFonts w:eastAsia="Calibri" w:cs="Arial"/>
          <w:b/>
          <w:lang w:val="en-AU"/>
        </w:rPr>
      </w:pPr>
      <w:r w:rsidRPr="00B62525">
        <w:rPr>
          <w:rFonts w:eastAsia="Calibri" w:cs="Arial"/>
          <w:b/>
          <w:lang w:val="en-AU"/>
        </w:rPr>
        <w:t>3)</w:t>
      </w:r>
      <w:r w:rsidRPr="00B62525">
        <w:rPr>
          <w:rFonts w:eastAsia="Calibri" w:cs="Arial"/>
          <w:b/>
          <w:lang w:val="en-AU"/>
        </w:rPr>
        <w:tab/>
        <w:t>There should be no effective change to the beneficial ownership of CLAs</w:t>
      </w:r>
    </w:p>
    <w:p w:rsidR="00B62525" w:rsidRPr="00B62525" w:rsidRDefault="00B62525" w:rsidP="00B62525">
      <w:pPr>
        <w:spacing w:before="60" w:after="60"/>
        <w:rPr>
          <w:rFonts w:eastAsia="Calibri" w:cs="Arial"/>
          <w:lang w:val="en-AU"/>
        </w:rPr>
      </w:pPr>
      <w:r w:rsidRPr="00B62525">
        <w:rPr>
          <w:rFonts w:eastAsia="Calibri" w:cs="Arial"/>
          <w:lang w:val="en-AU"/>
        </w:rPr>
        <w:t>A CLA Land Trust would be established to benefit the existing members of the association or corporation that currently holds title to a CLA.</w:t>
      </w:r>
      <w:r w:rsidR="006B7CC9">
        <w:rPr>
          <w:rFonts w:eastAsia="Calibri" w:cs="Arial"/>
          <w:lang w:val="en-AU"/>
        </w:rPr>
        <w:t xml:space="preserve"> </w:t>
      </w:r>
    </w:p>
    <w:p w:rsidR="00B62525" w:rsidRPr="00B62525" w:rsidRDefault="00B62525" w:rsidP="00B62525">
      <w:pPr>
        <w:spacing w:before="60" w:after="60"/>
        <w:rPr>
          <w:rFonts w:eastAsia="Calibri" w:cs="Arial"/>
          <w:lang w:val="en-AU"/>
        </w:rPr>
      </w:pPr>
    </w:p>
    <w:p w:rsidR="00B62525" w:rsidRDefault="00B62525" w:rsidP="004E7076">
      <w:pPr>
        <w:spacing w:before="60" w:after="60"/>
        <w:ind w:left="720" w:hanging="720"/>
        <w:rPr>
          <w:rFonts w:eastAsia="Calibri" w:cs="Arial"/>
          <w:b/>
          <w:lang w:val="en-AU"/>
        </w:rPr>
      </w:pPr>
      <w:r w:rsidRPr="00B62525">
        <w:rPr>
          <w:rFonts w:eastAsia="Calibri" w:cs="Arial"/>
          <w:b/>
          <w:lang w:val="en-AU"/>
        </w:rPr>
        <w:t>4)</w:t>
      </w:r>
      <w:r w:rsidRPr="00B62525">
        <w:rPr>
          <w:rFonts w:eastAsia="Calibri" w:cs="Arial"/>
          <w:b/>
          <w:lang w:val="en-AU"/>
        </w:rPr>
        <w:tab/>
        <w:t>There should be parity between communities situated on CLAs and communities situated on Aboriginal land under the Land Rights Act</w:t>
      </w:r>
    </w:p>
    <w:p w:rsidR="00B62525" w:rsidRPr="00B62525" w:rsidRDefault="00B62525" w:rsidP="00B62525">
      <w:pPr>
        <w:spacing w:before="60" w:after="60"/>
        <w:rPr>
          <w:rFonts w:eastAsia="Calibri" w:cs="Arial"/>
          <w:lang w:val="en-AU"/>
        </w:rPr>
      </w:pPr>
    </w:p>
    <w:p w:rsidR="00906EAB" w:rsidRDefault="00B62525" w:rsidP="00906EAB">
      <w:pPr>
        <w:spacing w:before="60" w:after="60"/>
        <w:rPr>
          <w:rFonts w:eastAsia="Calibri" w:cs="Arial"/>
          <w:lang w:val="en-AU"/>
        </w:rPr>
      </w:pPr>
      <w:r w:rsidRPr="00B62525">
        <w:rPr>
          <w:rFonts w:eastAsia="Calibri" w:cs="Arial"/>
          <w:lang w:val="en-AU"/>
        </w:rPr>
        <w:t xml:space="preserve">Provisions similar to those in the Land Rights Act in relation to the divestment of interests in Aboriginal land should be replicated in relation to CLA Land Trusts. </w:t>
      </w:r>
      <w:r w:rsidR="00906EAB">
        <w:rPr>
          <w:rFonts w:eastAsia="Calibri" w:cs="Arial"/>
          <w:lang w:val="en-AU"/>
        </w:rPr>
        <w:t xml:space="preserve">That is interests may be granted where the landowners </w:t>
      </w:r>
      <w:r w:rsidR="00906EAB" w:rsidRPr="00906EAB">
        <w:rPr>
          <w:rFonts w:eastAsia="Calibri" w:cs="Arial"/>
          <w:lang w:val="en-AU"/>
        </w:rPr>
        <w:t xml:space="preserve">understand the nature and purpose of </w:t>
      </w:r>
      <w:r w:rsidR="00906EAB">
        <w:rPr>
          <w:rFonts w:eastAsia="Calibri" w:cs="Arial"/>
          <w:lang w:val="en-AU"/>
        </w:rPr>
        <w:t>a</w:t>
      </w:r>
      <w:r w:rsidR="00906EAB" w:rsidRPr="00906EAB">
        <w:rPr>
          <w:rFonts w:eastAsia="Calibri" w:cs="Arial"/>
          <w:lang w:val="en-AU"/>
        </w:rPr>
        <w:t xml:space="preserve"> proposed grant</w:t>
      </w:r>
      <w:r w:rsidR="00906EAB">
        <w:rPr>
          <w:rFonts w:eastAsia="Calibri" w:cs="Arial"/>
          <w:lang w:val="en-AU"/>
        </w:rPr>
        <w:t>,</w:t>
      </w:r>
      <w:r w:rsidR="00906EAB" w:rsidRPr="00906EAB">
        <w:rPr>
          <w:rFonts w:eastAsia="Calibri" w:cs="Arial"/>
          <w:lang w:val="en-AU"/>
        </w:rPr>
        <w:t xml:space="preserve"> as a group consent to it</w:t>
      </w:r>
      <w:r w:rsidR="00906EAB">
        <w:rPr>
          <w:rFonts w:eastAsia="Calibri" w:cs="Arial"/>
          <w:lang w:val="en-AU"/>
        </w:rPr>
        <w:t xml:space="preserve"> and</w:t>
      </w:r>
      <w:r w:rsidR="00906EAB" w:rsidRPr="00906EAB">
        <w:rPr>
          <w:rFonts w:eastAsia="Calibri" w:cs="Arial"/>
          <w:lang w:val="en-AU"/>
        </w:rPr>
        <w:t xml:space="preserve"> the terms and conditions </w:t>
      </w:r>
      <w:r w:rsidR="00906EAB">
        <w:rPr>
          <w:rFonts w:eastAsia="Calibri" w:cs="Arial"/>
          <w:lang w:val="en-AU"/>
        </w:rPr>
        <w:t xml:space="preserve">of </w:t>
      </w:r>
      <w:r w:rsidR="00906EAB" w:rsidRPr="00906EAB">
        <w:rPr>
          <w:rFonts w:eastAsia="Calibri" w:cs="Arial"/>
          <w:lang w:val="en-AU"/>
        </w:rPr>
        <w:t xml:space="preserve">the grant </w:t>
      </w:r>
      <w:r w:rsidR="00906EAB">
        <w:rPr>
          <w:rFonts w:eastAsia="Calibri" w:cs="Arial"/>
          <w:lang w:val="en-AU"/>
        </w:rPr>
        <w:t>ar</w:t>
      </w:r>
      <w:r w:rsidR="00906EAB" w:rsidRPr="00906EAB">
        <w:rPr>
          <w:rFonts w:eastAsia="Calibri" w:cs="Arial"/>
          <w:lang w:val="en-AU"/>
        </w:rPr>
        <w:t>e reasonable.</w:t>
      </w:r>
    </w:p>
    <w:p w:rsidR="00906EAB" w:rsidRPr="00906EAB" w:rsidRDefault="00906EAB" w:rsidP="00906EAB">
      <w:pPr>
        <w:spacing w:before="60" w:after="60"/>
        <w:rPr>
          <w:rFonts w:eastAsia="Calibri" w:cs="Arial"/>
          <w:lang w:val="en-AU"/>
        </w:rPr>
      </w:pPr>
    </w:p>
    <w:p w:rsidR="00B62525" w:rsidRPr="00B62525" w:rsidRDefault="00B62525" w:rsidP="00B62525">
      <w:pPr>
        <w:spacing w:before="60" w:after="60"/>
        <w:rPr>
          <w:rFonts w:eastAsia="Calibri" w:cs="Arial"/>
          <w:lang w:val="en-AU"/>
        </w:rPr>
      </w:pPr>
      <w:r w:rsidRPr="00B62525">
        <w:rPr>
          <w:rFonts w:eastAsia="Calibri" w:cs="Arial"/>
          <w:lang w:val="en-AU"/>
        </w:rPr>
        <w:t>CLA Land Trusts would then be:</w:t>
      </w:r>
    </w:p>
    <w:p w:rsidR="00B62525" w:rsidRPr="00B62525" w:rsidRDefault="00B62525" w:rsidP="00906EAB">
      <w:pPr>
        <w:spacing w:before="60" w:after="60"/>
        <w:ind w:left="720" w:hanging="720"/>
        <w:rPr>
          <w:rFonts w:eastAsia="Calibri" w:cs="Arial"/>
          <w:lang w:val="en-AU"/>
        </w:rPr>
      </w:pPr>
      <w:r w:rsidRPr="00B62525">
        <w:rPr>
          <w:rFonts w:eastAsia="Calibri" w:cs="Arial"/>
          <w:lang w:val="en-AU"/>
        </w:rPr>
        <w:t>-</w:t>
      </w:r>
      <w:r w:rsidRPr="00B62525">
        <w:rPr>
          <w:rFonts w:eastAsia="Calibri" w:cs="Arial"/>
          <w:lang w:val="en-AU"/>
        </w:rPr>
        <w:tab/>
        <w:t>permitted to grant leases, licences and other interests in land</w:t>
      </w:r>
      <w:r w:rsidR="00906EAB">
        <w:rPr>
          <w:rFonts w:eastAsia="Calibri" w:cs="Arial"/>
          <w:lang w:val="en-AU"/>
        </w:rPr>
        <w:t xml:space="preserve"> to any person for any purpose</w:t>
      </w:r>
    </w:p>
    <w:p w:rsidR="00B62525" w:rsidRPr="00B62525" w:rsidRDefault="00B62525" w:rsidP="00660CB3">
      <w:pPr>
        <w:spacing w:before="60" w:after="60"/>
        <w:ind w:left="720" w:hanging="720"/>
        <w:rPr>
          <w:rFonts w:eastAsia="Calibri" w:cs="Arial"/>
          <w:lang w:val="en-AU"/>
        </w:rPr>
      </w:pPr>
      <w:r w:rsidRPr="00B62525">
        <w:rPr>
          <w:rFonts w:eastAsia="Calibri" w:cs="Arial"/>
          <w:lang w:val="en-AU"/>
        </w:rPr>
        <w:t>-</w:t>
      </w:r>
      <w:r w:rsidRPr="00B62525">
        <w:rPr>
          <w:rFonts w:eastAsia="Calibri" w:cs="Arial"/>
          <w:lang w:val="en-AU"/>
        </w:rPr>
        <w:tab/>
        <w:t xml:space="preserve">entitled to effective </w:t>
      </w:r>
      <w:r w:rsidR="00660CB3">
        <w:rPr>
          <w:rFonts w:eastAsia="Calibri" w:cs="Arial"/>
          <w:lang w:val="en-AU"/>
        </w:rPr>
        <w:t xml:space="preserve">and systematic </w:t>
      </w:r>
      <w:r w:rsidRPr="00B62525">
        <w:rPr>
          <w:rFonts w:eastAsia="Calibri" w:cs="Arial"/>
          <w:lang w:val="en-AU"/>
        </w:rPr>
        <w:t>administrative and legal support by the land councils</w:t>
      </w:r>
    </w:p>
    <w:p w:rsidR="00B62525" w:rsidRPr="00B62525" w:rsidRDefault="00B62525" w:rsidP="00B62525">
      <w:pPr>
        <w:spacing w:before="60" w:after="60"/>
        <w:ind w:left="720" w:hanging="720"/>
        <w:rPr>
          <w:rFonts w:eastAsia="Calibri" w:cs="Arial"/>
          <w:lang w:val="en-AU"/>
        </w:rPr>
      </w:pPr>
      <w:r w:rsidRPr="00B62525">
        <w:rPr>
          <w:rFonts w:eastAsia="Calibri" w:cs="Arial"/>
          <w:lang w:val="en-AU"/>
        </w:rPr>
        <w:t>-</w:t>
      </w:r>
      <w:r w:rsidRPr="00B62525">
        <w:rPr>
          <w:rFonts w:eastAsia="Calibri" w:cs="Arial"/>
          <w:lang w:val="en-AU"/>
        </w:rPr>
        <w:tab/>
        <w:t>resourced to function effectively and responsively, which will require the provision of administrative and legal support</w:t>
      </w:r>
    </w:p>
    <w:p w:rsidR="00B62525" w:rsidRDefault="00B62525" w:rsidP="00B62525">
      <w:pPr>
        <w:spacing w:before="60" w:after="60"/>
        <w:rPr>
          <w:rFonts w:eastAsia="Calibri" w:cs="Arial"/>
          <w:lang w:val="en-AU"/>
        </w:rPr>
      </w:pPr>
      <w:r w:rsidRPr="00B62525">
        <w:rPr>
          <w:rFonts w:eastAsia="Calibri" w:cs="Arial"/>
          <w:lang w:val="en-AU"/>
        </w:rPr>
        <w:t>-</w:t>
      </w:r>
      <w:r w:rsidRPr="00B62525">
        <w:rPr>
          <w:rFonts w:eastAsia="Calibri" w:cs="Arial"/>
          <w:lang w:val="en-AU"/>
        </w:rPr>
        <w:tab/>
      </w:r>
      <w:proofErr w:type="gramStart"/>
      <w:r w:rsidRPr="00B62525">
        <w:rPr>
          <w:rFonts w:eastAsia="Calibri" w:cs="Arial"/>
          <w:lang w:val="en-AU"/>
        </w:rPr>
        <w:t>able</w:t>
      </w:r>
      <w:proofErr w:type="gramEnd"/>
      <w:r w:rsidRPr="00B62525">
        <w:rPr>
          <w:rFonts w:eastAsia="Calibri" w:cs="Arial"/>
          <w:lang w:val="en-AU"/>
        </w:rPr>
        <w:t xml:space="preserve"> to receive and distribute money received from leases</w:t>
      </w:r>
    </w:p>
    <w:p w:rsidR="00DE0560" w:rsidRDefault="00DE0560" w:rsidP="00B62525">
      <w:pPr>
        <w:spacing w:before="60" w:after="60"/>
        <w:rPr>
          <w:rFonts w:eastAsia="Calibri" w:cs="Arial"/>
          <w:lang w:val="en-AU"/>
        </w:rPr>
      </w:pPr>
    </w:p>
    <w:p w:rsidR="006536C0" w:rsidRDefault="006536C0">
      <w:pPr>
        <w:rPr>
          <w:rFonts w:eastAsia="Calibri" w:cstheme="majorBidi"/>
          <w:b/>
          <w:bCs/>
          <w:sz w:val="26"/>
          <w:szCs w:val="26"/>
          <w:lang w:val="en-AU"/>
        </w:rPr>
      </w:pPr>
      <w:bookmarkStart w:id="10" w:name="_Toc353794650"/>
      <w:r>
        <w:rPr>
          <w:rFonts w:eastAsia="Calibri"/>
          <w:lang w:val="en-AU"/>
        </w:rPr>
        <w:br w:type="page"/>
      </w:r>
    </w:p>
    <w:p w:rsidR="00DE0560" w:rsidRDefault="00DE0560" w:rsidP="00970227">
      <w:pPr>
        <w:pStyle w:val="Heading2"/>
        <w:rPr>
          <w:rFonts w:eastAsia="Calibri"/>
          <w:lang w:val="en-AU"/>
        </w:rPr>
      </w:pPr>
      <w:r>
        <w:rPr>
          <w:rFonts w:eastAsia="Calibri"/>
          <w:lang w:val="en-AU"/>
        </w:rPr>
        <w:lastRenderedPageBreak/>
        <w:t>Appendix 2- Community Living Areas in the CLC Region</w:t>
      </w:r>
      <w:bookmarkEnd w:id="10"/>
    </w:p>
    <w:p w:rsidR="00172338" w:rsidRDefault="00172338" w:rsidP="00970227">
      <w:pPr>
        <w:pStyle w:val="Heading2"/>
        <w:rPr>
          <w:lang w:val="en-AU"/>
        </w:rPr>
      </w:pPr>
    </w:p>
    <w:p w:rsidR="00E728E9" w:rsidRDefault="00172338" w:rsidP="00D0176B">
      <w:pPr>
        <w:rPr>
          <w:lang w:val="en-AU"/>
        </w:rPr>
      </w:pPr>
      <w:r>
        <w:rPr>
          <w:lang w:val="en-AU"/>
        </w:rPr>
        <w:t>Main settlements on CLA title include</w:t>
      </w:r>
      <w:r w:rsidR="00970227">
        <w:rPr>
          <w:lang w:val="en-AU"/>
        </w:rPr>
        <w:t xml:space="preserve"> (brackets indicate name of station/NP/ALT located on)</w:t>
      </w:r>
      <w:r>
        <w:rPr>
          <w:lang w:val="en-AU"/>
        </w:rPr>
        <w:t>:</w:t>
      </w:r>
    </w:p>
    <w:p w:rsidR="00DE0560" w:rsidRDefault="00E728E9" w:rsidP="006B7CC9">
      <w:pPr>
        <w:pStyle w:val="ListParagraph"/>
        <w:numPr>
          <w:ilvl w:val="0"/>
          <w:numId w:val="11"/>
        </w:numPr>
        <w:tabs>
          <w:tab w:val="left" w:pos="3402"/>
        </w:tabs>
        <w:ind w:left="714" w:hanging="357"/>
        <w:rPr>
          <w:lang w:val="en-AU"/>
        </w:rPr>
      </w:pPr>
      <w:proofErr w:type="spellStart"/>
      <w:r w:rsidRPr="00E728E9">
        <w:rPr>
          <w:lang w:val="en-AU"/>
        </w:rPr>
        <w:t>Alpurrulam</w:t>
      </w:r>
      <w:proofErr w:type="spellEnd"/>
      <w:r>
        <w:rPr>
          <w:lang w:val="en-AU"/>
        </w:rPr>
        <w:t xml:space="preserve"> </w:t>
      </w:r>
      <w:r w:rsidR="00970227">
        <w:rPr>
          <w:lang w:val="en-AU"/>
        </w:rPr>
        <w:tab/>
      </w:r>
      <w:r>
        <w:rPr>
          <w:lang w:val="en-AU"/>
        </w:rPr>
        <w:t>(Lake Nash)</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Atitjere</w:t>
      </w:r>
      <w:proofErr w:type="spellEnd"/>
      <w:r w:rsidR="00172338">
        <w:rPr>
          <w:lang w:val="en-AU"/>
        </w:rPr>
        <w:t xml:space="preserve"> </w:t>
      </w:r>
      <w:r w:rsidR="00970227">
        <w:rPr>
          <w:lang w:val="en-AU"/>
        </w:rPr>
        <w:tab/>
      </w:r>
      <w:r w:rsidR="00172338">
        <w:rPr>
          <w:lang w:val="en-AU"/>
        </w:rPr>
        <w:t>(Harts Range)</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Bonya</w:t>
      </w:r>
      <w:proofErr w:type="spellEnd"/>
      <w:r w:rsidR="00970227">
        <w:rPr>
          <w:lang w:val="en-AU"/>
        </w:rPr>
        <w:t xml:space="preserve"> </w:t>
      </w:r>
      <w:r w:rsidR="00970227">
        <w:rPr>
          <w:lang w:val="en-AU"/>
        </w:rPr>
        <w:tab/>
        <w:t>(</w:t>
      </w:r>
      <w:proofErr w:type="spellStart"/>
      <w:r w:rsidR="00970227">
        <w:rPr>
          <w:lang w:val="en-AU"/>
        </w:rPr>
        <w:t>Jinka</w:t>
      </w:r>
      <w:proofErr w:type="spellEnd"/>
      <w:r w:rsidR="00970227">
        <w:rPr>
          <w:lang w:val="en-AU"/>
        </w:rPr>
        <w:t>)</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Laramba</w:t>
      </w:r>
      <w:proofErr w:type="spellEnd"/>
      <w:r w:rsidR="00970227">
        <w:rPr>
          <w:lang w:val="en-AU"/>
        </w:rPr>
        <w:t xml:space="preserve"> </w:t>
      </w:r>
      <w:r w:rsidR="00970227">
        <w:rPr>
          <w:lang w:val="en-AU"/>
        </w:rPr>
        <w:tab/>
        <w:t>(</w:t>
      </w:r>
      <w:proofErr w:type="spellStart"/>
      <w:r w:rsidR="00970227">
        <w:rPr>
          <w:lang w:val="en-AU"/>
        </w:rPr>
        <w:t>Napperby</w:t>
      </w:r>
      <w:proofErr w:type="spellEnd"/>
      <w:r w:rsidR="00970227">
        <w:rPr>
          <w:lang w:val="en-AU"/>
        </w:rPr>
        <w:t>)</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Imangara</w:t>
      </w:r>
      <w:proofErr w:type="spellEnd"/>
      <w:r w:rsidR="00172338">
        <w:rPr>
          <w:lang w:val="en-AU"/>
        </w:rPr>
        <w:t xml:space="preserve"> </w:t>
      </w:r>
      <w:r w:rsidR="00970227">
        <w:rPr>
          <w:lang w:val="en-AU"/>
        </w:rPr>
        <w:tab/>
      </w:r>
      <w:r w:rsidR="00172338">
        <w:rPr>
          <w:lang w:val="en-AU"/>
        </w:rPr>
        <w:t>(Murray Downs)</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Imanpa</w:t>
      </w:r>
      <w:proofErr w:type="spellEnd"/>
      <w:r w:rsidR="00970227">
        <w:rPr>
          <w:lang w:val="en-AU"/>
        </w:rPr>
        <w:t xml:space="preserve"> </w:t>
      </w:r>
      <w:r w:rsidR="00970227">
        <w:rPr>
          <w:lang w:val="en-AU"/>
        </w:rPr>
        <w:tab/>
        <w:t>(Mt Ebenezer)</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Irrerlirre</w:t>
      </w:r>
      <w:proofErr w:type="spellEnd"/>
      <w:r w:rsidR="00970227">
        <w:rPr>
          <w:lang w:val="en-AU"/>
        </w:rPr>
        <w:t>/</w:t>
      </w:r>
      <w:r>
        <w:rPr>
          <w:lang w:val="en-AU"/>
        </w:rPr>
        <w:t>No.5</w:t>
      </w:r>
      <w:r w:rsidR="006B7CC9">
        <w:rPr>
          <w:lang w:val="en-AU"/>
        </w:rPr>
        <w:t xml:space="preserve"> </w:t>
      </w:r>
      <w:r w:rsidR="006C0F7F">
        <w:rPr>
          <w:lang w:val="en-AU"/>
        </w:rPr>
        <w:tab/>
      </w:r>
      <w:r w:rsidR="00970227">
        <w:rPr>
          <w:lang w:val="en-AU"/>
        </w:rPr>
        <w:t>(MacDonald Downs)</w:t>
      </w:r>
    </w:p>
    <w:p w:rsidR="00172338" w:rsidRDefault="00172338" w:rsidP="006B7CC9">
      <w:pPr>
        <w:pStyle w:val="ListParagraph"/>
        <w:numPr>
          <w:ilvl w:val="0"/>
          <w:numId w:val="11"/>
        </w:numPr>
        <w:tabs>
          <w:tab w:val="left" w:pos="3402"/>
        </w:tabs>
        <w:ind w:left="714" w:hanging="357"/>
        <w:rPr>
          <w:lang w:val="en-AU"/>
        </w:rPr>
      </w:pPr>
      <w:proofErr w:type="spellStart"/>
      <w:r>
        <w:rPr>
          <w:lang w:val="en-AU"/>
        </w:rPr>
        <w:t>Lilla</w:t>
      </w:r>
      <w:proofErr w:type="spellEnd"/>
      <w:r w:rsidR="00970227">
        <w:rPr>
          <w:lang w:val="en-AU"/>
        </w:rPr>
        <w:t xml:space="preserve"> </w:t>
      </w:r>
      <w:r w:rsidR="006C0F7F">
        <w:rPr>
          <w:lang w:val="en-AU"/>
        </w:rPr>
        <w:tab/>
      </w:r>
      <w:r w:rsidR="00970227">
        <w:rPr>
          <w:lang w:val="en-AU"/>
        </w:rPr>
        <w:t>(</w:t>
      </w:r>
      <w:proofErr w:type="spellStart"/>
      <w:r w:rsidR="00970227">
        <w:rPr>
          <w:lang w:val="en-AU"/>
        </w:rPr>
        <w:t>Watarrka</w:t>
      </w:r>
      <w:proofErr w:type="spellEnd"/>
      <w:r w:rsidR="00970227">
        <w:rPr>
          <w:lang w:val="en-AU"/>
        </w:rPr>
        <w:t xml:space="preserve"> NP/Kings Canyon)</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Mbunghara</w:t>
      </w:r>
      <w:proofErr w:type="spellEnd"/>
      <w:r w:rsidR="00172338">
        <w:rPr>
          <w:lang w:val="en-AU"/>
        </w:rPr>
        <w:t xml:space="preserve"> </w:t>
      </w:r>
      <w:r w:rsidR="006C0F7F">
        <w:rPr>
          <w:lang w:val="en-AU"/>
        </w:rPr>
        <w:tab/>
      </w:r>
      <w:r w:rsidR="00970227">
        <w:rPr>
          <w:lang w:val="en-AU"/>
        </w:rPr>
        <w:t>(</w:t>
      </w:r>
      <w:proofErr w:type="spellStart"/>
      <w:r w:rsidR="00970227">
        <w:rPr>
          <w:lang w:val="en-AU"/>
        </w:rPr>
        <w:t>Narwietooma</w:t>
      </w:r>
      <w:proofErr w:type="spellEnd"/>
      <w:r w:rsidR="00970227">
        <w:rPr>
          <w:lang w:val="en-AU"/>
        </w:rPr>
        <w:t>)</w:t>
      </w:r>
    </w:p>
    <w:p w:rsidR="00E728E9" w:rsidRDefault="00E728E9" w:rsidP="006B7CC9">
      <w:pPr>
        <w:pStyle w:val="ListParagraph"/>
        <w:numPr>
          <w:ilvl w:val="0"/>
          <w:numId w:val="11"/>
        </w:numPr>
        <w:tabs>
          <w:tab w:val="left" w:pos="3402"/>
        </w:tabs>
        <w:ind w:left="714" w:hanging="357"/>
        <w:rPr>
          <w:lang w:val="en-AU"/>
        </w:rPr>
      </w:pPr>
      <w:r>
        <w:rPr>
          <w:lang w:val="en-AU"/>
        </w:rPr>
        <w:t>Mulga Bore</w:t>
      </w:r>
      <w:r w:rsidR="00970227">
        <w:rPr>
          <w:lang w:val="en-AU"/>
        </w:rPr>
        <w:t>/</w:t>
      </w:r>
      <w:proofErr w:type="spellStart"/>
      <w:r w:rsidR="00172338">
        <w:rPr>
          <w:lang w:val="en-AU"/>
        </w:rPr>
        <w:t>Atartinga</w:t>
      </w:r>
      <w:proofErr w:type="spellEnd"/>
      <w:r w:rsidR="00970227">
        <w:rPr>
          <w:lang w:val="en-AU"/>
        </w:rPr>
        <w:t xml:space="preserve"> </w:t>
      </w:r>
      <w:r w:rsidR="006C0F7F">
        <w:rPr>
          <w:lang w:val="en-AU"/>
        </w:rPr>
        <w:tab/>
      </w:r>
      <w:r w:rsidR="00970227">
        <w:rPr>
          <w:lang w:val="en-AU"/>
        </w:rPr>
        <w:t>(</w:t>
      </w:r>
      <w:proofErr w:type="spellStart"/>
      <w:r w:rsidR="00970227">
        <w:rPr>
          <w:lang w:val="en-AU"/>
        </w:rPr>
        <w:t>Woodgreen</w:t>
      </w:r>
      <w:proofErr w:type="spellEnd"/>
      <w:r w:rsidR="00172338">
        <w:rPr>
          <w:lang w:val="en-AU"/>
        </w:rPr>
        <w:t>)</w:t>
      </w:r>
    </w:p>
    <w:p w:rsidR="00E728E9" w:rsidRDefault="00E728E9" w:rsidP="006B7CC9">
      <w:pPr>
        <w:pStyle w:val="ListParagraph"/>
        <w:numPr>
          <w:ilvl w:val="0"/>
          <w:numId w:val="11"/>
        </w:numPr>
        <w:tabs>
          <w:tab w:val="left" w:pos="3402"/>
        </w:tabs>
        <w:ind w:left="714" w:hanging="357"/>
        <w:rPr>
          <w:lang w:val="en-AU"/>
        </w:rPr>
      </w:pPr>
      <w:r>
        <w:rPr>
          <w:lang w:val="en-AU"/>
        </w:rPr>
        <w:t>Tara</w:t>
      </w:r>
      <w:r w:rsidR="00172338">
        <w:rPr>
          <w:lang w:val="en-AU"/>
        </w:rPr>
        <w:t xml:space="preserve"> </w:t>
      </w:r>
      <w:r w:rsidR="006C0F7F">
        <w:rPr>
          <w:lang w:val="en-AU"/>
        </w:rPr>
        <w:tab/>
      </w:r>
      <w:r w:rsidR="00172338">
        <w:rPr>
          <w:lang w:val="en-AU"/>
        </w:rPr>
        <w:t>(Neutral Junction)</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Titjikala</w:t>
      </w:r>
      <w:proofErr w:type="spellEnd"/>
      <w:r w:rsidR="00172338">
        <w:rPr>
          <w:lang w:val="en-AU"/>
        </w:rPr>
        <w:t xml:space="preserve"> </w:t>
      </w:r>
      <w:r w:rsidR="00D14F7B">
        <w:rPr>
          <w:lang w:val="en-AU"/>
        </w:rPr>
        <w:tab/>
      </w:r>
      <w:r w:rsidR="00172338">
        <w:rPr>
          <w:lang w:val="en-AU"/>
        </w:rPr>
        <w:t>(Maryvale)</w:t>
      </w:r>
    </w:p>
    <w:p w:rsidR="00172338" w:rsidRDefault="00172338" w:rsidP="006B7CC9">
      <w:pPr>
        <w:pStyle w:val="ListParagraph"/>
        <w:numPr>
          <w:ilvl w:val="0"/>
          <w:numId w:val="11"/>
        </w:numPr>
        <w:tabs>
          <w:tab w:val="left" w:pos="3402"/>
        </w:tabs>
        <w:ind w:left="714" w:hanging="357"/>
        <w:rPr>
          <w:lang w:val="en-AU"/>
        </w:rPr>
      </w:pPr>
      <w:proofErr w:type="spellStart"/>
      <w:r>
        <w:rPr>
          <w:lang w:val="en-AU"/>
        </w:rPr>
        <w:t>Ulpanyali</w:t>
      </w:r>
      <w:proofErr w:type="spellEnd"/>
      <w:r w:rsidR="00970227">
        <w:rPr>
          <w:lang w:val="en-AU"/>
        </w:rPr>
        <w:t xml:space="preserve"> </w:t>
      </w:r>
      <w:r w:rsidR="00D14F7B">
        <w:rPr>
          <w:lang w:val="en-AU"/>
        </w:rPr>
        <w:tab/>
      </w:r>
      <w:r w:rsidR="00970227">
        <w:rPr>
          <w:lang w:val="en-AU"/>
        </w:rPr>
        <w:t>(</w:t>
      </w:r>
      <w:proofErr w:type="spellStart"/>
      <w:r w:rsidR="00970227">
        <w:rPr>
          <w:lang w:val="en-AU"/>
        </w:rPr>
        <w:t>Watarrka</w:t>
      </w:r>
      <w:proofErr w:type="spellEnd"/>
      <w:r w:rsidR="00970227">
        <w:rPr>
          <w:lang w:val="en-AU"/>
        </w:rPr>
        <w:t xml:space="preserve"> NP/Kings Canyon)</w:t>
      </w:r>
    </w:p>
    <w:p w:rsidR="00172338" w:rsidRDefault="00172338" w:rsidP="006B7CC9">
      <w:pPr>
        <w:pStyle w:val="ListParagraph"/>
        <w:numPr>
          <w:ilvl w:val="0"/>
          <w:numId w:val="11"/>
        </w:numPr>
        <w:tabs>
          <w:tab w:val="left" w:pos="3402"/>
        </w:tabs>
        <w:ind w:left="714" w:hanging="357"/>
        <w:rPr>
          <w:lang w:val="en-AU"/>
        </w:rPr>
      </w:pPr>
      <w:proofErr w:type="spellStart"/>
      <w:r>
        <w:rPr>
          <w:lang w:val="en-AU"/>
        </w:rPr>
        <w:t>Wanmara</w:t>
      </w:r>
      <w:proofErr w:type="spellEnd"/>
      <w:r w:rsidR="00970227">
        <w:rPr>
          <w:lang w:val="en-AU"/>
        </w:rPr>
        <w:t xml:space="preserve"> </w:t>
      </w:r>
      <w:r w:rsidR="00D14F7B">
        <w:rPr>
          <w:lang w:val="en-AU"/>
        </w:rPr>
        <w:tab/>
      </w:r>
      <w:r w:rsidR="00970227">
        <w:rPr>
          <w:lang w:val="en-AU"/>
        </w:rPr>
        <w:t>(</w:t>
      </w:r>
      <w:proofErr w:type="spellStart"/>
      <w:r w:rsidR="00970227">
        <w:rPr>
          <w:lang w:val="en-AU"/>
        </w:rPr>
        <w:t>Watarrka</w:t>
      </w:r>
      <w:proofErr w:type="spellEnd"/>
      <w:r w:rsidR="00970227">
        <w:rPr>
          <w:lang w:val="en-AU"/>
        </w:rPr>
        <w:t xml:space="preserve"> NP/Kings Canyon)</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Wilora</w:t>
      </w:r>
      <w:proofErr w:type="spellEnd"/>
      <w:r w:rsidR="00172338">
        <w:rPr>
          <w:lang w:val="en-AU"/>
        </w:rPr>
        <w:t xml:space="preserve"> </w:t>
      </w:r>
      <w:r w:rsidR="00D14F7B">
        <w:rPr>
          <w:lang w:val="en-AU"/>
        </w:rPr>
        <w:tab/>
      </w:r>
      <w:r w:rsidR="00970227">
        <w:rPr>
          <w:lang w:val="en-AU"/>
        </w:rPr>
        <w:t>(Stirling)</w:t>
      </w:r>
    </w:p>
    <w:p w:rsidR="00E728E9" w:rsidRDefault="00E728E9" w:rsidP="006B7CC9">
      <w:pPr>
        <w:pStyle w:val="ListParagraph"/>
        <w:numPr>
          <w:ilvl w:val="0"/>
          <w:numId w:val="11"/>
        </w:numPr>
        <w:tabs>
          <w:tab w:val="left" w:pos="3402"/>
        </w:tabs>
        <w:ind w:left="714" w:hanging="357"/>
        <w:rPr>
          <w:lang w:val="en-AU"/>
        </w:rPr>
      </w:pPr>
      <w:proofErr w:type="spellStart"/>
      <w:r>
        <w:rPr>
          <w:lang w:val="en-AU"/>
        </w:rPr>
        <w:t>Wutunugurra</w:t>
      </w:r>
      <w:proofErr w:type="spellEnd"/>
      <w:r w:rsidR="00172338">
        <w:rPr>
          <w:lang w:val="en-AU"/>
        </w:rPr>
        <w:t xml:space="preserve"> </w:t>
      </w:r>
      <w:r w:rsidR="00D14F7B">
        <w:rPr>
          <w:lang w:val="en-AU"/>
        </w:rPr>
        <w:tab/>
      </w:r>
      <w:r w:rsidR="00172338">
        <w:rPr>
          <w:lang w:val="en-AU"/>
        </w:rPr>
        <w:t>(</w:t>
      </w:r>
      <w:proofErr w:type="spellStart"/>
      <w:r w:rsidR="00172338">
        <w:rPr>
          <w:lang w:val="en-AU"/>
        </w:rPr>
        <w:t>Epenarra</w:t>
      </w:r>
      <w:proofErr w:type="spellEnd"/>
      <w:r w:rsidR="00172338">
        <w:rPr>
          <w:lang w:val="en-AU"/>
        </w:rPr>
        <w:t>)</w:t>
      </w:r>
    </w:p>
    <w:p w:rsidR="00970227" w:rsidRDefault="00970227" w:rsidP="00D0176B">
      <w:pPr>
        <w:rPr>
          <w:lang w:val="en-AU"/>
        </w:rPr>
      </w:pPr>
    </w:p>
    <w:p w:rsidR="00E728E9" w:rsidRDefault="00D0176B" w:rsidP="00D0176B">
      <w:pPr>
        <w:rPr>
          <w:lang w:val="en-AU"/>
        </w:rPr>
      </w:pPr>
      <w:r>
        <w:rPr>
          <w:lang w:val="en-AU"/>
        </w:rPr>
        <w:t xml:space="preserve">CLAs in the CLC region also include </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Akapertatyeke</w:t>
      </w:r>
      <w:proofErr w:type="spellEnd"/>
      <w:r w:rsidRPr="00D0176B">
        <w:rPr>
          <w:lang w:val="en-AU"/>
        </w:rPr>
        <w:t xml:space="preserve"> </w:t>
      </w:r>
      <w:r w:rsidR="006C0F7F">
        <w:rPr>
          <w:lang w:val="en-AU"/>
        </w:rPr>
        <w:tab/>
      </w:r>
      <w:r>
        <w:rPr>
          <w:lang w:val="en-AU"/>
        </w:rPr>
        <w:t>(</w:t>
      </w:r>
      <w:proofErr w:type="spellStart"/>
      <w:r w:rsidRPr="00D0176B">
        <w:rPr>
          <w:lang w:val="en-AU"/>
        </w:rPr>
        <w:t>A</w:t>
      </w:r>
      <w:r>
        <w:rPr>
          <w:lang w:val="en-AU"/>
        </w:rPr>
        <w:t>ndado</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Akwerrnge</w:t>
      </w:r>
      <w:proofErr w:type="spellEnd"/>
      <w:r w:rsidRPr="00D0176B">
        <w:rPr>
          <w:lang w:val="en-AU"/>
        </w:rPr>
        <w:t xml:space="preserve"> </w:t>
      </w:r>
      <w:r w:rsidR="006C0F7F">
        <w:rPr>
          <w:lang w:val="en-AU"/>
        </w:rPr>
        <w:tab/>
      </w:r>
      <w:r>
        <w:rPr>
          <w:lang w:val="en-AU"/>
        </w:rPr>
        <w:t>(</w:t>
      </w:r>
      <w:r w:rsidRPr="00D0176B">
        <w:rPr>
          <w:lang w:val="en-AU"/>
        </w:rPr>
        <w:t>N</w:t>
      </w:r>
      <w:r>
        <w:rPr>
          <w:lang w:val="en-AU"/>
        </w:rPr>
        <w:t xml:space="preserve">eutral </w:t>
      </w:r>
      <w:r w:rsidRPr="00D0176B">
        <w:rPr>
          <w:lang w:val="en-AU"/>
        </w:rPr>
        <w:t>J</w:t>
      </w:r>
      <w:r>
        <w:rPr>
          <w:lang w:val="en-AU"/>
        </w:rPr>
        <w:t>unction</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Alatyeye</w:t>
      </w:r>
      <w:proofErr w:type="spellEnd"/>
      <w:r w:rsidR="006B7CC9">
        <w:rPr>
          <w:lang w:val="en-AU"/>
        </w:rPr>
        <w:t xml:space="preserve"> </w:t>
      </w:r>
      <w:r w:rsidR="006C0F7F">
        <w:rPr>
          <w:lang w:val="en-AU"/>
        </w:rPr>
        <w:tab/>
      </w:r>
      <w:r>
        <w:rPr>
          <w:lang w:val="en-AU"/>
        </w:rPr>
        <w:t>(</w:t>
      </w:r>
      <w:proofErr w:type="spellStart"/>
      <w:r w:rsidRPr="00D0176B">
        <w:rPr>
          <w:lang w:val="en-AU"/>
        </w:rPr>
        <w:t>A</w:t>
      </w:r>
      <w:r>
        <w:rPr>
          <w:lang w:val="en-AU"/>
        </w:rPr>
        <w:t>lkwert</w:t>
      </w:r>
      <w:proofErr w:type="spellEnd"/>
      <w:r>
        <w:rPr>
          <w:lang w:val="en-AU"/>
        </w:rPr>
        <w:t xml:space="preserve"> </w:t>
      </w:r>
      <w:r w:rsidRPr="00D0176B">
        <w:rPr>
          <w:lang w:val="en-AU"/>
        </w:rPr>
        <w:t>ALT/</w:t>
      </w:r>
      <w:r>
        <w:rPr>
          <w:lang w:val="en-AU"/>
        </w:rPr>
        <w:t xml:space="preserve"> previously </w:t>
      </w:r>
      <w:proofErr w:type="spellStart"/>
      <w:r w:rsidRPr="00D0176B">
        <w:rPr>
          <w:lang w:val="en-AU"/>
        </w:rPr>
        <w:t>A</w:t>
      </w:r>
      <w:r>
        <w:rPr>
          <w:lang w:val="en-AU"/>
        </w:rPr>
        <w:t>lcoota</w:t>
      </w:r>
      <w:proofErr w:type="spellEnd"/>
      <w:r>
        <w:rPr>
          <w:lang w:val="en-AU"/>
        </w:rPr>
        <w:t xml:space="preserve"> PPL</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9F0D8D">
        <w:rPr>
          <w:lang w:val="en-AU"/>
        </w:rPr>
        <w:t>Alkngirrweltye</w:t>
      </w:r>
      <w:proofErr w:type="spellEnd"/>
      <w:r w:rsidR="00D75E60">
        <w:rPr>
          <w:lang w:val="en-AU"/>
        </w:rPr>
        <w:t>/Snake Well</w:t>
      </w:r>
      <w:r w:rsidR="006C0F7F">
        <w:rPr>
          <w:lang w:val="en-AU"/>
        </w:rPr>
        <w:tab/>
      </w:r>
      <w:r>
        <w:rPr>
          <w:lang w:val="en-AU"/>
        </w:rPr>
        <w:t>(</w:t>
      </w:r>
      <w:proofErr w:type="spellStart"/>
      <w:r w:rsidRPr="00D0176B">
        <w:rPr>
          <w:lang w:val="en-AU"/>
        </w:rPr>
        <w:t>Y</w:t>
      </w:r>
      <w:r>
        <w:rPr>
          <w:lang w:val="en-AU"/>
        </w:rPr>
        <w:t>ambah</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Allalgara</w:t>
      </w:r>
      <w:proofErr w:type="spellEnd"/>
      <w:r w:rsidRPr="00D0176B">
        <w:rPr>
          <w:lang w:val="en-AU"/>
        </w:rPr>
        <w:t>/</w:t>
      </w:r>
      <w:proofErr w:type="spellStart"/>
      <w:r w:rsidRPr="00D0176B">
        <w:rPr>
          <w:lang w:val="en-AU"/>
        </w:rPr>
        <w:t>Annangara</w:t>
      </w:r>
      <w:proofErr w:type="spellEnd"/>
      <w:r w:rsidRPr="00D0176B">
        <w:rPr>
          <w:lang w:val="en-AU"/>
        </w:rPr>
        <w:t xml:space="preserve"> </w:t>
      </w:r>
      <w:r w:rsidR="006C0F7F">
        <w:rPr>
          <w:lang w:val="en-AU"/>
        </w:rPr>
        <w:tab/>
      </w:r>
      <w:r>
        <w:rPr>
          <w:lang w:val="en-AU"/>
        </w:rPr>
        <w:t>(</w:t>
      </w:r>
      <w:r w:rsidRPr="00D0176B">
        <w:rPr>
          <w:lang w:val="en-AU"/>
        </w:rPr>
        <w:t>M</w:t>
      </w:r>
      <w:r>
        <w:rPr>
          <w:lang w:val="en-AU"/>
        </w:rPr>
        <w:t>ount Skinner</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Aluralkwa</w:t>
      </w:r>
      <w:proofErr w:type="spellEnd"/>
      <w:r w:rsidRPr="00D0176B">
        <w:rPr>
          <w:lang w:val="en-AU"/>
        </w:rPr>
        <w:t xml:space="preserve"> </w:t>
      </w:r>
      <w:r w:rsidR="006C0F7F">
        <w:rPr>
          <w:lang w:val="en-AU"/>
        </w:rPr>
        <w:tab/>
      </w:r>
      <w:r>
        <w:rPr>
          <w:lang w:val="en-AU"/>
        </w:rPr>
        <w:t>(</w:t>
      </w:r>
      <w:proofErr w:type="spellStart"/>
      <w:r w:rsidRPr="00D0176B">
        <w:rPr>
          <w:lang w:val="en-AU"/>
        </w:rPr>
        <w:t>A</w:t>
      </w:r>
      <w:r>
        <w:rPr>
          <w:lang w:val="en-AU"/>
        </w:rPr>
        <w:t>rletherre</w:t>
      </w:r>
      <w:proofErr w:type="spellEnd"/>
      <w:r>
        <w:rPr>
          <w:lang w:val="en-AU"/>
        </w:rPr>
        <w:t xml:space="preserve"> </w:t>
      </w:r>
      <w:r w:rsidRPr="00D0176B">
        <w:rPr>
          <w:lang w:val="en-AU"/>
        </w:rPr>
        <w:t>ALT/</w:t>
      </w:r>
      <w:r>
        <w:rPr>
          <w:lang w:val="en-AU"/>
        </w:rPr>
        <w:t xml:space="preserve">previously </w:t>
      </w:r>
      <w:r w:rsidRPr="00D0176B">
        <w:rPr>
          <w:lang w:val="en-AU"/>
        </w:rPr>
        <w:t>L</w:t>
      </w:r>
      <w:r>
        <w:rPr>
          <w:lang w:val="en-AU"/>
        </w:rPr>
        <w:t>oves Creek PPL</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Alyue</w:t>
      </w:r>
      <w:r>
        <w:rPr>
          <w:lang w:val="en-AU"/>
        </w:rPr>
        <w:t>n</w:t>
      </w:r>
      <w:proofErr w:type="spellEnd"/>
      <w:r w:rsidRPr="00D0176B">
        <w:rPr>
          <w:lang w:val="en-AU"/>
        </w:rPr>
        <w:t xml:space="preserve"> </w:t>
      </w:r>
      <w:r w:rsidR="006C0F7F">
        <w:rPr>
          <w:lang w:val="en-AU"/>
        </w:rPr>
        <w:tab/>
      </w:r>
      <w:r>
        <w:rPr>
          <w:lang w:val="en-AU"/>
        </w:rPr>
        <w:t>(</w:t>
      </w:r>
      <w:r w:rsidRPr="00D0176B">
        <w:rPr>
          <w:lang w:val="en-AU"/>
        </w:rPr>
        <w:t>A</w:t>
      </w:r>
      <w:r>
        <w:rPr>
          <w:lang w:val="en-AU"/>
        </w:rPr>
        <w:t>ileron</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Angal</w:t>
      </w:r>
      <w:proofErr w:type="spellEnd"/>
      <w:r w:rsidRPr="00D0176B">
        <w:rPr>
          <w:lang w:val="en-AU"/>
        </w:rPr>
        <w:t xml:space="preserve"> </w:t>
      </w:r>
      <w:r w:rsidR="006C0F7F">
        <w:rPr>
          <w:lang w:val="en-AU"/>
        </w:rPr>
        <w:tab/>
      </w:r>
      <w:r>
        <w:rPr>
          <w:lang w:val="en-AU"/>
        </w:rPr>
        <w:t>(</w:t>
      </w:r>
      <w:r w:rsidRPr="00D0176B">
        <w:rPr>
          <w:lang w:val="en-AU"/>
        </w:rPr>
        <w:t>P</w:t>
      </w:r>
      <w:r>
        <w:rPr>
          <w:lang w:val="en-AU"/>
        </w:rPr>
        <w:t>ine Hill</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Angula</w:t>
      </w:r>
      <w:proofErr w:type="spellEnd"/>
      <w:r w:rsidRPr="00D0176B">
        <w:rPr>
          <w:lang w:val="en-AU"/>
        </w:rPr>
        <w:t xml:space="preserve"> </w:t>
      </w:r>
      <w:r w:rsidR="006C0F7F">
        <w:rPr>
          <w:lang w:val="en-AU"/>
        </w:rPr>
        <w:tab/>
      </w:r>
      <w:r>
        <w:rPr>
          <w:lang w:val="en-AU"/>
        </w:rPr>
        <w:t>(</w:t>
      </w:r>
      <w:proofErr w:type="spellStart"/>
      <w:r w:rsidRPr="00D0176B">
        <w:rPr>
          <w:lang w:val="en-AU"/>
        </w:rPr>
        <w:t>A</w:t>
      </w:r>
      <w:r>
        <w:rPr>
          <w:lang w:val="en-AU"/>
        </w:rPr>
        <w:t>tartinga</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Anyungyumba</w:t>
      </w:r>
      <w:proofErr w:type="spellEnd"/>
      <w:r w:rsidRPr="00D0176B">
        <w:rPr>
          <w:lang w:val="en-AU"/>
        </w:rPr>
        <w:t xml:space="preserve"> </w:t>
      </w:r>
      <w:r w:rsidR="006C0F7F">
        <w:rPr>
          <w:lang w:val="en-AU"/>
        </w:rPr>
        <w:tab/>
      </w:r>
      <w:r>
        <w:rPr>
          <w:lang w:val="en-AU"/>
        </w:rPr>
        <w:t>(</w:t>
      </w:r>
      <w:r w:rsidRPr="00D0176B">
        <w:rPr>
          <w:lang w:val="en-AU"/>
        </w:rPr>
        <w:t>P</w:t>
      </w:r>
      <w:r>
        <w:rPr>
          <w:lang w:val="en-AU"/>
        </w:rPr>
        <w:t>ine Hill</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Areyn</w:t>
      </w:r>
      <w:proofErr w:type="spellEnd"/>
      <w:r w:rsidRPr="00D0176B">
        <w:rPr>
          <w:lang w:val="en-AU"/>
        </w:rPr>
        <w:t xml:space="preserve"> </w:t>
      </w:r>
      <w:r w:rsidR="006C0F7F">
        <w:rPr>
          <w:lang w:val="en-AU"/>
        </w:rPr>
        <w:tab/>
      </w:r>
      <w:r w:rsidRPr="00D0176B">
        <w:rPr>
          <w:lang w:val="en-AU"/>
        </w:rPr>
        <w:t>(</w:t>
      </w:r>
      <w:r>
        <w:rPr>
          <w:lang w:val="en-AU"/>
        </w:rPr>
        <w:t>Derry Downs</w:t>
      </w:r>
      <w:r w:rsidRPr="00D0176B">
        <w:rPr>
          <w:lang w:val="en-AU"/>
        </w:rPr>
        <w:t>)</w:t>
      </w:r>
    </w:p>
    <w:p w:rsidR="00970227" w:rsidRPr="00D0176B" w:rsidRDefault="00970227" w:rsidP="006536C0">
      <w:pPr>
        <w:pStyle w:val="ListParagraph"/>
        <w:numPr>
          <w:ilvl w:val="0"/>
          <w:numId w:val="11"/>
        </w:numPr>
        <w:tabs>
          <w:tab w:val="left" w:pos="3402"/>
        </w:tabs>
        <w:rPr>
          <w:lang w:val="en-AU"/>
        </w:rPr>
      </w:pPr>
      <w:r w:rsidRPr="00D0176B">
        <w:rPr>
          <w:lang w:val="en-AU"/>
        </w:rPr>
        <w:t>Bamboo Springs</w:t>
      </w:r>
      <w:r w:rsidR="00D75E60">
        <w:rPr>
          <w:lang w:val="en-AU"/>
        </w:rPr>
        <w:t>/</w:t>
      </w:r>
      <w:proofErr w:type="spellStart"/>
      <w:r w:rsidR="00D75E60">
        <w:rPr>
          <w:lang w:val="en-AU"/>
        </w:rPr>
        <w:t>Jirngow</w:t>
      </w:r>
      <w:proofErr w:type="spellEnd"/>
      <w:r w:rsidR="006C0F7F">
        <w:rPr>
          <w:lang w:val="en-AU"/>
        </w:rPr>
        <w:tab/>
      </w:r>
      <w:r>
        <w:rPr>
          <w:lang w:val="en-AU"/>
        </w:rPr>
        <w:t>(</w:t>
      </w:r>
      <w:proofErr w:type="spellStart"/>
      <w:r w:rsidRPr="00D0176B">
        <w:rPr>
          <w:lang w:val="en-AU"/>
        </w:rPr>
        <w:t>M</w:t>
      </w:r>
      <w:r>
        <w:rPr>
          <w:lang w:val="en-AU"/>
        </w:rPr>
        <w:t>alngin</w:t>
      </w:r>
      <w:proofErr w:type="spellEnd"/>
      <w:r w:rsidRPr="00D0176B">
        <w:rPr>
          <w:lang w:val="en-AU"/>
        </w:rPr>
        <w:t xml:space="preserve"> 2 ALT/</w:t>
      </w:r>
      <w:r>
        <w:rPr>
          <w:lang w:val="en-AU"/>
        </w:rPr>
        <w:t xml:space="preserve">previously </w:t>
      </w:r>
      <w:r w:rsidRPr="00D0176B">
        <w:rPr>
          <w:lang w:val="en-AU"/>
        </w:rPr>
        <w:t>W</w:t>
      </w:r>
      <w:r>
        <w:rPr>
          <w:lang w:val="en-AU"/>
        </w:rPr>
        <w:t>aterloo PPL</w:t>
      </w:r>
      <w:r w:rsidRPr="00D0176B">
        <w:rPr>
          <w:lang w:val="en-AU"/>
        </w:rPr>
        <w:t>)</w:t>
      </w:r>
    </w:p>
    <w:p w:rsidR="00970227" w:rsidRPr="00D0176B" w:rsidRDefault="00D75E60" w:rsidP="006536C0">
      <w:pPr>
        <w:pStyle w:val="ListParagraph"/>
        <w:numPr>
          <w:ilvl w:val="0"/>
          <w:numId w:val="11"/>
        </w:numPr>
        <w:tabs>
          <w:tab w:val="left" w:pos="3402"/>
        </w:tabs>
        <w:rPr>
          <w:lang w:val="en-AU"/>
        </w:rPr>
      </w:pPr>
      <w:proofErr w:type="spellStart"/>
      <w:r>
        <w:rPr>
          <w:lang w:val="en-AU"/>
        </w:rPr>
        <w:t>Djudngaridi</w:t>
      </w:r>
      <w:proofErr w:type="spellEnd"/>
      <w:r>
        <w:rPr>
          <w:lang w:val="en-AU"/>
        </w:rPr>
        <w:t>/</w:t>
      </w:r>
      <w:r w:rsidR="00970227" w:rsidRPr="00D0176B">
        <w:rPr>
          <w:lang w:val="en-AU"/>
        </w:rPr>
        <w:t>Blue Hole</w:t>
      </w:r>
      <w:r w:rsidR="006C0F7F">
        <w:rPr>
          <w:lang w:val="en-AU"/>
        </w:rPr>
        <w:tab/>
      </w:r>
      <w:r w:rsidR="00970227">
        <w:rPr>
          <w:lang w:val="en-AU"/>
        </w:rPr>
        <w:t>(</w:t>
      </w:r>
      <w:proofErr w:type="spellStart"/>
      <w:r w:rsidR="00970227" w:rsidRPr="00D0176B">
        <w:rPr>
          <w:lang w:val="en-AU"/>
        </w:rPr>
        <w:t>L</w:t>
      </w:r>
      <w:r w:rsidR="00970227">
        <w:rPr>
          <w:lang w:val="en-AU"/>
        </w:rPr>
        <w:t>imbunya</w:t>
      </w:r>
      <w:proofErr w:type="spellEnd"/>
      <w:r w:rsidR="00970227"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Dinnie</w:t>
      </w:r>
      <w:proofErr w:type="spellEnd"/>
      <w:r>
        <w:rPr>
          <w:lang w:val="en-AU"/>
        </w:rPr>
        <w:t xml:space="preserve"> </w:t>
      </w:r>
      <w:r w:rsidR="006C0F7F">
        <w:rPr>
          <w:lang w:val="en-AU"/>
        </w:rPr>
        <w:tab/>
      </w:r>
      <w:r>
        <w:rPr>
          <w:lang w:val="en-AU"/>
        </w:rPr>
        <w:t>(</w:t>
      </w:r>
      <w:proofErr w:type="spellStart"/>
      <w:r w:rsidRPr="00D0176B">
        <w:rPr>
          <w:lang w:val="en-AU"/>
        </w:rPr>
        <w:t>E</w:t>
      </w:r>
      <w:r>
        <w:rPr>
          <w:lang w:val="en-AU"/>
        </w:rPr>
        <w:t>lkedra</w:t>
      </w:r>
      <w:proofErr w:type="spellEnd"/>
      <w:r>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Ilpurla</w:t>
      </w:r>
      <w:proofErr w:type="spellEnd"/>
      <w:r w:rsidR="006B7CC9">
        <w:rPr>
          <w:lang w:val="en-AU"/>
        </w:rPr>
        <w:t xml:space="preserve"> </w:t>
      </w:r>
      <w:r w:rsidR="006C0F7F">
        <w:rPr>
          <w:lang w:val="en-AU"/>
        </w:rPr>
        <w:tab/>
      </w:r>
      <w:r>
        <w:rPr>
          <w:lang w:val="en-AU"/>
        </w:rPr>
        <w:t>(</w:t>
      </w:r>
      <w:proofErr w:type="spellStart"/>
      <w:r w:rsidRPr="00D0176B">
        <w:rPr>
          <w:lang w:val="en-AU"/>
        </w:rPr>
        <w:t>H</w:t>
      </w:r>
      <w:r>
        <w:rPr>
          <w:lang w:val="en-AU"/>
        </w:rPr>
        <w:t>enbury</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Imperrenth</w:t>
      </w:r>
      <w:proofErr w:type="spellEnd"/>
      <w:r w:rsidRPr="00D0176B">
        <w:rPr>
          <w:lang w:val="en-AU"/>
        </w:rPr>
        <w:t xml:space="preserve"> </w:t>
      </w:r>
      <w:r w:rsidR="006C0F7F">
        <w:rPr>
          <w:lang w:val="en-AU"/>
        </w:rPr>
        <w:tab/>
      </w:r>
      <w:r>
        <w:rPr>
          <w:lang w:val="en-AU"/>
        </w:rPr>
        <w:t>(</w:t>
      </w:r>
      <w:proofErr w:type="spellStart"/>
      <w:r w:rsidRPr="00D0176B">
        <w:rPr>
          <w:lang w:val="en-AU"/>
        </w:rPr>
        <w:t>E</w:t>
      </w:r>
      <w:r>
        <w:rPr>
          <w:lang w:val="en-AU"/>
        </w:rPr>
        <w:t>lkedra</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Inelye</w:t>
      </w:r>
      <w:proofErr w:type="spellEnd"/>
      <w:r w:rsidRPr="00D0176B">
        <w:rPr>
          <w:lang w:val="en-AU"/>
        </w:rPr>
        <w:t xml:space="preserve"> </w:t>
      </w:r>
      <w:r w:rsidR="006C0F7F">
        <w:rPr>
          <w:lang w:val="en-AU"/>
        </w:rPr>
        <w:tab/>
      </w:r>
      <w:r>
        <w:rPr>
          <w:lang w:val="en-AU"/>
        </w:rPr>
        <w:t>(</w:t>
      </w:r>
      <w:proofErr w:type="spellStart"/>
      <w:r w:rsidRPr="00D0176B">
        <w:rPr>
          <w:lang w:val="en-AU"/>
        </w:rPr>
        <w:t>H</w:t>
      </w:r>
      <w:r>
        <w:rPr>
          <w:lang w:val="en-AU"/>
        </w:rPr>
        <w:t>uckitta</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Injulkama</w:t>
      </w:r>
      <w:proofErr w:type="spellEnd"/>
      <w:r w:rsidRPr="00D0176B">
        <w:rPr>
          <w:lang w:val="en-AU"/>
        </w:rPr>
        <w:t xml:space="preserve"> </w:t>
      </w:r>
      <w:r w:rsidR="006C0F7F">
        <w:rPr>
          <w:lang w:val="en-AU"/>
        </w:rPr>
        <w:tab/>
      </w:r>
      <w:r>
        <w:rPr>
          <w:lang w:val="en-AU"/>
        </w:rPr>
        <w:t>(</w:t>
      </w:r>
      <w:proofErr w:type="spellStart"/>
      <w:r w:rsidRPr="00D0176B">
        <w:rPr>
          <w:lang w:val="en-AU"/>
        </w:rPr>
        <w:t>A</w:t>
      </w:r>
      <w:r>
        <w:rPr>
          <w:lang w:val="en-AU"/>
        </w:rPr>
        <w:t>mburla</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Irlentye</w:t>
      </w:r>
      <w:proofErr w:type="spellEnd"/>
      <w:r w:rsidRPr="00D0176B">
        <w:rPr>
          <w:lang w:val="en-AU"/>
        </w:rPr>
        <w:t xml:space="preserve"> </w:t>
      </w:r>
      <w:r w:rsidR="006C0F7F">
        <w:rPr>
          <w:lang w:val="en-AU"/>
        </w:rPr>
        <w:tab/>
      </w:r>
      <w:r>
        <w:rPr>
          <w:lang w:val="en-AU"/>
        </w:rPr>
        <w:t>(</w:t>
      </w:r>
      <w:r w:rsidRPr="00D0176B">
        <w:rPr>
          <w:lang w:val="en-AU"/>
        </w:rPr>
        <w:t>G</w:t>
      </w:r>
      <w:r>
        <w:rPr>
          <w:lang w:val="en-AU"/>
        </w:rPr>
        <w:t>oyder Stock Route</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Irretety</w:t>
      </w:r>
      <w:proofErr w:type="spellEnd"/>
      <w:r w:rsidRPr="00D0176B">
        <w:rPr>
          <w:lang w:val="en-AU"/>
        </w:rPr>
        <w:t xml:space="preserve"> </w:t>
      </w:r>
      <w:r w:rsidR="006C0F7F">
        <w:rPr>
          <w:lang w:val="en-AU"/>
        </w:rPr>
        <w:tab/>
      </w:r>
      <w:r>
        <w:rPr>
          <w:lang w:val="en-AU"/>
        </w:rPr>
        <w:t>(</w:t>
      </w:r>
      <w:proofErr w:type="spellStart"/>
      <w:r w:rsidRPr="00D0176B">
        <w:rPr>
          <w:lang w:val="en-AU"/>
        </w:rPr>
        <w:t>O</w:t>
      </w:r>
      <w:r>
        <w:rPr>
          <w:lang w:val="en-AU"/>
        </w:rPr>
        <w:t>oratippra</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Irtnwere</w:t>
      </w:r>
      <w:proofErr w:type="spellEnd"/>
      <w:r w:rsidRPr="00D0176B">
        <w:rPr>
          <w:lang w:val="en-AU"/>
        </w:rPr>
        <w:t xml:space="preserve"> </w:t>
      </w:r>
      <w:proofErr w:type="spellStart"/>
      <w:r w:rsidRPr="00D0176B">
        <w:rPr>
          <w:lang w:val="en-AU"/>
        </w:rPr>
        <w:t>Tyewelkere</w:t>
      </w:r>
      <w:proofErr w:type="spellEnd"/>
      <w:r w:rsidRPr="00D0176B">
        <w:rPr>
          <w:lang w:val="en-AU"/>
        </w:rPr>
        <w:t xml:space="preserve"> </w:t>
      </w:r>
      <w:r w:rsidR="006C0F7F">
        <w:rPr>
          <w:lang w:val="en-AU"/>
        </w:rPr>
        <w:tab/>
      </w:r>
      <w:r>
        <w:rPr>
          <w:lang w:val="en-AU"/>
        </w:rPr>
        <w:t>(</w:t>
      </w:r>
      <w:proofErr w:type="spellStart"/>
      <w:r>
        <w:rPr>
          <w:lang w:val="en-AU"/>
        </w:rPr>
        <w:t>Tyurretye</w:t>
      </w:r>
      <w:proofErr w:type="spellEnd"/>
      <w:r>
        <w:rPr>
          <w:lang w:val="en-AU"/>
        </w:rPr>
        <w:t xml:space="preserve"> ALT/</w:t>
      </w:r>
      <w:r w:rsidRPr="00D0176B">
        <w:rPr>
          <w:lang w:val="en-AU"/>
        </w:rPr>
        <w:t>W</w:t>
      </w:r>
      <w:r>
        <w:rPr>
          <w:lang w:val="en-AU"/>
        </w:rPr>
        <w:t xml:space="preserve">est </w:t>
      </w:r>
      <w:r w:rsidRPr="00D0176B">
        <w:rPr>
          <w:lang w:val="en-AU"/>
        </w:rPr>
        <w:t>M</w:t>
      </w:r>
      <w:r>
        <w:rPr>
          <w:lang w:val="en-AU"/>
        </w:rPr>
        <w:t>acDonnell</w:t>
      </w:r>
      <w:r w:rsidRPr="00D0176B">
        <w:rPr>
          <w:lang w:val="en-AU"/>
        </w:rPr>
        <w:t xml:space="preserve"> NP)</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Jungarrayiwarnu</w:t>
      </w:r>
      <w:proofErr w:type="spellEnd"/>
      <w:r>
        <w:rPr>
          <w:lang w:val="en-AU"/>
        </w:rPr>
        <w:t xml:space="preserve"> </w:t>
      </w:r>
      <w:r w:rsidR="006C0F7F">
        <w:rPr>
          <w:lang w:val="en-AU"/>
        </w:rPr>
        <w:tab/>
      </w:r>
      <w:r>
        <w:rPr>
          <w:lang w:val="en-AU"/>
        </w:rPr>
        <w:t>(</w:t>
      </w:r>
      <w:r w:rsidRPr="00D0176B">
        <w:rPr>
          <w:lang w:val="en-AU"/>
        </w:rPr>
        <w:t>N</w:t>
      </w:r>
      <w:r>
        <w:rPr>
          <w:lang w:val="en-AU"/>
        </w:rPr>
        <w:t>ewhaven)</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lastRenderedPageBreak/>
        <w:t>Jurntu</w:t>
      </w:r>
      <w:proofErr w:type="spellEnd"/>
      <w:r w:rsidRPr="00D0176B">
        <w:rPr>
          <w:lang w:val="en-AU"/>
        </w:rPr>
        <w:t xml:space="preserve"> </w:t>
      </w:r>
      <w:proofErr w:type="spellStart"/>
      <w:r w:rsidRPr="00D0176B">
        <w:rPr>
          <w:lang w:val="en-AU"/>
        </w:rPr>
        <w:t>Jungu</w:t>
      </w:r>
      <w:proofErr w:type="spellEnd"/>
      <w:r w:rsidRPr="00D0176B">
        <w:rPr>
          <w:lang w:val="en-AU"/>
        </w:rPr>
        <w:t xml:space="preserve"> </w:t>
      </w:r>
      <w:r w:rsidR="006C0F7F">
        <w:rPr>
          <w:lang w:val="en-AU"/>
        </w:rPr>
        <w:tab/>
      </w:r>
      <w:r>
        <w:rPr>
          <w:lang w:val="en-AU"/>
        </w:rPr>
        <w:t>(</w:t>
      </w:r>
      <w:r w:rsidRPr="00D0176B">
        <w:rPr>
          <w:lang w:val="en-AU"/>
        </w:rPr>
        <w:t>P</w:t>
      </w:r>
      <w:r>
        <w:rPr>
          <w:lang w:val="en-AU"/>
        </w:rPr>
        <w:t>hillip Creek</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Karrinyarra</w:t>
      </w:r>
      <w:proofErr w:type="spellEnd"/>
      <w:r w:rsidRPr="00D0176B">
        <w:rPr>
          <w:lang w:val="en-AU"/>
        </w:rPr>
        <w:t xml:space="preserve"> </w:t>
      </w:r>
      <w:r w:rsidR="006C0F7F">
        <w:rPr>
          <w:lang w:val="en-AU"/>
        </w:rPr>
        <w:tab/>
      </w:r>
      <w:r>
        <w:rPr>
          <w:lang w:val="en-AU"/>
        </w:rPr>
        <w:t>(</w:t>
      </w:r>
      <w:proofErr w:type="spellStart"/>
      <w:r w:rsidRPr="00D0176B">
        <w:rPr>
          <w:lang w:val="en-AU"/>
        </w:rPr>
        <w:t>N</w:t>
      </w:r>
      <w:r>
        <w:rPr>
          <w:lang w:val="en-AU"/>
        </w:rPr>
        <w:t>galurrtju</w:t>
      </w:r>
      <w:proofErr w:type="spellEnd"/>
      <w:r>
        <w:rPr>
          <w:lang w:val="en-AU"/>
        </w:rPr>
        <w:t xml:space="preserve"> </w:t>
      </w:r>
      <w:r w:rsidRPr="00D0176B">
        <w:rPr>
          <w:lang w:val="en-AU"/>
        </w:rPr>
        <w:t>ALT</w:t>
      </w:r>
      <w:r>
        <w:rPr>
          <w:lang w:val="en-AU"/>
        </w:rPr>
        <w:t>/previously Central Mount Wedge PPL</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Pr>
          <w:lang w:val="en-AU"/>
        </w:rPr>
        <w:t>Karu</w:t>
      </w:r>
      <w:proofErr w:type="spellEnd"/>
      <w:r>
        <w:rPr>
          <w:lang w:val="en-AU"/>
        </w:rPr>
        <w:t xml:space="preserve"> </w:t>
      </w:r>
      <w:proofErr w:type="spellStart"/>
      <w:r>
        <w:rPr>
          <w:lang w:val="en-AU"/>
        </w:rPr>
        <w:t>Mutu</w:t>
      </w:r>
      <w:proofErr w:type="spellEnd"/>
      <w:r>
        <w:rPr>
          <w:lang w:val="en-AU"/>
        </w:rPr>
        <w:t xml:space="preserve"> </w:t>
      </w:r>
      <w:r w:rsidR="006C0F7F">
        <w:rPr>
          <w:lang w:val="en-AU"/>
        </w:rPr>
        <w:tab/>
      </w:r>
      <w:r>
        <w:rPr>
          <w:lang w:val="en-AU"/>
        </w:rPr>
        <w:t>(</w:t>
      </w:r>
      <w:proofErr w:type="spellStart"/>
      <w:r>
        <w:rPr>
          <w:lang w:val="en-AU"/>
        </w:rPr>
        <w:t>Erldunda</w:t>
      </w:r>
      <w:proofErr w:type="spellEnd"/>
      <w:r>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Kurripi</w:t>
      </w:r>
      <w:proofErr w:type="spellEnd"/>
      <w:r w:rsidRPr="00D0176B">
        <w:rPr>
          <w:lang w:val="en-AU"/>
        </w:rPr>
        <w:t xml:space="preserve"> </w:t>
      </w:r>
      <w:r w:rsidR="006C0F7F">
        <w:rPr>
          <w:lang w:val="en-AU"/>
        </w:rPr>
        <w:tab/>
      </w:r>
      <w:r>
        <w:rPr>
          <w:lang w:val="en-AU"/>
        </w:rPr>
        <w:t>(</w:t>
      </w:r>
      <w:r w:rsidRPr="00D0176B">
        <w:rPr>
          <w:lang w:val="en-AU"/>
        </w:rPr>
        <w:t>M</w:t>
      </w:r>
      <w:r>
        <w:rPr>
          <w:lang w:val="en-AU"/>
        </w:rPr>
        <w:t>ount Denison</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Mamp</w:t>
      </w:r>
      <w:proofErr w:type="spellEnd"/>
      <w:r w:rsidR="006B7CC9">
        <w:rPr>
          <w:lang w:val="en-AU"/>
        </w:rPr>
        <w:t xml:space="preserve"> </w:t>
      </w:r>
      <w:r w:rsidR="006C0F7F">
        <w:rPr>
          <w:lang w:val="en-AU"/>
        </w:rPr>
        <w:tab/>
      </w:r>
      <w:r>
        <w:rPr>
          <w:lang w:val="en-AU"/>
        </w:rPr>
        <w:t>(</w:t>
      </w:r>
      <w:r w:rsidRPr="00D0176B">
        <w:rPr>
          <w:lang w:val="en-AU"/>
        </w:rPr>
        <w:t>C</w:t>
      </w:r>
      <w:r>
        <w:rPr>
          <w:lang w:val="en-AU"/>
        </w:rPr>
        <w:t>oniston</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Maperte</w:t>
      </w:r>
      <w:proofErr w:type="spellEnd"/>
      <w:r w:rsidRPr="00D0176B">
        <w:rPr>
          <w:lang w:val="en-AU"/>
        </w:rPr>
        <w:t xml:space="preserve"> </w:t>
      </w:r>
      <w:r w:rsidR="006C0F7F">
        <w:rPr>
          <w:lang w:val="en-AU"/>
        </w:rPr>
        <w:tab/>
      </w:r>
      <w:r>
        <w:rPr>
          <w:lang w:val="en-AU"/>
        </w:rPr>
        <w:t>(</w:t>
      </w:r>
      <w:r w:rsidRPr="00D0176B">
        <w:rPr>
          <w:lang w:val="en-AU"/>
        </w:rPr>
        <w:t>L</w:t>
      </w:r>
      <w:r>
        <w:rPr>
          <w:lang w:val="en-AU"/>
        </w:rPr>
        <w:t>ucy</w:t>
      </w:r>
      <w:r w:rsidRPr="00D0176B">
        <w:rPr>
          <w:lang w:val="en-AU"/>
        </w:rPr>
        <w:t xml:space="preserve"> C</w:t>
      </w:r>
      <w:r>
        <w:rPr>
          <w:lang w:val="en-AU"/>
        </w:rPr>
        <w:t>reek</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Meercantie</w:t>
      </w:r>
      <w:proofErr w:type="spellEnd"/>
      <w:r w:rsidRPr="00D0176B">
        <w:rPr>
          <w:lang w:val="en-AU"/>
        </w:rPr>
        <w:t xml:space="preserve"> </w:t>
      </w:r>
      <w:r w:rsidR="006C0F7F">
        <w:rPr>
          <w:lang w:val="en-AU"/>
        </w:rPr>
        <w:tab/>
      </w:r>
      <w:r>
        <w:rPr>
          <w:lang w:val="en-AU"/>
        </w:rPr>
        <w:t>(</w:t>
      </w:r>
      <w:r w:rsidRPr="00D0176B">
        <w:rPr>
          <w:lang w:val="en-AU"/>
        </w:rPr>
        <w:t>M</w:t>
      </w:r>
      <w:r>
        <w:rPr>
          <w:lang w:val="en-AU"/>
        </w:rPr>
        <w:t>ount Doreen)</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Menge</w:t>
      </w:r>
      <w:proofErr w:type="spellEnd"/>
      <w:r w:rsidRPr="00D0176B">
        <w:rPr>
          <w:lang w:val="en-AU"/>
        </w:rPr>
        <w:t xml:space="preserve"> </w:t>
      </w:r>
      <w:r w:rsidR="006C0F7F">
        <w:rPr>
          <w:lang w:val="en-AU"/>
        </w:rPr>
        <w:tab/>
      </w:r>
      <w:r>
        <w:rPr>
          <w:lang w:val="en-AU"/>
        </w:rPr>
        <w:t>(</w:t>
      </w:r>
      <w:proofErr w:type="spellStart"/>
      <w:r>
        <w:rPr>
          <w:lang w:val="en-AU"/>
        </w:rPr>
        <w:t>Tyurretye</w:t>
      </w:r>
      <w:proofErr w:type="spellEnd"/>
      <w:r>
        <w:rPr>
          <w:lang w:val="en-AU"/>
        </w:rPr>
        <w:t xml:space="preserve"> ALT/</w:t>
      </w:r>
      <w:r w:rsidRPr="00D0176B">
        <w:rPr>
          <w:lang w:val="en-AU"/>
        </w:rPr>
        <w:t>W</w:t>
      </w:r>
      <w:r>
        <w:rPr>
          <w:lang w:val="en-AU"/>
        </w:rPr>
        <w:t>est MacDonnell NP</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Moondabijerra</w:t>
      </w:r>
      <w:proofErr w:type="spellEnd"/>
      <w:r w:rsidRPr="00D0176B">
        <w:rPr>
          <w:lang w:val="en-AU"/>
        </w:rPr>
        <w:t xml:space="preserve"> </w:t>
      </w:r>
      <w:r w:rsidR="006C0F7F">
        <w:rPr>
          <w:lang w:val="en-AU"/>
        </w:rPr>
        <w:tab/>
      </w:r>
      <w:r>
        <w:rPr>
          <w:lang w:val="en-AU"/>
        </w:rPr>
        <w:t>(</w:t>
      </w:r>
      <w:proofErr w:type="spellStart"/>
      <w:r w:rsidRPr="00D0176B">
        <w:rPr>
          <w:lang w:val="en-AU"/>
        </w:rPr>
        <w:t>M</w:t>
      </w:r>
      <w:r>
        <w:rPr>
          <w:lang w:val="en-AU"/>
        </w:rPr>
        <w:t>alngin</w:t>
      </w:r>
      <w:proofErr w:type="spellEnd"/>
      <w:r w:rsidRPr="00D0176B">
        <w:rPr>
          <w:lang w:val="en-AU"/>
        </w:rPr>
        <w:t xml:space="preserve"> ALT/</w:t>
      </w:r>
      <w:r>
        <w:rPr>
          <w:lang w:val="en-AU"/>
        </w:rPr>
        <w:t>previously Mistake Creek PPL</w:t>
      </w:r>
      <w:r w:rsidRPr="00D0176B">
        <w:rPr>
          <w:lang w:val="en-AU"/>
        </w:rPr>
        <w:t>)</w:t>
      </w:r>
    </w:p>
    <w:p w:rsidR="00970227" w:rsidRPr="00D0176B" w:rsidRDefault="00970227" w:rsidP="006536C0">
      <w:pPr>
        <w:pStyle w:val="ListParagraph"/>
        <w:numPr>
          <w:ilvl w:val="0"/>
          <w:numId w:val="11"/>
        </w:numPr>
        <w:tabs>
          <w:tab w:val="left" w:pos="3402"/>
        </w:tabs>
        <w:rPr>
          <w:lang w:val="en-AU"/>
        </w:rPr>
      </w:pPr>
      <w:r w:rsidRPr="00D0176B">
        <w:rPr>
          <w:lang w:val="en-AU"/>
        </w:rPr>
        <w:t xml:space="preserve">Mount </w:t>
      </w:r>
      <w:proofErr w:type="spellStart"/>
      <w:r w:rsidRPr="00D0176B">
        <w:rPr>
          <w:lang w:val="en-AU"/>
        </w:rPr>
        <w:t>Maiyo</w:t>
      </w:r>
      <w:proofErr w:type="spellEnd"/>
      <w:r w:rsidRPr="00D0176B">
        <w:rPr>
          <w:lang w:val="en-AU"/>
        </w:rPr>
        <w:t xml:space="preserve"> </w:t>
      </w:r>
      <w:r w:rsidR="006C0F7F">
        <w:rPr>
          <w:lang w:val="en-AU"/>
        </w:rPr>
        <w:tab/>
      </w:r>
      <w:r>
        <w:rPr>
          <w:lang w:val="en-AU"/>
        </w:rPr>
        <w:t>(</w:t>
      </w:r>
      <w:proofErr w:type="spellStart"/>
      <w:r w:rsidRPr="00D0176B">
        <w:rPr>
          <w:lang w:val="en-AU"/>
        </w:rPr>
        <w:t>K</w:t>
      </w:r>
      <w:r>
        <w:rPr>
          <w:lang w:val="en-AU"/>
        </w:rPr>
        <w:t>irkimbie</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Ngkerralye</w:t>
      </w:r>
      <w:proofErr w:type="spellEnd"/>
      <w:r w:rsidRPr="00D0176B">
        <w:rPr>
          <w:lang w:val="en-AU"/>
        </w:rPr>
        <w:t xml:space="preserve"> </w:t>
      </w:r>
      <w:r w:rsidR="006C0F7F">
        <w:rPr>
          <w:lang w:val="en-AU"/>
        </w:rPr>
        <w:tab/>
      </w:r>
      <w:r>
        <w:rPr>
          <w:lang w:val="en-AU"/>
        </w:rPr>
        <w:t>(</w:t>
      </w:r>
      <w:proofErr w:type="spellStart"/>
      <w:r w:rsidRPr="00D0176B">
        <w:rPr>
          <w:lang w:val="en-AU"/>
        </w:rPr>
        <w:t>D</w:t>
      </w:r>
      <w:r>
        <w:rPr>
          <w:lang w:val="en-AU"/>
        </w:rPr>
        <w:t>neiper</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Pantharrpilenhe</w:t>
      </w:r>
      <w:proofErr w:type="spellEnd"/>
      <w:r w:rsidRPr="00D0176B">
        <w:rPr>
          <w:lang w:val="en-AU"/>
        </w:rPr>
        <w:t xml:space="preserve"> </w:t>
      </w:r>
      <w:r w:rsidR="006C0F7F">
        <w:rPr>
          <w:lang w:val="en-AU"/>
        </w:rPr>
        <w:tab/>
      </w:r>
      <w:r>
        <w:rPr>
          <w:lang w:val="en-AU"/>
        </w:rPr>
        <w:t>(</w:t>
      </w:r>
      <w:proofErr w:type="spellStart"/>
      <w:r w:rsidRPr="00D0176B">
        <w:rPr>
          <w:lang w:val="en-AU"/>
        </w:rPr>
        <w:t>A</w:t>
      </w:r>
      <w:r>
        <w:rPr>
          <w:lang w:val="en-AU"/>
        </w:rPr>
        <w:t>mbalindum</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Pawuwa</w:t>
      </w:r>
      <w:proofErr w:type="spellEnd"/>
      <w:r w:rsidRPr="00D0176B">
        <w:rPr>
          <w:lang w:val="en-AU"/>
        </w:rPr>
        <w:t xml:space="preserve"> </w:t>
      </w:r>
      <w:r w:rsidR="006C0F7F">
        <w:rPr>
          <w:lang w:val="en-AU"/>
        </w:rPr>
        <w:tab/>
      </w:r>
      <w:r>
        <w:rPr>
          <w:lang w:val="en-AU"/>
        </w:rPr>
        <w:t xml:space="preserve">(Phillip </w:t>
      </w:r>
      <w:r w:rsidRPr="00D0176B">
        <w:rPr>
          <w:lang w:val="en-AU"/>
        </w:rPr>
        <w:t>C</w:t>
      </w:r>
      <w:r>
        <w:rPr>
          <w:lang w:val="en-AU"/>
        </w:rPr>
        <w:t>reek)</w:t>
      </w:r>
      <w:r w:rsidRPr="00D0176B">
        <w:rPr>
          <w:lang w:val="en-AU"/>
        </w:rPr>
        <w:t xml:space="preserve"> </w:t>
      </w:r>
    </w:p>
    <w:p w:rsidR="00970227" w:rsidRPr="00D0176B" w:rsidRDefault="00970227" w:rsidP="006536C0">
      <w:pPr>
        <w:pStyle w:val="ListParagraph"/>
        <w:numPr>
          <w:ilvl w:val="0"/>
          <w:numId w:val="11"/>
        </w:numPr>
        <w:tabs>
          <w:tab w:val="left" w:pos="3402"/>
        </w:tabs>
        <w:rPr>
          <w:lang w:val="en-AU"/>
        </w:rPr>
      </w:pPr>
      <w:proofErr w:type="spellStart"/>
      <w:r>
        <w:rPr>
          <w:lang w:val="en-AU"/>
        </w:rPr>
        <w:t>Pulkurru</w:t>
      </w:r>
      <w:proofErr w:type="spellEnd"/>
      <w:r>
        <w:rPr>
          <w:lang w:val="en-AU"/>
        </w:rPr>
        <w:t xml:space="preserve"> </w:t>
      </w:r>
      <w:r w:rsidR="006C0F7F">
        <w:rPr>
          <w:lang w:val="en-AU"/>
        </w:rPr>
        <w:tab/>
      </w:r>
      <w:r>
        <w:rPr>
          <w:lang w:val="en-AU"/>
        </w:rPr>
        <w:t>(</w:t>
      </w:r>
      <w:proofErr w:type="spellStart"/>
      <w:r w:rsidRPr="00D0176B">
        <w:rPr>
          <w:lang w:val="en-AU"/>
        </w:rPr>
        <w:t>L</w:t>
      </w:r>
      <w:r>
        <w:rPr>
          <w:lang w:val="en-AU"/>
        </w:rPr>
        <w:t>yndavale</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Pwerte</w:t>
      </w:r>
      <w:proofErr w:type="spellEnd"/>
      <w:r w:rsidRPr="00D0176B">
        <w:rPr>
          <w:lang w:val="en-AU"/>
        </w:rPr>
        <w:t xml:space="preserve"> </w:t>
      </w:r>
      <w:proofErr w:type="spellStart"/>
      <w:r w:rsidRPr="00D0176B">
        <w:rPr>
          <w:lang w:val="en-AU"/>
        </w:rPr>
        <w:t>Marnte</w:t>
      </w:r>
      <w:proofErr w:type="spellEnd"/>
      <w:r w:rsidRPr="00D0176B">
        <w:rPr>
          <w:lang w:val="en-AU"/>
        </w:rPr>
        <w:t xml:space="preserve"> </w:t>
      </w:r>
      <w:proofErr w:type="spellStart"/>
      <w:r w:rsidRPr="00D0176B">
        <w:rPr>
          <w:lang w:val="en-AU"/>
        </w:rPr>
        <w:t>Marnte</w:t>
      </w:r>
      <w:proofErr w:type="spellEnd"/>
      <w:r w:rsidRPr="00D0176B">
        <w:rPr>
          <w:lang w:val="en-AU"/>
        </w:rPr>
        <w:t xml:space="preserve"> </w:t>
      </w:r>
      <w:r w:rsidR="006C0F7F">
        <w:rPr>
          <w:lang w:val="en-AU"/>
        </w:rPr>
        <w:tab/>
      </w:r>
      <w:r>
        <w:rPr>
          <w:lang w:val="en-AU"/>
        </w:rPr>
        <w:t>(</w:t>
      </w:r>
      <w:r w:rsidRPr="00D0176B">
        <w:rPr>
          <w:lang w:val="en-AU"/>
        </w:rPr>
        <w:t>O</w:t>
      </w:r>
      <w:r>
        <w:rPr>
          <w:lang w:val="en-AU"/>
        </w:rPr>
        <w:t>range Creek)</w:t>
      </w:r>
    </w:p>
    <w:p w:rsidR="00970227" w:rsidRPr="00D0176B" w:rsidRDefault="00D75E60" w:rsidP="006536C0">
      <w:pPr>
        <w:pStyle w:val="ListParagraph"/>
        <w:numPr>
          <w:ilvl w:val="0"/>
          <w:numId w:val="11"/>
        </w:numPr>
        <w:tabs>
          <w:tab w:val="left" w:pos="3402"/>
        </w:tabs>
        <w:rPr>
          <w:lang w:val="en-AU"/>
        </w:rPr>
      </w:pPr>
      <w:proofErr w:type="spellStart"/>
      <w:r>
        <w:rPr>
          <w:lang w:val="en-AU"/>
        </w:rPr>
        <w:t>Jutamuling</w:t>
      </w:r>
      <w:proofErr w:type="spellEnd"/>
      <w:r>
        <w:rPr>
          <w:lang w:val="en-AU"/>
        </w:rPr>
        <w:t>/Swan Yard</w:t>
      </w:r>
      <w:r w:rsidR="006C0F7F">
        <w:rPr>
          <w:lang w:val="en-AU"/>
        </w:rPr>
        <w:tab/>
      </w:r>
      <w:r w:rsidR="00970227">
        <w:rPr>
          <w:lang w:val="en-AU"/>
        </w:rPr>
        <w:t>(</w:t>
      </w:r>
      <w:proofErr w:type="spellStart"/>
      <w:r w:rsidR="00970227" w:rsidRPr="00D0176B">
        <w:rPr>
          <w:lang w:val="en-AU"/>
        </w:rPr>
        <w:t>L</w:t>
      </w:r>
      <w:r w:rsidR="00970227">
        <w:rPr>
          <w:lang w:val="en-AU"/>
        </w:rPr>
        <w:t>imbunya</w:t>
      </w:r>
      <w:proofErr w:type="spellEnd"/>
      <w:r w:rsidR="00970227"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Tyarne</w:t>
      </w:r>
      <w:proofErr w:type="spellEnd"/>
      <w:r w:rsidRPr="00D0176B">
        <w:rPr>
          <w:lang w:val="en-AU"/>
        </w:rPr>
        <w:t xml:space="preserve"> </w:t>
      </w:r>
      <w:r w:rsidR="006C0F7F">
        <w:rPr>
          <w:lang w:val="en-AU"/>
        </w:rPr>
        <w:tab/>
      </w:r>
      <w:r>
        <w:rPr>
          <w:lang w:val="en-AU"/>
        </w:rPr>
        <w:t>(</w:t>
      </w:r>
      <w:proofErr w:type="spellStart"/>
      <w:r w:rsidRPr="00D0176B">
        <w:rPr>
          <w:lang w:val="en-AU"/>
        </w:rPr>
        <w:t>H</w:t>
      </w:r>
      <w:r>
        <w:rPr>
          <w:lang w:val="en-AU"/>
        </w:rPr>
        <w:t>uckitta</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Ukaka</w:t>
      </w:r>
      <w:proofErr w:type="spellEnd"/>
      <w:r w:rsidRPr="00D0176B">
        <w:rPr>
          <w:lang w:val="en-AU"/>
        </w:rPr>
        <w:t xml:space="preserve"> </w:t>
      </w:r>
      <w:r w:rsidR="006C0F7F">
        <w:rPr>
          <w:lang w:val="en-AU"/>
        </w:rPr>
        <w:tab/>
      </w:r>
      <w:r>
        <w:rPr>
          <w:lang w:val="en-AU"/>
        </w:rPr>
        <w:t>(</w:t>
      </w:r>
      <w:r w:rsidRPr="00D0176B">
        <w:rPr>
          <w:lang w:val="en-AU"/>
        </w:rPr>
        <w:t>T</w:t>
      </w:r>
      <w:r>
        <w:rPr>
          <w:lang w:val="en-AU"/>
        </w:rPr>
        <w:t>empe Downs</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Ulbulla</w:t>
      </w:r>
      <w:proofErr w:type="spellEnd"/>
      <w:r w:rsidRPr="00D0176B">
        <w:rPr>
          <w:lang w:val="en-AU"/>
        </w:rPr>
        <w:t xml:space="preserve"> </w:t>
      </w:r>
      <w:r w:rsidR="006C0F7F">
        <w:rPr>
          <w:lang w:val="en-AU"/>
        </w:rPr>
        <w:tab/>
      </w:r>
      <w:r>
        <w:rPr>
          <w:lang w:val="en-AU"/>
        </w:rPr>
        <w:t>(</w:t>
      </w:r>
      <w:proofErr w:type="spellStart"/>
      <w:r w:rsidRPr="00D0176B">
        <w:rPr>
          <w:lang w:val="en-AU"/>
        </w:rPr>
        <w:t>U</w:t>
      </w:r>
      <w:r>
        <w:rPr>
          <w:lang w:val="en-AU"/>
        </w:rPr>
        <w:t>mbeara</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Umalka</w:t>
      </w:r>
      <w:proofErr w:type="spellEnd"/>
      <w:r w:rsidRPr="00D0176B">
        <w:rPr>
          <w:lang w:val="en-AU"/>
        </w:rPr>
        <w:t xml:space="preserve"> </w:t>
      </w:r>
      <w:proofErr w:type="spellStart"/>
      <w:r w:rsidRPr="00D0176B">
        <w:rPr>
          <w:lang w:val="en-AU"/>
        </w:rPr>
        <w:t>Tjintjira</w:t>
      </w:r>
      <w:proofErr w:type="spellEnd"/>
      <w:r w:rsidRPr="00D0176B">
        <w:rPr>
          <w:lang w:val="en-AU"/>
        </w:rPr>
        <w:t xml:space="preserve"> </w:t>
      </w:r>
      <w:r w:rsidR="006C0F7F">
        <w:rPr>
          <w:lang w:val="en-AU"/>
        </w:rPr>
        <w:tab/>
      </w:r>
      <w:r>
        <w:rPr>
          <w:lang w:val="en-AU"/>
        </w:rPr>
        <w:t>(</w:t>
      </w:r>
      <w:proofErr w:type="spellStart"/>
      <w:r w:rsidRPr="00D0176B">
        <w:rPr>
          <w:lang w:val="en-AU"/>
        </w:rPr>
        <w:t>L</w:t>
      </w:r>
      <w:r>
        <w:rPr>
          <w:lang w:val="en-AU"/>
        </w:rPr>
        <w:t>yndavale</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Urlampe</w:t>
      </w:r>
      <w:proofErr w:type="spellEnd"/>
      <w:r w:rsidRPr="00D0176B">
        <w:rPr>
          <w:lang w:val="en-AU"/>
        </w:rPr>
        <w:t xml:space="preserve"> </w:t>
      </w:r>
      <w:r w:rsidR="006C0F7F">
        <w:rPr>
          <w:lang w:val="en-AU"/>
        </w:rPr>
        <w:tab/>
      </w:r>
      <w:r>
        <w:rPr>
          <w:lang w:val="en-AU"/>
        </w:rPr>
        <w:t>(</w:t>
      </w:r>
      <w:proofErr w:type="spellStart"/>
      <w:r w:rsidRPr="00D0176B">
        <w:rPr>
          <w:lang w:val="en-AU"/>
        </w:rPr>
        <w:t>T</w:t>
      </w:r>
      <w:r>
        <w:rPr>
          <w:lang w:val="en-AU"/>
        </w:rPr>
        <w:t>obermorey</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Urremerne</w:t>
      </w:r>
      <w:proofErr w:type="spellEnd"/>
      <w:r w:rsidRPr="00D0176B">
        <w:rPr>
          <w:lang w:val="en-AU"/>
        </w:rPr>
        <w:t xml:space="preserve"> </w:t>
      </w:r>
      <w:r w:rsidR="006C0F7F">
        <w:rPr>
          <w:lang w:val="en-AU"/>
        </w:rPr>
        <w:tab/>
      </w:r>
      <w:r>
        <w:rPr>
          <w:lang w:val="en-AU"/>
        </w:rPr>
        <w:t>(</w:t>
      </w:r>
      <w:r w:rsidRPr="00D0176B">
        <w:rPr>
          <w:lang w:val="en-AU"/>
        </w:rPr>
        <w:t>D</w:t>
      </w:r>
      <w:r>
        <w:rPr>
          <w:lang w:val="en-AU"/>
        </w:rPr>
        <w:t>eep Well)</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Utyerrkiwe</w:t>
      </w:r>
      <w:proofErr w:type="spellEnd"/>
      <w:r w:rsidRPr="00D0176B">
        <w:rPr>
          <w:lang w:val="en-AU"/>
        </w:rPr>
        <w:t xml:space="preserve"> </w:t>
      </w:r>
      <w:r w:rsidR="006C0F7F">
        <w:rPr>
          <w:lang w:val="en-AU"/>
        </w:rPr>
        <w:tab/>
      </w:r>
      <w:r>
        <w:rPr>
          <w:lang w:val="en-AU"/>
        </w:rPr>
        <w:t>(</w:t>
      </w:r>
      <w:r w:rsidRPr="00D0176B">
        <w:rPr>
          <w:lang w:val="en-AU"/>
        </w:rPr>
        <w:t>T</w:t>
      </w:r>
      <w:r>
        <w:rPr>
          <w:lang w:val="en-AU"/>
        </w:rPr>
        <w:t>he Gardens</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Waju</w:t>
      </w:r>
      <w:proofErr w:type="spellEnd"/>
      <w:r w:rsidRPr="00D0176B">
        <w:rPr>
          <w:lang w:val="en-AU"/>
        </w:rPr>
        <w:t xml:space="preserve"> </w:t>
      </w:r>
      <w:r w:rsidR="006C0F7F">
        <w:rPr>
          <w:lang w:val="en-AU"/>
        </w:rPr>
        <w:tab/>
      </w:r>
      <w:r>
        <w:rPr>
          <w:lang w:val="en-AU"/>
        </w:rPr>
        <w:t>(</w:t>
      </w:r>
      <w:r w:rsidRPr="00D0176B">
        <w:rPr>
          <w:lang w:val="en-AU"/>
        </w:rPr>
        <w:t>M</w:t>
      </w:r>
      <w:r>
        <w:rPr>
          <w:lang w:val="en-AU"/>
        </w:rPr>
        <w:t xml:space="preserve">ount </w:t>
      </w:r>
      <w:proofErr w:type="spellStart"/>
      <w:r>
        <w:rPr>
          <w:lang w:val="en-AU"/>
        </w:rPr>
        <w:t>Cavenagh</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Wanarkula</w:t>
      </w:r>
      <w:proofErr w:type="spellEnd"/>
      <w:r w:rsidRPr="00D0176B">
        <w:rPr>
          <w:lang w:val="en-AU"/>
        </w:rPr>
        <w:t xml:space="preserve"> </w:t>
      </w:r>
      <w:r w:rsidR="006C0F7F">
        <w:rPr>
          <w:lang w:val="en-AU"/>
        </w:rPr>
        <w:tab/>
      </w:r>
      <w:r>
        <w:rPr>
          <w:lang w:val="en-AU"/>
        </w:rPr>
        <w:t>(</w:t>
      </w:r>
      <w:r w:rsidRPr="00D0176B">
        <w:rPr>
          <w:lang w:val="en-AU"/>
        </w:rPr>
        <w:t>M</w:t>
      </w:r>
      <w:r>
        <w:rPr>
          <w:lang w:val="en-AU"/>
        </w:rPr>
        <w:t xml:space="preserve">ulga </w:t>
      </w:r>
      <w:r w:rsidRPr="00D0176B">
        <w:rPr>
          <w:lang w:val="en-AU"/>
        </w:rPr>
        <w:t>P</w:t>
      </w:r>
      <w:r>
        <w:rPr>
          <w:lang w:val="en-AU"/>
        </w:rPr>
        <w:t>ark</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Wapirrka</w:t>
      </w:r>
      <w:proofErr w:type="spellEnd"/>
      <w:r w:rsidRPr="00D0176B">
        <w:rPr>
          <w:lang w:val="en-AU"/>
        </w:rPr>
        <w:t xml:space="preserve"> </w:t>
      </w:r>
      <w:r w:rsidR="006C0F7F">
        <w:rPr>
          <w:lang w:val="en-AU"/>
        </w:rPr>
        <w:tab/>
      </w:r>
      <w:r>
        <w:rPr>
          <w:lang w:val="en-AU"/>
        </w:rPr>
        <w:t>(</w:t>
      </w:r>
      <w:r w:rsidRPr="00D0176B">
        <w:rPr>
          <w:lang w:val="en-AU"/>
        </w:rPr>
        <w:t>V</w:t>
      </w:r>
      <w:r>
        <w:rPr>
          <w:lang w:val="en-AU"/>
        </w:rPr>
        <w:t xml:space="preserve">ictory </w:t>
      </w:r>
      <w:r w:rsidRPr="00D0176B">
        <w:rPr>
          <w:lang w:val="en-AU"/>
        </w:rPr>
        <w:t>D</w:t>
      </w:r>
      <w:r>
        <w:rPr>
          <w:lang w:val="en-AU"/>
        </w:rPr>
        <w:t>owns</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Welere</w:t>
      </w:r>
      <w:proofErr w:type="spellEnd"/>
      <w:r>
        <w:rPr>
          <w:lang w:val="en-AU"/>
        </w:rPr>
        <w:t xml:space="preserve"> </w:t>
      </w:r>
      <w:r w:rsidR="006C0F7F">
        <w:rPr>
          <w:lang w:val="en-AU"/>
        </w:rPr>
        <w:tab/>
      </w:r>
      <w:r>
        <w:rPr>
          <w:lang w:val="en-AU"/>
        </w:rPr>
        <w:t>(Derry Downs</w:t>
      </w:r>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Wirrmalyanya</w:t>
      </w:r>
      <w:proofErr w:type="spellEnd"/>
      <w:r w:rsidRPr="00D0176B">
        <w:rPr>
          <w:lang w:val="en-AU"/>
        </w:rPr>
        <w:t xml:space="preserve"> </w:t>
      </w:r>
      <w:r w:rsidR="006C0F7F">
        <w:rPr>
          <w:lang w:val="en-AU"/>
        </w:rPr>
        <w:tab/>
      </w:r>
      <w:r>
        <w:rPr>
          <w:lang w:val="en-AU"/>
        </w:rPr>
        <w:t>(</w:t>
      </w:r>
      <w:proofErr w:type="spellStart"/>
      <w:r w:rsidRPr="00D0176B">
        <w:rPr>
          <w:lang w:val="en-AU"/>
        </w:rPr>
        <w:t>U</w:t>
      </w:r>
      <w:r>
        <w:rPr>
          <w:lang w:val="en-AU"/>
        </w:rPr>
        <w:t>mbeara</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sidRPr="00D0176B">
        <w:rPr>
          <w:lang w:val="en-AU"/>
        </w:rPr>
        <w:t>Yanginj</w:t>
      </w:r>
      <w:proofErr w:type="spellEnd"/>
      <w:r w:rsidRPr="00D0176B">
        <w:rPr>
          <w:lang w:val="en-AU"/>
        </w:rPr>
        <w:t xml:space="preserve"> </w:t>
      </w:r>
      <w:r w:rsidR="006C0F7F">
        <w:rPr>
          <w:lang w:val="en-AU"/>
        </w:rPr>
        <w:tab/>
      </w:r>
      <w:r>
        <w:rPr>
          <w:lang w:val="en-AU"/>
        </w:rPr>
        <w:t>(</w:t>
      </w:r>
      <w:proofErr w:type="spellStart"/>
      <w:r w:rsidRPr="00D0176B">
        <w:rPr>
          <w:lang w:val="en-AU"/>
        </w:rPr>
        <w:t>A</w:t>
      </w:r>
      <w:r>
        <w:rPr>
          <w:lang w:val="en-AU"/>
        </w:rPr>
        <w:t>nningie</w:t>
      </w:r>
      <w:proofErr w:type="spellEnd"/>
      <w:r w:rsidRPr="00D0176B">
        <w:rPr>
          <w:lang w:val="en-AU"/>
        </w:rPr>
        <w:t>)</w:t>
      </w:r>
    </w:p>
    <w:p w:rsidR="00970227" w:rsidRPr="00D0176B" w:rsidRDefault="00970227" w:rsidP="006536C0">
      <w:pPr>
        <w:pStyle w:val="ListParagraph"/>
        <w:numPr>
          <w:ilvl w:val="0"/>
          <w:numId w:val="11"/>
        </w:numPr>
        <w:tabs>
          <w:tab w:val="left" w:pos="3402"/>
        </w:tabs>
        <w:rPr>
          <w:lang w:val="en-AU"/>
        </w:rPr>
      </w:pPr>
      <w:proofErr w:type="spellStart"/>
      <w:r>
        <w:rPr>
          <w:lang w:val="en-AU"/>
        </w:rPr>
        <w:t>Yuturminyi</w:t>
      </w:r>
      <w:proofErr w:type="spellEnd"/>
      <w:r>
        <w:rPr>
          <w:lang w:val="en-AU"/>
        </w:rPr>
        <w:t xml:space="preserve"> </w:t>
      </w:r>
      <w:r w:rsidR="006C0F7F">
        <w:rPr>
          <w:lang w:val="en-AU"/>
        </w:rPr>
        <w:tab/>
      </w:r>
      <w:r>
        <w:rPr>
          <w:lang w:val="en-AU"/>
        </w:rPr>
        <w:t>(Phillip Creek)</w:t>
      </w:r>
    </w:p>
    <w:p w:rsidR="00E728E9" w:rsidRPr="00E728E9" w:rsidRDefault="00E728E9" w:rsidP="00D0176B">
      <w:pPr>
        <w:rPr>
          <w:lang w:val="en-AU"/>
        </w:rPr>
      </w:pPr>
    </w:p>
    <w:sectPr w:rsidR="00E728E9" w:rsidRPr="00E728E9" w:rsidSect="00641B16">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5C" w:rsidRDefault="003A155C" w:rsidP="00786A79">
      <w:pPr>
        <w:spacing w:after="0" w:line="240" w:lineRule="auto"/>
      </w:pPr>
      <w:r>
        <w:separator/>
      </w:r>
    </w:p>
  </w:endnote>
  <w:endnote w:type="continuationSeparator" w:id="0">
    <w:p w:rsidR="003A155C" w:rsidRDefault="003A155C" w:rsidP="0078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C9" w:rsidRDefault="006B7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D1" w:rsidRPr="006B7CC9" w:rsidRDefault="00413AD1" w:rsidP="006B7C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C9" w:rsidRDefault="006B7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5C" w:rsidRDefault="003A155C" w:rsidP="00786A79">
      <w:pPr>
        <w:spacing w:after="0" w:line="240" w:lineRule="auto"/>
      </w:pPr>
      <w:r>
        <w:separator/>
      </w:r>
    </w:p>
  </w:footnote>
  <w:footnote w:type="continuationSeparator" w:id="0">
    <w:p w:rsidR="003A155C" w:rsidRDefault="003A155C" w:rsidP="00786A79">
      <w:pPr>
        <w:spacing w:after="0" w:line="240" w:lineRule="auto"/>
      </w:pPr>
      <w:r>
        <w:continuationSeparator/>
      </w:r>
    </w:p>
  </w:footnote>
  <w:footnote w:id="1">
    <w:p w:rsidR="00755A6C" w:rsidRDefault="00755A6C" w:rsidP="00755A6C">
      <w:pPr>
        <w:pStyle w:val="FootnoteText"/>
      </w:pPr>
      <w:r>
        <w:rPr>
          <w:rStyle w:val="FootnoteReference"/>
        </w:rPr>
        <w:footnoteRef/>
      </w:r>
      <w:r>
        <w:t xml:space="preserve"> </w:t>
      </w:r>
      <w:hyperlink r:id="rId1" w:history="1">
        <w:r w:rsidRPr="005949B2">
          <w:rPr>
            <w:rStyle w:val="Hyperlink"/>
            <w:sz w:val="20"/>
            <w:szCs w:val="20"/>
          </w:rPr>
          <w:t>http://www.clc.org.au/publications/content/senate-inquiry-submission-into-the-stronger-futures/</w:t>
        </w:r>
      </w:hyperlink>
    </w:p>
    <w:p w:rsidR="00755A6C" w:rsidRDefault="00755A6C" w:rsidP="00755A6C">
      <w:pPr>
        <w:pStyle w:val="FootnoteText"/>
      </w:pPr>
    </w:p>
  </w:footnote>
  <w:footnote w:id="2">
    <w:p w:rsidR="006B28DF" w:rsidRDefault="006B28DF" w:rsidP="006B28DF">
      <w:pPr>
        <w:pStyle w:val="FootnoteText"/>
      </w:pPr>
      <w:r>
        <w:rPr>
          <w:rStyle w:val="FootnoteReference"/>
        </w:rPr>
        <w:footnoteRef/>
      </w:r>
      <w:r>
        <w:t xml:space="preserve"> References to Aboriginal land in this submission have the meaning in the Aboriginal Land Rights</w:t>
      </w:r>
    </w:p>
    <w:p w:rsidR="006B28DF" w:rsidRDefault="006B28DF" w:rsidP="006B28DF">
      <w:pPr>
        <w:pStyle w:val="FootnoteText"/>
      </w:pPr>
      <w:r>
        <w:t>(Northern Territory) 1976 Act (ALRA); being inalienable freehold title held in trust on behalf of the traditional Aboriginal owners.</w:t>
      </w:r>
    </w:p>
  </w:footnote>
  <w:footnote w:id="3">
    <w:p w:rsidR="004C71CF" w:rsidRDefault="004C71CF">
      <w:pPr>
        <w:pStyle w:val="FootnoteText"/>
      </w:pPr>
      <w:r>
        <w:rPr>
          <w:rStyle w:val="FootnoteReference"/>
        </w:rPr>
        <w:footnoteRef/>
      </w:r>
      <w:r>
        <w:t xml:space="preserve"> </w:t>
      </w:r>
      <w:hyperlink r:id="rId2" w:history="1">
        <w:r w:rsidR="00D14F7B" w:rsidRPr="00893575">
          <w:rPr>
            <w:rStyle w:val="Hyperlink"/>
            <w:sz w:val="20"/>
            <w:szCs w:val="20"/>
          </w:rPr>
          <w:t>http://www.lands.nt.gov.au/__data/assets/pdf_file/0004/25258/Part-6.pdf</w:t>
        </w:r>
      </w:hyperlink>
      <w:r w:rsidR="00D14F7B" w:rsidRPr="00D14F7B">
        <w:rPr>
          <w:i/>
        </w:rPr>
        <w:t>, Associations Act</w:t>
      </w:r>
      <w:r w:rsidR="00D14F7B">
        <w:t xml:space="preserve"> (NT), s 110</w:t>
      </w:r>
    </w:p>
  </w:footnote>
  <w:footnote w:id="4">
    <w:p w:rsidR="006B28DF" w:rsidRDefault="006B28DF">
      <w:pPr>
        <w:pStyle w:val="FootnoteText"/>
      </w:pPr>
      <w:r>
        <w:rPr>
          <w:rStyle w:val="FootnoteReference"/>
        </w:rPr>
        <w:footnoteRef/>
      </w:r>
      <w:r>
        <w:t xml:space="preserve"> Though historically funding wasn’t jeopardised by constraints on CLA title, as noted in the CLC Submission to the Senate </w:t>
      </w:r>
      <w:r w:rsidR="004C71CF">
        <w:t>Committee submission</w:t>
      </w:r>
      <w:r>
        <w:t xml:space="preserve"> t</w:t>
      </w:r>
      <w:r w:rsidRPr="006B28DF">
        <w:t>he</w:t>
      </w:r>
      <w:r>
        <w:t xml:space="preserve"> CLA </w:t>
      </w:r>
      <w:r w:rsidRPr="006B28DF">
        <w:t xml:space="preserve">communities are </w:t>
      </w:r>
      <w:r>
        <w:t xml:space="preserve">now </w:t>
      </w:r>
      <w:r w:rsidRPr="006B28DF">
        <w:t>being underserviced because of the restrictions and problems associated with formalising third party interests on CLAs.</w:t>
      </w:r>
    </w:p>
  </w:footnote>
  <w:footnote w:id="5">
    <w:p w:rsidR="00542ED3" w:rsidRDefault="00542ED3">
      <w:pPr>
        <w:pStyle w:val="FootnoteText"/>
      </w:pPr>
      <w:r>
        <w:rPr>
          <w:rStyle w:val="FootnoteReference"/>
        </w:rPr>
        <w:footnoteRef/>
      </w:r>
      <w:r>
        <w:t xml:space="preserve"> As noted in the CLC Submission to the Senate </w:t>
      </w:r>
      <w:r w:rsidR="004C71CF">
        <w:t>Committee submission</w:t>
      </w:r>
      <w:r w:rsidR="006B7CC9">
        <w:t xml:space="preserve"> </w:t>
      </w:r>
      <w:r w:rsidRPr="00542ED3">
        <w:t>there is anecdotal evidence that service delivery organisations are choosing not to base themselves in CLA communities and are not prioritising initiatives in CLA communities because it is impasse over obtaining secure leases (which has funding implications</w:t>
      </w:r>
      <w:r>
        <w:t xml:space="preserve"> because of the secure tenure policy</w:t>
      </w:r>
      <w:r w:rsidRPr="00542ED3">
        <w:t>).</w:t>
      </w:r>
    </w:p>
  </w:footnote>
  <w:footnote w:id="6">
    <w:p w:rsidR="004C71CF" w:rsidRDefault="004C71CF">
      <w:pPr>
        <w:pStyle w:val="FootnoteText"/>
      </w:pPr>
      <w:r>
        <w:rPr>
          <w:rStyle w:val="FootnoteReference"/>
        </w:rPr>
        <w:footnoteRef/>
      </w:r>
      <w:r>
        <w:t xml:space="preserve"> A range of examples are provided in the Senate Committee Submission.</w:t>
      </w:r>
    </w:p>
  </w:footnote>
  <w:footnote w:id="7">
    <w:p w:rsidR="00960FC2" w:rsidRDefault="00960FC2">
      <w:pPr>
        <w:pStyle w:val="FootnoteText"/>
      </w:pPr>
      <w:r>
        <w:rPr>
          <w:rStyle w:val="FootnoteReference"/>
        </w:rPr>
        <w:footnoteRef/>
      </w:r>
      <w:r>
        <w:t xml:space="preserve"> 22 of the 90 members of the Central Land Council represent Community Living Areas and many more have connections to CLAs.</w:t>
      </w:r>
    </w:p>
  </w:footnote>
  <w:footnote w:id="8">
    <w:p w:rsidR="002C6173" w:rsidRDefault="002C6173" w:rsidP="002C6173">
      <w:pPr>
        <w:pStyle w:val="FootnoteText"/>
      </w:pPr>
      <w:r>
        <w:rPr>
          <w:rStyle w:val="FootnoteReference"/>
        </w:rPr>
        <w:footnoteRef/>
      </w:r>
      <w:r>
        <w:t xml:space="preserve"> There is nothing to prevent an association or corporation that holds title to a CLA for running a business through the same entity which potentially exposes the association or corporation to financial liabilities and renders the title more vulnerable than is the case for a Land Trust under the ALRA which cannot receive monies or engage in other activities.</w:t>
      </w:r>
    </w:p>
  </w:footnote>
  <w:footnote w:id="9">
    <w:p w:rsidR="00827D8F" w:rsidRDefault="00827D8F">
      <w:pPr>
        <w:pStyle w:val="FootnoteText"/>
      </w:pPr>
      <w:r>
        <w:rPr>
          <w:rStyle w:val="FootnoteReference"/>
        </w:rPr>
        <w:footnoteRef/>
      </w:r>
      <w:r>
        <w:t xml:space="preserve"> In addition to the issues outlined in footnote 8 the Senate Committee submission </w:t>
      </w:r>
      <w:r w:rsidR="006A2363">
        <w:t xml:space="preserve">notes that most of </w:t>
      </w:r>
      <w:r w:rsidR="002C6173">
        <w:t>“</w:t>
      </w:r>
      <w:r w:rsidR="006A2363">
        <w:t>[t]h</w:t>
      </w:r>
      <w:r w:rsidR="006A2363" w:rsidRPr="006A2363">
        <w:t>e Aboriginal associations and corporations that hold CLA title were incorporated solely for that purpose and generally have no other function than to hold the title. These bodies are often deregistered by the regulator because of failures to comply with technical requirements under the relevant legislation such as reporting requirements and maintaining office bearers and membership.</w:t>
      </w:r>
      <w:r w:rsidR="002C6173">
        <w:t>”</w:t>
      </w:r>
    </w:p>
  </w:footnote>
  <w:footnote w:id="10">
    <w:p w:rsidR="006D1784" w:rsidRPr="00A403E3" w:rsidRDefault="006D1784">
      <w:pPr>
        <w:pStyle w:val="FootnoteText"/>
      </w:pPr>
      <w:r>
        <w:rPr>
          <w:rStyle w:val="FootnoteReference"/>
        </w:rPr>
        <w:footnoteRef/>
      </w:r>
      <w:r>
        <w:t xml:space="preserve"> Part V of the Planning Act treats that grant of any lease of 12 years or more as a subdivision, for which a plan of survey is required. The individual survey of lots would be prohibitively expensive for nascent Aboriginal business</w:t>
      </w:r>
      <w:r w:rsidR="00A403E3">
        <w:t>es</w:t>
      </w:r>
      <w:r>
        <w:t xml:space="preserve"> </w:t>
      </w:r>
      <w:r w:rsidR="00A403E3">
        <w:t>seeking a formal interest in land</w:t>
      </w:r>
      <w:r>
        <w:t xml:space="preserve">. </w:t>
      </w:r>
      <w:r w:rsidR="00A403E3">
        <w:t xml:space="preserve">Registration of leasehold interests also improves certainty for third parties and, as such, will further the Commonwealth objective of ‘secure tenure’. </w:t>
      </w:r>
    </w:p>
  </w:footnote>
  <w:footnote w:id="11">
    <w:p w:rsidR="00746D96" w:rsidRDefault="00746D96" w:rsidP="00746D96">
      <w:pPr>
        <w:pStyle w:val="FootnoteText"/>
      </w:pPr>
      <w:r>
        <w:rPr>
          <w:rStyle w:val="FootnoteReference"/>
        </w:rPr>
        <w:footnoteRef/>
      </w:r>
      <w:r>
        <w:t xml:space="preserve"> This applies to CLA land holding bodies that are NT Associations. For CLA land holding bodies that are CATSI </w:t>
      </w:r>
      <w:proofErr w:type="spellStart"/>
      <w:r>
        <w:t>coporations</w:t>
      </w:r>
      <w:proofErr w:type="spellEnd"/>
      <w:r>
        <w:t xml:space="preserve"> the grant of an interest in land of any length requires Ministerial consent.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C9" w:rsidRDefault="006B7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C9" w:rsidRDefault="006B7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C9" w:rsidRDefault="006B7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64A"/>
    <w:multiLevelType w:val="hybridMultilevel"/>
    <w:tmpl w:val="A4B2C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A14FA8"/>
    <w:multiLevelType w:val="hybridMultilevel"/>
    <w:tmpl w:val="55727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3A5C13"/>
    <w:multiLevelType w:val="hybridMultilevel"/>
    <w:tmpl w:val="23724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E13871"/>
    <w:multiLevelType w:val="hybridMultilevel"/>
    <w:tmpl w:val="41A277B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nsid w:val="2C224D9F"/>
    <w:multiLevelType w:val="hybridMultilevel"/>
    <w:tmpl w:val="7612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0E109D"/>
    <w:multiLevelType w:val="hybridMultilevel"/>
    <w:tmpl w:val="1D8C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703FEE"/>
    <w:multiLevelType w:val="hybridMultilevel"/>
    <w:tmpl w:val="9C282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4166A3"/>
    <w:multiLevelType w:val="hybridMultilevel"/>
    <w:tmpl w:val="FEE2AE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9933BB"/>
    <w:multiLevelType w:val="hybridMultilevel"/>
    <w:tmpl w:val="A1AA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A1272D"/>
    <w:multiLevelType w:val="hybridMultilevel"/>
    <w:tmpl w:val="2F120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2A447BC"/>
    <w:multiLevelType w:val="hybridMultilevel"/>
    <w:tmpl w:val="8A4E6C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79726E1D"/>
    <w:multiLevelType w:val="hybridMultilevel"/>
    <w:tmpl w:val="3AF63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5"/>
  </w:num>
  <w:num w:numId="5">
    <w:abstractNumId w:val="10"/>
  </w:num>
  <w:num w:numId="6">
    <w:abstractNumId w:val="4"/>
  </w:num>
  <w:num w:numId="7">
    <w:abstractNumId w:val="9"/>
  </w:num>
  <w:num w:numId="8">
    <w:abstractNumId w:val="3"/>
  </w:num>
  <w:num w:numId="9">
    <w:abstractNumId w:val="2"/>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79"/>
    <w:rsid w:val="000335BC"/>
    <w:rsid w:val="00036BA2"/>
    <w:rsid w:val="00040C7D"/>
    <w:rsid w:val="000479D2"/>
    <w:rsid w:val="00051065"/>
    <w:rsid w:val="00070712"/>
    <w:rsid w:val="000B1D63"/>
    <w:rsid w:val="000B6150"/>
    <w:rsid w:val="000F514E"/>
    <w:rsid w:val="0012272C"/>
    <w:rsid w:val="00130C34"/>
    <w:rsid w:val="00156B16"/>
    <w:rsid w:val="00172338"/>
    <w:rsid w:val="00180D2B"/>
    <w:rsid w:val="00194455"/>
    <w:rsid w:val="001A2396"/>
    <w:rsid w:val="001A579A"/>
    <w:rsid w:val="001B0A03"/>
    <w:rsid w:val="001B41B7"/>
    <w:rsid w:val="001C2BA6"/>
    <w:rsid w:val="001C74F5"/>
    <w:rsid w:val="001E630D"/>
    <w:rsid w:val="002425B4"/>
    <w:rsid w:val="002612CB"/>
    <w:rsid w:val="0026278C"/>
    <w:rsid w:val="002A311C"/>
    <w:rsid w:val="002B2B7E"/>
    <w:rsid w:val="002B6B9D"/>
    <w:rsid w:val="002C46B9"/>
    <w:rsid w:val="002C6173"/>
    <w:rsid w:val="002F1ECD"/>
    <w:rsid w:val="003218B9"/>
    <w:rsid w:val="00345BA5"/>
    <w:rsid w:val="0036053D"/>
    <w:rsid w:val="00363F2B"/>
    <w:rsid w:val="00370D99"/>
    <w:rsid w:val="00376D8C"/>
    <w:rsid w:val="00377005"/>
    <w:rsid w:val="003A155C"/>
    <w:rsid w:val="003A24C2"/>
    <w:rsid w:val="003B2BB8"/>
    <w:rsid w:val="003B56E5"/>
    <w:rsid w:val="003D34FF"/>
    <w:rsid w:val="00406810"/>
    <w:rsid w:val="00413AD1"/>
    <w:rsid w:val="00486D23"/>
    <w:rsid w:val="00486E13"/>
    <w:rsid w:val="004950C1"/>
    <w:rsid w:val="004B1409"/>
    <w:rsid w:val="004B54CA"/>
    <w:rsid w:val="004C71CF"/>
    <w:rsid w:val="004E44EC"/>
    <w:rsid w:val="004E5BB2"/>
    <w:rsid w:val="004E5CBF"/>
    <w:rsid w:val="004E7076"/>
    <w:rsid w:val="00515FB0"/>
    <w:rsid w:val="00537C0E"/>
    <w:rsid w:val="00542ED3"/>
    <w:rsid w:val="005501B5"/>
    <w:rsid w:val="00551C1E"/>
    <w:rsid w:val="00576DA0"/>
    <w:rsid w:val="00580525"/>
    <w:rsid w:val="0058075E"/>
    <w:rsid w:val="0058493C"/>
    <w:rsid w:val="005C3AA9"/>
    <w:rsid w:val="005D1851"/>
    <w:rsid w:val="005E0C60"/>
    <w:rsid w:val="006155BF"/>
    <w:rsid w:val="00616B80"/>
    <w:rsid w:val="00630206"/>
    <w:rsid w:val="00641B16"/>
    <w:rsid w:val="006536C0"/>
    <w:rsid w:val="00660CB3"/>
    <w:rsid w:val="00663E64"/>
    <w:rsid w:val="006835D0"/>
    <w:rsid w:val="006868F5"/>
    <w:rsid w:val="006919FA"/>
    <w:rsid w:val="006A2363"/>
    <w:rsid w:val="006A4CE7"/>
    <w:rsid w:val="006B28DF"/>
    <w:rsid w:val="006B3B61"/>
    <w:rsid w:val="006B7CC9"/>
    <w:rsid w:val="006B7DBA"/>
    <w:rsid w:val="006C0F7F"/>
    <w:rsid w:val="006D1784"/>
    <w:rsid w:val="006F126B"/>
    <w:rsid w:val="007004B1"/>
    <w:rsid w:val="00707058"/>
    <w:rsid w:val="00746D96"/>
    <w:rsid w:val="00747A02"/>
    <w:rsid w:val="00755A6C"/>
    <w:rsid w:val="00757BEA"/>
    <w:rsid w:val="00785261"/>
    <w:rsid w:val="00786A79"/>
    <w:rsid w:val="007900B0"/>
    <w:rsid w:val="00791EEE"/>
    <w:rsid w:val="007B0256"/>
    <w:rsid w:val="007B0944"/>
    <w:rsid w:val="007C6F68"/>
    <w:rsid w:val="007E0350"/>
    <w:rsid w:val="007E51E6"/>
    <w:rsid w:val="008201A4"/>
    <w:rsid w:val="00826C69"/>
    <w:rsid w:val="00827D8F"/>
    <w:rsid w:val="008575FB"/>
    <w:rsid w:val="00862719"/>
    <w:rsid w:val="00862C7C"/>
    <w:rsid w:val="0086739E"/>
    <w:rsid w:val="008701B3"/>
    <w:rsid w:val="00873B52"/>
    <w:rsid w:val="0089591E"/>
    <w:rsid w:val="008D51D2"/>
    <w:rsid w:val="008D7DB8"/>
    <w:rsid w:val="008E4F9A"/>
    <w:rsid w:val="0090533B"/>
    <w:rsid w:val="00906EAB"/>
    <w:rsid w:val="009225F0"/>
    <w:rsid w:val="00960FC2"/>
    <w:rsid w:val="00963817"/>
    <w:rsid w:val="009644FC"/>
    <w:rsid w:val="00970227"/>
    <w:rsid w:val="00977F55"/>
    <w:rsid w:val="00986961"/>
    <w:rsid w:val="00991040"/>
    <w:rsid w:val="00995602"/>
    <w:rsid w:val="009A345F"/>
    <w:rsid w:val="009A67F3"/>
    <w:rsid w:val="009B039A"/>
    <w:rsid w:val="009B5A32"/>
    <w:rsid w:val="009C6EA0"/>
    <w:rsid w:val="009F0D8D"/>
    <w:rsid w:val="009F6612"/>
    <w:rsid w:val="00A03859"/>
    <w:rsid w:val="00A0552D"/>
    <w:rsid w:val="00A37649"/>
    <w:rsid w:val="00A403E3"/>
    <w:rsid w:val="00A435D1"/>
    <w:rsid w:val="00A804CD"/>
    <w:rsid w:val="00A82A0C"/>
    <w:rsid w:val="00A971C1"/>
    <w:rsid w:val="00AB49AE"/>
    <w:rsid w:val="00AB7720"/>
    <w:rsid w:val="00AC45F1"/>
    <w:rsid w:val="00AC52BA"/>
    <w:rsid w:val="00AD2CD8"/>
    <w:rsid w:val="00AD2DBE"/>
    <w:rsid w:val="00AD42C9"/>
    <w:rsid w:val="00B0523E"/>
    <w:rsid w:val="00B30B41"/>
    <w:rsid w:val="00B30B83"/>
    <w:rsid w:val="00B40B0E"/>
    <w:rsid w:val="00B62525"/>
    <w:rsid w:val="00B72E4E"/>
    <w:rsid w:val="00B87468"/>
    <w:rsid w:val="00B90D70"/>
    <w:rsid w:val="00BA2398"/>
    <w:rsid w:val="00BA2DB9"/>
    <w:rsid w:val="00BA70FB"/>
    <w:rsid w:val="00BB6026"/>
    <w:rsid w:val="00BC50CE"/>
    <w:rsid w:val="00BD1463"/>
    <w:rsid w:val="00BE7148"/>
    <w:rsid w:val="00BF0889"/>
    <w:rsid w:val="00BF0EA4"/>
    <w:rsid w:val="00C20D60"/>
    <w:rsid w:val="00C44880"/>
    <w:rsid w:val="00C467DC"/>
    <w:rsid w:val="00C548C7"/>
    <w:rsid w:val="00C6643B"/>
    <w:rsid w:val="00C94A91"/>
    <w:rsid w:val="00CA27AB"/>
    <w:rsid w:val="00CB3047"/>
    <w:rsid w:val="00CE3E0B"/>
    <w:rsid w:val="00CF0FE8"/>
    <w:rsid w:val="00D0176B"/>
    <w:rsid w:val="00D0217D"/>
    <w:rsid w:val="00D02B88"/>
    <w:rsid w:val="00D11ADA"/>
    <w:rsid w:val="00D14F7B"/>
    <w:rsid w:val="00D26672"/>
    <w:rsid w:val="00D478BC"/>
    <w:rsid w:val="00D47AD1"/>
    <w:rsid w:val="00D626A2"/>
    <w:rsid w:val="00D75E60"/>
    <w:rsid w:val="00DA0EA3"/>
    <w:rsid w:val="00DA4590"/>
    <w:rsid w:val="00DA5245"/>
    <w:rsid w:val="00DC0FE3"/>
    <w:rsid w:val="00DC2A5E"/>
    <w:rsid w:val="00DD43F6"/>
    <w:rsid w:val="00DE0560"/>
    <w:rsid w:val="00DE7545"/>
    <w:rsid w:val="00DF2C33"/>
    <w:rsid w:val="00DF3337"/>
    <w:rsid w:val="00DF72CA"/>
    <w:rsid w:val="00E009D2"/>
    <w:rsid w:val="00E021AE"/>
    <w:rsid w:val="00E30C1E"/>
    <w:rsid w:val="00E51A3C"/>
    <w:rsid w:val="00E54AE7"/>
    <w:rsid w:val="00E728E9"/>
    <w:rsid w:val="00EE1C8F"/>
    <w:rsid w:val="00F107AE"/>
    <w:rsid w:val="00F30584"/>
    <w:rsid w:val="00F454C8"/>
    <w:rsid w:val="00FD2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786A79"/>
    <w:rPr>
      <w:sz w:val="16"/>
      <w:szCs w:val="16"/>
    </w:rPr>
  </w:style>
  <w:style w:type="paragraph" w:styleId="CommentText">
    <w:name w:val="annotation text"/>
    <w:basedOn w:val="Normal"/>
    <w:link w:val="CommentTextChar"/>
    <w:uiPriority w:val="99"/>
    <w:semiHidden/>
    <w:unhideWhenUsed/>
    <w:rsid w:val="00786A79"/>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786A79"/>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786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79"/>
    <w:rPr>
      <w:rFonts w:ascii="Tahoma" w:hAnsi="Tahoma" w:cs="Tahoma"/>
      <w:sz w:val="16"/>
      <w:szCs w:val="16"/>
    </w:rPr>
  </w:style>
  <w:style w:type="character" w:styleId="Hyperlink">
    <w:name w:val="Hyperlink"/>
    <w:basedOn w:val="DefaultParagraphFont"/>
    <w:uiPriority w:val="99"/>
    <w:unhideWhenUsed/>
    <w:rsid w:val="00786A79"/>
    <w:rPr>
      <w:strike w:val="0"/>
      <w:dstrike w:val="0"/>
      <w:color w:val="045F85"/>
      <w:sz w:val="24"/>
      <w:szCs w:val="24"/>
      <w:u w:val="none"/>
      <w:effect w:val="none"/>
      <w:shd w:val="clear" w:color="auto" w:fill="auto"/>
      <w:vertAlign w:val="baseline"/>
    </w:rPr>
  </w:style>
  <w:style w:type="paragraph" w:styleId="FootnoteText">
    <w:name w:val="footnote text"/>
    <w:basedOn w:val="Normal"/>
    <w:link w:val="FootnoteTextChar"/>
    <w:uiPriority w:val="99"/>
    <w:unhideWhenUsed/>
    <w:rsid w:val="00786A79"/>
    <w:pPr>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uiPriority w:val="99"/>
    <w:rsid w:val="00786A79"/>
    <w:rPr>
      <w:rFonts w:ascii="Calibri" w:eastAsia="Calibri" w:hAnsi="Calibri" w:cs="Times New Roman"/>
      <w:sz w:val="20"/>
      <w:szCs w:val="20"/>
      <w:lang w:val="en-AU"/>
    </w:rPr>
  </w:style>
  <w:style w:type="character" w:styleId="FootnoteReference">
    <w:name w:val="footnote reference"/>
    <w:basedOn w:val="DefaultParagraphFont"/>
    <w:uiPriority w:val="99"/>
    <w:unhideWhenUsed/>
    <w:rsid w:val="00786A79"/>
    <w:rPr>
      <w:vertAlign w:val="superscript"/>
    </w:rPr>
  </w:style>
  <w:style w:type="paragraph" w:styleId="Header">
    <w:name w:val="header"/>
    <w:basedOn w:val="Normal"/>
    <w:link w:val="HeaderChar"/>
    <w:unhideWhenUsed/>
    <w:rsid w:val="00BF0889"/>
    <w:pPr>
      <w:tabs>
        <w:tab w:val="center" w:pos="4513"/>
        <w:tab w:val="right" w:pos="9026"/>
      </w:tabs>
      <w:spacing w:after="0" w:line="240" w:lineRule="auto"/>
    </w:pPr>
  </w:style>
  <w:style w:type="character" w:customStyle="1" w:styleId="HeaderChar">
    <w:name w:val="Header Char"/>
    <w:basedOn w:val="DefaultParagraphFont"/>
    <w:link w:val="Header"/>
    <w:rsid w:val="00BF0889"/>
    <w:rPr>
      <w:rFonts w:ascii="Arial" w:hAnsi="Arial"/>
    </w:rPr>
  </w:style>
  <w:style w:type="paragraph" w:styleId="Footer">
    <w:name w:val="footer"/>
    <w:basedOn w:val="Normal"/>
    <w:link w:val="FooterChar"/>
    <w:uiPriority w:val="99"/>
    <w:unhideWhenUsed/>
    <w:rsid w:val="00BF0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89"/>
    <w:rPr>
      <w:rFonts w:ascii="Arial" w:hAnsi="Arial"/>
    </w:rPr>
  </w:style>
  <w:style w:type="paragraph" w:styleId="CommentSubject">
    <w:name w:val="annotation subject"/>
    <w:basedOn w:val="CommentText"/>
    <w:next w:val="CommentText"/>
    <w:link w:val="CommentSubjectChar"/>
    <w:uiPriority w:val="99"/>
    <w:semiHidden/>
    <w:unhideWhenUsed/>
    <w:rsid w:val="00AC45F1"/>
    <w:pPr>
      <w:spacing w:after="200"/>
    </w:pPr>
    <w:rPr>
      <w:rFonts w:ascii="Arial" w:eastAsiaTheme="minorHAnsi" w:hAnsi="Arial" w:cstheme="minorBidi"/>
      <w:b/>
      <w:bCs/>
      <w:lang w:val="en-US" w:eastAsia="en-US"/>
    </w:rPr>
  </w:style>
  <w:style w:type="character" w:customStyle="1" w:styleId="CommentSubjectChar">
    <w:name w:val="Comment Subject Char"/>
    <w:basedOn w:val="CommentTextChar"/>
    <w:link w:val="CommentSubject"/>
    <w:uiPriority w:val="99"/>
    <w:semiHidden/>
    <w:rsid w:val="00AC45F1"/>
    <w:rPr>
      <w:rFonts w:ascii="Arial" w:eastAsia="Times New Roman" w:hAnsi="Arial" w:cs="Times New Roman"/>
      <w:b/>
      <w:bCs/>
      <w:sz w:val="20"/>
      <w:szCs w:val="20"/>
      <w:lang w:val="en-AU" w:eastAsia="en-AU"/>
    </w:rPr>
  </w:style>
  <w:style w:type="table" w:styleId="TableGrid">
    <w:name w:val="Table Grid"/>
    <w:basedOn w:val="TableNormal"/>
    <w:uiPriority w:val="59"/>
    <w:rsid w:val="00376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D51D2"/>
    <w:rPr>
      <w:color w:val="800080" w:themeColor="followedHyperlink"/>
      <w:u w:val="single"/>
    </w:rPr>
  </w:style>
  <w:style w:type="paragraph" w:styleId="Revision">
    <w:name w:val="Revision"/>
    <w:hidden/>
    <w:uiPriority w:val="99"/>
    <w:semiHidden/>
    <w:rsid w:val="002F1ECD"/>
    <w:pPr>
      <w:spacing w:after="0" w:line="240" w:lineRule="auto"/>
    </w:pPr>
    <w:rPr>
      <w:rFonts w:ascii="Arial" w:hAnsi="Arial"/>
    </w:rPr>
  </w:style>
  <w:style w:type="paragraph" w:customStyle="1" w:styleId="ShortT">
    <w:name w:val="ShortT"/>
    <w:basedOn w:val="Normal"/>
    <w:next w:val="Normal"/>
    <w:link w:val="ShortTChar"/>
    <w:rsid w:val="00040C7D"/>
    <w:pPr>
      <w:spacing w:before="360" w:after="0" w:line="260" w:lineRule="atLeast"/>
    </w:pPr>
    <w:rPr>
      <w:rFonts w:ascii="Times" w:eastAsia="Times New Roman" w:hAnsi="Times" w:cs="Times New Roman"/>
      <w:b/>
      <w:sz w:val="40"/>
      <w:szCs w:val="20"/>
      <w:lang w:val="en-AU" w:eastAsia="en-AU"/>
    </w:rPr>
  </w:style>
  <w:style w:type="paragraph" w:customStyle="1" w:styleId="Actno">
    <w:name w:val="Actno"/>
    <w:basedOn w:val="Normal"/>
    <w:next w:val="Normal"/>
    <w:link w:val="ActnoChar"/>
    <w:rsid w:val="00040C7D"/>
    <w:pPr>
      <w:spacing w:before="240" w:after="0" w:line="260" w:lineRule="atLeast"/>
    </w:pPr>
    <w:rPr>
      <w:rFonts w:ascii="Times New Roman" w:eastAsia="Times New Roman" w:hAnsi="Times New Roman" w:cs="Times New Roman"/>
      <w:b/>
      <w:sz w:val="24"/>
      <w:szCs w:val="24"/>
      <w:lang w:val="en-AU" w:eastAsia="en-AU"/>
    </w:rPr>
  </w:style>
  <w:style w:type="paragraph" w:customStyle="1" w:styleId="LongT">
    <w:name w:val="LongT"/>
    <w:rsid w:val="00040C7D"/>
    <w:pPr>
      <w:spacing w:after="0" w:line="240" w:lineRule="auto"/>
    </w:pPr>
    <w:rPr>
      <w:rFonts w:ascii="Times New Roman" w:eastAsia="Times New Roman" w:hAnsi="Times New Roman" w:cs="Times New Roman"/>
      <w:b/>
      <w:sz w:val="32"/>
      <w:szCs w:val="24"/>
      <w:lang w:val="en-AU" w:eastAsia="en-AU"/>
    </w:rPr>
  </w:style>
  <w:style w:type="character" w:customStyle="1" w:styleId="ShortTChar">
    <w:name w:val="ShortT Char"/>
    <w:basedOn w:val="DefaultParagraphFont"/>
    <w:link w:val="ShortT"/>
    <w:rsid w:val="00040C7D"/>
    <w:rPr>
      <w:rFonts w:ascii="Times" w:eastAsia="Times New Roman" w:hAnsi="Times" w:cs="Times New Roman"/>
      <w:b/>
      <w:sz w:val="40"/>
      <w:szCs w:val="20"/>
      <w:lang w:val="en-AU" w:eastAsia="en-AU"/>
    </w:rPr>
  </w:style>
  <w:style w:type="character" w:customStyle="1" w:styleId="ActnoChar">
    <w:name w:val="Actno Char"/>
    <w:basedOn w:val="ShortTChar"/>
    <w:link w:val="Actno"/>
    <w:rsid w:val="00040C7D"/>
    <w:rPr>
      <w:rFonts w:ascii="Times New Roman" w:eastAsia="Times New Roman" w:hAnsi="Times New Roman" w:cs="Times New Roman"/>
      <w:b/>
      <w:sz w:val="24"/>
      <w:szCs w:val="24"/>
      <w:lang w:val="en-AU" w:eastAsia="en-AU"/>
    </w:rPr>
  </w:style>
  <w:style w:type="paragraph" w:customStyle="1" w:styleId="ActHead2">
    <w:name w:val="ActHead 2"/>
    <w:aliases w:val="p"/>
    <w:basedOn w:val="Normal"/>
    <w:next w:val="Normal"/>
    <w:rsid w:val="00040C7D"/>
    <w:pPr>
      <w:keepNext/>
      <w:keepLines/>
      <w:spacing w:before="280" w:after="0" w:line="240" w:lineRule="auto"/>
      <w:ind w:left="1134" w:hanging="1134"/>
      <w:outlineLvl w:val="1"/>
    </w:pPr>
    <w:rPr>
      <w:rFonts w:ascii="Times New Roman" w:eastAsia="Times New Roman" w:hAnsi="Times New Roman" w:cs="Times New Roman"/>
      <w:b/>
      <w:bCs/>
      <w:kern w:val="28"/>
      <w:sz w:val="32"/>
      <w:szCs w:val="32"/>
      <w:lang w:val="en-AU" w:eastAsia="en-AU"/>
    </w:rPr>
  </w:style>
  <w:style w:type="paragraph" w:customStyle="1" w:styleId="ActHead3">
    <w:name w:val="ActHead 3"/>
    <w:aliases w:val="d"/>
    <w:basedOn w:val="Normal"/>
    <w:next w:val="Normal"/>
    <w:link w:val="ActHead3Char"/>
    <w:rsid w:val="00040C7D"/>
    <w:pPr>
      <w:keepNext/>
      <w:keepLines/>
      <w:spacing w:before="240" w:after="0" w:line="240" w:lineRule="auto"/>
      <w:ind w:left="1134" w:hanging="1134"/>
      <w:outlineLvl w:val="2"/>
    </w:pPr>
    <w:rPr>
      <w:rFonts w:ascii="Times New Roman" w:eastAsia="Times New Roman" w:hAnsi="Times New Roman" w:cs="Times New Roman"/>
      <w:b/>
      <w:bCs/>
      <w:kern w:val="28"/>
      <w:sz w:val="28"/>
      <w:szCs w:val="32"/>
      <w:lang w:val="en-AU" w:eastAsia="en-AU"/>
    </w:rPr>
  </w:style>
  <w:style w:type="paragraph" w:customStyle="1" w:styleId="ActHead5">
    <w:name w:val="ActHead 5"/>
    <w:aliases w:val="s"/>
    <w:basedOn w:val="Normal"/>
    <w:next w:val="Normal"/>
    <w:link w:val="ActHead5Char"/>
    <w:rsid w:val="00040C7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paragraph" w:customStyle="1" w:styleId="BoxText">
    <w:name w:val="BoxText"/>
    <w:aliases w:val="bt"/>
    <w:rsid w:val="00040C7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4"/>
      <w:lang w:val="en-AU" w:eastAsia="en-AU"/>
    </w:rPr>
  </w:style>
  <w:style w:type="character" w:customStyle="1" w:styleId="CharDivNo">
    <w:name w:val="CharDivNo"/>
    <w:basedOn w:val="DefaultParagraphFont"/>
    <w:rsid w:val="00040C7D"/>
  </w:style>
  <w:style w:type="character" w:customStyle="1" w:styleId="CharDivText">
    <w:name w:val="CharDivText"/>
    <w:basedOn w:val="DefaultParagraphFont"/>
    <w:rsid w:val="00040C7D"/>
  </w:style>
  <w:style w:type="character" w:customStyle="1" w:styleId="CharPartNo">
    <w:name w:val="CharPartNo"/>
    <w:basedOn w:val="DefaultParagraphFont"/>
    <w:rsid w:val="00040C7D"/>
  </w:style>
  <w:style w:type="character" w:customStyle="1" w:styleId="CharPartText">
    <w:name w:val="CharPartText"/>
    <w:basedOn w:val="DefaultParagraphFont"/>
    <w:rsid w:val="00040C7D"/>
  </w:style>
  <w:style w:type="character" w:customStyle="1" w:styleId="CharSectno">
    <w:name w:val="CharSectno"/>
    <w:basedOn w:val="DefaultParagraphFont"/>
    <w:rsid w:val="00040C7D"/>
  </w:style>
  <w:style w:type="paragraph" w:customStyle="1" w:styleId="subsection">
    <w:name w:val="subsection"/>
    <w:aliases w:val="ss"/>
    <w:link w:val="subsectionChar"/>
    <w:rsid w:val="00040C7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link w:val="paragraphChar"/>
    <w:rsid w:val="00040C7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character" w:customStyle="1" w:styleId="subsectionChar">
    <w:name w:val="subsection Char"/>
    <w:aliases w:val="ss Char"/>
    <w:basedOn w:val="DefaultParagraphFont"/>
    <w:link w:val="subsection"/>
    <w:rsid w:val="00040C7D"/>
    <w:rPr>
      <w:rFonts w:ascii="Times New Roman" w:eastAsia="Times New Roman" w:hAnsi="Times New Roman" w:cs="Times New Roman"/>
      <w:szCs w:val="24"/>
      <w:lang w:val="en-AU" w:eastAsia="en-AU"/>
    </w:rPr>
  </w:style>
  <w:style w:type="character" w:customStyle="1" w:styleId="paragraphChar">
    <w:name w:val="paragraph Char"/>
    <w:aliases w:val="a Char"/>
    <w:basedOn w:val="DefaultParagraphFont"/>
    <w:link w:val="paragraph"/>
    <w:rsid w:val="00040C7D"/>
    <w:rPr>
      <w:rFonts w:ascii="Times New Roman" w:eastAsia="Times New Roman" w:hAnsi="Times New Roman" w:cs="Times New Roman"/>
      <w:szCs w:val="24"/>
      <w:lang w:val="en-AU" w:eastAsia="en-AU"/>
    </w:rPr>
  </w:style>
  <w:style w:type="character" w:customStyle="1" w:styleId="ActHead5Char">
    <w:name w:val="ActHead 5 Char"/>
    <w:aliases w:val="s Char"/>
    <w:basedOn w:val="DefaultParagraphFont"/>
    <w:link w:val="ActHead5"/>
    <w:rsid w:val="00040C7D"/>
    <w:rPr>
      <w:rFonts w:ascii="Times New Roman" w:eastAsia="Times New Roman" w:hAnsi="Times New Roman" w:cs="Times New Roman"/>
      <w:b/>
      <w:bCs/>
      <w:kern w:val="28"/>
      <w:sz w:val="24"/>
      <w:szCs w:val="32"/>
      <w:lang w:val="en-AU" w:eastAsia="en-AU"/>
    </w:rPr>
  </w:style>
  <w:style w:type="character" w:customStyle="1" w:styleId="ActHead3Char">
    <w:name w:val="ActHead 3 Char"/>
    <w:aliases w:val="d Char"/>
    <w:basedOn w:val="DefaultParagraphFont"/>
    <w:link w:val="ActHead3"/>
    <w:rsid w:val="00040C7D"/>
    <w:rPr>
      <w:rFonts w:ascii="Times New Roman" w:eastAsia="Times New Roman" w:hAnsi="Times New Roman" w:cs="Times New Roman"/>
      <w:b/>
      <w:bCs/>
      <w:kern w:val="28"/>
      <w:sz w:val="28"/>
      <w:szCs w:val="32"/>
      <w:lang w:val="en-AU" w:eastAsia="en-AU"/>
    </w:rPr>
  </w:style>
  <w:style w:type="paragraph" w:customStyle="1" w:styleId="notetext">
    <w:name w:val="note(text)"/>
    <w:aliases w:val="n"/>
    <w:link w:val="notetextChar"/>
    <w:rsid w:val="00040C7D"/>
    <w:pPr>
      <w:spacing w:before="122" w:after="0" w:line="198" w:lineRule="exact"/>
      <w:ind w:left="1985" w:hanging="851"/>
    </w:pPr>
    <w:rPr>
      <w:rFonts w:ascii="Times New Roman" w:eastAsia="Times New Roman" w:hAnsi="Times New Roman" w:cs="Times New Roman"/>
      <w:sz w:val="18"/>
      <w:szCs w:val="24"/>
      <w:lang w:val="en-AU" w:eastAsia="en-AU"/>
    </w:rPr>
  </w:style>
  <w:style w:type="paragraph" w:customStyle="1" w:styleId="subsection2">
    <w:name w:val="subsection2"/>
    <w:aliases w:val="ss2"/>
    <w:basedOn w:val="subsection"/>
    <w:next w:val="subsection"/>
    <w:rsid w:val="00040C7D"/>
    <w:pPr>
      <w:tabs>
        <w:tab w:val="clear" w:pos="1021"/>
      </w:tabs>
      <w:spacing w:before="40"/>
      <w:ind w:firstLine="0"/>
    </w:pPr>
  </w:style>
  <w:style w:type="character" w:customStyle="1" w:styleId="notetextChar">
    <w:name w:val="note(text) Char"/>
    <w:aliases w:val="n Char"/>
    <w:basedOn w:val="DefaultParagraphFont"/>
    <w:link w:val="notetext"/>
    <w:rsid w:val="00040C7D"/>
    <w:rPr>
      <w:rFonts w:ascii="Times New Roman" w:eastAsia="Times New Roman" w:hAnsi="Times New Roman" w:cs="Times New Roman"/>
      <w:sz w:val="18"/>
      <w:szCs w:val="24"/>
      <w:lang w:val="en-AU" w:eastAsia="en-AU"/>
    </w:rPr>
  </w:style>
  <w:style w:type="character" w:customStyle="1" w:styleId="CharAmSchNo">
    <w:name w:val="CharAmSchNo"/>
    <w:basedOn w:val="DefaultParagraphFont"/>
    <w:rsid w:val="0036053D"/>
  </w:style>
  <w:style w:type="character" w:customStyle="1" w:styleId="CharAmSchText">
    <w:name w:val="CharAmSchText"/>
    <w:basedOn w:val="DefaultParagraphFont"/>
    <w:rsid w:val="0036053D"/>
  </w:style>
  <w:style w:type="paragraph" w:customStyle="1" w:styleId="ActHead6">
    <w:name w:val="ActHead 6"/>
    <w:aliases w:val="as"/>
    <w:basedOn w:val="Normal"/>
    <w:next w:val="Normal"/>
    <w:rsid w:val="0036053D"/>
    <w:pPr>
      <w:keepNext/>
      <w:keepLines/>
      <w:spacing w:after="0" w:line="240" w:lineRule="auto"/>
      <w:ind w:left="1134" w:hanging="1134"/>
      <w:outlineLvl w:val="5"/>
    </w:pPr>
    <w:rPr>
      <w:rFonts w:eastAsia="Times New Roman" w:cs="Times New Roman"/>
      <w:b/>
      <w:bCs/>
      <w:kern w:val="28"/>
      <w:sz w:val="32"/>
      <w:szCs w:val="32"/>
      <w:lang w:val="en-AU" w:eastAsia="en-AU"/>
    </w:rPr>
  </w:style>
  <w:style w:type="paragraph" w:customStyle="1" w:styleId="ActHead9">
    <w:name w:val="ActHead 9"/>
    <w:aliases w:val="aat"/>
    <w:basedOn w:val="Normal"/>
    <w:next w:val="Normal"/>
    <w:rsid w:val="0036053D"/>
    <w:pPr>
      <w:keepLines/>
      <w:spacing w:before="280" w:after="0" w:line="240" w:lineRule="auto"/>
      <w:ind w:left="1134" w:hanging="1134"/>
      <w:outlineLvl w:val="8"/>
    </w:pPr>
    <w:rPr>
      <w:rFonts w:ascii="Times New Roman" w:eastAsia="Times New Roman" w:hAnsi="Times New Roman" w:cs="Times New Roman"/>
      <w:b/>
      <w:bCs/>
      <w:i/>
      <w:kern w:val="28"/>
      <w:sz w:val="28"/>
      <w:szCs w:val="32"/>
      <w:lang w:val="en-AU" w:eastAsia="en-AU"/>
    </w:rPr>
  </w:style>
  <w:style w:type="character" w:customStyle="1" w:styleId="CharAmPartNo">
    <w:name w:val="CharAmPartNo"/>
    <w:basedOn w:val="DefaultParagraphFont"/>
    <w:rsid w:val="0036053D"/>
  </w:style>
  <w:style w:type="character" w:customStyle="1" w:styleId="CharAmPartText">
    <w:name w:val="CharAmPartText"/>
    <w:basedOn w:val="DefaultParagraphFont"/>
    <w:rsid w:val="0036053D"/>
  </w:style>
  <w:style w:type="paragraph" w:customStyle="1" w:styleId="Definition">
    <w:name w:val="Definition"/>
    <w:aliases w:val="dd"/>
    <w:basedOn w:val="subsection"/>
    <w:rsid w:val="0036053D"/>
    <w:pPr>
      <w:tabs>
        <w:tab w:val="clear" w:pos="1021"/>
      </w:tabs>
      <w:ind w:firstLine="0"/>
    </w:pPr>
  </w:style>
  <w:style w:type="paragraph" w:customStyle="1" w:styleId="Item">
    <w:name w:val="Item"/>
    <w:aliases w:val="i"/>
    <w:basedOn w:val="subsection"/>
    <w:next w:val="Normal"/>
    <w:rsid w:val="0036053D"/>
    <w:pPr>
      <w:keepLines/>
      <w:tabs>
        <w:tab w:val="clear" w:pos="1021"/>
      </w:tabs>
      <w:spacing w:before="80"/>
      <w:ind w:left="709" w:firstLine="0"/>
    </w:pPr>
  </w:style>
  <w:style w:type="paragraph" w:customStyle="1" w:styleId="ItemHead">
    <w:name w:val="ItemHead"/>
    <w:aliases w:val="ih"/>
    <w:basedOn w:val="Heading1"/>
    <w:next w:val="Item"/>
    <w:rsid w:val="0036053D"/>
    <w:pPr>
      <w:keepLines/>
      <w:spacing w:before="220" w:line="240" w:lineRule="auto"/>
      <w:ind w:left="709" w:hanging="709"/>
      <w:contextualSpacing w:val="0"/>
      <w:outlineLvl w:val="9"/>
    </w:pPr>
    <w:rPr>
      <w:rFonts w:eastAsia="Times New Roman" w:cs="Arial"/>
      <w:kern w:val="28"/>
      <w:sz w:val="24"/>
      <w:szCs w:val="32"/>
      <w:lang w:val="en-AU" w:eastAsia="en-AU"/>
    </w:rPr>
  </w:style>
  <w:style w:type="paragraph" w:styleId="TOC1">
    <w:name w:val="toc 1"/>
    <w:basedOn w:val="Normal"/>
    <w:next w:val="Normal"/>
    <w:autoRedefine/>
    <w:uiPriority w:val="39"/>
    <w:unhideWhenUsed/>
    <w:rsid w:val="00E54AE7"/>
    <w:pPr>
      <w:spacing w:after="100"/>
    </w:pPr>
  </w:style>
  <w:style w:type="paragraph" w:styleId="TOC2">
    <w:name w:val="toc 2"/>
    <w:basedOn w:val="Normal"/>
    <w:next w:val="Normal"/>
    <w:autoRedefine/>
    <w:uiPriority w:val="39"/>
    <w:unhideWhenUsed/>
    <w:rsid w:val="00E54AE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786A79"/>
    <w:rPr>
      <w:sz w:val="16"/>
      <w:szCs w:val="16"/>
    </w:rPr>
  </w:style>
  <w:style w:type="paragraph" w:styleId="CommentText">
    <w:name w:val="annotation text"/>
    <w:basedOn w:val="Normal"/>
    <w:link w:val="CommentTextChar"/>
    <w:uiPriority w:val="99"/>
    <w:semiHidden/>
    <w:unhideWhenUsed/>
    <w:rsid w:val="00786A79"/>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786A79"/>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786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79"/>
    <w:rPr>
      <w:rFonts w:ascii="Tahoma" w:hAnsi="Tahoma" w:cs="Tahoma"/>
      <w:sz w:val="16"/>
      <w:szCs w:val="16"/>
    </w:rPr>
  </w:style>
  <w:style w:type="character" w:styleId="Hyperlink">
    <w:name w:val="Hyperlink"/>
    <w:basedOn w:val="DefaultParagraphFont"/>
    <w:uiPriority w:val="99"/>
    <w:unhideWhenUsed/>
    <w:rsid w:val="00786A79"/>
    <w:rPr>
      <w:strike w:val="0"/>
      <w:dstrike w:val="0"/>
      <w:color w:val="045F85"/>
      <w:sz w:val="24"/>
      <w:szCs w:val="24"/>
      <w:u w:val="none"/>
      <w:effect w:val="none"/>
      <w:shd w:val="clear" w:color="auto" w:fill="auto"/>
      <w:vertAlign w:val="baseline"/>
    </w:rPr>
  </w:style>
  <w:style w:type="paragraph" w:styleId="FootnoteText">
    <w:name w:val="footnote text"/>
    <w:basedOn w:val="Normal"/>
    <w:link w:val="FootnoteTextChar"/>
    <w:uiPriority w:val="99"/>
    <w:unhideWhenUsed/>
    <w:rsid w:val="00786A79"/>
    <w:pPr>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uiPriority w:val="99"/>
    <w:rsid w:val="00786A79"/>
    <w:rPr>
      <w:rFonts w:ascii="Calibri" w:eastAsia="Calibri" w:hAnsi="Calibri" w:cs="Times New Roman"/>
      <w:sz w:val="20"/>
      <w:szCs w:val="20"/>
      <w:lang w:val="en-AU"/>
    </w:rPr>
  </w:style>
  <w:style w:type="character" w:styleId="FootnoteReference">
    <w:name w:val="footnote reference"/>
    <w:basedOn w:val="DefaultParagraphFont"/>
    <w:uiPriority w:val="99"/>
    <w:unhideWhenUsed/>
    <w:rsid w:val="00786A79"/>
    <w:rPr>
      <w:vertAlign w:val="superscript"/>
    </w:rPr>
  </w:style>
  <w:style w:type="paragraph" w:styleId="Header">
    <w:name w:val="header"/>
    <w:basedOn w:val="Normal"/>
    <w:link w:val="HeaderChar"/>
    <w:unhideWhenUsed/>
    <w:rsid w:val="00BF0889"/>
    <w:pPr>
      <w:tabs>
        <w:tab w:val="center" w:pos="4513"/>
        <w:tab w:val="right" w:pos="9026"/>
      </w:tabs>
      <w:spacing w:after="0" w:line="240" w:lineRule="auto"/>
    </w:pPr>
  </w:style>
  <w:style w:type="character" w:customStyle="1" w:styleId="HeaderChar">
    <w:name w:val="Header Char"/>
    <w:basedOn w:val="DefaultParagraphFont"/>
    <w:link w:val="Header"/>
    <w:rsid w:val="00BF0889"/>
    <w:rPr>
      <w:rFonts w:ascii="Arial" w:hAnsi="Arial"/>
    </w:rPr>
  </w:style>
  <w:style w:type="paragraph" w:styleId="Footer">
    <w:name w:val="footer"/>
    <w:basedOn w:val="Normal"/>
    <w:link w:val="FooterChar"/>
    <w:uiPriority w:val="99"/>
    <w:unhideWhenUsed/>
    <w:rsid w:val="00BF0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89"/>
    <w:rPr>
      <w:rFonts w:ascii="Arial" w:hAnsi="Arial"/>
    </w:rPr>
  </w:style>
  <w:style w:type="paragraph" w:styleId="CommentSubject">
    <w:name w:val="annotation subject"/>
    <w:basedOn w:val="CommentText"/>
    <w:next w:val="CommentText"/>
    <w:link w:val="CommentSubjectChar"/>
    <w:uiPriority w:val="99"/>
    <w:semiHidden/>
    <w:unhideWhenUsed/>
    <w:rsid w:val="00AC45F1"/>
    <w:pPr>
      <w:spacing w:after="200"/>
    </w:pPr>
    <w:rPr>
      <w:rFonts w:ascii="Arial" w:eastAsiaTheme="minorHAnsi" w:hAnsi="Arial" w:cstheme="minorBidi"/>
      <w:b/>
      <w:bCs/>
      <w:lang w:val="en-US" w:eastAsia="en-US"/>
    </w:rPr>
  </w:style>
  <w:style w:type="character" w:customStyle="1" w:styleId="CommentSubjectChar">
    <w:name w:val="Comment Subject Char"/>
    <w:basedOn w:val="CommentTextChar"/>
    <w:link w:val="CommentSubject"/>
    <w:uiPriority w:val="99"/>
    <w:semiHidden/>
    <w:rsid w:val="00AC45F1"/>
    <w:rPr>
      <w:rFonts w:ascii="Arial" w:eastAsia="Times New Roman" w:hAnsi="Arial" w:cs="Times New Roman"/>
      <w:b/>
      <w:bCs/>
      <w:sz w:val="20"/>
      <w:szCs w:val="20"/>
      <w:lang w:val="en-AU" w:eastAsia="en-AU"/>
    </w:rPr>
  </w:style>
  <w:style w:type="table" w:styleId="TableGrid">
    <w:name w:val="Table Grid"/>
    <w:basedOn w:val="TableNormal"/>
    <w:uiPriority w:val="59"/>
    <w:rsid w:val="00376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D51D2"/>
    <w:rPr>
      <w:color w:val="800080" w:themeColor="followedHyperlink"/>
      <w:u w:val="single"/>
    </w:rPr>
  </w:style>
  <w:style w:type="paragraph" w:styleId="Revision">
    <w:name w:val="Revision"/>
    <w:hidden/>
    <w:uiPriority w:val="99"/>
    <w:semiHidden/>
    <w:rsid w:val="002F1ECD"/>
    <w:pPr>
      <w:spacing w:after="0" w:line="240" w:lineRule="auto"/>
    </w:pPr>
    <w:rPr>
      <w:rFonts w:ascii="Arial" w:hAnsi="Arial"/>
    </w:rPr>
  </w:style>
  <w:style w:type="paragraph" w:customStyle="1" w:styleId="ShortT">
    <w:name w:val="ShortT"/>
    <w:basedOn w:val="Normal"/>
    <w:next w:val="Normal"/>
    <w:link w:val="ShortTChar"/>
    <w:rsid w:val="00040C7D"/>
    <w:pPr>
      <w:spacing w:before="360" w:after="0" w:line="260" w:lineRule="atLeast"/>
    </w:pPr>
    <w:rPr>
      <w:rFonts w:ascii="Times" w:eastAsia="Times New Roman" w:hAnsi="Times" w:cs="Times New Roman"/>
      <w:b/>
      <w:sz w:val="40"/>
      <w:szCs w:val="20"/>
      <w:lang w:val="en-AU" w:eastAsia="en-AU"/>
    </w:rPr>
  </w:style>
  <w:style w:type="paragraph" w:customStyle="1" w:styleId="Actno">
    <w:name w:val="Actno"/>
    <w:basedOn w:val="Normal"/>
    <w:next w:val="Normal"/>
    <w:link w:val="ActnoChar"/>
    <w:rsid w:val="00040C7D"/>
    <w:pPr>
      <w:spacing w:before="240" w:after="0" w:line="260" w:lineRule="atLeast"/>
    </w:pPr>
    <w:rPr>
      <w:rFonts w:ascii="Times New Roman" w:eastAsia="Times New Roman" w:hAnsi="Times New Roman" w:cs="Times New Roman"/>
      <w:b/>
      <w:sz w:val="24"/>
      <w:szCs w:val="24"/>
      <w:lang w:val="en-AU" w:eastAsia="en-AU"/>
    </w:rPr>
  </w:style>
  <w:style w:type="paragraph" w:customStyle="1" w:styleId="LongT">
    <w:name w:val="LongT"/>
    <w:rsid w:val="00040C7D"/>
    <w:pPr>
      <w:spacing w:after="0" w:line="240" w:lineRule="auto"/>
    </w:pPr>
    <w:rPr>
      <w:rFonts w:ascii="Times New Roman" w:eastAsia="Times New Roman" w:hAnsi="Times New Roman" w:cs="Times New Roman"/>
      <w:b/>
      <w:sz w:val="32"/>
      <w:szCs w:val="24"/>
      <w:lang w:val="en-AU" w:eastAsia="en-AU"/>
    </w:rPr>
  </w:style>
  <w:style w:type="character" w:customStyle="1" w:styleId="ShortTChar">
    <w:name w:val="ShortT Char"/>
    <w:basedOn w:val="DefaultParagraphFont"/>
    <w:link w:val="ShortT"/>
    <w:rsid w:val="00040C7D"/>
    <w:rPr>
      <w:rFonts w:ascii="Times" w:eastAsia="Times New Roman" w:hAnsi="Times" w:cs="Times New Roman"/>
      <w:b/>
      <w:sz w:val="40"/>
      <w:szCs w:val="20"/>
      <w:lang w:val="en-AU" w:eastAsia="en-AU"/>
    </w:rPr>
  </w:style>
  <w:style w:type="character" w:customStyle="1" w:styleId="ActnoChar">
    <w:name w:val="Actno Char"/>
    <w:basedOn w:val="ShortTChar"/>
    <w:link w:val="Actno"/>
    <w:rsid w:val="00040C7D"/>
    <w:rPr>
      <w:rFonts w:ascii="Times New Roman" w:eastAsia="Times New Roman" w:hAnsi="Times New Roman" w:cs="Times New Roman"/>
      <w:b/>
      <w:sz w:val="24"/>
      <w:szCs w:val="24"/>
      <w:lang w:val="en-AU" w:eastAsia="en-AU"/>
    </w:rPr>
  </w:style>
  <w:style w:type="paragraph" w:customStyle="1" w:styleId="ActHead2">
    <w:name w:val="ActHead 2"/>
    <w:aliases w:val="p"/>
    <w:basedOn w:val="Normal"/>
    <w:next w:val="Normal"/>
    <w:rsid w:val="00040C7D"/>
    <w:pPr>
      <w:keepNext/>
      <w:keepLines/>
      <w:spacing w:before="280" w:after="0" w:line="240" w:lineRule="auto"/>
      <w:ind w:left="1134" w:hanging="1134"/>
      <w:outlineLvl w:val="1"/>
    </w:pPr>
    <w:rPr>
      <w:rFonts w:ascii="Times New Roman" w:eastAsia="Times New Roman" w:hAnsi="Times New Roman" w:cs="Times New Roman"/>
      <w:b/>
      <w:bCs/>
      <w:kern w:val="28"/>
      <w:sz w:val="32"/>
      <w:szCs w:val="32"/>
      <w:lang w:val="en-AU" w:eastAsia="en-AU"/>
    </w:rPr>
  </w:style>
  <w:style w:type="paragraph" w:customStyle="1" w:styleId="ActHead3">
    <w:name w:val="ActHead 3"/>
    <w:aliases w:val="d"/>
    <w:basedOn w:val="Normal"/>
    <w:next w:val="Normal"/>
    <w:link w:val="ActHead3Char"/>
    <w:rsid w:val="00040C7D"/>
    <w:pPr>
      <w:keepNext/>
      <w:keepLines/>
      <w:spacing w:before="240" w:after="0" w:line="240" w:lineRule="auto"/>
      <w:ind w:left="1134" w:hanging="1134"/>
      <w:outlineLvl w:val="2"/>
    </w:pPr>
    <w:rPr>
      <w:rFonts w:ascii="Times New Roman" w:eastAsia="Times New Roman" w:hAnsi="Times New Roman" w:cs="Times New Roman"/>
      <w:b/>
      <w:bCs/>
      <w:kern w:val="28"/>
      <w:sz w:val="28"/>
      <w:szCs w:val="32"/>
      <w:lang w:val="en-AU" w:eastAsia="en-AU"/>
    </w:rPr>
  </w:style>
  <w:style w:type="paragraph" w:customStyle="1" w:styleId="ActHead5">
    <w:name w:val="ActHead 5"/>
    <w:aliases w:val="s"/>
    <w:basedOn w:val="Normal"/>
    <w:next w:val="Normal"/>
    <w:link w:val="ActHead5Char"/>
    <w:rsid w:val="00040C7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paragraph" w:customStyle="1" w:styleId="BoxText">
    <w:name w:val="BoxText"/>
    <w:aliases w:val="bt"/>
    <w:rsid w:val="00040C7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4"/>
      <w:lang w:val="en-AU" w:eastAsia="en-AU"/>
    </w:rPr>
  </w:style>
  <w:style w:type="character" w:customStyle="1" w:styleId="CharDivNo">
    <w:name w:val="CharDivNo"/>
    <w:basedOn w:val="DefaultParagraphFont"/>
    <w:rsid w:val="00040C7D"/>
  </w:style>
  <w:style w:type="character" w:customStyle="1" w:styleId="CharDivText">
    <w:name w:val="CharDivText"/>
    <w:basedOn w:val="DefaultParagraphFont"/>
    <w:rsid w:val="00040C7D"/>
  </w:style>
  <w:style w:type="character" w:customStyle="1" w:styleId="CharPartNo">
    <w:name w:val="CharPartNo"/>
    <w:basedOn w:val="DefaultParagraphFont"/>
    <w:rsid w:val="00040C7D"/>
  </w:style>
  <w:style w:type="character" w:customStyle="1" w:styleId="CharPartText">
    <w:name w:val="CharPartText"/>
    <w:basedOn w:val="DefaultParagraphFont"/>
    <w:rsid w:val="00040C7D"/>
  </w:style>
  <w:style w:type="character" w:customStyle="1" w:styleId="CharSectno">
    <w:name w:val="CharSectno"/>
    <w:basedOn w:val="DefaultParagraphFont"/>
    <w:rsid w:val="00040C7D"/>
  </w:style>
  <w:style w:type="paragraph" w:customStyle="1" w:styleId="subsection">
    <w:name w:val="subsection"/>
    <w:aliases w:val="ss"/>
    <w:link w:val="subsectionChar"/>
    <w:rsid w:val="00040C7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link w:val="paragraphChar"/>
    <w:rsid w:val="00040C7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character" w:customStyle="1" w:styleId="subsectionChar">
    <w:name w:val="subsection Char"/>
    <w:aliases w:val="ss Char"/>
    <w:basedOn w:val="DefaultParagraphFont"/>
    <w:link w:val="subsection"/>
    <w:rsid w:val="00040C7D"/>
    <w:rPr>
      <w:rFonts w:ascii="Times New Roman" w:eastAsia="Times New Roman" w:hAnsi="Times New Roman" w:cs="Times New Roman"/>
      <w:szCs w:val="24"/>
      <w:lang w:val="en-AU" w:eastAsia="en-AU"/>
    </w:rPr>
  </w:style>
  <w:style w:type="character" w:customStyle="1" w:styleId="paragraphChar">
    <w:name w:val="paragraph Char"/>
    <w:aliases w:val="a Char"/>
    <w:basedOn w:val="DefaultParagraphFont"/>
    <w:link w:val="paragraph"/>
    <w:rsid w:val="00040C7D"/>
    <w:rPr>
      <w:rFonts w:ascii="Times New Roman" w:eastAsia="Times New Roman" w:hAnsi="Times New Roman" w:cs="Times New Roman"/>
      <w:szCs w:val="24"/>
      <w:lang w:val="en-AU" w:eastAsia="en-AU"/>
    </w:rPr>
  </w:style>
  <w:style w:type="character" w:customStyle="1" w:styleId="ActHead5Char">
    <w:name w:val="ActHead 5 Char"/>
    <w:aliases w:val="s Char"/>
    <w:basedOn w:val="DefaultParagraphFont"/>
    <w:link w:val="ActHead5"/>
    <w:rsid w:val="00040C7D"/>
    <w:rPr>
      <w:rFonts w:ascii="Times New Roman" w:eastAsia="Times New Roman" w:hAnsi="Times New Roman" w:cs="Times New Roman"/>
      <w:b/>
      <w:bCs/>
      <w:kern w:val="28"/>
      <w:sz w:val="24"/>
      <w:szCs w:val="32"/>
      <w:lang w:val="en-AU" w:eastAsia="en-AU"/>
    </w:rPr>
  </w:style>
  <w:style w:type="character" w:customStyle="1" w:styleId="ActHead3Char">
    <w:name w:val="ActHead 3 Char"/>
    <w:aliases w:val="d Char"/>
    <w:basedOn w:val="DefaultParagraphFont"/>
    <w:link w:val="ActHead3"/>
    <w:rsid w:val="00040C7D"/>
    <w:rPr>
      <w:rFonts w:ascii="Times New Roman" w:eastAsia="Times New Roman" w:hAnsi="Times New Roman" w:cs="Times New Roman"/>
      <w:b/>
      <w:bCs/>
      <w:kern w:val="28"/>
      <w:sz w:val="28"/>
      <w:szCs w:val="32"/>
      <w:lang w:val="en-AU" w:eastAsia="en-AU"/>
    </w:rPr>
  </w:style>
  <w:style w:type="paragraph" w:customStyle="1" w:styleId="notetext">
    <w:name w:val="note(text)"/>
    <w:aliases w:val="n"/>
    <w:link w:val="notetextChar"/>
    <w:rsid w:val="00040C7D"/>
    <w:pPr>
      <w:spacing w:before="122" w:after="0" w:line="198" w:lineRule="exact"/>
      <w:ind w:left="1985" w:hanging="851"/>
    </w:pPr>
    <w:rPr>
      <w:rFonts w:ascii="Times New Roman" w:eastAsia="Times New Roman" w:hAnsi="Times New Roman" w:cs="Times New Roman"/>
      <w:sz w:val="18"/>
      <w:szCs w:val="24"/>
      <w:lang w:val="en-AU" w:eastAsia="en-AU"/>
    </w:rPr>
  </w:style>
  <w:style w:type="paragraph" w:customStyle="1" w:styleId="subsection2">
    <w:name w:val="subsection2"/>
    <w:aliases w:val="ss2"/>
    <w:basedOn w:val="subsection"/>
    <w:next w:val="subsection"/>
    <w:rsid w:val="00040C7D"/>
    <w:pPr>
      <w:tabs>
        <w:tab w:val="clear" w:pos="1021"/>
      </w:tabs>
      <w:spacing w:before="40"/>
      <w:ind w:firstLine="0"/>
    </w:pPr>
  </w:style>
  <w:style w:type="character" w:customStyle="1" w:styleId="notetextChar">
    <w:name w:val="note(text) Char"/>
    <w:aliases w:val="n Char"/>
    <w:basedOn w:val="DefaultParagraphFont"/>
    <w:link w:val="notetext"/>
    <w:rsid w:val="00040C7D"/>
    <w:rPr>
      <w:rFonts w:ascii="Times New Roman" w:eastAsia="Times New Roman" w:hAnsi="Times New Roman" w:cs="Times New Roman"/>
      <w:sz w:val="18"/>
      <w:szCs w:val="24"/>
      <w:lang w:val="en-AU" w:eastAsia="en-AU"/>
    </w:rPr>
  </w:style>
  <w:style w:type="character" w:customStyle="1" w:styleId="CharAmSchNo">
    <w:name w:val="CharAmSchNo"/>
    <w:basedOn w:val="DefaultParagraphFont"/>
    <w:rsid w:val="0036053D"/>
  </w:style>
  <w:style w:type="character" w:customStyle="1" w:styleId="CharAmSchText">
    <w:name w:val="CharAmSchText"/>
    <w:basedOn w:val="DefaultParagraphFont"/>
    <w:rsid w:val="0036053D"/>
  </w:style>
  <w:style w:type="paragraph" w:customStyle="1" w:styleId="ActHead6">
    <w:name w:val="ActHead 6"/>
    <w:aliases w:val="as"/>
    <w:basedOn w:val="Normal"/>
    <w:next w:val="Normal"/>
    <w:rsid w:val="0036053D"/>
    <w:pPr>
      <w:keepNext/>
      <w:keepLines/>
      <w:spacing w:after="0" w:line="240" w:lineRule="auto"/>
      <w:ind w:left="1134" w:hanging="1134"/>
      <w:outlineLvl w:val="5"/>
    </w:pPr>
    <w:rPr>
      <w:rFonts w:eastAsia="Times New Roman" w:cs="Times New Roman"/>
      <w:b/>
      <w:bCs/>
      <w:kern w:val="28"/>
      <w:sz w:val="32"/>
      <w:szCs w:val="32"/>
      <w:lang w:val="en-AU" w:eastAsia="en-AU"/>
    </w:rPr>
  </w:style>
  <w:style w:type="paragraph" w:customStyle="1" w:styleId="ActHead9">
    <w:name w:val="ActHead 9"/>
    <w:aliases w:val="aat"/>
    <w:basedOn w:val="Normal"/>
    <w:next w:val="Normal"/>
    <w:rsid w:val="0036053D"/>
    <w:pPr>
      <w:keepLines/>
      <w:spacing w:before="280" w:after="0" w:line="240" w:lineRule="auto"/>
      <w:ind w:left="1134" w:hanging="1134"/>
      <w:outlineLvl w:val="8"/>
    </w:pPr>
    <w:rPr>
      <w:rFonts w:ascii="Times New Roman" w:eastAsia="Times New Roman" w:hAnsi="Times New Roman" w:cs="Times New Roman"/>
      <w:b/>
      <w:bCs/>
      <w:i/>
      <w:kern w:val="28"/>
      <w:sz w:val="28"/>
      <w:szCs w:val="32"/>
      <w:lang w:val="en-AU" w:eastAsia="en-AU"/>
    </w:rPr>
  </w:style>
  <w:style w:type="character" w:customStyle="1" w:styleId="CharAmPartNo">
    <w:name w:val="CharAmPartNo"/>
    <w:basedOn w:val="DefaultParagraphFont"/>
    <w:rsid w:val="0036053D"/>
  </w:style>
  <w:style w:type="character" w:customStyle="1" w:styleId="CharAmPartText">
    <w:name w:val="CharAmPartText"/>
    <w:basedOn w:val="DefaultParagraphFont"/>
    <w:rsid w:val="0036053D"/>
  </w:style>
  <w:style w:type="paragraph" w:customStyle="1" w:styleId="Definition">
    <w:name w:val="Definition"/>
    <w:aliases w:val="dd"/>
    <w:basedOn w:val="subsection"/>
    <w:rsid w:val="0036053D"/>
    <w:pPr>
      <w:tabs>
        <w:tab w:val="clear" w:pos="1021"/>
      </w:tabs>
      <w:ind w:firstLine="0"/>
    </w:pPr>
  </w:style>
  <w:style w:type="paragraph" w:customStyle="1" w:styleId="Item">
    <w:name w:val="Item"/>
    <w:aliases w:val="i"/>
    <w:basedOn w:val="subsection"/>
    <w:next w:val="Normal"/>
    <w:rsid w:val="0036053D"/>
    <w:pPr>
      <w:keepLines/>
      <w:tabs>
        <w:tab w:val="clear" w:pos="1021"/>
      </w:tabs>
      <w:spacing w:before="80"/>
      <w:ind w:left="709" w:firstLine="0"/>
    </w:pPr>
  </w:style>
  <w:style w:type="paragraph" w:customStyle="1" w:styleId="ItemHead">
    <w:name w:val="ItemHead"/>
    <w:aliases w:val="ih"/>
    <w:basedOn w:val="Heading1"/>
    <w:next w:val="Item"/>
    <w:rsid w:val="0036053D"/>
    <w:pPr>
      <w:keepLines/>
      <w:spacing w:before="220" w:line="240" w:lineRule="auto"/>
      <w:ind w:left="709" w:hanging="709"/>
      <w:contextualSpacing w:val="0"/>
      <w:outlineLvl w:val="9"/>
    </w:pPr>
    <w:rPr>
      <w:rFonts w:eastAsia="Times New Roman" w:cs="Arial"/>
      <w:kern w:val="28"/>
      <w:sz w:val="24"/>
      <w:szCs w:val="32"/>
      <w:lang w:val="en-AU" w:eastAsia="en-AU"/>
    </w:rPr>
  </w:style>
  <w:style w:type="paragraph" w:styleId="TOC1">
    <w:name w:val="toc 1"/>
    <w:basedOn w:val="Normal"/>
    <w:next w:val="Normal"/>
    <w:autoRedefine/>
    <w:uiPriority w:val="39"/>
    <w:unhideWhenUsed/>
    <w:rsid w:val="00E54AE7"/>
    <w:pPr>
      <w:spacing w:after="100"/>
    </w:pPr>
  </w:style>
  <w:style w:type="paragraph" w:styleId="TOC2">
    <w:name w:val="toc 2"/>
    <w:basedOn w:val="Normal"/>
    <w:next w:val="Normal"/>
    <w:autoRedefine/>
    <w:uiPriority w:val="39"/>
    <w:unhideWhenUsed/>
    <w:rsid w:val="00E54AE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lands.nt.gov.au/__data/assets/pdf_file/0004/25258/Part-6.pdf" TargetMode="External"/><Relationship Id="rId1" Type="http://schemas.openxmlformats.org/officeDocument/2006/relationships/hyperlink" Target="http://www.clc.org.au/publications/content/senate-inquiry-submission-into-the-stronger-fu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3031-DA3F-4F79-AE9C-CE44BC8D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2013-06-24T04:25:00Z</dcterms:created>
  <dcterms:modified xsi:type="dcterms:W3CDTF">2013-06-25T02:13:00Z</dcterms:modified>
</cp:coreProperties>
</file>