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8C5950">
      <w:pPr>
        <w:spacing w:before="0" w:after="240"/>
      </w:pPr>
      <w:r>
        <w:rPr>
          <w:noProof/>
        </w:rPr>
        <w:drawing>
          <wp:inline distT="0" distB="0" distL="0" distR="0" wp14:anchorId="21C4285B" wp14:editId="7D4CE786">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rsidR="008466A1" w:rsidRPr="00754D44" w:rsidRDefault="005A2AFF" w:rsidP="00754D44">
      <w:pPr>
        <w:pStyle w:val="Title"/>
      </w:pPr>
      <w:r>
        <w:t>Strengthening immunisation requirements</w:t>
      </w:r>
    </w:p>
    <w:p w:rsidR="001354B7" w:rsidRDefault="005A2AFF" w:rsidP="00754D44">
      <w:pPr>
        <w:pStyle w:val="Subtitle"/>
      </w:pPr>
      <w:r>
        <w:t>Fact sheet</w:t>
      </w:r>
    </w:p>
    <w:p w:rsidR="005A2AFF" w:rsidRPr="005A2AFF" w:rsidRDefault="005A2AFF" w:rsidP="005A2AFF">
      <w:pPr>
        <w:rPr>
          <w:b/>
        </w:rPr>
      </w:pPr>
      <w:r w:rsidRPr="005A2AFF">
        <w:rPr>
          <w:b/>
        </w:rPr>
        <w:t>12 April 2015</w:t>
      </w:r>
    </w:p>
    <w:p w:rsidR="005A2AFF" w:rsidRPr="005A2AFF" w:rsidRDefault="005A2AFF" w:rsidP="005A2AFF"/>
    <w:p w:rsidR="00680F71" w:rsidRDefault="005A2AFF" w:rsidP="0003104E">
      <w:pPr>
        <w:pStyle w:val="Heading1"/>
      </w:pPr>
      <w:r>
        <w:t>What was announced?</w:t>
      </w:r>
      <w:r w:rsidR="008466A1">
        <w:t xml:space="preserve"> </w:t>
      </w:r>
    </w:p>
    <w:p w:rsidR="005A2AFF" w:rsidRPr="005A2AFF" w:rsidRDefault="005A2AFF" w:rsidP="005A2AFF">
      <w:pPr>
        <w:pStyle w:val="TableText"/>
        <w:rPr>
          <w:rStyle w:val="BookTitle"/>
          <w:rFonts w:eastAsiaTheme="minorEastAsia"/>
          <w:i w:val="0"/>
          <w:iCs w:val="0"/>
          <w:smallCaps w:val="0"/>
          <w:spacing w:val="0"/>
        </w:rPr>
      </w:pPr>
      <w:r w:rsidRPr="005A2AFF">
        <w:rPr>
          <w:rStyle w:val="BookTitle"/>
          <w:rFonts w:eastAsiaTheme="majorEastAsia"/>
          <w:i w:val="0"/>
          <w:iCs w:val="0"/>
          <w:smallCaps w:val="0"/>
          <w:spacing w:val="0"/>
        </w:rPr>
        <w:t>The Government is strengthening the immunisation requirements already in place for Child Care Benefit (CCB), Child Care Rebate (CCR) and the Family Tax Benefit (FTB) Part A end of year supplement.</w:t>
      </w:r>
    </w:p>
    <w:p w:rsidR="005A2AFF" w:rsidRDefault="005A2AFF" w:rsidP="005A2AFF">
      <w:pPr>
        <w:pStyle w:val="TableText"/>
        <w:rPr>
          <w:rStyle w:val="BookTitle"/>
          <w:rFonts w:eastAsiaTheme="majorEastAsia"/>
          <w:i w:val="0"/>
          <w:iCs w:val="0"/>
          <w:smallCaps w:val="0"/>
          <w:spacing w:val="0"/>
        </w:rPr>
      </w:pPr>
    </w:p>
    <w:p w:rsidR="00BA733A" w:rsidRDefault="00BA733A" w:rsidP="00BA733A">
      <w:pPr>
        <w:pStyle w:val="TableText"/>
        <w:rPr>
          <w:rStyle w:val="BookTitle"/>
          <w:rFonts w:eastAsiaTheme="majorEastAsia"/>
          <w:i w:val="0"/>
          <w:iCs w:val="0"/>
          <w:smallCaps w:val="0"/>
          <w:spacing w:val="0"/>
        </w:rPr>
      </w:pPr>
      <w:r w:rsidRPr="00BA733A">
        <w:rPr>
          <w:rStyle w:val="BookTitle"/>
          <w:rFonts w:eastAsiaTheme="majorEastAsia"/>
          <w:i w:val="0"/>
          <w:iCs w:val="0"/>
          <w:smallCaps w:val="0"/>
          <w:spacing w:val="0"/>
        </w:rPr>
        <w:t>From 1 January 2016, no vaccination objections will be accepted in order to receive the FTB Part A end of year supplement and child care subsidies.</w:t>
      </w:r>
    </w:p>
    <w:p w:rsidR="00BA733A" w:rsidRDefault="00BA733A" w:rsidP="00BA733A">
      <w:pPr>
        <w:pStyle w:val="TableText"/>
        <w:rPr>
          <w:rStyle w:val="BookTitle"/>
          <w:rFonts w:eastAsiaTheme="majorEastAsia"/>
          <w:i w:val="0"/>
          <w:iCs w:val="0"/>
          <w:smallCaps w:val="0"/>
          <w:spacing w:val="0"/>
        </w:rPr>
      </w:pPr>
    </w:p>
    <w:p w:rsidR="005A2AFF" w:rsidRPr="005A2AFF" w:rsidRDefault="00BA733A" w:rsidP="004A6FA1">
      <w:pPr>
        <w:pStyle w:val="TableText"/>
        <w:rPr>
          <w:rStyle w:val="BookTitle"/>
          <w:rFonts w:eastAsiaTheme="minorEastAsia"/>
          <w:i w:val="0"/>
          <w:iCs w:val="0"/>
          <w:smallCaps w:val="0"/>
          <w:spacing w:val="0"/>
        </w:rPr>
      </w:pPr>
      <w:r w:rsidRPr="00BA733A">
        <w:rPr>
          <w:rStyle w:val="BookTitle"/>
          <w:rFonts w:eastAsiaTheme="majorEastAsia"/>
          <w:i w:val="0"/>
          <w:iCs w:val="0"/>
          <w:smallCaps w:val="0"/>
          <w:spacing w:val="0"/>
        </w:rPr>
        <w:t>‘</w:t>
      </w:r>
      <w:r>
        <w:rPr>
          <w:rStyle w:val="BookTitle"/>
          <w:rFonts w:eastAsiaTheme="majorEastAsia"/>
          <w:i w:val="0"/>
          <w:iCs w:val="0"/>
          <w:smallCaps w:val="0"/>
          <w:spacing w:val="0"/>
        </w:rPr>
        <w:t>C</w:t>
      </w:r>
      <w:r w:rsidRPr="00BA733A">
        <w:rPr>
          <w:rStyle w:val="BookTitle"/>
          <w:rFonts w:eastAsiaTheme="majorEastAsia"/>
          <w:i w:val="0"/>
          <w:iCs w:val="0"/>
          <w:smallCaps w:val="0"/>
          <w:spacing w:val="0"/>
        </w:rPr>
        <w:t xml:space="preserve">onscientious objection’ will be removed as an exemption category </w:t>
      </w:r>
      <w:r w:rsidR="004A6FA1">
        <w:rPr>
          <w:rStyle w:val="BookTitle"/>
          <w:rFonts w:eastAsiaTheme="majorEastAsia"/>
          <w:i w:val="0"/>
          <w:iCs w:val="0"/>
          <w:smallCaps w:val="0"/>
          <w:spacing w:val="0"/>
        </w:rPr>
        <w:t xml:space="preserve">and </w:t>
      </w:r>
      <w:r w:rsidR="00F27609">
        <w:rPr>
          <w:rStyle w:val="BookTitle"/>
          <w:rFonts w:eastAsiaTheme="majorEastAsia"/>
          <w:i w:val="0"/>
          <w:iCs w:val="0"/>
          <w:smallCaps w:val="0"/>
          <w:spacing w:val="0"/>
        </w:rPr>
        <w:t>c</w:t>
      </w:r>
      <w:r w:rsidR="005A2AFF" w:rsidRPr="005A2AFF">
        <w:rPr>
          <w:rStyle w:val="BookTitle"/>
          <w:rFonts w:eastAsiaTheme="majorEastAsia"/>
          <w:i w:val="0"/>
          <w:iCs w:val="0"/>
          <w:smallCaps w:val="0"/>
          <w:spacing w:val="0"/>
        </w:rPr>
        <w:t xml:space="preserve">hildren who are not immunised and do not have a valid exemption </w:t>
      </w:r>
      <w:r w:rsidR="004A6FA1" w:rsidRPr="005A2AFF">
        <w:rPr>
          <w:rStyle w:val="BookTitle"/>
          <w:rFonts w:eastAsiaTheme="majorEastAsia"/>
          <w:i w:val="0"/>
          <w:iCs w:val="0"/>
          <w:smallCaps w:val="0"/>
          <w:spacing w:val="0"/>
        </w:rPr>
        <w:t>(except for babies under 12 months for the FTB Part A supplement)</w:t>
      </w:r>
      <w:r w:rsidR="004A6FA1">
        <w:rPr>
          <w:rStyle w:val="BookTitle"/>
          <w:rFonts w:eastAsiaTheme="majorEastAsia"/>
          <w:i w:val="0"/>
          <w:iCs w:val="0"/>
          <w:smallCaps w:val="0"/>
          <w:spacing w:val="0"/>
        </w:rPr>
        <w:t xml:space="preserve"> will</w:t>
      </w:r>
      <w:r w:rsidR="004A6FA1" w:rsidRPr="005A2AFF">
        <w:rPr>
          <w:rStyle w:val="BookTitle"/>
          <w:rFonts w:eastAsiaTheme="majorEastAsia"/>
          <w:i w:val="0"/>
          <w:iCs w:val="0"/>
          <w:smallCaps w:val="0"/>
          <w:spacing w:val="0"/>
        </w:rPr>
        <w:t xml:space="preserve"> </w:t>
      </w:r>
      <w:r w:rsidR="005A2AFF" w:rsidRPr="005A2AFF">
        <w:rPr>
          <w:rStyle w:val="BookTitle"/>
          <w:rFonts w:eastAsiaTheme="majorEastAsia"/>
          <w:i w:val="0"/>
          <w:iCs w:val="0"/>
          <w:smallCaps w:val="0"/>
          <w:spacing w:val="0"/>
        </w:rPr>
        <w:t xml:space="preserve">not </w:t>
      </w:r>
      <w:r w:rsidR="001D1B88">
        <w:rPr>
          <w:rStyle w:val="BookTitle"/>
          <w:rFonts w:eastAsiaTheme="majorEastAsia"/>
          <w:i w:val="0"/>
          <w:iCs w:val="0"/>
          <w:smallCaps w:val="0"/>
          <w:spacing w:val="0"/>
        </w:rPr>
        <w:t xml:space="preserve">be </w:t>
      </w:r>
      <w:r w:rsidR="005A2AFF" w:rsidRPr="005A2AFF">
        <w:rPr>
          <w:rStyle w:val="BookTitle"/>
          <w:rFonts w:eastAsiaTheme="majorEastAsia"/>
          <w:i w:val="0"/>
          <w:iCs w:val="0"/>
          <w:smallCaps w:val="0"/>
          <w:spacing w:val="0"/>
        </w:rPr>
        <w:t>able to receive these payments.</w:t>
      </w:r>
    </w:p>
    <w:p w:rsidR="005A2AFF" w:rsidRDefault="005A2AFF" w:rsidP="005A2AFF">
      <w:pPr>
        <w:pStyle w:val="TableText"/>
        <w:rPr>
          <w:rStyle w:val="BookTitle"/>
          <w:rFonts w:eastAsiaTheme="majorEastAsia"/>
          <w:i w:val="0"/>
          <w:iCs w:val="0"/>
          <w:smallCaps w:val="0"/>
          <w:spacing w:val="0"/>
        </w:rPr>
      </w:pPr>
    </w:p>
    <w:p w:rsidR="005A2AFF" w:rsidRPr="005A2AFF" w:rsidRDefault="005A2AFF" w:rsidP="005A2AFF">
      <w:pPr>
        <w:pStyle w:val="TableText"/>
      </w:pPr>
    </w:p>
    <w:p w:rsidR="004F775C" w:rsidRPr="00377173" w:rsidRDefault="005A2AFF" w:rsidP="00377173">
      <w:pPr>
        <w:pStyle w:val="Heading1"/>
      </w:pPr>
      <w:r>
        <w:t>What will change?</w:t>
      </w:r>
    </w:p>
    <w:tbl>
      <w:tblPr>
        <w:tblW w:w="10490" w:type="dxa"/>
        <w:tblCellMar>
          <w:left w:w="0" w:type="dxa"/>
          <w:right w:w="0" w:type="dxa"/>
        </w:tblCellMar>
        <w:tblLook w:val="04A0" w:firstRow="1" w:lastRow="0" w:firstColumn="1" w:lastColumn="0" w:noHBand="0" w:noVBand="1"/>
      </w:tblPr>
      <w:tblGrid>
        <w:gridCol w:w="1985"/>
        <w:gridCol w:w="4252"/>
        <w:gridCol w:w="4253"/>
      </w:tblGrid>
      <w:tr w:rsidR="005A2AFF" w:rsidTr="005A2AFF">
        <w:trPr>
          <w:trHeight w:val="365"/>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2AFF" w:rsidRPr="008C15C1" w:rsidRDefault="005A2AFF" w:rsidP="000E1B59">
            <w:pPr>
              <w:jc w:val="center"/>
              <w:rPr>
                <w:b/>
                <w:color w:val="000000" w:themeColor="text1"/>
              </w:rPr>
            </w:pPr>
            <w:bookmarkStart w:id="0" w:name="_Toc391890682"/>
            <w:r w:rsidRPr="008C15C1">
              <w:rPr>
                <w:b/>
                <w:color w:val="000000" w:themeColor="text1"/>
              </w:rPr>
              <w:t>Payment</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AFF" w:rsidRPr="008C15C1" w:rsidRDefault="005A2AFF" w:rsidP="000E1B59">
            <w:pPr>
              <w:jc w:val="center"/>
              <w:rPr>
                <w:b/>
                <w:color w:val="000000" w:themeColor="text1"/>
              </w:rPr>
            </w:pPr>
            <w:r w:rsidRPr="008C15C1">
              <w:rPr>
                <w:b/>
                <w:color w:val="000000" w:themeColor="text1"/>
              </w:rPr>
              <w:t>Current Arrangements</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2AFF" w:rsidRPr="008C15C1" w:rsidRDefault="005A2AFF" w:rsidP="000E1B59">
            <w:pPr>
              <w:jc w:val="center"/>
              <w:rPr>
                <w:b/>
                <w:color w:val="000000" w:themeColor="text1"/>
              </w:rPr>
            </w:pPr>
            <w:r w:rsidRPr="008C15C1">
              <w:rPr>
                <w:b/>
                <w:color w:val="000000" w:themeColor="text1"/>
              </w:rPr>
              <w:t>Proposed Arrangements</w:t>
            </w:r>
          </w:p>
        </w:tc>
      </w:tr>
      <w:tr w:rsidR="005A2AFF" w:rsidTr="005A2AFF">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2AFF" w:rsidRPr="008C15C1" w:rsidRDefault="005A2AFF" w:rsidP="000E1B59">
            <w:pPr>
              <w:rPr>
                <w:color w:val="000000" w:themeColor="text1"/>
              </w:rPr>
            </w:pPr>
            <w:r w:rsidRPr="008C15C1">
              <w:rPr>
                <w:color w:val="000000" w:themeColor="text1"/>
              </w:rPr>
              <w:t>Child Care Benefit (CCB)</w:t>
            </w:r>
            <w:r>
              <w:rPr>
                <w:color w:val="000000" w:themeColor="text1"/>
              </w:rPr>
              <w:t xml:space="preserve"> </w:t>
            </w:r>
            <w:r w:rsidRPr="008C15C1">
              <w:rPr>
                <w:color w:val="000000" w:themeColor="text1"/>
              </w:rPr>
              <w:t>and Child Care Rebate (CCR)</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Vaccine objectors are considered to meet immunisation requirements.</w:t>
            </w:r>
          </w:p>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Immunisation requirements apply to all children up to age of 7.</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 xml:space="preserve">Vaccine objectors are </w:t>
            </w:r>
            <w:r w:rsidRPr="005A2AFF">
              <w:rPr>
                <w:b/>
                <w:color w:val="000000" w:themeColor="text1"/>
                <w:u w:val="single"/>
              </w:rPr>
              <w:t>not</w:t>
            </w:r>
            <w:r w:rsidRPr="008C15C1">
              <w:rPr>
                <w:color w:val="000000" w:themeColor="text1"/>
              </w:rPr>
              <w:t xml:space="preserve"> considered to meet immunisation requirements.</w:t>
            </w:r>
          </w:p>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Immunisation requirements apply to children of all ages except those under 12 months (based on early childhood immunisation status).</w:t>
            </w:r>
          </w:p>
        </w:tc>
      </w:tr>
      <w:tr w:rsidR="005A2AFF" w:rsidTr="005A2AFF">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2AFF" w:rsidRPr="008C15C1" w:rsidRDefault="005A2AFF" w:rsidP="000E1B59">
            <w:pPr>
              <w:rPr>
                <w:color w:val="000000" w:themeColor="text1"/>
              </w:rPr>
            </w:pPr>
            <w:r w:rsidRPr="008C15C1">
              <w:rPr>
                <w:color w:val="000000" w:themeColor="text1"/>
              </w:rPr>
              <w:t xml:space="preserve">Family Tax Benefit Part A end of year supplement </w:t>
            </w:r>
          </w:p>
        </w:tc>
        <w:tc>
          <w:tcPr>
            <w:tcW w:w="4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Vaccine objectors are considered to meet immunisation requirements.</w:t>
            </w:r>
          </w:p>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 xml:space="preserve">Immunisation requirements apply to 1, 2 and 5 year olds. </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 xml:space="preserve">Vaccine objectors are </w:t>
            </w:r>
            <w:r w:rsidRPr="008C15C1">
              <w:rPr>
                <w:b/>
                <w:bCs/>
                <w:color w:val="000000" w:themeColor="text1"/>
                <w:u w:val="single"/>
              </w:rPr>
              <w:t>not</w:t>
            </w:r>
            <w:r w:rsidRPr="008C15C1">
              <w:rPr>
                <w:color w:val="000000" w:themeColor="text1"/>
              </w:rPr>
              <w:t xml:space="preserve"> considered to meet immunisation requirements.</w:t>
            </w:r>
          </w:p>
          <w:p w:rsidR="005A2AFF" w:rsidRPr="008C15C1" w:rsidRDefault="005A2AFF" w:rsidP="005A2AFF">
            <w:pPr>
              <w:numPr>
                <w:ilvl w:val="0"/>
                <w:numId w:val="61"/>
              </w:numPr>
              <w:spacing w:before="0" w:after="0" w:line="276" w:lineRule="auto"/>
              <w:rPr>
                <w:color w:val="000000" w:themeColor="text1"/>
              </w:rPr>
            </w:pPr>
            <w:r w:rsidRPr="008C15C1">
              <w:rPr>
                <w:color w:val="000000" w:themeColor="text1"/>
              </w:rPr>
              <w:t xml:space="preserve">Immunisation requirements apply to children of all ages except those under 12 months (based on early childhood immunisation status). </w:t>
            </w:r>
          </w:p>
        </w:tc>
      </w:tr>
      <w:bookmarkEnd w:id="0"/>
    </w:tbl>
    <w:p w:rsidR="005A2AFF" w:rsidRDefault="005A2AFF" w:rsidP="00FB7B4C"/>
    <w:p w:rsidR="005A2AFF" w:rsidRPr="005A2AFF" w:rsidRDefault="005A2AFF" w:rsidP="005A2AFF"/>
    <w:p w:rsidR="005A2AFF" w:rsidRPr="00377173" w:rsidRDefault="005A2AFF" w:rsidP="005A2AFF">
      <w:pPr>
        <w:pStyle w:val="Heading1"/>
      </w:pPr>
      <w:r>
        <w:lastRenderedPageBreak/>
        <w:t>Stronger immunisation requirements to help improve immunisation rates for Australian children</w:t>
      </w:r>
    </w:p>
    <w:p w:rsidR="005A2AFF" w:rsidRDefault="005A2AFF" w:rsidP="00F27609">
      <w:pPr>
        <w:pStyle w:val="TableText"/>
        <w:rPr>
          <w:rStyle w:val="BookTitle"/>
          <w:rFonts w:eastAsiaTheme="majorEastAsia"/>
          <w:i w:val="0"/>
          <w:iCs w:val="0"/>
          <w:smallCaps w:val="0"/>
          <w:spacing w:val="0"/>
        </w:rPr>
      </w:pPr>
      <w:r w:rsidRPr="00F27609">
        <w:rPr>
          <w:rStyle w:val="BookTitle"/>
          <w:rFonts w:eastAsiaTheme="majorEastAsia"/>
          <w:i w:val="0"/>
          <w:iCs w:val="0"/>
          <w:smallCaps w:val="0"/>
          <w:spacing w:val="0"/>
        </w:rPr>
        <w:t>Immunisation is a simple, safe and effective way of protecting children against harmful diseases that can cause serious health problems and sometimes death.</w:t>
      </w:r>
    </w:p>
    <w:p w:rsidR="00F27609" w:rsidRPr="00F27609" w:rsidRDefault="00F27609" w:rsidP="00F27609">
      <w:pPr>
        <w:pStyle w:val="TableText"/>
        <w:rPr>
          <w:rStyle w:val="BookTitle"/>
          <w:rFonts w:eastAsiaTheme="majorEastAsia"/>
          <w:i w:val="0"/>
          <w:iCs w:val="0"/>
          <w:smallCaps w:val="0"/>
          <w:spacing w:val="0"/>
        </w:rPr>
      </w:pPr>
    </w:p>
    <w:p w:rsidR="00FE4FF0" w:rsidRDefault="005A2AFF" w:rsidP="00F27609">
      <w:pPr>
        <w:pStyle w:val="TableText"/>
        <w:rPr>
          <w:rStyle w:val="BookTitle"/>
          <w:rFonts w:eastAsiaTheme="majorEastAsia"/>
          <w:i w:val="0"/>
          <w:iCs w:val="0"/>
          <w:smallCaps w:val="0"/>
          <w:spacing w:val="0"/>
        </w:rPr>
      </w:pPr>
      <w:r w:rsidRPr="00F27609">
        <w:rPr>
          <w:rStyle w:val="BookTitle"/>
          <w:rFonts w:eastAsiaTheme="majorEastAsia"/>
          <w:i w:val="0"/>
          <w:iCs w:val="0"/>
          <w:smallCaps w:val="0"/>
          <w:spacing w:val="0"/>
        </w:rPr>
        <w:t xml:space="preserve">The health of children is paramount and the aim is to increase immunisation rates in the community. </w:t>
      </w:r>
      <w:r w:rsidR="004A6FA1" w:rsidRPr="00F27609">
        <w:rPr>
          <w:rStyle w:val="BookTitle"/>
          <w:rFonts w:eastAsiaTheme="majorEastAsia"/>
          <w:i w:val="0"/>
          <w:iCs w:val="0"/>
          <w:smallCaps w:val="0"/>
          <w:spacing w:val="0"/>
        </w:rPr>
        <w:t>The choice not to vaccinate on the grounds of conscientious objection is neither supported by public health policy or medical research.</w:t>
      </w:r>
    </w:p>
    <w:p w:rsidR="00F27609" w:rsidRPr="00F27609" w:rsidRDefault="00F27609" w:rsidP="00F27609">
      <w:pPr>
        <w:pStyle w:val="TableText"/>
        <w:rPr>
          <w:rStyle w:val="BookTitle"/>
          <w:rFonts w:eastAsiaTheme="majorEastAsia"/>
          <w:i w:val="0"/>
          <w:iCs w:val="0"/>
          <w:smallCaps w:val="0"/>
          <w:spacing w:val="0"/>
        </w:rPr>
      </w:pPr>
    </w:p>
    <w:p w:rsidR="005A2AFF" w:rsidRPr="00F27609" w:rsidRDefault="005A2AFF" w:rsidP="00F27609">
      <w:pPr>
        <w:pStyle w:val="TableText"/>
        <w:rPr>
          <w:rStyle w:val="BookTitle"/>
          <w:rFonts w:eastAsiaTheme="majorEastAsia"/>
          <w:i w:val="0"/>
          <w:iCs w:val="0"/>
          <w:smallCaps w:val="0"/>
          <w:spacing w:val="0"/>
        </w:rPr>
      </w:pPr>
      <w:r w:rsidRPr="00F27609">
        <w:rPr>
          <w:rStyle w:val="BookTitle"/>
          <w:rFonts w:eastAsiaTheme="majorEastAsia"/>
          <w:i w:val="0"/>
          <w:iCs w:val="0"/>
          <w:smallCaps w:val="0"/>
          <w:spacing w:val="0"/>
        </w:rPr>
        <w:t xml:space="preserve">This is a public health issue and the government has determined that whilst parents have the right to decide to not vaccinate their children, if they are doing so as a vaccination objector, their decision will mean they are no longer eligible for assistance in the form of Child Care Benefit (CCB), Child Care Rebate (CCR) or the Family Tax Benefit (FTB) Part A end of year supplement. </w:t>
      </w:r>
    </w:p>
    <w:p w:rsidR="005A2AFF" w:rsidRDefault="005A2AFF" w:rsidP="005A2AFF"/>
    <w:p w:rsidR="005A2AFF" w:rsidRDefault="005A2AFF" w:rsidP="005A2AFF">
      <w:pPr>
        <w:pStyle w:val="Heading1"/>
      </w:pPr>
      <w:r>
        <w:t>Key facts</w:t>
      </w:r>
    </w:p>
    <w:p w:rsidR="005A2AFF" w:rsidRPr="005A2AFF" w:rsidRDefault="005A2AFF" w:rsidP="00F27609">
      <w:pPr>
        <w:pStyle w:val="ListParagraph"/>
        <w:numPr>
          <w:ilvl w:val="0"/>
          <w:numId w:val="63"/>
        </w:numPr>
        <w:spacing w:before="240" w:after="100" w:afterAutospacing="1"/>
        <w:ind w:left="714" w:hanging="357"/>
        <w:contextualSpacing w:val="0"/>
        <w:rPr>
          <w:rStyle w:val="BookTitle"/>
          <w:rFonts w:eastAsiaTheme="majorEastAsia"/>
          <w:i w:val="0"/>
          <w:smallCaps w:val="0"/>
          <w:sz w:val="20"/>
          <w:szCs w:val="20"/>
        </w:rPr>
      </w:pPr>
      <w:r w:rsidRPr="005A2AFF">
        <w:rPr>
          <w:rStyle w:val="BookTitle"/>
          <w:rFonts w:eastAsiaTheme="majorEastAsia"/>
          <w:i w:val="0"/>
          <w:smallCaps w:val="0"/>
          <w:sz w:val="20"/>
          <w:szCs w:val="20"/>
        </w:rPr>
        <w:t>Child Care Benefit, Child Care Rebate and the Family Tax Benefit end of year supplement are currently conditional on meeting the immunisation requirement for children of all ages (except children under 12 months for FTB Part A).</w:t>
      </w:r>
    </w:p>
    <w:p w:rsidR="005A2AFF" w:rsidRPr="005A2AFF" w:rsidRDefault="005A2AFF" w:rsidP="00F27609">
      <w:pPr>
        <w:pStyle w:val="ListParagraph"/>
        <w:numPr>
          <w:ilvl w:val="0"/>
          <w:numId w:val="63"/>
        </w:numPr>
        <w:spacing w:before="240" w:after="100" w:afterAutospacing="1"/>
        <w:ind w:left="714" w:hanging="357"/>
        <w:contextualSpacing w:val="0"/>
        <w:rPr>
          <w:rStyle w:val="BookTitle"/>
          <w:rFonts w:eastAsiaTheme="majorEastAsia"/>
          <w:i w:val="0"/>
          <w:smallCaps w:val="0"/>
          <w:sz w:val="20"/>
          <w:szCs w:val="20"/>
        </w:rPr>
      </w:pPr>
      <w:r w:rsidRPr="005A2AFF">
        <w:rPr>
          <w:rStyle w:val="BookTitle"/>
          <w:rFonts w:eastAsiaTheme="majorEastAsia"/>
          <w:i w:val="0"/>
          <w:smallCaps w:val="0"/>
          <w:sz w:val="20"/>
          <w:szCs w:val="20"/>
        </w:rPr>
        <w:t>From 1 January 2016, people who object to vaccination will no longer be exempt from the immunisation requirement for these payments.</w:t>
      </w:r>
    </w:p>
    <w:p w:rsidR="005A2AFF" w:rsidRPr="005A2AFF" w:rsidRDefault="005A2AFF" w:rsidP="00F27609">
      <w:pPr>
        <w:pStyle w:val="ListParagraph"/>
        <w:numPr>
          <w:ilvl w:val="0"/>
          <w:numId w:val="63"/>
        </w:numPr>
        <w:spacing w:before="240" w:after="100" w:afterAutospacing="1"/>
        <w:ind w:left="714" w:hanging="357"/>
        <w:contextualSpacing w:val="0"/>
        <w:rPr>
          <w:rStyle w:val="BookTitle"/>
          <w:rFonts w:eastAsiaTheme="majorEastAsia"/>
          <w:i w:val="0"/>
          <w:smallCaps w:val="0"/>
          <w:sz w:val="20"/>
          <w:szCs w:val="20"/>
        </w:rPr>
      </w:pPr>
      <w:r w:rsidRPr="005A2AFF">
        <w:rPr>
          <w:rStyle w:val="BookTitle"/>
          <w:rFonts w:eastAsiaTheme="majorEastAsia"/>
          <w:i w:val="0"/>
          <w:smallCaps w:val="0"/>
          <w:sz w:val="20"/>
          <w:szCs w:val="20"/>
        </w:rPr>
        <w:t>The immunisation requirement doesn’t apply for fortnightly FTB Part A payments, only the supplement paid at the end of the income year.</w:t>
      </w:r>
    </w:p>
    <w:p w:rsidR="005A2AFF" w:rsidRPr="005A2AFF" w:rsidRDefault="005A2AFF" w:rsidP="00F27609">
      <w:pPr>
        <w:pStyle w:val="ListParagraph"/>
        <w:numPr>
          <w:ilvl w:val="0"/>
          <w:numId w:val="63"/>
        </w:numPr>
        <w:spacing w:before="240" w:after="100" w:afterAutospacing="1"/>
        <w:ind w:left="714" w:hanging="357"/>
        <w:contextualSpacing w:val="0"/>
        <w:rPr>
          <w:rStyle w:val="BookTitle"/>
          <w:rFonts w:eastAsiaTheme="majorEastAsia"/>
          <w:i w:val="0"/>
          <w:smallCaps w:val="0"/>
          <w:sz w:val="20"/>
          <w:szCs w:val="20"/>
        </w:rPr>
      </w:pPr>
      <w:r w:rsidRPr="005A2AFF">
        <w:rPr>
          <w:rStyle w:val="BookTitle"/>
          <w:rFonts w:eastAsiaTheme="majorEastAsia"/>
          <w:i w:val="0"/>
          <w:smallCaps w:val="0"/>
          <w:sz w:val="20"/>
          <w:szCs w:val="20"/>
        </w:rPr>
        <w:t>Families will still be able to receive an exemption for approved medical or religious reasons.</w:t>
      </w:r>
    </w:p>
    <w:p w:rsidR="00F27609" w:rsidRDefault="00F27609" w:rsidP="005468A0">
      <w:pPr>
        <w:pStyle w:val="NormalWeb"/>
        <w:spacing w:before="0" w:beforeAutospacing="0" w:line="276" w:lineRule="auto"/>
        <w:rPr>
          <w:rStyle w:val="BookTitle"/>
          <w:rFonts w:ascii="Arial" w:eastAsiaTheme="majorEastAsia" w:hAnsi="Arial"/>
          <w:i w:val="0"/>
          <w:smallCaps w:val="0"/>
          <w:sz w:val="20"/>
        </w:rPr>
      </w:pPr>
    </w:p>
    <w:p w:rsidR="005468A0" w:rsidRPr="00FB7B4C" w:rsidRDefault="005468A0" w:rsidP="00FB7B4C">
      <w:pPr>
        <w:rPr>
          <w:rStyle w:val="BookTitle"/>
          <w:rFonts w:eastAsiaTheme="majorEastAsia"/>
          <w:i w:val="0"/>
          <w:smallCaps w:val="0"/>
        </w:rPr>
      </w:pPr>
      <w:r w:rsidRPr="005468A0">
        <w:rPr>
          <w:rStyle w:val="BookTitle"/>
          <w:rFonts w:eastAsiaTheme="majorEastAsia"/>
          <w:i w:val="0"/>
          <w:smallCaps w:val="0"/>
        </w:rPr>
        <w:t>For more information on child care assistance and family payments, visit</w:t>
      </w:r>
      <w:r w:rsidR="00FB7B4C">
        <w:rPr>
          <w:rStyle w:val="BookTitle"/>
          <w:rFonts w:eastAsiaTheme="majorEastAsia"/>
          <w:i w:val="0"/>
          <w:smallCaps w:val="0"/>
        </w:rPr>
        <w:t xml:space="preserve"> the </w:t>
      </w:r>
      <w:hyperlink r:id="rId10" w:history="1">
        <w:r w:rsidR="00FB7B4C" w:rsidRPr="00FB7B4C">
          <w:rPr>
            <w:rStyle w:val="Hyperlink"/>
            <w:rFonts w:eastAsiaTheme="majorEastAsia"/>
            <w:b w:val="0"/>
            <w:spacing w:val="5"/>
          </w:rPr>
          <w:t>Department of Human Services website</w:t>
        </w:r>
      </w:hyperlink>
      <w:r w:rsidR="00FB7B4C">
        <w:rPr>
          <w:rStyle w:val="BookTitle"/>
          <w:rFonts w:eastAsiaTheme="majorEastAsia"/>
          <w:i w:val="0"/>
          <w:smallCaps w:val="0"/>
        </w:rPr>
        <w:t xml:space="preserve"> </w:t>
      </w:r>
      <w:r w:rsidR="00FB7B4C" w:rsidRPr="00FB7B4C">
        <w:rPr>
          <w:rStyle w:val="BookTitle"/>
          <w:rFonts w:eastAsiaTheme="majorEastAsia"/>
          <w:i w:val="0"/>
          <w:smallCaps w:val="0"/>
        </w:rPr>
        <w:t>at</w:t>
      </w:r>
      <w:r w:rsidRPr="00FB7B4C">
        <w:rPr>
          <w:rStyle w:val="BookTitle"/>
          <w:rFonts w:eastAsiaTheme="majorEastAsia"/>
          <w:i w:val="0"/>
          <w:smallCaps w:val="0"/>
        </w:rPr>
        <w:t xml:space="preserve"> </w:t>
      </w:r>
      <w:r w:rsidRPr="00FB7B4C">
        <w:rPr>
          <w:rFonts w:eastAsiaTheme="majorEastAsia"/>
          <w:b/>
          <w:spacing w:val="5"/>
        </w:rPr>
        <w:t>www.humanservices.gov.au</w:t>
      </w:r>
      <w:r w:rsidR="00EA2A1D" w:rsidRPr="00FB7B4C">
        <w:rPr>
          <w:rStyle w:val="Hyperlink"/>
          <w:rFonts w:eastAsiaTheme="majorEastAsia"/>
          <w:b w:val="0"/>
          <w:spacing w:val="5"/>
        </w:rPr>
        <w:t>/</w:t>
      </w:r>
      <w:r w:rsidR="00EA2A1D" w:rsidRPr="00FB7B4C">
        <w:rPr>
          <w:rStyle w:val="Hyperlink"/>
          <w:rFonts w:eastAsiaTheme="majorEastAsia"/>
          <w:spacing w:val="5"/>
        </w:rPr>
        <w:t>families</w:t>
      </w:r>
    </w:p>
    <w:p w:rsidR="005468A0" w:rsidRPr="005468A0" w:rsidRDefault="005468A0" w:rsidP="005468A0">
      <w:pPr>
        <w:pStyle w:val="NormalWeb"/>
        <w:spacing w:before="0" w:beforeAutospacing="0" w:line="276" w:lineRule="auto"/>
        <w:rPr>
          <w:rFonts w:asciiTheme="minorHAnsi" w:hAnsiTheme="minorHAnsi" w:cstheme="minorHAnsi"/>
          <w:sz w:val="20"/>
          <w:szCs w:val="20"/>
          <w:lang w:val="en"/>
        </w:rPr>
      </w:pPr>
      <w:r w:rsidRPr="005468A0">
        <w:rPr>
          <w:rFonts w:asciiTheme="minorHAnsi" w:hAnsiTheme="minorHAnsi" w:cstheme="minorHAnsi"/>
          <w:sz w:val="20"/>
          <w:szCs w:val="20"/>
          <w:lang w:val="en"/>
        </w:rPr>
        <w:t xml:space="preserve">If you speak a language other than English, </w:t>
      </w:r>
      <w:r>
        <w:rPr>
          <w:rFonts w:asciiTheme="minorHAnsi" w:hAnsiTheme="minorHAnsi" w:cstheme="minorHAnsi"/>
          <w:sz w:val="20"/>
          <w:szCs w:val="20"/>
          <w:lang w:val="en"/>
        </w:rPr>
        <w:t>please</w:t>
      </w:r>
      <w:r w:rsidRPr="005468A0">
        <w:rPr>
          <w:rFonts w:asciiTheme="minorHAnsi" w:hAnsiTheme="minorHAnsi" w:cstheme="minorHAnsi"/>
          <w:sz w:val="20"/>
          <w:szCs w:val="20"/>
          <w:lang w:val="en"/>
        </w:rPr>
        <w:t xml:space="preserve"> call the </w:t>
      </w:r>
      <w:proofErr w:type="spellStart"/>
      <w:r>
        <w:rPr>
          <w:rFonts w:asciiTheme="minorHAnsi" w:hAnsiTheme="minorHAnsi" w:cstheme="minorHAnsi"/>
          <w:sz w:val="20"/>
          <w:szCs w:val="20"/>
          <w:lang w:val="en"/>
        </w:rPr>
        <w:t>Centrelink</w:t>
      </w:r>
      <w:proofErr w:type="spellEnd"/>
      <w:r>
        <w:rPr>
          <w:rFonts w:asciiTheme="minorHAnsi" w:hAnsiTheme="minorHAnsi" w:cstheme="minorHAnsi"/>
          <w:sz w:val="20"/>
          <w:szCs w:val="20"/>
          <w:lang w:val="en"/>
        </w:rPr>
        <w:t xml:space="preserve"> </w:t>
      </w:r>
      <w:r w:rsidRPr="005468A0">
        <w:rPr>
          <w:rFonts w:asciiTheme="minorHAnsi" w:hAnsiTheme="minorHAnsi" w:cstheme="minorHAnsi"/>
          <w:b/>
          <w:sz w:val="20"/>
          <w:szCs w:val="20"/>
          <w:lang w:val="en"/>
        </w:rPr>
        <w:t>multilingual phone service</w:t>
      </w:r>
      <w:r w:rsidRPr="005468A0">
        <w:rPr>
          <w:rFonts w:asciiTheme="minorHAnsi" w:hAnsiTheme="minorHAnsi" w:cstheme="minorHAnsi"/>
          <w:sz w:val="20"/>
          <w:szCs w:val="20"/>
          <w:lang w:val="en"/>
        </w:rPr>
        <w:t xml:space="preserve"> and speak to someone in your language about </w:t>
      </w:r>
      <w:r>
        <w:rPr>
          <w:rFonts w:asciiTheme="minorHAnsi" w:hAnsiTheme="minorHAnsi" w:cstheme="minorHAnsi"/>
          <w:sz w:val="20"/>
          <w:szCs w:val="20"/>
          <w:lang w:val="en"/>
        </w:rPr>
        <w:t xml:space="preserve">child care and family </w:t>
      </w:r>
      <w:r w:rsidRPr="005468A0">
        <w:rPr>
          <w:rFonts w:asciiTheme="minorHAnsi" w:hAnsiTheme="minorHAnsi" w:cstheme="minorHAnsi"/>
          <w:sz w:val="20"/>
          <w:szCs w:val="20"/>
          <w:lang w:val="en"/>
        </w:rPr>
        <w:t>payments.</w:t>
      </w:r>
      <w:r>
        <w:rPr>
          <w:rFonts w:asciiTheme="minorHAnsi" w:hAnsiTheme="minorHAnsi" w:cstheme="minorHAnsi"/>
          <w:sz w:val="20"/>
          <w:szCs w:val="20"/>
          <w:lang w:val="en"/>
        </w:rPr>
        <w:t xml:space="preserve"> C</w:t>
      </w:r>
      <w:r w:rsidRPr="005468A0">
        <w:rPr>
          <w:rFonts w:asciiTheme="minorHAnsi" w:hAnsiTheme="minorHAnsi" w:cstheme="minorHAnsi"/>
          <w:sz w:val="20"/>
          <w:szCs w:val="20"/>
          <w:lang w:val="en"/>
        </w:rPr>
        <w:t xml:space="preserve">all </w:t>
      </w:r>
      <w:r w:rsidRPr="005468A0">
        <w:rPr>
          <w:rFonts w:asciiTheme="minorHAnsi" w:hAnsiTheme="minorHAnsi" w:cstheme="minorHAnsi"/>
          <w:b/>
          <w:sz w:val="20"/>
          <w:szCs w:val="20"/>
          <w:lang w:val="en"/>
        </w:rPr>
        <w:t>131 202</w:t>
      </w:r>
      <w:r w:rsidRPr="005468A0">
        <w:rPr>
          <w:rFonts w:asciiTheme="minorHAnsi" w:hAnsiTheme="minorHAnsi" w:cstheme="minorHAnsi"/>
          <w:sz w:val="20"/>
          <w:szCs w:val="20"/>
          <w:lang w:val="en"/>
        </w:rPr>
        <w:t xml:space="preserve"> and follow the prompts. </w:t>
      </w:r>
      <w:proofErr w:type="spellStart"/>
      <w:r w:rsidRPr="005468A0">
        <w:rPr>
          <w:rFonts w:asciiTheme="minorHAnsi" w:hAnsiTheme="minorHAnsi" w:cstheme="minorHAnsi"/>
          <w:sz w:val="20"/>
          <w:szCs w:val="20"/>
          <w:lang w:val="en"/>
        </w:rPr>
        <w:t>Centrelink</w:t>
      </w:r>
      <w:proofErr w:type="spellEnd"/>
      <w:r>
        <w:rPr>
          <w:rFonts w:asciiTheme="minorHAnsi" w:hAnsiTheme="minorHAnsi" w:cstheme="minorHAnsi"/>
          <w:sz w:val="20"/>
          <w:szCs w:val="20"/>
          <w:lang w:val="en"/>
        </w:rPr>
        <w:t xml:space="preserve"> support is available</w:t>
      </w:r>
      <w:r w:rsidRPr="005468A0">
        <w:rPr>
          <w:rFonts w:asciiTheme="minorHAnsi" w:hAnsiTheme="minorHAnsi" w:cstheme="minorHAnsi"/>
          <w:sz w:val="20"/>
          <w:szCs w:val="20"/>
          <w:lang w:val="en"/>
        </w:rPr>
        <w:t xml:space="preserve"> 8:00am – 5:00pm (local time), Monday to Friday</w:t>
      </w:r>
      <w:r>
        <w:rPr>
          <w:rFonts w:asciiTheme="minorHAnsi" w:hAnsiTheme="minorHAnsi" w:cstheme="minorHAnsi"/>
          <w:sz w:val="20"/>
          <w:szCs w:val="20"/>
          <w:lang w:val="en"/>
        </w:rPr>
        <w:t>.</w:t>
      </w:r>
    </w:p>
    <w:p w:rsidR="005A2AFF" w:rsidRPr="005468A0" w:rsidRDefault="005A2AFF" w:rsidP="005468A0">
      <w:pPr>
        <w:pStyle w:val="NormalWeb"/>
        <w:spacing w:before="0" w:beforeAutospacing="0" w:line="276" w:lineRule="auto"/>
        <w:rPr>
          <w:rStyle w:val="BookTitle"/>
          <w:rFonts w:ascii="Arial" w:eastAsiaTheme="majorEastAsia" w:hAnsi="Arial"/>
          <w:b/>
          <w:i w:val="0"/>
          <w:smallCaps w:val="0"/>
          <w:sz w:val="20"/>
        </w:rPr>
      </w:pPr>
      <w:r w:rsidRPr="005468A0">
        <w:rPr>
          <w:rStyle w:val="BookTitle"/>
          <w:rFonts w:ascii="Arial" w:eastAsiaTheme="majorEastAsia" w:hAnsi="Arial"/>
          <w:i w:val="0"/>
          <w:smallCaps w:val="0"/>
          <w:sz w:val="20"/>
        </w:rPr>
        <w:t xml:space="preserve">For more information about childhood immunisation in Australia, go to </w:t>
      </w:r>
      <w:r w:rsidRPr="005468A0">
        <w:rPr>
          <w:rStyle w:val="BookTitle"/>
          <w:rFonts w:ascii="Arial" w:eastAsiaTheme="majorEastAsia" w:hAnsi="Arial"/>
          <w:b/>
          <w:i w:val="0"/>
          <w:smallCaps w:val="0"/>
          <w:sz w:val="20"/>
        </w:rPr>
        <w:t>www.immun</w:t>
      </w:r>
      <w:bookmarkStart w:id="1" w:name="_GoBack"/>
      <w:bookmarkEnd w:id="1"/>
      <w:r w:rsidRPr="005468A0">
        <w:rPr>
          <w:rStyle w:val="BookTitle"/>
          <w:rFonts w:ascii="Arial" w:eastAsiaTheme="majorEastAsia" w:hAnsi="Arial"/>
          <w:b/>
          <w:i w:val="0"/>
          <w:smallCaps w:val="0"/>
          <w:sz w:val="20"/>
        </w:rPr>
        <w:t>ise.health.gov.au</w:t>
      </w:r>
    </w:p>
    <w:p w:rsidR="005A2AFF" w:rsidRPr="005A2AFF" w:rsidRDefault="005A2AFF" w:rsidP="005A2AFF"/>
    <w:sectPr w:rsidR="005A2AFF" w:rsidRPr="005A2AFF" w:rsidSect="00F27609">
      <w:headerReference w:type="even" r:id="rId11"/>
      <w:headerReference w:type="default" r:id="rId12"/>
      <w:footerReference w:type="even" r:id="rId13"/>
      <w:footerReference w:type="default" r:id="rId14"/>
      <w:headerReference w:type="first" r:id="rId15"/>
      <w:footerReference w:type="first" r:id="rId16"/>
      <w:pgSz w:w="11906" w:h="16838" w:code="9"/>
      <w:pgMar w:top="737" w:right="155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FF" w:rsidRDefault="005A2AFF">
      <w:r>
        <w:separator/>
      </w:r>
    </w:p>
  </w:endnote>
  <w:endnote w:type="continuationSeparator" w:id="0">
    <w:p w:rsidR="005A2AFF" w:rsidRDefault="005A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CB" w:rsidRDefault="005C4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FB7B4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CB" w:rsidRDefault="005C4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FF" w:rsidRDefault="005A2AFF">
      <w:r>
        <w:separator/>
      </w:r>
    </w:p>
  </w:footnote>
  <w:footnote w:type="continuationSeparator" w:id="0">
    <w:p w:rsidR="005A2AFF" w:rsidRDefault="005A2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CB" w:rsidRDefault="005C4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DE" w:rsidRDefault="00B52BDE">
    <w:pPr>
      <w:pStyle w:val="Header"/>
    </w:pPr>
    <w:r>
      <w:rPr>
        <w:noProof/>
      </w:rPr>
      <mc:AlternateContent>
        <mc:Choice Requires="wps">
          <w:drawing>
            <wp:inline distT="0" distB="0" distL="0" distR="0" wp14:anchorId="6562BA63" wp14:editId="17955464">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ACB" w:rsidRDefault="005C4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6B7729"/>
    <w:multiLevelType w:val="hybridMultilevel"/>
    <w:tmpl w:val="46187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9D45AE"/>
    <w:multiLevelType w:val="hybridMultilevel"/>
    <w:tmpl w:val="AD400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EBE0E95"/>
    <w:multiLevelType w:val="hybridMultilevel"/>
    <w:tmpl w:val="249A9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1">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2"/>
  </w:num>
  <w:num w:numId="5">
    <w:abstractNumId w:val="16"/>
  </w:num>
  <w:num w:numId="6">
    <w:abstractNumId w:val="58"/>
  </w:num>
  <w:num w:numId="7">
    <w:abstractNumId w:val="45"/>
  </w:num>
  <w:num w:numId="8">
    <w:abstractNumId w:val="50"/>
  </w:num>
  <w:num w:numId="9">
    <w:abstractNumId w:val="7"/>
  </w:num>
  <w:num w:numId="10">
    <w:abstractNumId w:val="57"/>
  </w:num>
  <w:num w:numId="11">
    <w:abstractNumId w:val="17"/>
  </w:num>
  <w:num w:numId="12">
    <w:abstractNumId w:val="42"/>
  </w:num>
  <w:num w:numId="13">
    <w:abstractNumId w:val="52"/>
  </w:num>
  <w:num w:numId="14">
    <w:abstractNumId w:val="35"/>
  </w:num>
  <w:num w:numId="15">
    <w:abstractNumId w:val="3"/>
  </w:num>
  <w:num w:numId="16">
    <w:abstractNumId w:val="13"/>
  </w:num>
  <w:num w:numId="17">
    <w:abstractNumId w:val="56"/>
  </w:num>
  <w:num w:numId="18">
    <w:abstractNumId w:val="49"/>
  </w:num>
  <w:num w:numId="19">
    <w:abstractNumId w:val="14"/>
  </w:num>
  <w:num w:numId="20">
    <w:abstractNumId w:val="2"/>
  </w:num>
  <w:num w:numId="21">
    <w:abstractNumId w:val="5"/>
  </w:num>
  <w:num w:numId="22">
    <w:abstractNumId w:val="21"/>
  </w:num>
  <w:num w:numId="23">
    <w:abstractNumId w:val="18"/>
  </w:num>
  <w:num w:numId="24">
    <w:abstractNumId w:val="61"/>
  </w:num>
  <w:num w:numId="25">
    <w:abstractNumId w:val="34"/>
  </w:num>
  <w:num w:numId="26">
    <w:abstractNumId w:val="39"/>
  </w:num>
  <w:num w:numId="27">
    <w:abstractNumId w:val="20"/>
  </w:num>
  <w:num w:numId="28">
    <w:abstractNumId w:val="59"/>
  </w:num>
  <w:num w:numId="29">
    <w:abstractNumId w:val="48"/>
  </w:num>
  <w:num w:numId="30">
    <w:abstractNumId w:val="27"/>
  </w:num>
  <w:num w:numId="31">
    <w:abstractNumId w:val="44"/>
  </w:num>
  <w:num w:numId="32">
    <w:abstractNumId w:val="53"/>
  </w:num>
  <w:num w:numId="33">
    <w:abstractNumId w:val="55"/>
  </w:num>
  <w:num w:numId="34">
    <w:abstractNumId w:val="4"/>
  </w:num>
  <w:num w:numId="35">
    <w:abstractNumId w:val="25"/>
  </w:num>
  <w:num w:numId="36">
    <w:abstractNumId w:val="47"/>
  </w:num>
  <w:num w:numId="37">
    <w:abstractNumId w:val="9"/>
  </w:num>
  <w:num w:numId="38">
    <w:abstractNumId w:val="30"/>
  </w:num>
  <w:num w:numId="39">
    <w:abstractNumId w:val="24"/>
  </w:num>
  <w:num w:numId="40">
    <w:abstractNumId w:val="33"/>
  </w:num>
  <w:num w:numId="41">
    <w:abstractNumId w:val="37"/>
  </w:num>
  <w:num w:numId="42">
    <w:abstractNumId w:val="23"/>
  </w:num>
  <w:num w:numId="43">
    <w:abstractNumId w:val="15"/>
  </w:num>
  <w:num w:numId="44">
    <w:abstractNumId w:val="41"/>
  </w:num>
  <w:num w:numId="45">
    <w:abstractNumId w:val="46"/>
  </w:num>
  <w:num w:numId="46">
    <w:abstractNumId w:val="32"/>
  </w:num>
  <w:num w:numId="47">
    <w:abstractNumId w:val="31"/>
  </w:num>
  <w:num w:numId="48">
    <w:abstractNumId w:val="1"/>
  </w:num>
  <w:num w:numId="49">
    <w:abstractNumId w:val="43"/>
  </w:num>
  <w:num w:numId="50">
    <w:abstractNumId w:val="54"/>
  </w:num>
  <w:num w:numId="51">
    <w:abstractNumId w:val="40"/>
  </w:num>
  <w:num w:numId="52">
    <w:abstractNumId w:val="10"/>
  </w:num>
  <w:num w:numId="53">
    <w:abstractNumId w:val="51"/>
  </w:num>
  <w:num w:numId="54">
    <w:abstractNumId w:val="26"/>
  </w:num>
  <w:num w:numId="55">
    <w:abstractNumId w:val="19"/>
  </w:num>
  <w:num w:numId="56">
    <w:abstractNumId w:val="29"/>
  </w:num>
  <w:num w:numId="57">
    <w:abstractNumId w:val="28"/>
  </w:num>
  <w:num w:numId="58">
    <w:abstractNumId w:val="11"/>
  </w:num>
  <w:num w:numId="59">
    <w:abstractNumId w:val="36"/>
  </w:num>
  <w:num w:numId="60">
    <w:abstractNumId w:val="6"/>
  </w:num>
  <w:num w:numId="61">
    <w:abstractNumId w:val="60"/>
  </w:num>
  <w:num w:numId="62">
    <w:abstractNumId w:val="8"/>
  </w:num>
  <w:num w:numId="63">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FF"/>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23D5"/>
    <w:rsid w:val="00067CD0"/>
    <w:rsid w:val="00080F2E"/>
    <w:rsid w:val="00081CEB"/>
    <w:rsid w:val="00083791"/>
    <w:rsid w:val="00086E3C"/>
    <w:rsid w:val="00087B2C"/>
    <w:rsid w:val="00087DBD"/>
    <w:rsid w:val="00090570"/>
    <w:rsid w:val="00090753"/>
    <w:rsid w:val="00097BFF"/>
    <w:rsid w:val="000A3EC3"/>
    <w:rsid w:val="000A669D"/>
    <w:rsid w:val="000A66A8"/>
    <w:rsid w:val="000C014D"/>
    <w:rsid w:val="000C4A49"/>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43DD"/>
    <w:rsid w:val="00195374"/>
    <w:rsid w:val="001A127F"/>
    <w:rsid w:val="001A3CA4"/>
    <w:rsid w:val="001A3EA4"/>
    <w:rsid w:val="001B3AEC"/>
    <w:rsid w:val="001B5000"/>
    <w:rsid w:val="001B6F28"/>
    <w:rsid w:val="001D1B88"/>
    <w:rsid w:val="001D4585"/>
    <w:rsid w:val="001D5D54"/>
    <w:rsid w:val="001E41C8"/>
    <w:rsid w:val="001F3AD7"/>
    <w:rsid w:val="00207630"/>
    <w:rsid w:val="00210F24"/>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102F6"/>
    <w:rsid w:val="00313304"/>
    <w:rsid w:val="00313C48"/>
    <w:rsid w:val="003162AD"/>
    <w:rsid w:val="00321148"/>
    <w:rsid w:val="00321798"/>
    <w:rsid w:val="00325F44"/>
    <w:rsid w:val="00326976"/>
    <w:rsid w:val="003311D7"/>
    <w:rsid w:val="00332B8B"/>
    <w:rsid w:val="00347104"/>
    <w:rsid w:val="0035213F"/>
    <w:rsid w:val="003555D2"/>
    <w:rsid w:val="00355B7F"/>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A6FA1"/>
    <w:rsid w:val="004C2C35"/>
    <w:rsid w:val="004F775C"/>
    <w:rsid w:val="005015E4"/>
    <w:rsid w:val="0050291D"/>
    <w:rsid w:val="0050697E"/>
    <w:rsid w:val="00524B3C"/>
    <w:rsid w:val="005315A9"/>
    <w:rsid w:val="00532B56"/>
    <w:rsid w:val="00540AD0"/>
    <w:rsid w:val="0054322A"/>
    <w:rsid w:val="00543923"/>
    <w:rsid w:val="005468A0"/>
    <w:rsid w:val="005519C9"/>
    <w:rsid w:val="005523D1"/>
    <w:rsid w:val="00554A9C"/>
    <w:rsid w:val="00557624"/>
    <w:rsid w:val="0056023E"/>
    <w:rsid w:val="00560E0D"/>
    <w:rsid w:val="0056503E"/>
    <w:rsid w:val="005658EF"/>
    <w:rsid w:val="005822A3"/>
    <w:rsid w:val="0059070B"/>
    <w:rsid w:val="00594445"/>
    <w:rsid w:val="005A2AFF"/>
    <w:rsid w:val="005B1225"/>
    <w:rsid w:val="005C09F4"/>
    <w:rsid w:val="005C4ACB"/>
    <w:rsid w:val="005C561A"/>
    <w:rsid w:val="005C5B93"/>
    <w:rsid w:val="005C66FF"/>
    <w:rsid w:val="005C785A"/>
    <w:rsid w:val="005D03CA"/>
    <w:rsid w:val="005D45AB"/>
    <w:rsid w:val="005E4662"/>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069"/>
    <w:rsid w:val="006B05E3"/>
    <w:rsid w:val="006B09BC"/>
    <w:rsid w:val="006B42A0"/>
    <w:rsid w:val="006B4E59"/>
    <w:rsid w:val="006C3402"/>
    <w:rsid w:val="006C395C"/>
    <w:rsid w:val="006C45D4"/>
    <w:rsid w:val="006E1F3C"/>
    <w:rsid w:val="006E6073"/>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71D4F"/>
    <w:rsid w:val="00874A04"/>
    <w:rsid w:val="00874FB3"/>
    <w:rsid w:val="00880BE3"/>
    <w:rsid w:val="00882588"/>
    <w:rsid w:val="00895792"/>
    <w:rsid w:val="008A3738"/>
    <w:rsid w:val="008B645B"/>
    <w:rsid w:val="008B67B8"/>
    <w:rsid w:val="008B774D"/>
    <w:rsid w:val="008C123E"/>
    <w:rsid w:val="008C3ED0"/>
    <w:rsid w:val="008C5585"/>
    <w:rsid w:val="008C5950"/>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1769"/>
    <w:rsid w:val="00994E9F"/>
    <w:rsid w:val="00996931"/>
    <w:rsid w:val="009A4CD8"/>
    <w:rsid w:val="009B3ED1"/>
    <w:rsid w:val="009C433C"/>
    <w:rsid w:val="009C7D3A"/>
    <w:rsid w:val="009D28B7"/>
    <w:rsid w:val="009D7E1A"/>
    <w:rsid w:val="009E2162"/>
    <w:rsid w:val="00A006EB"/>
    <w:rsid w:val="00A03709"/>
    <w:rsid w:val="00A06C77"/>
    <w:rsid w:val="00A10147"/>
    <w:rsid w:val="00A13D26"/>
    <w:rsid w:val="00A146A5"/>
    <w:rsid w:val="00A17411"/>
    <w:rsid w:val="00A2223D"/>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30265"/>
    <w:rsid w:val="00B40D26"/>
    <w:rsid w:val="00B4451B"/>
    <w:rsid w:val="00B52BDE"/>
    <w:rsid w:val="00B72D62"/>
    <w:rsid w:val="00B843C8"/>
    <w:rsid w:val="00B951E2"/>
    <w:rsid w:val="00B96F37"/>
    <w:rsid w:val="00BA607C"/>
    <w:rsid w:val="00BA733A"/>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34B4A"/>
    <w:rsid w:val="00C46EEB"/>
    <w:rsid w:val="00C47BA2"/>
    <w:rsid w:val="00C612DC"/>
    <w:rsid w:val="00C622CB"/>
    <w:rsid w:val="00C64D15"/>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5BE0"/>
    <w:rsid w:val="00D87C1A"/>
    <w:rsid w:val="00D87FD7"/>
    <w:rsid w:val="00D92167"/>
    <w:rsid w:val="00D9502B"/>
    <w:rsid w:val="00D97047"/>
    <w:rsid w:val="00D97108"/>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8698A"/>
    <w:rsid w:val="00E923F2"/>
    <w:rsid w:val="00EA2A1D"/>
    <w:rsid w:val="00EA31CC"/>
    <w:rsid w:val="00EB14DF"/>
    <w:rsid w:val="00EB2B64"/>
    <w:rsid w:val="00EB3A07"/>
    <w:rsid w:val="00EB4143"/>
    <w:rsid w:val="00EB4728"/>
    <w:rsid w:val="00EC207A"/>
    <w:rsid w:val="00EC3F31"/>
    <w:rsid w:val="00EC6AA0"/>
    <w:rsid w:val="00ED3C91"/>
    <w:rsid w:val="00ED4112"/>
    <w:rsid w:val="00EF1347"/>
    <w:rsid w:val="00EF2BEB"/>
    <w:rsid w:val="00F01129"/>
    <w:rsid w:val="00F03D93"/>
    <w:rsid w:val="00F03D9E"/>
    <w:rsid w:val="00F227BF"/>
    <w:rsid w:val="00F27609"/>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B7B4C"/>
    <w:rsid w:val="00FC1C5F"/>
    <w:rsid w:val="00FC5C0C"/>
    <w:rsid w:val="00FC64EF"/>
    <w:rsid w:val="00FD2673"/>
    <w:rsid w:val="00FE2A29"/>
    <w:rsid w:val="00FE4FF0"/>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5A2AFF"/>
    <w:rPr>
      <w:i/>
      <w:iCs/>
      <w:smallCaps/>
      <w:spacing w:val="5"/>
    </w:rPr>
  </w:style>
  <w:style w:type="paragraph" w:styleId="NormalWeb">
    <w:name w:val="Normal (Web)"/>
    <w:basedOn w:val="Normal"/>
    <w:uiPriority w:val="99"/>
    <w:unhideWhenUsed/>
    <w:rsid w:val="005A2AFF"/>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5A2AFF"/>
    <w:pPr>
      <w:spacing w:before="0" w:after="200" w:line="276" w:lineRule="auto"/>
      <w:ind w:left="720"/>
      <w:contextualSpacing/>
    </w:pPr>
    <w:rPr>
      <w:rFonts w:eastAsiaTheme="minorHAnsi" w:cstheme="minorBidi"/>
      <w:sz w:val="22"/>
      <w:szCs w:val="22"/>
      <w:lang w:eastAsia="en-US"/>
    </w:rPr>
  </w:style>
  <w:style w:type="character" w:styleId="CommentReference">
    <w:name w:val="annotation reference"/>
    <w:basedOn w:val="DefaultParagraphFont"/>
    <w:rsid w:val="005468A0"/>
    <w:rPr>
      <w:sz w:val="16"/>
      <w:szCs w:val="16"/>
    </w:rPr>
  </w:style>
  <w:style w:type="paragraph" w:styleId="CommentText">
    <w:name w:val="annotation text"/>
    <w:basedOn w:val="Normal"/>
    <w:link w:val="CommentTextChar"/>
    <w:rsid w:val="005468A0"/>
    <w:pPr>
      <w:spacing w:line="240" w:lineRule="auto"/>
    </w:pPr>
    <w:rPr>
      <w:szCs w:val="20"/>
    </w:rPr>
  </w:style>
  <w:style w:type="character" w:customStyle="1" w:styleId="CommentTextChar">
    <w:name w:val="Comment Text Char"/>
    <w:basedOn w:val="DefaultParagraphFont"/>
    <w:link w:val="CommentText"/>
    <w:rsid w:val="005468A0"/>
    <w:rPr>
      <w:rFonts w:ascii="Arial" w:hAnsi="Arial"/>
    </w:rPr>
  </w:style>
  <w:style w:type="paragraph" w:styleId="CommentSubject">
    <w:name w:val="annotation subject"/>
    <w:basedOn w:val="CommentText"/>
    <w:next w:val="CommentText"/>
    <w:link w:val="CommentSubjectChar"/>
    <w:rsid w:val="005468A0"/>
    <w:rPr>
      <w:b/>
      <w:bCs/>
    </w:rPr>
  </w:style>
  <w:style w:type="character" w:customStyle="1" w:styleId="CommentSubjectChar">
    <w:name w:val="Comment Subject Char"/>
    <w:basedOn w:val="CommentTextChar"/>
    <w:link w:val="CommentSubject"/>
    <w:rsid w:val="005468A0"/>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5A2AFF"/>
    <w:rPr>
      <w:i/>
      <w:iCs/>
      <w:smallCaps/>
      <w:spacing w:val="5"/>
    </w:rPr>
  </w:style>
  <w:style w:type="paragraph" w:styleId="NormalWeb">
    <w:name w:val="Normal (Web)"/>
    <w:basedOn w:val="Normal"/>
    <w:uiPriority w:val="99"/>
    <w:unhideWhenUsed/>
    <w:rsid w:val="005A2AFF"/>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qFormat/>
    <w:rsid w:val="005A2AFF"/>
    <w:pPr>
      <w:spacing w:before="0" w:after="200" w:line="276" w:lineRule="auto"/>
      <w:ind w:left="720"/>
      <w:contextualSpacing/>
    </w:pPr>
    <w:rPr>
      <w:rFonts w:eastAsiaTheme="minorHAnsi" w:cstheme="minorBidi"/>
      <w:sz w:val="22"/>
      <w:szCs w:val="22"/>
      <w:lang w:eastAsia="en-US"/>
    </w:rPr>
  </w:style>
  <w:style w:type="character" w:styleId="CommentReference">
    <w:name w:val="annotation reference"/>
    <w:basedOn w:val="DefaultParagraphFont"/>
    <w:rsid w:val="005468A0"/>
    <w:rPr>
      <w:sz w:val="16"/>
      <w:szCs w:val="16"/>
    </w:rPr>
  </w:style>
  <w:style w:type="paragraph" w:styleId="CommentText">
    <w:name w:val="annotation text"/>
    <w:basedOn w:val="Normal"/>
    <w:link w:val="CommentTextChar"/>
    <w:rsid w:val="005468A0"/>
    <w:pPr>
      <w:spacing w:line="240" w:lineRule="auto"/>
    </w:pPr>
    <w:rPr>
      <w:szCs w:val="20"/>
    </w:rPr>
  </w:style>
  <w:style w:type="character" w:customStyle="1" w:styleId="CommentTextChar">
    <w:name w:val="Comment Text Char"/>
    <w:basedOn w:val="DefaultParagraphFont"/>
    <w:link w:val="CommentText"/>
    <w:rsid w:val="005468A0"/>
    <w:rPr>
      <w:rFonts w:ascii="Arial" w:hAnsi="Arial"/>
    </w:rPr>
  </w:style>
  <w:style w:type="paragraph" w:styleId="CommentSubject">
    <w:name w:val="annotation subject"/>
    <w:basedOn w:val="CommentText"/>
    <w:next w:val="CommentText"/>
    <w:link w:val="CommentSubjectChar"/>
    <w:rsid w:val="005468A0"/>
    <w:rPr>
      <w:b/>
      <w:bCs/>
    </w:rPr>
  </w:style>
  <w:style w:type="character" w:customStyle="1" w:styleId="CommentSubjectChar">
    <w:name w:val="Comment Subject Char"/>
    <w:basedOn w:val="CommentTextChar"/>
    <w:link w:val="CommentSubject"/>
    <w:rsid w:val="005468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19235229">
      <w:bodyDiv w:val="1"/>
      <w:marLeft w:val="0"/>
      <w:marRight w:val="0"/>
      <w:marTop w:val="0"/>
      <w:marBottom w:val="0"/>
      <w:divBdr>
        <w:top w:val="none" w:sz="0" w:space="0" w:color="auto"/>
        <w:left w:val="none" w:sz="0" w:space="0" w:color="auto"/>
        <w:bottom w:val="none" w:sz="0" w:space="0" w:color="auto"/>
        <w:right w:val="none" w:sz="0" w:space="0" w:color="auto"/>
      </w:divBdr>
    </w:div>
    <w:div w:id="1148398294">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services.gov.au/famil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Blu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72C0-BD48-40E8-A287-E8F5445A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template_Blue</Template>
  <TotalTime>3</TotalTime>
  <Pages>2</Pages>
  <Words>542</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THIRLWELL, Jessica</dc:creator>
  <cp:lastModifiedBy>WHITER, Shaun</cp:lastModifiedBy>
  <cp:revision>3</cp:revision>
  <dcterms:created xsi:type="dcterms:W3CDTF">2015-04-15T00:13:00Z</dcterms:created>
  <dcterms:modified xsi:type="dcterms:W3CDTF">2015-04-15T00:22:00Z</dcterms:modified>
</cp:coreProperties>
</file>