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54" w:rsidRDefault="00A27954" w:rsidP="00B401F4">
      <w:pPr>
        <w:pStyle w:val="Heading1"/>
        <w:tabs>
          <w:tab w:val="left" w:pos="6045"/>
        </w:tabs>
      </w:pPr>
      <w:bookmarkStart w:id="0" w:name="_Toc223262724"/>
      <w:r w:rsidRPr="00AE229D">
        <w:t>Quick reference guide</w:t>
      </w:r>
      <w:r w:rsidR="003B04B8">
        <w:t xml:space="preserve"> </w:t>
      </w:r>
      <w:r w:rsidR="00CB2AEF">
        <w:t>overview</w:t>
      </w:r>
      <w:bookmarkEnd w:id="0"/>
      <w:r w:rsidR="00CB2AEF" w:rsidRPr="00AE229D">
        <w:t xml:space="preserve"> </w:t>
      </w:r>
      <w:r w:rsidR="00B401F4">
        <w:tab/>
      </w:r>
    </w:p>
    <w:p w:rsidR="003B04B8" w:rsidRDefault="003B04B8" w:rsidP="00D93AF9">
      <w:pPr>
        <w:pStyle w:val="Heading2"/>
      </w:pPr>
      <w:bookmarkStart w:id="1" w:name="_Toc223262725"/>
      <w:r w:rsidRPr="00AB7D1F">
        <w:t xml:space="preserve">Multicultural </w:t>
      </w:r>
      <w:r w:rsidR="008505A6">
        <w:t>A</w:t>
      </w:r>
      <w:r w:rsidR="008505A6" w:rsidRPr="00AB7D1F">
        <w:t xml:space="preserve">ccess </w:t>
      </w:r>
      <w:r w:rsidRPr="00AB7D1F">
        <w:t xml:space="preserve">and </w:t>
      </w:r>
      <w:r w:rsidR="008505A6">
        <w:t>E</w:t>
      </w:r>
      <w:r w:rsidR="008505A6" w:rsidRPr="00AB7D1F">
        <w:t>quity</w:t>
      </w:r>
      <w:r w:rsidR="008505A6">
        <w:t xml:space="preserve"> Policy</w:t>
      </w:r>
      <w:r w:rsidR="004644C2">
        <w:t>:</w:t>
      </w:r>
      <w:r w:rsidRPr="00AB7D1F">
        <w:t xml:space="preserve"> minimum obligations</w:t>
      </w:r>
      <w:bookmarkEnd w:id="1"/>
    </w:p>
    <w:tbl>
      <w:tblPr>
        <w:tblStyle w:val="TableGrid"/>
        <w:tblW w:w="0" w:type="auto"/>
        <w:tblLook w:val="04A0" w:firstRow="1" w:lastRow="0" w:firstColumn="1" w:lastColumn="0" w:noHBand="0" w:noVBand="1"/>
        <w:tblDescription w:val="Multicultural Access and Equity Policy: minimum obligations"/>
      </w:tblPr>
      <w:tblGrid>
        <w:gridCol w:w="2093"/>
        <w:gridCol w:w="2686"/>
        <w:gridCol w:w="5076"/>
      </w:tblGrid>
      <w:tr w:rsidR="00D97212" w:rsidRPr="00D93AF9" w:rsidTr="00B401F4">
        <w:trPr>
          <w:tblHeader/>
        </w:trPr>
        <w:tc>
          <w:tcPr>
            <w:tcW w:w="2093" w:type="dxa"/>
          </w:tcPr>
          <w:p w:rsidR="00D97212" w:rsidRPr="00A24C94" w:rsidRDefault="00D97212" w:rsidP="00D97212">
            <w:pPr>
              <w:rPr>
                <w:rFonts w:ascii="Arial" w:hAnsi="Arial" w:cs="Arial"/>
                <w:color w:val="FF0000"/>
                <w:sz w:val="22"/>
              </w:rPr>
            </w:pPr>
          </w:p>
        </w:tc>
        <w:tc>
          <w:tcPr>
            <w:tcW w:w="2686" w:type="dxa"/>
          </w:tcPr>
          <w:p w:rsidR="00D97212" w:rsidRPr="00A24C94" w:rsidRDefault="005E74C1" w:rsidP="00D97212">
            <w:pPr>
              <w:rPr>
                <w:rFonts w:ascii="Arial" w:hAnsi="Arial" w:cs="Arial"/>
                <w:sz w:val="22"/>
              </w:rPr>
            </w:pPr>
            <w:r w:rsidRPr="00A24C94">
              <w:rPr>
                <w:rFonts w:ascii="Arial" w:hAnsi="Arial" w:cs="Arial"/>
                <w:sz w:val="22"/>
              </w:rPr>
              <w:t>Minimum obligation</w:t>
            </w:r>
          </w:p>
        </w:tc>
        <w:tc>
          <w:tcPr>
            <w:tcW w:w="5076" w:type="dxa"/>
          </w:tcPr>
          <w:p w:rsidR="00D97212" w:rsidRPr="00A24C94" w:rsidRDefault="005E74C1" w:rsidP="00D97212">
            <w:pPr>
              <w:rPr>
                <w:rFonts w:ascii="Arial" w:hAnsi="Arial" w:cs="Arial"/>
                <w:sz w:val="22"/>
              </w:rPr>
            </w:pPr>
            <w:r w:rsidRPr="00A24C94">
              <w:rPr>
                <w:rFonts w:ascii="Arial" w:hAnsi="Arial" w:cs="Arial"/>
                <w:sz w:val="22"/>
              </w:rPr>
              <w:t xml:space="preserve">Why is </w:t>
            </w:r>
            <w:proofErr w:type="gramStart"/>
            <w:r w:rsidRPr="00A24C94">
              <w:rPr>
                <w:rFonts w:ascii="Arial" w:hAnsi="Arial" w:cs="Arial"/>
                <w:sz w:val="22"/>
              </w:rPr>
              <w:t>this a</w:t>
            </w:r>
            <w:proofErr w:type="gramEnd"/>
            <w:r w:rsidRPr="00A24C94">
              <w:rPr>
                <w:rFonts w:ascii="Arial" w:hAnsi="Arial" w:cs="Arial"/>
                <w:sz w:val="22"/>
              </w:rPr>
              <w:t xml:space="preserve"> minimum obligation?</w:t>
            </w:r>
          </w:p>
        </w:tc>
      </w:tr>
      <w:tr w:rsidR="00D97212" w:rsidRPr="00D93AF9" w:rsidTr="00A24C94">
        <w:trPr>
          <w:trHeight w:val="3067"/>
        </w:trPr>
        <w:tc>
          <w:tcPr>
            <w:tcW w:w="2093" w:type="dxa"/>
          </w:tcPr>
          <w:p w:rsidR="00D97212" w:rsidRPr="00A24C94" w:rsidRDefault="005E74C1" w:rsidP="00A24C94">
            <w:pPr>
              <w:spacing w:line="276" w:lineRule="auto"/>
              <w:rPr>
                <w:rFonts w:ascii="Arial" w:hAnsi="Arial" w:cs="Arial"/>
                <w:b/>
                <w:sz w:val="22"/>
              </w:rPr>
            </w:pPr>
            <w:r w:rsidRPr="00A24C94">
              <w:rPr>
                <w:rFonts w:ascii="Arial" w:hAnsi="Arial" w:cs="Arial"/>
                <w:b/>
                <w:sz w:val="22"/>
              </w:rPr>
              <w:t>1. Leadership</w:t>
            </w:r>
          </w:p>
        </w:tc>
        <w:tc>
          <w:tcPr>
            <w:tcW w:w="2686" w:type="dxa"/>
          </w:tcPr>
          <w:p w:rsidR="00D97212" w:rsidRDefault="008B30C4" w:rsidP="00A24C94">
            <w:pPr>
              <w:spacing w:line="276" w:lineRule="auto"/>
              <w:rPr>
                <w:rFonts w:ascii="Arial" w:hAnsi="Arial" w:cs="Arial"/>
                <w:sz w:val="22"/>
              </w:rPr>
            </w:pPr>
            <w:r w:rsidRPr="00A24C94">
              <w:rPr>
                <w:rFonts w:ascii="Arial" w:hAnsi="Arial" w:cs="Arial"/>
                <w:b/>
                <w:sz w:val="22"/>
              </w:rPr>
              <w:t>1.</w:t>
            </w:r>
            <w:bookmarkStart w:id="2" w:name="_GoBack"/>
            <w:bookmarkEnd w:id="2"/>
            <w:r w:rsidRPr="00A24C94">
              <w:rPr>
                <w:rFonts w:ascii="Arial" w:hAnsi="Arial" w:cs="Arial"/>
                <w:b/>
                <w:sz w:val="22"/>
              </w:rPr>
              <w:t xml:space="preserve">1 </w:t>
            </w:r>
            <w:r w:rsidR="005E74C1" w:rsidRPr="00A24C94">
              <w:rPr>
                <w:rFonts w:ascii="Arial" w:hAnsi="Arial" w:cs="Arial"/>
                <w:b/>
                <w:sz w:val="22"/>
              </w:rPr>
              <w:t xml:space="preserve">Executive accountability: </w:t>
            </w:r>
            <w:r w:rsidR="005E74C1" w:rsidRPr="00A24C94">
              <w:rPr>
                <w:rFonts w:ascii="Arial" w:hAnsi="Arial" w:cs="Arial"/>
                <w:sz w:val="22"/>
              </w:rPr>
              <w:t xml:space="preserve">Assign a Senior Executive Officer to be responsible for implementation of multicultural access and equity obligations in the agency. </w:t>
            </w:r>
          </w:p>
          <w:p w:rsidR="00A24C94" w:rsidRPr="00A24C94" w:rsidRDefault="00A24C94" w:rsidP="00A24C94">
            <w:pPr>
              <w:spacing w:line="276" w:lineRule="auto"/>
              <w:rPr>
                <w:rFonts w:ascii="Arial" w:hAnsi="Arial" w:cs="Arial"/>
                <w:sz w:val="22"/>
              </w:rPr>
            </w:pPr>
          </w:p>
          <w:p w:rsidR="00D97212" w:rsidRPr="00A24C94" w:rsidRDefault="005E74C1" w:rsidP="00A24C94">
            <w:pPr>
              <w:spacing w:line="276" w:lineRule="auto"/>
              <w:rPr>
                <w:rFonts w:ascii="Arial" w:hAnsi="Arial" w:cs="Arial"/>
                <w:sz w:val="22"/>
              </w:rPr>
            </w:pPr>
            <w:r w:rsidRPr="00A24C94">
              <w:rPr>
                <w:rFonts w:ascii="Arial" w:hAnsi="Arial" w:cs="Arial"/>
                <w:b/>
                <w:sz w:val="22"/>
              </w:rPr>
              <w:t xml:space="preserve">1.2 Agency commitment: </w:t>
            </w:r>
            <w:r w:rsidRPr="00A24C94">
              <w:rPr>
                <w:rFonts w:ascii="Arial" w:hAnsi="Arial" w:cs="Arial"/>
                <w:sz w:val="22"/>
              </w:rPr>
              <w:t xml:space="preserve">Leadership to ensure that staff understand and are committed to multicultural access and equity implementation. </w:t>
            </w:r>
          </w:p>
        </w:tc>
        <w:tc>
          <w:tcPr>
            <w:tcW w:w="5076" w:type="dxa"/>
          </w:tcPr>
          <w:p w:rsid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Feedback from clients and stakeholders suggests that the better performing departments and agencies have a dedicated point of leadership and clear planning for achieving their multicultural access and equity obligations.</w:t>
            </w:r>
          </w:p>
          <w:p w:rsidR="00D97212" w:rsidRPr="00A24C94" w:rsidRDefault="005E74C1" w:rsidP="00A24C94">
            <w:pPr>
              <w:pStyle w:val="ListParagraph"/>
              <w:spacing w:line="276" w:lineRule="auto"/>
              <w:ind w:left="466"/>
              <w:rPr>
                <w:rFonts w:ascii="Arial" w:hAnsi="Arial" w:cs="Arial"/>
                <w:sz w:val="22"/>
              </w:rPr>
            </w:pPr>
            <w:r w:rsidRPr="00A24C94">
              <w:rPr>
                <w:rFonts w:ascii="Arial" w:hAnsi="Arial" w:cs="Arial"/>
                <w:sz w:val="22"/>
              </w:rPr>
              <w:t xml:space="preserve"> </w:t>
            </w:r>
          </w:p>
          <w:p w:rsidR="00D97212" w:rsidRPr="00A24C94" w:rsidRDefault="005E74C1" w:rsidP="00A24C94">
            <w:pPr>
              <w:pStyle w:val="ListParagraph"/>
              <w:numPr>
                <w:ilvl w:val="0"/>
                <w:numId w:val="18"/>
              </w:numPr>
              <w:spacing w:after="0" w:line="276" w:lineRule="auto"/>
              <w:ind w:left="466" w:hanging="395"/>
              <w:rPr>
                <w:rFonts w:ascii="Arial" w:hAnsi="Arial" w:cs="Arial"/>
                <w:sz w:val="22"/>
              </w:rPr>
            </w:pPr>
            <w:r w:rsidRPr="00A24C94">
              <w:rPr>
                <w:rFonts w:ascii="Arial" w:hAnsi="Arial" w:cs="Arial"/>
                <w:sz w:val="22"/>
              </w:rPr>
              <w:t xml:space="preserve">With effective leadership, </w:t>
            </w:r>
            <w:proofErr w:type="gramStart"/>
            <w:r w:rsidRPr="00A24C94">
              <w:rPr>
                <w:rFonts w:ascii="Arial" w:hAnsi="Arial" w:cs="Arial"/>
                <w:sz w:val="22"/>
              </w:rPr>
              <w:t>staff are</w:t>
            </w:r>
            <w:proofErr w:type="gramEnd"/>
            <w:r w:rsidRPr="00A24C94">
              <w:rPr>
                <w:rFonts w:ascii="Arial" w:hAnsi="Arial" w:cs="Arial"/>
                <w:sz w:val="22"/>
              </w:rPr>
              <w:t xml:space="preserve"> better placed to understand and commit to the implementation of their AMP. This department and agency level ‘buy in’ helps ensure that your AMP translates into accessible services, inclusive policies and effective programs for Australia’s diverse communities.</w:t>
            </w:r>
          </w:p>
        </w:tc>
      </w:tr>
      <w:tr w:rsidR="00D97212" w:rsidRPr="00D93AF9" w:rsidTr="00A24C94">
        <w:tc>
          <w:tcPr>
            <w:tcW w:w="2093" w:type="dxa"/>
          </w:tcPr>
          <w:p w:rsidR="00D97212" w:rsidRPr="00A24C94" w:rsidRDefault="005E74C1" w:rsidP="00A24C94">
            <w:pPr>
              <w:spacing w:line="276" w:lineRule="auto"/>
              <w:rPr>
                <w:rFonts w:ascii="Arial" w:hAnsi="Arial" w:cs="Arial"/>
                <w:b/>
                <w:sz w:val="22"/>
              </w:rPr>
            </w:pPr>
            <w:r w:rsidRPr="00A24C94">
              <w:rPr>
                <w:rFonts w:ascii="Arial" w:hAnsi="Arial" w:cs="Arial"/>
                <w:b/>
                <w:sz w:val="22"/>
              </w:rPr>
              <w:t>2. Engagement</w:t>
            </w:r>
          </w:p>
        </w:tc>
        <w:tc>
          <w:tcPr>
            <w:tcW w:w="2686" w:type="dxa"/>
          </w:tcPr>
          <w:p w:rsidR="00D97212" w:rsidRDefault="005E74C1" w:rsidP="00A24C94">
            <w:pPr>
              <w:spacing w:line="276" w:lineRule="auto"/>
              <w:rPr>
                <w:rFonts w:ascii="Arial" w:hAnsi="Arial" w:cs="Arial"/>
                <w:sz w:val="22"/>
              </w:rPr>
            </w:pPr>
            <w:r w:rsidRPr="00A24C94">
              <w:rPr>
                <w:rFonts w:ascii="Arial" w:hAnsi="Arial" w:cs="Arial"/>
                <w:b/>
                <w:sz w:val="22"/>
              </w:rPr>
              <w:t>2.1 Stakeholder engagement:</w:t>
            </w:r>
            <w:r w:rsidRPr="00A24C94">
              <w:rPr>
                <w:rFonts w:ascii="Arial" w:hAnsi="Arial" w:cs="Arial"/>
                <w:sz w:val="22"/>
              </w:rPr>
              <w:t xml:space="preserve"> Have a stakeholder engagement strategy to understand culturally and linguistically diverse communities’ interaction with their agency.</w:t>
            </w:r>
          </w:p>
          <w:p w:rsidR="00A24C94" w:rsidRPr="00A24C94" w:rsidRDefault="00A24C94" w:rsidP="00A24C94">
            <w:pPr>
              <w:spacing w:line="276" w:lineRule="auto"/>
              <w:rPr>
                <w:rFonts w:ascii="Arial" w:hAnsi="Arial" w:cs="Arial"/>
                <w:sz w:val="22"/>
              </w:rPr>
            </w:pPr>
          </w:p>
          <w:p w:rsidR="00D97212" w:rsidRPr="00A24C94" w:rsidRDefault="005E74C1" w:rsidP="00A24C94">
            <w:pPr>
              <w:spacing w:line="276" w:lineRule="auto"/>
              <w:rPr>
                <w:rFonts w:ascii="Arial" w:hAnsi="Arial" w:cs="Arial"/>
                <w:sz w:val="22"/>
              </w:rPr>
            </w:pPr>
            <w:r w:rsidRPr="00A24C94">
              <w:rPr>
                <w:rFonts w:ascii="Arial" w:hAnsi="Arial" w:cs="Arial"/>
                <w:b/>
                <w:sz w:val="22"/>
              </w:rPr>
              <w:t xml:space="preserve">2.2 Language and communication: </w:t>
            </w:r>
            <w:r w:rsidRPr="00A24C94">
              <w:rPr>
                <w:rFonts w:ascii="Arial" w:hAnsi="Arial" w:cs="Arial"/>
                <w:sz w:val="22"/>
              </w:rPr>
              <w:t>Have a language and communication plan for culturally and linguistically diverse communities, including on the use of languages other than English and incorporating the use of interpreters and translators.</w:t>
            </w:r>
          </w:p>
        </w:tc>
        <w:tc>
          <w:tcPr>
            <w:tcW w:w="5076" w:type="dxa"/>
          </w:tcPr>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 xml:space="preserve">A strategic approach to stakeholder engagement builds better ongoing relationships and is more likely to realise benefits for both the department or agency and its stakeholders. </w:t>
            </w:r>
          </w:p>
          <w:p w:rsidR="00A24C94" w:rsidRPr="00A24C94" w:rsidRDefault="00A24C94" w:rsidP="00A24C94">
            <w:pPr>
              <w:pStyle w:val="ListParagraph"/>
              <w:spacing w:line="276" w:lineRule="auto"/>
              <w:ind w:left="466"/>
              <w:rPr>
                <w:rFonts w:ascii="Arial" w:hAnsi="Arial" w:cs="Arial"/>
                <w:sz w:val="22"/>
              </w:rPr>
            </w:pPr>
          </w:p>
          <w:p w:rsidR="00D97212" w:rsidRDefault="005E74C1" w:rsidP="00A24C94">
            <w:pPr>
              <w:pStyle w:val="ListParagraph"/>
              <w:numPr>
                <w:ilvl w:val="0"/>
                <w:numId w:val="18"/>
              </w:numPr>
              <w:spacing w:after="0" w:line="276" w:lineRule="auto"/>
              <w:ind w:left="466" w:hanging="395"/>
              <w:rPr>
                <w:rFonts w:ascii="Arial" w:hAnsi="Arial" w:cs="Arial"/>
                <w:sz w:val="22"/>
              </w:rPr>
            </w:pPr>
            <w:r w:rsidRPr="00A24C94">
              <w:rPr>
                <w:rFonts w:ascii="Arial" w:hAnsi="Arial" w:cs="Arial"/>
                <w:sz w:val="22"/>
              </w:rPr>
              <w:t>Enhancing the effectiveness of a department or agency’s engagement strategies towards its diverse stakeholders can also assist departments and agencies to better target their efforts and achieve their strategic objectives in a more effective and efficient way.</w:t>
            </w:r>
          </w:p>
          <w:p w:rsidR="00A24C94" w:rsidRPr="00A24C94" w:rsidRDefault="00A24C94" w:rsidP="00A24C94">
            <w:pPr>
              <w:pStyle w:val="ListParagraph"/>
              <w:spacing w:after="0" w:line="276" w:lineRule="auto"/>
              <w:ind w:left="466"/>
              <w:rPr>
                <w:rFonts w:ascii="Arial" w:hAnsi="Arial" w:cs="Arial"/>
                <w:sz w:val="22"/>
              </w:rPr>
            </w:pP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Feedback from clients, stakeholders and departments and agencies, indicate that communication with diverse communities is central to improving performance in multicultural access and equity.</w:t>
            </w:r>
          </w:p>
          <w:p w:rsidR="00A24C94" w:rsidRPr="00A24C94" w:rsidRDefault="00A24C94" w:rsidP="00A24C94">
            <w:pPr>
              <w:pStyle w:val="ListParagraph"/>
              <w:spacing w:line="276" w:lineRule="auto"/>
              <w:ind w:left="466"/>
              <w:rPr>
                <w:rFonts w:ascii="Arial" w:hAnsi="Arial" w:cs="Arial"/>
                <w:sz w:val="22"/>
              </w:rPr>
            </w:pPr>
          </w:p>
          <w:p w:rsidR="00D97212" w:rsidRP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 xml:space="preserve">Lack of effective language and communication practices risks excluding those whose English language skills are low or still developing or who have a low level of familiarity with Australia and how the </w:t>
            </w:r>
            <w:r w:rsidRPr="00A24C94">
              <w:rPr>
                <w:rFonts w:ascii="Arial" w:hAnsi="Arial" w:cs="Arial"/>
                <w:sz w:val="22"/>
              </w:rPr>
              <w:lastRenderedPageBreak/>
              <w:t>Australian Government system works.</w:t>
            </w:r>
          </w:p>
        </w:tc>
      </w:tr>
      <w:tr w:rsidR="00D97212" w:rsidRPr="00D93AF9" w:rsidTr="00A24C94">
        <w:tc>
          <w:tcPr>
            <w:tcW w:w="2093" w:type="dxa"/>
          </w:tcPr>
          <w:p w:rsidR="00D97212" w:rsidRPr="00A24C94" w:rsidRDefault="005E74C1" w:rsidP="00A24C94">
            <w:pPr>
              <w:spacing w:line="276" w:lineRule="auto"/>
              <w:rPr>
                <w:rFonts w:ascii="Arial" w:hAnsi="Arial" w:cs="Arial"/>
                <w:b/>
                <w:sz w:val="22"/>
              </w:rPr>
            </w:pPr>
            <w:r w:rsidRPr="00A24C94">
              <w:rPr>
                <w:rFonts w:ascii="Arial" w:hAnsi="Arial" w:cs="Arial"/>
                <w:b/>
                <w:sz w:val="22"/>
              </w:rPr>
              <w:lastRenderedPageBreak/>
              <w:t>3. Performance</w:t>
            </w:r>
          </w:p>
        </w:tc>
        <w:tc>
          <w:tcPr>
            <w:tcW w:w="2686" w:type="dxa"/>
          </w:tcPr>
          <w:p w:rsidR="00D97212" w:rsidRDefault="005E74C1" w:rsidP="00A24C94">
            <w:pPr>
              <w:spacing w:line="276" w:lineRule="auto"/>
              <w:rPr>
                <w:rFonts w:ascii="Arial" w:hAnsi="Arial" w:cs="Arial"/>
                <w:sz w:val="22"/>
              </w:rPr>
            </w:pPr>
            <w:r w:rsidRPr="00A24C94">
              <w:rPr>
                <w:rFonts w:ascii="Arial" w:hAnsi="Arial" w:cs="Arial"/>
                <w:b/>
                <w:sz w:val="22"/>
              </w:rPr>
              <w:t>3.1</w:t>
            </w:r>
            <w:r w:rsidRPr="00A24C94">
              <w:rPr>
                <w:rFonts w:ascii="Arial" w:hAnsi="Arial" w:cs="Arial"/>
                <w:sz w:val="22"/>
              </w:rPr>
              <w:t xml:space="preserve"> </w:t>
            </w:r>
            <w:r w:rsidRPr="00A24C94">
              <w:rPr>
                <w:rFonts w:ascii="Arial" w:hAnsi="Arial" w:cs="Arial"/>
                <w:b/>
                <w:sz w:val="22"/>
              </w:rPr>
              <w:t xml:space="preserve">Performance indicators and </w:t>
            </w:r>
            <w:r w:rsidR="008B3C2F" w:rsidRPr="00A24C94">
              <w:rPr>
                <w:rFonts w:ascii="Arial" w:hAnsi="Arial" w:cs="Arial"/>
                <w:b/>
                <w:sz w:val="22"/>
              </w:rPr>
              <w:t>r</w:t>
            </w:r>
            <w:r w:rsidRPr="00A24C94">
              <w:rPr>
                <w:rFonts w:ascii="Arial" w:hAnsi="Arial" w:cs="Arial"/>
                <w:b/>
                <w:sz w:val="22"/>
              </w:rPr>
              <w:t>eporting</w:t>
            </w:r>
            <w:r w:rsidRPr="00A24C94">
              <w:rPr>
                <w:rFonts w:ascii="Arial" w:hAnsi="Arial" w:cs="Arial"/>
                <w:sz w:val="22"/>
              </w:rPr>
              <w:t>: Develop a set of KPIs relating to engagement with, or outcomes of services to, culturally and linguistically diverse clients.</w:t>
            </w:r>
          </w:p>
          <w:p w:rsidR="00A24C94" w:rsidRPr="00A24C94" w:rsidRDefault="00A24C94" w:rsidP="00A24C94">
            <w:pPr>
              <w:spacing w:line="276" w:lineRule="auto"/>
              <w:rPr>
                <w:rFonts w:ascii="Arial" w:hAnsi="Arial" w:cs="Arial"/>
                <w:sz w:val="22"/>
              </w:rPr>
            </w:pPr>
          </w:p>
          <w:p w:rsidR="00D97212" w:rsidRPr="00A24C94" w:rsidRDefault="005E74C1" w:rsidP="00A24C94">
            <w:pPr>
              <w:spacing w:line="276" w:lineRule="auto"/>
              <w:rPr>
                <w:rFonts w:ascii="Arial" w:hAnsi="Arial" w:cs="Arial"/>
                <w:sz w:val="22"/>
              </w:rPr>
            </w:pPr>
            <w:r w:rsidRPr="00A24C94">
              <w:rPr>
                <w:rFonts w:ascii="Arial" w:hAnsi="Arial" w:cs="Arial"/>
                <w:b/>
                <w:sz w:val="22"/>
              </w:rPr>
              <w:t>3.2 Feedback</w:t>
            </w:r>
            <w:r w:rsidRPr="00A24C94">
              <w:rPr>
                <w:rFonts w:ascii="Arial" w:hAnsi="Arial" w:cs="Arial"/>
                <w:sz w:val="22"/>
              </w:rPr>
              <w:t>: Have arrangements to ensure affected culturally and linguistically diverse communities are able to provide feedback on agency multicultural access and equity performance.</w:t>
            </w:r>
          </w:p>
          <w:p w:rsidR="00D97212" w:rsidRPr="00A24C94" w:rsidRDefault="00D97212" w:rsidP="00A24C94">
            <w:pPr>
              <w:spacing w:line="276" w:lineRule="auto"/>
              <w:rPr>
                <w:rFonts w:ascii="Arial" w:hAnsi="Arial" w:cs="Arial"/>
                <w:sz w:val="22"/>
              </w:rPr>
            </w:pPr>
          </w:p>
        </w:tc>
        <w:tc>
          <w:tcPr>
            <w:tcW w:w="5076" w:type="dxa"/>
          </w:tcPr>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The KPIs your department or agency sets will provide a clear-cut, objective basis for measurement of your department or agency’s performance in multicultural access and equity. In doing so, they demonstrate clarity of commitment and accountability.</w:t>
            </w:r>
          </w:p>
          <w:p w:rsidR="00A24C94" w:rsidRPr="00A24C94" w:rsidRDefault="00A24C94" w:rsidP="00A24C94">
            <w:pPr>
              <w:pStyle w:val="ListParagraph"/>
              <w:spacing w:line="276" w:lineRule="auto"/>
              <w:ind w:left="466"/>
              <w:rPr>
                <w:rFonts w:ascii="Arial" w:hAnsi="Arial" w:cs="Arial"/>
                <w:sz w:val="22"/>
              </w:rPr>
            </w:pP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Establishing clear benchmarks upon which your performance will be measured will also assist departments and agencies with whole-of-government reporting obligations and performance auditing.</w:t>
            </w:r>
          </w:p>
          <w:p w:rsidR="00A24C94" w:rsidRPr="00A24C94" w:rsidRDefault="00A24C94" w:rsidP="00A24C94">
            <w:pPr>
              <w:spacing w:after="0" w:line="276" w:lineRule="auto"/>
              <w:rPr>
                <w:rFonts w:ascii="Arial" w:hAnsi="Arial" w:cs="Arial"/>
                <w:sz w:val="22"/>
              </w:rPr>
            </w:pP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An important element in achieving responsiveness is for clients to be empowered to give feedback and make complaints to government departments and agencies.</w:t>
            </w:r>
          </w:p>
          <w:p w:rsidR="00A24C94" w:rsidRPr="00A24C94" w:rsidRDefault="00A24C94" w:rsidP="00A24C94">
            <w:pPr>
              <w:spacing w:after="0" w:line="276" w:lineRule="auto"/>
              <w:rPr>
                <w:rFonts w:ascii="Arial" w:hAnsi="Arial" w:cs="Arial"/>
                <w:sz w:val="22"/>
              </w:rPr>
            </w:pP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Having arrangements in place to ensure that feedback mechanisms are truly accessible to diverse communities will help improve responsiveness to their needs and build trust/credibility.</w:t>
            </w:r>
          </w:p>
          <w:p w:rsidR="00A24C94" w:rsidRPr="00A24C94" w:rsidRDefault="00A24C94" w:rsidP="00A24C94">
            <w:pPr>
              <w:spacing w:after="0" w:line="276" w:lineRule="auto"/>
              <w:rPr>
                <w:rFonts w:ascii="Arial" w:hAnsi="Arial" w:cs="Arial"/>
                <w:sz w:val="22"/>
              </w:rPr>
            </w:pPr>
          </w:p>
          <w:p w:rsidR="00D97212" w:rsidRP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Trust in government will increase if feedback is incorporated into policies, programs and services and clients are informed of how their feedback has been addressed.</w:t>
            </w:r>
          </w:p>
        </w:tc>
      </w:tr>
      <w:tr w:rsidR="00D97212" w:rsidRPr="00D93AF9" w:rsidTr="00A24C94">
        <w:tc>
          <w:tcPr>
            <w:tcW w:w="2093" w:type="dxa"/>
          </w:tcPr>
          <w:p w:rsidR="00D97212" w:rsidRPr="00A24C94" w:rsidRDefault="005E74C1" w:rsidP="00A24C94">
            <w:pPr>
              <w:spacing w:line="276" w:lineRule="auto"/>
              <w:rPr>
                <w:rFonts w:ascii="Arial" w:hAnsi="Arial" w:cs="Arial"/>
                <w:b/>
                <w:sz w:val="22"/>
              </w:rPr>
            </w:pPr>
            <w:r w:rsidRPr="00A24C94">
              <w:rPr>
                <w:rFonts w:ascii="Arial" w:hAnsi="Arial" w:cs="Arial"/>
                <w:b/>
                <w:sz w:val="22"/>
              </w:rPr>
              <w:t>4. Capability</w:t>
            </w:r>
          </w:p>
        </w:tc>
        <w:tc>
          <w:tcPr>
            <w:tcW w:w="2686" w:type="dxa"/>
          </w:tcPr>
          <w:p w:rsidR="00D97212" w:rsidRDefault="005E74C1" w:rsidP="00A24C94">
            <w:pPr>
              <w:spacing w:line="276" w:lineRule="auto"/>
              <w:rPr>
                <w:rFonts w:ascii="Arial" w:hAnsi="Arial" w:cs="Arial"/>
                <w:sz w:val="22"/>
              </w:rPr>
            </w:pPr>
            <w:r w:rsidRPr="00A24C94">
              <w:rPr>
                <w:rFonts w:ascii="Arial" w:hAnsi="Arial" w:cs="Arial"/>
                <w:b/>
                <w:sz w:val="22"/>
              </w:rPr>
              <w:t xml:space="preserve">4.1 Cultural competency: </w:t>
            </w:r>
            <w:r w:rsidRPr="00A24C94">
              <w:rPr>
                <w:rFonts w:ascii="Arial" w:hAnsi="Arial" w:cs="Arial"/>
                <w:sz w:val="22"/>
              </w:rPr>
              <w:t>Have training and development measures to equip staff with cultural competency skills.</w:t>
            </w:r>
          </w:p>
          <w:p w:rsidR="00A24C94" w:rsidRPr="00A24C94" w:rsidRDefault="00A24C94" w:rsidP="00A24C94">
            <w:pPr>
              <w:spacing w:line="276" w:lineRule="auto"/>
              <w:rPr>
                <w:rFonts w:ascii="Arial" w:hAnsi="Arial" w:cs="Arial"/>
                <w:sz w:val="22"/>
              </w:rPr>
            </w:pPr>
          </w:p>
          <w:p w:rsidR="00D97212" w:rsidRPr="00A24C94" w:rsidRDefault="005E74C1" w:rsidP="00A24C94">
            <w:pPr>
              <w:spacing w:line="276" w:lineRule="auto"/>
              <w:rPr>
                <w:rFonts w:ascii="Arial" w:hAnsi="Arial" w:cs="Arial"/>
                <w:sz w:val="22"/>
              </w:rPr>
            </w:pPr>
            <w:r w:rsidRPr="00A24C94">
              <w:rPr>
                <w:rFonts w:ascii="Arial" w:hAnsi="Arial" w:cs="Arial"/>
                <w:b/>
                <w:sz w:val="22"/>
              </w:rPr>
              <w:t xml:space="preserve">4.2 Research and data: </w:t>
            </w:r>
            <w:r w:rsidRPr="00A24C94">
              <w:rPr>
                <w:rFonts w:ascii="Arial" w:hAnsi="Arial" w:cs="Arial"/>
                <w:sz w:val="22"/>
              </w:rPr>
              <w:t>Each agency is required to collect ethnicity data on the culturally and linguistically diverse groups with which the agency engages and to which it delivers services directly or indirectly.</w:t>
            </w:r>
          </w:p>
        </w:tc>
        <w:tc>
          <w:tcPr>
            <w:tcW w:w="5076" w:type="dxa"/>
          </w:tcPr>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Strong foundations in cultural competency increase the capacity of Australian Government departments and agencies and their staff to understand and respond to the growing diversity within the Australian community.</w:t>
            </w:r>
          </w:p>
          <w:p w:rsidR="00A24C94" w:rsidRPr="00A24C94" w:rsidRDefault="00A24C94" w:rsidP="00A24C94">
            <w:pPr>
              <w:pStyle w:val="ListParagraph"/>
              <w:spacing w:line="276" w:lineRule="auto"/>
              <w:ind w:left="466"/>
              <w:rPr>
                <w:rFonts w:ascii="Arial" w:hAnsi="Arial" w:cs="Arial"/>
                <w:sz w:val="22"/>
              </w:rPr>
            </w:pP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Demonstrated cultural competency also helps to build trust and provides a vital bridge between a department or agency and the communities they serve.</w:t>
            </w:r>
          </w:p>
          <w:p w:rsidR="00A24C94" w:rsidRPr="00A24C94" w:rsidRDefault="00A24C94" w:rsidP="00A24C94">
            <w:pPr>
              <w:spacing w:after="0" w:line="276" w:lineRule="auto"/>
              <w:rPr>
                <w:rFonts w:ascii="Arial" w:hAnsi="Arial" w:cs="Arial"/>
                <w:sz w:val="22"/>
              </w:rPr>
            </w:pPr>
          </w:p>
          <w:p w:rsidR="00A24C94" w:rsidRP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 xml:space="preserve">Without effective research and data collection, departments and agencies risk failing to understand the multicultural nature of their client group (whether they interact directly with them or through policies and programs delivered by third parties). This in </w:t>
            </w:r>
            <w:r w:rsidRPr="00A24C94">
              <w:rPr>
                <w:rFonts w:ascii="Arial" w:hAnsi="Arial" w:cs="Arial"/>
                <w:sz w:val="22"/>
              </w:rPr>
              <w:lastRenderedPageBreak/>
              <w:t>turn represents a major barrier to effective planning and delivery.</w:t>
            </w:r>
          </w:p>
          <w:p w:rsidR="00D97212" w:rsidRP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 xml:space="preserve">Having a strong evidence base is also critical when evaluating the effectiveness of a </w:t>
            </w:r>
            <w:proofErr w:type="gramStart"/>
            <w:r w:rsidRPr="00A24C94">
              <w:rPr>
                <w:rFonts w:ascii="Arial" w:hAnsi="Arial" w:cs="Arial"/>
                <w:sz w:val="22"/>
              </w:rPr>
              <w:t>department’s</w:t>
            </w:r>
            <w:proofErr w:type="gramEnd"/>
            <w:r w:rsidRPr="00A24C94">
              <w:rPr>
                <w:rFonts w:ascii="Arial" w:hAnsi="Arial" w:cs="Arial"/>
                <w:sz w:val="22"/>
              </w:rPr>
              <w:t xml:space="preserve"> or agency’s policies, programs and engagement activities in serving the needs of Australia’s diverse communities.</w:t>
            </w:r>
          </w:p>
        </w:tc>
      </w:tr>
      <w:tr w:rsidR="00D97212" w:rsidRPr="00D93AF9" w:rsidTr="00A24C94">
        <w:tc>
          <w:tcPr>
            <w:tcW w:w="2093" w:type="dxa"/>
          </w:tcPr>
          <w:p w:rsidR="00D97212" w:rsidRPr="00A24C94" w:rsidRDefault="005E74C1" w:rsidP="00A24C94">
            <w:pPr>
              <w:spacing w:line="276" w:lineRule="auto"/>
              <w:rPr>
                <w:rFonts w:ascii="Arial" w:hAnsi="Arial" w:cs="Arial"/>
                <w:b/>
                <w:sz w:val="22"/>
              </w:rPr>
            </w:pPr>
            <w:r w:rsidRPr="00A24C94">
              <w:rPr>
                <w:rFonts w:ascii="Arial" w:hAnsi="Arial" w:cs="Arial"/>
                <w:b/>
                <w:sz w:val="22"/>
              </w:rPr>
              <w:lastRenderedPageBreak/>
              <w:t>5. Responsiveness</w:t>
            </w:r>
          </w:p>
        </w:tc>
        <w:tc>
          <w:tcPr>
            <w:tcW w:w="2686" w:type="dxa"/>
          </w:tcPr>
          <w:p w:rsidR="00D97212" w:rsidRDefault="005E74C1" w:rsidP="00A24C94">
            <w:pPr>
              <w:spacing w:line="276" w:lineRule="auto"/>
              <w:rPr>
                <w:rFonts w:ascii="Arial" w:hAnsi="Arial" w:cs="Arial"/>
                <w:sz w:val="22"/>
              </w:rPr>
            </w:pPr>
            <w:r w:rsidRPr="00A24C94">
              <w:rPr>
                <w:rFonts w:ascii="Arial" w:hAnsi="Arial" w:cs="Arial"/>
                <w:b/>
                <w:sz w:val="22"/>
              </w:rPr>
              <w:t xml:space="preserve">5.1 Standards: </w:t>
            </w:r>
            <w:r w:rsidRPr="00A24C94">
              <w:rPr>
                <w:rFonts w:ascii="Arial" w:hAnsi="Arial" w:cs="Arial"/>
                <w:sz w:val="22"/>
              </w:rPr>
              <w:t>Any whole-of-government standards and guidelines developed by the agency must address multicultural access and equity considerations.</w:t>
            </w:r>
          </w:p>
          <w:p w:rsidR="00A24C94" w:rsidRPr="00A24C94" w:rsidRDefault="00A24C94" w:rsidP="00A24C94">
            <w:pPr>
              <w:spacing w:line="276" w:lineRule="auto"/>
              <w:rPr>
                <w:rFonts w:ascii="Arial" w:hAnsi="Arial" w:cs="Arial"/>
                <w:sz w:val="22"/>
              </w:rPr>
            </w:pPr>
          </w:p>
          <w:p w:rsidR="00D97212" w:rsidRDefault="005E74C1" w:rsidP="00A24C94">
            <w:pPr>
              <w:spacing w:line="276" w:lineRule="auto"/>
              <w:rPr>
                <w:rFonts w:ascii="Arial" w:hAnsi="Arial" w:cs="Arial"/>
                <w:sz w:val="22"/>
              </w:rPr>
            </w:pPr>
            <w:r w:rsidRPr="00A24C94">
              <w:rPr>
                <w:rFonts w:ascii="Arial" w:hAnsi="Arial" w:cs="Arial"/>
                <w:b/>
                <w:sz w:val="22"/>
              </w:rPr>
              <w:t xml:space="preserve">5.2 Policy, program and service delivery: </w:t>
            </w:r>
            <w:r w:rsidRPr="00A24C94">
              <w:rPr>
                <w:rFonts w:ascii="Arial" w:hAnsi="Arial" w:cs="Arial"/>
                <w:sz w:val="22"/>
              </w:rPr>
              <w:t>Provision to ensure that policies, programs, community interactions and service delivery (whether in-house or outsourced) are effective for culturally and linguistically diverse communities.</w:t>
            </w:r>
          </w:p>
          <w:p w:rsidR="00A24C94" w:rsidRPr="00A24C94" w:rsidRDefault="00A24C94" w:rsidP="00A24C94">
            <w:pPr>
              <w:spacing w:line="276" w:lineRule="auto"/>
              <w:rPr>
                <w:rFonts w:ascii="Arial" w:hAnsi="Arial" w:cs="Arial"/>
                <w:sz w:val="22"/>
              </w:rPr>
            </w:pPr>
          </w:p>
          <w:p w:rsidR="00D97212" w:rsidRPr="00A24C94" w:rsidRDefault="005E74C1" w:rsidP="00A24C94">
            <w:pPr>
              <w:spacing w:line="276" w:lineRule="auto"/>
              <w:rPr>
                <w:rFonts w:ascii="Arial" w:hAnsi="Arial" w:cs="Arial"/>
                <w:sz w:val="22"/>
              </w:rPr>
            </w:pPr>
            <w:r w:rsidRPr="00A24C94">
              <w:rPr>
                <w:rFonts w:ascii="Arial" w:hAnsi="Arial" w:cs="Arial"/>
                <w:b/>
                <w:sz w:val="22"/>
              </w:rPr>
              <w:t>5.3 Outsourced services:</w:t>
            </w:r>
            <w:r w:rsidRPr="00A24C94">
              <w:rPr>
                <w:rFonts w:ascii="Arial" w:hAnsi="Arial" w:cs="Arial"/>
                <w:sz w:val="22"/>
              </w:rPr>
              <w:t xml:space="preserve"> Where relevant, provision for incorporation of multicultural access and equity requirements into contracts, grant agreements and related guidance material of which the agency has carriage. </w:t>
            </w:r>
          </w:p>
        </w:tc>
        <w:tc>
          <w:tcPr>
            <w:tcW w:w="5076" w:type="dxa"/>
          </w:tcPr>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Where relevant, multicultural access and equity considerations in whole-of-government standards and guidelines is important to ensuring that such standards and guidelines properly reflect and account for the diverse communities we serve.</w:t>
            </w:r>
          </w:p>
          <w:p w:rsidR="00A24C94" w:rsidRPr="00A24C94" w:rsidRDefault="00A24C94" w:rsidP="00A24C94">
            <w:pPr>
              <w:pStyle w:val="ListParagraph"/>
              <w:spacing w:line="276" w:lineRule="auto"/>
              <w:ind w:left="466"/>
              <w:rPr>
                <w:rFonts w:ascii="Arial" w:hAnsi="Arial" w:cs="Arial"/>
                <w:sz w:val="22"/>
              </w:rPr>
            </w:pP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It also enables departments and agencies with responsibility for whole-of-government standards and guidelines to demonstrate leadership in multicultural access and equity.</w:t>
            </w:r>
          </w:p>
          <w:p w:rsidR="00A24C94" w:rsidRPr="00A24C94" w:rsidRDefault="00A24C94" w:rsidP="00A24C94">
            <w:pPr>
              <w:spacing w:after="0" w:line="276" w:lineRule="auto"/>
              <w:rPr>
                <w:rFonts w:ascii="Arial" w:hAnsi="Arial" w:cs="Arial"/>
                <w:sz w:val="22"/>
              </w:rPr>
            </w:pPr>
          </w:p>
          <w:p w:rsid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Australia’s diverse communities simply want multicultural access and equity to work ‘on the ground’. This applies to all aspects of government work, from policy design right through to service delivery and engagement and whether delivered directly or outsourced.</w:t>
            </w:r>
          </w:p>
          <w:p w:rsidR="00D97212" w:rsidRPr="00A24C94" w:rsidRDefault="005E74C1" w:rsidP="00A24C94">
            <w:pPr>
              <w:spacing w:after="0" w:line="276" w:lineRule="auto"/>
              <w:rPr>
                <w:rFonts w:ascii="Arial" w:hAnsi="Arial" w:cs="Arial"/>
                <w:sz w:val="22"/>
              </w:rPr>
            </w:pPr>
            <w:r w:rsidRPr="00A24C94">
              <w:rPr>
                <w:rFonts w:ascii="Arial" w:hAnsi="Arial" w:cs="Arial"/>
                <w:sz w:val="22"/>
              </w:rPr>
              <w:t xml:space="preserve"> </w:t>
            </w: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Where relevant, inclusion of multicultural access and equity requirements in funding agreements with states and third-party service deliverers is important to driving better multicultural access and equity performance through Australian Government-funded programs.</w:t>
            </w:r>
          </w:p>
          <w:p w:rsidR="00A24C94" w:rsidRPr="00A24C94" w:rsidRDefault="00A24C94" w:rsidP="00A24C94">
            <w:pPr>
              <w:spacing w:after="0" w:line="276" w:lineRule="auto"/>
              <w:rPr>
                <w:rFonts w:ascii="Arial" w:hAnsi="Arial" w:cs="Arial"/>
                <w:sz w:val="22"/>
              </w:rPr>
            </w:pPr>
          </w:p>
          <w:p w:rsidR="00D97212"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Those delivering services on behalf of the Australian Government need to be aware of multicultural access and equity considerations in order for those services to work effectively ‘on-the-ground’ for Australia’s diverse communities.</w:t>
            </w:r>
          </w:p>
          <w:p w:rsidR="00A24C94" w:rsidRPr="00A24C94" w:rsidRDefault="00A24C94" w:rsidP="00A24C94">
            <w:pPr>
              <w:spacing w:after="0" w:line="276" w:lineRule="auto"/>
              <w:rPr>
                <w:rFonts w:ascii="Arial" w:hAnsi="Arial" w:cs="Arial"/>
                <w:sz w:val="22"/>
              </w:rPr>
            </w:pPr>
          </w:p>
          <w:p w:rsidR="00D97212" w:rsidRP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Note: It is important that this is done progressively, particularly in relation to existing contracts and funding agreements, and mindful of other obligations on agencies (such as the National Compact).</w:t>
            </w:r>
          </w:p>
        </w:tc>
      </w:tr>
      <w:tr w:rsidR="00D97212" w:rsidRPr="00D93AF9" w:rsidTr="00A24C94">
        <w:tc>
          <w:tcPr>
            <w:tcW w:w="2093" w:type="dxa"/>
          </w:tcPr>
          <w:p w:rsidR="00D97212" w:rsidRPr="00A24C94" w:rsidRDefault="005E74C1" w:rsidP="00A24C94">
            <w:pPr>
              <w:spacing w:line="276" w:lineRule="auto"/>
              <w:rPr>
                <w:rFonts w:ascii="Arial" w:hAnsi="Arial" w:cs="Arial"/>
                <w:b/>
                <w:sz w:val="22"/>
              </w:rPr>
            </w:pPr>
            <w:r w:rsidRPr="00A24C94">
              <w:rPr>
                <w:rFonts w:ascii="Arial" w:hAnsi="Arial" w:cs="Arial"/>
                <w:b/>
                <w:sz w:val="22"/>
              </w:rPr>
              <w:t>6. Openness</w:t>
            </w:r>
          </w:p>
        </w:tc>
        <w:tc>
          <w:tcPr>
            <w:tcW w:w="2686" w:type="dxa"/>
          </w:tcPr>
          <w:p w:rsidR="00D97212" w:rsidRDefault="005E74C1" w:rsidP="00A24C94">
            <w:pPr>
              <w:spacing w:line="276" w:lineRule="auto"/>
              <w:rPr>
                <w:rFonts w:ascii="Arial" w:hAnsi="Arial" w:cs="Arial"/>
                <w:sz w:val="22"/>
              </w:rPr>
            </w:pPr>
            <w:r w:rsidRPr="00A24C94">
              <w:rPr>
                <w:rFonts w:ascii="Arial" w:hAnsi="Arial" w:cs="Arial"/>
                <w:b/>
                <w:sz w:val="22"/>
              </w:rPr>
              <w:t xml:space="preserve">6.1 Publishing: </w:t>
            </w:r>
            <w:r w:rsidRPr="00A24C94">
              <w:rPr>
                <w:rFonts w:ascii="Arial" w:hAnsi="Arial" w:cs="Arial"/>
                <w:sz w:val="22"/>
              </w:rPr>
              <w:t xml:space="preserve">Agency to publish its Agency </w:t>
            </w:r>
            <w:r w:rsidRPr="00A24C94">
              <w:rPr>
                <w:rFonts w:ascii="Arial" w:hAnsi="Arial" w:cs="Arial"/>
                <w:sz w:val="22"/>
              </w:rPr>
              <w:lastRenderedPageBreak/>
              <w:t>Multicultural Plan on its website and performance reports against agency KPIs for culturally and linguistically diverse clients in agency annual reports.</w:t>
            </w:r>
          </w:p>
          <w:p w:rsidR="00A24C94" w:rsidRPr="00A24C94" w:rsidRDefault="00A24C94" w:rsidP="00A24C94">
            <w:pPr>
              <w:spacing w:line="276" w:lineRule="auto"/>
              <w:rPr>
                <w:rFonts w:ascii="Arial" w:hAnsi="Arial" w:cs="Arial"/>
                <w:sz w:val="22"/>
              </w:rPr>
            </w:pPr>
          </w:p>
          <w:p w:rsidR="00D97212" w:rsidRPr="00A24C94" w:rsidRDefault="005E74C1" w:rsidP="00A24C94">
            <w:pPr>
              <w:spacing w:line="276" w:lineRule="auto"/>
              <w:rPr>
                <w:rFonts w:ascii="Arial" w:hAnsi="Arial" w:cs="Arial"/>
                <w:sz w:val="22"/>
              </w:rPr>
            </w:pPr>
            <w:r w:rsidRPr="00A24C94">
              <w:rPr>
                <w:rFonts w:ascii="Arial" w:hAnsi="Arial" w:cs="Arial"/>
                <w:b/>
                <w:sz w:val="22"/>
              </w:rPr>
              <w:t xml:space="preserve">6.2 Data: </w:t>
            </w:r>
            <w:r w:rsidRPr="00A24C94">
              <w:rPr>
                <w:rFonts w:ascii="Arial" w:hAnsi="Arial" w:cs="Arial"/>
                <w:sz w:val="22"/>
              </w:rPr>
              <w:t>Agency to make culturally and linguistically diverse data available to other agencies and the public.</w:t>
            </w:r>
          </w:p>
          <w:p w:rsidR="00D97212" w:rsidRPr="00A24C94" w:rsidRDefault="00D97212" w:rsidP="00A24C94">
            <w:pPr>
              <w:spacing w:line="276" w:lineRule="auto"/>
              <w:rPr>
                <w:rFonts w:ascii="Arial" w:hAnsi="Arial" w:cs="Arial"/>
                <w:sz w:val="22"/>
              </w:rPr>
            </w:pPr>
          </w:p>
        </w:tc>
        <w:tc>
          <w:tcPr>
            <w:tcW w:w="5076" w:type="dxa"/>
          </w:tcPr>
          <w:p w:rsidR="00A24C94" w:rsidRDefault="005E74C1" w:rsidP="00A24C94">
            <w:pPr>
              <w:pStyle w:val="ListParagraph"/>
              <w:numPr>
                <w:ilvl w:val="0"/>
                <w:numId w:val="18"/>
              </w:numPr>
              <w:spacing w:before="240" w:after="100" w:afterAutospacing="1" w:line="276" w:lineRule="auto"/>
              <w:ind w:left="466" w:hanging="395"/>
              <w:rPr>
                <w:rFonts w:ascii="Arial" w:hAnsi="Arial" w:cs="Arial"/>
                <w:sz w:val="22"/>
              </w:rPr>
            </w:pPr>
            <w:r w:rsidRPr="00A24C94">
              <w:rPr>
                <w:rFonts w:ascii="Arial" w:hAnsi="Arial" w:cs="Arial"/>
                <w:sz w:val="22"/>
              </w:rPr>
              <w:lastRenderedPageBreak/>
              <w:t xml:space="preserve">Effective delivery of multicultural access and </w:t>
            </w:r>
            <w:r w:rsidRPr="00A24C94">
              <w:rPr>
                <w:rFonts w:ascii="Arial" w:hAnsi="Arial" w:cs="Arial"/>
                <w:sz w:val="22"/>
              </w:rPr>
              <w:lastRenderedPageBreak/>
              <w:t>equity, like any area of social policy, requires effective accountability and governance arrangements.</w:t>
            </w:r>
          </w:p>
          <w:p w:rsidR="00A24C94" w:rsidRPr="00A24C94" w:rsidRDefault="00A24C94" w:rsidP="00A24C94">
            <w:pPr>
              <w:pStyle w:val="ListParagraph"/>
              <w:spacing w:before="240" w:after="100" w:afterAutospacing="1" w:line="276" w:lineRule="auto"/>
              <w:ind w:left="466"/>
              <w:rPr>
                <w:rFonts w:ascii="Arial" w:hAnsi="Arial" w:cs="Arial"/>
                <w:sz w:val="22"/>
              </w:rPr>
            </w:pPr>
          </w:p>
          <w:p w:rsidR="00A24C94" w:rsidRP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 xml:space="preserve">Placing your AMP on your department or agency’s website, and publishing performance reports against the KPIs in your department or agency’s annual report, demonstrates your department or agency’s commitment to accountability and enables a more objectively based analysis of </w:t>
            </w:r>
            <w:r w:rsidR="009537A8" w:rsidRPr="00A24C94">
              <w:rPr>
                <w:rFonts w:ascii="Arial" w:hAnsi="Arial" w:cs="Arial"/>
                <w:sz w:val="22"/>
              </w:rPr>
              <w:t xml:space="preserve">department and </w:t>
            </w:r>
            <w:r w:rsidR="00A24C94">
              <w:rPr>
                <w:rFonts w:ascii="Arial" w:hAnsi="Arial" w:cs="Arial"/>
                <w:sz w:val="22"/>
              </w:rPr>
              <w:t>agency performance.</w:t>
            </w:r>
          </w:p>
          <w:p w:rsidR="00A24C94" w:rsidRPr="00A24C94" w:rsidRDefault="00A24C94" w:rsidP="00A24C94">
            <w:pPr>
              <w:pStyle w:val="ListParagraph"/>
              <w:spacing w:line="276" w:lineRule="auto"/>
              <w:ind w:left="466"/>
              <w:rPr>
                <w:rFonts w:ascii="Arial" w:hAnsi="Arial" w:cs="Arial"/>
                <w:sz w:val="22"/>
              </w:rPr>
            </w:pPr>
          </w:p>
          <w:p w:rsidR="00D97212" w:rsidRPr="00A24C94" w:rsidRDefault="005E74C1" w:rsidP="00A24C94">
            <w:pPr>
              <w:pStyle w:val="ListParagraph"/>
              <w:numPr>
                <w:ilvl w:val="0"/>
                <w:numId w:val="18"/>
              </w:numPr>
              <w:spacing w:line="276" w:lineRule="auto"/>
              <w:ind w:left="466" w:hanging="395"/>
              <w:rPr>
                <w:rFonts w:ascii="Arial" w:hAnsi="Arial" w:cs="Arial"/>
                <w:sz w:val="22"/>
              </w:rPr>
            </w:pPr>
            <w:r w:rsidRPr="00A24C94">
              <w:rPr>
                <w:rFonts w:ascii="Arial" w:hAnsi="Arial" w:cs="Arial"/>
                <w:sz w:val="22"/>
              </w:rPr>
              <w:t>Transparency regarding the diverse communities with which your department or agency interacts helps build trust with communities, demonstrates your department or agency’s understanding and commitment to serving their needs and allows other departments and agencies and the public to better understand how the work of your department or agency contributes to building Australia’s successful multicultural society.</w:t>
            </w:r>
          </w:p>
        </w:tc>
      </w:tr>
    </w:tbl>
    <w:p w:rsidR="00B1774D" w:rsidRPr="00B401F4" w:rsidRDefault="00B1774D" w:rsidP="00B401F4">
      <w:bookmarkStart w:id="3" w:name="_Toc223262726"/>
    </w:p>
    <w:bookmarkEnd w:id="3"/>
    <w:sectPr w:rsidR="00B1774D" w:rsidRPr="00B401F4" w:rsidSect="00F223CD">
      <w:headerReference w:type="first" r:id="rId9"/>
      <w:footerReference w:type="first" r:id="rId10"/>
      <w:pgSz w:w="11906" w:h="16838"/>
      <w:pgMar w:top="567" w:right="1133"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C0" w:rsidRDefault="00BF6AC0" w:rsidP="002E610D">
      <w:pPr>
        <w:spacing w:after="0" w:line="240" w:lineRule="auto"/>
      </w:pPr>
      <w:r>
        <w:separator/>
      </w:r>
    </w:p>
  </w:endnote>
  <w:endnote w:type="continuationSeparator" w:id="0">
    <w:p w:rsidR="00BF6AC0" w:rsidRDefault="00BF6AC0" w:rsidP="002E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3745030"/>
      <w:docPartObj>
        <w:docPartGallery w:val="Page Numbers (Bottom of Page)"/>
        <w:docPartUnique/>
      </w:docPartObj>
    </w:sdtPr>
    <w:sdtEndPr>
      <w:rPr>
        <w:color w:val="E36C0A" w:themeColor="accent6" w:themeShade="BF"/>
      </w:rPr>
    </w:sdtEndPr>
    <w:sdtContent>
      <w:p w:rsidR="00BF6AC0" w:rsidRPr="00A27954" w:rsidRDefault="00BF6AC0">
        <w:pPr>
          <w:pStyle w:val="Footer"/>
          <w:jc w:val="right"/>
          <w:rPr>
            <w:color w:val="E36C0A" w:themeColor="accent6" w:themeShade="BF"/>
            <w:sz w:val="20"/>
            <w:szCs w:val="20"/>
          </w:rPr>
        </w:pPr>
        <w:r w:rsidRPr="00BF6AC0">
          <w:rPr>
            <w:sz w:val="20"/>
            <w:szCs w:val="20"/>
          </w:rPr>
          <w:t xml:space="preserve">Page | </w:t>
        </w:r>
        <w:r w:rsidRPr="00BF6AC0">
          <w:fldChar w:fldCharType="begin"/>
        </w:r>
        <w:r w:rsidRPr="00BF6AC0">
          <w:instrText xml:space="preserve"> PAGE   \* MERGEFORMAT </w:instrText>
        </w:r>
        <w:r w:rsidRPr="00BF6AC0">
          <w:fldChar w:fldCharType="separate"/>
        </w:r>
        <w:r w:rsidR="00B401F4" w:rsidRPr="00B401F4">
          <w:rPr>
            <w:noProof/>
            <w:sz w:val="20"/>
            <w:szCs w:val="20"/>
          </w:rPr>
          <w:t>1</w:t>
        </w:r>
        <w:r w:rsidRPr="00BF6AC0">
          <w:rPr>
            <w:noProof/>
            <w:sz w:val="20"/>
            <w:szCs w:val="20"/>
          </w:rPr>
          <w:fldChar w:fldCharType="end"/>
        </w:r>
        <w:r w:rsidRPr="00BF6AC0">
          <w:rPr>
            <w:sz w:val="20"/>
            <w:szCs w:val="20"/>
          </w:rPr>
          <w:t xml:space="preserve"> </w:t>
        </w:r>
      </w:p>
    </w:sdtContent>
  </w:sdt>
  <w:p w:rsidR="00BF6AC0" w:rsidRDefault="00BF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C0" w:rsidRDefault="00BF6AC0" w:rsidP="002E610D">
      <w:pPr>
        <w:spacing w:after="0" w:line="240" w:lineRule="auto"/>
      </w:pPr>
      <w:r>
        <w:separator/>
      </w:r>
    </w:p>
  </w:footnote>
  <w:footnote w:type="continuationSeparator" w:id="0">
    <w:p w:rsidR="00BF6AC0" w:rsidRDefault="00BF6AC0" w:rsidP="002E6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C0" w:rsidRPr="00BF6AC0" w:rsidRDefault="00BF6AC0" w:rsidP="00930016">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7C1"/>
    <w:multiLevelType w:val="multilevel"/>
    <w:tmpl w:val="4F4C87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73F35A2"/>
    <w:multiLevelType w:val="hybridMultilevel"/>
    <w:tmpl w:val="6B647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20F67"/>
    <w:multiLevelType w:val="hybridMultilevel"/>
    <w:tmpl w:val="7B90D9F6"/>
    <w:lvl w:ilvl="0" w:tplc="1FDA5A56">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5498"/>
    <w:multiLevelType w:val="multilevel"/>
    <w:tmpl w:val="4F4C871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B7B2E99"/>
    <w:multiLevelType w:val="multilevel"/>
    <w:tmpl w:val="4F4C87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D2E2381"/>
    <w:multiLevelType w:val="hybridMultilevel"/>
    <w:tmpl w:val="4BCAFBE0"/>
    <w:lvl w:ilvl="0" w:tplc="691CB9A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25229"/>
    <w:multiLevelType w:val="multilevel"/>
    <w:tmpl w:val="4F4C871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4CF4C87"/>
    <w:multiLevelType w:val="hybridMultilevel"/>
    <w:tmpl w:val="4C2C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AB639C"/>
    <w:multiLevelType w:val="multilevel"/>
    <w:tmpl w:val="3072EE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32756F25"/>
    <w:multiLevelType w:val="multilevel"/>
    <w:tmpl w:val="4F4C87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6D71480"/>
    <w:multiLevelType w:val="hybridMultilevel"/>
    <w:tmpl w:val="1E260042"/>
    <w:lvl w:ilvl="0" w:tplc="9A00670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DD725A"/>
    <w:multiLevelType w:val="hybridMultilevel"/>
    <w:tmpl w:val="718458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56F7EEE"/>
    <w:multiLevelType w:val="hybridMultilevel"/>
    <w:tmpl w:val="F8A434F0"/>
    <w:lvl w:ilvl="0" w:tplc="1BCCBDC2">
      <w:start w:val="1"/>
      <w:numFmt w:val="decimal"/>
      <w:lvlText w:val="%1."/>
      <w:lvlJc w:val="left"/>
      <w:pPr>
        <w:ind w:left="643" w:hanging="360"/>
      </w:pPr>
      <w:rPr>
        <w:rFonts w:hint="default"/>
        <w:b w:val="0"/>
        <w:sz w:val="28"/>
        <w:szCs w:val="28"/>
      </w:rPr>
    </w:lvl>
    <w:lvl w:ilvl="1" w:tplc="0C090003" w:tentative="1">
      <w:start w:val="1"/>
      <w:numFmt w:val="bullet"/>
      <w:lvlText w:val="o"/>
      <w:lvlJc w:val="left"/>
      <w:pPr>
        <w:ind w:left="8168" w:hanging="360"/>
      </w:pPr>
      <w:rPr>
        <w:rFonts w:ascii="Courier New" w:hAnsi="Courier New" w:cs="Arial" w:hint="default"/>
      </w:rPr>
    </w:lvl>
    <w:lvl w:ilvl="2" w:tplc="0C090005" w:tentative="1">
      <w:start w:val="1"/>
      <w:numFmt w:val="bullet"/>
      <w:lvlText w:val=""/>
      <w:lvlJc w:val="left"/>
      <w:pPr>
        <w:ind w:left="8888" w:hanging="360"/>
      </w:pPr>
      <w:rPr>
        <w:rFonts w:ascii="Wingdings" w:hAnsi="Wingdings" w:hint="default"/>
      </w:rPr>
    </w:lvl>
    <w:lvl w:ilvl="3" w:tplc="0C090001" w:tentative="1">
      <w:start w:val="1"/>
      <w:numFmt w:val="bullet"/>
      <w:lvlText w:val=""/>
      <w:lvlJc w:val="left"/>
      <w:pPr>
        <w:ind w:left="9608" w:hanging="360"/>
      </w:pPr>
      <w:rPr>
        <w:rFonts w:ascii="Symbol" w:hAnsi="Symbol" w:hint="default"/>
      </w:rPr>
    </w:lvl>
    <w:lvl w:ilvl="4" w:tplc="0C090003" w:tentative="1">
      <w:start w:val="1"/>
      <w:numFmt w:val="bullet"/>
      <w:lvlText w:val="o"/>
      <w:lvlJc w:val="left"/>
      <w:pPr>
        <w:ind w:left="10328" w:hanging="360"/>
      </w:pPr>
      <w:rPr>
        <w:rFonts w:ascii="Courier New" w:hAnsi="Courier New" w:cs="Arial" w:hint="default"/>
      </w:rPr>
    </w:lvl>
    <w:lvl w:ilvl="5" w:tplc="0C090005" w:tentative="1">
      <w:start w:val="1"/>
      <w:numFmt w:val="bullet"/>
      <w:lvlText w:val=""/>
      <w:lvlJc w:val="left"/>
      <w:pPr>
        <w:ind w:left="11048" w:hanging="360"/>
      </w:pPr>
      <w:rPr>
        <w:rFonts w:ascii="Wingdings" w:hAnsi="Wingdings" w:hint="default"/>
      </w:rPr>
    </w:lvl>
    <w:lvl w:ilvl="6" w:tplc="0C090001" w:tentative="1">
      <w:start w:val="1"/>
      <w:numFmt w:val="bullet"/>
      <w:lvlText w:val=""/>
      <w:lvlJc w:val="left"/>
      <w:pPr>
        <w:ind w:left="11768" w:hanging="360"/>
      </w:pPr>
      <w:rPr>
        <w:rFonts w:ascii="Symbol" w:hAnsi="Symbol" w:hint="default"/>
      </w:rPr>
    </w:lvl>
    <w:lvl w:ilvl="7" w:tplc="0C090003" w:tentative="1">
      <w:start w:val="1"/>
      <w:numFmt w:val="bullet"/>
      <w:lvlText w:val="o"/>
      <w:lvlJc w:val="left"/>
      <w:pPr>
        <w:ind w:left="12488" w:hanging="360"/>
      </w:pPr>
      <w:rPr>
        <w:rFonts w:ascii="Courier New" w:hAnsi="Courier New" w:cs="Arial" w:hint="default"/>
      </w:rPr>
    </w:lvl>
    <w:lvl w:ilvl="8" w:tplc="0C090005" w:tentative="1">
      <w:start w:val="1"/>
      <w:numFmt w:val="bullet"/>
      <w:lvlText w:val=""/>
      <w:lvlJc w:val="left"/>
      <w:pPr>
        <w:ind w:left="13208" w:hanging="360"/>
      </w:pPr>
      <w:rPr>
        <w:rFonts w:ascii="Wingdings" w:hAnsi="Wingdings" w:hint="default"/>
      </w:rPr>
    </w:lvl>
  </w:abstractNum>
  <w:abstractNum w:abstractNumId="13">
    <w:nsid w:val="4E3178CE"/>
    <w:multiLevelType w:val="hybridMultilevel"/>
    <w:tmpl w:val="ACE8BF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C54E4"/>
    <w:multiLevelType w:val="hybridMultilevel"/>
    <w:tmpl w:val="0794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1E217D"/>
    <w:multiLevelType w:val="hybridMultilevel"/>
    <w:tmpl w:val="4C0E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917CE4"/>
    <w:multiLevelType w:val="hybridMultilevel"/>
    <w:tmpl w:val="FB56951C"/>
    <w:lvl w:ilvl="0" w:tplc="9A00670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801844"/>
    <w:multiLevelType w:val="hybridMultilevel"/>
    <w:tmpl w:val="6FB26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6"/>
  </w:num>
  <w:num w:numId="5">
    <w:abstractNumId w:val="15"/>
  </w:num>
  <w:num w:numId="6">
    <w:abstractNumId w:val="8"/>
  </w:num>
  <w:num w:numId="7">
    <w:abstractNumId w:val="11"/>
  </w:num>
  <w:num w:numId="8">
    <w:abstractNumId w:val="0"/>
  </w:num>
  <w:num w:numId="9">
    <w:abstractNumId w:val="4"/>
  </w:num>
  <w:num w:numId="10">
    <w:abstractNumId w:val="9"/>
  </w:num>
  <w:num w:numId="11">
    <w:abstractNumId w:val="6"/>
  </w:num>
  <w:num w:numId="12">
    <w:abstractNumId w:val="3"/>
  </w:num>
  <w:num w:numId="13">
    <w:abstractNumId w:val="2"/>
  </w:num>
  <w:num w:numId="14">
    <w:abstractNumId w:val="13"/>
  </w:num>
  <w:num w:numId="15">
    <w:abstractNumId w:val="7"/>
  </w:num>
  <w:num w:numId="16">
    <w:abstractNumId w:val="14"/>
  </w:num>
  <w:num w:numId="17">
    <w:abstractNumId w:val="17"/>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9B"/>
    <w:rsid w:val="000013F2"/>
    <w:rsid w:val="0001247D"/>
    <w:rsid w:val="00013838"/>
    <w:rsid w:val="00014F04"/>
    <w:rsid w:val="0001695B"/>
    <w:rsid w:val="000212DD"/>
    <w:rsid w:val="00021C5E"/>
    <w:rsid w:val="0002617C"/>
    <w:rsid w:val="0002656A"/>
    <w:rsid w:val="0003559E"/>
    <w:rsid w:val="000365A6"/>
    <w:rsid w:val="00036EB5"/>
    <w:rsid w:val="000415EE"/>
    <w:rsid w:val="000455ED"/>
    <w:rsid w:val="00047BEB"/>
    <w:rsid w:val="00051F40"/>
    <w:rsid w:val="000520A8"/>
    <w:rsid w:val="00052A0A"/>
    <w:rsid w:val="00056259"/>
    <w:rsid w:val="00056280"/>
    <w:rsid w:val="00063DD2"/>
    <w:rsid w:val="00077087"/>
    <w:rsid w:val="0008199B"/>
    <w:rsid w:val="00085182"/>
    <w:rsid w:val="000911CE"/>
    <w:rsid w:val="0009302A"/>
    <w:rsid w:val="000A3B59"/>
    <w:rsid w:val="000A5FD7"/>
    <w:rsid w:val="000B1014"/>
    <w:rsid w:val="000B2480"/>
    <w:rsid w:val="000B2701"/>
    <w:rsid w:val="000B2DD6"/>
    <w:rsid w:val="000B60E8"/>
    <w:rsid w:val="000C4702"/>
    <w:rsid w:val="000C5AA6"/>
    <w:rsid w:val="000D5B23"/>
    <w:rsid w:val="000D6C83"/>
    <w:rsid w:val="000E0B71"/>
    <w:rsid w:val="000E1582"/>
    <w:rsid w:val="000E176F"/>
    <w:rsid w:val="000E4E13"/>
    <w:rsid w:val="000E64D8"/>
    <w:rsid w:val="000F398B"/>
    <w:rsid w:val="000F4B2D"/>
    <w:rsid w:val="00101849"/>
    <w:rsid w:val="00103D8E"/>
    <w:rsid w:val="00106853"/>
    <w:rsid w:val="00114633"/>
    <w:rsid w:val="00115C3E"/>
    <w:rsid w:val="00121639"/>
    <w:rsid w:val="0012290E"/>
    <w:rsid w:val="001245C9"/>
    <w:rsid w:val="0013219D"/>
    <w:rsid w:val="00141887"/>
    <w:rsid w:val="001420F6"/>
    <w:rsid w:val="0014478F"/>
    <w:rsid w:val="00150ADA"/>
    <w:rsid w:val="00150C15"/>
    <w:rsid w:val="001524AA"/>
    <w:rsid w:val="00154630"/>
    <w:rsid w:val="00160416"/>
    <w:rsid w:val="0016432D"/>
    <w:rsid w:val="00164341"/>
    <w:rsid w:val="00165F98"/>
    <w:rsid w:val="00166C75"/>
    <w:rsid w:val="00167286"/>
    <w:rsid w:val="00180217"/>
    <w:rsid w:val="00182F2F"/>
    <w:rsid w:val="00183828"/>
    <w:rsid w:val="00196F2C"/>
    <w:rsid w:val="001A3F44"/>
    <w:rsid w:val="001B00F1"/>
    <w:rsid w:val="001C07D1"/>
    <w:rsid w:val="001C3816"/>
    <w:rsid w:val="001D40C7"/>
    <w:rsid w:val="001D59BF"/>
    <w:rsid w:val="001E3220"/>
    <w:rsid w:val="001E3DB5"/>
    <w:rsid w:val="001F43EE"/>
    <w:rsid w:val="001F54FC"/>
    <w:rsid w:val="001F599A"/>
    <w:rsid w:val="001F5C6A"/>
    <w:rsid w:val="00213A3E"/>
    <w:rsid w:val="00215018"/>
    <w:rsid w:val="00221499"/>
    <w:rsid w:val="002219FC"/>
    <w:rsid w:val="002231E7"/>
    <w:rsid w:val="00223FE8"/>
    <w:rsid w:val="00233246"/>
    <w:rsid w:val="00233A37"/>
    <w:rsid w:val="0023768C"/>
    <w:rsid w:val="002501DC"/>
    <w:rsid w:val="00251AC6"/>
    <w:rsid w:val="00251B04"/>
    <w:rsid w:val="00254B1D"/>
    <w:rsid w:val="00262EE3"/>
    <w:rsid w:val="00262F4E"/>
    <w:rsid w:val="00264328"/>
    <w:rsid w:val="0027054C"/>
    <w:rsid w:val="002803B7"/>
    <w:rsid w:val="00281D41"/>
    <w:rsid w:val="002830CB"/>
    <w:rsid w:val="00287FB1"/>
    <w:rsid w:val="00291D06"/>
    <w:rsid w:val="00295898"/>
    <w:rsid w:val="002A331D"/>
    <w:rsid w:val="002A67C6"/>
    <w:rsid w:val="002B2136"/>
    <w:rsid w:val="002B6413"/>
    <w:rsid w:val="002C17F7"/>
    <w:rsid w:val="002C1BFF"/>
    <w:rsid w:val="002C6275"/>
    <w:rsid w:val="002C6468"/>
    <w:rsid w:val="002C6854"/>
    <w:rsid w:val="002D4C6C"/>
    <w:rsid w:val="002D5853"/>
    <w:rsid w:val="002E610D"/>
    <w:rsid w:val="002F6CB1"/>
    <w:rsid w:val="002F7915"/>
    <w:rsid w:val="002F7A9B"/>
    <w:rsid w:val="00305791"/>
    <w:rsid w:val="00307481"/>
    <w:rsid w:val="00312823"/>
    <w:rsid w:val="00314503"/>
    <w:rsid w:val="0031475A"/>
    <w:rsid w:val="00327CD7"/>
    <w:rsid w:val="003305E8"/>
    <w:rsid w:val="00334613"/>
    <w:rsid w:val="003411FE"/>
    <w:rsid w:val="0034519D"/>
    <w:rsid w:val="003515CA"/>
    <w:rsid w:val="00353D1C"/>
    <w:rsid w:val="00354E75"/>
    <w:rsid w:val="0036119D"/>
    <w:rsid w:val="00370BDB"/>
    <w:rsid w:val="00375F73"/>
    <w:rsid w:val="00377B6D"/>
    <w:rsid w:val="00380F79"/>
    <w:rsid w:val="00381437"/>
    <w:rsid w:val="0038714C"/>
    <w:rsid w:val="00391CD8"/>
    <w:rsid w:val="003A1BF1"/>
    <w:rsid w:val="003A6A8C"/>
    <w:rsid w:val="003B04B8"/>
    <w:rsid w:val="003C7B7B"/>
    <w:rsid w:val="003D00C4"/>
    <w:rsid w:val="003D799A"/>
    <w:rsid w:val="003E084C"/>
    <w:rsid w:val="003E180A"/>
    <w:rsid w:val="003E2E23"/>
    <w:rsid w:val="003E63F9"/>
    <w:rsid w:val="003F4478"/>
    <w:rsid w:val="003F5CD9"/>
    <w:rsid w:val="003F73D6"/>
    <w:rsid w:val="003F7DCB"/>
    <w:rsid w:val="00400E3E"/>
    <w:rsid w:val="0040543E"/>
    <w:rsid w:val="0041167F"/>
    <w:rsid w:val="004137FF"/>
    <w:rsid w:val="00421E88"/>
    <w:rsid w:val="004232E1"/>
    <w:rsid w:val="00425C0E"/>
    <w:rsid w:val="004314A2"/>
    <w:rsid w:val="004317C0"/>
    <w:rsid w:val="00434964"/>
    <w:rsid w:val="00437A11"/>
    <w:rsid w:val="00442932"/>
    <w:rsid w:val="0044346C"/>
    <w:rsid w:val="00444DE2"/>
    <w:rsid w:val="004502A2"/>
    <w:rsid w:val="00450318"/>
    <w:rsid w:val="0046114F"/>
    <w:rsid w:val="00463ED8"/>
    <w:rsid w:val="004641BA"/>
    <w:rsid w:val="004644C2"/>
    <w:rsid w:val="00465769"/>
    <w:rsid w:val="0047436A"/>
    <w:rsid w:val="00476E6F"/>
    <w:rsid w:val="00491768"/>
    <w:rsid w:val="0049183C"/>
    <w:rsid w:val="004A019B"/>
    <w:rsid w:val="004A1102"/>
    <w:rsid w:val="004A3144"/>
    <w:rsid w:val="004A3D9B"/>
    <w:rsid w:val="004A6937"/>
    <w:rsid w:val="004A6E40"/>
    <w:rsid w:val="004A7F9F"/>
    <w:rsid w:val="004B3C94"/>
    <w:rsid w:val="004C0549"/>
    <w:rsid w:val="004C7B93"/>
    <w:rsid w:val="004D3A91"/>
    <w:rsid w:val="004D4648"/>
    <w:rsid w:val="004E2F85"/>
    <w:rsid w:val="004E330C"/>
    <w:rsid w:val="004E71ED"/>
    <w:rsid w:val="004E7442"/>
    <w:rsid w:val="004F4352"/>
    <w:rsid w:val="00500503"/>
    <w:rsid w:val="0050088D"/>
    <w:rsid w:val="00500D87"/>
    <w:rsid w:val="005076C5"/>
    <w:rsid w:val="00511ECD"/>
    <w:rsid w:val="00514B51"/>
    <w:rsid w:val="00526C5B"/>
    <w:rsid w:val="00531615"/>
    <w:rsid w:val="00537484"/>
    <w:rsid w:val="0054486E"/>
    <w:rsid w:val="00545799"/>
    <w:rsid w:val="00550785"/>
    <w:rsid w:val="00550ABB"/>
    <w:rsid w:val="00554036"/>
    <w:rsid w:val="00561369"/>
    <w:rsid w:val="0056216B"/>
    <w:rsid w:val="0056289B"/>
    <w:rsid w:val="00563FFE"/>
    <w:rsid w:val="00567227"/>
    <w:rsid w:val="00571D84"/>
    <w:rsid w:val="00575945"/>
    <w:rsid w:val="00582A03"/>
    <w:rsid w:val="00583B7F"/>
    <w:rsid w:val="00584C86"/>
    <w:rsid w:val="005920E5"/>
    <w:rsid w:val="005962E9"/>
    <w:rsid w:val="005A5290"/>
    <w:rsid w:val="005A5566"/>
    <w:rsid w:val="005C133D"/>
    <w:rsid w:val="005C50F9"/>
    <w:rsid w:val="005D01B1"/>
    <w:rsid w:val="005D2B42"/>
    <w:rsid w:val="005D437B"/>
    <w:rsid w:val="005E3801"/>
    <w:rsid w:val="005E3B21"/>
    <w:rsid w:val="005E5CC3"/>
    <w:rsid w:val="005E6EC3"/>
    <w:rsid w:val="005E74C1"/>
    <w:rsid w:val="005F192C"/>
    <w:rsid w:val="005F4F44"/>
    <w:rsid w:val="005F7AAA"/>
    <w:rsid w:val="00600D8D"/>
    <w:rsid w:val="00604469"/>
    <w:rsid w:val="0061142B"/>
    <w:rsid w:val="0061353C"/>
    <w:rsid w:val="00614A95"/>
    <w:rsid w:val="006154D5"/>
    <w:rsid w:val="00617016"/>
    <w:rsid w:val="00620769"/>
    <w:rsid w:val="0062096C"/>
    <w:rsid w:val="00626320"/>
    <w:rsid w:val="00630301"/>
    <w:rsid w:val="0063476E"/>
    <w:rsid w:val="00634E45"/>
    <w:rsid w:val="006369A5"/>
    <w:rsid w:val="00637B69"/>
    <w:rsid w:val="00641477"/>
    <w:rsid w:val="00643A32"/>
    <w:rsid w:val="00651C87"/>
    <w:rsid w:val="00662EDC"/>
    <w:rsid w:val="00663F57"/>
    <w:rsid w:val="00664E44"/>
    <w:rsid w:val="00666214"/>
    <w:rsid w:val="00666DD1"/>
    <w:rsid w:val="0067003A"/>
    <w:rsid w:val="00673181"/>
    <w:rsid w:val="006806B2"/>
    <w:rsid w:val="006825C7"/>
    <w:rsid w:val="00686ED6"/>
    <w:rsid w:val="00687B13"/>
    <w:rsid w:val="00687EF3"/>
    <w:rsid w:val="0069542D"/>
    <w:rsid w:val="006B03A7"/>
    <w:rsid w:val="006B3425"/>
    <w:rsid w:val="006C0F60"/>
    <w:rsid w:val="006C2FA9"/>
    <w:rsid w:val="006C3BEB"/>
    <w:rsid w:val="006D0358"/>
    <w:rsid w:val="006E0A90"/>
    <w:rsid w:val="006E350B"/>
    <w:rsid w:val="006E68BE"/>
    <w:rsid w:val="006E6B81"/>
    <w:rsid w:val="006E6C1A"/>
    <w:rsid w:val="006F0866"/>
    <w:rsid w:val="007016E4"/>
    <w:rsid w:val="00705A54"/>
    <w:rsid w:val="00705CE4"/>
    <w:rsid w:val="00706434"/>
    <w:rsid w:val="00713A63"/>
    <w:rsid w:val="00716BD2"/>
    <w:rsid w:val="00723332"/>
    <w:rsid w:val="00726678"/>
    <w:rsid w:val="00733B1F"/>
    <w:rsid w:val="00735E6F"/>
    <w:rsid w:val="0073713A"/>
    <w:rsid w:val="0074033A"/>
    <w:rsid w:val="00741C04"/>
    <w:rsid w:val="00742037"/>
    <w:rsid w:val="0074219B"/>
    <w:rsid w:val="00742822"/>
    <w:rsid w:val="007441BB"/>
    <w:rsid w:val="0074554F"/>
    <w:rsid w:val="00750312"/>
    <w:rsid w:val="00754810"/>
    <w:rsid w:val="00761F1F"/>
    <w:rsid w:val="00763D15"/>
    <w:rsid w:val="00767155"/>
    <w:rsid w:val="00774575"/>
    <w:rsid w:val="00775E77"/>
    <w:rsid w:val="00776A54"/>
    <w:rsid w:val="00787C63"/>
    <w:rsid w:val="00791D62"/>
    <w:rsid w:val="00793393"/>
    <w:rsid w:val="00793791"/>
    <w:rsid w:val="0079447B"/>
    <w:rsid w:val="007A3055"/>
    <w:rsid w:val="007A4FEA"/>
    <w:rsid w:val="007A58B1"/>
    <w:rsid w:val="007A760B"/>
    <w:rsid w:val="007A7842"/>
    <w:rsid w:val="007A7909"/>
    <w:rsid w:val="007A7A01"/>
    <w:rsid w:val="007B004B"/>
    <w:rsid w:val="007B2A57"/>
    <w:rsid w:val="007B2C22"/>
    <w:rsid w:val="007B7201"/>
    <w:rsid w:val="007C0F99"/>
    <w:rsid w:val="007C5DAE"/>
    <w:rsid w:val="007C751A"/>
    <w:rsid w:val="007D33AC"/>
    <w:rsid w:val="007D4C22"/>
    <w:rsid w:val="007E14A1"/>
    <w:rsid w:val="007E5720"/>
    <w:rsid w:val="00800FAB"/>
    <w:rsid w:val="008040EC"/>
    <w:rsid w:val="00804EA6"/>
    <w:rsid w:val="008138E3"/>
    <w:rsid w:val="00833D88"/>
    <w:rsid w:val="00837D0E"/>
    <w:rsid w:val="008431BA"/>
    <w:rsid w:val="00843CA4"/>
    <w:rsid w:val="008443CA"/>
    <w:rsid w:val="00844E3F"/>
    <w:rsid w:val="00844FB8"/>
    <w:rsid w:val="008471BF"/>
    <w:rsid w:val="008505A6"/>
    <w:rsid w:val="008568D3"/>
    <w:rsid w:val="00860115"/>
    <w:rsid w:val="00863128"/>
    <w:rsid w:val="00864084"/>
    <w:rsid w:val="00865516"/>
    <w:rsid w:val="00867E62"/>
    <w:rsid w:val="00867EBC"/>
    <w:rsid w:val="00870C1C"/>
    <w:rsid w:val="00872446"/>
    <w:rsid w:val="00873F22"/>
    <w:rsid w:val="00875514"/>
    <w:rsid w:val="00875DEF"/>
    <w:rsid w:val="00877A4E"/>
    <w:rsid w:val="0088024C"/>
    <w:rsid w:val="00881EB4"/>
    <w:rsid w:val="00885BA9"/>
    <w:rsid w:val="008A145D"/>
    <w:rsid w:val="008A5CAB"/>
    <w:rsid w:val="008A700C"/>
    <w:rsid w:val="008B184B"/>
    <w:rsid w:val="008B30C4"/>
    <w:rsid w:val="008B3C2F"/>
    <w:rsid w:val="008C24D4"/>
    <w:rsid w:val="008D0888"/>
    <w:rsid w:val="008D49BE"/>
    <w:rsid w:val="008D6653"/>
    <w:rsid w:val="008E02A9"/>
    <w:rsid w:val="008E7769"/>
    <w:rsid w:val="008F6D7E"/>
    <w:rsid w:val="00901415"/>
    <w:rsid w:val="00901562"/>
    <w:rsid w:val="00902671"/>
    <w:rsid w:val="0091003D"/>
    <w:rsid w:val="00914466"/>
    <w:rsid w:val="00914F86"/>
    <w:rsid w:val="00923414"/>
    <w:rsid w:val="00924DFF"/>
    <w:rsid w:val="00930016"/>
    <w:rsid w:val="0093123C"/>
    <w:rsid w:val="00936AD4"/>
    <w:rsid w:val="00941E13"/>
    <w:rsid w:val="00942ECE"/>
    <w:rsid w:val="00943608"/>
    <w:rsid w:val="009515A0"/>
    <w:rsid w:val="00952397"/>
    <w:rsid w:val="00952D0E"/>
    <w:rsid w:val="009537A8"/>
    <w:rsid w:val="009607B3"/>
    <w:rsid w:val="0096208E"/>
    <w:rsid w:val="00965E7A"/>
    <w:rsid w:val="00967821"/>
    <w:rsid w:val="009736AD"/>
    <w:rsid w:val="00973DA6"/>
    <w:rsid w:val="009860A1"/>
    <w:rsid w:val="00987A38"/>
    <w:rsid w:val="00992635"/>
    <w:rsid w:val="009A7FC4"/>
    <w:rsid w:val="009B3580"/>
    <w:rsid w:val="009B3D84"/>
    <w:rsid w:val="009C0E4E"/>
    <w:rsid w:val="009C559C"/>
    <w:rsid w:val="009C56A2"/>
    <w:rsid w:val="009D1151"/>
    <w:rsid w:val="009D3A8E"/>
    <w:rsid w:val="009E0BA2"/>
    <w:rsid w:val="009E15C3"/>
    <w:rsid w:val="009E3559"/>
    <w:rsid w:val="009E3E98"/>
    <w:rsid w:val="009E4690"/>
    <w:rsid w:val="009E5BA5"/>
    <w:rsid w:val="009E5F31"/>
    <w:rsid w:val="00A026D5"/>
    <w:rsid w:val="00A054E3"/>
    <w:rsid w:val="00A0676B"/>
    <w:rsid w:val="00A1580C"/>
    <w:rsid w:val="00A201FE"/>
    <w:rsid w:val="00A20FE2"/>
    <w:rsid w:val="00A21295"/>
    <w:rsid w:val="00A21317"/>
    <w:rsid w:val="00A24C94"/>
    <w:rsid w:val="00A250CE"/>
    <w:rsid w:val="00A2679D"/>
    <w:rsid w:val="00A27954"/>
    <w:rsid w:val="00A341DE"/>
    <w:rsid w:val="00A41597"/>
    <w:rsid w:val="00A442A8"/>
    <w:rsid w:val="00A479C0"/>
    <w:rsid w:val="00A50684"/>
    <w:rsid w:val="00A56F6E"/>
    <w:rsid w:val="00A61819"/>
    <w:rsid w:val="00A62308"/>
    <w:rsid w:val="00A63537"/>
    <w:rsid w:val="00A63AF3"/>
    <w:rsid w:val="00A73057"/>
    <w:rsid w:val="00A743F4"/>
    <w:rsid w:val="00A76B17"/>
    <w:rsid w:val="00A814CB"/>
    <w:rsid w:val="00A844D3"/>
    <w:rsid w:val="00A8720B"/>
    <w:rsid w:val="00A90594"/>
    <w:rsid w:val="00A92449"/>
    <w:rsid w:val="00A962DC"/>
    <w:rsid w:val="00A97819"/>
    <w:rsid w:val="00A97846"/>
    <w:rsid w:val="00AA0C86"/>
    <w:rsid w:val="00AA1158"/>
    <w:rsid w:val="00AA1C98"/>
    <w:rsid w:val="00AA48E5"/>
    <w:rsid w:val="00AB1067"/>
    <w:rsid w:val="00AB6E2F"/>
    <w:rsid w:val="00AB7CE8"/>
    <w:rsid w:val="00AB7D1F"/>
    <w:rsid w:val="00AC138C"/>
    <w:rsid w:val="00AC16F2"/>
    <w:rsid w:val="00AC2099"/>
    <w:rsid w:val="00AD0FA5"/>
    <w:rsid w:val="00AD101D"/>
    <w:rsid w:val="00AD1CF7"/>
    <w:rsid w:val="00AD264D"/>
    <w:rsid w:val="00AD2E95"/>
    <w:rsid w:val="00AD46DA"/>
    <w:rsid w:val="00AD6E40"/>
    <w:rsid w:val="00AE3345"/>
    <w:rsid w:val="00AE630D"/>
    <w:rsid w:val="00AE6C23"/>
    <w:rsid w:val="00AF2993"/>
    <w:rsid w:val="00AF2D1B"/>
    <w:rsid w:val="00AF3469"/>
    <w:rsid w:val="00AF7561"/>
    <w:rsid w:val="00B0058D"/>
    <w:rsid w:val="00B014C6"/>
    <w:rsid w:val="00B01E96"/>
    <w:rsid w:val="00B03227"/>
    <w:rsid w:val="00B06215"/>
    <w:rsid w:val="00B065D8"/>
    <w:rsid w:val="00B10293"/>
    <w:rsid w:val="00B105BB"/>
    <w:rsid w:val="00B1774D"/>
    <w:rsid w:val="00B244E0"/>
    <w:rsid w:val="00B2542A"/>
    <w:rsid w:val="00B26633"/>
    <w:rsid w:val="00B3464D"/>
    <w:rsid w:val="00B34A09"/>
    <w:rsid w:val="00B401F4"/>
    <w:rsid w:val="00B4021A"/>
    <w:rsid w:val="00B56A42"/>
    <w:rsid w:val="00B56E0A"/>
    <w:rsid w:val="00B60A2B"/>
    <w:rsid w:val="00B617C8"/>
    <w:rsid w:val="00B62E94"/>
    <w:rsid w:val="00B63919"/>
    <w:rsid w:val="00B65748"/>
    <w:rsid w:val="00B659B0"/>
    <w:rsid w:val="00B72960"/>
    <w:rsid w:val="00B91FD3"/>
    <w:rsid w:val="00B955A3"/>
    <w:rsid w:val="00BA05BD"/>
    <w:rsid w:val="00BA45DF"/>
    <w:rsid w:val="00BA478D"/>
    <w:rsid w:val="00BA6FCC"/>
    <w:rsid w:val="00BA7548"/>
    <w:rsid w:val="00BB06C0"/>
    <w:rsid w:val="00BB1263"/>
    <w:rsid w:val="00BB217E"/>
    <w:rsid w:val="00BB2E11"/>
    <w:rsid w:val="00BB2F3F"/>
    <w:rsid w:val="00BB3C96"/>
    <w:rsid w:val="00BB422C"/>
    <w:rsid w:val="00BB5896"/>
    <w:rsid w:val="00BB5CA8"/>
    <w:rsid w:val="00BB64F5"/>
    <w:rsid w:val="00BC164F"/>
    <w:rsid w:val="00BC2E38"/>
    <w:rsid w:val="00BC6EA5"/>
    <w:rsid w:val="00BD45B3"/>
    <w:rsid w:val="00BD4B97"/>
    <w:rsid w:val="00BD7700"/>
    <w:rsid w:val="00BE3A69"/>
    <w:rsid w:val="00BE61D6"/>
    <w:rsid w:val="00BF138F"/>
    <w:rsid w:val="00BF51C3"/>
    <w:rsid w:val="00BF638B"/>
    <w:rsid w:val="00BF6AC0"/>
    <w:rsid w:val="00BF70F3"/>
    <w:rsid w:val="00C059D4"/>
    <w:rsid w:val="00C0762E"/>
    <w:rsid w:val="00C100DD"/>
    <w:rsid w:val="00C127FC"/>
    <w:rsid w:val="00C13B18"/>
    <w:rsid w:val="00C23D6D"/>
    <w:rsid w:val="00C313A5"/>
    <w:rsid w:val="00C31E94"/>
    <w:rsid w:val="00C3313A"/>
    <w:rsid w:val="00C3584D"/>
    <w:rsid w:val="00C3732B"/>
    <w:rsid w:val="00C4561D"/>
    <w:rsid w:val="00C45E81"/>
    <w:rsid w:val="00C464F0"/>
    <w:rsid w:val="00C5431E"/>
    <w:rsid w:val="00C629AA"/>
    <w:rsid w:val="00C65830"/>
    <w:rsid w:val="00C66E11"/>
    <w:rsid w:val="00C66FCA"/>
    <w:rsid w:val="00C730A7"/>
    <w:rsid w:val="00C76319"/>
    <w:rsid w:val="00C77880"/>
    <w:rsid w:val="00C77D55"/>
    <w:rsid w:val="00C8531B"/>
    <w:rsid w:val="00C85A65"/>
    <w:rsid w:val="00C86057"/>
    <w:rsid w:val="00C90C0E"/>
    <w:rsid w:val="00C92B34"/>
    <w:rsid w:val="00CA2453"/>
    <w:rsid w:val="00CA2CCA"/>
    <w:rsid w:val="00CA2EF8"/>
    <w:rsid w:val="00CA346E"/>
    <w:rsid w:val="00CA56F9"/>
    <w:rsid w:val="00CA76B9"/>
    <w:rsid w:val="00CB29A8"/>
    <w:rsid w:val="00CB2AEF"/>
    <w:rsid w:val="00CC1337"/>
    <w:rsid w:val="00CC14B9"/>
    <w:rsid w:val="00CC1A56"/>
    <w:rsid w:val="00CC2D3C"/>
    <w:rsid w:val="00CC77F7"/>
    <w:rsid w:val="00CD1763"/>
    <w:rsid w:val="00CD2CA0"/>
    <w:rsid w:val="00CE0926"/>
    <w:rsid w:val="00CE216D"/>
    <w:rsid w:val="00CE547B"/>
    <w:rsid w:val="00CE79A1"/>
    <w:rsid w:val="00CF3811"/>
    <w:rsid w:val="00CF6E2F"/>
    <w:rsid w:val="00D0002B"/>
    <w:rsid w:val="00D03502"/>
    <w:rsid w:val="00D07C39"/>
    <w:rsid w:val="00D120A6"/>
    <w:rsid w:val="00D172C3"/>
    <w:rsid w:val="00D243F2"/>
    <w:rsid w:val="00D2597E"/>
    <w:rsid w:val="00D26388"/>
    <w:rsid w:val="00D307E9"/>
    <w:rsid w:val="00D369AE"/>
    <w:rsid w:val="00D371C2"/>
    <w:rsid w:val="00D37F0B"/>
    <w:rsid w:val="00D411D0"/>
    <w:rsid w:val="00D42FF7"/>
    <w:rsid w:val="00D43386"/>
    <w:rsid w:val="00D4566B"/>
    <w:rsid w:val="00D46A66"/>
    <w:rsid w:val="00D5324E"/>
    <w:rsid w:val="00D549B1"/>
    <w:rsid w:val="00D56B47"/>
    <w:rsid w:val="00D57614"/>
    <w:rsid w:val="00D624B1"/>
    <w:rsid w:val="00D63DD2"/>
    <w:rsid w:val="00D65A05"/>
    <w:rsid w:val="00D73CA3"/>
    <w:rsid w:val="00D834C2"/>
    <w:rsid w:val="00D93AF9"/>
    <w:rsid w:val="00D97212"/>
    <w:rsid w:val="00DA1259"/>
    <w:rsid w:val="00DB10C3"/>
    <w:rsid w:val="00DB1B4B"/>
    <w:rsid w:val="00DB23DC"/>
    <w:rsid w:val="00DB2AFB"/>
    <w:rsid w:val="00DB4C49"/>
    <w:rsid w:val="00DB4ED1"/>
    <w:rsid w:val="00DC2730"/>
    <w:rsid w:val="00DD6DF7"/>
    <w:rsid w:val="00DE1D95"/>
    <w:rsid w:val="00DE2D12"/>
    <w:rsid w:val="00DE5498"/>
    <w:rsid w:val="00E06362"/>
    <w:rsid w:val="00E221E4"/>
    <w:rsid w:val="00E246C3"/>
    <w:rsid w:val="00E27E26"/>
    <w:rsid w:val="00E27F5A"/>
    <w:rsid w:val="00E320E8"/>
    <w:rsid w:val="00E34163"/>
    <w:rsid w:val="00E40229"/>
    <w:rsid w:val="00E4310A"/>
    <w:rsid w:val="00E43B10"/>
    <w:rsid w:val="00E46667"/>
    <w:rsid w:val="00E50232"/>
    <w:rsid w:val="00E50425"/>
    <w:rsid w:val="00E51C2D"/>
    <w:rsid w:val="00E60198"/>
    <w:rsid w:val="00E66A09"/>
    <w:rsid w:val="00E74D62"/>
    <w:rsid w:val="00E7732C"/>
    <w:rsid w:val="00E77B35"/>
    <w:rsid w:val="00E906F4"/>
    <w:rsid w:val="00E9602B"/>
    <w:rsid w:val="00EA2E4B"/>
    <w:rsid w:val="00EA5103"/>
    <w:rsid w:val="00EB04D3"/>
    <w:rsid w:val="00EB3FCE"/>
    <w:rsid w:val="00ED7252"/>
    <w:rsid w:val="00EE0A55"/>
    <w:rsid w:val="00EE1BF0"/>
    <w:rsid w:val="00EE2617"/>
    <w:rsid w:val="00EE4013"/>
    <w:rsid w:val="00EE4597"/>
    <w:rsid w:val="00EE4C26"/>
    <w:rsid w:val="00EF10E8"/>
    <w:rsid w:val="00EF127A"/>
    <w:rsid w:val="00EF7788"/>
    <w:rsid w:val="00EF7C44"/>
    <w:rsid w:val="00F008A4"/>
    <w:rsid w:val="00F02D23"/>
    <w:rsid w:val="00F06AE0"/>
    <w:rsid w:val="00F077C4"/>
    <w:rsid w:val="00F10E68"/>
    <w:rsid w:val="00F11D68"/>
    <w:rsid w:val="00F1267F"/>
    <w:rsid w:val="00F13421"/>
    <w:rsid w:val="00F15BE4"/>
    <w:rsid w:val="00F223CD"/>
    <w:rsid w:val="00F2729A"/>
    <w:rsid w:val="00F276A0"/>
    <w:rsid w:val="00F36E2D"/>
    <w:rsid w:val="00F438C4"/>
    <w:rsid w:val="00F43AF8"/>
    <w:rsid w:val="00F5236B"/>
    <w:rsid w:val="00F52FDE"/>
    <w:rsid w:val="00F62824"/>
    <w:rsid w:val="00F66D00"/>
    <w:rsid w:val="00F67CF0"/>
    <w:rsid w:val="00F700EA"/>
    <w:rsid w:val="00F75EE4"/>
    <w:rsid w:val="00F819EC"/>
    <w:rsid w:val="00F821C7"/>
    <w:rsid w:val="00F843F9"/>
    <w:rsid w:val="00F85719"/>
    <w:rsid w:val="00F86EF2"/>
    <w:rsid w:val="00F9401E"/>
    <w:rsid w:val="00FA16A8"/>
    <w:rsid w:val="00FA1DF1"/>
    <w:rsid w:val="00FA4525"/>
    <w:rsid w:val="00FA456A"/>
    <w:rsid w:val="00FB0BF7"/>
    <w:rsid w:val="00FB125D"/>
    <w:rsid w:val="00FB4FC3"/>
    <w:rsid w:val="00FB7742"/>
    <w:rsid w:val="00FC13A8"/>
    <w:rsid w:val="00FD0844"/>
    <w:rsid w:val="00FD157C"/>
    <w:rsid w:val="00FD6BCD"/>
    <w:rsid w:val="00FE7613"/>
    <w:rsid w:val="00FF232A"/>
    <w:rsid w:val="00FF78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HTML Cite" w:uiPriority="99"/>
    <w:lsdException w:name="No List" w:uiPriority="99"/>
    <w:lsdException w:name="List Paragraph" w:uiPriority="34" w:qFormat="1"/>
  </w:latentStyles>
  <w:style w:type="paragraph" w:default="1" w:styleId="Normal">
    <w:name w:val="Normal"/>
    <w:qFormat/>
    <w:rsid w:val="00F15BE4"/>
    <w:pPr>
      <w:spacing w:after="120" w:line="360" w:lineRule="auto"/>
    </w:pPr>
    <w:rPr>
      <w:rFonts w:ascii="Calibri" w:hAnsi="Calibri"/>
      <w:sz w:val="24"/>
    </w:rPr>
  </w:style>
  <w:style w:type="paragraph" w:styleId="Heading1">
    <w:name w:val="heading 1"/>
    <w:basedOn w:val="Normal"/>
    <w:next w:val="Normal"/>
    <w:link w:val="Heading1Char"/>
    <w:uiPriority w:val="9"/>
    <w:qFormat/>
    <w:rsid w:val="00D4566B"/>
    <w:pPr>
      <w:keepNext/>
      <w:keepLines/>
      <w:spacing w:before="120"/>
      <w:outlineLvl w:val="0"/>
    </w:pPr>
    <w:rPr>
      <w:rFonts w:ascii="Arial" w:eastAsiaTheme="majorEastAsia" w:hAnsi="Arial"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4A7F9F"/>
    <w:pPr>
      <w:keepNext/>
      <w:spacing w:before="120"/>
      <w:outlineLvl w:val="1"/>
    </w:pPr>
    <w:rPr>
      <w:rFonts w:ascii="Arial" w:eastAsia="Calibri" w:hAnsi="Arial" w:cstheme="minorHAnsi"/>
      <w:b/>
      <w:noProof/>
      <w:color w:val="365F91" w:themeColor="accent1" w:themeShade="BF"/>
      <w:sz w:val="28"/>
      <w:szCs w:val="32"/>
      <w:lang w:eastAsia="en-AU"/>
    </w:rPr>
  </w:style>
  <w:style w:type="paragraph" w:styleId="Heading3">
    <w:name w:val="heading 3"/>
    <w:basedOn w:val="Normal"/>
    <w:next w:val="Normal"/>
    <w:link w:val="Heading3Char"/>
    <w:uiPriority w:val="9"/>
    <w:unhideWhenUsed/>
    <w:qFormat/>
    <w:rsid w:val="00D93AF9"/>
    <w:pPr>
      <w:keepNext/>
      <w:keepLines/>
      <w:spacing w:before="120"/>
      <w:outlineLvl w:val="2"/>
    </w:pPr>
    <w:rPr>
      <w:rFonts w:eastAsiaTheme="majorEastAsia"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62E9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A0D16"/>
    <w:rPr>
      <w:rFonts w:ascii="Lucida Grande" w:hAnsi="Lucida Grande"/>
      <w:sz w:val="18"/>
      <w:szCs w:val="18"/>
    </w:rPr>
  </w:style>
  <w:style w:type="paragraph" w:styleId="ListParagraph">
    <w:name w:val="List Paragraph"/>
    <w:basedOn w:val="Normal"/>
    <w:uiPriority w:val="34"/>
    <w:qFormat/>
    <w:rsid w:val="00B62E94"/>
    <w:pPr>
      <w:ind w:left="720"/>
      <w:contextualSpacing/>
    </w:pPr>
  </w:style>
  <w:style w:type="character" w:customStyle="1" w:styleId="BalloonTextChar1">
    <w:name w:val="Balloon Text Char1"/>
    <w:basedOn w:val="DefaultParagraphFont"/>
    <w:link w:val="BalloonText"/>
    <w:uiPriority w:val="99"/>
    <w:semiHidden/>
    <w:rsid w:val="00B62E94"/>
    <w:rPr>
      <w:rFonts w:ascii="Tahoma" w:hAnsi="Tahoma" w:cs="Tahoma"/>
      <w:sz w:val="16"/>
      <w:szCs w:val="16"/>
    </w:rPr>
  </w:style>
  <w:style w:type="character" w:styleId="Hyperlink">
    <w:name w:val="Hyperlink"/>
    <w:basedOn w:val="DefaultParagraphFont"/>
    <w:uiPriority w:val="99"/>
    <w:unhideWhenUsed/>
    <w:rsid w:val="00FB4FC3"/>
    <w:rPr>
      <w:rFonts w:ascii="Calibri" w:hAnsi="Calibri"/>
      <w:i/>
      <w:color w:val="0000FF" w:themeColor="hyperlink"/>
      <w:sz w:val="20"/>
      <w:u w:val="single"/>
    </w:rPr>
  </w:style>
  <w:style w:type="character" w:styleId="FollowedHyperlink">
    <w:name w:val="FollowedHyperlink"/>
    <w:basedOn w:val="DefaultParagraphFont"/>
    <w:uiPriority w:val="99"/>
    <w:semiHidden/>
    <w:unhideWhenUsed/>
    <w:rsid w:val="00630301"/>
    <w:rPr>
      <w:color w:val="800080" w:themeColor="followedHyperlink"/>
      <w:u w:val="single"/>
    </w:rPr>
  </w:style>
  <w:style w:type="paragraph" w:styleId="FootnoteText">
    <w:name w:val="footnote text"/>
    <w:basedOn w:val="Normal"/>
    <w:link w:val="FootnoteTextChar"/>
    <w:uiPriority w:val="99"/>
    <w:semiHidden/>
    <w:unhideWhenUsed/>
    <w:rsid w:val="002E6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10D"/>
    <w:rPr>
      <w:rFonts w:ascii="Calibri" w:hAnsi="Calibri"/>
      <w:sz w:val="20"/>
      <w:szCs w:val="20"/>
    </w:rPr>
  </w:style>
  <w:style w:type="character" w:styleId="FootnoteReference">
    <w:name w:val="footnote reference"/>
    <w:basedOn w:val="DefaultParagraphFont"/>
    <w:uiPriority w:val="99"/>
    <w:semiHidden/>
    <w:unhideWhenUsed/>
    <w:rsid w:val="002E610D"/>
    <w:rPr>
      <w:vertAlign w:val="superscript"/>
    </w:rPr>
  </w:style>
  <w:style w:type="character" w:styleId="CommentReference">
    <w:name w:val="annotation reference"/>
    <w:basedOn w:val="DefaultParagraphFont"/>
    <w:uiPriority w:val="99"/>
    <w:semiHidden/>
    <w:unhideWhenUsed/>
    <w:rsid w:val="00C4561D"/>
    <w:rPr>
      <w:sz w:val="16"/>
      <w:szCs w:val="16"/>
    </w:rPr>
  </w:style>
  <w:style w:type="paragraph" w:styleId="CommentText">
    <w:name w:val="annotation text"/>
    <w:basedOn w:val="Normal"/>
    <w:link w:val="CommentTextChar"/>
    <w:uiPriority w:val="99"/>
    <w:semiHidden/>
    <w:unhideWhenUsed/>
    <w:rsid w:val="00C4561D"/>
    <w:pPr>
      <w:spacing w:line="240" w:lineRule="auto"/>
    </w:pPr>
    <w:rPr>
      <w:sz w:val="20"/>
      <w:szCs w:val="20"/>
    </w:rPr>
  </w:style>
  <w:style w:type="character" w:customStyle="1" w:styleId="CommentTextChar">
    <w:name w:val="Comment Text Char"/>
    <w:basedOn w:val="DefaultParagraphFont"/>
    <w:link w:val="CommentText"/>
    <w:uiPriority w:val="99"/>
    <w:semiHidden/>
    <w:rsid w:val="00C456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4561D"/>
    <w:rPr>
      <w:b/>
      <w:bCs/>
    </w:rPr>
  </w:style>
  <w:style w:type="character" w:customStyle="1" w:styleId="CommentSubjectChar">
    <w:name w:val="Comment Subject Char"/>
    <w:basedOn w:val="CommentTextChar"/>
    <w:link w:val="CommentSubject"/>
    <w:uiPriority w:val="99"/>
    <w:semiHidden/>
    <w:rsid w:val="00C4561D"/>
    <w:rPr>
      <w:rFonts w:ascii="Calibri" w:hAnsi="Calibri"/>
      <w:b/>
      <w:bCs/>
      <w:sz w:val="20"/>
      <w:szCs w:val="20"/>
    </w:rPr>
  </w:style>
  <w:style w:type="character" w:customStyle="1" w:styleId="Heading2Char">
    <w:name w:val="Heading 2 Char"/>
    <w:basedOn w:val="DefaultParagraphFont"/>
    <w:link w:val="Heading2"/>
    <w:uiPriority w:val="9"/>
    <w:rsid w:val="004A7F9F"/>
    <w:rPr>
      <w:rFonts w:ascii="Arial" w:eastAsia="Calibri" w:hAnsi="Arial" w:cstheme="minorHAnsi"/>
      <w:b/>
      <w:noProof/>
      <w:color w:val="365F91" w:themeColor="accent1" w:themeShade="BF"/>
      <w:sz w:val="28"/>
      <w:szCs w:val="32"/>
      <w:lang w:eastAsia="en-AU"/>
    </w:rPr>
  </w:style>
  <w:style w:type="character" w:customStyle="1" w:styleId="Heading1Char">
    <w:name w:val="Heading 1 Char"/>
    <w:basedOn w:val="DefaultParagraphFont"/>
    <w:link w:val="Heading1"/>
    <w:uiPriority w:val="9"/>
    <w:rsid w:val="00D4566B"/>
    <w:rPr>
      <w:rFonts w:ascii="Arial" w:eastAsiaTheme="majorEastAsia" w:hAnsi="Arial" w:cstheme="majorBidi"/>
      <w:b/>
      <w:bCs/>
      <w:color w:val="365F91" w:themeColor="accent1" w:themeShade="BF"/>
      <w:sz w:val="36"/>
      <w:szCs w:val="28"/>
    </w:rPr>
  </w:style>
  <w:style w:type="paragraph" w:styleId="Header">
    <w:name w:val="header"/>
    <w:basedOn w:val="Normal"/>
    <w:link w:val="HeaderChar"/>
    <w:uiPriority w:val="99"/>
    <w:unhideWhenUsed/>
    <w:rsid w:val="003E6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F9"/>
    <w:rPr>
      <w:rFonts w:ascii="Calibri" w:hAnsi="Calibri"/>
    </w:rPr>
  </w:style>
  <w:style w:type="paragraph" w:styleId="Footer">
    <w:name w:val="footer"/>
    <w:basedOn w:val="Normal"/>
    <w:link w:val="FooterChar"/>
    <w:uiPriority w:val="99"/>
    <w:unhideWhenUsed/>
    <w:rsid w:val="003E6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F9"/>
    <w:rPr>
      <w:rFonts w:ascii="Calibri" w:hAnsi="Calibri"/>
    </w:rPr>
  </w:style>
  <w:style w:type="paragraph" w:styleId="Revision">
    <w:name w:val="Revision"/>
    <w:hidden/>
    <w:uiPriority w:val="99"/>
    <w:semiHidden/>
    <w:rsid w:val="0031475A"/>
    <w:pPr>
      <w:spacing w:after="0" w:line="240" w:lineRule="auto"/>
    </w:pPr>
    <w:rPr>
      <w:rFonts w:ascii="Calibri" w:hAnsi="Calibri"/>
    </w:rPr>
  </w:style>
  <w:style w:type="character" w:styleId="Strong">
    <w:name w:val="Strong"/>
    <w:basedOn w:val="DefaultParagraphFont"/>
    <w:uiPriority w:val="22"/>
    <w:qFormat/>
    <w:rsid w:val="0088024C"/>
    <w:rPr>
      <w:b/>
      <w:bCs/>
    </w:rPr>
  </w:style>
  <w:style w:type="character" w:customStyle="1" w:styleId="Heading3Char">
    <w:name w:val="Heading 3 Char"/>
    <w:basedOn w:val="DefaultParagraphFont"/>
    <w:link w:val="Heading3"/>
    <w:uiPriority w:val="9"/>
    <w:rsid w:val="00D93AF9"/>
    <w:rPr>
      <w:rFonts w:ascii="Calibri" w:eastAsiaTheme="majorEastAsia" w:hAnsi="Calibri" w:cstheme="majorBidi"/>
      <w:b/>
      <w:bCs/>
      <w:color w:val="365F91" w:themeColor="accent1" w:themeShade="BF"/>
      <w:sz w:val="24"/>
    </w:rPr>
  </w:style>
  <w:style w:type="table" w:styleId="TableGrid">
    <w:name w:val="Table Grid"/>
    <w:basedOn w:val="TableNormal"/>
    <w:uiPriority w:val="59"/>
    <w:rsid w:val="003B0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D46DA"/>
    <w:pPr>
      <w:outlineLvl w:val="9"/>
    </w:pPr>
    <w:rPr>
      <w:lang w:val="en-US" w:eastAsia="ja-JP"/>
    </w:rPr>
  </w:style>
  <w:style w:type="paragraph" w:styleId="TOC2">
    <w:name w:val="toc 2"/>
    <w:basedOn w:val="Normal"/>
    <w:next w:val="Normal"/>
    <w:autoRedefine/>
    <w:uiPriority w:val="39"/>
    <w:unhideWhenUsed/>
    <w:rsid w:val="00AD46DA"/>
    <w:pPr>
      <w:spacing w:after="100"/>
      <w:ind w:left="220"/>
    </w:pPr>
  </w:style>
  <w:style w:type="paragraph" w:styleId="TOC3">
    <w:name w:val="toc 3"/>
    <w:basedOn w:val="Normal"/>
    <w:next w:val="Normal"/>
    <w:autoRedefine/>
    <w:uiPriority w:val="39"/>
    <w:unhideWhenUsed/>
    <w:rsid w:val="00AD46DA"/>
    <w:pPr>
      <w:spacing w:after="100"/>
      <w:ind w:left="440"/>
    </w:pPr>
  </w:style>
  <w:style w:type="table" w:customStyle="1" w:styleId="TableGrid1">
    <w:name w:val="Table Grid1"/>
    <w:basedOn w:val="TableNormal"/>
    <w:next w:val="TableGrid"/>
    <w:uiPriority w:val="59"/>
    <w:rsid w:val="004C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
    <w:name w:val="Normal-bullet"/>
    <w:basedOn w:val="Normal"/>
    <w:rsid w:val="00A0676B"/>
    <w:pPr>
      <w:numPr>
        <w:numId w:val="13"/>
      </w:numPr>
    </w:pPr>
  </w:style>
  <w:style w:type="paragraph" w:styleId="TOC1">
    <w:name w:val="toc 1"/>
    <w:basedOn w:val="Normal"/>
    <w:next w:val="Normal"/>
    <w:autoRedefine/>
    <w:uiPriority w:val="39"/>
    <w:rsid w:val="001E3DB5"/>
    <w:pPr>
      <w:spacing w:after="100"/>
    </w:pPr>
  </w:style>
  <w:style w:type="paragraph" w:styleId="TOC4">
    <w:name w:val="toc 4"/>
    <w:basedOn w:val="Normal"/>
    <w:next w:val="Normal"/>
    <w:autoRedefine/>
    <w:uiPriority w:val="39"/>
    <w:unhideWhenUsed/>
    <w:rsid w:val="001E3DB5"/>
    <w:pPr>
      <w:spacing w:after="100" w:line="240" w:lineRule="auto"/>
      <w:ind w:left="720"/>
    </w:pPr>
    <w:rPr>
      <w:rFonts w:asciiTheme="minorHAnsi" w:eastAsiaTheme="minorEastAsia" w:hAnsiTheme="minorHAnsi"/>
      <w:szCs w:val="24"/>
      <w:lang w:val="en-US"/>
    </w:rPr>
  </w:style>
  <w:style w:type="paragraph" w:styleId="TOC5">
    <w:name w:val="toc 5"/>
    <w:basedOn w:val="Normal"/>
    <w:next w:val="Normal"/>
    <w:autoRedefine/>
    <w:uiPriority w:val="39"/>
    <w:unhideWhenUsed/>
    <w:rsid w:val="001E3DB5"/>
    <w:pPr>
      <w:spacing w:after="100" w:line="240" w:lineRule="auto"/>
      <w:ind w:left="960"/>
    </w:pPr>
    <w:rPr>
      <w:rFonts w:asciiTheme="minorHAnsi" w:eastAsiaTheme="minorEastAsia" w:hAnsiTheme="minorHAnsi"/>
      <w:szCs w:val="24"/>
      <w:lang w:val="en-US"/>
    </w:rPr>
  </w:style>
  <w:style w:type="paragraph" w:styleId="TOC6">
    <w:name w:val="toc 6"/>
    <w:basedOn w:val="Normal"/>
    <w:next w:val="Normal"/>
    <w:autoRedefine/>
    <w:uiPriority w:val="39"/>
    <w:unhideWhenUsed/>
    <w:rsid w:val="001E3DB5"/>
    <w:pPr>
      <w:spacing w:after="100" w:line="240" w:lineRule="auto"/>
      <w:ind w:left="1200"/>
    </w:pPr>
    <w:rPr>
      <w:rFonts w:asciiTheme="minorHAnsi" w:eastAsiaTheme="minorEastAsia" w:hAnsiTheme="minorHAnsi"/>
      <w:szCs w:val="24"/>
      <w:lang w:val="en-US"/>
    </w:rPr>
  </w:style>
  <w:style w:type="paragraph" w:styleId="TOC7">
    <w:name w:val="toc 7"/>
    <w:basedOn w:val="Normal"/>
    <w:next w:val="Normal"/>
    <w:autoRedefine/>
    <w:uiPriority w:val="39"/>
    <w:unhideWhenUsed/>
    <w:rsid w:val="001E3DB5"/>
    <w:pPr>
      <w:spacing w:after="100" w:line="240" w:lineRule="auto"/>
      <w:ind w:left="1440"/>
    </w:pPr>
    <w:rPr>
      <w:rFonts w:asciiTheme="minorHAnsi" w:eastAsiaTheme="minorEastAsia" w:hAnsiTheme="minorHAnsi"/>
      <w:szCs w:val="24"/>
      <w:lang w:val="en-US"/>
    </w:rPr>
  </w:style>
  <w:style w:type="paragraph" w:styleId="TOC8">
    <w:name w:val="toc 8"/>
    <w:basedOn w:val="Normal"/>
    <w:next w:val="Normal"/>
    <w:autoRedefine/>
    <w:uiPriority w:val="39"/>
    <w:unhideWhenUsed/>
    <w:rsid w:val="001E3DB5"/>
    <w:pPr>
      <w:spacing w:after="100" w:line="240" w:lineRule="auto"/>
      <w:ind w:left="1680"/>
    </w:pPr>
    <w:rPr>
      <w:rFonts w:asciiTheme="minorHAnsi" w:eastAsiaTheme="minorEastAsia" w:hAnsiTheme="minorHAnsi"/>
      <w:szCs w:val="24"/>
      <w:lang w:val="en-US"/>
    </w:rPr>
  </w:style>
  <w:style w:type="paragraph" w:styleId="TOC9">
    <w:name w:val="toc 9"/>
    <w:basedOn w:val="Normal"/>
    <w:next w:val="Normal"/>
    <w:autoRedefine/>
    <w:uiPriority w:val="39"/>
    <w:unhideWhenUsed/>
    <w:rsid w:val="001E3DB5"/>
    <w:pPr>
      <w:spacing w:after="100" w:line="240" w:lineRule="auto"/>
      <w:ind w:left="1920"/>
    </w:pPr>
    <w:rPr>
      <w:rFonts w:asciiTheme="minorHAnsi" w:eastAsiaTheme="minorEastAsia" w:hAnsiTheme="minorHAnsi"/>
      <w:szCs w:val="24"/>
      <w:lang w:val="en-US"/>
    </w:rPr>
  </w:style>
  <w:style w:type="character" w:customStyle="1" w:styleId="A1">
    <w:name w:val="A1"/>
    <w:uiPriority w:val="99"/>
    <w:rsid w:val="00CE79A1"/>
    <w:rPr>
      <w:rFonts w:cs="Helvetica Neue"/>
      <w:color w:val="FFFFFF"/>
      <w:sz w:val="16"/>
      <w:szCs w:val="16"/>
    </w:rPr>
  </w:style>
  <w:style w:type="character" w:styleId="HTMLCite">
    <w:name w:val="HTML Cite"/>
    <w:basedOn w:val="DefaultParagraphFont"/>
    <w:uiPriority w:val="99"/>
    <w:unhideWhenUsed/>
    <w:rsid w:val="00D307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HTML Cite" w:uiPriority="99"/>
    <w:lsdException w:name="No List" w:uiPriority="99"/>
    <w:lsdException w:name="List Paragraph" w:uiPriority="34" w:qFormat="1"/>
  </w:latentStyles>
  <w:style w:type="paragraph" w:default="1" w:styleId="Normal">
    <w:name w:val="Normal"/>
    <w:qFormat/>
    <w:rsid w:val="00F15BE4"/>
    <w:pPr>
      <w:spacing w:after="120" w:line="360" w:lineRule="auto"/>
    </w:pPr>
    <w:rPr>
      <w:rFonts w:ascii="Calibri" w:hAnsi="Calibri"/>
      <w:sz w:val="24"/>
    </w:rPr>
  </w:style>
  <w:style w:type="paragraph" w:styleId="Heading1">
    <w:name w:val="heading 1"/>
    <w:basedOn w:val="Normal"/>
    <w:next w:val="Normal"/>
    <w:link w:val="Heading1Char"/>
    <w:uiPriority w:val="9"/>
    <w:qFormat/>
    <w:rsid w:val="00D4566B"/>
    <w:pPr>
      <w:keepNext/>
      <w:keepLines/>
      <w:spacing w:before="120"/>
      <w:outlineLvl w:val="0"/>
    </w:pPr>
    <w:rPr>
      <w:rFonts w:ascii="Arial" w:eastAsiaTheme="majorEastAsia" w:hAnsi="Arial"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4A7F9F"/>
    <w:pPr>
      <w:keepNext/>
      <w:spacing w:before="120"/>
      <w:outlineLvl w:val="1"/>
    </w:pPr>
    <w:rPr>
      <w:rFonts w:ascii="Arial" w:eastAsia="Calibri" w:hAnsi="Arial" w:cstheme="minorHAnsi"/>
      <w:b/>
      <w:noProof/>
      <w:color w:val="365F91" w:themeColor="accent1" w:themeShade="BF"/>
      <w:sz w:val="28"/>
      <w:szCs w:val="32"/>
      <w:lang w:eastAsia="en-AU"/>
    </w:rPr>
  </w:style>
  <w:style w:type="paragraph" w:styleId="Heading3">
    <w:name w:val="heading 3"/>
    <w:basedOn w:val="Normal"/>
    <w:next w:val="Normal"/>
    <w:link w:val="Heading3Char"/>
    <w:uiPriority w:val="9"/>
    <w:unhideWhenUsed/>
    <w:qFormat/>
    <w:rsid w:val="00D93AF9"/>
    <w:pPr>
      <w:keepNext/>
      <w:keepLines/>
      <w:spacing w:before="120"/>
      <w:outlineLvl w:val="2"/>
    </w:pPr>
    <w:rPr>
      <w:rFonts w:eastAsiaTheme="majorEastAsia"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62E9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A0D16"/>
    <w:rPr>
      <w:rFonts w:ascii="Lucida Grande" w:hAnsi="Lucida Grande"/>
      <w:sz w:val="18"/>
      <w:szCs w:val="18"/>
    </w:rPr>
  </w:style>
  <w:style w:type="paragraph" w:styleId="ListParagraph">
    <w:name w:val="List Paragraph"/>
    <w:basedOn w:val="Normal"/>
    <w:uiPriority w:val="34"/>
    <w:qFormat/>
    <w:rsid w:val="00B62E94"/>
    <w:pPr>
      <w:ind w:left="720"/>
      <w:contextualSpacing/>
    </w:pPr>
  </w:style>
  <w:style w:type="character" w:customStyle="1" w:styleId="BalloonTextChar1">
    <w:name w:val="Balloon Text Char1"/>
    <w:basedOn w:val="DefaultParagraphFont"/>
    <w:link w:val="BalloonText"/>
    <w:uiPriority w:val="99"/>
    <w:semiHidden/>
    <w:rsid w:val="00B62E94"/>
    <w:rPr>
      <w:rFonts w:ascii="Tahoma" w:hAnsi="Tahoma" w:cs="Tahoma"/>
      <w:sz w:val="16"/>
      <w:szCs w:val="16"/>
    </w:rPr>
  </w:style>
  <w:style w:type="character" w:styleId="Hyperlink">
    <w:name w:val="Hyperlink"/>
    <w:basedOn w:val="DefaultParagraphFont"/>
    <w:uiPriority w:val="99"/>
    <w:unhideWhenUsed/>
    <w:rsid w:val="00FB4FC3"/>
    <w:rPr>
      <w:rFonts w:ascii="Calibri" w:hAnsi="Calibri"/>
      <w:i/>
      <w:color w:val="0000FF" w:themeColor="hyperlink"/>
      <w:sz w:val="20"/>
      <w:u w:val="single"/>
    </w:rPr>
  </w:style>
  <w:style w:type="character" w:styleId="FollowedHyperlink">
    <w:name w:val="FollowedHyperlink"/>
    <w:basedOn w:val="DefaultParagraphFont"/>
    <w:uiPriority w:val="99"/>
    <w:semiHidden/>
    <w:unhideWhenUsed/>
    <w:rsid w:val="00630301"/>
    <w:rPr>
      <w:color w:val="800080" w:themeColor="followedHyperlink"/>
      <w:u w:val="single"/>
    </w:rPr>
  </w:style>
  <w:style w:type="paragraph" w:styleId="FootnoteText">
    <w:name w:val="footnote text"/>
    <w:basedOn w:val="Normal"/>
    <w:link w:val="FootnoteTextChar"/>
    <w:uiPriority w:val="99"/>
    <w:semiHidden/>
    <w:unhideWhenUsed/>
    <w:rsid w:val="002E6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10D"/>
    <w:rPr>
      <w:rFonts w:ascii="Calibri" w:hAnsi="Calibri"/>
      <w:sz w:val="20"/>
      <w:szCs w:val="20"/>
    </w:rPr>
  </w:style>
  <w:style w:type="character" w:styleId="FootnoteReference">
    <w:name w:val="footnote reference"/>
    <w:basedOn w:val="DefaultParagraphFont"/>
    <w:uiPriority w:val="99"/>
    <w:semiHidden/>
    <w:unhideWhenUsed/>
    <w:rsid w:val="002E610D"/>
    <w:rPr>
      <w:vertAlign w:val="superscript"/>
    </w:rPr>
  </w:style>
  <w:style w:type="character" w:styleId="CommentReference">
    <w:name w:val="annotation reference"/>
    <w:basedOn w:val="DefaultParagraphFont"/>
    <w:uiPriority w:val="99"/>
    <w:semiHidden/>
    <w:unhideWhenUsed/>
    <w:rsid w:val="00C4561D"/>
    <w:rPr>
      <w:sz w:val="16"/>
      <w:szCs w:val="16"/>
    </w:rPr>
  </w:style>
  <w:style w:type="paragraph" w:styleId="CommentText">
    <w:name w:val="annotation text"/>
    <w:basedOn w:val="Normal"/>
    <w:link w:val="CommentTextChar"/>
    <w:uiPriority w:val="99"/>
    <w:semiHidden/>
    <w:unhideWhenUsed/>
    <w:rsid w:val="00C4561D"/>
    <w:pPr>
      <w:spacing w:line="240" w:lineRule="auto"/>
    </w:pPr>
    <w:rPr>
      <w:sz w:val="20"/>
      <w:szCs w:val="20"/>
    </w:rPr>
  </w:style>
  <w:style w:type="character" w:customStyle="1" w:styleId="CommentTextChar">
    <w:name w:val="Comment Text Char"/>
    <w:basedOn w:val="DefaultParagraphFont"/>
    <w:link w:val="CommentText"/>
    <w:uiPriority w:val="99"/>
    <w:semiHidden/>
    <w:rsid w:val="00C456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4561D"/>
    <w:rPr>
      <w:b/>
      <w:bCs/>
    </w:rPr>
  </w:style>
  <w:style w:type="character" w:customStyle="1" w:styleId="CommentSubjectChar">
    <w:name w:val="Comment Subject Char"/>
    <w:basedOn w:val="CommentTextChar"/>
    <w:link w:val="CommentSubject"/>
    <w:uiPriority w:val="99"/>
    <w:semiHidden/>
    <w:rsid w:val="00C4561D"/>
    <w:rPr>
      <w:rFonts w:ascii="Calibri" w:hAnsi="Calibri"/>
      <w:b/>
      <w:bCs/>
      <w:sz w:val="20"/>
      <w:szCs w:val="20"/>
    </w:rPr>
  </w:style>
  <w:style w:type="character" w:customStyle="1" w:styleId="Heading2Char">
    <w:name w:val="Heading 2 Char"/>
    <w:basedOn w:val="DefaultParagraphFont"/>
    <w:link w:val="Heading2"/>
    <w:uiPriority w:val="9"/>
    <w:rsid w:val="004A7F9F"/>
    <w:rPr>
      <w:rFonts w:ascii="Arial" w:eastAsia="Calibri" w:hAnsi="Arial" w:cstheme="minorHAnsi"/>
      <w:b/>
      <w:noProof/>
      <w:color w:val="365F91" w:themeColor="accent1" w:themeShade="BF"/>
      <w:sz w:val="28"/>
      <w:szCs w:val="32"/>
      <w:lang w:eastAsia="en-AU"/>
    </w:rPr>
  </w:style>
  <w:style w:type="character" w:customStyle="1" w:styleId="Heading1Char">
    <w:name w:val="Heading 1 Char"/>
    <w:basedOn w:val="DefaultParagraphFont"/>
    <w:link w:val="Heading1"/>
    <w:uiPriority w:val="9"/>
    <w:rsid w:val="00D4566B"/>
    <w:rPr>
      <w:rFonts w:ascii="Arial" w:eastAsiaTheme="majorEastAsia" w:hAnsi="Arial" w:cstheme="majorBidi"/>
      <w:b/>
      <w:bCs/>
      <w:color w:val="365F91" w:themeColor="accent1" w:themeShade="BF"/>
      <w:sz w:val="36"/>
      <w:szCs w:val="28"/>
    </w:rPr>
  </w:style>
  <w:style w:type="paragraph" w:styleId="Header">
    <w:name w:val="header"/>
    <w:basedOn w:val="Normal"/>
    <w:link w:val="HeaderChar"/>
    <w:uiPriority w:val="99"/>
    <w:unhideWhenUsed/>
    <w:rsid w:val="003E6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F9"/>
    <w:rPr>
      <w:rFonts w:ascii="Calibri" w:hAnsi="Calibri"/>
    </w:rPr>
  </w:style>
  <w:style w:type="paragraph" w:styleId="Footer">
    <w:name w:val="footer"/>
    <w:basedOn w:val="Normal"/>
    <w:link w:val="FooterChar"/>
    <w:uiPriority w:val="99"/>
    <w:unhideWhenUsed/>
    <w:rsid w:val="003E6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F9"/>
    <w:rPr>
      <w:rFonts w:ascii="Calibri" w:hAnsi="Calibri"/>
    </w:rPr>
  </w:style>
  <w:style w:type="paragraph" w:styleId="Revision">
    <w:name w:val="Revision"/>
    <w:hidden/>
    <w:uiPriority w:val="99"/>
    <w:semiHidden/>
    <w:rsid w:val="0031475A"/>
    <w:pPr>
      <w:spacing w:after="0" w:line="240" w:lineRule="auto"/>
    </w:pPr>
    <w:rPr>
      <w:rFonts w:ascii="Calibri" w:hAnsi="Calibri"/>
    </w:rPr>
  </w:style>
  <w:style w:type="character" w:styleId="Strong">
    <w:name w:val="Strong"/>
    <w:basedOn w:val="DefaultParagraphFont"/>
    <w:uiPriority w:val="22"/>
    <w:qFormat/>
    <w:rsid w:val="0088024C"/>
    <w:rPr>
      <w:b/>
      <w:bCs/>
    </w:rPr>
  </w:style>
  <w:style w:type="character" w:customStyle="1" w:styleId="Heading3Char">
    <w:name w:val="Heading 3 Char"/>
    <w:basedOn w:val="DefaultParagraphFont"/>
    <w:link w:val="Heading3"/>
    <w:uiPriority w:val="9"/>
    <w:rsid w:val="00D93AF9"/>
    <w:rPr>
      <w:rFonts w:ascii="Calibri" w:eastAsiaTheme="majorEastAsia" w:hAnsi="Calibri" w:cstheme="majorBidi"/>
      <w:b/>
      <w:bCs/>
      <w:color w:val="365F91" w:themeColor="accent1" w:themeShade="BF"/>
      <w:sz w:val="24"/>
    </w:rPr>
  </w:style>
  <w:style w:type="table" w:styleId="TableGrid">
    <w:name w:val="Table Grid"/>
    <w:basedOn w:val="TableNormal"/>
    <w:uiPriority w:val="59"/>
    <w:rsid w:val="003B0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D46DA"/>
    <w:pPr>
      <w:outlineLvl w:val="9"/>
    </w:pPr>
    <w:rPr>
      <w:lang w:val="en-US" w:eastAsia="ja-JP"/>
    </w:rPr>
  </w:style>
  <w:style w:type="paragraph" w:styleId="TOC2">
    <w:name w:val="toc 2"/>
    <w:basedOn w:val="Normal"/>
    <w:next w:val="Normal"/>
    <w:autoRedefine/>
    <w:uiPriority w:val="39"/>
    <w:unhideWhenUsed/>
    <w:rsid w:val="00AD46DA"/>
    <w:pPr>
      <w:spacing w:after="100"/>
      <w:ind w:left="220"/>
    </w:pPr>
  </w:style>
  <w:style w:type="paragraph" w:styleId="TOC3">
    <w:name w:val="toc 3"/>
    <w:basedOn w:val="Normal"/>
    <w:next w:val="Normal"/>
    <w:autoRedefine/>
    <w:uiPriority w:val="39"/>
    <w:unhideWhenUsed/>
    <w:rsid w:val="00AD46DA"/>
    <w:pPr>
      <w:spacing w:after="100"/>
      <w:ind w:left="440"/>
    </w:pPr>
  </w:style>
  <w:style w:type="table" w:customStyle="1" w:styleId="TableGrid1">
    <w:name w:val="Table Grid1"/>
    <w:basedOn w:val="TableNormal"/>
    <w:next w:val="TableGrid"/>
    <w:uiPriority w:val="59"/>
    <w:rsid w:val="004C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
    <w:name w:val="Normal-bullet"/>
    <w:basedOn w:val="Normal"/>
    <w:rsid w:val="00A0676B"/>
    <w:pPr>
      <w:numPr>
        <w:numId w:val="13"/>
      </w:numPr>
    </w:pPr>
  </w:style>
  <w:style w:type="paragraph" w:styleId="TOC1">
    <w:name w:val="toc 1"/>
    <w:basedOn w:val="Normal"/>
    <w:next w:val="Normal"/>
    <w:autoRedefine/>
    <w:uiPriority w:val="39"/>
    <w:rsid w:val="001E3DB5"/>
    <w:pPr>
      <w:spacing w:after="100"/>
    </w:pPr>
  </w:style>
  <w:style w:type="paragraph" w:styleId="TOC4">
    <w:name w:val="toc 4"/>
    <w:basedOn w:val="Normal"/>
    <w:next w:val="Normal"/>
    <w:autoRedefine/>
    <w:uiPriority w:val="39"/>
    <w:unhideWhenUsed/>
    <w:rsid w:val="001E3DB5"/>
    <w:pPr>
      <w:spacing w:after="100" w:line="240" w:lineRule="auto"/>
      <w:ind w:left="720"/>
    </w:pPr>
    <w:rPr>
      <w:rFonts w:asciiTheme="minorHAnsi" w:eastAsiaTheme="minorEastAsia" w:hAnsiTheme="minorHAnsi"/>
      <w:szCs w:val="24"/>
      <w:lang w:val="en-US"/>
    </w:rPr>
  </w:style>
  <w:style w:type="paragraph" w:styleId="TOC5">
    <w:name w:val="toc 5"/>
    <w:basedOn w:val="Normal"/>
    <w:next w:val="Normal"/>
    <w:autoRedefine/>
    <w:uiPriority w:val="39"/>
    <w:unhideWhenUsed/>
    <w:rsid w:val="001E3DB5"/>
    <w:pPr>
      <w:spacing w:after="100" w:line="240" w:lineRule="auto"/>
      <w:ind w:left="960"/>
    </w:pPr>
    <w:rPr>
      <w:rFonts w:asciiTheme="minorHAnsi" w:eastAsiaTheme="minorEastAsia" w:hAnsiTheme="minorHAnsi"/>
      <w:szCs w:val="24"/>
      <w:lang w:val="en-US"/>
    </w:rPr>
  </w:style>
  <w:style w:type="paragraph" w:styleId="TOC6">
    <w:name w:val="toc 6"/>
    <w:basedOn w:val="Normal"/>
    <w:next w:val="Normal"/>
    <w:autoRedefine/>
    <w:uiPriority w:val="39"/>
    <w:unhideWhenUsed/>
    <w:rsid w:val="001E3DB5"/>
    <w:pPr>
      <w:spacing w:after="100" w:line="240" w:lineRule="auto"/>
      <w:ind w:left="1200"/>
    </w:pPr>
    <w:rPr>
      <w:rFonts w:asciiTheme="minorHAnsi" w:eastAsiaTheme="minorEastAsia" w:hAnsiTheme="minorHAnsi"/>
      <w:szCs w:val="24"/>
      <w:lang w:val="en-US"/>
    </w:rPr>
  </w:style>
  <w:style w:type="paragraph" w:styleId="TOC7">
    <w:name w:val="toc 7"/>
    <w:basedOn w:val="Normal"/>
    <w:next w:val="Normal"/>
    <w:autoRedefine/>
    <w:uiPriority w:val="39"/>
    <w:unhideWhenUsed/>
    <w:rsid w:val="001E3DB5"/>
    <w:pPr>
      <w:spacing w:after="100" w:line="240" w:lineRule="auto"/>
      <w:ind w:left="1440"/>
    </w:pPr>
    <w:rPr>
      <w:rFonts w:asciiTheme="minorHAnsi" w:eastAsiaTheme="minorEastAsia" w:hAnsiTheme="minorHAnsi"/>
      <w:szCs w:val="24"/>
      <w:lang w:val="en-US"/>
    </w:rPr>
  </w:style>
  <w:style w:type="paragraph" w:styleId="TOC8">
    <w:name w:val="toc 8"/>
    <w:basedOn w:val="Normal"/>
    <w:next w:val="Normal"/>
    <w:autoRedefine/>
    <w:uiPriority w:val="39"/>
    <w:unhideWhenUsed/>
    <w:rsid w:val="001E3DB5"/>
    <w:pPr>
      <w:spacing w:after="100" w:line="240" w:lineRule="auto"/>
      <w:ind w:left="1680"/>
    </w:pPr>
    <w:rPr>
      <w:rFonts w:asciiTheme="minorHAnsi" w:eastAsiaTheme="minorEastAsia" w:hAnsiTheme="minorHAnsi"/>
      <w:szCs w:val="24"/>
      <w:lang w:val="en-US"/>
    </w:rPr>
  </w:style>
  <w:style w:type="paragraph" w:styleId="TOC9">
    <w:name w:val="toc 9"/>
    <w:basedOn w:val="Normal"/>
    <w:next w:val="Normal"/>
    <w:autoRedefine/>
    <w:uiPriority w:val="39"/>
    <w:unhideWhenUsed/>
    <w:rsid w:val="001E3DB5"/>
    <w:pPr>
      <w:spacing w:after="100" w:line="240" w:lineRule="auto"/>
      <w:ind w:left="1920"/>
    </w:pPr>
    <w:rPr>
      <w:rFonts w:asciiTheme="minorHAnsi" w:eastAsiaTheme="minorEastAsia" w:hAnsiTheme="minorHAnsi"/>
      <w:szCs w:val="24"/>
      <w:lang w:val="en-US"/>
    </w:rPr>
  </w:style>
  <w:style w:type="character" w:customStyle="1" w:styleId="A1">
    <w:name w:val="A1"/>
    <w:uiPriority w:val="99"/>
    <w:rsid w:val="00CE79A1"/>
    <w:rPr>
      <w:rFonts w:cs="Helvetica Neue"/>
      <w:color w:val="FFFFFF"/>
      <w:sz w:val="16"/>
      <w:szCs w:val="16"/>
    </w:rPr>
  </w:style>
  <w:style w:type="character" w:styleId="HTMLCite">
    <w:name w:val="HTML Cite"/>
    <w:basedOn w:val="DefaultParagraphFont"/>
    <w:uiPriority w:val="99"/>
    <w:unhideWhenUsed/>
    <w:rsid w:val="00D30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6331">
      <w:bodyDiv w:val="1"/>
      <w:marLeft w:val="0"/>
      <w:marRight w:val="0"/>
      <w:marTop w:val="0"/>
      <w:marBottom w:val="0"/>
      <w:divBdr>
        <w:top w:val="none" w:sz="0" w:space="0" w:color="auto"/>
        <w:left w:val="none" w:sz="0" w:space="0" w:color="auto"/>
        <w:bottom w:val="none" w:sz="0" w:space="0" w:color="auto"/>
        <w:right w:val="none" w:sz="0" w:space="0" w:color="auto"/>
      </w:divBdr>
      <w:divsChild>
        <w:div w:id="884945707">
          <w:marLeft w:val="0"/>
          <w:marRight w:val="0"/>
          <w:marTop w:val="0"/>
          <w:marBottom w:val="0"/>
          <w:divBdr>
            <w:top w:val="none" w:sz="0" w:space="0" w:color="auto"/>
            <w:left w:val="none" w:sz="0" w:space="0" w:color="auto"/>
            <w:bottom w:val="none" w:sz="0" w:space="0" w:color="auto"/>
            <w:right w:val="none" w:sz="0" w:space="0" w:color="auto"/>
          </w:divBdr>
          <w:divsChild>
            <w:div w:id="564799072">
              <w:marLeft w:val="0"/>
              <w:marRight w:val="0"/>
              <w:marTop w:val="0"/>
              <w:marBottom w:val="0"/>
              <w:divBdr>
                <w:top w:val="none" w:sz="0" w:space="0" w:color="auto"/>
                <w:left w:val="none" w:sz="0" w:space="0" w:color="auto"/>
                <w:bottom w:val="none" w:sz="0" w:space="0" w:color="auto"/>
                <w:right w:val="none" w:sz="0" w:space="0" w:color="auto"/>
              </w:divBdr>
              <w:divsChild>
                <w:div w:id="929658379">
                  <w:marLeft w:val="0"/>
                  <w:marRight w:val="0"/>
                  <w:marTop w:val="0"/>
                  <w:marBottom w:val="0"/>
                  <w:divBdr>
                    <w:top w:val="none" w:sz="0" w:space="0" w:color="auto"/>
                    <w:left w:val="none" w:sz="0" w:space="0" w:color="auto"/>
                    <w:bottom w:val="none" w:sz="0" w:space="0" w:color="auto"/>
                    <w:right w:val="none" w:sz="0" w:space="0" w:color="auto"/>
                  </w:divBdr>
                  <w:divsChild>
                    <w:div w:id="16279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3846">
      <w:bodyDiv w:val="1"/>
      <w:marLeft w:val="0"/>
      <w:marRight w:val="0"/>
      <w:marTop w:val="0"/>
      <w:marBottom w:val="0"/>
      <w:divBdr>
        <w:top w:val="none" w:sz="0" w:space="0" w:color="auto"/>
        <w:left w:val="none" w:sz="0" w:space="0" w:color="auto"/>
        <w:bottom w:val="none" w:sz="0" w:space="0" w:color="auto"/>
        <w:right w:val="none" w:sz="0" w:space="0" w:color="auto"/>
      </w:divBdr>
      <w:divsChild>
        <w:div w:id="856891471">
          <w:marLeft w:val="0"/>
          <w:marRight w:val="0"/>
          <w:marTop w:val="0"/>
          <w:marBottom w:val="0"/>
          <w:divBdr>
            <w:top w:val="none" w:sz="0" w:space="0" w:color="auto"/>
            <w:left w:val="none" w:sz="0" w:space="0" w:color="auto"/>
            <w:bottom w:val="none" w:sz="0" w:space="0" w:color="auto"/>
            <w:right w:val="none" w:sz="0" w:space="0" w:color="auto"/>
          </w:divBdr>
          <w:divsChild>
            <w:div w:id="1218972674">
              <w:marLeft w:val="0"/>
              <w:marRight w:val="0"/>
              <w:marTop w:val="0"/>
              <w:marBottom w:val="0"/>
              <w:divBdr>
                <w:top w:val="none" w:sz="0" w:space="0" w:color="auto"/>
                <w:left w:val="none" w:sz="0" w:space="0" w:color="auto"/>
                <w:bottom w:val="none" w:sz="0" w:space="0" w:color="auto"/>
                <w:right w:val="none" w:sz="0" w:space="0" w:color="auto"/>
              </w:divBdr>
              <w:divsChild>
                <w:div w:id="1079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2703">
      <w:bodyDiv w:val="1"/>
      <w:marLeft w:val="0"/>
      <w:marRight w:val="0"/>
      <w:marTop w:val="0"/>
      <w:marBottom w:val="0"/>
      <w:divBdr>
        <w:top w:val="none" w:sz="0" w:space="0" w:color="auto"/>
        <w:left w:val="none" w:sz="0" w:space="0" w:color="auto"/>
        <w:bottom w:val="none" w:sz="0" w:space="0" w:color="auto"/>
        <w:right w:val="none" w:sz="0" w:space="0" w:color="auto"/>
      </w:divBdr>
      <w:divsChild>
        <w:div w:id="1691223858">
          <w:marLeft w:val="0"/>
          <w:marRight w:val="0"/>
          <w:marTop w:val="0"/>
          <w:marBottom w:val="0"/>
          <w:divBdr>
            <w:top w:val="none" w:sz="0" w:space="0" w:color="auto"/>
            <w:left w:val="none" w:sz="0" w:space="0" w:color="auto"/>
            <w:bottom w:val="none" w:sz="0" w:space="0" w:color="auto"/>
            <w:right w:val="none" w:sz="0" w:space="0" w:color="auto"/>
          </w:divBdr>
          <w:divsChild>
            <w:div w:id="363871492">
              <w:marLeft w:val="0"/>
              <w:marRight w:val="0"/>
              <w:marTop w:val="0"/>
              <w:marBottom w:val="0"/>
              <w:divBdr>
                <w:top w:val="none" w:sz="0" w:space="0" w:color="auto"/>
                <w:left w:val="none" w:sz="0" w:space="0" w:color="auto"/>
                <w:bottom w:val="none" w:sz="0" w:space="0" w:color="auto"/>
                <w:right w:val="none" w:sz="0" w:space="0" w:color="auto"/>
              </w:divBdr>
              <w:divsChild>
                <w:div w:id="1511530692">
                  <w:marLeft w:val="0"/>
                  <w:marRight w:val="0"/>
                  <w:marTop w:val="0"/>
                  <w:marBottom w:val="0"/>
                  <w:divBdr>
                    <w:top w:val="none" w:sz="0" w:space="0" w:color="auto"/>
                    <w:left w:val="none" w:sz="0" w:space="0" w:color="auto"/>
                    <w:bottom w:val="none" w:sz="0" w:space="0" w:color="auto"/>
                    <w:right w:val="none" w:sz="0" w:space="0" w:color="auto"/>
                  </w:divBdr>
                  <w:divsChild>
                    <w:div w:id="3926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6858">
      <w:bodyDiv w:val="1"/>
      <w:marLeft w:val="0"/>
      <w:marRight w:val="0"/>
      <w:marTop w:val="0"/>
      <w:marBottom w:val="0"/>
      <w:divBdr>
        <w:top w:val="none" w:sz="0" w:space="0" w:color="auto"/>
        <w:left w:val="none" w:sz="0" w:space="0" w:color="auto"/>
        <w:bottom w:val="none" w:sz="0" w:space="0" w:color="auto"/>
        <w:right w:val="none" w:sz="0" w:space="0" w:color="auto"/>
      </w:divBdr>
      <w:divsChild>
        <w:div w:id="1019085497">
          <w:marLeft w:val="0"/>
          <w:marRight w:val="0"/>
          <w:marTop w:val="0"/>
          <w:marBottom w:val="0"/>
          <w:divBdr>
            <w:top w:val="none" w:sz="0" w:space="0" w:color="auto"/>
            <w:left w:val="none" w:sz="0" w:space="0" w:color="auto"/>
            <w:bottom w:val="none" w:sz="0" w:space="0" w:color="auto"/>
            <w:right w:val="none" w:sz="0" w:space="0" w:color="auto"/>
          </w:divBdr>
          <w:divsChild>
            <w:div w:id="1652520369">
              <w:marLeft w:val="0"/>
              <w:marRight w:val="0"/>
              <w:marTop w:val="0"/>
              <w:marBottom w:val="0"/>
              <w:divBdr>
                <w:top w:val="none" w:sz="0" w:space="0" w:color="auto"/>
                <w:left w:val="none" w:sz="0" w:space="0" w:color="auto"/>
                <w:bottom w:val="none" w:sz="0" w:space="0" w:color="auto"/>
                <w:right w:val="none" w:sz="0" w:space="0" w:color="auto"/>
              </w:divBdr>
              <w:divsChild>
                <w:div w:id="218395919">
                  <w:marLeft w:val="0"/>
                  <w:marRight w:val="0"/>
                  <w:marTop w:val="0"/>
                  <w:marBottom w:val="0"/>
                  <w:divBdr>
                    <w:top w:val="none" w:sz="0" w:space="0" w:color="auto"/>
                    <w:left w:val="none" w:sz="0" w:space="0" w:color="auto"/>
                    <w:bottom w:val="none" w:sz="0" w:space="0" w:color="auto"/>
                    <w:right w:val="none" w:sz="0" w:space="0" w:color="auto"/>
                  </w:divBdr>
                  <w:divsChild>
                    <w:div w:id="16789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7701">
      <w:bodyDiv w:val="1"/>
      <w:marLeft w:val="0"/>
      <w:marRight w:val="0"/>
      <w:marTop w:val="0"/>
      <w:marBottom w:val="0"/>
      <w:divBdr>
        <w:top w:val="none" w:sz="0" w:space="0" w:color="auto"/>
        <w:left w:val="none" w:sz="0" w:space="0" w:color="auto"/>
        <w:bottom w:val="none" w:sz="0" w:space="0" w:color="auto"/>
        <w:right w:val="none" w:sz="0" w:space="0" w:color="auto"/>
      </w:divBdr>
    </w:div>
    <w:div w:id="188222443">
      <w:bodyDiv w:val="1"/>
      <w:marLeft w:val="0"/>
      <w:marRight w:val="0"/>
      <w:marTop w:val="0"/>
      <w:marBottom w:val="0"/>
      <w:divBdr>
        <w:top w:val="none" w:sz="0" w:space="0" w:color="auto"/>
        <w:left w:val="none" w:sz="0" w:space="0" w:color="auto"/>
        <w:bottom w:val="none" w:sz="0" w:space="0" w:color="auto"/>
        <w:right w:val="none" w:sz="0" w:space="0" w:color="auto"/>
      </w:divBdr>
    </w:div>
    <w:div w:id="245462596">
      <w:bodyDiv w:val="1"/>
      <w:marLeft w:val="0"/>
      <w:marRight w:val="0"/>
      <w:marTop w:val="0"/>
      <w:marBottom w:val="0"/>
      <w:divBdr>
        <w:top w:val="none" w:sz="0" w:space="0" w:color="auto"/>
        <w:left w:val="none" w:sz="0" w:space="0" w:color="auto"/>
        <w:bottom w:val="none" w:sz="0" w:space="0" w:color="auto"/>
        <w:right w:val="none" w:sz="0" w:space="0" w:color="auto"/>
      </w:divBdr>
      <w:divsChild>
        <w:div w:id="1672374486">
          <w:marLeft w:val="0"/>
          <w:marRight w:val="0"/>
          <w:marTop w:val="0"/>
          <w:marBottom w:val="0"/>
          <w:divBdr>
            <w:top w:val="none" w:sz="0" w:space="0" w:color="auto"/>
            <w:left w:val="none" w:sz="0" w:space="0" w:color="auto"/>
            <w:bottom w:val="none" w:sz="0" w:space="0" w:color="auto"/>
            <w:right w:val="none" w:sz="0" w:space="0" w:color="auto"/>
          </w:divBdr>
          <w:divsChild>
            <w:div w:id="769862388">
              <w:marLeft w:val="0"/>
              <w:marRight w:val="0"/>
              <w:marTop w:val="0"/>
              <w:marBottom w:val="0"/>
              <w:divBdr>
                <w:top w:val="none" w:sz="0" w:space="0" w:color="auto"/>
                <w:left w:val="none" w:sz="0" w:space="0" w:color="auto"/>
                <w:bottom w:val="none" w:sz="0" w:space="0" w:color="auto"/>
                <w:right w:val="none" w:sz="0" w:space="0" w:color="auto"/>
              </w:divBdr>
              <w:divsChild>
                <w:div w:id="1399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1125">
      <w:bodyDiv w:val="1"/>
      <w:marLeft w:val="0"/>
      <w:marRight w:val="0"/>
      <w:marTop w:val="0"/>
      <w:marBottom w:val="0"/>
      <w:divBdr>
        <w:top w:val="none" w:sz="0" w:space="0" w:color="auto"/>
        <w:left w:val="none" w:sz="0" w:space="0" w:color="auto"/>
        <w:bottom w:val="none" w:sz="0" w:space="0" w:color="auto"/>
        <w:right w:val="none" w:sz="0" w:space="0" w:color="auto"/>
      </w:divBdr>
      <w:divsChild>
        <w:div w:id="635379845">
          <w:marLeft w:val="0"/>
          <w:marRight w:val="0"/>
          <w:marTop w:val="0"/>
          <w:marBottom w:val="0"/>
          <w:divBdr>
            <w:top w:val="none" w:sz="0" w:space="0" w:color="auto"/>
            <w:left w:val="none" w:sz="0" w:space="0" w:color="auto"/>
            <w:bottom w:val="none" w:sz="0" w:space="0" w:color="auto"/>
            <w:right w:val="none" w:sz="0" w:space="0" w:color="auto"/>
          </w:divBdr>
          <w:divsChild>
            <w:div w:id="135606059">
              <w:marLeft w:val="0"/>
              <w:marRight w:val="0"/>
              <w:marTop w:val="0"/>
              <w:marBottom w:val="0"/>
              <w:divBdr>
                <w:top w:val="none" w:sz="0" w:space="0" w:color="auto"/>
                <w:left w:val="none" w:sz="0" w:space="0" w:color="auto"/>
                <w:bottom w:val="none" w:sz="0" w:space="0" w:color="auto"/>
                <w:right w:val="none" w:sz="0" w:space="0" w:color="auto"/>
              </w:divBdr>
              <w:divsChild>
                <w:div w:id="2033457210">
                  <w:marLeft w:val="0"/>
                  <w:marRight w:val="0"/>
                  <w:marTop w:val="0"/>
                  <w:marBottom w:val="0"/>
                  <w:divBdr>
                    <w:top w:val="none" w:sz="0" w:space="0" w:color="auto"/>
                    <w:left w:val="none" w:sz="0" w:space="0" w:color="auto"/>
                    <w:bottom w:val="none" w:sz="0" w:space="0" w:color="auto"/>
                    <w:right w:val="none" w:sz="0" w:space="0" w:color="auto"/>
                  </w:divBdr>
                  <w:divsChild>
                    <w:div w:id="1088818080">
                      <w:marLeft w:val="0"/>
                      <w:marRight w:val="0"/>
                      <w:marTop w:val="0"/>
                      <w:marBottom w:val="0"/>
                      <w:divBdr>
                        <w:top w:val="none" w:sz="0" w:space="0" w:color="auto"/>
                        <w:left w:val="none" w:sz="0" w:space="0" w:color="auto"/>
                        <w:bottom w:val="none" w:sz="0" w:space="0" w:color="auto"/>
                        <w:right w:val="none" w:sz="0" w:space="0" w:color="auto"/>
                      </w:divBdr>
                      <w:divsChild>
                        <w:div w:id="16761513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31070">
      <w:bodyDiv w:val="1"/>
      <w:marLeft w:val="0"/>
      <w:marRight w:val="0"/>
      <w:marTop w:val="0"/>
      <w:marBottom w:val="0"/>
      <w:divBdr>
        <w:top w:val="none" w:sz="0" w:space="0" w:color="auto"/>
        <w:left w:val="none" w:sz="0" w:space="0" w:color="auto"/>
        <w:bottom w:val="none" w:sz="0" w:space="0" w:color="auto"/>
        <w:right w:val="none" w:sz="0" w:space="0" w:color="auto"/>
      </w:divBdr>
      <w:divsChild>
        <w:div w:id="1598171683">
          <w:marLeft w:val="0"/>
          <w:marRight w:val="0"/>
          <w:marTop w:val="0"/>
          <w:marBottom w:val="0"/>
          <w:divBdr>
            <w:top w:val="none" w:sz="0" w:space="0" w:color="auto"/>
            <w:left w:val="none" w:sz="0" w:space="0" w:color="auto"/>
            <w:bottom w:val="none" w:sz="0" w:space="0" w:color="auto"/>
            <w:right w:val="none" w:sz="0" w:space="0" w:color="auto"/>
          </w:divBdr>
          <w:divsChild>
            <w:div w:id="1528178493">
              <w:marLeft w:val="0"/>
              <w:marRight w:val="0"/>
              <w:marTop w:val="0"/>
              <w:marBottom w:val="0"/>
              <w:divBdr>
                <w:top w:val="none" w:sz="0" w:space="0" w:color="auto"/>
                <w:left w:val="none" w:sz="0" w:space="0" w:color="auto"/>
                <w:bottom w:val="none" w:sz="0" w:space="0" w:color="auto"/>
                <w:right w:val="none" w:sz="0" w:space="0" w:color="auto"/>
              </w:divBdr>
              <w:divsChild>
                <w:div w:id="1625186166">
                  <w:marLeft w:val="0"/>
                  <w:marRight w:val="0"/>
                  <w:marTop w:val="0"/>
                  <w:marBottom w:val="0"/>
                  <w:divBdr>
                    <w:top w:val="none" w:sz="0" w:space="0" w:color="auto"/>
                    <w:left w:val="none" w:sz="0" w:space="0" w:color="auto"/>
                    <w:bottom w:val="none" w:sz="0" w:space="0" w:color="auto"/>
                    <w:right w:val="none" w:sz="0" w:space="0" w:color="auto"/>
                  </w:divBdr>
                  <w:divsChild>
                    <w:div w:id="1104617934">
                      <w:marLeft w:val="0"/>
                      <w:marRight w:val="0"/>
                      <w:marTop w:val="0"/>
                      <w:marBottom w:val="0"/>
                      <w:divBdr>
                        <w:top w:val="none" w:sz="0" w:space="0" w:color="auto"/>
                        <w:left w:val="none" w:sz="0" w:space="0" w:color="auto"/>
                        <w:bottom w:val="none" w:sz="0" w:space="0" w:color="auto"/>
                        <w:right w:val="none" w:sz="0" w:space="0" w:color="auto"/>
                      </w:divBdr>
                      <w:divsChild>
                        <w:div w:id="148256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75505">
      <w:bodyDiv w:val="1"/>
      <w:marLeft w:val="0"/>
      <w:marRight w:val="0"/>
      <w:marTop w:val="0"/>
      <w:marBottom w:val="0"/>
      <w:divBdr>
        <w:top w:val="none" w:sz="0" w:space="0" w:color="auto"/>
        <w:left w:val="none" w:sz="0" w:space="0" w:color="auto"/>
        <w:bottom w:val="none" w:sz="0" w:space="0" w:color="auto"/>
        <w:right w:val="none" w:sz="0" w:space="0" w:color="auto"/>
      </w:divBdr>
    </w:div>
    <w:div w:id="417479179">
      <w:bodyDiv w:val="1"/>
      <w:marLeft w:val="0"/>
      <w:marRight w:val="0"/>
      <w:marTop w:val="0"/>
      <w:marBottom w:val="0"/>
      <w:divBdr>
        <w:top w:val="none" w:sz="0" w:space="0" w:color="auto"/>
        <w:left w:val="none" w:sz="0" w:space="0" w:color="auto"/>
        <w:bottom w:val="none" w:sz="0" w:space="0" w:color="auto"/>
        <w:right w:val="none" w:sz="0" w:space="0" w:color="auto"/>
      </w:divBdr>
    </w:div>
    <w:div w:id="739210199">
      <w:bodyDiv w:val="1"/>
      <w:marLeft w:val="0"/>
      <w:marRight w:val="0"/>
      <w:marTop w:val="0"/>
      <w:marBottom w:val="0"/>
      <w:divBdr>
        <w:top w:val="none" w:sz="0" w:space="0" w:color="auto"/>
        <w:left w:val="none" w:sz="0" w:space="0" w:color="auto"/>
        <w:bottom w:val="none" w:sz="0" w:space="0" w:color="auto"/>
        <w:right w:val="none" w:sz="0" w:space="0" w:color="auto"/>
      </w:divBdr>
    </w:div>
    <w:div w:id="1025907712">
      <w:bodyDiv w:val="1"/>
      <w:marLeft w:val="0"/>
      <w:marRight w:val="0"/>
      <w:marTop w:val="0"/>
      <w:marBottom w:val="0"/>
      <w:divBdr>
        <w:top w:val="none" w:sz="0" w:space="0" w:color="auto"/>
        <w:left w:val="none" w:sz="0" w:space="0" w:color="auto"/>
        <w:bottom w:val="none" w:sz="0" w:space="0" w:color="auto"/>
        <w:right w:val="none" w:sz="0" w:space="0" w:color="auto"/>
      </w:divBdr>
      <w:divsChild>
        <w:div w:id="796486438">
          <w:marLeft w:val="0"/>
          <w:marRight w:val="0"/>
          <w:marTop w:val="0"/>
          <w:marBottom w:val="0"/>
          <w:divBdr>
            <w:top w:val="none" w:sz="0" w:space="0" w:color="auto"/>
            <w:left w:val="none" w:sz="0" w:space="0" w:color="auto"/>
            <w:bottom w:val="none" w:sz="0" w:space="0" w:color="auto"/>
            <w:right w:val="none" w:sz="0" w:space="0" w:color="auto"/>
          </w:divBdr>
          <w:divsChild>
            <w:div w:id="909584344">
              <w:marLeft w:val="0"/>
              <w:marRight w:val="0"/>
              <w:marTop w:val="0"/>
              <w:marBottom w:val="0"/>
              <w:divBdr>
                <w:top w:val="none" w:sz="0" w:space="0" w:color="auto"/>
                <w:left w:val="none" w:sz="0" w:space="0" w:color="auto"/>
                <w:bottom w:val="none" w:sz="0" w:space="0" w:color="auto"/>
                <w:right w:val="none" w:sz="0" w:space="0" w:color="auto"/>
              </w:divBdr>
              <w:divsChild>
                <w:div w:id="1952589594">
                  <w:marLeft w:val="0"/>
                  <w:marRight w:val="0"/>
                  <w:marTop w:val="0"/>
                  <w:marBottom w:val="0"/>
                  <w:divBdr>
                    <w:top w:val="none" w:sz="0" w:space="0" w:color="auto"/>
                    <w:left w:val="none" w:sz="0" w:space="0" w:color="auto"/>
                    <w:bottom w:val="none" w:sz="0" w:space="0" w:color="auto"/>
                    <w:right w:val="none" w:sz="0" w:space="0" w:color="auto"/>
                  </w:divBdr>
                  <w:divsChild>
                    <w:div w:id="15712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8261">
      <w:bodyDiv w:val="1"/>
      <w:marLeft w:val="0"/>
      <w:marRight w:val="0"/>
      <w:marTop w:val="0"/>
      <w:marBottom w:val="0"/>
      <w:divBdr>
        <w:top w:val="none" w:sz="0" w:space="0" w:color="auto"/>
        <w:left w:val="none" w:sz="0" w:space="0" w:color="auto"/>
        <w:bottom w:val="none" w:sz="0" w:space="0" w:color="auto"/>
        <w:right w:val="none" w:sz="0" w:space="0" w:color="auto"/>
      </w:divBdr>
    </w:div>
    <w:div w:id="1121530700">
      <w:bodyDiv w:val="1"/>
      <w:marLeft w:val="0"/>
      <w:marRight w:val="0"/>
      <w:marTop w:val="0"/>
      <w:marBottom w:val="0"/>
      <w:divBdr>
        <w:top w:val="none" w:sz="0" w:space="0" w:color="auto"/>
        <w:left w:val="none" w:sz="0" w:space="0" w:color="auto"/>
        <w:bottom w:val="none" w:sz="0" w:space="0" w:color="auto"/>
        <w:right w:val="none" w:sz="0" w:space="0" w:color="auto"/>
      </w:divBdr>
    </w:div>
    <w:div w:id="1134952867">
      <w:bodyDiv w:val="1"/>
      <w:marLeft w:val="0"/>
      <w:marRight w:val="0"/>
      <w:marTop w:val="0"/>
      <w:marBottom w:val="0"/>
      <w:divBdr>
        <w:top w:val="none" w:sz="0" w:space="0" w:color="auto"/>
        <w:left w:val="none" w:sz="0" w:space="0" w:color="auto"/>
        <w:bottom w:val="none" w:sz="0" w:space="0" w:color="auto"/>
        <w:right w:val="none" w:sz="0" w:space="0" w:color="auto"/>
      </w:divBdr>
      <w:divsChild>
        <w:div w:id="1811362337">
          <w:marLeft w:val="0"/>
          <w:marRight w:val="0"/>
          <w:marTop w:val="0"/>
          <w:marBottom w:val="0"/>
          <w:divBdr>
            <w:top w:val="none" w:sz="0" w:space="0" w:color="auto"/>
            <w:left w:val="none" w:sz="0" w:space="0" w:color="auto"/>
            <w:bottom w:val="none" w:sz="0" w:space="0" w:color="auto"/>
            <w:right w:val="none" w:sz="0" w:space="0" w:color="auto"/>
          </w:divBdr>
          <w:divsChild>
            <w:div w:id="845053767">
              <w:marLeft w:val="0"/>
              <w:marRight w:val="0"/>
              <w:marTop w:val="0"/>
              <w:marBottom w:val="0"/>
              <w:divBdr>
                <w:top w:val="none" w:sz="0" w:space="0" w:color="auto"/>
                <w:left w:val="none" w:sz="0" w:space="0" w:color="auto"/>
                <w:bottom w:val="none" w:sz="0" w:space="0" w:color="auto"/>
                <w:right w:val="none" w:sz="0" w:space="0" w:color="auto"/>
              </w:divBdr>
              <w:divsChild>
                <w:div w:id="14175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3246">
      <w:bodyDiv w:val="1"/>
      <w:marLeft w:val="0"/>
      <w:marRight w:val="0"/>
      <w:marTop w:val="0"/>
      <w:marBottom w:val="0"/>
      <w:divBdr>
        <w:top w:val="none" w:sz="0" w:space="0" w:color="auto"/>
        <w:left w:val="none" w:sz="0" w:space="0" w:color="auto"/>
        <w:bottom w:val="none" w:sz="0" w:space="0" w:color="auto"/>
        <w:right w:val="none" w:sz="0" w:space="0" w:color="auto"/>
      </w:divBdr>
      <w:divsChild>
        <w:div w:id="1289971484">
          <w:marLeft w:val="0"/>
          <w:marRight w:val="0"/>
          <w:marTop w:val="0"/>
          <w:marBottom w:val="0"/>
          <w:divBdr>
            <w:top w:val="none" w:sz="0" w:space="0" w:color="auto"/>
            <w:left w:val="none" w:sz="0" w:space="0" w:color="auto"/>
            <w:bottom w:val="none" w:sz="0" w:space="0" w:color="auto"/>
            <w:right w:val="none" w:sz="0" w:space="0" w:color="auto"/>
          </w:divBdr>
          <w:divsChild>
            <w:div w:id="2106800531">
              <w:marLeft w:val="0"/>
              <w:marRight w:val="0"/>
              <w:marTop w:val="0"/>
              <w:marBottom w:val="0"/>
              <w:divBdr>
                <w:top w:val="none" w:sz="0" w:space="0" w:color="auto"/>
                <w:left w:val="none" w:sz="0" w:space="0" w:color="auto"/>
                <w:bottom w:val="none" w:sz="0" w:space="0" w:color="auto"/>
                <w:right w:val="none" w:sz="0" w:space="0" w:color="auto"/>
              </w:divBdr>
              <w:divsChild>
                <w:div w:id="2111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0406">
      <w:bodyDiv w:val="1"/>
      <w:marLeft w:val="0"/>
      <w:marRight w:val="0"/>
      <w:marTop w:val="0"/>
      <w:marBottom w:val="0"/>
      <w:divBdr>
        <w:top w:val="none" w:sz="0" w:space="0" w:color="auto"/>
        <w:left w:val="none" w:sz="0" w:space="0" w:color="auto"/>
        <w:bottom w:val="none" w:sz="0" w:space="0" w:color="auto"/>
        <w:right w:val="none" w:sz="0" w:space="0" w:color="auto"/>
      </w:divBdr>
      <w:divsChild>
        <w:div w:id="1894191167">
          <w:marLeft w:val="0"/>
          <w:marRight w:val="0"/>
          <w:marTop w:val="0"/>
          <w:marBottom w:val="0"/>
          <w:divBdr>
            <w:top w:val="none" w:sz="0" w:space="0" w:color="auto"/>
            <w:left w:val="none" w:sz="0" w:space="0" w:color="auto"/>
            <w:bottom w:val="none" w:sz="0" w:space="0" w:color="auto"/>
            <w:right w:val="none" w:sz="0" w:space="0" w:color="auto"/>
          </w:divBdr>
          <w:divsChild>
            <w:div w:id="1552114274">
              <w:marLeft w:val="0"/>
              <w:marRight w:val="0"/>
              <w:marTop w:val="0"/>
              <w:marBottom w:val="0"/>
              <w:divBdr>
                <w:top w:val="none" w:sz="0" w:space="0" w:color="auto"/>
                <w:left w:val="none" w:sz="0" w:space="0" w:color="auto"/>
                <w:bottom w:val="none" w:sz="0" w:space="0" w:color="auto"/>
                <w:right w:val="none" w:sz="0" w:space="0" w:color="auto"/>
              </w:divBdr>
              <w:divsChild>
                <w:div w:id="35854130">
                  <w:marLeft w:val="0"/>
                  <w:marRight w:val="0"/>
                  <w:marTop w:val="0"/>
                  <w:marBottom w:val="0"/>
                  <w:divBdr>
                    <w:top w:val="none" w:sz="0" w:space="0" w:color="auto"/>
                    <w:left w:val="none" w:sz="0" w:space="0" w:color="auto"/>
                    <w:bottom w:val="none" w:sz="0" w:space="0" w:color="auto"/>
                    <w:right w:val="none" w:sz="0" w:space="0" w:color="auto"/>
                  </w:divBdr>
                  <w:divsChild>
                    <w:div w:id="12499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8069">
      <w:bodyDiv w:val="1"/>
      <w:marLeft w:val="0"/>
      <w:marRight w:val="0"/>
      <w:marTop w:val="0"/>
      <w:marBottom w:val="0"/>
      <w:divBdr>
        <w:top w:val="none" w:sz="0" w:space="0" w:color="auto"/>
        <w:left w:val="none" w:sz="0" w:space="0" w:color="auto"/>
        <w:bottom w:val="none" w:sz="0" w:space="0" w:color="auto"/>
        <w:right w:val="none" w:sz="0" w:space="0" w:color="auto"/>
      </w:divBdr>
      <w:divsChild>
        <w:div w:id="930697414">
          <w:marLeft w:val="0"/>
          <w:marRight w:val="0"/>
          <w:marTop w:val="0"/>
          <w:marBottom w:val="0"/>
          <w:divBdr>
            <w:top w:val="none" w:sz="0" w:space="0" w:color="auto"/>
            <w:left w:val="none" w:sz="0" w:space="0" w:color="auto"/>
            <w:bottom w:val="none" w:sz="0" w:space="0" w:color="auto"/>
            <w:right w:val="none" w:sz="0" w:space="0" w:color="auto"/>
          </w:divBdr>
          <w:divsChild>
            <w:div w:id="725180808">
              <w:marLeft w:val="0"/>
              <w:marRight w:val="0"/>
              <w:marTop w:val="0"/>
              <w:marBottom w:val="0"/>
              <w:divBdr>
                <w:top w:val="none" w:sz="0" w:space="0" w:color="auto"/>
                <w:left w:val="none" w:sz="0" w:space="0" w:color="auto"/>
                <w:bottom w:val="none" w:sz="0" w:space="0" w:color="auto"/>
                <w:right w:val="none" w:sz="0" w:space="0" w:color="auto"/>
              </w:divBdr>
              <w:divsChild>
                <w:div w:id="1877694214">
                  <w:marLeft w:val="0"/>
                  <w:marRight w:val="0"/>
                  <w:marTop w:val="0"/>
                  <w:marBottom w:val="0"/>
                  <w:divBdr>
                    <w:top w:val="none" w:sz="0" w:space="0" w:color="auto"/>
                    <w:left w:val="none" w:sz="0" w:space="0" w:color="auto"/>
                    <w:bottom w:val="none" w:sz="0" w:space="0" w:color="auto"/>
                    <w:right w:val="none" w:sz="0" w:space="0" w:color="auto"/>
                  </w:divBdr>
                  <w:divsChild>
                    <w:div w:id="13832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40645">
      <w:bodyDiv w:val="1"/>
      <w:marLeft w:val="0"/>
      <w:marRight w:val="0"/>
      <w:marTop w:val="0"/>
      <w:marBottom w:val="0"/>
      <w:divBdr>
        <w:top w:val="none" w:sz="0" w:space="0" w:color="auto"/>
        <w:left w:val="none" w:sz="0" w:space="0" w:color="auto"/>
        <w:bottom w:val="none" w:sz="0" w:space="0" w:color="auto"/>
        <w:right w:val="none" w:sz="0" w:space="0" w:color="auto"/>
      </w:divBdr>
    </w:div>
    <w:div w:id="1841314950">
      <w:bodyDiv w:val="1"/>
      <w:marLeft w:val="0"/>
      <w:marRight w:val="0"/>
      <w:marTop w:val="0"/>
      <w:marBottom w:val="0"/>
      <w:divBdr>
        <w:top w:val="none" w:sz="0" w:space="0" w:color="auto"/>
        <w:left w:val="none" w:sz="0" w:space="0" w:color="auto"/>
        <w:bottom w:val="none" w:sz="0" w:space="0" w:color="auto"/>
        <w:right w:val="none" w:sz="0" w:space="0" w:color="auto"/>
      </w:divBdr>
      <w:divsChild>
        <w:div w:id="1993829833">
          <w:marLeft w:val="0"/>
          <w:marRight w:val="0"/>
          <w:marTop w:val="0"/>
          <w:marBottom w:val="0"/>
          <w:divBdr>
            <w:top w:val="none" w:sz="0" w:space="0" w:color="auto"/>
            <w:left w:val="none" w:sz="0" w:space="0" w:color="auto"/>
            <w:bottom w:val="none" w:sz="0" w:space="0" w:color="auto"/>
            <w:right w:val="none" w:sz="0" w:space="0" w:color="auto"/>
          </w:divBdr>
          <w:divsChild>
            <w:div w:id="1046182640">
              <w:marLeft w:val="0"/>
              <w:marRight w:val="0"/>
              <w:marTop w:val="0"/>
              <w:marBottom w:val="0"/>
              <w:divBdr>
                <w:top w:val="none" w:sz="0" w:space="0" w:color="auto"/>
                <w:left w:val="none" w:sz="0" w:space="0" w:color="auto"/>
                <w:bottom w:val="none" w:sz="0" w:space="0" w:color="auto"/>
                <w:right w:val="none" w:sz="0" w:space="0" w:color="auto"/>
              </w:divBdr>
              <w:divsChild>
                <w:div w:id="1350788868">
                  <w:marLeft w:val="0"/>
                  <w:marRight w:val="0"/>
                  <w:marTop w:val="0"/>
                  <w:marBottom w:val="0"/>
                  <w:divBdr>
                    <w:top w:val="none" w:sz="0" w:space="0" w:color="auto"/>
                    <w:left w:val="none" w:sz="0" w:space="0" w:color="auto"/>
                    <w:bottom w:val="none" w:sz="0" w:space="0" w:color="auto"/>
                    <w:right w:val="none" w:sz="0" w:space="0" w:color="auto"/>
                  </w:divBdr>
                  <w:divsChild>
                    <w:div w:id="1417282859">
                      <w:marLeft w:val="0"/>
                      <w:marRight w:val="0"/>
                      <w:marTop w:val="0"/>
                      <w:marBottom w:val="0"/>
                      <w:divBdr>
                        <w:top w:val="none" w:sz="0" w:space="0" w:color="auto"/>
                        <w:left w:val="none" w:sz="0" w:space="0" w:color="auto"/>
                        <w:bottom w:val="none" w:sz="0" w:space="0" w:color="auto"/>
                        <w:right w:val="none" w:sz="0" w:space="0" w:color="auto"/>
                      </w:divBdr>
                      <w:divsChild>
                        <w:div w:id="8554600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0971">
      <w:bodyDiv w:val="1"/>
      <w:marLeft w:val="0"/>
      <w:marRight w:val="0"/>
      <w:marTop w:val="0"/>
      <w:marBottom w:val="0"/>
      <w:divBdr>
        <w:top w:val="none" w:sz="0" w:space="0" w:color="auto"/>
        <w:left w:val="none" w:sz="0" w:space="0" w:color="auto"/>
        <w:bottom w:val="none" w:sz="0" w:space="0" w:color="auto"/>
        <w:right w:val="none" w:sz="0" w:space="0" w:color="auto"/>
      </w:divBdr>
      <w:divsChild>
        <w:div w:id="1312103836">
          <w:marLeft w:val="0"/>
          <w:marRight w:val="0"/>
          <w:marTop w:val="0"/>
          <w:marBottom w:val="0"/>
          <w:divBdr>
            <w:top w:val="none" w:sz="0" w:space="0" w:color="auto"/>
            <w:left w:val="none" w:sz="0" w:space="0" w:color="auto"/>
            <w:bottom w:val="none" w:sz="0" w:space="0" w:color="auto"/>
            <w:right w:val="none" w:sz="0" w:space="0" w:color="auto"/>
          </w:divBdr>
          <w:divsChild>
            <w:div w:id="1974022239">
              <w:marLeft w:val="0"/>
              <w:marRight w:val="0"/>
              <w:marTop w:val="0"/>
              <w:marBottom w:val="0"/>
              <w:divBdr>
                <w:top w:val="none" w:sz="0" w:space="0" w:color="auto"/>
                <w:left w:val="none" w:sz="0" w:space="0" w:color="auto"/>
                <w:bottom w:val="none" w:sz="0" w:space="0" w:color="auto"/>
                <w:right w:val="none" w:sz="0" w:space="0" w:color="auto"/>
              </w:divBdr>
              <w:divsChild>
                <w:div w:id="1211302995">
                  <w:marLeft w:val="0"/>
                  <w:marRight w:val="0"/>
                  <w:marTop w:val="0"/>
                  <w:marBottom w:val="0"/>
                  <w:divBdr>
                    <w:top w:val="none" w:sz="0" w:space="0" w:color="auto"/>
                    <w:left w:val="none" w:sz="0" w:space="0" w:color="auto"/>
                    <w:bottom w:val="none" w:sz="0" w:space="0" w:color="auto"/>
                    <w:right w:val="none" w:sz="0" w:space="0" w:color="auto"/>
                  </w:divBdr>
                  <w:divsChild>
                    <w:div w:id="723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A27F-C500-4FD3-9689-4EAB62DC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Multicultural Access and Equity Policy Toolkit</vt:lpstr>
    </vt:vector>
  </TitlesOfParts>
  <Company>Dept. of Immigration and Citizenship</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Access and Equity Policy Toolkit</dc:title>
  <dc:subject>Quick reference guide overview</dc:subject>
  <dc:creator>Department of Immigration and Citizenship</dc:creator>
  <cp:keywords>Obligations, Engagement, Definitions, Executive accountability, Agency commitment, Best practice examples of Engagement, Engagement resources, Language and Communication, Department of Immigration and Citizenship,</cp:keywords>
  <cp:lastModifiedBy>FaHCSIA</cp:lastModifiedBy>
  <cp:revision>3</cp:revision>
  <cp:lastPrinted>2013-03-18T01:03:00Z</cp:lastPrinted>
  <dcterms:created xsi:type="dcterms:W3CDTF">2013-05-03T01:16:00Z</dcterms:created>
  <dcterms:modified xsi:type="dcterms:W3CDTF">2013-12-17T23:33:00Z</dcterms:modified>
  <cp:category>Publication</cp:category>
</cp:coreProperties>
</file>