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68" w:rsidRDefault="00B87468" w:rsidP="00DA4590">
      <w:pPr>
        <w:pStyle w:val="Title"/>
        <w:rPr>
          <w:rStyle w:val="BookTitle"/>
          <w:b/>
          <w:i w:val="0"/>
          <w:iCs w:val="0"/>
          <w:smallCaps w:val="0"/>
          <w:spacing w:val="0"/>
          <w:sz w:val="50"/>
          <w:szCs w:val="50"/>
          <w:lang w:val="en-AU"/>
        </w:rPr>
      </w:pPr>
      <w:r>
        <w:rPr>
          <w:noProof/>
          <w:lang w:eastAsia="en-AU"/>
        </w:rPr>
        <w:drawing>
          <wp:anchor distT="0" distB="0" distL="114300" distR="114300" simplePos="0" relativeHeight="251659264" behindDoc="1" locked="0" layoutInCell="1" allowOverlap="1" wp14:anchorId="0228ED61" wp14:editId="77274BF8">
            <wp:simplePos x="0" y="0"/>
            <wp:positionH relativeFrom="column">
              <wp:posOffset>-107315</wp:posOffset>
            </wp:positionH>
            <wp:positionV relativeFrom="paragraph">
              <wp:posOffset>-944880</wp:posOffset>
            </wp:positionV>
            <wp:extent cx="3841750" cy="1038225"/>
            <wp:effectExtent l="0" t="0" r="6350" b="9525"/>
            <wp:wrapThrough wrapText="bothSides">
              <wp:wrapPolygon edited="0">
                <wp:start x="0" y="0"/>
                <wp:lineTo x="0" y="21402"/>
                <wp:lineTo x="21529" y="21402"/>
                <wp:lineTo x="21529" y="0"/>
                <wp:lineTo x="0" y="0"/>
              </wp:wrapPolygon>
            </wp:wrapThrough>
            <wp:docPr id="1" name="Picture 1" descr="Australian Government crest and Stronger futures logo" title="Australian Government crest and Stronger fu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NT logo with images_Cres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1750" cy="1038225"/>
                    </a:xfrm>
                    <a:prstGeom prst="rect">
                      <a:avLst/>
                    </a:prstGeom>
                  </pic:spPr>
                </pic:pic>
              </a:graphicData>
            </a:graphic>
            <wp14:sizeRelH relativeFrom="page">
              <wp14:pctWidth>0</wp14:pctWidth>
            </wp14:sizeRelH>
            <wp14:sizeRelV relativeFrom="page">
              <wp14:pctHeight>0</wp14:pctHeight>
            </wp14:sizeRelV>
          </wp:anchor>
        </w:drawing>
      </w:r>
    </w:p>
    <w:p w:rsidR="007B0256" w:rsidRPr="006F126B" w:rsidRDefault="00786A79" w:rsidP="00DA4590">
      <w:pPr>
        <w:pStyle w:val="Title"/>
        <w:rPr>
          <w:rStyle w:val="BookTitle"/>
          <w:b/>
          <w:i w:val="0"/>
          <w:iCs w:val="0"/>
          <w:smallCaps w:val="0"/>
          <w:spacing w:val="0"/>
          <w:sz w:val="50"/>
          <w:szCs w:val="50"/>
          <w:lang w:val="en-AU"/>
        </w:rPr>
      </w:pPr>
      <w:r w:rsidRPr="006F126B">
        <w:rPr>
          <w:rStyle w:val="BookTitle"/>
          <w:b/>
          <w:i w:val="0"/>
          <w:iCs w:val="0"/>
          <w:smallCaps w:val="0"/>
          <w:spacing w:val="0"/>
          <w:sz w:val="50"/>
          <w:szCs w:val="50"/>
          <w:lang w:val="en-AU"/>
        </w:rPr>
        <w:t>Community Living Area Land Reform</w:t>
      </w:r>
      <w:r w:rsidR="004E5BB2">
        <w:rPr>
          <w:rStyle w:val="BookTitle"/>
          <w:b/>
          <w:i w:val="0"/>
          <w:iCs w:val="0"/>
          <w:smallCaps w:val="0"/>
          <w:spacing w:val="0"/>
          <w:sz w:val="50"/>
          <w:szCs w:val="50"/>
          <w:lang w:val="en-AU"/>
        </w:rPr>
        <w:t xml:space="preserve"> in the Northern Territory</w:t>
      </w:r>
    </w:p>
    <w:p w:rsidR="00AC45F1" w:rsidRPr="006F126B" w:rsidRDefault="00515FB0" w:rsidP="00DA4590">
      <w:pPr>
        <w:pStyle w:val="Title"/>
        <w:rPr>
          <w:rStyle w:val="BookTitle"/>
          <w:b/>
          <w:i w:val="0"/>
          <w:iCs w:val="0"/>
          <w:smallCaps w:val="0"/>
          <w:spacing w:val="0"/>
          <w:sz w:val="40"/>
          <w:szCs w:val="40"/>
          <w:lang w:val="en-AU"/>
        </w:rPr>
      </w:pPr>
      <w:r w:rsidRPr="006F126B">
        <w:rPr>
          <w:rStyle w:val="BookTitle"/>
          <w:b/>
          <w:i w:val="0"/>
          <w:iCs w:val="0"/>
          <w:smallCaps w:val="0"/>
          <w:spacing w:val="0"/>
          <w:sz w:val="40"/>
          <w:szCs w:val="40"/>
          <w:lang w:val="en-AU"/>
        </w:rPr>
        <w:t>Discussion</w:t>
      </w:r>
      <w:r w:rsidR="00AC45F1" w:rsidRPr="006F126B">
        <w:rPr>
          <w:rStyle w:val="BookTitle"/>
          <w:b/>
          <w:i w:val="0"/>
          <w:iCs w:val="0"/>
          <w:smallCaps w:val="0"/>
          <w:spacing w:val="0"/>
          <w:sz w:val="40"/>
          <w:szCs w:val="40"/>
          <w:lang w:val="en-AU"/>
        </w:rPr>
        <w:t xml:space="preserve"> Paper</w:t>
      </w:r>
    </w:p>
    <w:p w:rsidR="00786A79" w:rsidRPr="006F126B" w:rsidRDefault="00786A79" w:rsidP="00641B16">
      <w:pPr>
        <w:pStyle w:val="Heading1"/>
        <w:spacing w:before="120"/>
        <w:rPr>
          <w:rStyle w:val="BookTitle"/>
          <w:i w:val="0"/>
          <w:iCs w:val="0"/>
          <w:smallCaps w:val="0"/>
          <w:color w:val="E36C0A" w:themeColor="accent6" w:themeShade="BF"/>
          <w:spacing w:val="0"/>
          <w:lang w:val="en-AU"/>
        </w:rPr>
      </w:pPr>
      <w:r w:rsidRPr="006F126B">
        <w:rPr>
          <w:rStyle w:val="BookTitle"/>
          <w:i w:val="0"/>
          <w:iCs w:val="0"/>
          <w:smallCaps w:val="0"/>
          <w:color w:val="E36C0A" w:themeColor="accent6" w:themeShade="BF"/>
          <w:spacing w:val="0"/>
          <w:lang w:val="en-AU"/>
        </w:rPr>
        <w:t xml:space="preserve">Introduction </w:t>
      </w:r>
    </w:p>
    <w:p w:rsidR="00786A79" w:rsidRPr="006F126B" w:rsidRDefault="00786A79" w:rsidP="00406810">
      <w:pPr>
        <w:spacing w:before="60" w:after="60"/>
        <w:rPr>
          <w:rFonts w:cs="Arial"/>
          <w:lang w:val="en-AU"/>
        </w:rPr>
      </w:pPr>
      <w:r w:rsidRPr="006F126B">
        <w:rPr>
          <w:rFonts w:cs="Arial"/>
          <w:lang w:val="en-AU"/>
        </w:rPr>
        <w:t>The Australian Government has made a 10-year commitment to work with Aboriginal people in the Northern Territory (NT) to build strong, independent lives where communities, families and children are safe and healthy.</w:t>
      </w:r>
      <w:r w:rsidR="00D47AD1">
        <w:rPr>
          <w:rFonts w:cs="Arial"/>
          <w:lang w:val="en-AU"/>
        </w:rPr>
        <w:t xml:space="preserve"> </w:t>
      </w:r>
      <w:r w:rsidRPr="006F126B">
        <w:rPr>
          <w:rFonts w:cs="Arial"/>
          <w:lang w:val="en-AU"/>
        </w:rPr>
        <w:t>Stronger Futures in the NT is a new $3.4 billion investment and responds directly to what Aboriginal people told us is most important.</w:t>
      </w:r>
    </w:p>
    <w:p w:rsidR="00376D8C" w:rsidRPr="006F126B" w:rsidRDefault="00376D8C" w:rsidP="00180D2B">
      <w:pPr>
        <w:spacing w:after="0" w:line="240" w:lineRule="auto"/>
        <w:rPr>
          <w:lang w:val="en-AU"/>
        </w:rPr>
      </w:pPr>
    </w:p>
    <w:p w:rsidR="00786A79" w:rsidRPr="006F126B" w:rsidRDefault="00786A79" w:rsidP="00406810">
      <w:pPr>
        <w:spacing w:before="60" w:after="60"/>
        <w:rPr>
          <w:lang w:val="en-AU"/>
        </w:rPr>
      </w:pPr>
      <w:r w:rsidRPr="006F126B">
        <w:rPr>
          <w:lang w:val="en-AU"/>
        </w:rPr>
        <w:t xml:space="preserve">One of the </w:t>
      </w:r>
      <w:r w:rsidRPr="0090533B">
        <w:rPr>
          <w:lang w:val="en-AU"/>
        </w:rPr>
        <w:t xml:space="preserve">things Aboriginal people told us is important is to reduce barriers to economic development. One of the ways the Australian </w:t>
      </w:r>
      <w:r w:rsidR="00515FB0" w:rsidRPr="0090533B">
        <w:rPr>
          <w:lang w:val="en-AU"/>
        </w:rPr>
        <w:t>Government</w:t>
      </w:r>
      <w:r w:rsidRPr="0090533B">
        <w:rPr>
          <w:lang w:val="en-AU"/>
        </w:rPr>
        <w:t xml:space="preserve"> is helping with this is by </w:t>
      </w:r>
      <w:r w:rsidR="001B0A03" w:rsidRPr="0090533B">
        <w:rPr>
          <w:lang w:val="en-AU"/>
        </w:rPr>
        <w:t xml:space="preserve">continuing </w:t>
      </w:r>
      <w:r w:rsidRPr="0090533B">
        <w:rPr>
          <w:lang w:val="en-AU"/>
        </w:rPr>
        <w:t>land reform for Community Living Areas</w:t>
      </w:r>
      <w:r w:rsidR="00406810" w:rsidRPr="0090533B">
        <w:rPr>
          <w:lang w:val="en-AU"/>
        </w:rPr>
        <w:t xml:space="preserve"> (CLA</w:t>
      </w:r>
      <w:r w:rsidR="000479D2" w:rsidRPr="0090533B">
        <w:rPr>
          <w:lang w:val="en-AU"/>
        </w:rPr>
        <w:t>s</w:t>
      </w:r>
      <w:r w:rsidR="00406810" w:rsidRPr="0090533B">
        <w:rPr>
          <w:lang w:val="en-AU"/>
        </w:rPr>
        <w:t>)</w:t>
      </w:r>
      <w:r w:rsidRPr="0090533B">
        <w:rPr>
          <w:lang w:val="en-AU"/>
        </w:rPr>
        <w:t>.</w:t>
      </w:r>
      <w:r w:rsidR="00C467DC">
        <w:rPr>
          <w:lang w:val="en-AU"/>
        </w:rPr>
        <w:t xml:space="preserve"> The Australian Government is committed to reforming land tenure arrangements for community-titled Indigenous held land across Australia, including providing land owners </w:t>
      </w:r>
      <w:r w:rsidR="003B56E5">
        <w:rPr>
          <w:lang w:val="en-AU"/>
        </w:rPr>
        <w:t>with the opportunity to voluntarily develop and consider options for home ownership and economic development.</w:t>
      </w:r>
    </w:p>
    <w:p w:rsidR="00376D8C" w:rsidRPr="006F126B" w:rsidRDefault="00376D8C" w:rsidP="00180D2B">
      <w:pPr>
        <w:spacing w:after="0" w:line="240" w:lineRule="auto"/>
        <w:rPr>
          <w:rFonts w:cs="Arial"/>
          <w:lang w:val="en-AU"/>
        </w:rPr>
      </w:pPr>
    </w:p>
    <w:p w:rsidR="00AC45F1" w:rsidRPr="006F126B" w:rsidRDefault="007900B0" w:rsidP="00406810">
      <w:pPr>
        <w:spacing w:before="60" w:after="60"/>
        <w:rPr>
          <w:rFonts w:cs="Arial"/>
          <w:b/>
          <w:lang w:val="en-AU"/>
        </w:rPr>
      </w:pPr>
      <w:r w:rsidRPr="006F126B">
        <w:rPr>
          <w:lang w:val="en-AU"/>
        </w:rPr>
        <w:t xml:space="preserve">Rules on how </w:t>
      </w:r>
      <w:r>
        <w:rPr>
          <w:lang w:val="en-AU"/>
        </w:rPr>
        <w:t>CLA</w:t>
      </w:r>
      <w:r w:rsidRPr="006F126B">
        <w:rPr>
          <w:lang w:val="en-AU"/>
        </w:rPr>
        <w:t xml:space="preserve"> land </w:t>
      </w:r>
      <w:r>
        <w:rPr>
          <w:lang w:val="en-AU"/>
        </w:rPr>
        <w:t>can be</w:t>
      </w:r>
      <w:r w:rsidRPr="006F126B">
        <w:rPr>
          <w:lang w:val="en-AU"/>
        </w:rPr>
        <w:t xml:space="preserve"> used mean that currently, CLA </w:t>
      </w:r>
      <w:r>
        <w:rPr>
          <w:lang w:val="en-AU"/>
        </w:rPr>
        <w:t xml:space="preserve">land </w:t>
      </w:r>
      <w:r w:rsidRPr="006F126B">
        <w:rPr>
          <w:lang w:val="en-AU"/>
        </w:rPr>
        <w:t>owners have less opportunity to use their land than other Aboriginal communities in the NT. For example, they cannot use the land for economic development and some types of government investment.</w:t>
      </w:r>
      <w:r>
        <w:rPr>
          <w:lang w:val="en-AU"/>
        </w:rPr>
        <w:t xml:space="preserve">  </w:t>
      </w:r>
      <w:r w:rsidR="00AC45F1" w:rsidRPr="006F126B">
        <w:rPr>
          <w:rFonts w:cs="Arial"/>
          <w:lang w:val="en-AU"/>
        </w:rPr>
        <w:t>The Australian Government wants to work in partnership with CLA land owners, community members, the NT Government, the NT Land Councils, the NT Cattlemen’s Association and other relevant and interested stakeholders to achieve comprehensive and sustainable reforms for CLA land.</w:t>
      </w:r>
    </w:p>
    <w:p w:rsidR="00376D8C" w:rsidRPr="006F126B" w:rsidRDefault="00376D8C" w:rsidP="00180D2B">
      <w:pPr>
        <w:spacing w:after="0" w:line="240" w:lineRule="auto"/>
        <w:rPr>
          <w:rFonts w:eastAsia="MS Mincho"/>
          <w:lang w:val="en-AU" w:eastAsia="ja-JP"/>
        </w:rPr>
      </w:pPr>
    </w:p>
    <w:p w:rsidR="00580525" w:rsidRDefault="00580525" w:rsidP="00406810">
      <w:pPr>
        <w:spacing w:before="60" w:after="60"/>
        <w:rPr>
          <w:rFonts w:eastAsia="MS Mincho"/>
          <w:lang w:val="en-AU" w:eastAsia="ja-JP"/>
        </w:rPr>
      </w:pPr>
      <w:r>
        <w:rPr>
          <w:rFonts w:eastAsia="MS Mincho"/>
          <w:lang w:val="en-AU" w:eastAsia="ja-JP"/>
        </w:rPr>
        <w:t>Under Stronger</w:t>
      </w:r>
      <w:r w:rsidR="00786A79" w:rsidRPr="006F126B">
        <w:rPr>
          <w:rFonts w:eastAsia="MS Mincho"/>
          <w:lang w:val="en-AU" w:eastAsia="ja-JP"/>
        </w:rPr>
        <w:t xml:space="preserve"> Futures in the NT, key policy objective</w:t>
      </w:r>
      <w:r w:rsidR="009A345F">
        <w:rPr>
          <w:rFonts w:eastAsia="MS Mincho"/>
          <w:lang w:val="en-AU" w:eastAsia="ja-JP"/>
        </w:rPr>
        <w:t>s</w:t>
      </w:r>
      <w:r w:rsidR="00786A79" w:rsidRPr="006F126B">
        <w:rPr>
          <w:rFonts w:eastAsia="MS Mincho"/>
          <w:lang w:val="en-AU" w:eastAsia="ja-JP"/>
        </w:rPr>
        <w:t xml:space="preserve"> </w:t>
      </w:r>
      <w:r w:rsidR="009A345F">
        <w:rPr>
          <w:rFonts w:eastAsia="MS Mincho"/>
          <w:lang w:val="en-AU" w:eastAsia="ja-JP"/>
        </w:rPr>
        <w:t>include</w:t>
      </w:r>
      <w:r w:rsidR="00786A79" w:rsidRPr="006F126B">
        <w:rPr>
          <w:rFonts w:eastAsia="MS Mincho"/>
          <w:lang w:val="en-AU" w:eastAsia="ja-JP"/>
        </w:rPr>
        <w:t xml:space="preserve"> ensur</w:t>
      </w:r>
      <w:r w:rsidR="009A345F">
        <w:rPr>
          <w:rFonts w:eastAsia="MS Mincho"/>
          <w:lang w:val="en-AU" w:eastAsia="ja-JP"/>
        </w:rPr>
        <w:t>ing</w:t>
      </w:r>
      <w:r w:rsidR="00786A79" w:rsidRPr="006F126B">
        <w:rPr>
          <w:rFonts w:eastAsia="MS Mincho"/>
          <w:lang w:val="en-AU" w:eastAsia="ja-JP"/>
        </w:rPr>
        <w:t xml:space="preserve"> that</w:t>
      </w:r>
      <w:r>
        <w:rPr>
          <w:rFonts w:eastAsia="MS Mincho"/>
          <w:lang w:val="en-AU" w:eastAsia="ja-JP"/>
        </w:rPr>
        <w:t>:</w:t>
      </w:r>
    </w:p>
    <w:p w:rsidR="00580525" w:rsidRDefault="00BF0889" w:rsidP="00D478BC">
      <w:pPr>
        <w:pStyle w:val="ListParagraph"/>
        <w:numPr>
          <w:ilvl w:val="0"/>
          <w:numId w:val="5"/>
        </w:numPr>
        <w:spacing w:before="60" w:after="60"/>
        <w:rPr>
          <w:rFonts w:eastAsia="MS Mincho"/>
          <w:lang w:val="en-AU" w:eastAsia="ja-JP"/>
        </w:rPr>
      </w:pPr>
      <w:r w:rsidRPr="00D478BC">
        <w:rPr>
          <w:rFonts w:eastAsia="MS Mincho"/>
          <w:lang w:val="en-AU" w:eastAsia="ja-JP"/>
        </w:rPr>
        <w:t>CLA</w:t>
      </w:r>
      <w:r w:rsidR="00786A79" w:rsidRPr="00D478BC">
        <w:rPr>
          <w:rFonts w:eastAsia="MS Mincho"/>
          <w:lang w:val="en-AU" w:eastAsia="ja-JP"/>
        </w:rPr>
        <w:t xml:space="preserve"> land owners have the same opportunities to </w:t>
      </w:r>
      <w:r w:rsidR="00AB49AE">
        <w:rPr>
          <w:rFonts w:eastAsia="MS Mincho"/>
          <w:lang w:val="en-AU" w:eastAsia="ja-JP"/>
        </w:rPr>
        <w:t xml:space="preserve">manage </w:t>
      </w:r>
      <w:r w:rsidR="00786A79" w:rsidRPr="00D478BC">
        <w:rPr>
          <w:rFonts w:eastAsia="MS Mincho"/>
          <w:lang w:val="en-AU" w:eastAsia="ja-JP"/>
        </w:rPr>
        <w:t>their land as other remote Indigenous communities in the NT</w:t>
      </w:r>
      <w:r w:rsidR="00580525">
        <w:rPr>
          <w:rFonts w:eastAsia="MS Mincho"/>
          <w:lang w:val="en-AU" w:eastAsia="ja-JP"/>
        </w:rPr>
        <w:t>,</w:t>
      </w:r>
      <w:r w:rsidR="00786A79" w:rsidRPr="00D478BC">
        <w:rPr>
          <w:rFonts w:eastAsia="MS Mincho"/>
          <w:lang w:val="en-AU" w:eastAsia="ja-JP"/>
        </w:rPr>
        <w:t xml:space="preserve"> and</w:t>
      </w:r>
    </w:p>
    <w:p w:rsidR="00AC45F1" w:rsidRPr="00D478BC" w:rsidRDefault="00786A79" w:rsidP="00D478BC">
      <w:pPr>
        <w:pStyle w:val="ListParagraph"/>
        <w:numPr>
          <w:ilvl w:val="0"/>
          <w:numId w:val="5"/>
        </w:numPr>
        <w:spacing w:before="60" w:after="60"/>
        <w:rPr>
          <w:rFonts w:eastAsia="MS Mincho"/>
          <w:lang w:val="en-AU" w:eastAsia="ja-JP"/>
        </w:rPr>
      </w:pPr>
      <w:r w:rsidRPr="00D478BC">
        <w:rPr>
          <w:rFonts w:eastAsia="MS Mincho"/>
          <w:lang w:val="en-AU" w:eastAsia="ja-JP"/>
        </w:rPr>
        <w:t xml:space="preserve">that CLA land owners can access similar support and assistance to that which Aboriginal land owners have under the </w:t>
      </w:r>
      <w:r w:rsidRPr="00580525">
        <w:rPr>
          <w:rFonts w:cs="Arial"/>
          <w:i/>
          <w:lang w:val="en-AU"/>
        </w:rPr>
        <w:t>Aboriginal Land Rights (Northern Territory) Act 1976</w:t>
      </w:r>
      <w:r w:rsidRPr="00580525">
        <w:rPr>
          <w:rFonts w:cs="Arial"/>
          <w:lang w:val="en-AU"/>
        </w:rPr>
        <w:t xml:space="preserve"> (</w:t>
      </w:r>
      <w:r w:rsidRPr="00D478BC">
        <w:rPr>
          <w:rFonts w:eastAsia="MS Mincho"/>
          <w:lang w:val="en-AU" w:eastAsia="ja-JP"/>
        </w:rPr>
        <w:t>ALRA).</w:t>
      </w:r>
    </w:p>
    <w:p w:rsidR="00376D8C" w:rsidRPr="006F126B" w:rsidRDefault="00376D8C" w:rsidP="00180D2B">
      <w:pPr>
        <w:spacing w:after="0" w:line="240" w:lineRule="auto"/>
        <w:rPr>
          <w:rFonts w:eastAsia="MS Mincho"/>
          <w:lang w:val="en-AU" w:eastAsia="ja-JP"/>
        </w:rPr>
      </w:pPr>
    </w:p>
    <w:p w:rsidR="00B87468" w:rsidRDefault="00A804CD" w:rsidP="00180D2B">
      <w:pPr>
        <w:pStyle w:val="ListParagraph"/>
        <w:autoSpaceDE w:val="0"/>
        <w:autoSpaceDN w:val="0"/>
        <w:adjustRightInd w:val="0"/>
        <w:spacing w:before="60" w:after="60"/>
        <w:ind w:left="0"/>
        <w:rPr>
          <w:rFonts w:cs="Arial"/>
          <w:lang w:val="en-AU"/>
        </w:rPr>
        <w:sectPr w:rsidR="00B87468" w:rsidSect="00641B16">
          <w:headerReference w:type="default" r:id="rId10"/>
          <w:pgSz w:w="11906" w:h="16838"/>
          <w:pgMar w:top="2127" w:right="1440" w:bottom="993" w:left="1440" w:header="708" w:footer="708" w:gutter="0"/>
          <w:cols w:space="708"/>
          <w:docGrid w:linePitch="360"/>
        </w:sectPr>
      </w:pPr>
      <w:r w:rsidRPr="0090533B">
        <w:rPr>
          <w:rFonts w:cs="Arial"/>
          <w:lang w:val="en-AU"/>
        </w:rPr>
        <w:t xml:space="preserve">The </w:t>
      </w:r>
      <w:r w:rsidR="00580525" w:rsidRPr="0090533B">
        <w:rPr>
          <w:rFonts w:cs="Arial"/>
          <w:lang w:val="en-AU"/>
        </w:rPr>
        <w:t>CLA land r</w:t>
      </w:r>
      <w:r w:rsidR="00376D8C" w:rsidRPr="0090533B">
        <w:rPr>
          <w:rFonts w:cs="Arial"/>
          <w:lang w:val="en-AU"/>
        </w:rPr>
        <w:t>eform</w:t>
      </w:r>
      <w:r w:rsidRPr="0090533B">
        <w:rPr>
          <w:rFonts w:cs="Arial"/>
          <w:lang w:val="en-AU"/>
        </w:rPr>
        <w:t>s will aim to</w:t>
      </w:r>
      <w:r w:rsidR="00376D8C" w:rsidRPr="00D02B88">
        <w:rPr>
          <w:rFonts w:cs="Arial"/>
          <w:lang w:val="en-AU"/>
        </w:rPr>
        <w:t xml:space="preserve"> provide a </w:t>
      </w:r>
      <w:r w:rsidR="00580525" w:rsidRPr="00D02B88">
        <w:rPr>
          <w:rFonts w:cs="Arial"/>
          <w:lang w:val="en-AU"/>
        </w:rPr>
        <w:t>better</w:t>
      </w:r>
      <w:r w:rsidR="00376D8C" w:rsidRPr="00D02B88">
        <w:rPr>
          <w:rFonts w:cs="Arial"/>
          <w:lang w:val="en-AU"/>
        </w:rPr>
        <w:t xml:space="preserve"> environment for service delivery and government investment in infrastructure. For example, </w:t>
      </w:r>
      <w:r w:rsidR="00AC52BA" w:rsidRPr="00D02B88">
        <w:rPr>
          <w:rFonts w:cs="Arial"/>
          <w:lang w:val="en-AU"/>
        </w:rPr>
        <w:t xml:space="preserve">enabling commercial leasing </w:t>
      </w:r>
      <w:r w:rsidR="00AC52BA" w:rsidRPr="00051065">
        <w:rPr>
          <w:rFonts w:cs="Arial"/>
          <w:lang w:val="en-AU"/>
        </w:rPr>
        <w:t xml:space="preserve">on CLA </w:t>
      </w:r>
      <w:r w:rsidR="00AC52BA" w:rsidRPr="0090533B">
        <w:rPr>
          <w:rFonts w:cs="Arial"/>
          <w:lang w:val="en-AU"/>
        </w:rPr>
        <w:t xml:space="preserve">land so that it is possible to </w:t>
      </w:r>
      <w:r w:rsidR="00376D8C" w:rsidRPr="0090533B">
        <w:rPr>
          <w:rFonts w:cs="Arial"/>
          <w:lang w:val="en-AU"/>
        </w:rPr>
        <w:t xml:space="preserve">upgrade stores </w:t>
      </w:r>
      <w:r w:rsidR="00AC52BA" w:rsidRPr="0090533B">
        <w:rPr>
          <w:rFonts w:cs="Arial"/>
          <w:lang w:val="en-AU"/>
        </w:rPr>
        <w:t>in</w:t>
      </w:r>
      <w:r w:rsidR="00A435D1">
        <w:rPr>
          <w:rFonts w:cs="Arial"/>
          <w:lang w:val="en-AU"/>
        </w:rPr>
        <w:t xml:space="preserve"> CLA</w:t>
      </w:r>
      <w:r w:rsidR="00AC52BA" w:rsidRPr="0090533B">
        <w:rPr>
          <w:rFonts w:cs="Arial"/>
          <w:lang w:val="en-AU"/>
        </w:rPr>
        <w:t xml:space="preserve"> communities already marked for investment </w:t>
      </w:r>
      <w:r w:rsidR="00376D8C" w:rsidRPr="0090533B">
        <w:rPr>
          <w:rFonts w:cs="Arial"/>
          <w:lang w:val="en-AU"/>
        </w:rPr>
        <w:t>through the Aboriginals Benefit Account Community Stores Infrastructure Project</w:t>
      </w:r>
      <w:r w:rsidR="00AC52BA" w:rsidRPr="00D02B88">
        <w:rPr>
          <w:rFonts w:cs="Arial"/>
          <w:lang w:val="en-AU"/>
        </w:rPr>
        <w:t>.</w:t>
      </w:r>
      <w:r w:rsidR="002A311C">
        <w:rPr>
          <w:rStyle w:val="FootnoteReference"/>
          <w:rFonts w:cs="Arial"/>
          <w:lang w:val="en-AU"/>
        </w:rPr>
        <w:footnoteReference w:id="1"/>
      </w:r>
    </w:p>
    <w:p w:rsidR="00AC45F1" w:rsidRPr="006F126B" w:rsidRDefault="00051065" w:rsidP="00180D2B">
      <w:pPr>
        <w:pStyle w:val="ListParagraph"/>
        <w:autoSpaceDE w:val="0"/>
        <w:autoSpaceDN w:val="0"/>
        <w:adjustRightInd w:val="0"/>
        <w:spacing w:before="60" w:after="60"/>
        <w:ind w:left="0"/>
        <w:rPr>
          <w:rFonts w:cs="Arial"/>
          <w:lang w:val="en-AU"/>
        </w:rPr>
      </w:pPr>
      <w:bookmarkStart w:id="0" w:name="_GoBack"/>
      <w:bookmarkEnd w:id="0"/>
      <w:r>
        <w:rPr>
          <w:rFonts w:eastAsia="MS Mincho"/>
          <w:lang w:val="en-AU" w:eastAsia="ja-JP"/>
        </w:rPr>
        <w:lastRenderedPageBreak/>
        <w:t xml:space="preserve">The Australian Government demonstrated its commitment to implementing CLA reform in the Stronger Futures legislation. </w:t>
      </w:r>
      <w:r w:rsidR="00AC45F1" w:rsidRPr="006F126B">
        <w:rPr>
          <w:rFonts w:cs="Arial"/>
          <w:lang w:val="en-AU"/>
        </w:rPr>
        <w:t>The Government envisages a possible staged reform process</w:t>
      </w:r>
      <w:r w:rsidR="00DE7545" w:rsidRPr="006F126B">
        <w:rPr>
          <w:rFonts w:cs="Arial"/>
          <w:lang w:val="en-AU"/>
        </w:rPr>
        <w:t>. This could</w:t>
      </w:r>
      <w:r w:rsidR="00AC45F1" w:rsidRPr="006F126B">
        <w:rPr>
          <w:rFonts w:cs="Arial"/>
          <w:lang w:val="en-AU"/>
        </w:rPr>
        <w:t xml:space="preserve"> includ</w:t>
      </w:r>
      <w:r w:rsidR="00DE7545" w:rsidRPr="006F126B">
        <w:rPr>
          <w:rFonts w:cs="Arial"/>
          <w:lang w:val="en-AU"/>
        </w:rPr>
        <w:t>e</w:t>
      </w:r>
      <w:r w:rsidR="00AC45F1" w:rsidRPr="006F126B">
        <w:rPr>
          <w:rFonts w:cs="Arial"/>
          <w:lang w:val="en-AU"/>
        </w:rPr>
        <w:t xml:space="preserve"> immediate reforms to address short term priorities </w:t>
      </w:r>
      <w:r w:rsidR="007C6F68">
        <w:rPr>
          <w:rFonts w:cs="Arial"/>
          <w:lang w:val="en-AU"/>
        </w:rPr>
        <w:t xml:space="preserve">for </w:t>
      </w:r>
      <w:r w:rsidR="00AC45F1" w:rsidRPr="006F126B">
        <w:rPr>
          <w:rFonts w:cs="Arial"/>
          <w:lang w:val="en-AU"/>
        </w:rPr>
        <w:t>CLA communities</w:t>
      </w:r>
      <w:r w:rsidR="00DE7545" w:rsidRPr="006F126B">
        <w:rPr>
          <w:rFonts w:cs="Arial"/>
          <w:lang w:val="en-AU"/>
        </w:rPr>
        <w:t>,</w:t>
      </w:r>
      <w:r w:rsidR="00AC45F1" w:rsidRPr="006F126B">
        <w:rPr>
          <w:rFonts w:cs="Arial"/>
          <w:lang w:val="en-AU"/>
        </w:rPr>
        <w:t xml:space="preserve"> and longer term reforms </w:t>
      </w:r>
      <w:r w:rsidR="00DE7545" w:rsidRPr="006F126B">
        <w:rPr>
          <w:rFonts w:cs="Arial"/>
          <w:lang w:val="en-AU"/>
        </w:rPr>
        <w:t xml:space="preserve">that </w:t>
      </w:r>
      <w:r w:rsidR="00AC45F1" w:rsidRPr="006F126B">
        <w:rPr>
          <w:rFonts w:cs="Arial"/>
          <w:lang w:val="en-AU"/>
        </w:rPr>
        <w:t xml:space="preserve">are likely to require more extensive consultation, consideration and development </w:t>
      </w:r>
      <w:r w:rsidR="00580525">
        <w:rPr>
          <w:rFonts w:cs="Arial"/>
          <w:lang w:val="en-AU"/>
        </w:rPr>
        <w:t>before they can be implemented</w:t>
      </w:r>
      <w:r w:rsidR="00AC45F1" w:rsidRPr="006F126B">
        <w:rPr>
          <w:rFonts w:cs="Arial"/>
          <w:lang w:val="en-AU"/>
        </w:rPr>
        <w:t xml:space="preserve">. </w:t>
      </w:r>
    </w:p>
    <w:p w:rsidR="00376D8C" w:rsidRPr="006F126B" w:rsidRDefault="00376D8C" w:rsidP="00376D8C">
      <w:pPr>
        <w:pStyle w:val="ListParagraph"/>
        <w:autoSpaceDE w:val="0"/>
        <w:autoSpaceDN w:val="0"/>
        <w:adjustRightInd w:val="0"/>
        <w:spacing w:before="60" w:after="60"/>
        <w:ind w:left="0"/>
        <w:rPr>
          <w:rFonts w:cs="Arial"/>
          <w:lang w:val="en-AU"/>
        </w:rPr>
      </w:pPr>
    </w:p>
    <w:p w:rsidR="00406810" w:rsidRPr="006F126B" w:rsidRDefault="00406810" w:rsidP="00406810">
      <w:pPr>
        <w:spacing w:before="60" w:after="60"/>
        <w:rPr>
          <w:rFonts w:cs="Arial"/>
          <w:lang w:val="en-AU"/>
        </w:rPr>
      </w:pPr>
      <w:r w:rsidRPr="006F126B">
        <w:rPr>
          <w:rFonts w:cs="Arial"/>
          <w:lang w:val="en-AU"/>
        </w:rPr>
        <w:t>The scope of th</w:t>
      </w:r>
      <w:r w:rsidR="00991040">
        <w:rPr>
          <w:rFonts w:cs="Arial"/>
          <w:lang w:val="en-AU"/>
        </w:rPr>
        <w:t>ese</w:t>
      </w:r>
      <w:r w:rsidRPr="006F126B">
        <w:rPr>
          <w:rFonts w:cs="Arial"/>
          <w:lang w:val="en-AU"/>
        </w:rPr>
        <w:t xml:space="preserve"> reform</w:t>
      </w:r>
      <w:r w:rsidR="00991040">
        <w:rPr>
          <w:rFonts w:cs="Arial"/>
          <w:lang w:val="en-AU"/>
        </w:rPr>
        <w:t>s</w:t>
      </w:r>
      <w:r w:rsidRPr="006F126B">
        <w:rPr>
          <w:rFonts w:cs="Arial"/>
          <w:lang w:val="en-AU"/>
        </w:rPr>
        <w:t xml:space="preserve"> </w:t>
      </w:r>
      <w:r w:rsidR="00991040">
        <w:rPr>
          <w:rFonts w:cs="Arial"/>
          <w:lang w:val="en-AU"/>
        </w:rPr>
        <w:t xml:space="preserve">is </w:t>
      </w:r>
      <w:r w:rsidR="00991040" w:rsidRPr="006F126B">
        <w:rPr>
          <w:rFonts w:cs="Arial"/>
          <w:lang w:val="en-AU"/>
        </w:rPr>
        <w:t xml:space="preserve">designed to drive increased options for land owners and greater certainty in land dealings for the existing CLA </w:t>
      </w:r>
      <w:r w:rsidR="00991040" w:rsidRPr="00707058">
        <w:rPr>
          <w:rFonts w:cs="Arial"/>
          <w:lang w:val="en-AU"/>
        </w:rPr>
        <w:t>estate. The</w:t>
      </w:r>
      <w:r w:rsidRPr="00707058">
        <w:rPr>
          <w:rFonts w:cs="Arial"/>
          <w:lang w:val="en-AU"/>
        </w:rPr>
        <w:t xml:space="preserve"> </w:t>
      </w:r>
      <w:r w:rsidR="000335BC" w:rsidRPr="00707058">
        <w:rPr>
          <w:rFonts w:cs="Arial"/>
          <w:lang w:val="en-AU"/>
        </w:rPr>
        <w:t xml:space="preserve">focus of the </w:t>
      </w:r>
      <w:r w:rsidR="00991040" w:rsidRPr="00707058">
        <w:rPr>
          <w:rFonts w:cs="Arial"/>
          <w:lang w:val="en-AU"/>
        </w:rPr>
        <w:t xml:space="preserve">reforms </w:t>
      </w:r>
      <w:r w:rsidR="000335BC" w:rsidRPr="00707058">
        <w:rPr>
          <w:rFonts w:cs="Arial"/>
          <w:lang w:val="en-AU"/>
        </w:rPr>
        <w:t>is</w:t>
      </w:r>
      <w:r w:rsidR="00991040" w:rsidRPr="00707058">
        <w:rPr>
          <w:rFonts w:cs="Arial"/>
          <w:lang w:val="en-AU"/>
        </w:rPr>
        <w:t xml:space="preserve"> </w:t>
      </w:r>
      <w:r w:rsidRPr="00707058">
        <w:rPr>
          <w:rFonts w:cs="Arial"/>
          <w:lang w:val="en-AU"/>
        </w:rPr>
        <w:t xml:space="preserve">not </w:t>
      </w:r>
      <w:r w:rsidR="000335BC" w:rsidRPr="00707058">
        <w:rPr>
          <w:rFonts w:cs="Arial"/>
          <w:lang w:val="en-AU"/>
        </w:rPr>
        <w:t>on</w:t>
      </w:r>
      <w:r w:rsidR="00991040" w:rsidRPr="00707058">
        <w:rPr>
          <w:rFonts w:cs="Arial"/>
          <w:lang w:val="en-AU"/>
        </w:rPr>
        <w:t xml:space="preserve"> </w:t>
      </w:r>
      <w:r w:rsidRPr="00707058">
        <w:rPr>
          <w:rFonts w:cs="Arial"/>
          <w:lang w:val="en-AU"/>
        </w:rPr>
        <w:t>the</w:t>
      </w:r>
      <w:r w:rsidR="002612CB" w:rsidRPr="00707058">
        <w:rPr>
          <w:rFonts w:cs="Arial"/>
          <w:lang w:val="en-AU"/>
        </w:rPr>
        <w:t xml:space="preserve"> current</w:t>
      </w:r>
      <w:r w:rsidRPr="00707058">
        <w:rPr>
          <w:rFonts w:cs="Arial"/>
          <w:lang w:val="en-AU"/>
        </w:rPr>
        <w:t xml:space="preserve"> claim and grant processes for CLA land</w:t>
      </w:r>
      <w:r w:rsidR="007C6F68" w:rsidRPr="00707058">
        <w:rPr>
          <w:rFonts w:cs="Arial"/>
          <w:lang w:val="en-AU"/>
        </w:rPr>
        <w:t>.</w:t>
      </w:r>
      <w:r w:rsidRPr="00707058">
        <w:rPr>
          <w:rFonts w:cs="Arial"/>
          <w:lang w:val="en-AU"/>
        </w:rPr>
        <w:t xml:space="preserve"> </w:t>
      </w:r>
      <w:r w:rsidR="007C6F68" w:rsidRPr="00707058">
        <w:rPr>
          <w:rFonts w:cs="Arial"/>
          <w:lang w:val="en-AU"/>
        </w:rPr>
        <w:t>P</w:t>
      </w:r>
      <w:r w:rsidR="00991040" w:rsidRPr="00707058">
        <w:rPr>
          <w:rFonts w:cs="Arial"/>
          <w:lang w:val="en-AU"/>
        </w:rPr>
        <w:t xml:space="preserve">revious </w:t>
      </w:r>
      <w:r w:rsidRPr="00707058">
        <w:rPr>
          <w:rFonts w:cs="Arial"/>
          <w:lang w:val="en-AU"/>
        </w:rPr>
        <w:t>Australian and NT Government agreements</w:t>
      </w:r>
      <w:r w:rsidR="002612CB" w:rsidRPr="00707058">
        <w:rPr>
          <w:rFonts w:cs="Arial"/>
          <w:lang w:val="en-AU"/>
        </w:rPr>
        <w:t xml:space="preserve"> h</w:t>
      </w:r>
      <w:r w:rsidR="00051065" w:rsidRPr="00707058">
        <w:rPr>
          <w:rFonts w:cs="Arial"/>
          <w:lang w:val="en-AU"/>
        </w:rPr>
        <w:t>ave included improvements to th</w:t>
      </w:r>
      <w:r w:rsidR="007C6F68" w:rsidRPr="00707058">
        <w:rPr>
          <w:rFonts w:cs="Arial"/>
          <w:lang w:val="en-AU"/>
        </w:rPr>
        <w:t>e claim and grant</w:t>
      </w:r>
      <w:r w:rsidR="002612CB" w:rsidRPr="00707058">
        <w:rPr>
          <w:rFonts w:cs="Arial"/>
          <w:lang w:val="en-AU"/>
        </w:rPr>
        <w:t xml:space="preserve"> process</w:t>
      </w:r>
      <w:r w:rsidRPr="00707058">
        <w:rPr>
          <w:rFonts w:cs="Arial"/>
          <w:lang w:val="en-AU"/>
        </w:rPr>
        <w:t>.</w:t>
      </w:r>
    </w:p>
    <w:p w:rsidR="007E0350" w:rsidRPr="006F126B" w:rsidRDefault="007E0350" w:rsidP="001B41B7">
      <w:pPr>
        <w:pStyle w:val="Heading1"/>
        <w:rPr>
          <w:rStyle w:val="BookTitle"/>
          <w:b w:val="0"/>
          <w:i w:val="0"/>
          <w:iCs w:val="0"/>
          <w:smallCaps w:val="0"/>
          <w:color w:val="E36C0A" w:themeColor="accent6" w:themeShade="BF"/>
          <w:spacing w:val="0"/>
          <w:lang w:val="en-AU"/>
        </w:rPr>
      </w:pPr>
      <w:r w:rsidRPr="006F126B">
        <w:rPr>
          <w:rStyle w:val="BookTitle"/>
          <w:i w:val="0"/>
          <w:iCs w:val="0"/>
          <w:smallCaps w:val="0"/>
          <w:color w:val="E36C0A" w:themeColor="accent6" w:themeShade="BF"/>
          <w:spacing w:val="0"/>
          <w:lang w:val="en-AU"/>
        </w:rPr>
        <w:t>Background</w:t>
      </w:r>
    </w:p>
    <w:p w:rsidR="007E0350" w:rsidRPr="006F126B" w:rsidRDefault="007E0350" w:rsidP="007E0350">
      <w:pPr>
        <w:spacing w:before="60" w:after="60"/>
        <w:rPr>
          <w:rFonts w:cs="Arial"/>
          <w:lang w:val="en-AU"/>
        </w:rPr>
      </w:pPr>
      <w:r w:rsidRPr="006F126B">
        <w:rPr>
          <w:rFonts w:cs="Arial"/>
          <w:lang w:val="en-AU"/>
        </w:rPr>
        <w:t xml:space="preserve">There are </w:t>
      </w:r>
      <w:r>
        <w:rPr>
          <w:rFonts w:cs="Arial"/>
          <w:lang w:val="en-AU"/>
        </w:rPr>
        <w:t>more than</w:t>
      </w:r>
      <w:r w:rsidRPr="006F126B">
        <w:rPr>
          <w:rFonts w:cs="Arial"/>
          <w:lang w:val="en-AU"/>
        </w:rPr>
        <w:t xml:space="preserve"> 100 Aboriginal communities on CLA land in the NT. A CLA is a small portion of land </w:t>
      </w:r>
      <w:r>
        <w:rPr>
          <w:rFonts w:cs="Arial"/>
          <w:lang w:val="en-AU"/>
        </w:rPr>
        <w:t>granted out of</w:t>
      </w:r>
      <w:r w:rsidRPr="006F126B">
        <w:rPr>
          <w:rFonts w:cs="Arial"/>
          <w:lang w:val="en-AU"/>
        </w:rPr>
        <w:t xml:space="preserve"> a pastoral lease as conditional freehold to an Aboriginal community or family for residential purposes</w:t>
      </w:r>
      <w:r>
        <w:rPr>
          <w:rFonts w:cs="Arial"/>
          <w:lang w:val="en-AU"/>
        </w:rPr>
        <w:t>,</w:t>
      </w:r>
      <w:r w:rsidRPr="006F126B">
        <w:rPr>
          <w:rFonts w:cs="Arial"/>
          <w:lang w:val="en-AU"/>
        </w:rPr>
        <w:t xml:space="preserve"> </w:t>
      </w:r>
      <w:r>
        <w:rPr>
          <w:rFonts w:cs="Arial"/>
          <w:lang w:val="en-AU"/>
        </w:rPr>
        <w:t>where</w:t>
      </w:r>
      <w:r w:rsidRPr="006F126B">
        <w:rPr>
          <w:rFonts w:cs="Arial"/>
          <w:lang w:val="en-AU"/>
        </w:rPr>
        <w:t xml:space="preserve"> Aboriginal people </w:t>
      </w:r>
      <w:r>
        <w:rPr>
          <w:rFonts w:cs="Arial"/>
          <w:lang w:val="en-AU"/>
        </w:rPr>
        <w:t>did</w:t>
      </w:r>
      <w:r w:rsidRPr="006F126B">
        <w:rPr>
          <w:rFonts w:cs="Arial"/>
          <w:lang w:val="en-AU"/>
        </w:rPr>
        <w:t xml:space="preserve"> not benefit fro</w:t>
      </w:r>
      <w:r w:rsidR="000B1D63">
        <w:rPr>
          <w:rFonts w:cs="Arial"/>
          <w:lang w:val="en-AU"/>
        </w:rPr>
        <w:t xml:space="preserve">m land granted under the ALRA. </w:t>
      </w:r>
      <w:proofErr w:type="gramStart"/>
      <w:r w:rsidRPr="006F126B">
        <w:rPr>
          <w:rFonts w:cs="Arial"/>
          <w:lang w:val="en-AU"/>
        </w:rPr>
        <w:t xml:space="preserve">CLAs have been created, granted </w:t>
      </w:r>
      <w:r>
        <w:rPr>
          <w:rFonts w:cs="Arial"/>
          <w:lang w:val="en-AU"/>
        </w:rPr>
        <w:t>and/</w:t>
      </w:r>
      <w:r w:rsidRPr="006F126B">
        <w:rPr>
          <w:rFonts w:cs="Arial"/>
          <w:lang w:val="en-AU"/>
        </w:rPr>
        <w:t xml:space="preserve">or converted </w:t>
      </w:r>
      <w:r>
        <w:rPr>
          <w:rFonts w:cs="Arial"/>
          <w:lang w:val="en-AU"/>
        </w:rPr>
        <w:t>in</w:t>
      </w:r>
      <w:r w:rsidRPr="006F126B">
        <w:rPr>
          <w:rFonts w:cs="Arial"/>
          <w:lang w:val="en-AU"/>
        </w:rPr>
        <w:t xml:space="preserve"> </w:t>
      </w:r>
      <w:r>
        <w:rPr>
          <w:rFonts w:cs="Arial"/>
          <w:lang w:val="en-AU"/>
        </w:rPr>
        <w:t>several</w:t>
      </w:r>
      <w:r w:rsidRPr="006F126B">
        <w:rPr>
          <w:rFonts w:cs="Arial"/>
          <w:lang w:val="en-AU"/>
        </w:rPr>
        <w:t xml:space="preserve"> </w:t>
      </w:r>
      <w:r>
        <w:rPr>
          <w:rFonts w:cs="Arial"/>
          <w:lang w:val="en-AU"/>
        </w:rPr>
        <w:t>ways</w:t>
      </w:r>
      <w:r w:rsidRPr="006F126B">
        <w:rPr>
          <w:rFonts w:cs="Arial"/>
          <w:lang w:val="en-AU"/>
        </w:rPr>
        <w:t xml:space="preserve"> </w:t>
      </w:r>
      <w:r>
        <w:rPr>
          <w:rFonts w:cs="Arial"/>
          <w:lang w:val="en-AU"/>
        </w:rPr>
        <w:t>through</w:t>
      </w:r>
      <w:r w:rsidRPr="006F126B">
        <w:rPr>
          <w:rFonts w:cs="Arial"/>
          <w:lang w:val="en-AU"/>
        </w:rPr>
        <w:t xml:space="preserve"> NT legislation (see </w:t>
      </w:r>
      <w:r w:rsidRPr="006F126B">
        <w:rPr>
          <w:rFonts w:cs="Arial"/>
          <w:b/>
          <w:lang w:val="en-AU"/>
        </w:rPr>
        <w:t>Appendix A</w:t>
      </w:r>
      <w:r w:rsidRPr="006F126B">
        <w:rPr>
          <w:rFonts w:cs="Arial"/>
          <w:lang w:val="en-AU"/>
        </w:rPr>
        <w:t>).</w:t>
      </w:r>
      <w:proofErr w:type="gramEnd"/>
      <w:r w:rsidR="002A311C">
        <w:rPr>
          <w:rStyle w:val="FootnoteReference"/>
          <w:rFonts w:cs="Arial"/>
          <w:lang w:val="en-AU"/>
        </w:rPr>
        <w:footnoteReference w:id="2"/>
      </w:r>
      <w:r w:rsidRPr="006F126B">
        <w:rPr>
          <w:lang w:val="en-AU"/>
        </w:rPr>
        <w:t xml:space="preserve"> </w:t>
      </w:r>
      <w:r w:rsidRPr="006F126B">
        <w:rPr>
          <w:rFonts w:cs="Arial"/>
          <w:lang w:val="en-AU"/>
        </w:rPr>
        <w:t xml:space="preserve">The legislative and administrative framework which currently applies to CLA land has contributed to uncertainty for CLA land owners in dealing with their land, </w:t>
      </w:r>
      <w:r>
        <w:rPr>
          <w:rFonts w:cs="Arial"/>
          <w:lang w:val="en-AU"/>
        </w:rPr>
        <w:t>particularly</w:t>
      </w:r>
      <w:r w:rsidRPr="006F126B">
        <w:rPr>
          <w:rFonts w:cs="Arial"/>
          <w:lang w:val="en-AU"/>
        </w:rPr>
        <w:t xml:space="preserve"> for commercial development and the provision of key government services. This situation is unsustainable, particularly for larger CLA communities.</w:t>
      </w:r>
    </w:p>
    <w:p w:rsidR="007E0350" w:rsidRDefault="007E0350" w:rsidP="007E0350">
      <w:pPr>
        <w:spacing w:before="60" w:after="60"/>
        <w:rPr>
          <w:rFonts w:cs="Arial"/>
          <w:lang w:val="en-AU"/>
        </w:rPr>
      </w:pPr>
    </w:p>
    <w:p w:rsidR="007E0350" w:rsidRDefault="007E0350" w:rsidP="007E0350">
      <w:pPr>
        <w:spacing w:before="60" w:after="60"/>
        <w:rPr>
          <w:rFonts w:cs="Arial"/>
          <w:lang w:val="en-AU"/>
        </w:rPr>
      </w:pPr>
      <w:r w:rsidRPr="006F126B">
        <w:rPr>
          <w:rFonts w:cs="Arial"/>
          <w:lang w:val="en-AU"/>
        </w:rPr>
        <w:t xml:space="preserve">Due to the </w:t>
      </w:r>
      <w:r>
        <w:rPr>
          <w:rFonts w:cs="Arial"/>
          <w:lang w:val="en-AU"/>
        </w:rPr>
        <w:t xml:space="preserve">long standing and landmark </w:t>
      </w:r>
      <w:r w:rsidRPr="006F126B">
        <w:rPr>
          <w:rFonts w:cs="Arial"/>
          <w:lang w:val="en-AU"/>
        </w:rPr>
        <w:t>ALRA and the Stronger Futures legislation</w:t>
      </w:r>
      <w:r w:rsidR="002A311C">
        <w:rPr>
          <w:rStyle w:val="FootnoteReference"/>
          <w:rFonts w:cs="Arial"/>
          <w:lang w:val="en-AU"/>
        </w:rPr>
        <w:footnoteReference w:id="3"/>
      </w:r>
      <w:r w:rsidRPr="006F126B">
        <w:rPr>
          <w:rFonts w:cs="Arial"/>
          <w:lang w:val="en-AU"/>
        </w:rPr>
        <w:t>, the Australian Government is uniquely placed in the</w:t>
      </w:r>
      <w:r w:rsidRPr="006F126B">
        <w:rPr>
          <w:i/>
          <w:iCs/>
          <w:smallCaps/>
          <w:lang w:val="en-AU"/>
        </w:rPr>
        <w:t xml:space="preserve"> </w:t>
      </w:r>
      <w:r w:rsidRPr="006F126B">
        <w:rPr>
          <w:rFonts w:cs="Arial"/>
          <w:lang w:val="en-AU"/>
        </w:rPr>
        <w:t>NT to assist land owners and stakeholders to advance CLA land reform.</w:t>
      </w:r>
      <w:r>
        <w:rPr>
          <w:rFonts w:cs="Arial"/>
          <w:lang w:val="en-AU"/>
        </w:rPr>
        <w:t xml:space="preserve"> </w:t>
      </w:r>
      <w:r w:rsidRPr="006F126B">
        <w:rPr>
          <w:rFonts w:cs="Arial"/>
          <w:lang w:val="en-AU"/>
        </w:rPr>
        <w:t>NT Land Councils are Commonwealth statutory authorities under the ALRA</w:t>
      </w:r>
      <w:r>
        <w:rPr>
          <w:rFonts w:cs="Arial"/>
          <w:lang w:val="en-AU"/>
        </w:rPr>
        <w:t xml:space="preserve">. </w:t>
      </w:r>
    </w:p>
    <w:p w:rsidR="007E0350" w:rsidRDefault="007E0350" w:rsidP="007E0350">
      <w:pPr>
        <w:spacing w:before="60" w:after="60"/>
        <w:rPr>
          <w:rFonts w:cs="Arial"/>
          <w:lang w:val="en-AU"/>
        </w:rPr>
      </w:pPr>
    </w:p>
    <w:p w:rsidR="007E0350" w:rsidRDefault="007E0350" w:rsidP="007E0350">
      <w:pPr>
        <w:spacing w:before="60" w:after="60"/>
        <w:rPr>
          <w:rFonts w:cs="Arial"/>
          <w:lang w:val="en-AU"/>
        </w:rPr>
      </w:pPr>
      <w:r>
        <w:rPr>
          <w:rFonts w:cs="Arial"/>
          <w:lang w:val="en-AU"/>
        </w:rPr>
        <w:t xml:space="preserve">The Stronger Futures legislation allows the Australian Government to remove restrictions and impediments in NT legislation that currently affect the ability of CLA </w:t>
      </w:r>
      <w:r w:rsidR="000B1D63">
        <w:rPr>
          <w:rFonts w:cs="Arial"/>
          <w:lang w:val="en-AU"/>
        </w:rPr>
        <w:t xml:space="preserve">land owners to use their land. </w:t>
      </w:r>
      <w:r>
        <w:rPr>
          <w:rFonts w:cs="Arial"/>
          <w:lang w:val="en-AU"/>
        </w:rPr>
        <w:t xml:space="preserve">The Australian Government recognises the key role of the NT Government in CLA reform. </w:t>
      </w:r>
      <w:r w:rsidRPr="006F126B">
        <w:rPr>
          <w:rFonts w:cs="Arial"/>
          <w:lang w:val="en-AU"/>
        </w:rPr>
        <w:t>The Stronger Futures legislation does not prevent NT legislative amendments</w:t>
      </w:r>
      <w:r w:rsidR="00D26672">
        <w:rPr>
          <w:rFonts w:cs="Arial"/>
          <w:lang w:val="en-AU"/>
        </w:rPr>
        <w:t xml:space="preserve">, and can </w:t>
      </w:r>
      <w:r w:rsidRPr="00051065">
        <w:rPr>
          <w:rFonts w:cs="Arial"/>
          <w:lang w:val="en-AU"/>
        </w:rPr>
        <w:t>complement any NT improvements to CLA title.</w:t>
      </w:r>
    </w:p>
    <w:p w:rsidR="00641B16" w:rsidRDefault="00641B16">
      <w:pPr>
        <w:rPr>
          <w:rFonts w:cs="Arial"/>
          <w:lang w:val="en-AU"/>
        </w:rPr>
      </w:pPr>
      <w:r>
        <w:rPr>
          <w:rFonts w:cs="Arial"/>
          <w:lang w:val="en-AU"/>
        </w:rPr>
        <w:br w:type="page"/>
      </w:r>
    </w:p>
    <w:p w:rsidR="007E0350" w:rsidRPr="006868F5" w:rsidRDefault="007E0350" w:rsidP="007E0350">
      <w:pPr>
        <w:spacing w:before="60" w:after="60"/>
        <w:rPr>
          <w:rFonts w:cs="Arial"/>
          <w:lang w:val="en-AU"/>
        </w:rPr>
      </w:pPr>
      <w:r w:rsidRPr="006F126B">
        <w:rPr>
          <w:rFonts w:cs="Arial"/>
          <w:lang w:val="en-AU"/>
        </w:rPr>
        <w:lastRenderedPageBreak/>
        <w:t>In addition, the Stronger Futures legislation include</w:t>
      </w:r>
      <w:r>
        <w:rPr>
          <w:rFonts w:cs="Arial"/>
          <w:lang w:val="en-AU"/>
        </w:rPr>
        <w:t>d</w:t>
      </w:r>
      <w:r w:rsidRPr="006F126B">
        <w:rPr>
          <w:rFonts w:cs="Arial"/>
          <w:lang w:val="en-AU"/>
        </w:rPr>
        <w:t xml:space="preserve"> provisions that amended the ALRA</w:t>
      </w:r>
      <w:r>
        <w:rPr>
          <w:rFonts w:cs="Arial"/>
          <w:lang w:val="en-AU"/>
        </w:rPr>
        <w:t>,</w:t>
      </w:r>
      <w:r w:rsidRPr="006F126B">
        <w:rPr>
          <w:rFonts w:cs="Arial"/>
          <w:lang w:val="en-AU"/>
        </w:rPr>
        <w:t xml:space="preserve"> to allow CLA land owners to request assistance </w:t>
      </w:r>
      <w:r>
        <w:rPr>
          <w:rFonts w:cs="Arial"/>
          <w:lang w:val="en-AU"/>
        </w:rPr>
        <w:t>from</w:t>
      </w:r>
      <w:r w:rsidRPr="006F126B">
        <w:rPr>
          <w:rFonts w:cs="Arial"/>
          <w:lang w:val="en-AU"/>
        </w:rPr>
        <w:t xml:space="preserve"> the relevant Land Council in relation to dealings in their land</w:t>
      </w:r>
      <w:r>
        <w:rPr>
          <w:rFonts w:cs="Arial"/>
          <w:lang w:val="en-AU"/>
        </w:rPr>
        <w:t>.</w:t>
      </w:r>
      <w:r w:rsidRPr="006F126B">
        <w:rPr>
          <w:rFonts w:cs="Arial"/>
          <w:lang w:val="en-AU"/>
        </w:rPr>
        <w:t xml:space="preserve"> </w:t>
      </w:r>
      <w:r w:rsidR="007C6F68">
        <w:rPr>
          <w:rFonts w:cs="Arial"/>
          <w:lang w:val="en-AU"/>
        </w:rPr>
        <w:t>This is in</w:t>
      </w:r>
      <w:r>
        <w:rPr>
          <w:rFonts w:cs="Arial"/>
          <w:lang w:val="en-AU"/>
        </w:rPr>
        <w:t xml:space="preserve"> recognition of the considerable support Land Councils have provided to CLAs in the past. </w:t>
      </w:r>
      <w:r w:rsidRPr="006F126B">
        <w:rPr>
          <w:rFonts w:cs="Arial"/>
          <w:lang w:val="en-AU"/>
        </w:rPr>
        <w:t xml:space="preserve">This </w:t>
      </w:r>
      <w:r>
        <w:rPr>
          <w:rFonts w:cs="Arial"/>
          <w:lang w:val="en-AU"/>
        </w:rPr>
        <w:t xml:space="preserve">means that </w:t>
      </w:r>
      <w:r w:rsidRPr="006F126B">
        <w:rPr>
          <w:rFonts w:cs="Arial"/>
          <w:lang w:val="en-AU"/>
        </w:rPr>
        <w:t xml:space="preserve">CLA associations and corporations </w:t>
      </w:r>
      <w:r>
        <w:rPr>
          <w:rFonts w:cs="Arial"/>
          <w:lang w:val="en-AU"/>
        </w:rPr>
        <w:t xml:space="preserve">have </w:t>
      </w:r>
      <w:r w:rsidRPr="006F126B">
        <w:rPr>
          <w:rFonts w:cs="Arial"/>
          <w:lang w:val="en-AU"/>
        </w:rPr>
        <w:t>the necessary administrative and legal support to deal effectively with their land.</w:t>
      </w:r>
      <w:r w:rsidRPr="006F126B">
        <w:rPr>
          <w:rFonts w:eastAsia="Calibri" w:cs="Arial"/>
          <w:lang w:val="en-AU"/>
        </w:rPr>
        <w:t xml:space="preserve"> Relevant excerpts from the Stronger Futures</w:t>
      </w:r>
      <w:r>
        <w:rPr>
          <w:rFonts w:eastAsia="Calibri" w:cs="Arial"/>
          <w:lang w:val="en-AU"/>
        </w:rPr>
        <w:t xml:space="preserve"> </w:t>
      </w:r>
      <w:r w:rsidRPr="006F126B">
        <w:rPr>
          <w:rFonts w:eastAsia="Calibri" w:cs="Arial"/>
          <w:lang w:val="en-AU"/>
        </w:rPr>
        <w:t xml:space="preserve">legislation can be found at </w:t>
      </w:r>
      <w:r w:rsidRPr="006F126B">
        <w:rPr>
          <w:rFonts w:eastAsia="Calibri" w:cs="Arial"/>
          <w:b/>
          <w:lang w:val="en-AU"/>
        </w:rPr>
        <w:t>Appendix B</w:t>
      </w:r>
      <w:r>
        <w:rPr>
          <w:rFonts w:eastAsia="Calibri" w:cs="Arial"/>
          <w:lang w:val="en-AU"/>
        </w:rPr>
        <w:t>.</w:t>
      </w:r>
    </w:p>
    <w:p w:rsidR="007E0350" w:rsidRDefault="007E0350" w:rsidP="00406810">
      <w:pPr>
        <w:spacing w:before="60" w:after="60"/>
        <w:rPr>
          <w:rStyle w:val="BookTitle"/>
          <w:b/>
          <w:i w:val="0"/>
          <w:iCs w:val="0"/>
          <w:smallCaps w:val="0"/>
          <w:spacing w:val="0"/>
          <w:lang w:val="en-AU"/>
        </w:rPr>
      </w:pPr>
    </w:p>
    <w:p w:rsidR="0090533B" w:rsidRPr="006F126B" w:rsidRDefault="0090533B" w:rsidP="0090533B">
      <w:pPr>
        <w:spacing w:before="60" w:after="60"/>
        <w:rPr>
          <w:rFonts w:cs="Arial"/>
          <w:lang w:val="en-AU"/>
        </w:rPr>
      </w:pPr>
      <w:r w:rsidRPr="006F126B">
        <w:rPr>
          <w:rFonts w:cs="Arial"/>
          <w:lang w:val="en-AU"/>
        </w:rPr>
        <w:t xml:space="preserve">If legislative reforms are undertaken </w:t>
      </w:r>
      <w:r>
        <w:rPr>
          <w:rFonts w:cs="Arial"/>
          <w:lang w:val="en-AU"/>
        </w:rPr>
        <w:t>through</w:t>
      </w:r>
      <w:r w:rsidRPr="006F126B">
        <w:rPr>
          <w:rFonts w:cs="Arial"/>
          <w:lang w:val="en-AU"/>
        </w:rPr>
        <w:t xml:space="preserve"> the Stronger Futures</w:t>
      </w:r>
      <w:r>
        <w:rPr>
          <w:rFonts w:cs="Arial"/>
          <w:lang w:val="en-AU"/>
        </w:rPr>
        <w:t xml:space="preserve"> </w:t>
      </w:r>
      <w:r w:rsidRPr="006F126B">
        <w:rPr>
          <w:rFonts w:cs="Arial"/>
          <w:lang w:val="en-AU"/>
        </w:rPr>
        <w:t xml:space="preserve">legislation, it is a requirement that before making regulations </w:t>
      </w:r>
      <w:r>
        <w:rPr>
          <w:rFonts w:cs="Arial"/>
          <w:lang w:val="en-AU"/>
        </w:rPr>
        <w:t>for</w:t>
      </w:r>
      <w:r w:rsidRPr="006F126B">
        <w:rPr>
          <w:rFonts w:cs="Arial"/>
          <w:lang w:val="en-AU"/>
        </w:rPr>
        <w:t xml:space="preserve"> CLAs, the </w:t>
      </w:r>
      <w:r>
        <w:rPr>
          <w:rFonts w:cs="Arial"/>
          <w:lang w:val="en-AU"/>
        </w:rPr>
        <w:t>Federal</w:t>
      </w:r>
      <w:r w:rsidRPr="006F126B">
        <w:rPr>
          <w:rFonts w:cs="Arial"/>
          <w:lang w:val="en-AU"/>
        </w:rPr>
        <w:t xml:space="preserve"> Minister for Indigenous Affairs must consult with the NT Government, CLA land owners (on request from the relevant land owners), the </w:t>
      </w:r>
      <w:r>
        <w:rPr>
          <w:rFonts w:cs="Arial"/>
          <w:lang w:val="en-AU"/>
        </w:rPr>
        <w:t>relevant l</w:t>
      </w:r>
      <w:r w:rsidRPr="006F126B">
        <w:rPr>
          <w:rFonts w:cs="Arial"/>
          <w:lang w:val="en-AU"/>
        </w:rPr>
        <w:t xml:space="preserve">and </w:t>
      </w:r>
      <w:r>
        <w:rPr>
          <w:rFonts w:cs="Arial"/>
          <w:lang w:val="en-AU"/>
        </w:rPr>
        <w:t>c</w:t>
      </w:r>
      <w:r w:rsidRPr="006F126B">
        <w:rPr>
          <w:rFonts w:cs="Arial"/>
          <w:lang w:val="en-AU"/>
        </w:rPr>
        <w:t>ouncil</w:t>
      </w:r>
      <w:r>
        <w:rPr>
          <w:rFonts w:cs="Arial"/>
          <w:lang w:val="en-AU"/>
        </w:rPr>
        <w:t xml:space="preserve">s, </w:t>
      </w:r>
      <w:r w:rsidRPr="006F126B">
        <w:rPr>
          <w:rFonts w:cs="Arial"/>
          <w:lang w:val="en-AU"/>
        </w:rPr>
        <w:t>and any</w:t>
      </w:r>
      <w:r>
        <w:rPr>
          <w:rFonts w:cs="Arial"/>
          <w:lang w:val="en-AU"/>
        </w:rPr>
        <w:t>one else the</w:t>
      </w:r>
      <w:r w:rsidRPr="006F126B">
        <w:rPr>
          <w:rFonts w:cs="Arial"/>
          <w:lang w:val="en-AU"/>
        </w:rPr>
        <w:t xml:space="preserve"> </w:t>
      </w:r>
      <w:r>
        <w:rPr>
          <w:rFonts w:cs="Arial"/>
          <w:lang w:val="en-AU"/>
        </w:rPr>
        <w:t>Federal</w:t>
      </w:r>
      <w:r w:rsidRPr="006F126B">
        <w:rPr>
          <w:rFonts w:cs="Arial"/>
          <w:lang w:val="en-AU"/>
        </w:rPr>
        <w:t xml:space="preserve"> Minister for Indigenous Affairs considers appropriate to consult. </w:t>
      </w:r>
      <w:r>
        <w:rPr>
          <w:rFonts w:cs="Arial"/>
          <w:lang w:val="en-AU"/>
        </w:rPr>
        <w:t>As</w:t>
      </w:r>
      <w:r w:rsidRPr="006F126B">
        <w:rPr>
          <w:rFonts w:cs="Arial"/>
          <w:lang w:val="en-AU"/>
        </w:rPr>
        <w:t xml:space="preserve"> CLA land is within pastoral leases and the reforms need to be compatible with the surrounding pastoral operations, the Australian Government will </w:t>
      </w:r>
      <w:r>
        <w:rPr>
          <w:rFonts w:cs="Arial"/>
          <w:lang w:val="en-AU"/>
        </w:rPr>
        <w:t xml:space="preserve">also </w:t>
      </w:r>
      <w:r w:rsidRPr="006F126B">
        <w:rPr>
          <w:rFonts w:cs="Arial"/>
          <w:lang w:val="en-AU"/>
        </w:rPr>
        <w:t>consult with the NT Cattlemen’s Association.</w:t>
      </w:r>
    </w:p>
    <w:p w:rsidR="002A311C" w:rsidRPr="006F126B" w:rsidRDefault="00406810" w:rsidP="00DA4590">
      <w:pPr>
        <w:pStyle w:val="Heading1"/>
        <w:rPr>
          <w:rStyle w:val="BookTitle"/>
          <w:b w:val="0"/>
          <w:i w:val="0"/>
          <w:iCs w:val="0"/>
          <w:smallCaps w:val="0"/>
          <w:color w:val="E36C0A" w:themeColor="accent6" w:themeShade="BF"/>
          <w:spacing w:val="0"/>
          <w:lang w:val="en-AU"/>
        </w:rPr>
      </w:pPr>
      <w:r w:rsidRPr="006F126B">
        <w:rPr>
          <w:rStyle w:val="BookTitle"/>
          <w:i w:val="0"/>
          <w:iCs w:val="0"/>
          <w:smallCaps w:val="0"/>
          <w:color w:val="E36C0A" w:themeColor="accent6" w:themeShade="BF"/>
          <w:spacing w:val="0"/>
          <w:lang w:val="en-AU"/>
        </w:rPr>
        <w:t>The consultation process</w:t>
      </w:r>
    </w:p>
    <w:p w:rsidR="000B1D63" w:rsidRDefault="008D7DB8" w:rsidP="00406810">
      <w:pPr>
        <w:spacing w:before="60" w:after="60"/>
        <w:rPr>
          <w:rFonts w:cs="Arial"/>
          <w:lang w:val="en-AU"/>
        </w:rPr>
      </w:pPr>
      <w:r>
        <w:rPr>
          <w:rFonts w:cs="Arial"/>
          <w:lang w:val="en-AU"/>
        </w:rPr>
        <w:t>In line with the Government’s commitment to meaningful engagement in association with Stronger Futures in the NT, all reforms will be subject to consultation to ensure strong local involvement.</w:t>
      </w:r>
    </w:p>
    <w:p w:rsidR="000B1D63" w:rsidRDefault="000B1D63" w:rsidP="00406810">
      <w:pPr>
        <w:spacing w:before="60" w:after="60"/>
        <w:rPr>
          <w:rFonts w:cs="Arial"/>
          <w:lang w:val="en-AU"/>
        </w:rPr>
      </w:pPr>
    </w:p>
    <w:p w:rsidR="00BF0889" w:rsidRPr="006F126B" w:rsidRDefault="00BF0889" w:rsidP="00406810">
      <w:pPr>
        <w:spacing w:before="60" w:after="60"/>
        <w:rPr>
          <w:rFonts w:cs="Arial"/>
          <w:lang w:val="en-AU"/>
        </w:rPr>
      </w:pPr>
      <w:r w:rsidRPr="006F126B">
        <w:rPr>
          <w:rFonts w:cs="Arial"/>
          <w:lang w:val="en-AU"/>
        </w:rPr>
        <w:t xml:space="preserve">The release of this discussion paper </w:t>
      </w:r>
      <w:r w:rsidR="007E0350">
        <w:rPr>
          <w:rFonts w:cs="Arial"/>
          <w:lang w:val="en-AU"/>
        </w:rPr>
        <w:t>marks</w:t>
      </w:r>
      <w:r w:rsidR="00A971C1">
        <w:rPr>
          <w:rFonts w:cs="Arial"/>
          <w:lang w:val="en-AU"/>
        </w:rPr>
        <w:t xml:space="preserve"> the start</w:t>
      </w:r>
      <w:r w:rsidRPr="006F126B">
        <w:rPr>
          <w:rFonts w:cs="Arial"/>
          <w:lang w:val="en-AU"/>
        </w:rPr>
        <w:t xml:space="preserve"> of consultation </w:t>
      </w:r>
      <w:r w:rsidR="00A971C1">
        <w:rPr>
          <w:rFonts w:cs="Arial"/>
          <w:lang w:val="en-AU"/>
        </w:rPr>
        <w:t>around</w:t>
      </w:r>
      <w:r w:rsidR="00A971C1" w:rsidRPr="006F126B">
        <w:rPr>
          <w:rFonts w:cs="Arial"/>
          <w:lang w:val="en-AU"/>
        </w:rPr>
        <w:t xml:space="preserve"> </w:t>
      </w:r>
      <w:r w:rsidRPr="006F126B">
        <w:rPr>
          <w:rFonts w:cs="Arial"/>
          <w:lang w:val="en-AU"/>
        </w:rPr>
        <w:t xml:space="preserve">CLA land reform by the Australian Government. The purpose of the paper is to </w:t>
      </w:r>
      <w:r w:rsidR="00A971C1">
        <w:rPr>
          <w:rFonts w:cs="Arial"/>
          <w:lang w:val="en-AU"/>
        </w:rPr>
        <w:t>encourage</w:t>
      </w:r>
      <w:r w:rsidR="00A971C1" w:rsidRPr="006F126B">
        <w:rPr>
          <w:rFonts w:cs="Arial"/>
          <w:lang w:val="en-AU"/>
        </w:rPr>
        <w:t xml:space="preserve"> </w:t>
      </w:r>
      <w:r w:rsidRPr="006F126B">
        <w:rPr>
          <w:rFonts w:cs="Arial"/>
          <w:lang w:val="en-AU"/>
        </w:rPr>
        <w:t xml:space="preserve">discussions, </w:t>
      </w:r>
      <w:r w:rsidR="002425B4">
        <w:rPr>
          <w:rFonts w:cs="Arial"/>
          <w:lang w:val="en-AU"/>
        </w:rPr>
        <w:t>through</w:t>
      </w:r>
      <w:r w:rsidRPr="006F126B">
        <w:rPr>
          <w:rFonts w:cs="Arial"/>
          <w:lang w:val="en-AU"/>
        </w:rPr>
        <w:t xml:space="preserve"> </w:t>
      </w:r>
      <w:r w:rsidR="00995602">
        <w:rPr>
          <w:rFonts w:cs="Arial"/>
          <w:lang w:val="en-AU"/>
        </w:rPr>
        <w:t>written feedback and</w:t>
      </w:r>
      <w:r w:rsidR="00995602" w:rsidRPr="006F126B">
        <w:rPr>
          <w:rFonts w:cs="Arial"/>
          <w:lang w:val="en-AU"/>
        </w:rPr>
        <w:t xml:space="preserve"> </w:t>
      </w:r>
      <w:r w:rsidR="002425B4">
        <w:rPr>
          <w:rFonts w:cs="Arial"/>
          <w:lang w:val="en-AU"/>
        </w:rPr>
        <w:t>in-</w:t>
      </w:r>
      <w:r w:rsidRPr="006F126B">
        <w:rPr>
          <w:rFonts w:cs="Arial"/>
          <w:lang w:val="en-AU"/>
        </w:rPr>
        <w:t xml:space="preserve">community meetings in the NT. The Australian Government would like to hear </w:t>
      </w:r>
      <w:r w:rsidR="00A971C1">
        <w:rPr>
          <w:rFonts w:cs="Arial"/>
          <w:lang w:val="en-AU"/>
        </w:rPr>
        <w:t xml:space="preserve">the </w:t>
      </w:r>
      <w:r w:rsidRPr="006F126B">
        <w:rPr>
          <w:rFonts w:cs="Arial"/>
          <w:lang w:val="en-AU"/>
        </w:rPr>
        <w:t xml:space="preserve">views </w:t>
      </w:r>
      <w:r w:rsidR="00A971C1">
        <w:rPr>
          <w:rFonts w:cs="Arial"/>
          <w:lang w:val="en-AU"/>
        </w:rPr>
        <w:t>of</w:t>
      </w:r>
      <w:r w:rsidR="00A971C1" w:rsidRPr="006F126B">
        <w:rPr>
          <w:rFonts w:cs="Arial"/>
          <w:lang w:val="en-AU"/>
        </w:rPr>
        <w:t xml:space="preserve"> </w:t>
      </w:r>
      <w:r w:rsidRPr="006F126B">
        <w:rPr>
          <w:rFonts w:cs="Arial"/>
          <w:lang w:val="en-AU"/>
        </w:rPr>
        <w:t>CLA land owners, community members and stakeholders on</w:t>
      </w:r>
      <w:r w:rsidR="007E51E6">
        <w:rPr>
          <w:rFonts w:cs="Arial"/>
          <w:lang w:val="en-AU"/>
        </w:rPr>
        <w:t xml:space="preserve"> issues in</w:t>
      </w:r>
      <w:r w:rsidRPr="006F126B">
        <w:rPr>
          <w:rFonts w:cs="Arial"/>
          <w:lang w:val="en-AU"/>
        </w:rPr>
        <w:t xml:space="preserve"> dealing with CLA land and how </w:t>
      </w:r>
      <w:r w:rsidR="00A971C1">
        <w:rPr>
          <w:rFonts w:cs="Arial"/>
          <w:lang w:val="en-AU"/>
        </w:rPr>
        <w:t xml:space="preserve">it </w:t>
      </w:r>
      <w:r w:rsidRPr="006F126B">
        <w:rPr>
          <w:rFonts w:cs="Arial"/>
          <w:lang w:val="en-AU"/>
        </w:rPr>
        <w:t xml:space="preserve">should be used in the future </w:t>
      </w:r>
      <w:r w:rsidR="00995602">
        <w:rPr>
          <w:rFonts w:cs="Arial"/>
          <w:lang w:val="en-AU"/>
        </w:rPr>
        <w:t>to benefit</w:t>
      </w:r>
      <w:r w:rsidRPr="006F126B">
        <w:rPr>
          <w:rFonts w:cs="Arial"/>
          <w:lang w:val="en-AU"/>
        </w:rPr>
        <w:t xml:space="preserve"> CLA communities. </w:t>
      </w:r>
    </w:p>
    <w:p w:rsidR="0012272C" w:rsidRPr="006F126B" w:rsidRDefault="0012272C" w:rsidP="00406810">
      <w:pPr>
        <w:spacing w:before="60" w:after="60"/>
        <w:rPr>
          <w:rFonts w:eastAsia="Calibri" w:cs="Arial"/>
          <w:lang w:val="en-AU"/>
        </w:rPr>
      </w:pPr>
    </w:p>
    <w:p w:rsidR="00BF0EA4" w:rsidRDefault="00995602" w:rsidP="00406810">
      <w:pPr>
        <w:spacing w:before="60" w:after="60"/>
        <w:rPr>
          <w:rFonts w:eastAsia="Calibri" w:cs="Arial"/>
          <w:lang w:val="en-AU"/>
        </w:rPr>
      </w:pPr>
      <w:r>
        <w:rPr>
          <w:rFonts w:eastAsia="Calibri" w:cs="Arial"/>
          <w:lang w:val="en-AU"/>
        </w:rPr>
        <w:t xml:space="preserve">Australian </w:t>
      </w:r>
      <w:r w:rsidR="0012272C" w:rsidRPr="006F126B">
        <w:rPr>
          <w:rFonts w:eastAsia="Calibri" w:cs="Arial"/>
          <w:lang w:val="en-AU"/>
        </w:rPr>
        <w:t>Government</w:t>
      </w:r>
      <w:r w:rsidR="00BD1463">
        <w:rPr>
          <w:rFonts w:eastAsia="Calibri" w:cs="Arial"/>
          <w:lang w:val="en-AU"/>
        </w:rPr>
        <w:t xml:space="preserve"> officials</w:t>
      </w:r>
      <w:r w:rsidR="0012272C" w:rsidRPr="006F126B">
        <w:rPr>
          <w:rFonts w:eastAsia="Calibri" w:cs="Arial"/>
          <w:lang w:val="en-AU"/>
        </w:rPr>
        <w:t xml:space="preserve"> will be </w:t>
      </w:r>
      <w:r w:rsidRPr="006F126B">
        <w:rPr>
          <w:rFonts w:eastAsia="Calibri" w:cs="Arial"/>
          <w:lang w:val="en-AU"/>
        </w:rPr>
        <w:t>visiting</w:t>
      </w:r>
      <w:r w:rsidR="0012272C" w:rsidRPr="006F126B">
        <w:rPr>
          <w:rFonts w:eastAsia="Calibri" w:cs="Arial"/>
          <w:lang w:val="en-AU"/>
        </w:rPr>
        <w:t xml:space="preserve"> </w:t>
      </w:r>
      <w:r w:rsidR="007900B0" w:rsidRPr="007900B0">
        <w:rPr>
          <w:rFonts w:eastAsia="Calibri" w:cs="Arial"/>
          <w:lang w:val="en-AU"/>
        </w:rPr>
        <w:t>selected</w:t>
      </w:r>
      <w:r w:rsidR="007900B0">
        <w:rPr>
          <w:rFonts w:eastAsia="Calibri" w:cs="Arial"/>
          <w:lang w:val="en-AU"/>
        </w:rPr>
        <w:t xml:space="preserve"> CLA</w:t>
      </w:r>
      <w:r w:rsidR="0012272C" w:rsidRPr="006F126B">
        <w:rPr>
          <w:rFonts w:eastAsia="Calibri" w:cs="Arial"/>
          <w:lang w:val="en-AU"/>
        </w:rPr>
        <w:t xml:space="preserve"> communities to talk about these reforms. Advance notice of the date and time of the</w:t>
      </w:r>
      <w:r>
        <w:rPr>
          <w:rFonts w:eastAsia="Calibri" w:cs="Arial"/>
          <w:lang w:val="en-AU"/>
        </w:rPr>
        <w:t>se</w:t>
      </w:r>
      <w:r w:rsidR="0012272C" w:rsidRPr="006F126B">
        <w:rPr>
          <w:rFonts w:eastAsia="Calibri" w:cs="Arial"/>
          <w:lang w:val="en-AU"/>
        </w:rPr>
        <w:t xml:space="preserve"> meeting</w:t>
      </w:r>
      <w:r>
        <w:rPr>
          <w:rFonts w:eastAsia="Calibri" w:cs="Arial"/>
          <w:lang w:val="en-AU"/>
        </w:rPr>
        <w:t>s</w:t>
      </w:r>
      <w:r w:rsidR="0012272C" w:rsidRPr="006F126B">
        <w:rPr>
          <w:rFonts w:eastAsia="Calibri" w:cs="Arial"/>
          <w:lang w:val="en-AU"/>
        </w:rPr>
        <w:t xml:space="preserve"> will be provided to each community and</w:t>
      </w:r>
      <w:r w:rsidR="002425B4">
        <w:rPr>
          <w:rFonts w:eastAsia="Calibri" w:cs="Arial"/>
          <w:lang w:val="en-AU"/>
        </w:rPr>
        <w:t>,</w:t>
      </w:r>
      <w:r>
        <w:rPr>
          <w:rFonts w:eastAsia="Calibri" w:cs="Arial"/>
          <w:lang w:val="en-AU"/>
        </w:rPr>
        <w:t xml:space="preserve"> where possible,</w:t>
      </w:r>
      <w:r w:rsidR="0012272C" w:rsidRPr="006F126B">
        <w:rPr>
          <w:rFonts w:eastAsia="Calibri" w:cs="Arial"/>
          <w:lang w:val="en-AU"/>
        </w:rPr>
        <w:t xml:space="preserve"> any nearby CLA communities</w:t>
      </w:r>
      <w:r w:rsidR="00E021AE">
        <w:rPr>
          <w:rFonts w:eastAsia="Calibri" w:cs="Arial"/>
          <w:lang w:val="en-AU"/>
        </w:rPr>
        <w:t>.</w:t>
      </w:r>
    </w:p>
    <w:p w:rsidR="00A435D1" w:rsidRDefault="00A435D1" w:rsidP="00406810">
      <w:pPr>
        <w:spacing w:before="60" w:after="60"/>
        <w:rPr>
          <w:rFonts w:eastAsia="Calibri" w:cs="Arial"/>
          <w:lang w:val="en-AU"/>
        </w:rPr>
      </w:pPr>
    </w:p>
    <w:p w:rsidR="0090533B" w:rsidRPr="006F126B" w:rsidRDefault="00B90D70" w:rsidP="0090533B">
      <w:pPr>
        <w:spacing w:before="60" w:after="60"/>
        <w:rPr>
          <w:rFonts w:eastAsia="Calibri" w:cs="Arial"/>
          <w:b/>
          <w:lang w:val="en-AU"/>
        </w:rPr>
      </w:pPr>
      <w:r>
        <w:rPr>
          <w:rFonts w:cs="Arial"/>
          <w:lang w:val="en-AU"/>
        </w:rPr>
        <w:t xml:space="preserve">Points of views and recommendations from </w:t>
      </w:r>
      <w:r w:rsidR="00537C0E" w:rsidRPr="006F126B">
        <w:rPr>
          <w:rFonts w:cs="Arial"/>
          <w:lang w:val="en-AU"/>
        </w:rPr>
        <w:t xml:space="preserve">discussions </w:t>
      </w:r>
      <w:r w:rsidR="00DF3337">
        <w:rPr>
          <w:rFonts w:cs="Arial"/>
          <w:lang w:val="en-AU"/>
        </w:rPr>
        <w:t xml:space="preserve">and written feedback </w:t>
      </w:r>
      <w:r w:rsidR="00537C0E" w:rsidRPr="006F126B">
        <w:rPr>
          <w:rFonts w:cs="Arial"/>
          <w:lang w:val="en-AU"/>
        </w:rPr>
        <w:t xml:space="preserve">will inform the </w:t>
      </w:r>
      <w:r w:rsidR="00537C0E">
        <w:rPr>
          <w:rFonts w:cs="Arial"/>
          <w:lang w:val="en-AU"/>
        </w:rPr>
        <w:t xml:space="preserve">Australian </w:t>
      </w:r>
      <w:r w:rsidR="00537C0E" w:rsidRPr="006F126B">
        <w:rPr>
          <w:rFonts w:cs="Arial"/>
          <w:lang w:val="en-AU"/>
        </w:rPr>
        <w:t xml:space="preserve">Government’s work on any immediate reforms </w:t>
      </w:r>
      <w:r w:rsidR="00537C0E">
        <w:rPr>
          <w:rFonts w:cs="Arial"/>
          <w:lang w:val="en-AU"/>
        </w:rPr>
        <w:t>as well as</w:t>
      </w:r>
      <w:r w:rsidR="00537C0E" w:rsidRPr="006F126B">
        <w:rPr>
          <w:rFonts w:cs="Arial"/>
          <w:lang w:val="en-AU"/>
        </w:rPr>
        <w:t xml:space="preserve"> proposed models for longer term reform. </w:t>
      </w:r>
      <w:r>
        <w:rPr>
          <w:rFonts w:cs="Arial"/>
          <w:lang w:val="en-AU"/>
        </w:rPr>
        <w:t xml:space="preserve">A summary will be presented in an outcomes paper that the Australian Government will release publically. </w:t>
      </w:r>
      <w:r w:rsidR="0090533B">
        <w:rPr>
          <w:rFonts w:cs="Arial"/>
          <w:lang w:val="en-AU"/>
        </w:rPr>
        <w:t>A</w:t>
      </w:r>
      <w:r w:rsidR="0090533B" w:rsidRPr="006F126B">
        <w:rPr>
          <w:rFonts w:cs="Arial"/>
          <w:lang w:val="en-AU"/>
        </w:rPr>
        <w:t>ny draft regulations developed as a result of initial consultations on C</w:t>
      </w:r>
      <w:r w:rsidR="00747A02">
        <w:rPr>
          <w:rFonts w:cs="Arial"/>
          <w:lang w:val="en-AU"/>
        </w:rPr>
        <w:t>LA land reform will be included</w:t>
      </w:r>
      <w:r w:rsidR="0090533B" w:rsidRPr="006F126B">
        <w:rPr>
          <w:rFonts w:cs="Arial"/>
          <w:lang w:val="en-AU"/>
        </w:rPr>
        <w:t xml:space="preserve"> for comment</w:t>
      </w:r>
      <w:r w:rsidR="0090533B">
        <w:rPr>
          <w:rFonts w:cs="Arial"/>
          <w:lang w:val="en-AU"/>
        </w:rPr>
        <w:t xml:space="preserve"> in </w:t>
      </w:r>
      <w:r w:rsidR="007C6F68">
        <w:rPr>
          <w:rFonts w:cs="Arial"/>
          <w:lang w:val="en-AU"/>
        </w:rPr>
        <w:t xml:space="preserve">the </w:t>
      </w:r>
      <w:r w:rsidR="0090533B">
        <w:rPr>
          <w:rFonts w:cs="Arial"/>
          <w:lang w:val="en-AU"/>
        </w:rPr>
        <w:t>outcomes paper</w:t>
      </w:r>
      <w:r w:rsidR="0090533B" w:rsidRPr="006F126B">
        <w:rPr>
          <w:rFonts w:cs="Arial"/>
          <w:lang w:val="en-AU"/>
        </w:rPr>
        <w:t xml:space="preserve"> and will be subject to further consultations with CLA land owners and stakeholders before finalisation.</w:t>
      </w:r>
      <w:r w:rsidR="00AB49AE">
        <w:rPr>
          <w:rFonts w:cs="Arial"/>
          <w:lang w:val="en-AU"/>
        </w:rPr>
        <w:t xml:space="preserve"> </w:t>
      </w:r>
      <w:r w:rsidR="0090533B" w:rsidRPr="006F126B">
        <w:rPr>
          <w:rFonts w:cs="Arial"/>
          <w:lang w:val="en-AU"/>
        </w:rPr>
        <w:t xml:space="preserve">In finalising the regulations the </w:t>
      </w:r>
      <w:r w:rsidR="0090533B">
        <w:rPr>
          <w:rFonts w:cs="Arial"/>
          <w:lang w:val="en-AU"/>
        </w:rPr>
        <w:t xml:space="preserve">Australian </w:t>
      </w:r>
      <w:r w:rsidR="0090533B" w:rsidRPr="006F126B">
        <w:rPr>
          <w:rFonts w:cs="Arial"/>
          <w:lang w:val="en-AU"/>
        </w:rPr>
        <w:t>Government will demonstrate that it has taken into account the views of</w:t>
      </w:r>
      <w:r w:rsidR="0090533B">
        <w:rPr>
          <w:rFonts w:cs="Arial"/>
          <w:lang w:val="en-AU"/>
        </w:rPr>
        <w:t xml:space="preserve"> the stakeholders, particularly the</w:t>
      </w:r>
      <w:r w:rsidR="0090533B" w:rsidRPr="006F126B">
        <w:rPr>
          <w:rFonts w:cs="Arial"/>
          <w:lang w:val="en-AU"/>
        </w:rPr>
        <w:t xml:space="preserve"> CLA land owners.</w:t>
      </w:r>
    </w:p>
    <w:p w:rsidR="00370D99" w:rsidRPr="00641B16" w:rsidRDefault="00641B16" w:rsidP="00641B16">
      <w:pPr>
        <w:pStyle w:val="Heading1"/>
        <w:rPr>
          <w:color w:val="F79646" w:themeColor="accent6"/>
          <w:lang w:val="en-AU"/>
        </w:rPr>
      </w:pPr>
      <w:r>
        <w:rPr>
          <w:lang w:val="en-AU"/>
        </w:rPr>
        <w:br w:type="page"/>
      </w:r>
      <w:r w:rsidR="00370D99" w:rsidRPr="00641B16">
        <w:rPr>
          <w:color w:val="F79646" w:themeColor="accent6"/>
          <w:lang w:val="en-AU"/>
        </w:rPr>
        <w:lastRenderedPageBreak/>
        <w:t>Issues relevant to CLA land reform</w:t>
      </w:r>
    </w:p>
    <w:p w:rsidR="00406810" w:rsidRPr="006F126B" w:rsidRDefault="00B0523E" w:rsidP="00406810">
      <w:pPr>
        <w:spacing w:before="60" w:after="60"/>
        <w:rPr>
          <w:rFonts w:cs="Arial"/>
          <w:lang w:val="en-AU"/>
        </w:rPr>
      </w:pPr>
      <w:r>
        <w:rPr>
          <w:rFonts w:cs="Arial"/>
          <w:lang w:val="en-AU"/>
        </w:rPr>
        <w:t>This discussion paper i</w:t>
      </w:r>
      <w:r w:rsidR="00AB49AE">
        <w:rPr>
          <w:rFonts w:cs="Arial"/>
          <w:lang w:val="en-AU"/>
        </w:rPr>
        <w:t xml:space="preserve">s deliberately broad and brief. </w:t>
      </w:r>
      <w:r>
        <w:rPr>
          <w:rFonts w:cs="Arial"/>
          <w:lang w:val="en-AU"/>
        </w:rPr>
        <w:t>The Australian Government’s intention is to encourage discussion not</w:t>
      </w:r>
      <w:r w:rsidR="0090533B">
        <w:rPr>
          <w:rFonts w:cs="Arial"/>
          <w:lang w:val="en-AU"/>
        </w:rPr>
        <w:t xml:space="preserve"> to</w:t>
      </w:r>
      <w:r w:rsidR="007E51E6">
        <w:rPr>
          <w:rFonts w:cs="Arial"/>
          <w:lang w:val="en-AU"/>
        </w:rPr>
        <w:t xml:space="preserve"> pre-empt models for reform. Below</w:t>
      </w:r>
      <w:r>
        <w:rPr>
          <w:rFonts w:cs="Arial"/>
          <w:lang w:val="en-AU"/>
        </w:rPr>
        <w:t xml:space="preserve"> is an outline of some of the issues and ideas that the Australian Government sees</w:t>
      </w:r>
      <w:r w:rsidR="00BD1463">
        <w:rPr>
          <w:rFonts w:cs="Arial"/>
          <w:lang w:val="en-AU"/>
        </w:rPr>
        <w:t xml:space="preserve"> as</w:t>
      </w:r>
      <w:r>
        <w:rPr>
          <w:rFonts w:cs="Arial"/>
          <w:lang w:val="en-AU"/>
        </w:rPr>
        <w:t xml:space="preserve"> relevant to CLA reform.</w:t>
      </w:r>
    </w:p>
    <w:p w:rsidR="00376D8C" w:rsidRPr="006F126B" w:rsidRDefault="00376D8C" w:rsidP="00406810">
      <w:pPr>
        <w:autoSpaceDE w:val="0"/>
        <w:autoSpaceDN w:val="0"/>
        <w:adjustRightInd w:val="0"/>
        <w:spacing w:before="60" w:after="60"/>
        <w:rPr>
          <w:rFonts w:cs="Arial"/>
          <w:lang w:val="en-AU"/>
        </w:rPr>
      </w:pPr>
    </w:p>
    <w:p w:rsidR="00370D99" w:rsidRPr="006F126B" w:rsidRDefault="00370D99" w:rsidP="00406810">
      <w:pPr>
        <w:autoSpaceDE w:val="0"/>
        <w:autoSpaceDN w:val="0"/>
        <w:adjustRightInd w:val="0"/>
        <w:spacing w:before="60" w:after="60"/>
        <w:rPr>
          <w:rFonts w:cs="Arial"/>
          <w:lang w:val="en-AU"/>
        </w:rPr>
      </w:pPr>
      <w:r w:rsidRPr="006F126B">
        <w:rPr>
          <w:rFonts w:cs="Arial"/>
          <w:lang w:val="en-AU"/>
        </w:rPr>
        <w:t>The Australian Government would like land owners and stakeholders to consider the following issues as part of discussions on CLA land reform</w:t>
      </w:r>
      <w:r w:rsidR="00AB49AE">
        <w:rPr>
          <w:rFonts w:cs="Arial"/>
          <w:lang w:val="en-AU"/>
        </w:rPr>
        <w:t xml:space="preserve"> and provide feedback</w:t>
      </w:r>
      <w:r w:rsidRPr="006F126B">
        <w:rPr>
          <w:rFonts w:cs="Arial"/>
          <w:lang w:val="en-AU"/>
        </w:rPr>
        <w:t>.</w:t>
      </w:r>
    </w:p>
    <w:p w:rsidR="00406810" w:rsidRPr="006F126B" w:rsidRDefault="00406810" w:rsidP="00406810">
      <w:pPr>
        <w:autoSpaceDE w:val="0"/>
        <w:autoSpaceDN w:val="0"/>
        <w:adjustRightInd w:val="0"/>
        <w:spacing w:before="60" w:after="60"/>
        <w:rPr>
          <w:rFonts w:cs="Arial"/>
          <w:i/>
          <w:lang w:val="en-AU"/>
        </w:rPr>
      </w:pPr>
    </w:p>
    <w:p w:rsidR="00370D99" w:rsidRPr="00B40B0E" w:rsidRDefault="00370D99" w:rsidP="00406810">
      <w:pPr>
        <w:autoSpaceDE w:val="0"/>
        <w:autoSpaceDN w:val="0"/>
        <w:adjustRightInd w:val="0"/>
        <w:spacing w:before="60" w:after="60"/>
        <w:rPr>
          <w:rFonts w:cs="Arial"/>
          <w:b/>
          <w:i/>
          <w:lang w:val="en-AU"/>
        </w:rPr>
      </w:pPr>
      <w:r w:rsidRPr="00B40B0E">
        <w:rPr>
          <w:rFonts w:cs="Arial"/>
          <w:b/>
          <w:i/>
          <w:lang w:val="en-AU"/>
        </w:rPr>
        <w:t>Allowing for voluntary lease negotiations</w:t>
      </w:r>
    </w:p>
    <w:p w:rsidR="00370D99" w:rsidRPr="006F126B" w:rsidRDefault="00370D99" w:rsidP="00406810">
      <w:pPr>
        <w:pStyle w:val="ListParagraph"/>
        <w:numPr>
          <w:ilvl w:val="0"/>
          <w:numId w:val="1"/>
        </w:numPr>
        <w:autoSpaceDE w:val="0"/>
        <w:autoSpaceDN w:val="0"/>
        <w:adjustRightInd w:val="0"/>
        <w:spacing w:before="60" w:after="60"/>
        <w:rPr>
          <w:rFonts w:eastAsia="Calibri" w:cs="Arial"/>
          <w:lang w:val="en-AU"/>
        </w:rPr>
      </w:pPr>
      <w:r w:rsidRPr="006F126B">
        <w:rPr>
          <w:rFonts w:cs="Arial"/>
          <w:lang w:val="en-AU"/>
        </w:rPr>
        <w:t xml:space="preserve">At a minimum, restrictions in NT legislation that prevent commercial leasing and leasing for certain public infrastructure and services (see </w:t>
      </w:r>
      <w:r w:rsidRPr="006F126B">
        <w:rPr>
          <w:rFonts w:cs="Arial"/>
          <w:b/>
          <w:lang w:val="en-AU"/>
        </w:rPr>
        <w:t>Appendix A</w:t>
      </w:r>
      <w:r w:rsidRPr="006F126B">
        <w:rPr>
          <w:rFonts w:cs="Arial"/>
          <w:lang w:val="en-AU"/>
        </w:rPr>
        <w:t>) should be addressed as soon as possible to enable CLA land owners to have the opportunity to enter into voluntary negotiations for long term leases and licences.</w:t>
      </w:r>
    </w:p>
    <w:p w:rsidR="00370D99" w:rsidRPr="006F126B" w:rsidRDefault="00370D99" w:rsidP="00406810">
      <w:pPr>
        <w:pStyle w:val="ListParagraph"/>
        <w:numPr>
          <w:ilvl w:val="1"/>
          <w:numId w:val="1"/>
        </w:numPr>
        <w:autoSpaceDE w:val="0"/>
        <w:autoSpaceDN w:val="0"/>
        <w:adjustRightInd w:val="0"/>
        <w:spacing w:before="60" w:after="60"/>
        <w:rPr>
          <w:rFonts w:cs="Arial"/>
          <w:lang w:val="en-AU"/>
        </w:rPr>
      </w:pPr>
      <w:r w:rsidRPr="006F126B">
        <w:rPr>
          <w:rFonts w:cs="Arial"/>
          <w:lang w:val="en-AU"/>
        </w:rPr>
        <w:t>This could include ensuring that CLA land title can allow for individual leases for economic development or for private home ownership for interested community members.</w:t>
      </w:r>
    </w:p>
    <w:p w:rsidR="00370D99" w:rsidRPr="006F126B" w:rsidRDefault="00370D99" w:rsidP="00406810">
      <w:pPr>
        <w:pStyle w:val="ListParagraph"/>
        <w:numPr>
          <w:ilvl w:val="0"/>
          <w:numId w:val="1"/>
        </w:numPr>
        <w:spacing w:before="60" w:after="60"/>
        <w:rPr>
          <w:rFonts w:cs="Arial"/>
          <w:lang w:val="en-AU"/>
        </w:rPr>
      </w:pPr>
      <w:r w:rsidRPr="006F126B">
        <w:rPr>
          <w:rFonts w:cs="Arial"/>
          <w:lang w:val="en-AU"/>
        </w:rPr>
        <w:t>The Australian Government notes the option under the ALRA for CLA land owners to voluntarily lease CLA land to the Executive Director of Township Leasing</w:t>
      </w:r>
      <w:r w:rsidR="00551C1E">
        <w:rPr>
          <w:rFonts w:cs="Arial"/>
          <w:lang w:val="en-AU"/>
        </w:rPr>
        <w:t>,</w:t>
      </w:r>
      <w:r w:rsidRPr="006F126B">
        <w:rPr>
          <w:rFonts w:cs="Arial"/>
          <w:lang w:val="en-AU"/>
        </w:rPr>
        <w:t xml:space="preserve"> which is a Commonwealth statutory office with a measure of independence. </w:t>
      </w:r>
    </w:p>
    <w:p w:rsidR="00406810" w:rsidRPr="006F126B" w:rsidRDefault="00406810" w:rsidP="00406810">
      <w:pPr>
        <w:autoSpaceDE w:val="0"/>
        <w:autoSpaceDN w:val="0"/>
        <w:adjustRightInd w:val="0"/>
        <w:spacing w:before="60" w:after="60"/>
        <w:rPr>
          <w:rFonts w:eastAsia="Calibri" w:cs="Arial"/>
          <w:i/>
          <w:lang w:val="en-AU"/>
        </w:rPr>
      </w:pPr>
    </w:p>
    <w:p w:rsidR="00370D99" w:rsidRPr="00B40B0E" w:rsidRDefault="00370D99" w:rsidP="00406810">
      <w:pPr>
        <w:autoSpaceDE w:val="0"/>
        <w:autoSpaceDN w:val="0"/>
        <w:adjustRightInd w:val="0"/>
        <w:spacing w:before="60" w:after="60"/>
        <w:rPr>
          <w:rFonts w:eastAsia="Calibri" w:cs="Arial"/>
          <w:b/>
          <w:i/>
          <w:lang w:val="en-AU"/>
        </w:rPr>
      </w:pPr>
      <w:r w:rsidRPr="00B40B0E">
        <w:rPr>
          <w:rFonts w:eastAsia="Calibri" w:cs="Arial"/>
          <w:b/>
          <w:i/>
          <w:lang w:val="en-AU"/>
        </w:rPr>
        <w:t>Where needed, give more support to CLA land owning associations and corporations</w:t>
      </w:r>
    </w:p>
    <w:p w:rsidR="00FD26C2" w:rsidRDefault="00AD2DBE" w:rsidP="00406810">
      <w:pPr>
        <w:pStyle w:val="ListParagraph"/>
        <w:numPr>
          <w:ilvl w:val="0"/>
          <w:numId w:val="1"/>
        </w:numPr>
        <w:autoSpaceDE w:val="0"/>
        <w:autoSpaceDN w:val="0"/>
        <w:adjustRightInd w:val="0"/>
        <w:spacing w:before="60" w:after="60"/>
        <w:rPr>
          <w:rFonts w:cs="Arial"/>
          <w:lang w:val="en-AU"/>
        </w:rPr>
      </w:pPr>
      <w:r w:rsidRPr="00AD2DBE">
        <w:rPr>
          <w:rFonts w:cs="Arial"/>
          <w:lang w:val="en-AU"/>
        </w:rPr>
        <w:t>W</w:t>
      </w:r>
      <w:r w:rsidR="00370D99" w:rsidRPr="00AD2DBE">
        <w:rPr>
          <w:rFonts w:cs="Arial"/>
          <w:lang w:val="en-AU"/>
        </w:rPr>
        <w:t xml:space="preserve">here possible, assistance </w:t>
      </w:r>
      <w:r w:rsidR="00DC2A5E">
        <w:rPr>
          <w:rFonts w:cs="Arial"/>
          <w:lang w:val="en-AU"/>
        </w:rPr>
        <w:t>c</w:t>
      </w:r>
      <w:r w:rsidR="00DC2A5E" w:rsidRPr="00AD2DBE">
        <w:rPr>
          <w:rFonts w:cs="Arial"/>
          <w:lang w:val="en-AU"/>
        </w:rPr>
        <w:t xml:space="preserve">ould </w:t>
      </w:r>
      <w:r w:rsidRPr="00AD2DBE">
        <w:rPr>
          <w:rFonts w:cs="Arial"/>
          <w:lang w:val="en-AU"/>
        </w:rPr>
        <w:t xml:space="preserve">be </w:t>
      </w:r>
      <w:r w:rsidR="00370D99" w:rsidRPr="00AD2DBE">
        <w:rPr>
          <w:rFonts w:cs="Arial"/>
          <w:lang w:val="en-AU"/>
        </w:rPr>
        <w:t>provided to resurrect</w:t>
      </w:r>
      <w:r w:rsidRPr="00AD2DBE">
        <w:rPr>
          <w:rFonts w:cs="Arial"/>
          <w:lang w:val="en-AU"/>
        </w:rPr>
        <w:t xml:space="preserve"> CLA land owning associations and corporations that are non-operational</w:t>
      </w:r>
      <w:r w:rsidR="00AB49AE">
        <w:rPr>
          <w:rFonts w:cs="Arial"/>
          <w:lang w:val="en-AU"/>
        </w:rPr>
        <w:t xml:space="preserve"> or </w:t>
      </w:r>
      <w:r w:rsidR="00AB49AE" w:rsidRPr="00AD2DBE">
        <w:rPr>
          <w:rFonts w:cs="Arial"/>
          <w:lang w:val="en-AU"/>
        </w:rPr>
        <w:t>make suitable alternative arrangements</w:t>
      </w:r>
      <w:r w:rsidR="00FD26C2">
        <w:rPr>
          <w:rFonts w:cs="Arial"/>
          <w:lang w:val="en-AU"/>
        </w:rPr>
        <w:t>.</w:t>
      </w:r>
    </w:p>
    <w:p w:rsidR="00370D99" w:rsidRPr="006F126B" w:rsidRDefault="00370D99" w:rsidP="00406810">
      <w:pPr>
        <w:pStyle w:val="ListParagraph"/>
        <w:numPr>
          <w:ilvl w:val="0"/>
          <w:numId w:val="1"/>
        </w:numPr>
        <w:autoSpaceDE w:val="0"/>
        <w:autoSpaceDN w:val="0"/>
        <w:adjustRightInd w:val="0"/>
        <w:spacing w:before="60" w:after="60"/>
        <w:rPr>
          <w:rFonts w:cs="Arial"/>
          <w:lang w:val="en-AU"/>
        </w:rPr>
      </w:pPr>
      <w:r w:rsidRPr="006F126B">
        <w:rPr>
          <w:rFonts w:cs="Arial"/>
          <w:lang w:val="en-AU"/>
        </w:rPr>
        <w:t>Look at lessening the burden of administrative requirements for entities that do not engage in any other activities beyond holding a CLA land title.</w:t>
      </w:r>
    </w:p>
    <w:p w:rsidR="00370D99" w:rsidRPr="006F126B" w:rsidRDefault="00663E64" w:rsidP="00406810">
      <w:pPr>
        <w:pStyle w:val="ListParagraph"/>
        <w:numPr>
          <w:ilvl w:val="0"/>
          <w:numId w:val="1"/>
        </w:numPr>
        <w:autoSpaceDE w:val="0"/>
        <w:autoSpaceDN w:val="0"/>
        <w:adjustRightInd w:val="0"/>
        <w:spacing w:before="60" w:after="60"/>
        <w:rPr>
          <w:rFonts w:cs="Arial"/>
          <w:lang w:val="en-AU"/>
        </w:rPr>
      </w:pPr>
      <w:r>
        <w:rPr>
          <w:rFonts w:cs="Arial"/>
          <w:lang w:val="en-AU"/>
        </w:rPr>
        <w:t>When requested by land owners, t</w:t>
      </w:r>
      <w:r w:rsidR="00370D99" w:rsidRPr="006F126B">
        <w:rPr>
          <w:rFonts w:cs="Arial"/>
          <w:lang w:val="en-AU"/>
        </w:rPr>
        <w:t xml:space="preserve">he provision of legal and administrative support by Land Councils to CLA land owning associations and corporations in land </w:t>
      </w:r>
      <w:r w:rsidR="00A0552D" w:rsidRPr="006F126B">
        <w:rPr>
          <w:rFonts w:cs="Arial"/>
          <w:lang w:val="en-AU"/>
        </w:rPr>
        <w:t>dealings should</w:t>
      </w:r>
      <w:r w:rsidR="00370D99" w:rsidRPr="006F126B">
        <w:rPr>
          <w:rFonts w:cs="Arial"/>
          <w:lang w:val="en-AU"/>
        </w:rPr>
        <w:t xml:space="preserve"> be formalised, </w:t>
      </w:r>
      <w:r w:rsidR="00A0552D">
        <w:rPr>
          <w:rFonts w:cs="Arial"/>
          <w:lang w:val="en-AU"/>
        </w:rPr>
        <w:t>in line with</w:t>
      </w:r>
      <w:r w:rsidR="00370D99" w:rsidRPr="006F126B">
        <w:rPr>
          <w:rFonts w:cs="Arial"/>
          <w:lang w:val="en-AU"/>
        </w:rPr>
        <w:t xml:space="preserve"> the Stronger Futures legislation.</w:t>
      </w:r>
    </w:p>
    <w:p w:rsidR="00AB49AE" w:rsidRPr="00B40B0E" w:rsidRDefault="00AB49AE" w:rsidP="00406810">
      <w:pPr>
        <w:pStyle w:val="ListParagraph"/>
        <w:autoSpaceDE w:val="0"/>
        <w:autoSpaceDN w:val="0"/>
        <w:adjustRightInd w:val="0"/>
        <w:spacing w:before="60" w:after="60"/>
        <w:ind w:left="0"/>
        <w:rPr>
          <w:rFonts w:cs="Arial"/>
          <w:b/>
          <w:i/>
          <w:lang w:val="en-AU"/>
        </w:rPr>
      </w:pPr>
    </w:p>
    <w:p w:rsidR="00370D99" w:rsidRPr="00B40B0E" w:rsidRDefault="00370D99" w:rsidP="00406810">
      <w:pPr>
        <w:pStyle w:val="ListParagraph"/>
        <w:autoSpaceDE w:val="0"/>
        <w:autoSpaceDN w:val="0"/>
        <w:adjustRightInd w:val="0"/>
        <w:spacing w:before="60" w:after="60"/>
        <w:ind w:left="0"/>
        <w:rPr>
          <w:rFonts w:cs="Arial"/>
          <w:b/>
          <w:i/>
          <w:lang w:val="en-AU"/>
        </w:rPr>
      </w:pPr>
      <w:r w:rsidRPr="00B40B0E">
        <w:rPr>
          <w:rFonts w:cs="Arial"/>
          <w:b/>
          <w:i/>
          <w:lang w:val="en-AU"/>
        </w:rPr>
        <w:t>Ensure the right processes are in place for land dealings</w:t>
      </w:r>
    </w:p>
    <w:p w:rsidR="00370D99" w:rsidRPr="006F126B" w:rsidRDefault="00370D99" w:rsidP="00406810">
      <w:pPr>
        <w:pStyle w:val="ListParagraph"/>
        <w:numPr>
          <w:ilvl w:val="0"/>
          <w:numId w:val="1"/>
        </w:numPr>
        <w:autoSpaceDE w:val="0"/>
        <w:autoSpaceDN w:val="0"/>
        <w:adjustRightInd w:val="0"/>
        <w:spacing w:before="60" w:after="60"/>
        <w:rPr>
          <w:rFonts w:cs="Arial"/>
          <w:lang w:val="en-AU"/>
        </w:rPr>
      </w:pPr>
      <w:r w:rsidRPr="006F126B">
        <w:rPr>
          <w:rFonts w:cs="Arial"/>
          <w:lang w:val="en-AU"/>
        </w:rPr>
        <w:t xml:space="preserve">Look at what are the appropriate “checks and balances” in land dealings, for example: </w:t>
      </w:r>
    </w:p>
    <w:p w:rsidR="00370D99" w:rsidRPr="006F126B" w:rsidRDefault="00663E64" w:rsidP="00406810">
      <w:pPr>
        <w:pStyle w:val="ListParagraph"/>
        <w:numPr>
          <w:ilvl w:val="1"/>
          <w:numId w:val="1"/>
        </w:numPr>
        <w:autoSpaceDE w:val="0"/>
        <w:autoSpaceDN w:val="0"/>
        <w:adjustRightInd w:val="0"/>
        <w:spacing w:before="60" w:after="60"/>
        <w:rPr>
          <w:rFonts w:cs="Arial"/>
          <w:lang w:val="en-AU"/>
        </w:rPr>
      </w:pPr>
      <w:r>
        <w:rPr>
          <w:rFonts w:cs="Arial"/>
          <w:lang w:val="en-AU"/>
        </w:rPr>
        <w:t>W</w:t>
      </w:r>
      <w:r w:rsidRPr="006F126B">
        <w:rPr>
          <w:rFonts w:cs="Arial"/>
          <w:lang w:val="en-AU"/>
        </w:rPr>
        <w:t xml:space="preserve">hat </w:t>
      </w:r>
      <w:r w:rsidR="00370D99" w:rsidRPr="006F126B">
        <w:rPr>
          <w:rFonts w:cs="Arial"/>
          <w:lang w:val="en-AU"/>
        </w:rPr>
        <w:t>lease period threshold, if any, would trigger the need for NT Ministerial approval</w:t>
      </w:r>
      <w:r>
        <w:rPr>
          <w:rFonts w:cs="Arial"/>
          <w:lang w:val="en-AU"/>
        </w:rPr>
        <w:t>?</w:t>
      </w:r>
      <w:r w:rsidRPr="006F126B">
        <w:rPr>
          <w:rFonts w:cs="Arial"/>
          <w:lang w:val="en-AU"/>
        </w:rPr>
        <w:t xml:space="preserve"> </w:t>
      </w:r>
    </w:p>
    <w:p w:rsidR="00370D99" w:rsidRPr="006F126B" w:rsidRDefault="00663E64" w:rsidP="00406810">
      <w:pPr>
        <w:pStyle w:val="ListParagraph"/>
        <w:numPr>
          <w:ilvl w:val="1"/>
          <w:numId w:val="1"/>
        </w:numPr>
        <w:autoSpaceDE w:val="0"/>
        <w:autoSpaceDN w:val="0"/>
        <w:adjustRightInd w:val="0"/>
        <w:spacing w:before="60" w:after="60"/>
        <w:rPr>
          <w:rFonts w:cs="Arial"/>
          <w:lang w:val="en-AU"/>
        </w:rPr>
      </w:pPr>
      <w:r>
        <w:rPr>
          <w:rFonts w:cs="Arial"/>
          <w:lang w:val="en-AU"/>
        </w:rPr>
        <w:t>W</w:t>
      </w:r>
      <w:r w:rsidRPr="006F126B">
        <w:rPr>
          <w:rFonts w:cs="Arial"/>
          <w:lang w:val="en-AU"/>
        </w:rPr>
        <w:t xml:space="preserve">hat </w:t>
      </w:r>
      <w:r w:rsidR="00370D99" w:rsidRPr="006F126B">
        <w:rPr>
          <w:rFonts w:cs="Arial"/>
          <w:lang w:val="en-AU"/>
        </w:rPr>
        <w:t>development consent permissions are appropriate under the NT Planning Scheme</w:t>
      </w:r>
      <w:r>
        <w:rPr>
          <w:rFonts w:cs="Arial"/>
          <w:lang w:val="en-AU"/>
        </w:rPr>
        <w:t>?</w:t>
      </w:r>
    </w:p>
    <w:p w:rsidR="00BB6026" w:rsidRDefault="00BB6026">
      <w:pPr>
        <w:rPr>
          <w:rFonts w:cs="Arial"/>
          <w:b/>
          <w:i/>
          <w:lang w:val="en-AU"/>
        </w:rPr>
      </w:pPr>
      <w:r>
        <w:rPr>
          <w:rFonts w:cs="Arial"/>
          <w:b/>
          <w:i/>
          <w:lang w:val="en-AU"/>
        </w:rPr>
        <w:br w:type="page"/>
      </w:r>
    </w:p>
    <w:p w:rsidR="00370D99" w:rsidRPr="00B40B0E" w:rsidRDefault="00370D99" w:rsidP="00406810">
      <w:pPr>
        <w:autoSpaceDE w:val="0"/>
        <w:autoSpaceDN w:val="0"/>
        <w:adjustRightInd w:val="0"/>
        <w:spacing w:before="60" w:after="60"/>
        <w:rPr>
          <w:rFonts w:cs="Arial"/>
          <w:b/>
          <w:i/>
          <w:lang w:val="en-AU"/>
        </w:rPr>
      </w:pPr>
      <w:r w:rsidRPr="00B40B0E">
        <w:rPr>
          <w:rFonts w:cs="Arial"/>
          <w:b/>
          <w:i/>
          <w:lang w:val="en-AU"/>
        </w:rPr>
        <w:lastRenderedPageBreak/>
        <w:t>Allow for sustainable models for CLA land</w:t>
      </w:r>
    </w:p>
    <w:p w:rsidR="00370D99" w:rsidRPr="006F126B" w:rsidRDefault="00370D99" w:rsidP="00406810">
      <w:pPr>
        <w:pStyle w:val="ListParagraph"/>
        <w:numPr>
          <w:ilvl w:val="0"/>
          <w:numId w:val="1"/>
        </w:numPr>
        <w:spacing w:before="60" w:after="60"/>
        <w:rPr>
          <w:rFonts w:cs="Arial"/>
          <w:lang w:val="en-AU"/>
        </w:rPr>
      </w:pPr>
      <w:r w:rsidRPr="006F126B">
        <w:rPr>
          <w:rFonts w:cs="Arial"/>
          <w:lang w:val="en-AU"/>
        </w:rPr>
        <w:t>Models for longer term reform should strive to provide CLA land owners with similar opportunities to deal with their land as other Aboriginal land holding entities in the NT</w:t>
      </w:r>
      <w:r w:rsidR="00663E64">
        <w:rPr>
          <w:rFonts w:cs="Arial"/>
          <w:lang w:val="en-AU"/>
        </w:rPr>
        <w:t>,</w:t>
      </w:r>
      <w:r w:rsidRPr="006F126B">
        <w:rPr>
          <w:rFonts w:cs="Arial"/>
          <w:lang w:val="en-AU"/>
        </w:rPr>
        <w:t xml:space="preserve"> such as Aboriginal Land Trusts under the ALRA.</w:t>
      </w:r>
    </w:p>
    <w:p w:rsidR="00370D99" w:rsidRPr="006F126B" w:rsidRDefault="00370D99" w:rsidP="00406810">
      <w:pPr>
        <w:pStyle w:val="ListParagraph"/>
        <w:numPr>
          <w:ilvl w:val="0"/>
          <w:numId w:val="1"/>
        </w:numPr>
        <w:spacing w:before="60" w:after="60"/>
        <w:rPr>
          <w:rFonts w:cs="Arial"/>
          <w:lang w:val="en-AU"/>
        </w:rPr>
      </w:pPr>
      <w:r w:rsidRPr="006F126B">
        <w:rPr>
          <w:rFonts w:cs="Arial"/>
          <w:lang w:val="en-AU"/>
        </w:rPr>
        <w:t>Models for longer term reform should be flexible to take into account variations between smaller and larger CLA communities.</w:t>
      </w:r>
    </w:p>
    <w:p w:rsidR="00370D99" w:rsidRPr="006F126B" w:rsidRDefault="00370D99" w:rsidP="00406810">
      <w:pPr>
        <w:pStyle w:val="ListParagraph"/>
        <w:numPr>
          <w:ilvl w:val="0"/>
          <w:numId w:val="1"/>
        </w:numPr>
        <w:autoSpaceDE w:val="0"/>
        <w:autoSpaceDN w:val="0"/>
        <w:adjustRightInd w:val="0"/>
        <w:spacing w:before="60" w:after="60"/>
        <w:rPr>
          <w:rFonts w:cs="Arial"/>
          <w:lang w:val="en-AU"/>
        </w:rPr>
      </w:pPr>
      <w:r w:rsidRPr="006F126B">
        <w:rPr>
          <w:rFonts w:cs="Arial"/>
          <w:lang w:val="en-AU"/>
        </w:rPr>
        <w:t>Look at the sustainability of the current form of CLA land title being held by associations or corporations</w:t>
      </w:r>
      <w:r w:rsidR="00791EEE">
        <w:rPr>
          <w:rFonts w:cs="Arial"/>
          <w:lang w:val="en-AU"/>
        </w:rPr>
        <w:t>.</w:t>
      </w:r>
    </w:p>
    <w:p w:rsidR="00376D8C" w:rsidRPr="006F126B" w:rsidRDefault="00376D8C" w:rsidP="00406810">
      <w:pPr>
        <w:pStyle w:val="ListParagraph"/>
        <w:autoSpaceDE w:val="0"/>
        <w:autoSpaceDN w:val="0"/>
        <w:adjustRightInd w:val="0"/>
        <w:spacing w:before="60" w:after="60"/>
        <w:ind w:left="0"/>
        <w:rPr>
          <w:rFonts w:cs="Arial"/>
          <w:lang w:val="en-AU"/>
        </w:rPr>
      </w:pPr>
    </w:p>
    <w:p w:rsidR="00376D8C" w:rsidRPr="006F126B" w:rsidRDefault="00376D8C" w:rsidP="00376D8C">
      <w:pPr>
        <w:pStyle w:val="ListParagraph"/>
        <w:autoSpaceDE w:val="0"/>
        <w:autoSpaceDN w:val="0"/>
        <w:adjustRightInd w:val="0"/>
        <w:spacing w:before="60" w:after="60"/>
        <w:ind w:left="0"/>
        <w:rPr>
          <w:rFonts w:cs="Arial"/>
          <w:lang w:val="en-AU"/>
        </w:rPr>
      </w:pPr>
      <w:r w:rsidRPr="006F126B">
        <w:rPr>
          <w:rFonts w:cs="Arial"/>
          <w:lang w:val="en-AU"/>
        </w:rPr>
        <w:t>Models for longer term reform will be informed by the views of CLA land owners and community members in the first instance.</w:t>
      </w:r>
    </w:p>
    <w:p w:rsidR="009A67F3" w:rsidRPr="006F126B" w:rsidRDefault="009A67F3" w:rsidP="00406810">
      <w:pPr>
        <w:pStyle w:val="ListParagraph"/>
        <w:spacing w:before="60" w:after="60"/>
        <w:ind w:left="0"/>
        <w:rPr>
          <w:rFonts w:cs="Arial"/>
          <w:lang w:val="en-AU"/>
        </w:rPr>
      </w:pPr>
    </w:p>
    <w:p w:rsidR="00E51A3C" w:rsidRPr="006F126B" w:rsidRDefault="00E51A3C" w:rsidP="00E51A3C">
      <w:pPr>
        <w:spacing w:before="60" w:after="60"/>
        <w:rPr>
          <w:rFonts w:eastAsia="Calibri" w:cs="Arial"/>
          <w:b/>
          <w:lang w:val="en-AU"/>
        </w:rPr>
      </w:pPr>
      <w:r>
        <w:rPr>
          <w:rFonts w:eastAsia="Calibri" w:cs="Arial"/>
          <w:b/>
          <w:lang w:val="en-AU"/>
        </w:rPr>
        <w:t>Questions for general</w:t>
      </w:r>
      <w:r w:rsidRPr="006F126B">
        <w:rPr>
          <w:rFonts w:eastAsia="Calibri" w:cs="Arial"/>
          <w:b/>
          <w:lang w:val="en-AU"/>
        </w:rPr>
        <w:t xml:space="preserve"> discussion</w:t>
      </w:r>
    </w:p>
    <w:p w:rsidR="00E51A3C" w:rsidRPr="006F126B" w:rsidRDefault="00E51A3C" w:rsidP="00E51A3C">
      <w:pPr>
        <w:spacing w:before="60" w:after="60"/>
        <w:rPr>
          <w:rFonts w:eastAsia="Calibri" w:cs="Arial"/>
          <w:b/>
          <w:lang w:val="en-AU"/>
        </w:rPr>
      </w:pPr>
    </w:p>
    <w:p w:rsidR="00E51A3C" w:rsidRPr="006F126B" w:rsidRDefault="00E51A3C" w:rsidP="00E51A3C">
      <w:pPr>
        <w:pStyle w:val="ListParagraph"/>
        <w:numPr>
          <w:ilvl w:val="0"/>
          <w:numId w:val="4"/>
        </w:numPr>
        <w:spacing w:before="60" w:after="60"/>
        <w:rPr>
          <w:rFonts w:eastAsia="Calibri" w:cs="Arial"/>
          <w:lang w:val="en-AU"/>
        </w:rPr>
      </w:pPr>
      <w:r w:rsidRPr="006F126B">
        <w:rPr>
          <w:rFonts w:eastAsia="Calibri" w:cs="Arial"/>
          <w:lang w:val="en-AU"/>
        </w:rPr>
        <w:t>How do you think community living area land could be better used?</w:t>
      </w:r>
    </w:p>
    <w:p w:rsidR="00E51A3C" w:rsidRPr="006F126B" w:rsidRDefault="00E51A3C" w:rsidP="00E51A3C">
      <w:pPr>
        <w:spacing w:before="60" w:after="60"/>
        <w:rPr>
          <w:rFonts w:eastAsia="Calibri" w:cs="Arial"/>
          <w:lang w:val="en-AU"/>
        </w:rPr>
      </w:pPr>
    </w:p>
    <w:p w:rsidR="00E51A3C" w:rsidRPr="006F126B" w:rsidRDefault="00E51A3C" w:rsidP="00E51A3C">
      <w:pPr>
        <w:pStyle w:val="ListParagraph"/>
        <w:numPr>
          <w:ilvl w:val="0"/>
          <w:numId w:val="4"/>
        </w:numPr>
        <w:spacing w:before="60" w:after="60"/>
        <w:rPr>
          <w:rFonts w:eastAsia="Calibri" w:cs="Arial"/>
          <w:lang w:val="en-AU"/>
        </w:rPr>
      </w:pPr>
      <w:r w:rsidRPr="006F126B">
        <w:rPr>
          <w:rFonts w:eastAsia="Calibri" w:cs="Arial"/>
          <w:lang w:val="en-AU"/>
        </w:rPr>
        <w:t>What problems have you encountered because of community living area land title?</w:t>
      </w:r>
    </w:p>
    <w:p w:rsidR="00E51A3C" w:rsidRPr="006F126B" w:rsidRDefault="00E51A3C" w:rsidP="00E51A3C">
      <w:pPr>
        <w:spacing w:before="60" w:after="60"/>
        <w:rPr>
          <w:rFonts w:eastAsia="Calibri" w:cs="Arial"/>
          <w:lang w:val="en-AU"/>
        </w:rPr>
      </w:pPr>
    </w:p>
    <w:p w:rsidR="00E51A3C" w:rsidRPr="006F126B" w:rsidRDefault="00E51A3C" w:rsidP="00E51A3C">
      <w:pPr>
        <w:pStyle w:val="ListParagraph"/>
        <w:numPr>
          <w:ilvl w:val="0"/>
          <w:numId w:val="4"/>
        </w:numPr>
        <w:spacing w:before="60" w:after="60"/>
        <w:rPr>
          <w:rFonts w:eastAsia="Calibri" w:cs="Arial"/>
          <w:lang w:val="en-AU"/>
        </w:rPr>
      </w:pPr>
      <w:r w:rsidRPr="006F126B">
        <w:rPr>
          <w:rFonts w:eastAsia="Calibri" w:cs="Arial"/>
          <w:lang w:val="en-AU"/>
        </w:rPr>
        <w:t>What are the most important changes to make?</w:t>
      </w:r>
    </w:p>
    <w:p w:rsidR="00E51A3C" w:rsidRPr="006F126B" w:rsidRDefault="00E51A3C" w:rsidP="00E51A3C">
      <w:pPr>
        <w:spacing w:before="60" w:after="60"/>
        <w:rPr>
          <w:rFonts w:eastAsia="Calibri" w:cs="Arial"/>
          <w:lang w:val="en-AU"/>
        </w:rPr>
      </w:pPr>
    </w:p>
    <w:p w:rsidR="00E51A3C" w:rsidRPr="006F126B" w:rsidRDefault="00E51A3C" w:rsidP="00E51A3C">
      <w:pPr>
        <w:pStyle w:val="ListParagraph"/>
        <w:numPr>
          <w:ilvl w:val="0"/>
          <w:numId w:val="4"/>
        </w:numPr>
        <w:spacing w:before="60" w:after="60"/>
        <w:rPr>
          <w:rFonts w:eastAsia="Calibri" w:cs="Arial"/>
          <w:lang w:val="en-AU"/>
        </w:rPr>
      </w:pPr>
      <w:r w:rsidRPr="006F126B">
        <w:rPr>
          <w:rFonts w:eastAsia="Calibri" w:cs="Arial"/>
          <w:lang w:val="en-AU"/>
        </w:rPr>
        <w:t>Are there other issues about CLA land that we have not listed in this paper that people need to think about?</w:t>
      </w:r>
    </w:p>
    <w:p w:rsidR="00E51A3C" w:rsidRPr="006F126B" w:rsidRDefault="00E51A3C" w:rsidP="00E51A3C">
      <w:pPr>
        <w:spacing w:before="60" w:after="60"/>
        <w:rPr>
          <w:rFonts w:eastAsia="Calibri" w:cs="Arial"/>
          <w:lang w:val="en-AU"/>
        </w:rPr>
      </w:pPr>
    </w:p>
    <w:p w:rsidR="00E51A3C" w:rsidRPr="006F126B" w:rsidRDefault="00E51A3C" w:rsidP="00E51A3C">
      <w:pPr>
        <w:spacing w:before="60" w:after="60"/>
        <w:rPr>
          <w:rFonts w:cs="Arial"/>
          <w:lang w:val="en-AU"/>
        </w:rPr>
      </w:pPr>
      <w:r w:rsidRPr="006F126B">
        <w:rPr>
          <w:rFonts w:cs="Arial"/>
          <w:lang w:val="en-AU"/>
        </w:rPr>
        <w:t>The Australian Government also encourages discussion of issues raised within submissions to the Senate Community Affairs Inquiry into Stronger Futures legislation package, in particular the submissions from the Northern Land Council and Central Land Council.</w:t>
      </w:r>
      <w:r>
        <w:rPr>
          <w:rStyle w:val="FootnoteReference"/>
          <w:rFonts w:cs="Arial"/>
          <w:lang w:val="en-AU"/>
        </w:rPr>
        <w:footnoteReference w:id="4"/>
      </w:r>
    </w:p>
    <w:p w:rsidR="00376D8C" w:rsidRPr="006F126B" w:rsidRDefault="00376D8C" w:rsidP="00406810">
      <w:pPr>
        <w:spacing w:before="60" w:after="60"/>
        <w:rPr>
          <w:rFonts w:cs="Arial"/>
          <w:lang w:val="en-AU"/>
        </w:rPr>
      </w:pPr>
    </w:p>
    <w:p w:rsidR="009A67F3" w:rsidRPr="00E009D2" w:rsidRDefault="009A67F3" w:rsidP="00DA4590">
      <w:pPr>
        <w:pStyle w:val="Heading1"/>
        <w:rPr>
          <w:rFonts w:eastAsia="Calibri"/>
          <w:color w:val="F79646" w:themeColor="accent6"/>
          <w:lang w:val="en-AU"/>
        </w:rPr>
      </w:pPr>
      <w:r w:rsidRPr="00E009D2">
        <w:rPr>
          <w:rFonts w:eastAsia="Calibri"/>
          <w:color w:val="F79646" w:themeColor="accent6"/>
          <w:lang w:val="en-AU"/>
        </w:rPr>
        <w:t>Submissions</w:t>
      </w:r>
    </w:p>
    <w:p w:rsidR="00AB49AE" w:rsidRPr="006F126B" w:rsidRDefault="009A67F3" w:rsidP="00406810">
      <w:pPr>
        <w:spacing w:before="60" w:after="60"/>
        <w:rPr>
          <w:rFonts w:eastAsia="Calibri" w:cs="Arial"/>
          <w:lang w:val="en-AU"/>
        </w:rPr>
      </w:pPr>
      <w:r w:rsidRPr="005501B5">
        <w:rPr>
          <w:rFonts w:cs="Arial"/>
          <w:lang w:val="en-AU"/>
        </w:rPr>
        <w:t xml:space="preserve">The </w:t>
      </w:r>
      <w:r w:rsidRPr="005501B5">
        <w:rPr>
          <w:rFonts w:eastAsia="Calibri" w:cs="Arial"/>
          <w:lang w:val="en-AU"/>
        </w:rPr>
        <w:t xml:space="preserve">Australian Government invites </w:t>
      </w:r>
      <w:r w:rsidRPr="005501B5">
        <w:rPr>
          <w:rFonts w:eastAsia="Calibri" w:cs="Arial"/>
          <w:b/>
          <w:lang w:val="en-AU"/>
        </w:rPr>
        <w:t xml:space="preserve">written </w:t>
      </w:r>
      <w:r w:rsidR="00515FB0" w:rsidRPr="005501B5">
        <w:rPr>
          <w:rFonts w:eastAsia="Calibri" w:cs="Arial"/>
          <w:b/>
          <w:lang w:val="en-AU"/>
        </w:rPr>
        <w:t>feedback</w:t>
      </w:r>
      <w:r w:rsidR="00515FB0" w:rsidRPr="005501B5">
        <w:rPr>
          <w:rFonts w:eastAsia="Calibri" w:cs="Arial"/>
          <w:lang w:val="en-AU"/>
        </w:rPr>
        <w:t xml:space="preserve"> </w:t>
      </w:r>
      <w:r w:rsidRPr="005501B5">
        <w:rPr>
          <w:rFonts w:eastAsia="Calibri" w:cs="Arial"/>
          <w:lang w:val="en-AU"/>
        </w:rPr>
        <w:t xml:space="preserve">to this discussion paper </w:t>
      </w:r>
      <w:r w:rsidR="00376D8C" w:rsidRPr="005501B5">
        <w:rPr>
          <w:rFonts w:eastAsia="Calibri" w:cs="Arial"/>
          <w:lang w:val="en-AU"/>
        </w:rPr>
        <w:t xml:space="preserve">by </w:t>
      </w:r>
      <w:r w:rsidR="008E4F9A" w:rsidRPr="005501B5">
        <w:rPr>
          <w:rFonts w:eastAsia="Calibri" w:cs="Arial"/>
          <w:b/>
          <w:lang w:val="en-AU"/>
        </w:rPr>
        <w:br/>
      </w:r>
      <w:r w:rsidR="00BB6026">
        <w:rPr>
          <w:rFonts w:eastAsia="Calibri" w:cs="Arial"/>
          <w:b/>
          <w:lang w:val="en-AU"/>
        </w:rPr>
        <w:t>12 April</w:t>
      </w:r>
      <w:r w:rsidR="007C6F68" w:rsidRPr="005501B5">
        <w:rPr>
          <w:rFonts w:eastAsia="Calibri" w:cs="Arial"/>
          <w:b/>
          <w:lang w:val="en-AU"/>
        </w:rPr>
        <w:t> </w:t>
      </w:r>
      <w:r w:rsidR="00376D8C" w:rsidRPr="005501B5">
        <w:rPr>
          <w:rFonts w:eastAsia="Calibri" w:cs="Arial"/>
          <w:b/>
          <w:lang w:val="en-AU"/>
        </w:rPr>
        <w:t>2013</w:t>
      </w:r>
      <w:r w:rsidR="00376D8C" w:rsidRPr="005501B5">
        <w:rPr>
          <w:rFonts w:eastAsia="Calibri" w:cs="Arial"/>
          <w:lang w:val="en-AU"/>
        </w:rPr>
        <w:t>.</w:t>
      </w:r>
      <w:r w:rsidR="0090533B" w:rsidRPr="005501B5">
        <w:rPr>
          <w:rFonts w:eastAsia="Calibri" w:cs="Arial"/>
          <w:lang w:val="en-AU"/>
        </w:rPr>
        <w:t xml:space="preserve"> It is intended that written feedback will also inform discussions at </w:t>
      </w:r>
      <w:r w:rsidR="005501B5">
        <w:rPr>
          <w:rFonts w:eastAsia="Calibri" w:cs="Arial"/>
          <w:lang w:val="en-AU"/>
        </w:rPr>
        <w:br/>
      </w:r>
      <w:r w:rsidR="0090533B" w:rsidRPr="005501B5">
        <w:rPr>
          <w:rFonts w:eastAsia="Calibri" w:cs="Arial"/>
          <w:lang w:val="en-AU"/>
        </w:rPr>
        <w:t>in-community meetings.</w:t>
      </w:r>
    </w:p>
    <w:p w:rsidR="004E44EC" w:rsidRDefault="004E44EC">
      <w:pPr>
        <w:rPr>
          <w:rFonts w:eastAsia="Calibri" w:cs="Arial"/>
          <w:lang w:val="en-AU"/>
        </w:rPr>
      </w:pPr>
      <w:r>
        <w:rPr>
          <w:rFonts w:eastAsia="Calibri" w:cs="Arial"/>
          <w:lang w:val="en-AU"/>
        </w:rPr>
        <w:br w:type="page"/>
      </w:r>
    </w:p>
    <w:p w:rsidR="009A67F3" w:rsidRPr="006F126B" w:rsidRDefault="00515FB0" w:rsidP="00406810">
      <w:pPr>
        <w:spacing w:before="60" w:after="60"/>
        <w:rPr>
          <w:rFonts w:eastAsia="Calibri" w:cs="Arial"/>
          <w:lang w:val="en-AU"/>
        </w:rPr>
      </w:pPr>
      <w:r>
        <w:rPr>
          <w:rFonts w:eastAsia="Calibri" w:cs="Arial"/>
          <w:lang w:val="en-AU"/>
        </w:rPr>
        <w:lastRenderedPageBreak/>
        <w:t>Feedback</w:t>
      </w:r>
      <w:r w:rsidRPr="00515FB0">
        <w:rPr>
          <w:rFonts w:eastAsia="Calibri" w:cs="Arial"/>
          <w:lang w:val="en-AU"/>
        </w:rPr>
        <w:t xml:space="preserve"> </w:t>
      </w:r>
      <w:r w:rsidR="009A67F3" w:rsidRPr="00515FB0">
        <w:rPr>
          <w:rFonts w:eastAsia="Calibri" w:cs="Arial"/>
          <w:lang w:val="en-AU"/>
        </w:rPr>
        <w:t xml:space="preserve">can be </w:t>
      </w:r>
      <w:r w:rsidR="003A24C2" w:rsidRPr="00515FB0">
        <w:rPr>
          <w:rFonts w:eastAsia="Calibri" w:cs="Arial"/>
          <w:lang w:val="en-AU"/>
        </w:rPr>
        <w:t>submitted</w:t>
      </w:r>
      <w:r w:rsidR="003A24C2" w:rsidRPr="006F126B">
        <w:rPr>
          <w:rFonts w:eastAsia="Calibri" w:cs="Arial"/>
          <w:lang w:val="en-AU"/>
        </w:rPr>
        <w:t xml:space="preserve"> by post:</w:t>
      </w:r>
    </w:p>
    <w:p w:rsidR="009A67F3" w:rsidRPr="006F126B" w:rsidRDefault="009A67F3" w:rsidP="00406810">
      <w:pPr>
        <w:spacing w:before="60" w:after="60"/>
        <w:rPr>
          <w:rFonts w:eastAsia="Calibri" w:cs="Arial"/>
          <w:lang w:val="en-AU"/>
        </w:rPr>
      </w:pPr>
      <w:r w:rsidRPr="006F126B">
        <w:rPr>
          <w:rFonts w:eastAsia="Calibri" w:cs="Arial"/>
          <w:lang w:val="en-AU"/>
        </w:rPr>
        <w:t xml:space="preserve">Land </w:t>
      </w:r>
      <w:r w:rsidR="00B72E4E">
        <w:rPr>
          <w:rFonts w:eastAsia="Calibri" w:cs="Arial"/>
          <w:lang w:val="en-AU"/>
        </w:rPr>
        <w:t>and Economic Development Branch</w:t>
      </w:r>
    </w:p>
    <w:p w:rsidR="009A67F3" w:rsidRPr="006F126B" w:rsidRDefault="009A67F3" w:rsidP="00406810">
      <w:pPr>
        <w:spacing w:before="60" w:after="60"/>
        <w:rPr>
          <w:rFonts w:eastAsia="Calibri" w:cs="Arial"/>
          <w:lang w:val="en-AU"/>
        </w:rPr>
      </w:pPr>
      <w:r w:rsidRPr="006F126B">
        <w:rPr>
          <w:rFonts w:eastAsia="Calibri" w:cs="Arial"/>
          <w:lang w:val="en-AU"/>
        </w:rPr>
        <w:t>Department of Families, Housing, Community Services and Indigenous Affairs</w:t>
      </w:r>
    </w:p>
    <w:p w:rsidR="009A67F3" w:rsidRPr="006F126B" w:rsidRDefault="009A67F3" w:rsidP="00406810">
      <w:pPr>
        <w:spacing w:before="60" w:after="60"/>
        <w:rPr>
          <w:rFonts w:eastAsia="Calibri" w:cs="Arial"/>
          <w:lang w:val="en-AU"/>
        </w:rPr>
      </w:pPr>
      <w:r w:rsidRPr="006F126B">
        <w:rPr>
          <w:rFonts w:eastAsia="Calibri" w:cs="Arial"/>
          <w:lang w:val="en-AU"/>
        </w:rPr>
        <w:t>PO Box 7576</w:t>
      </w:r>
    </w:p>
    <w:p w:rsidR="009A67F3" w:rsidRPr="006F126B" w:rsidRDefault="009A67F3" w:rsidP="00406810">
      <w:pPr>
        <w:spacing w:before="60" w:after="60"/>
        <w:rPr>
          <w:rFonts w:eastAsia="Calibri" w:cs="Arial"/>
          <w:lang w:val="en-AU"/>
        </w:rPr>
      </w:pPr>
      <w:r w:rsidRPr="006F126B">
        <w:rPr>
          <w:rFonts w:eastAsia="Calibri" w:cs="Arial"/>
          <w:lang w:val="en-AU"/>
        </w:rPr>
        <w:t>Canberra Business Centre</w:t>
      </w:r>
    </w:p>
    <w:p w:rsidR="009A67F3" w:rsidRPr="006F126B" w:rsidRDefault="009A67F3" w:rsidP="00406810">
      <w:pPr>
        <w:spacing w:before="60" w:after="60"/>
        <w:rPr>
          <w:rFonts w:eastAsia="Calibri" w:cs="Arial"/>
          <w:lang w:val="en-AU"/>
        </w:rPr>
      </w:pPr>
      <w:r w:rsidRPr="006F126B">
        <w:rPr>
          <w:rFonts w:eastAsia="Calibri" w:cs="Arial"/>
          <w:lang w:val="en-AU"/>
        </w:rPr>
        <w:t>ACT 2610</w:t>
      </w:r>
    </w:p>
    <w:p w:rsidR="009A67F3" w:rsidRPr="006F126B" w:rsidRDefault="009A67F3" w:rsidP="00406810">
      <w:pPr>
        <w:spacing w:before="60" w:after="60"/>
        <w:rPr>
          <w:rFonts w:eastAsia="Calibri" w:cs="Arial"/>
          <w:lang w:val="en-AU"/>
        </w:rPr>
      </w:pPr>
    </w:p>
    <w:p w:rsidR="009A67F3" w:rsidRPr="006F126B" w:rsidRDefault="003A24C2" w:rsidP="00406810">
      <w:pPr>
        <w:spacing w:before="60" w:after="60"/>
        <w:rPr>
          <w:rFonts w:eastAsia="Calibri" w:cs="Arial"/>
          <w:lang w:val="en-AU"/>
        </w:rPr>
      </w:pPr>
      <w:r w:rsidRPr="006F126B">
        <w:rPr>
          <w:rFonts w:eastAsia="Calibri" w:cs="Arial"/>
          <w:lang w:val="en-AU"/>
        </w:rPr>
        <w:t>By email:</w:t>
      </w:r>
    </w:p>
    <w:p w:rsidR="009A67F3" w:rsidRPr="00515FB0" w:rsidRDefault="00B87468" w:rsidP="00406810">
      <w:pPr>
        <w:spacing w:before="60" w:after="60"/>
        <w:rPr>
          <w:rFonts w:eastAsia="Calibri" w:cs="Arial"/>
          <w:color w:val="0000FF"/>
          <w:u w:val="single"/>
          <w:lang w:val="en-AU"/>
        </w:rPr>
      </w:pPr>
      <w:hyperlink r:id="rId11" w:history="1">
        <w:r w:rsidR="009A67F3" w:rsidRPr="002B2B7E">
          <w:rPr>
            <w:rStyle w:val="Hyperlink"/>
            <w:rFonts w:cs="Arial"/>
            <w:color w:val="0000FF" w:themeColor="hyperlink"/>
            <w:sz w:val="22"/>
            <w:szCs w:val="22"/>
            <w:u w:val="single"/>
            <w:lang w:val="en-AU"/>
          </w:rPr>
          <w:t>CLAlandreform@fahcsia.gov.au</w:t>
        </w:r>
      </w:hyperlink>
    </w:p>
    <w:p w:rsidR="009A67F3" w:rsidRPr="006F126B" w:rsidRDefault="009A67F3" w:rsidP="00406810">
      <w:pPr>
        <w:spacing w:before="60" w:after="60"/>
        <w:rPr>
          <w:rFonts w:eastAsia="Calibri" w:cs="Arial"/>
          <w:lang w:val="en-AU"/>
        </w:rPr>
      </w:pPr>
    </w:p>
    <w:p w:rsidR="003A24C2" w:rsidRPr="006F126B" w:rsidRDefault="003A24C2" w:rsidP="00406810">
      <w:pPr>
        <w:spacing w:before="60" w:after="60"/>
        <w:rPr>
          <w:rFonts w:eastAsia="Calibri" w:cs="Arial"/>
          <w:lang w:val="en-AU"/>
        </w:rPr>
      </w:pPr>
      <w:r w:rsidRPr="006F126B">
        <w:rPr>
          <w:rFonts w:eastAsia="Calibri" w:cs="Arial"/>
          <w:lang w:val="en-AU"/>
        </w:rPr>
        <w:t>Or in person:</w:t>
      </w:r>
    </w:p>
    <w:p w:rsidR="003A24C2" w:rsidRPr="006F126B" w:rsidRDefault="003A24C2" w:rsidP="00406810">
      <w:pPr>
        <w:spacing w:before="60" w:after="60"/>
        <w:rPr>
          <w:rFonts w:eastAsia="Calibri" w:cs="Arial"/>
          <w:lang w:val="en-AU"/>
        </w:rPr>
      </w:pPr>
      <w:proofErr w:type="gramStart"/>
      <w:r w:rsidRPr="006F126B">
        <w:rPr>
          <w:rFonts w:eastAsia="Calibri" w:cs="Arial"/>
          <w:lang w:val="en-AU"/>
        </w:rPr>
        <w:t xml:space="preserve">To your local Government Engagement Coordinator or </w:t>
      </w:r>
      <w:r w:rsidR="00862C7C" w:rsidRPr="006F126B">
        <w:rPr>
          <w:rFonts w:eastAsia="Calibri" w:cs="Arial"/>
          <w:lang w:val="en-AU"/>
        </w:rPr>
        <w:t>Indigenous</w:t>
      </w:r>
      <w:r w:rsidRPr="006F126B">
        <w:rPr>
          <w:rFonts w:eastAsia="Calibri" w:cs="Arial"/>
          <w:lang w:val="en-AU"/>
        </w:rPr>
        <w:t xml:space="preserve"> Engagement Officer.</w:t>
      </w:r>
      <w:proofErr w:type="gramEnd"/>
    </w:p>
    <w:p w:rsidR="009A67F3" w:rsidRPr="006F126B" w:rsidRDefault="009A67F3" w:rsidP="00406810">
      <w:pPr>
        <w:spacing w:before="60" w:after="60"/>
        <w:rPr>
          <w:rFonts w:eastAsia="Calibri" w:cs="Arial"/>
          <w:lang w:val="en-AU"/>
        </w:rPr>
      </w:pPr>
    </w:p>
    <w:p w:rsidR="009B5A32" w:rsidRDefault="009A67F3" w:rsidP="00406810">
      <w:pPr>
        <w:spacing w:before="60" w:after="60"/>
        <w:rPr>
          <w:rFonts w:eastAsia="Calibri" w:cs="Arial"/>
          <w:lang w:val="en-AU"/>
        </w:rPr>
      </w:pPr>
      <w:r w:rsidRPr="006F126B">
        <w:rPr>
          <w:rFonts w:eastAsia="Calibri" w:cs="Arial"/>
          <w:lang w:val="en-AU"/>
        </w:rPr>
        <w:t xml:space="preserve">This discussion paper is available </w:t>
      </w:r>
      <w:r w:rsidR="00A0552D">
        <w:rPr>
          <w:rFonts w:eastAsia="Calibri" w:cs="Arial"/>
          <w:lang w:val="en-AU"/>
        </w:rPr>
        <w:t>on the FaHCSIA website</w:t>
      </w:r>
      <w:r w:rsidR="00A0552D" w:rsidRPr="006F126B">
        <w:rPr>
          <w:rFonts w:eastAsia="Calibri" w:cs="Arial"/>
          <w:lang w:val="en-AU"/>
        </w:rPr>
        <w:t xml:space="preserve"> </w:t>
      </w:r>
      <w:r w:rsidRPr="006F126B">
        <w:rPr>
          <w:rFonts w:eastAsia="Calibri" w:cs="Arial"/>
          <w:lang w:val="en-AU"/>
        </w:rPr>
        <w:t xml:space="preserve">at </w:t>
      </w:r>
    </w:p>
    <w:p w:rsidR="009B5A32" w:rsidRPr="009B5A32" w:rsidRDefault="00B87468" w:rsidP="00406810">
      <w:pPr>
        <w:spacing w:before="60" w:after="60"/>
        <w:rPr>
          <w:rFonts w:eastAsia="Calibri" w:cs="Arial"/>
          <w:color w:val="1F497D" w:themeColor="text2"/>
          <w:lang w:val="en-AU"/>
        </w:rPr>
      </w:pPr>
      <w:hyperlink r:id="rId12" w:history="1">
        <w:r w:rsidR="008D51D2">
          <w:rPr>
            <w:rStyle w:val="Hyperlink"/>
            <w:color w:val="1F497D" w:themeColor="text2"/>
            <w:sz w:val="22"/>
            <w:szCs w:val="22"/>
          </w:rPr>
          <w:t>www.fahcsia.gov.au/strongerfutures</w:t>
        </w:r>
      </w:hyperlink>
    </w:p>
    <w:p w:rsidR="009B5A32" w:rsidRDefault="009B5A32" w:rsidP="00406810">
      <w:pPr>
        <w:spacing w:before="60" w:after="60"/>
        <w:rPr>
          <w:rFonts w:eastAsia="Calibri" w:cs="Arial"/>
          <w:lang w:val="en-AU"/>
        </w:rPr>
      </w:pPr>
    </w:p>
    <w:p w:rsidR="009A67F3" w:rsidRPr="006F126B" w:rsidRDefault="009A67F3" w:rsidP="00406810">
      <w:pPr>
        <w:spacing w:before="60" w:after="60"/>
        <w:rPr>
          <w:rFonts w:eastAsia="Calibri" w:cs="Arial"/>
          <w:lang w:val="en-AU"/>
        </w:rPr>
      </w:pPr>
      <w:r w:rsidRPr="006F126B">
        <w:rPr>
          <w:rFonts w:eastAsia="Calibri" w:cs="Arial"/>
          <w:lang w:val="en-AU"/>
        </w:rPr>
        <w:t xml:space="preserve">All written </w:t>
      </w:r>
      <w:r w:rsidR="00A0552D">
        <w:rPr>
          <w:rFonts w:eastAsia="Calibri" w:cs="Arial"/>
          <w:lang w:val="en-AU"/>
        </w:rPr>
        <w:t>feedback</w:t>
      </w:r>
      <w:r w:rsidR="00A0552D" w:rsidRPr="006F126B">
        <w:rPr>
          <w:rFonts w:eastAsia="Calibri" w:cs="Arial"/>
          <w:lang w:val="en-AU"/>
        </w:rPr>
        <w:t xml:space="preserve"> </w:t>
      </w:r>
      <w:r w:rsidRPr="006F126B">
        <w:rPr>
          <w:rFonts w:eastAsia="Calibri" w:cs="Arial"/>
          <w:lang w:val="en-AU"/>
        </w:rPr>
        <w:t>will be made public at this web address.</w:t>
      </w:r>
    </w:p>
    <w:p w:rsidR="009A67F3" w:rsidRPr="006F126B" w:rsidRDefault="009A67F3" w:rsidP="00406810">
      <w:pPr>
        <w:spacing w:before="60" w:after="60"/>
        <w:rPr>
          <w:rFonts w:eastAsia="Calibri" w:cs="Arial"/>
          <w:lang w:val="en-AU"/>
        </w:rPr>
      </w:pPr>
    </w:p>
    <w:p w:rsidR="00370D99" w:rsidRPr="00E009D2" w:rsidRDefault="003A24C2" w:rsidP="00E021AE">
      <w:pPr>
        <w:pStyle w:val="Heading1"/>
        <w:rPr>
          <w:rStyle w:val="BookTitle"/>
          <w:i w:val="0"/>
          <w:iCs w:val="0"/>
          <w:smallCaps w:val="0"/>
          <w:color w:val="E36C0A" w:themeColor="accent6" w:themeShade="BF"/>
          <w:spacing w:val="0"/>
        </w:rPr>
      </w:pPr>
      <w:r w:rsidRPr="00E009D2">
        <w:rPr>
          <w:rStyle w:val="BookTitle"/>
          <w:i w:val="0"/>
          <w:iCs w:val="0"/>
          <w:smallCaps w:val="0"/>
          <w:color w:val="E36C0A" w:themeColor="accent6" w:themeShade="BF"/>
          <w:spacing w:val="0"/>
        </w:rPr>
        <w:t>What happens next?</w:t>
      </w:r>
    </w:p>
    <w:p w:rsidR="003A24C2" w:rsidRPr="006F126B" w:rsidRDefault="003A24C2" w:rsidP="003A24C2">
      <w:pPr>
        <w:spacing w:before="60" w:after="60"/>
        <w:rPr>
          <w:rFonts w:eastAsia="Calibri" w:cs="Arial"/>
          <w:lang w:val="en-AU"/>
        </w:rPr>
      </w:pPr>
      <w:r w:rsidRPr="006F126B">
        <w:rPr>
          <w:rFonts w:eastAsia="Calibri" w:cs="Arial"/>
          <w:lang w:val="en-AU"/>
        </w:rPr>
        <w:t xml:space="preserve">The Australian Government will summarise the views provided in the submissions on this discussion paper and the in-community meeting discussions in an outcomes paper for public release. The outcomes paper will </w:t>
      </w:r>
      <w:r w:rsidR="002B6B9D">
        <w:rPr>
          <w:rFonts w:eastAsia="Calibri" w:cs="Arial"/>
          <w:lang w:val="en-AU"/>
        </w:rPr>
        <w:t>contain</w:t>
      </w:r>
      <w:r w:rsidR="002B6B9D" w:rsidRPr="006F126B">
        <w:rPr>
          <w:rFonts w:eastAsia="Calibri" w:cs="Arial"/>
          <w:lang w:val="en-AU"/>
        </w:rPr>
        <w:t xml:space="preserve"> </w:t>
      </w:r>
      <w:r w:rsidRPr="006F126B">
        <w:rPr>
          <w:rFonts w:eastAsia="Calibri" w:cs="Arial"/>
          <w:lang w:val="en-AU"/>
        </w:rPr>
        <w:t>proposed reforms</w:t>
      </w:r>
      <w:r w:rsidR="002B6B9D">
        <w:rPr>
          <w:rFonts w:eastAsia="Calibri" w:cs="Arial"/>
          <w:lang w:val="en-AU"/>
        </w:rPr>
        <w:t>,</w:t>
      </w:r>
      <w:r w:rsidRPr="006F126B">
        <w:rPr>
          <w:rFonts w:eastAsia="Calibri" w:cs="Arial"/>
          <w:lang w:val="en-AU"/>
        </w:rPr>
        <w:t xml:space="preserve"> including proposed specific immediate reforms and options for longer term reforms.</w:t>
      </w:r>
    </w:p>
    <w:p w:rsidR="003A24C2" w:rsidRPr="006F126B" w:rsidRDefault="003A24C2" w:rsidP="003A24C2">
      <w:pPr>
        <w:spacing w:before="60" w:after="60"/>
        <w:rPr>
          <w:rFonts w:eastAsia="Calibri" w:cs="Arial"/>
          <w:lang w:val="en-AU"/>
        </w:rPr>
      </w:pPr>
    </w:p>
    <w:p w:rsidR="003A24C2" w:rsidRPr="006F126B" w:rsidRDefault="003A24C2" w:rsidP="003A24C2">
      <w:pPr>
        <w:spacing w:before="60" w:after="60"/>
        <w:rPr>
          <w:rFonts w:cs="Arial"/>
          <w:lang w:val="en-AU"/>
        </w:rPr>
      </w:pPr>
      <w:r w:rsidRPr="006F126B">
        <w:rPr>
          <w:rFonts w:eastAsia="Calibri" w:cs="Arial"/>
          <w:lang w:val="en-AU"/>
        </w:rPr>
        <w:t>The Australian Government will then hold a second stage of consultations on the proposed longer term reforms.</w:t>
      </w:r>
    </w:p>
    <w:p w:rsidR="00FD26C2" w:rsidRDefault="00FD26C2">
      <w:pPr>
        <w:rPr>
          <w:rStyle w:val="BookTitle"/>
          <w:i w:val="0"/>
          <w:iCs w:val="0"/>
          <w:smallCaps w:val="0"/>
          <w:spacing w:val="0"/>
          <w:lang w:val="en-AU"/>
        </w:rPr>
      </w:pPr>
      <w:r>
        <w:rPr>
          <w:rStyle w:val="BookTitle"/>
          <w:i w:val="0"/>
          <w:iCs w:val="0"/>
          <w:smallCaps w:val="0"/>
          <w:spacing w:val="0"/>
          <w:lang w:val="en-AU"/>
        </w:rPr>
        <w:br w:type="page"/>
      </w:r>
    </w:p>
    <w:p w:rsidR="00406810" w:rsidRPr="00A435D1" w:rsidRDefault="00FD26C2" w:rsidP="00A03859">
      <w:pPr>
        <w:pStyle w:val="Heading1"/>
        <w:rPr>
          <w:rStyle w:val="BookTitle"/>
          <w:b w:val="0"/>
          <w:i w:val="0"/>
          <w:iCs w:val="0"/>
          <w:smallCaps w:val="0"/>
          <w:spacing w:val="0"/>
          <w:lang w:val="en-AU"/>
        </w:rPr>
      </w:pPr>
      <w:r w:rsidRPr="00A435D1">
        <w:rPr>
          <w:rStyle w:val="BookTitle"/>
          <w:i w:val="0"/>
          <w:iCs w:val="0"/>
          <w:smallCaps w:val="0"/>
          <w:spacing w:val="0"/>
          <w:lang w:val="en-AU"/>
        </w:rPr>
        <w:lastRenderedPageBreak/>
        <w:t>Appendix A</w:t>
      </w:r>
    </w:p>
    <w:p w:rsidR="00FD26C2" w:rsidRDefault="00FD26C2" w:rsidP="00A03859">
      <w:pPr>
        <w:pStyle w:val="Heading2"/>
        <w:rPr>
          <w:rFonts w:eastAsia="Calibri"/>
        </w:rPr>
      </w:pPr>
      <w:r w:rsidRPr="00095D2D">
        <w:rPr>
          <w:rFonts w:eastAsia="Calibri"/>
        </w:rPr>
        <w:t>Summary of NT CLA related legislation</w:t>
      </w:r>
      <w:r w:rsidRPr="00095D2D">
        <w:rPr>
          <w:rFonts w:eastAsia="Calibri"/>
          <w:vertAlign w:val="superscript"/>
        </w:rPr>
        <w:footnoteReference w:id="5"/>
      </w:r>
    </w:p>
    <w:p w:rsidR="007C6F68" w:rsidRPr="00095D2D" w:rsidRDefault="007C6F68" w:rsidP="007C6F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eastAsia="Calibri" w:cs="Arial"/>
          <w:b/>
        </w:rPr>
      </w:pPr>
    </w:p>
    <w:p w:rsidR="00FD26C2" w:rsidRPr="00095D2D" w:rsidRDefault="00FD26C2" w:rsidP="00FD26C2">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rPr>
        <w:t>The summary provided below covers the more substantive provisions relating to CLAs and is not a comprehensive analysis of all NT legislation relevant to CLAs.</w:t>
      </w:r>
    </w:p>
    <w:p w:rsidR="00FD26C2" w:rsidRPr="00095D2D" w:rsidRDefault="00FD26C2" w:rsidP="00FD26C2">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i/>
        </w:rPr>
        <w:t>Associations Act</w:t>
      </w:r>
      <w:r w:rsidRPr="00095D2D">
        <w:rPr>
          <w:rFonts w:eastAsia="Calibri" w:cs="Arial"/>
        </w:rPr>
        <w:t xml:space="preserve"> (NT)</w:t>
      </w:r>
    </w:p>
    <w:p w:rsidR="00FD26C2" w:rsidRPr="00095D2D" w:rsidRDefault="00FD26C2" w:rsidP="00FD26C2">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rPr>
        <w:t xml:space="preserve">Subsection 110(1) of the Act provides, among other things, that an association incorporated under the Act cannot enter into a lease for a term of more than 12 months over prescribed property, including CLA land, without the consent of the relevant NT Minister. </w:t>
      </w:r>
    </w:p>
    <w:p w:rsidR="00FD26C2" w:rsidRPr="00095D2D" w:rsidRDefault="00FD26C2" w:rsidP="00FD26C2">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rPr>
        <w:t>Subsection 110(6) provides that the NT Minister can only give consent under section 110(1) for limited purposes in relation to CLA land. In relation to leases, subsection 110(6</w:t>
      </w:r>
      <w:proofErr w:type="gramStart"/>
      <w:r w:rsidRPr="00095D2D">
        <w:rPr>
          <w:rFonts w:eastAsia="Calibri" w:cs="Arial"/>
        </w:rPr>
        <w:t>)(</w:t>
      </w:r>
      <w:proofErr w:type="gramEnd"/>
      <w:r w:rsidRPr="00095D2D">
        <w:rPr>
          <w:rFonts w:eastAsia="Calibri" w:cs="Arial"/>
        </w:rPr>
        <w:t>d) provides that the Minister can only give consent if the lease’s permitted use relates to the provision of health, education or housing services or is to enable an ADI (</w:t>
      </w:r>
      <w:proofErr w:type="spellStart"/>
      <w:r w:rsidRPr="00095D2D">
        <w:rPr>
          <w:rFonts w:eastAsia="Calibri" w:cs="Arial"/>
        </w:rPr>
        <w:t>authorised</w:t>
      </w:r>
      <w:proofErr w:type="spellEnd"/>
      <w:r w:rsidRPr="00095D2D">
        <w:rPr>
          <w:rFonts w:eastAsia="Calibri" w:cs="Arial"/>
        </w:rPr>
        <w:t xml:space="preserve"> deposit taking institution) or the Territory Insurance Office to offer financial services.  Services provided under the permitted use must be to a class of persons that includes members of the incorporated association seeking to grant the lease.</w:t>
      </w:r>
    </w:p>
    <w:p w:rsidR="00FD26C2" w:rsidRPr="00095D2D" w:rsidRDefault="00FD26C2" w:rsidP="00FD26C2">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rPr>
        <w:t xml:space="preserve">Similarly, subsection 110(8) provides the same leasing restrictions in relation to CLA landowners that are Aboriginal Corporations with the additional restriction that leases less than 12 months also require Ministerial consent. </w:t>
      </w:r>
    </w:p>
    <w:p w:rsidR="00FD26C2" w:rsidRPr="00D35E83" w:rsidRDefault="00FD26C2" w:rsidP="00FD26C2">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i/>
        </w:rPr>
      </w:pPr>
      <w:r w:rsidRPr="00D35E83">
        <w:rPr>
          <w:rFonts w:eastAsia="Calibri" w:cs="Arial"/>
          <w:i/>
        </w:rPr>
        <w:t xml:space="preserve">Miscellaneous Acts Amendment (Aboriginal Community Living Area) Act </w:t>
      </w:r>
      <w:r w:rsidRPr="00D35E83">
        <w:rPr>
          <w:rFonts w:eastAsia="Calibri" w:cs="Arial"/>
        </w:rPr>
        <w:t xml:space="preserve">(NT) </w:t>
      </w:r>
    </w:p>
    <w:p w:rsidR="00FD26C2" w:rsidRPr="00D35E83" w:rsidRDefault="00FD26C2" w:rsidP="00FD26C2">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D35E83">
        <w:rPr>
          <w:rFonts w:eastAsia="Calibri" w:cs="Arial"/>
        </w:rPr>
        <w:t>This Act is largely legislation that provides amendments in relation to CLAs to primary legislation that is otherwise covered in this section. The exception is section 16 of the Act which provides a process by which owners of certain freehold and leasehold interests may apply to the Minister to have these interests converted to CLA freehold.</w:t>
      </w:r>
    </w:p>
    <w:p w:rsidR="00FD26C2" w:rsidRPr="00095D2D" w:rsidRDefault="00FD26C2" w:rsidP="00FD26C2">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i/>
        </w:rPr>
        <w:t xml:space="preserve">Lands Acquisition Act </w:t>
      </w:r>
      <w:r w:rsidRPr="00095D2D">
        <w:rPr>
          <w:rFonts w:eastAsia="Calibri" w:cs="Arial"/>
        </w:rPr>
        <w:t>(NT)</w:t>
      </w:r>
    </w:p>
    <w:p w:rsidR="00FD26C2" w:rsidRDefault="00FD26C2" w:rsidP="00FD26C2">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rPr>
        <w:t xml:space="preserve">Section 46(1A) of the </w:t>
      </w:r>
      <w:r w:rsidRPr="00095D2D">
        <w:rPr>
          <w:rFonts w:eastAsia="Calibri" w:cs="Arial"/>
          <w:i/>
        </w:rPr>
        <w:t xml:space="preserve">Lands Acquisition Act </w:t>
      </w:r>
      <w:r w:rsidRPr="00095D2D">
        <w:rPr>
          <w:rFonts w:eastAsia="Calibri" w:cs="Arial"/>
        </w:rPr>
        <w:t xml:space="preserve">(NT) provides for a CLA to be created by notice of acquisition following the process outlined in Part 8 of the </w:t>
      </w:r>
      <w:r w:rsidRPr="00095D2D">
        <w:rPr>
          <w:rFonts w:eastAsia="Calibri" w:cs="Arial"/>
          <w:i/>
        </w:rPr>
        <w:t>Pastoral Land Act</w:t>
      </w:r>
      <w:r w:rsidRPr="00095D2D">
        <w:rPr>
          <w:rFonts w:eastAsia="Calibri" w:cs="Arial"/>
        </w:rPr>
        <w:t xml:space="preserve"> (NT) as an Aboriginal CLA.  Section 20 of the </w:t>
      </w:r>
      <w:r w:rsidRPr="00095D2D">
        <w:rPr>
          <w:rFonts w:eastAsia="Calibri" w:cs="Arial"/>
          <w:i/>
        </w:rPr>
        <w:t>Crown Lands Act</w:t>
      </w:r>
      <w:r w:rsidRPr="00095D2D">
        <w:rPr>
          <w:rFonts w:eastAsia="Calibri" w:cs="Arial"/>
        </w:rPr>
        <w:t xml:space="preserve"> (NT) refers to this as a grant of an estate in fee simple to an association for the purposes of an Aboriginal CLA.</w:t>
      </w:r>
    </w:p>
    <w:p w:rsidR="00DC0FE3" w:rsidRDefault="00DC0FE3">
      <w:pPr>
        <w:rPr>
          <w:rFonts w:eastAsia="Calibri" w:cs="Arial"/>
          <w:b/>
          <w:sz w:val="16"/>
          <w:szCs w:val="16"/>
        </w:rPr>
      </w:pPr>
      <w:r>
        <w:rPr>
          <w:rFonts w:eastAsia="Calibri" w:cs="Arial"/>
          <w:b/>
          <w:sz w:val="16"/>
          <w:szCs w:val="16"/>
        </w:rPr>
        <w:br w:type="page"/>
      </w:r>
    </w:p>
    <w:p w:rsidR="00FD26C2" w:rsidRPr="00095D2D" w:rsidRDefault="00FD26C2" w:rsidP="00DC0FE3">
      <w:pPr>
        <w:pBdr>
          <w:top w:val="single" w:sz="4" w:space="0"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i/>
        </w:rPr>
        <w:lastRenderedPageBreak/>
        <w:t xml:space="preserve">Pastoral Land Act </w:t>
      </w:r>
      <w:r w:rsidRPr="00095D2D">
        <w:rPr>
          <w:rFonts w:eastAsia="Calibri" w:cs="Arial"/>
        </w:rPr>
        <w:t>(NT)</w:t>
      </w:r>
    </w:p>
    <w:p w:rsidR="00FD26C2" w:rsidRPr="00095D2D" w:rsidRDefault="00FD26C2" w:rsidP="00DC0FE3">
      <w:pPr>
        <w:pBdr>
          <w:top w:val="single" w:sz="4" w:space="0"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rPr>
        <w:t xml:space="preserve">Part 8 of the </w:t>
      </w:r>
      <w:r w:rsidRPr="00095D2D">
        <w:rPr>
          <w:rFonts w:eastAsia="Calibri" w:cs="Arial"/>
          <w:i/>
        </w:rPr>
        <w:t xml:space="preserve">Pastoral Land Act </w:t>
      </w:r>
      <w:r w:rsidRPr="00095D2D">
        <w:rPr>
          <w:rFonts w:eastAsia="Calibri" w:cs="Arial"/>
        </w:rPr>
        <w:t>provides for the process regarding the application, formation of association and acquisition of land for a CLA and the resumption</w:t>
      </w:r>
      <w:r w:rsidR="00DC0FE3">
        <w:rPr>
          <w:rFonts w:eastAsia="Calibri" w:cs="Arial"/>
        </w:rPr>
        <w:t xml:space="preserve"> of abandoned Aboriginal CLAs.</w:t>
      </w:r>
    </w:p>
    <w:p w:rsidR="00FD26C2" w:rsidRPr="00095D2D" w:rsidRDefault="00FD26C2" w:rsidP="00DC0FE3">
      <w:pPr>
        <w:pBdr>
          <w:top w:val="single" w:sz="4" w:space="0"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rPr>
        <w:t>Section 114 provides for the resumption of CLA land deemed to be abandoned. Subsection 114(1) defines “abandoned” in relation to a CLA to mean where neither the applicant nor any of the Aboriginal people for whose benefit the grant of land was made, or any of the members from time to time of the association to which the land was granted, have occupied the land as their principal place of residence during the previous 5 years.  Where land is deemed to be abandoned, the lessee of an adjacent pastoral lease may apply to the Minister to have the land comprising the abandoned CLA incorporated in his or h</w:t>
      </w:r>
      <w:r w:rsidR="00DC0FE3">
        <w:rPr>
          <w:rFonts w:eastAsia="Calibri" w:cs="Arial"/>
        </w:rPr>
        <w:t>er lease.</w:t>
      </w:r>
    </w:p>
    <w:p w:rsidR="00FD26C2" w:rsidRPr="00095D2D" w:rsidRDefault="00FD26C2" w:rsidP="00DC0FE3">
      <w:pPr>
        <w:pBdr>
          <w:top w:val="single" w:sz="4" w:space="0"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i/>
        </w:rPr>
        <w:t xml:space="preserve">Planning Act </w:t>
      </w:r>
      <w:r w:rsidRPr="00095D2D">
        <w:rPr>
          <w:rFonts w:eastAsia="Calibri" w:cs="Arial"/>
        </w:rPr>
        <w:t>(NT) and NT Planning Scheme</w:t>
      </w:r>
    </w:p>
    <w:p w:rsidR="00FD26C2" w:rsidRPr="00095D2D" w:rsidRDefault="00FD26C2" w:rsidP="00DC0FE3">
      <w:pPr>
        <w:pBdr>
          <w:top w:val="single" w:sz="4" w:space="0"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rPr>
        <w:t xml:space="preserve">Part 6, Section 12.1 of the NT Planning Scheme, provided for under Part 2 of the </w:t>
      </w:r>
      <w:r w:rsidRPr="00095D2D">
        <w:rPr>
          <w:rFonts w:eastAsia="Calibri" w:cs="Arial"/>
          <w:i/>
        </w:rPr>
        <w:t>Planning Act</w:t>
      </w:r>
      <w:r w:rsidRPr="00095D2D">
        <w:rPr>
          <w:rFonts w:eastAsia="Calibri" w:cs="Arial"/>
        </w:rPr>
        <w:t xml:space="preserve">, specifies that CLA land may be used or developed without consent for purposes necessary </w:t>
      </w:r>
      <w:proofErr w:type="gramStart"/>
      <w:r w:rsidRPr="00095D2D">
        <w:rPr>
          <w:rFonts w:eastAsia="Calibri" w:cs="Arial"/>
        </w:rPr>
        <w:t>for,</w:t>
      </w:r>
      <w:proofErr w:type="gramEnd"/>
      <w:r w:rsidRPr="00095D2D">
        <w:rPr>
          <w:rFonts w:eastAsia="Calibri" w:cs="Arial"/>
        </w:rPr>
        <w:t xml:space="preserve"> or ancillary to, “community life”.  Purposes related to community life are specified under Section 12.1 to include community </w:t>
      </w:r>
      <w:proofErr w:type="spellStart"/>
      <w:r w:rsidRPr="00095D2D">
        <w:rPr>
          <w:rFonts w:eastAsia="Calibri" w:cs="Arial"/>
        </w:rPr>
        <w:t>centres</w:t>
      </w:r>
      <w:proofErr w:type="spellEnd"/>
      <w:r w:rsidRPr="00095D2D">
        <w:rPr>
          <w:rFonts w:eastAsia="Calibri" w:cs="Arial"/>
        </w:rPr>
        <w:t xml:space="preserve">, dwellings, plant nurseries, </w:t>
      </w:r>
      <w:proofErr w:type="gramStart"/>
      <w:r w:rsidRPr="00095D2D">
        <w:rPr>
          <w:rFonts w:eastAsia="Calibri" w:cs="Arial"/>
        </w:rPr>
        <w:t>child</w:t>
      </w:r>
      <w:proofErr w:type="gramEnd"/>
      <w:r w:rsidRPr="00095D2D">
        <w:rPr>
          <w:rFonts w:eastAsia="Calibri" w:cs="Arial"/>
        </w:rPr>
        <w:t xml:space="preserve"> care </w:t>
      </w:r>
      <w:proofErr w:type="spellStart"/>
      <w:r w:rsidRPr="00095D2D">
        <w:rPr>
          <w:rFonts w:eastAsia="Calibri" w:cs="Arial"/>
        </w:rPr>
        <w:t>centres</w:t>
      </w:r>
      <w:proofErr w:type="spellEnd"/>
      <w:r w:rsidRPr="00095D2D">
        <w:rPr>
          <w:rFonts w:eastAsia="Calibri" w:cs="Arial"/>
        </w:rPr>
        <w:t>, places of worship, shops, hospitals, medical clinics, offices, veterinary clinics, education establishments, the keeping of poultry and the growing of crops, fruits, veg</w:t>
      </w:r>
      <w:r w:rsidR="00DC0FE3">
        <w:rPr>
          <w:rFonts w:eastAsia="Calibri" w:cs="Arial"/>
        </w:rPr>
        <w:t>etables, pasture and the like.</w:t>
      </w:r>
    </w:p>
    <w:p w:rsidR="00FD26C2" w:rsidRPr="00095D2D" w:rsidRDefault="00FD26C2" w:rsidP="00DC0FE3">
      <w:pPr>
        <w:pBdr>
          <w:top w:val="single" w:sz="4" w:space="0" w:color="auto"/>
          <w:left w:val="single" w:sz="4" w:space="4" w:color="auto"/>
          <w:bottom w:val="single" w:sz="4" w:space="1" w:color="auto"/>
          <w:right w:val="single" w:sz="4" w:space="4" w:color="auto"/>
        </w:pBdr>
        <w:shd w:val="clear" w:color="auto" w:fill="D9D9D9" w:themeFill="background1" w:themeFillShade="D9"/>
        <w:rPr>
          <w:rFonts w:eastAsia="Calibri" w:cs="Arial"/>
        </w:rPr>
      </w:pPr>
      <w:r w:rsidRPr="00095D2D">
        <w:rPr>
          <w:rFonts w:eastAsia="Calibri" w:cs="Arial"/>
        </w:rPr>
        <w:t>However, the scheme specifies that the land is not to be used or developed for any other purpose without consent.  Expressly included in this category is the keeping of livestock.  As such, the undertaking of any commercial or economic activity or development not related to those activities listed as necessary for community life would also be prohibited without consent.</w:t>
      </w:r>
    </w:p>
    <w:p w:rsidR="004950C1" w:rsidRDefault="004950C1">
      <w:pPr>
        <w:rPr>
          <w:rStyle w:val="BookTitle"/>
          <w:i w:val="0"/>
          <w:iCs w:val="0"/>
          <w:smallCaps w:val="0"/>
          <w:spacing w:val="0"/>
          <w:lang w:val="en-AU"/>
        </w:rPr>
      </w:pPr>
      <w:r>
        <w:rPr>
          <w:rStyle w:val="BookTitle"/>
          <w:i w:val="0"/>
          <w:iCs w:val="0"/>
          <w:smallCaps w:val="0"/>
          <w:spacing w:val="0"/>
          <w:lang w:val="en-AU"/>
        </w:rPr>
        <w:br w:type="page"/>
      </w:r>
    </w:p>
    <w:p w:rsidR="00406810" w:rsidRDefault="004950C1" w:rsidP="00A03859">
      <w:pPr>
        <w:pStyle w:val="Heading1"/>
        <w:rPr>
          <w:rStyle w:val="BookTitle"/>
          <w:i w:val="0"/>
          <w:iCs w:val="0"/>
          <w:smallCaps w:val="0"/>
          <w:spacing w:val="0"/>
          <w:lang w:val="en-AU"/>
        </w:rPr>
      </w:pPr>
      <w:r w:rsidRPr="00A435D1">
        <w:rPr>
          <w:rStyle w:val="BookTitle"/>
          <w:i w:val="0"/>
          <w:iCs w:val="0"/>
          <w:smallCaps w:val="0"/>
          <w:spacing w:val="0"/>
          <w:lang w:val="en-AU"/>
        </w:rPr>
        <w:lastRenderedPageBreak/>
        <w:t>Appendix B</w:t>
      </w:r>
    </w:p>
    <w:p w:rsidR="00040C7D" w:rsidRDefault="00040C7D" w:rsidP="00040C7D">
      <w:pPr>
        <w:rPr>
          <w:lang w:val="en-AU"/>
        </w:rPr>
      </w:pPr>
    </w:p>
    <w:p w:rsidR="00040C7D" w:rsidRDefault="00040C7D" w:rsidP="00040C7D">
      <w:pPr>
        <w:rPr>
          <w:lang w:val="en-AU"/>
        </w:rPr>
      </w:pPr>
      <w:r>
        <w:rPr>
          <w:lang w:val="en-AU"/>
        </w:rPr>
        <w:t xml:space="preserve">This is an extract from the </w:t>
      </w:r>
      <w:r w:rsidRPr="000B6150">
        <w:rPr>
          <w:i/>
          <w:lang w:val="en-AU"/>
        </w:rPr>
        <w:t>Stronger Futures in the Northern Territory Act 2012</w:t>
      </w:r>
      <w:r>
        <w:rPr>
          <w:lang w:val="en-AU"/>
        </w:rPr>
        <w:t>.</w:t>
      </w:r>
    </w:p>
    <w:p w:rsidR="00040C7D" w:rsidRDefault="00040C7D" w:rsidP="00040C7D">
      <w:pPr>
        <w:rPr>
          <w:lang w:val="en-AU"/>
        </w:rPr>
      </w:pPr>
      <w:r>
        <w:rPr>
          <w:lang w:val="en-AU"/>
        </w:rPr>
        <w:t xml:space="preserve">An electronic version of this Act is available in </w:t>
      </w:r>
      <w:proofErr w:type="spellStart"/>
      <w:r>
        <w:rPr>
          <w:lang w:val="en-AU"/>
        </w:rPr>
        <w:t>ComLaw</w:t>
      </w:r>
      <w:proofErr w:type="spellEnd"/>
      <w:r>
        <w:rPr>
          <w:lang w:val="en-AU"/>
        </w:rPr>
        <w:t xml:space="preserve"> </w:t>
      </w:r>
      <w:hyperlink r:id="rId13" w:history="1">
        <w:r w:rsidRPr="00D745E1">
          <w:rPr>
            <w:rStyle w:val="Hyperlink"/>
            <w:sz w:val="22"/>
            <w:szCs w:val="22"/>
            <w:lang w:val="en-AU"/>
          </w:rPr>
          <w:t>http://www.comlaw.gov.au/Details/C2012A00100/Download</w:t>
        </w:r>
      </w:hyperlink>
    </w:p>
    <w:p w:rsidR="00040C7D" w:rsidRDefault="00040C7D" w:rsidP="00040C7D">
      <w:pPr>
        <w:rPr>
          <w:lang w:val="en-AU"/>
        </w:rPr>
      </w:pPr>
    </w:p>
    <w:p w:rsidR="00040C7D" w:rsidRDefault="00040C7D" w:rsidP="00040C7D">
      <w:pPr>
        <w:rPr>
          <w:lang w:val="en-AU"/>
        </w:rPr>
      </w:pPr>
    </w:p>
    <w:p w:rsidR="00040C7D" w:rsidRDefault="00A03859" w:rsidP="00040C7D">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crest" style="width:107.35pt;height:78pt" o:ole="" fillcolor="window">
            <v:imagedata r:id="rId14" o:title=""/>
          </v:shape>
          <o:OLEObject Type="Embed" ProgID="Word.Picture.8" ShapeID="_x0000_i1025" DrawAspect="Content" ObjectID="_1424670961" r:id="rId15"/>
        </w:object>
      </w:r>
    </w:p>
    <w:p w:rsidR="00040C7D" w:rsidRPr="00816F81" w:rsidRDefault="00040C7D" w:rsidP="00A03859">
      <w:pPr>
        <w:pStyle w:val="Heading2"/>
      </w:pPr>
      <w:r w:rsidRPr="00816F81">
        <w:t xml:space="preserve">Stronger Futures in </w:t>
      </w:r>
      <w:r>
        <w:t>the Northern Territory Act 2012</w:t>
      </w:r>
    </w:p>
    <w:p w:rsidR="00040C7D" w:rsidRPr="00816F81" w:rsidRDefault="00040C7D" w:rsidP="00040C7D"/>
    <w:p w:rsidR="00040C7D" w:rsidRPr="00816F81" w:rsidRDefault="00040C7D" w:rsidP="00040C7D">
      <w:pPr>
        <w:pStyle w:val="Actno"/>
        <w:spacing w:before="400"/>
      </w:pPr>
      <w:r w:rsidRPr="00816F81">
        <w:t>No.</w:t>
      </w:r>
      <w:r>
        <w:t xml:space="preserve"> 100, 2012</w:t>
      </w:r>
    </w:p>
    <w:p w:rsidR="00040C7D" w:rsidRPr="00816F81" w:rsidRDefault="00040C7D" w:rsidP="00040C7D"/>
    <w:p w:rsidR="00040C7D" w:rsidRPr="00816F81" w:rsidRDefault="00040C7D" w:rsidP="00040C7D">
      <w:pPr>
        <w:pStyle w:val="LongT"/>
      </w:pPr>
      <w:r>
        <w:t>An Act</w:t>
      </w:r>
      <w:r w:rsidRPr="00816F81">
        <w:t xml:space="preserve"> to build stronger futures for Aboriginal people in the Northern Territory, and for related purposes</w:t>
      </w:r>
    </w:p>
    <w:p w:rsidR="004950C1" w:rsidRDefault="004950C1">
      <w:pPr>
        <w:spacing w:before="60" w:after="60"/>
        <w:rPr>
          <w:rStyle w:val="BookTitle"/>
          <w:i w:val="0"/>
          <w:iCs w:val="0"/>
          <w:smallCaps w:val="0"/>
          <w:spacing w:val="0"/>
          <w:lang w:val="en-AU"/>
        </w:rPr>
      </w:pPr>
    </w:p>
    <w:p w:rsidR="000B6150" w:rsidRDefault="000B6150">
      <w:pPr>
        <w:rPr>
          <w:rStyle w:val="CharPartNo"/>
          <w:rFonts w:eastAsiaTheme="majorEastAsia" w:cstheme="majorBidi"/>
          <w:b/>
          <w:bCs/>
        </w:rPr>
      </w:pPr>
      <w:bookmarkStart w:id="1" w:name="_Toc329244461"/>
      <w:r>
        <w:rPr>
          <w:rStyle w:val="CharPartNo"/>
        </w:rPr>
        <w:br w:type="page"/>
      </w:r>
    </w:p>
    <w:p w:rsidR="00040C7D" w:rsidRPr="00816F81" w:rsidRDefault="00040C7D" w:rsidP="00A03859">
      <w:pPr>
        <w:pStyle w:val="Heading3"/>
      </w:pPr>
      <w:r w:rsidRPr="00816F81">
        <w:rPr>
          <w:rStyle w:val="CharPartNo"/>
        </w:rPr>
        <w:lastRenderedPageBreak/>
        <w:t>Part 3</w:t>
      </w:r>
      <w:r w:rsidRPr="00816F81">
        <w:t>—</w:t>
      </w:r>
      <w:r w:rsidRPr="00816F81">
        <w:rPr>
          <w:rStyle w:val="CharPartText"/>
        </w:rPr>
        <w:t>Land reform</w:t>
      </w:r>
      <w:bookmarkEnd w:id="1"/>
    </w:p>
    <w:p w:rsidR="00040C7D" w:rsidRPr="00816F81" w:rsidRDefault="00040C7D" w:rsidP="00A03859">
      <w:pPr>
        <w:pStyle w:val="Heading4"/>
      </w:pPr>
      <w:bookmarkStart w:id="2" w:name="_Toc329244462"/>
      <w:r w:rsidRPr="00816F81">
        <w:rPr>
          <w:rStyle w:val="CharDivNo"/>
        </w:rPr>
        <w:t>Division 1</w:t>
      </w:r>
      <w:r w:rsidRPr="00816F81">
        <w:t>—</w:t>
      </w:r>
      <w:r w:rsidRPr="00816F81">
        <w:rPr>
          <w:rStyle w:val="CharDivText"/>
        </w:rPr>
        <w:t>Introduction</w:t>
      </w:r>
      <w:bookmarkEnd w:id="2"/>
    </w:p>
    <w:p w:rsidR="00040C7D" w:rsidRPr="00816F81" w:rsidRDefault="00040C7D" w:rsidP="00040C7D">
      <w:pPr>
        <w:pStyle w:val="ActHead5"/>
      </w:pPr>
      <w:bookmarkStart w:id="3" w:name="_Toc329244463"/>
      <w:proofErr w:type="gramStart"/>
      <w:r w:rsidRPr="00816F81">
        <w:rPr>
          <w:rStyle w:val="CharSectno"/>
        </w:rPr>
        <w:t>32</w:t>
      </w:r>
      <w:r w:rsidRPr="00816F81">
        <w:t xml:space="preserve">  Guide</w:t>
      </w:r>
      <w:proofErr w:type="gramEnd"/>
      <w:r w:rsidRPr="00816F81">
        <w:t xml:space="preserve"> to this Part</w:t>
      </w:r>
      <w:bookmarkEnd w:id="3"/>
    </w:p>
    <w:p w:rsidR="00040C7D" w:rsidRPr="00816F81" w:rsidRDefault="00040C7D" w:rsidP="00040C7D">
      <w:pPr>
        <w:pStyle w:val="BoxText"/>
      </w:pPr>
      <w:r w:rsidRPr="00816F81">
        <w:t>This Part contains measures relating to town camps and community living areas in the Northern Territory. Those measures are aimed at facilitating the granting of rights and interests, and promoting economic development, in those camps and areas.</w:t>
      </w:r>
    </w:p>
    <w:p w:rsidR="00040C7D" w:rsidRPr="00816F81" w:rsidRDefault="00040C7D" w:rsidP="00040C7D">
      <w:pPr>
        <w:pStyle w:val="BoxText"/>
      </w:pPr>
      <w:r w:rsidRPr="00816F81">
        <w:t>Division 2 deals with town camps. It allows regulations to be made to modify particular laws of the Northern Territory to the extent that those laws apply to a town camp. It also allows regulations to be made to modify the NT Crown Lands Act and the NT Special Purposes Leases Act, and leases granted under that Act, in particular ways.</w:t>
      </w:r>
    </w:p>
    <w:p w:rsidR="00040C7D" w:rsidRPr="00816F81" w:rsidRDefault="00040C7D" w:rsidP="00040C7D">
      <w:pPr>
        <w:pStyle w:val="BoxText"/>
      </w:pPr>
      <w:r w:rsidRPr="00816F81">
        <w:t>Division 3 deals with community living areas. It allows regulations to be made to modify particular laws of the Northern Territory to the extent that those laws apply to a community living area.</w:t>
      </w:r>
    </w:p>
    <w:p w:rsidR="00040C7D" w:rsidRPr="00816F81" w:rsidRDefault="00040C7D" w:rsidP="00040C7D">
      <w:pPr>
        <w:pStyle w:val="ActHead5"/>
      </w:pPr>
      <w:bookmarkStart w:id="4" w:name="_Toc329244464"/>
      <w:proofErr w:type="gramStart"/>
      <w:r w:rsidRPr="00816F81">
        <w:rPr>
          <w:rStyle w:val="CharSectno"/>
        </w:rPr>
        <w:t>33</w:t>
      </w:r>
      <w:r w:rsidRPr="00816F81">
        <w:t xml:space="preserve">  Object</w:t>
      </w:r>
      <w:proofErr w:type="gramEnd"/>
      <w:r w:rsidRPr="00816F81">
        <w:t xml:space="preserve"> of this Part</w:t>
      </w:r>
      <w:bookmarkEnd w:id="4"/>
    </w:p>
    <w:p w:rsidR="00040C7D" w:rsidRPr="00816F81" w:rsidRDefault="00040C7D" w:rsidP="00040C7D">
      <w:pPr>
        <w:pStyle w:val="subsection"/>
      </w:pPr>
      <w:r w:rsidRPr="00816F81">
        <w:tab/>
      </w:r>
      <w:r w:rsidRPr="00816F81">
        <w:tab/>
        <w:t>The object of this Part is to enable special measures to be taken:</w:t>
      </w:r>
    </w:p>
    <w:p w:rsidR="00040C7D" w:rsidRPr="00816F81" w:rsidRDefault="00040C7D" w:rsidP="00040C7D">
      <w:pPr>
        <w:pStyle w:val="paragraph"/>
      </w:pPr>
      <w:r w:rsidRPr="00816F81">
        <w:tab/>
        <w:t>(a)</w:t>
      </w:r>
      <w:r w:rsidRPr="00816F81">
        <w:tab/>
      </w:r>
      <w:proofErr w:type="gramStart"/>
      <w:r w:rsidRPr="00816F81">
        <w:t>to</w:t>
      </w:r>
      <w:proofErr w:type="gramEnd"/>
      <w:r w:rsidRPr="00816F81">
        <w:t xml:space="preserve"> facilitate the granting of individual rights or interests in relation to land in town camps and community living areas; and</w:t>
      </w:r>
    </w:p>
    <w:p w:rsidR="00040C7D" w:rsidRPr="00816F81" w:rsidRDefault="00040C7D" w:rsidP="00040C7D">
      <w:pPr>
        <w:pStyle w:val="paragraph"/>
      </w:pPr>
      <w:r w:rsidRPr="00816F81">
        <w:tab/>
        <w:t>(b)</w:t>
      </w:r>
      <w:r w:rsidRPr="00816F81">
        <w:tab/>
      </w:r>
      <w:proofErr w:type="gramStart"/>
      <w:r w:rsidRPr="00816F81">
        <w:t>to</w:t>
      </w:r>
      <w:proofErr w:type="gramEnd"/>
      <w:r w:rsidRPr="00816F81">
        <w:t xml:space="preserve"> promote economic development in town camps and community living areas.</w:t>
      </w:r>
    </w:p>
    <w:p w:rsidR="004950C1" w:rsidRDefault="004950C1">
      <w:pPr>
        <w:spacing w:before="60" w:after="60"/>
        <w:rPr>
          <w:rStyle w:val="BookTitle"/>
          <w:i w:val="0"/>
          <w:iCs w:val="0"/>
          <w:smallCaps w:val="0"/>
          <w:spacing w:val="0"/>
          <w:lang w:val="en-AU"/>
        </w:rPr>
      </w:pPr>
    </w:p>
    <w:p w:rsidR="00040C7D" w:rsidRPr="00816F81" w:rsidRDefault="00040C7D" w:rsidP="00A03859">
      <w:pPr>
        <w:pStyle w:val="Heading4"/>
      </w:pPr>
      <w:bookmarkStart w:id="5" w:name="_Toc329244467"/>
      <w:r w:rsidRPr="00816F81">
        <w:rPr>
          <w:rStyle w:val="CharDivNo"/>
        </w:rPr>
        <w:t>Division 3</w:t>
      </w:r>
      <w:r w:rsidRPr="00816F81">
        <w:t>—</w:t>
      </w:r>
      <w:r w:rsidRPr="00816F81">
        <w:rPr>
          <w:rStyle w:val="CharDivText"/>
        </w:rPr>
        <w:t>Community living areas</w:t>
      </w:r>
      <w:bookmarkEnd w:id="5"/>
    </w:p>
    <w:p w:rsidR="00040C7D" w:rsidRPr="00816F81" w:rsidRDefault="00040C7D" w:rsidP="00040C7D">
      <w:pPr>
        <w:pStyle w:val="ActHead5"/>
      </w:pPr>
      <w:bookmarkStart w:id="6" w:name="_Toc329244468"/>
      <w:proofErr w:type="gramStart"/>
      <w:r w:rsidRPr="00816F81">
        <w:rPr>
          <w:rStyle w:val="CharSectno"/>
        </w:rPr>
        <w:t>35</w:t>
      </w:r>
      <w:r w:rsidRPr="00816F81">
        <w:t xml:space="preserve">  Modifying</w:t>
      </w:r>
      <w:proofErr w:type="gramEnd"/>
      <w:r w:rsidRPr="00816F81">
        <w:t xml:space="preserve"> NT laws in relation to community living areas</w:t>
      </w:r>
      <w:bookmarkEnd w:id="6"/>
    </w:p>
    <w:p w:rsidR="00040C7D" w:rsidRPr="00816F81" w:rsidRDefault="00040C7D" w:rsidP="00040C7D">
      <w:pPr>
        <w:pStyle w:val="subsection"/>
      </w:pPr>
      <w:r w:rsidRPr="00816F81">
        <w:tab/>
        <w:t>(1)</w:t>
      </w:r>
      <w:r w:rsidRPr="00816F81">
        <w:tab/>
        <w:t>The regulations may modify any law of the Northern Territory relating to:</w:t>
      </w:r>
    </w:p>
    <w:p w:rsidR="00040C7D" w:rsidRPr="00816F81" w:rsidRDefault="00040C7D" w:rsidP="00040C7D">
      <w:pPr>
        <w:pStyle w:val="paragraph"/>
      </w:pPr>
      <w:r w:rsidRPr="00816F81">
        <w:tab/>
        <w:t>(a)</w:t>
      </w:r>
      <w:r w:rsidRPr="00816F81">
        <w:tab/>
      </w:r>
      <w:proofErr w:type="gramStart"/>
      <w:r w:rsidRPr="00816F81">
        <w:t>the</w:t>
      </w:r>
      <w:proofErr w:type="gramEnd"/>
      <w:r w:rsidRPr="00816F81">
        <w:t xml:space="preserve"> use of land; or</w:t>
      </w:r>
    </w:p>
    <w:p w:rsidR="00040C7D" w:rsidRPr="00816F81" w:rsidRDefault="00040C7D" w:rsidP="00040C7D">
      <w:pPr>
        <w:pStyle w:val="paragraph"/>
      </w:pPr>
      <w:r w:rsidRPr="00816F81">
        <w:tab/>
        <w:t>(b)</w:t>
      </w:r>
      <w:r w:rsidRPr="00816F81">
        <w:tab/>
      </w:r>
      <w:proofErr w:type="gramStart"/>
      <w:r w:rsidRPr="00816F81">
        <w:t>dealings</w:t>
      </w:r>
      <w:proofErr w:type="gramEnd"/>
      <w:r w:rsidRPr="00816F81">
        <w:t xml:space="preserve"> in land; or</w:t>
      </w:r>
    </w:p>
    <w:p w:rsidR="00040C7D" w:rsidRPr="00816F81" w:rsidRDefault="00040C7D" w:rsidP="00040C7D">
      <w:pPr>
        <w:pStyle w:val="paragraph"/>
      </w:pPr>
      <w:r w:rsidRPr="00816F81">
        <w:tab/>
        <w:t>(c)</w:t>
      </w:r>
      <w:r w:rsidRPr="00816F81">
        <w:tab/>
      </w:r>
      <w:proofErr w:type="gramStart"/>
      <w:r w:rsidRPr="00816F81">
        <w:t>planning</w:t>
      </w:r>
      <w:proofErr w:type="gramEnd"/>
      <w:r w:rsidRPr="00816F81">
        <w:t>; or</w:t>
      </w:r>
    </w:p>
    <w:p w:rsidR="00040C7D" w:rsidRPr="00816F81" w:rsidRDefault="00040C7D" w:rsidP="00040C7D">
      <w:pPr>
        <w:pStyle w:val="paragraph"/>
      </w:pPr>
      <w:r w:rsidRPr="00816F81">
        <w:tab/>
        <w:t>(d)</w:t>
      </w:r>
      <w:r w:rsidRPr="00816F81">
        <w:tab/>
      </w:r>
      <w:proofErr w:type="gramStart"/>
      <w:r w:rsidRPr="00816F81">
        <w:t>infrastructure</w:t>
      </w:r>
      <w:proofErr w:type="gramEnd"/>
      <w:r w:rsidRPr="00816F81">
        <w:t>; or</w:t>
      </w:r>
    </w:p>
    <w:p w:rsidR="00040C7D" w:rsidRPr="00816F81" w:rsidRDefault="00040C7D" w:rsidP="00040C7D">
      <w:pPr>
        <w:pStyle w:val="paragraph"/>
      </w:pPr>
      <w:r w:rsidRPr="00816F81">
        <w:tab/>
        <w:t>(e)</w:t>
      </w:r>
      <w:r w:rsidRPr="00816F81">
        <w:tab/>
      </w:r>
      <w:proofErr w:type="gramStart"/>
      <w:r w:rsidRPr="00816F81">
        <w:t>any</w:t>
      </w:r>
      <w:proofErr w:type="gramEnd"/>
      <w:r w:rsidRPr="00816F81">
        <w:t xml:space="preserve"> matter prescribed by the regulations;</w:t>
      </w:r>
    </w:p>
    <w:p w:rsidR="00040C7D" w:rsidRPr="00816F81" w:rsidRDefault="00040C7D" w:rsidP="00040C7D">
      <w:pPr>
        <w:pStyle w:val="subsection2"/>
      </w:pPr>
      <w:proofErr w:type="gramStart"/>
      <w:r w:rsidRPr="00816F81">
        <w:t>to</w:t>
      </w:r>
      <w:proofErr w:type="gramEnd"/>
      <w:r w:rsidRPr="00816F81">
        <w:t xml:space="preserve"> the extent that the law applies to a community living area.</w:t>
      </w:r>
    </w:p>
    <w:p w:rsidR="00040C7D" w:rsidRPr="00816F81" w:rsidRDefault="00040C7D" w:rsidP="00040C7D">
      <w:pPr>
        <w:pStyle w:val="subsection"/>
      </w:pPr>
      <w:r w:rsidRPr="00816F81">
        <w:tab/>
        <w:t>(2)</w:t>
      </w:r>
      <w:r w:rsidRPr="00816F81">
        <w:tab/>
        <w:t xml:space="preserve">A </w:t>
      </w:r>
      <w:r w:rsidRPr="00816F81">
        <w:rPr>
          <w:b/>
          <w:i/>
        </w:rPr>
        <w:t xml:space="preserve">community living area </w:t>
      </w:r>
      <w:r w:rsidRPr="00816F81">
        <w:t>is an area granted or created as an Aboriginal community living area by or under a law of the Northern Territory.</w:t>
      </w:r>
    </w:p>
    <w:p w:rsidR="00040C7D" w:rsidRPr="00816F81" w:rsidRDefault="00040C7D" w:rsidP="00040C7D">
      <w:pPr>
        <w:pStyle w:val="notetext"/>
      </w:pPr>
      <w:r w:rsidRPr="00816F81">
        <w:t>Example:</w:t>
      </w:r>
      <w:r w:rsidRPr="00816F81">
        <w:tab/>
        <w:t xml:space="preserve">Land granted under subsection 46(1A) of the </w:t>
      </w:r>
      <w:r w:rsidRPr="00816F81">
        <w:rPr>
          <w:i/>
        </w:rPr>
        <w:t>Lands Acquisition Act</w:t>
      </w:r>
      <w:r w:rsidRPr="00816F81">
        <w:t xml:space="preserve"> of the Northern Territory is a community living area.</w:t>
      </w:r>
    </w:p>
    <w:p w:rsidR="00040C7D" w:rsidRPr="00816F81" w:rsidRDefault="00040C7D" w:rsidP="00040C7D">
      <w:pPr>
        <w:pStyle w:val="subsection"/>
      </w:pPr>
      <w:r w:rsidRPr="00816F81">
        <w:tab/>
        <w:t>(3)</w:t>
      </w:r>
      <w:r w:rsidRPr="00816F81">
        <w:tab/>
        <w:t xml:space="preserve">If regulations made for the purposes of subsection (1) modify a law of the Northern Territory (the </w:t>
      </w:r>
      <w:r w:rsidRPr="00816F81">
        <w:rPr>
          <w:b/>
          <w:i/>
        </w:rPr>
        <w:t>relevant law</w:t>
      </w:r>
      <w:r w:rsidRPr="00816F81">
        <w:t>), then:</w:t>
      </w:r>
    </w:p>
    <w:p w:rsidR="00040C7D" w:rsidRPr="00816F81" w:rsidRDefault="00040C7D" w:rsidP="00040C7D">
      <w:pPr>
        <w:pStyle w:val="paragraph"/>
      </w:pPr>
      <w:r w:rsidRPr="00816F81">
        <w:tab/>
        <w:t>(a)</w:t>
      </w:r>
      <w:r w:rsidRPr="00816F81">
        <w:tab/>
      </w:r>
      <w:proofErr w:type="gramStart"/>
      <w:r w:rsidRPr="00816F81">
        <w:t>immediately</w:t>
      </w:r>
      <w:proofErr w:type="gramEnd"/>
      <w:r w:rsidRPr="00816F81">
        <w:t xml:space="preserve"> on the commencement of those regulations, the relevant law is taken to be modified accordingly; and</w:t>
      </w:r>
    </w:p>
    <w:p w:rsidR="00040C7D" w:rsidRPr="00816F81" w:rsidRDefault="00040C7D" w:rsidP="00040C7D">
      <w:pPr>
        <w:pStyle w:val="paragraph"/>
      </w:pPr>
      <w:r w:rsidRPr="00816F81">
        <w:tab/>
        <w:t>(b)</w:t>
      </w:r>
      <w:r w:rsidRPr="00816F81">
        <w:tab/>
        <w:t>after the commencement of those regulations, the relevant law, as modified, applies in the same way as it would apply if, instead of those regulations, a law of the Northern Territory had made those modifications; and</w:t>
      </w:r>
    </w:p>
    <w:p w:rsidR="00040C7D" w:rsidRPr="00816F81" w:rsidRDefault="00040C7D" w:rsidP="00040C7D">
      <w:pPr>
        <w:pStyle w:val="paragraph"/>
      </w:pPr>
      <w:r w:rsidRPr="00816F81">
        <w:lastRenderedPageBreak/>
        <w:tab/>
        <w:t>(c)</w:t>
      </w:r>
      <w:r w:rsidRPr="00816F81">
        <w:tab/>
      </w:r>
      <w:proofErr w:type="gramStart"/>
      <w:r w:rsidRPr="00816F81">
        <w:t>after</w:t>
      </w:r>
      <w:proofErr w:type="gramEnd"/>
      <w:r w:rsidRPr="00816F81">
        <w:t xml:space="preserve"> the commencement of those regulations, the relevant law may be further modified by a law of the Northern Territory or by regulations under subsection (1), in the same way as it could be further modified if, instead of those regulations, a law of the Northern Territory had made those modifications.</w:t>
      </w:r>
    </w:p>
    <w:p w:rsidR="00040C7D" w:rsidRPr="00816F81" w:rsidRDefault="00040C7D" w:rsidP="00040C7D">
      <w:pPr>
        <w:pStyle w:val="subsection"/>
      </w:pPr>
      <w:r w:rsidRPr="00816F81">
        <w:tab/>
        <w:t>(4)</w:t>
      </w:r>
      <w:r w:rsidRPr="00816F81">
        <w:tab/>
        <w:t>Before making regulations for the purposes of subsection (1) in relation to a community living area, the Minister must consult with:</w:t>
      </w:r>
    </w:p>
    <w:p w:rsidR="00040C7D" w:rsidRPr="00816F81" w:rsidRDefault="00040C7D" w:rsidP="00040C7D">
      <w:pPr>
        <w:pStyle w:val="paragraph"/>
      </w:pPr>
      <w:r w:rsidRPr="00816F81">
        <w:tab/>
        <w:t>(a)</w:t>
      </w:r>
      <w:r w:rsidRPr="00816F81">
        <w:tab/>
      </w:r>
      <w:proofErr w:type="gramStart"/>
      <w:r w:rsidRPr="00816F81">
        <w:t>the</w:t>
      </w:r>
      <w:proofErr w:type="gramEnd"/>
      <w:r w:rsidRPr="00816F81">
        <w:t xml:space="preserve"> Government of the Northern Territory; and</w:t>
      </w:r>
    </w:p>
    <w:p w:rsidR="00040C7D" w:rsidRPr="00816F81" w:rsidRDefault="00040C7D" w:rsidP="00040C7D">
      <w:pPr>
        <w:pStyle w:val="paragraph"/>
      </w:pPr>
      <w:r w:rsidRPr="00816F81">
        <w:tab/>
        <w:t>(b)</w:t>
      </w:r>
      <w:r w:rsidRPr="00816F81">
        <w:tab/>
        <w:t>if the owner of the land that is the community living area requests to be consulted about the making of regulations for the purposes of subsection (1)—the owner; and</w:t>
      </w:r>
    </w:p>
    <w:p w:rsidR="00040C7D" w:rsidRPr="00816F81" w:rsidRDefault="00040C7D" w:rsidP="00040C7D">
      <w:pPr>
        <w:pStyle w:val="paragraph"/>
      </w:pPr>
      <w:r w:rsidRPr="00816F81">
        <w:tab/>
        <w:t>(c)</w:t>
      </w:r>
      <w:r w:rsidRPr="00816F81">
        <w:tab/>
      </w:r>
      <w:proofErr w:type="gramStart"/>
      <w:r w:rsidRPr="00816F81">
        <w:t>the</w:t>
      </w:r>
      <w:proofErr w:type="gramEnd"/>
      <w:r w:rsidRPr="00816F81">
        <w:t xml:space="preserve"> Land Council (within the meaning of the </w:t>
      </w:r>
      <w:r w:rsidRPr="00816F81">
        <w:rPr>
          <w:i/>
        </w:rPr>
        <w:t>Aboriginal Land Rights (Northern Territory) Act 1976</w:t>
      </w:r>
      <w:r w:rsidRPr="00816F81">
        <w:t>) in whose area the community living area is located; and</w:t>
      </w:r>
    </w:p>
    <w:p w:rsidR="00040C7D" w:rsidRPr="00816F81" w:rsidRDefault="00040C7D" w:rsidP="00040C7D">
      <w:pPr>
        <w:pStyle w:val="paragraph"/>
      </w:pPr>
      <w:r w:rsidRPr="00816F81">
        <w:tab/>
        <w:t>(d)</w:t>
      </w:r>
      <w:r w:rsidRPr="00816F81">
        <w:tab/>
      </w:r>
      <w:proofErr w:type="gramStart"/>
      <w:r w:rsidRPr="00816F81">
        <w:t>any</w:t>
      </w:r>
      <w:proofErr w:type="gramEnd"/>
      <w:r w:rsidRPr="00816F81">
        <w:t xml:space="preserve"> other person the Minister considers appropriate to consult.</w:t>
      </w:r>
    </w:p>
    <w:p w:rsidR="00040C7D" w:rsidRPr="00816F81" w:rsidRDefault="00040C7D" w:rsidP="00040C7D">
      <w:pPr>
        <w:pStyle w:val="subsection"/>
      </w:pPr>
      <w:r w:rsidRPr="00816F81">
        <w:tab/>
        <w:t>(5)</w:t>
      </w:r>
      <w:r w:rsidRPr="00816F81">
        <w:tab/>
        <w:t>A failure to comply with subsection (4) does not affect the validity of the regulations.</w:t>
      </w:r>
    </w:p>
    <w:p w:rsidR="0036053D" w:rsidRDefault="0036053D">
      <w:pPr>
        <w:rPr>
          <w:rStyle w:val="BookTitle"/>
          <w:i w:val="0"/>
          <w:iCs w:val="0"/>
          <w:smallCaps w:val="0"/>
          <w:spacing w:val="0"/>
          <w:lang w:val="en-AU"/>
        </w:rPr>
      </w:pPr>
      <w:r>
        <w:rPr>
          <w:rStyle w:val="BookTitle"/>
          <w:i w:val="0"/>
          <w:iCs w:val="0"/>
          <w:smallCaps w:val="0"/>
          <w:spacing w:val="0"/>
          <w:lang w:val="en-AU"/>
        </w:rPr>
        <w:br w:type="page"/>
      </w:r>
    </w:p>
    <w:p w:rsidR="0036053D" w:rsidRDefault="0036053D" w:rsidP="0036053D">
      <w:pPr>
        <w:rPr>
          <w:lang w:val="en-AU"/>
        </w:rPr>
      </w:pPr>
      <w:r>
        <w:rPr>
          <w:lang w:val="en-AU"/>
        </w:rPr>
        <w:lastRenderedPageBreak/>
        <w:t xml:space="preserve">This is an extract from the </w:t>
      </w:r>
      <w:r w:rsidRPr="000B6150">
        <w:rPr>
          <w:i/>
          <w:lang w:val="en-AU"/>
        </w:rPr>
        <w:t>Stronger Futures in the Northern Territory (Consequential and Transitional Provisions) Act 2012</w:t>
      </w:r>
      <w:r>
        <w:rPr>
          <w:lang w:val="en-AU"/>
        </w:rPr>
        <w:t>.</w:t>
      </w:r>
    </w:p>
    <w:p w:rsidR="0036053D" w:rsidRDefault="0036053D" w:rsidP="0036053D">
      <w:pPr>
        <w:spacing w:after="0"/>
        <w:rPr>
          <w:lang w:val="en-AU"/>
        </w:rPr>
      </w:pPr>
      <w:r>
        <w:rPr>
          <w:lang w:val="en-AU"/>
        </w:rPr>
        <w:t xml:space="preserve">An electronic version of this Act is available in </w:t>
      </w:r>
      <w:proofErr w:type="spellStart"/>
      <w:r>
        <w:rPr>
          <w:lang w:val="en-AU"/>
        </w:rPr>
        <w:t>ComLaw</w:t>
      </w:r>
      <w:proofErr w:type="spellEnd"/>
    </w:p>
    <w:p w:rsidR="0036053D" w:rsidRDefault="00B87468" w:rsidP="0036053D">
      <w:pPr>
        <w:spacing w:after="0"/>
        <w:rPr>
          <w:rStyle w:val="Hyperlink"/>
          <w:sz w:val="22"/>
          <w:szCs w:val="22"/>
          <w:lang w:val="en-AU"/>
        </w:rPr>
      </w:pPr>
      <w:hyperlink r:id="rId16" w:history="1">
        <w:r w:rsidR="0036053D" w:rsidRPr="00D745E1">
          <w:rPr>
            <w:rStyle w:val="Hyperlink"/>
            <w:sz w:val="22"/>
            <w:szCs w:val="22"/>
            <w:lang w:val="en-AU"/>
          </w:rPr>
          <w:t>http://www.comlaw.gov.au/Details/C2012A00101/Download</w:t>
        </w:r>
      </w:hyperlink>
    </w:p>
    <w:p w:rsidR="00A82A0C" w:rsidRDefault="00A82A0C" w:rsidP="0036053D">
      <w:pPr>
        <w:spacing w:after="0"/>
        <w:rPr>
          <w:lang w:val="en-AU"/>
        </w:rPr>
      </w:pPr>
    </w:p>
    <w:p w:rsidR="0036053D" w:rsidRDefault="0036053D" w:rsidP="0036053D">
      <w:r>
        <w:rPr>
          <w:lang w:val="en-AU"/>
        </w:rPr>
        <w:t xml:space="preserve"> </w:t>
      </w:r>
      <w:r w:rsidR="00A03859">
        <w:object w:dxaOrig="2146" w:dyaOrig="1561">
          <v:shape id="_x0000_i1026" type="#_x0000_t75" alt="Australian crest" style="width:107.35pt;height:78pt" o:ole="" fillcolor="window">
            <v:imagedata r:id="rId14" o:title=""/>
          </v:shape>
          <o:OLEObject Type="Embed" ProgID="Word.Picture.8" ShapeID="_x0000_i1026" DrawAspect="Content" ObjectID="_1424670962" r:id="rId17"/>
        </w:object>
      </w:r>
    </w:p>
    <w:p w:rsidR="0036053D" w:rsidRPr="00DB1376" w:rsidRDefault="0036053D" w:rsidP="00A03859">
      <w:pPr>
        <w:pStyle w:val="Heading2"/>
      </w:pPr>
      <w:r w:rsidRPr="00DB1376">
        <w:t>Stronger Futures in the Northern Territory (Consequential and Tr</w:t>
      </w:r>
      <w:r>
        <w:t>ansitional Provisions) Act 2012</w:t>
      </w:r>
    </w:p>
    <w:p w:rsidR="0036053D" w:rsidRPr="00DB1376" w:rsidRDefault="0036053D" w:rsidP="0036053D"/>
    <w:p w:rsidR="0036053D" w:rsidRPr="00DB1376" w:rsidRDefault="0036053D" w:rsidP="0036053D">
      <w:pPr>
        <w:pStyle w:val="Actno"/>
        <w:spacing w:before="400"/>
      </w:pPr>
      <w:r w:rsidRPr="00DB1376">
        <w:t>No.</w:t>
      </w:r>
      <w:r>
        <w:t xml:space="preserve"> 101</w:t>
      </w:r>
      <w:r w:rsidRPr="00DB1376">
        <w:t>, 201</w:t>
      </w:r>
      <w:r>
        <w:t>2</w:t>
      </w:r>
    </w:p>
    <w:p w:rsidR="0036053D" w:rsidRPr="00DB1376" w:rsidRDefault="0036053D" w:rsidP="0036053D"/>
    <w:p w:rsidR="0036053D" w:rsidRDefault="0036053D" w:rsidP="0036053D"/>
    <w:p w:rsidR="0036053D" w:rsidRPr="00DB1376" w:rsidRDefault="0036053D" w:rsidP="00E51A3C">
      <w:pPr>
        <w:pStyle w:val="LongT"/>
      </w:pPr>
      <w:r>
        <w:t>An Act</w:t>
      </w:r>
      <w:r w:rsidRPr="00DB1376">
        <w:t xml:space="preserve"> to amend laws, and deal with transitional matters, in connection with the </w:t>
      </w:r>
      <w:r w:rsidRPr="00DB1376">
        <w:rPr>
          <w:i/>
        </w:rPr>
        <w:t>Stronger Futures in the Northern Territory Act 201</w:t>
      </w:r>
      <w:r>
        <w:rPr>
          <w:i/>
        </w:rPr>
        <w:t>2</w:t>
      </w:r>
      <w:r w:rsidRPr="00DB1376">
        <w:t>, and for related purposes</w:t>
      </w:r>
    </w:p>
    <w:p w:rsidR="00A03859" w:rsidRDefault="00A03859">
      <w:pPr>
        <w:rPr>
          <w:rStyle w:val="BookTitle"/>
          <w:i w:val="0"/>
          <w:iCs w:val="0"/>
          <w:smallCaps w:val="0"/>
          <w:spacing w:val="0"/>
          <w:lang w:val="en-AU"/>
        </w:rPr>
      </w:pPr>
      <w:r>
        <w:rPr>
          <w:rStyle w:val="BookTitle"/>
          <w:i w:val="0"/>
          <w:iCs w:val="0"/>
          <w:smallCaps w:val="0"/>
          <w:spacing w:val="0"/>
          <w:lang w:val="en-AU"/>
        </w:rPr>
        <w:br w:type="page"/>
      </w:r>
    </w:p>
    <w:p w:rsidR="0036053D" w:rsidRPr="00DB1376" w:rsidRDefault="0036053D" w:rsidP="00A03859">
      <w:pPr>
        <w:pStyle w:val="Heading3"/>
      </w:pPr>
      <w:bookmarkStart w:id="7" w:name="_Toc329245811"/>
      <w:r w:rsidRPr="00DB1376">
        <w:rPr>
          <w:rStyle w:val="CharAmSchNo"/>
        </w:rPr>
        <w:lastRenderedPageBreak/>
        <w:t>Schedule 2</w:t>
      </w:r>
      <w:r w:rsidRPr="00DB1376">
        <w:t>—</w:t>
      </w:r>
      <w:r w:rsidRPr="00DB1376">
        <w:rPr>
          <w:rStyle w:val="CharAmSchText"/>
        </w:rPr>
        <w:t>Amendment of the Aboriginal Land Rights (Northern Territory) Act 1976</w:t>
      </w:r>
      <w:bookmarkEnd w:id="7"/>
    </w:p>
    <w:p w:rsidR="0036053D" w:rsidRPr="00DB1376" w:rsidRDefault="0036053D" w:rsidP="0036053D">
      <w:pPr>
        <w:pStyle w:val="Header"/>
      </w:pPr>
    </w:p>
    <w:p w:rsidR="0036053D" w:rsidRPr="00A03859" w:rsidRDefault="0036053D" w:rsidP="00A03859">
      <w:pPr>
        <w:rPr>
          <w:b/>
          <w:i/>
          <w:sz w:val="28"/>
          <w:szCs w:val="28"/>
        </w:rPr>
      </w:pPr>
      <w:bookmarkStart w:id="8" w:name="_Toc329245812"/>
      <w:r w:rsidRPr="00A03859">
        <w:rPr>
          <w:b/>
          <w:i/>
          <w:sz w:val="28"/>
          <w:szCs w:val="28"/>
        </w:rPr>
        <w:t>Aboriginal Land Rights (Northern Territory) Act 1976</w:t>
      </w:r>
      <w:bookmarkEnd w:id="8"/>
    </w:p>
    <w:p w:rsidR="0036053D" w:rsidRPr="00DB1376" w:rsidRDefault="0036053D" w:rsidP="0036053D">
      <w:pPr>
        <w:pStyle w:val="ItemHead"/>
      </w:pPr>
      <w:proofErr w:type="gramStart"/>
      <w:r w:rsidRPr="00DB1376">
        <w:t>1  Subsection</w:t>
      </w:r>
      <w:proofErr w:type="gramEnd"/>
      <w:r w:rsidRPr="00DB1376">
        <w:t xml:space="preserve"> 3(1)</w:t>
      </w:r>
    </w:p>
    <w:p w:rsidR="0036053D" w:rsidRPr="00DB1376" w:rsidRDefault="0036053D" w:rsidP="0036053D">
      <w:pPr>
        <w:pStyle w:val="Item"/>
      </w:pPr>
      <w:r w:rsidRPr="00DB1376">
        <w:t>Insert:</w:t>
      </w:r>
    </w:p>
    <w:p w:rsidR="0036053D" w:rsidRPr="00DB1376" w:rsidRDefault="0036053D" w:rsidP="0036053D">
      <w:pPr>
        <w:pStyle w:val="Definition"/>
      </w:pPr>
      <w:proofErr w:type="gramStart"/>
      <w:r w:rsidRPr="00DB1376">
        <w:rPr>
          <w:b/>
          <w:i/>
        </w:rPr>
        <w:t>community</w:t>
      </w:r>
      <w:proofErr w:type="gramEnd"/>
      <w:r w:rsidRPr="00DB1376">
        <w:rPr>
          <w:b/>
          <w:i/>
        </w:rPr>
        <w:t xml:space="preserve"> living area</w:t>
      </w:r>
      <w:r w:rsidRPr="00DB1376">
        <w:t xml:space="preserve"> has the same meaning as in the </w:t>
      </w:r>
      <w:r w:rsidRPr="00DB1376">
        <w:rPr>
          <w:i/>
        </w:rPr>
        <w:t>Stronger Futures in the Northern Territory Act 201</w:t>
      </w:r>
      <w:r>
        <w:rPr>
          <w:i/>
        </w:rPr>
        <w:t>2</w:t>
      </w:r>
      <w:r w:rsidRPr="00DB1376">
        <w:t>.</w:t>
      </w:r>
    </w:p>
    <w:p w:rsidR="0036053D" w:rsidRPr="00DB1376" w:rsidRDefault="0036053D" w:rsidP="0036053D">
      <w:pPr>
        <w:pStyle w:val="ItemHead"/>
      </w:pPr>
      <w:proofErr w:type="gramStart"/>
      <w:r w:rsidRPr="00DB1376">
        <w:t>2  Subsection</w:t>
      </w:r>
      <w:proofErr w:type="gramEnd"/>
      <w:r w:rsidRPr="00DB1376">
        <w:t xml:space="preserve"> 20CA(5) (definition of </w:t>
      </w:r>
      <w:r w:rsidRPr="00DB1376">
        <w:rPr>
          <w:i/>
        </w:rPr>
        <w:t>community living area</w:t>
      </w:r>
      <w:r w:rsidRPr="00DB1376">
        <w:t>)</w:t>
      </w:r>
    </w:p>
    <w:p w:rsidR="0036053D" w:rsidRPr="00DB1376" w:rsidRDefault="0036053D" w:rsidP="0036053D">
      <w:pPr>
        <w:pStyle w:val="Item"/>
      </w:pPr>
      <w:r w:rsidRPr="00DB1376">
        <w:t>Repeal the definition (including the note).</w:t>
      </w:r>
    </w:p>
    <w:p w:rsidR="0036053D" w:rsidRPr="00DB1376" w:rsidRDefault="0036053D" w:rsidP="0036053D">
      <w:pPr>
        <w:pStyle w:val="ItemHead"/>
      </w:pPr>
      <w:proofErr w:type="gramStart"/>
      <w:r w:rsidRPr="00DB1376">
        <w:t>3  Part</w:t>
      </w:r>
      <w:proofErr w:type="gramEnd"/>
      <w:r w:rsidRPr="00DB1376">
        <w:t> IIB</w:t>
      </w:r>
    </w:p>
    <w:p w:rsidR="0036053D" w:rsidRPr="00DB1376" w:rsidRDefault="0036053D" w:rsidP="0036053D">
      <w:pPr>
        <w:pStyle w:val="Item"/>
      </w:pPr>
      <w:r w:rsidRPr="00DB1376">
        <w:t>Repeal the Part.</w:t>
      </w:r>
    </w:p>
    <w:p w:rsidR="0036053D" w:rsidRPr="00DB1376" w:rsidRDefault="0036053D" w:rsidP="0036053D">
      <w:pPr>
        <w:pStyle w:val="ItemHead"/>
      </w:pPr>
      <w:proofErr w:type="gramStart"/>
      <w:r w:rsidRPr="00DB1376">
        <w:t>4  After</w:t>
      </w:r>
      <w:proofErr w:type="gramEnd"/>
      <w:r w:rsidRPr="00DB1376">
        <w:t xml:space="preserve"> paragraph 23(1)(</w:t>
      </w:r>
      <w:proofErr w:type="spellStart"/>
      <w:r w:rsidRPr="00DB1376">
        <w:t>ea</w:t>
      </w:r>
      <w:proofErr w:type="spellEnd"/>
      <w:r w:rsidRPr="00DB1376">
        <w:t>)</w:t>
      </w:r>
    </w:p>
    <w:p w:rsidR="0036053D" w:rsidRPr="00DB1376" w:rsidRDefault="0036053D" w:rsidP="0036053D">
      <w:pPr>
        <w:pStyle w:val="Item"/>
      </w:pPr>
      <w:r w:rsidRPr="00DB1376">
        <w:t>Insert:</w:t>
      </w:r>
    </w:p>
    <w:p w:rsidR="0036053D" w:rsidRPr="00DB1376" w:rsidRDefault="0036053D" w:rsidP="0036053D">
      <w:pPr>
        <w:pStyle w:val="paragraph"/>
      </w:pPr>
      <w:r w:rsidRPr="00DB1376">
        <w:tab/>
        <w:t>(</w:t>
      </w:r>
      <w:proofErr w:type="spellStart"/>
      <w:r w:rsidRPr="00DB1376">
        <w:t>eb</w:t>
      </w:r>
      <w:proofErr w:type="spellEnd"/>
      <w:r w:rsidRPr="00DB1376">
        <w:t>)</w:t>
      </w:r>
      <w:r w:rsidRPr="00DB1376">
        <w:tab/>
        <w:t>for land that is a community living area and in the area of the Land Council—to assist the owner of the land, if requested to do so, in relation to any dealings in the land (including assistance in negotiating leases of, or other grants of interests in, the land); and</w:t>
      </w:r>
    </w:p>
    <w:p w:rsidR="0036053D" w:rsidRPr="00DB1376" w:rsidRDefault="0036053D" w:rsidP="0036053D">
      <w:pPr>
        <w:pStyle w:val="ItemHead"/>
      </w:pPr>
      <w:proofErr w:type="gramStart"/>
      <w:r w:rsidRPr="00DB1376">
        <w:t>5  Paragraphs</w:t>
      </w:r>
      <w:proofErr w:type="gramEnd"/>
      <w:r w:rsidRPr="00DB1376">
        <w:t xml:space="preserve"> 23(1)(</w:t>
      </w:r>
      <w:proofErr w:type="spellStart"/>
      <w:r w:rsidRPr="00DB1376">
        <w:t>fb</w:t>
      </w:r>
      <w:proofErr w:type="spellEnd"/>
      <w:r w:rsidRPr="00DB1376">
        <w:t>), (fc) and (</w:t>
      </w:r>
      <w:proofErr w:type="spellStart"/>
      <w:r w:rsidRPr="00DB1376">
        <w:t>fd</w:t>
      </w:r>
      <w:proofErr w:type="spellEnd"/>
      <w:r w:rsidRPr="00DB1376">
        <w:t>)</w:t>
      </w:r>
    </w:p>
    <w:p w:rsidR="0036053D" w:rsidRPr="00DB1376" w:rsidRDefault="0036053D" w:rsidP="0036053D">
      <w:pPr>
        <w:pStyle w:val="Item"/>
      </w:pPr>
      <w:r w:rsidRPr="00DB1376">
        <w:t>Repeal the paragraphs.</w:t>
      </w:r>
    </w:p>
    <w:p w:rsidR="0036053D" w:rsidRPr="00DB1376" w:rsidRDefault="0036053D" w:rsidP="0036053D">
      <w:pPr>
        <w:pStyle w:val="ItemHead"/>
      </w:pPr>
      <w:proofErr w:type="gramStart"/>
      <w:r w:rsidRPr="00DB1376">
        <w:t>6  Subsection</w:t>
      </w:r>
      <w:proofErr w:type="gramEnd"/>
      <w:r w:rsidRPr="00DB1376">
        <w:t xml:space="preserve"> 33B(1)</w:t>
      </w:r>
    </w:p>
    <w:p w:rsidR="0036053D" w:rsidRPr="00DB1376" w:rsidRDefault="0036053D" w:rsidP="0036053D">
      <w:pPr>
        <w:pStyle w:val="Item"/>
      </w:pPr>
      <w:r w:rsidRPr="00DB1376">
        <w:t>Repeal the subsection.</w:t>
      </w:r>
    </w:p>
    <w:p w:rsidR="0036053D" w:rsidRPr="00DB1376" w:rsidRDefault="0036053D" w:rsidP="0036053D">
      <w:pPr>
        <w:pStyle w:val="ItemHead"/>
      </w:pPr>
      <w:proofErr w:type="gramStart"/>
      <w:r w:rsidRPr="00DB1376">
        <w:t>7  Subsection</w:t>
      </w:r>
      <w:proofErr w:type="gramEnd"/>
      <w:r w:rsidRPr="00DB1376">
        <w:t xml:space="preserve"> 33B(3)</w:t>
      </w:r>
    </w:p>
    <w:p w:rsidR="0036053D" w:rsidRPr="00DB1376" w:rsidRDefault="0036053D" w:rsidP="0036053D">
      <w:pPr>
        <w:pStyle w:val="Item"/>
      </w:pPr>
      <w:r w:rsidRPr="00DB1376">
        <w:t>Omit “subsection (1) or (2)”, substitute “subsection (2)”.</w:t>
      </w:r>
    </w:p>
    <w:p w:rsidR="004950C1" w:rsidRDefault="0036053D" w:rsidP="00641B16">
      <w:pPr>
        <w:pStyle w:val="ItemHead"/>
        <w:rPr>
          <w:rStyle w:val="BookTitle"/>
          <w:i w:val="0"/>
          <w:iCs w:val="0"/>
          <w:smallCaps w:val="0"/>
          <w:spacing w:val="0"/>
        </w:rPr>
      </w:pPr>
      <w:proofErr w:type="gramStart"/>
      <w:r w:rsidRPr="00DB1376">
        <w:t>8  Subsection</w:t>
      </w:r>
      <w:proofErr w:type="gramEnd"/>
      <w:r w:rsidRPr="00DB1376">
        <w:t xml:space="preserve"> 35(4)</w:t>
      </w:r>
    </w:p>
    <w:sectPr w:rsidR="004950C1" w:rsidSect="00641B16">
      <w:headerReference w:type="default" r:id="rId18"/>
      <w:pgSz w:w="11906" w:h="16838"/>
      <w:pgMar w:top="2127"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79" w:rsidRDefault="00786A79" w:rsidP="00786A79">
      <w:pPr>
        <w:spacing w:after="0" w:line="240" w:lineRule="auto"/>
      </w:pPr>
      <w:r>
        <w:separator/>
      </w:r>
    </w:p>
  </w:endnote>
  <w:endnote w:type="continuationSeparator" w:id="0">
    <w:p w:rsidR="00786A79" w:rsidRDefault="00786A79" w:rsidP="0078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79" w:rsidRDefault="00786A79" w:rsidP="00786A79">
      <w:pPr>
        <w:spacing w:after="0" w:line="240" w:lineRule="auto"/>
      </w:pPr>
      <w:r>
        <w:separator/>
      </w:r>
    </w:p>
  </w:footnote>
  <w:footnote w:type="continuationSeparator" w:id="0">
    <w:p w:rsidR="00786A79" w:rsidRDefault="00786A79" w:rsidP="00786A79">
      <w:pPr>
        <w:spacing w:after="0" w:line="240" w:lineRule="auto"/>
      </w:pPr>
      <w:r>
        <w:continuationSeparator/>
      </w:r>
    </w:p>
  </w:footnote>
  <w:footnote w:id="1">
    <w:p w:rsidR="002A311C" w:rsidRPr="00180D2B" w:rsidRDefault="002A311C">
      <w:pPr>
        <w:pStyle w:val="FootnoteText"/>
        <w:rPr>
          <w:rFonts w:ascii="Arial" w:hAnsi="Arial" w:cs="Arial"/>
          <w:sz w:val="16"/>
          <w:szCs w:val="16"/>
        </w:rPr>
      </w:pPr>
      <w:r>
        <w:rPr>
          <w:rStyle w:val="FootnoteReference"/>
        </w:rPr>
        <w:footnoteRef/>
      </w:r>
      <w:r>
        <w:t xml:space="preserve"> </w:t>
      </w:r>
      <w:hyperlink r:id="rId1" w:history="1">
        <w:r>
          <w:rPr>
            <w:rStyle w:val="Hyperlink"/>
            <w:rFonts w:cs="Arial"/>
            <w:sz w:val="16"/>
            <w:szCs w:val="16"/>
          </w:rPr>
          <w:t>Ctrl + Click here for further information on the Aboriginals Benefit Account Community Stores Infrastructure Project at the Department of Families, Housing, Community Services and Indigenous Affairs web site.</w:t>
        </w:r>
      </w:hyperlink>
      <w:r>
        <w:rPr>
          <w:rFonts w:ascii="Arial" w:hAnsi="Arial" w:cs="Arial"/>
          <w:sz w:val="16"/>
          <w:szCs w:val="16"/>
        </w:rPr>
        <w:t xml:space="preserve"> </w:t>
      </w:r>
    </w:p>
  </w:footnote>
  <w:footnote w:id="2">
    <w:p w:rsidR="002A311C" w:rsidRDefault="002A311C">
      <w:pPr>
        <w:pStyle w:val="FootnoteText"/>
      </w:pPr>
      <w:r>
        <w:rPr>
          <w:rStyle w:val="FootnoteReference"/>
        </w:rPr>
        <w:footnoteRef/>
      </w:r>
      <w:r>
        <w:t xml:space="preserve"> </w:t>
      </w:r>
      <w:r w:rsidRPr="00B25F43">
        <w:rPr>
          <w:rFonts w:ascii="Arial" w:hAnsi="Arial" w:cs="Arial"/>
          <w:sz w:val="16"/>
          <w:szCs w:val="16"/>
        </w:rPr>
        <w:t xml:space="preserve">For further background information on CLAs see </w:t>
      </w:r>
      <w:r w:rsidRPr="00B25F43">
        <w:rPr>
          <w:rFonts w:ascii="Arial" w:hAnsi="Arial" w:cs="Arial"/>
          <w:b/>
          <w:sz w:val="16"/>
          <w:szCs w:val="16"/>
        </w:rPr>
        <w:t>submission no 361</w:t>
      </w:r>
      <w:r w:rsidRPr="00B25F43">
        <w:rPr>
          <w:rFonts w:ascii="Arial" w:hAnsi="Arial" w:cs="Arial"/>
          <w:sz w:val="16"/>
          <w:szCs w:val="16"/>
        </w:rPr>
        <w:t xml:space="preserve"> from the Northern Land Council and </w:t>
      </w:r>
      <w:r w:rsidRPr="00B25F43">
        <w:rPr>
          <w:rFonts w:ascii="Arial" w:hAnsi="Arial" w:cs="Arial"/>
          <w:b/>
          <w:sz w:val="16"/>
          <w:szCs w:val="16"/>
        </w:rPr>
        <w:t>submission no 347</w:t>
      </w:r>
      <w:r w:rsidRPr="00B25F43">
        <w:rPr>
          <w:rFonts w:ascii="Arial" w:hAnsi="Arial" w:cs="Arial"/>
          <w:sz w:val="16"/>
          <w:szCs w:val="16"/>
        </w:rPr>
        <w:t xml:space="preserve"> from the Central Land Council to the Senate Community Affairs Committee Inquiry into the Stronger Futures in the Northern Territory Bill 2011 and two related bills.  </w:t>
      </w:r>
      <w:hyperlink r:id="rId2" w:history="1">
        <w:r w:rsidRPr="00B25F43">
          <w:rPr>
            <w:rStyle w:val="Hyperlink"/>
            <w:rFonts w:cs="Arial"/>
            <w:sz w:val="16"/>
            <w:szCs w:val="16"/>
          </w:rPr>
          <w:t>Ctrl + Click here for a complete list of submissions at the Parliament of Australia web site.</w:t>
        </w:r>
      </w:hyperlink>
    </w:p>
  </w:footnote>
  <w:footnote w:id="3">
    <w:p w:rsidR="002A311C" w:rsidRDefault="002A311C" w:rsidP="002A311C">
      <w:pPr>
        <w:pStyle w:val="FootnoteText"/>
        <w:rPr>
          <w:rFonts w:ascii="Arial" w:hAnsi="Arial" w:cs="Arial"/>
          <w:i/>
          <w:sz w:val="16"/>
          <w:szCs w:val="16"/>
        </w:rPr>
      </w:pPr>
      <w:r>
        <w:rPr>
          <w:rStyle w:val="FootnoteReference"/>
        </w:rPr>
        <w:footnoteRef/>
      </w:r>
      <w:r>
        <w:t xml:space="preserve"> </w:t>
      </w:r>
      <w:r>
        <w:rPr>
          <w:rFonts w:ascii="Arial" w:hAnsi="Arial" w:cs="Arial"/>
          <w:sz w:val="16"/>
          <w:szCs w:val="16"/>
        </w:rPr>
        <w:t xml:space="preserve">Legislation relevant to CLA reform within the Stronger Futures legislation package includes the </w:t>
      </w:r>
      <w:r w:rsidRPr="00F85BE7">
        <w:rPr>
          <w:rFonts w:ascii="Arial" w:hAnsi="Arial" w:cs="Arial"/>
          <w:i/>
          <w:sz w:val="16"/>
          <w:szCs w:val="16"/>
        </w:rPr>
        <w:t>Stronger Futures in the Northern Territory Act 201</w:t>
      </w:r>
      <w:r>
        <w:rPr>
          <w:rFonts w:ascii="Arial" w:hAnsi="Arial" w:cs="Arial"/>
          <w:i/>
          <w:sz w:val="16"/>
          <w:szCs w:val="16"/>
        </w:rPr>
        <w:t>2</w:t>
      </w:r>
      <w:r>
        <w:rPr>
          <w:rFonts w:ascii="Arial" w:hAnsi="Arial" w:cs="Arial"/>
          <w:sz w:val="16"/>
          <w:szCs w:val="16"/>
        </w:rPr>
        <w:t xml:space="preserve"> and the </w:t>
      </w:r>
      <w:r w:rsidRPr="00F85BE7">
        <w:rPr>
          <w:rFonts w:ascii="Arial" w:hAnsi="Arial" w:cs="Arial"/>
          <w:i/>
          <w:sz w:val="16"/>
          <w:szCs w:val="16"/>
        </w:rPr>
        <w:t>Stronger Futures in the Northern Territory (Consequential and Transitional Provisions)</w:t>
      </w:r>
      <w:r>
        <w:rPr>
          <w:rFonts w:ascii="Arial" w:hAnsi="Arial" w:cs="Arial"/>
          <w:i/>
          <w:sz w:val="16"/>
          <w:szCs w:val="16"/>
        </w:rPr>
        <w:t xml:space="preserve"> Act 2012</w:t>
      </w:r>
      <w:r>
        <w:rPr>
          <w:rFonts w:ascii="Arial" w:hAnsi="Arial" w:cs="Arial"/>
          <w:sz w:val="16"/>
          <w:szCs w:val="16"/>
        </w:rPr>
        <w:t>.</w:t>
      </w:r>
      <w:r>
        <w:rPr>
          <w:rFonts w:ascii="Arial" w:hAnsi="Arial" w:cs="Arial"/>
          <w:i/>
          <w:sz w:val="16"/>
          <w:szCs w:val="16"/>
        </w:rPr>
        <w:t xml:space="preserve"> </w:t>
      </w:r>
    </w:p>
    <w:p w:rsidR="002A311C" w:rsidRDefault="00B87468" w:rsidP="002A311C">
      <w:pPr>
        <w:pStyle w:val="FootnoteText"/>
        <w:rPr>
          <w:rFonts w:ascii="Arial" w:hAnsi="Arial" w:cs="Arial"/>
          <w:sz w:val="16"/>
          <w:szCs w:val="16"/>
        </w:rPr>
      </w:pPr>
      <w:hyperlink r:id="rId3" w:history="1">
        <w:r w:rsidR="002A311C">
          <w:rPr>
            <w:rStyle w:val="Hyperlink"/>
            <w:rFonts w:cs="Arial"/>
            <w:sz w:val="16"/>
            <w:szCs w:val="16"/>
          </w:rPr>
          <w:t>Ctrl + Click here for the Stronger Futures in the Northern Territory Bill 2012 web page at the Parliament of Australia web site.</w:t>
        </w:r>
      </w:hyperlink>
      <w:r w:rsidR="002A311C">
        <w:rPr>
          <w:rFonts w:ascii="Arial" w:hAnsi="Arial" w:cs="Arial"/>
          <w:sz w:val="16"/>
          <w:szCs w:val="16"/>
        </w:rPr>
        <w:t xml:space="preserve"> </w:t>
      </w:r>
    </w:p>
    <w:p w:rsidR="002A311C" w:rsidRDefault="00B87468" w:rsidP="002A311C">
      <w:pPr>
        <w:pStyle w:val="FootnoteText"/>
      </w:pPr>
      <w:hyperlink r:id="rId4" w:history="1">
        <w:r w:rsidR="002A311C">
          <w:rPr>
            <w:rStyle w:val="Hyperlink"/>
            <w:rFonts w:cs="Arial"/>
            <w:sz w:val="16"/>
            <w:szCs w:val="16"/>
          </w:rPr>
          <w:t>Ctrl + Click here for the Stronger Futures in the Northern Territory (Consequential and Transitional Provisions) Bill 2011 web page at the Parliament of Australia web site.</w:t>
        </w:r>
      </w:hyperlink>
    </w:p>
  </w:footnote>
  <w:footnote w:id="4">
    <w:p w:rsidR="00E51A3C" w:rsidRDefault="00E51A3C" w:rsidP="00E51A3C">
      <w:pPr>
        <w:pStyle w:val="FootnoteText"/>
      </w:pPr>
      <w:r>
        <w:rPr>
          <w:rStyle w:val="FootnoteReference"/>
        </w:rPr>
        <w:footnoteRef/>
      </w:r>
      <w:r>
        <w:t xml:space="preserve"> </w:t>
      </w:r>
      <w:r>
        <w:rPr>
          <w:rFonts w:ascii="Arial" w:hAnsi="Arial" w:cs="Arial"/>
          <w:sz w:val="16"/>
          <w:szCs w:val="16"/>
        </w:rPr>
        <w:t>S</w:t>
      </w:r>
      <w:r w:rsidRPr="00210F36">
        <w:rPr>
          <w:rFonts w:ascii="Arial" w:hAnsi="Arial" w:cs="Arial"/>
          <w:sz w:val="16"/>
          <w:szCs w:val="16"/>
        </w:rPr>
        <w:t xml:space="preserve">ee </w:t>
      </w:r>
      <w:r w:rsidRPr="00210F36">
        <w:rPr>
          <w:rFonts w:ascii="Arial" w:hAnsi="Arial" w:cs="Arial"/>
          <w:b/>
          <w:sz w:val="16"/>
          <w:szCs w:val="16"/>
        </w:rPr>
        <w:t>submission no 361</w:t>
      </w:r>
      <w:r w:rsidRPr="00210F36">
        <w:rPr>
          <w:rFonts w:ascii="Arial" w:hAnsi="Arial" w:cs="Arial"/>
          <w:sz w:val="16"/>
          <w:szCs w:val="16"/>
        </w:rPr>
        <w:t xml:space="preserve"> from the Northern Land Council and </w:t>
      </w:r>
      <w:r w:rsidRPr="00210F36">
        <w:rPr>
          <w:rFonts w:ascii="Arial" w:hAnsi="Arial" w:cs="Arial"/>
          <w:b/>
          <w:sz w:val="16"/>
          <w:szCs w:val="16"/>
        </w:rPr>
        <w:t>submission no 347</w:t>
      </w:r>
      <w:r w:rsidRPr="00210F36">
        <w:rPr>
          <w:rFonts w:ascii="Arial" w:hAnsi="Arial" w:cs="Arial"/>
          <w:sz w:val="16"/>
          <w:szCs w:val="16"/>
        </w:rPr>
        <w:t xml:space="preserve"> from the Central Land Council to the Senate Community Affairs Committee Inquiry into the Stronger Futures in the Northern Territory Bill 2011 and two related bills</w:t>
      </w:r>
      <w:r>
        <w:rPr>
          <w:rFonts w:ascii="Arial" w:hAnsi="Arial" w:cs="Arial"/>
          <w:sz w:val="16"/>
          <w:szCs w:val="16"/>
        </w:rPr>
        <w:t xml:space="preserve">.  </w:t>
      </w:r>
      <w:hyperlink r:id="rId5" w:history="1">
        <w:r>
          <w:rPr>
            <w:rStyle w:val="Hyperlink"/>
            <w:rFonts w:cs="Arial"/>
            <w:sz w:val="16"/>
            <w:szCs w:val="16"/>
          </w:rPr>
          <w:t>Ctrl + Click here for a complete list of submissions at the Parliament of Australia web site.</w:t>
        </w:r>
      </w:hyperlink>
    </w:p>
  </w:footnote>
  <w:footnote w:id="5">
    <w:p w:rsidR="00FD26C2" w:rsidRDefault="00FD26C2" w:rsidP="00FD26C2">
      <w:pPr>
        <w:pStyle w:val="FootnoteText"/>
      </w:pPr>
      <w:r>
        <w:rPr>
          <w:rStyle w:val="FootnoteReference"/>
        </w:rPr>
        <w:footnoteRef/>
      </w:r>
      <w:r>
        <w:t xml:space="preserve"> </w:t>
      </w:r>
      <w:r w:rsidRPr="00210F36">
        <w:rPr>
          <w:rFonts w:ascii="Arial" w:hAnsi="Arial" w:cs="Arial"/>
          <w:sz w:val="16"/>
          <w:szCs w:val="16"/>
        </w:rPr>
        <w:t xml:space="preserve">For further information on </w:t>
      </w:r>
      <w:r>
        <w:rPr>
          <w:rFonts w:ascii="Arial" w:hAnsi="Arial" w:cs="Arial"/>
          <w:sz w:val="16"/>
          <w:szCs w:val="16"/>
        </w:rPr>
        <w:t xml:space="preserve">the NT legislative framework as it applies to </w:t>
      </w:r>
      <w:r w:rsidRPr="00210F36">
        <w:rPr>
          <w:rFonts w:ascii="Arial" w:hAnsi="Arial" w:cs="Arial"/>
          <w:sz w:val="16"/>
          <w:szCs w:val="16"/>
        </w:rPr>
        <w:t xml:space="preserve">CLAs see </w:t>
      </w:r>
      <w:r w:rsidRPr="00210F36">
        <w:rPr>
          <w:rFonts w:ascii="Arial" w:hAnsi="Arial" w:cs="Arial"/>
          <w:b/>
          <w:sz w:val="16"/>
          <w:szCs w:val="16"/>
        </w:rPr>
        <w:t>submission no 361</w:t>
      </w:r>
      <w:r w:rsidRPr="00210F36">
        <w:rPr>
          <w:rFonts w:ascii="Arial" w:hAnsi="Arial" w:cs="Arial"/>
          <w:sz w:val="16"/>
          <w:szCs w:val="16"/>
        </w:rPr>
        <w:t xml:space="preserve"> from the Northern Land Council and </w:t>
      </w:r>
      <w:r w:rsidRPr="00210F36">
        <w:rPr>
          <w:rFonts w:ascii="Arial" w:hAnsi="Arial" w:cs="Arial"/>
          <w:b/>
          <w:sz w:val="16"/>
          <w:szCs w:val="16"/>
        </w:rPr>
        <w:t>submission no 347</w:t>
      </w:r>
      <w:r w:rsidRPr="00210F36">
        <w:rPr>
          <w:rFonts w:ascii="Arial" w:hAnsi="Arial" w:cs="Arial"/>
          <w:sz w:val="16"/>
          <w:szCs w:val="16"/>
        </w:rPr>
        <w:t xml:space="preserve"> from the Central Land Council to the Senate Community Affairs Committee Inquiry into the Stronger Futures in the Northern Territory Bill 2011 and two related bills</w:t>
      </w:r>
      <w:r>
        <w:rPr>
          <w:rFonts w:ascii="Arial" w:hAnsi="Arial" w:cs="Arial"/>
          <w:sz w:val="16"/>
          <w:szCs w:val="16"/>
        </w:rPr>
        <w:t>.</w:t>
      </w:r>
      <w:r w:rsidRPr="00210F36">
        <w:rPr>
          <w:rFonts w:ascii="Arial" w:hAnsi="Arial" w:cs="Arial"/>
          <w:sz w:val="16"/>
          <w:szCs w:val="16"/>
        </w:rPr>
        <w:t xml:space="preserve">  </w:t>
      </w:r>
      <w:hyperlink r:id="rId6" w:history="1">
        <w:r>
          <w:rPr>
            <w:rStyle w:val="Hyperlink"/>
            <w:rFonts w:cs="Arial"/>
            <w:sz w:val="16"/>
            <w:szCs w:val="16"/>
          </w:rPr>
          <w:t>Ctrl + Click here for a complete list of submissions at the Parliament of Australia web site.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68" w:rsidRDefault="00B87468">
    <w:pPr>
      <w:pStyle w:val="Header"/>
    </w:pPr>
    <w:r>
      <w:rPr>
        <w:noProof/>
        <w:lang w:eastAsia="en-AU"/>
      </w:rPr>
      <w:drawing>
        <wp:anchor distT="0" distB="0" distL="114300" distR="114300" simplePos="0" relativeHeight="251659264" behindDoc="1" locked="0" layoutInCell="1" allowOverlap="1" wp14:anchorId="729213C5" wp14:editId="690D6712">
          <wp:simplePos x="0" y="0"/>
          <wp:positionH relativeFrom="column">
            <wp:posOffset>4551045</wp:posOffset>
          </wp:positionH>
          <wp:positionV relativeFrom="paragraph">
            <wp:posOffset>-146050</wp:posOffset>
          </wp:positionV>
          <wp:extent cx="1649095" cy="1219200"/>
          <wp:effectExtent l="0" t="0" r="8255" b="0"/>
          <wp:wrapThrough wrapText="bothSides">
            <wp:wrapPolygon edited="0">
              <wp:start x="0" y="0"/>
              <wp:lineTo x="0" y="21263"/>
              <wp:lineTo x="21459" y="21263"/>
              <wp:lineTo x="21459" y="0"/>
              <wp:lineTo x="0" y="0"/>
            </wp:wrapPolygon>
          </wp:wrapThrough>
          <wp:docPr id="2" name="Picture 2" descr="Closing the Gap logo" title="Closing the G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G Master Brand Mark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95" cy="121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68" w:rsidRDefault="00B87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64A"/>
    <w:multiLevelType w:val="hybridMultilevel"/>
    <w:tmpl w:val="A4B2C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14FA8"/>
    <w:multiLevelType w:val="hybridMultilevel"/>
    <w:tmpl w:val="55727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0E109D"/>
    <w:multiLevelType w:val="hybridMultilevel"/>
    <w:tmpl w:val="1D8C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2A447BC"/>
    <w:multiLevelType w:val="hybridMultilevel"/>
    <w:tmpl w:val="8A4E6C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9726E1D"/>
    <w:multiLevelType w:val="hybridMultilevel"/>
    <w:tmpl w:val="3AF63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79"/>
    <w:rsid w:val="000335BC"/>
    <w:rsid w:val="00040C7D"/>
    <w:rsid w:val="000479D2"/>
    <w:rsid w:val="00051065"/>
    <w:rsid w:val="00070712"/>
    <w:rsid w:val="000B1D63"/>
    <w:rsid w:val="000B6150"/>
    <w:rsid w:val="0012272C"/>
    <w:rsid w:val="00130C34"/>
    <w:rsid w:val="00156B16"/>
    <w:rsid w:val="00180D2B"/>
    <w:rsid w:val="00194455"/>
    <w:rsid w:val="001A2396"/>
    <w:rsid w:val="001A579A"/>
    <w:rsid w:val="001B0A03"/>
    <w:rsid w:val="001B41B7"/>
    <w:rsid w:val="001C74F5"/>
    <w:rsid w:val="001E630D"/>
    <w:rsid w:val="002425B4"/>
    <w:rsid w:val="002612CB"/>
    <w:rsid w:val="0026278C"/>
    <w:rsid w:val="002A311C"/>
    <w:rsid w:val="002B2B7E"/>
    <w:rsid w:val="002B6B9D"/>
    <w:rsid w:val="002F1ECD"/>
    <w:rsid w:val="003218B9"/>
    <w:rsid w:val="00345BA5"/>
    <w:rsid w:val="0036053D"/>
    <w:rsid w:val="00363F2B"/>
    <w:rsid w:val="00370D99"/>
    <w:rsid w:val="00376D8C"/>
    <w:rsid w:val="003A24C2"/>
    <w:rsid w:val="003B2BB8"/>
    <w:rsid w:val="003B56E5"/>
    <w:rsid w:val="003D34FF"/>
    <w:rsid w:val="00406810"/>
    <w:rsid w:val="00486D23"/>
    <w:rsid w:val="00486E13"/>
    <w:rsid w:val="004950C1"/>
    <w:rsid w:val="004B1409"/>
    <w:rsid w:val="004B54CA"/>
    <w:rsid w:val="004E44EC"/>
    <w:rsid w:val="004E5BB2"/>
    <w:rsid w:val="004E5CBF"/>
    <w:rsid w:val="00515FB0"/>
    <w:rsid w:val="00537C0E"/>
    <w:rsid w:val="005501B5"/>
    <w:rsid w:val="00551C1E"/>
    <w:rsid w:val="00576DA0"/>
    <w:rsid w:val="00580525"/>
    <w:rsid w:val="0058493C"/>
    <w:rsid w:val="005C3AA9"/>
    <w:rsid w:val="006155BF"/>
    <w:rsid w:val="00616B80"/>
    <w:rsid w:val="00630206"/>
    <w:rsid w:val="00641B16"/>
    <w:rsid w:val="00663E64"/>
    <w:rsid w:val="006868F5"/>
    <w:rsid w:val="006A4CE7"/>
    <w:rsid w:val="006B3B61"/>
    <w:rsid w:val="006B7DBA"/>
    <w:rsid w:val="006F126B"/>
    <w:rsid w:val="00707058"/>
    <w:rsid w:val="00747A02"/>
    <w:rsid w:val="00757BEA"/>
    <w:rsid w:val="00785261"/>
    <w:rsid w:val="00786A79"/>
    <w:rsid w:val="007900B0"/>
    <w:rsid w:val="00791EEE"/>
    <w:rsid w:val="007B0256"/>
    <w:rsid w:val="007B0944"/>
    <w:rsid w:val="007C6F68"/>
    <w:rsid w:val="007E0350"/>
    <w:rsid w:val="007E51E6"/>
    <w:rsid w:val="008201A4"/>
    <w:rsid w:val="00826C69"/>
    <w:rsid w:val="008575FB"/>
    <w:rsid w:val="00862719"/>
    <w:rsid w:val="00862C7C"/>
    <w:rsid w:val="0086739E"/>
    <w:rsid w:val="008701B3"/>
    <w:rsid w:val="0089591E"/>
    <w:rsid w:val="008D51D2"/>
    <w:rsid w:val="008D7DB8"/>
    <w:rsid w:val="008E4F9A"/>
    <w:rsid w:val="0090533B"/>
    <w:rsid w:val="009225F0"/>
    <w:rsid w:val="00963817"/>
    <w:rsid w:val="00977F55"/>
    <w:rsid w:val="00991040"/>
    <w:rsid w:val="00995602"/>
    <w:rsid w:val="009A345F"/>
    <w:rsid w:val="009A67F3"/>
    <w:rsid w:val="009B5A32"/>
    <w:rsid w:val="009C6EA0"/>
    <w:rsid w:val="009F6612"/>
    <w:rsid w:val="00A03859"/>
    <w:rsid w:val="00A0552D"/>
    <w:rsid w:val="00A37649"/>
    <w:rsid w:val="00A435D1"/>
    <w:rsid w:val="00A804CD"/>
    <w:rsid w:val="00A82A0C"/>
    <w:rsid w:val="00A971C1"/>
    <w:rsid w:val="00AB49AE"/>
    <w:rsid w:val="00AB7720"/>
    <w:rsid w:val="00AC45F1"/>
    <w:rsid w:val="00AC52BA"/>
    <w:rsid w:val="00AD2CD8"/>
    <w:rsid w:val="00AD2DBE"/>
    <w:rsid w:val="00AD42C9"/>
    <w:rsid w:val="00B0523E"/>
    <w:rsid w:val="00B30B83"/>
    <w:rsid w:val="00B40B0E"/>
    <w:rsid w:val="00B72E4E"/>
    <w:rsid w:val="00B87468"/>
    <w:rsid w:val="00B90D70"/>
    <w:rsid w:val="00BA2DB9"/>
    <w:rsid w:val="00BA70FB"/>
    <w:rsid w:val="00BB6026"/>
    <w:rsid w:val="00BD1463"/>
    <w:rsid w:val="00BE7148"/>
    <w:rsid w:val="00BF0889"/>
    <w:rsid w:val="00BF0EA4"/>
    <w:rsid w:val="00C467DC"/>
    <w:rsid w:val="00C94A91"/>
    <w:rsid w:val="00CA27AB"/>
    <w:rsid w:val="00CF0FE8"/>
    <w:rsid w:val="00D0217D"/>
    <w:rsid w:val="00D02B88"/>
    <w:rsid w:val="00D11ADA"/>
    <w:rsid w:val="00D26672"/>
    <w:rsid w:val="00D478BC"/>
    <w:rsid w:val="00D47AD1"/>
    <w:rsid w:val="00D626A2"/>
    <w:rsid w:val="00DA4590"/>
    <w:rsid w:val="00DA5245"/>
    <w:rsid w:val="00DC0FE3"/>
    <w:rsid w:val="00DC2A5E"/>
    <w:rsid w:val="00DD43F6"/>
    <w:rsid w:val="00DE7545"/>
    <w:rsid w:val="00DF3337"/>
    <w:rsid w:val="00DF72CA"/>
    <w:rsid w:val="00E009D2"/>
    <w:rsid w:val="00E021AE"/>
    <w:rsid w:val="00E51A3C"/>
    <w:rsid w:val="00EE1C8F"/>
    <w:rsid w:val="00F107AE"/>
    <w:rsid w:val="00F30584"/>
    <w:rsid w:val="00FD2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786A79"/>
    <w:rPr>
      <w:sz w:val="16"/>
      <w:szCs w:val="16"/>
    </w:rPr>
  </w:style>
  <w:style w:type="paragraph" w:styleId="CommentText">
    <w:name w:val="annotation text"/>
    <w:basedOn w:val="Normal"/>
    <w:link w:val="CommentTextChar"/>
    <w:uiPriority w:val="99"/>
    <w:semiHidden/>
    <w:unhideWhenUsed/>
    <w:rsid w:val="00786A79"/>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786A79"/>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786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79"/>
    <w:rPr>
      <w:rFonts w:ascii="Tahoma" w:hAnsi="Tahoma" w:cs="Tahoma"/>
      <w:sz w:val="16"/>
      <w:szCs w:val="16"/>
    </w:rPr>
  </w:style>
  <w:style w:type="character" w:styleId="Hyperlink">
    <w:name w:val="Hyperlink"/>
    <w:basedOn w:val="DefaultParagraphFont"/>
    <w:uiPriority w:val="99"/>
    <w:unhideWhenUsed/>
    <w:rsid w:val="00786A79"/>
    <w:rPr>
      <w:strike w:val="0"/>
      <w:dstrike w:val="0"/>
      <w:color w:val="045F85"/>
      <w:sz w:val="24"/>
      <w:szCs w:val="24"/>
      <w:u w:val="none"/>
      <w:effect w:val="none"/>
      <w:shd w:val="clear" w:color="auto" w:fill="auto"/>
      <w:vertAlign w:val="baseline"/>
    </w:rPr>
  </w:style>
  <w:style w:type="paragraph" w:styleId="FootnoteText">
    <w:name w:val="footnote text"/>
    <w:basedOn w:val="Normal"/>
    <w:link w:val="FootnoteTextChar"/>
    <w:uiPriority w:val="99"/>
    <w:unhideWhenUsed/>
    <w:rsid w:val="00786A79"/>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rsid w:val="00786A79"/>
    <w:rPr>
      <w:rFonts w:ascii="Calibri" w:eastAsia="Calibri" w:hAnsi="Calibri" w:cs="Times New Roman"/>
      <w:sz w:val="20"/>
      <w:szCs w:val="20"/>
      <w:lang w:val="en-AU"/>
    </w:rPr>
  </w:style>
  <w:style w:type="character" w:styleId="FootnoteReference">
    <w:name w:val="footnote reference"/>
    <w:basedOn w:val="DefaultParagraphFont"/>
    <w:uiPriority w:val="99"/>
    <w:unhideWhenUsed/>
    <w:rsid w:val="00786A79"/>
    <w:rPr>
      <w:vertAlign w:val="superscript"/>
    </w:rPr>
  </w:style>
  <w:style w:type="paragraph" w:styleId="Header">
    <w:name w:val="header"/>
    <w:basedOn w:val="Normal"/>
    <w:link w:val="HeaderChar"/>
    <w:unhideWhenUsed/>
    <w:rsid w:val="00BF0889"/>
    <w:pPr>
      <w:tabs>
        <w:tab w:val="center" w:pos="4513"/>
        <w:tab w:val="right" w:pos="9026"/>
      </w:tabs>
      <w:spacing w:after="0" w:line="240" w:lineRule="auto"/>
    </w:pPr>
  </w:style>
  <w:style w:type="character" w:customStyle="1" w:styleId="HeaderChar">
    <w:name w:val="Header Char"/>
    <w:basedOn w:val="DefaultParagraphFont"/>
    <w:link w:val="Header"/>
    <w:rsid w:val="00BF0889"/>
    <w:rPr>
      <w:rFonts w:ascii="Arial" w:hAnsi="Arial"/>
    </w:rPr>
  </w:style>
  <w:style w:type="paragraph" w:styleId="Footer">
    <w:name w:val="footer"/>
    <w:basedOn w:val="Normal"/>
    <w:link w:val="FooterChar"/>
    <w:uiPriority w:val="99"/>
    <w:unhideWhenUsed/>
    <w:rsid w:val="00BF0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889"/>
    <w:rPr>
      <w:rFonts w:ascii="Arial" w:hAnsi="Arial"/>
    </w:rPr>
  </w:style>
  <w:style w:type="paragraph" w:styleId="CommentSubject">
    <w:name w:val="annotation subject"/>
    <w:basedOn w:val="CommentText"/>
    <w:next w:val="CommentText"/>
    <w:link w:val="CommentSubjectChar"/>
    <w:uiPriority w:val="99"/>
    <w:semiHidden/>
    <w:unhideWhenUsed/>
    <w:rsid w:val="00AC45F1"/>
    <w:pPr>
      <w:spacing w:after="200"/>
    </w:pPr>
    <w:rPr>
      <w:rFonts w:ascii="Arial" w:eastAsiaTheme="minorHAnsi" w:hAnsi="Arial" w:cstheme="minorBidi"/>
      <w:b/>
      <w:bCs/>
      <w:lang w:val="en-US" w:eastAsia="en-US"/>
    </w:rPr>
  </w:style>
  <w:style w:type="character" w:customStyle="1" w:styleId="CommentSubjectChar">
    <w:name w:val="Comment Subject Char"/>
    <w:basedOn w:val="CommentTextChar"/>
    <w:link w:val="CommentSubject"/>
    <w:uiPriority w:val="99"/>
    <w:semiHidden/>
    <w:rsid w:val="00AC45F1"/>
    <w:rPr>
      <w:rFonts w:ascii="Arial" w:eastAsia="Times New Roman" w:hAnsi="Arial" w:cs="Times New Roman"/>
      <w:b/>
      <w:bCs/>
      <w:sz w:val="20"/>
      <w:szCs w:val="20"/>
      <w:lang w:val="en-AU" w:eastAsia="en-AU"/>
    </w:rPr>
  </w:style>
  <w:style w:type="table" w:styleId="TableGrid">
    <w:name w:val="Table Grid"/>
    <w:basedOn w:val="TableNormal"/>
    <w:uiPriority w:val="59"/>
    <w:rsid w:val="00376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D51D2"/>
    <w:rPr>
      <w:color w:val="800080" w:themeColor="followedHyperlink"/>
      <w:u w:val="single"/>
    </w:rPr>
  </w:style>
  <w:style w:type="paragraph" w:styleId="Revision">
    <w:name w:val="Revision"/>
    <w:hidden/>
    <w:uiPriority w:val="99"/>
    <w:semiHidden/>
    <w:rsid w:val="002F1ECD"/>
    <w:pPr>
      <w:spacing w:after="0" w:line="240" w:lineRule="auto"/>
    </w:pPr>
    <w:rPr>
      <w:rFonts w:ascii="Arial" w:hAnsi="Arial"/>
    </w:rPr>
  </w:style>
  <w:style w:type="paragraph" w:customStyle="1" w:styleId="ShortT">
    <w:name w:val="ShortT"/>
    <w:basedOn w:val="Normal"/>
    <w:next w:val="Normal"/>
    <w:link w:val="ShortTChar"/>
    <w:rsid w:val="00040C7D"/>
    <w:pPr>
      <w:spacing w:before="360" w:after="0" w:line="260" w:lineRule="atLeast"/>
    </w:pPr>
    <w:rPr>
      <w:rFonts w:ascii="Times" w:eastAsia="Times New Roman" w:hAnsi="Times" w:cs="Times New Roman"/>
      <w:b/>
      <w:sz w:val="40"/>
      <w:szCs w:val="20"/>
      <w:lang w:val="en-AU" w:eastAsia="en-AU"/>
    </w:rPr>
  </w:style>
  <w:style w:type="paragraph" w:customStyle="1" w:styleId="Actno">
    <w:name w:val="Actno"/>
    <w:basedOn w:val="Normal"/>
    <w:next w:val="Normal"/>
    <w:link w:val="ActnoChar"/>
    <w:rsid w:val="00040C7D"/>
    <w:pPr>
      <w:spacing w:before="240" w:after="0" w:line="260" w:lineRule="atLeast"/>
    </w:pPr>
    <w:rPr>
      <w:rFonts w:ascii="Times New Roman" w:eastAsia="Times New Roman" w:hAnsi="Times New Roman" w:cs="Times New Roman"/>
      <w:b/>
      <w:sz w:val="24"/>
      <w:szCs w:val="24"/>
      <w:lang w:val="en-AU" w:eastAsia="en-AU"/>
    </w:rPr>
  </w:style>
  <w:style w:type="paragraph" w:customStyle="1" w:styleId="LongT">
    <w:name w:val="LongT"/>
    <w:rsid w:val="00040C7D"/>
    <w:pPr>
      <w:spacing w:after="0" w:line="240" w:lineRule="auto"/>
    </w:pPr>
    <w:rPr>
      <w:rFonts w:ascii="Times New Roman" w:eastAsia="Times New Roman" w:hAnsi="Times New Roman" w:cs="Times New Roman"/>
      <w:b/>
      <w:sz w:val="32"/>
      <w:szCs w:val="24"/>
      <w:lang w:val="en-AU" w:eastAsia="en-AU"/>
    </w:rPr>
  </w:style>
  <w:style w:type="character" w:customStyle="1" w:styleId="ShortTChar">
    <w:name w:val="ShortT Char"/>
    <w:basedOn w:val="DefaultParagraphFont"/>
    <w:link w:val="ShortT"/>
    <w:rsid w:val="00040C7D"/>
    <w:rPr>
      <w:rFonts w:ascii="Times" w:eastAsia="Times New Roman" w:hAnsi="Times" w:cs="Times New Roman"/>
      <w:b/>
      <w:sz w:val="40"/>
      <w:szCs w:val="20"/>
      <w:lang w:val="en-AU" w:eastAsia="en-AU"/>
    </w:rPr>
  </w:style>
  <w:style w:type="character" w:customStyle="1" w:styleId="ActnoChar">
    <w:name w:val="Actno Char"/>
    <w:basedOn w:val="ShortTChar"/>
    <w:link w:val="Actno"/>
    <w:rsid w:val="00040C7D"/>
    <w:rPr>
      <w:rFonts w:ascii="Times New Roman" w:eastAsia="Times New Roman" w:hAnsi="Times New Roman" w:cs="Times New Roman"/>
      <w:b/>
      <w:sz w:val="24"/>
      <w:szCs w:val="24"/>
      <w:lang w:val="en-AU" w:eastAsia="en-AU"/>
    </w:rPr>
  </w:style>
  <w:style w:type="paragraph" w:customStyle="1" w:styleId="ActHead2">
    <w:name w:val="ActHead 2"/>
    <w:aliases w:val="p"/>
    <w:basedOn w:val="Normal"/>
    <w:next w:val="Normal"/>
    <w:rsid w:val="00040C7D"/>
    <w:pPr>
      <w:keepNext/>
      <w:keepLines/>
      <w:spacing w:before="280" w:after="0" w:line="240" w:lineRule="auto"/>
      <w:ind w:left="1134" w:hanging="1134"/>
      <w:outlineLvl w:val="1"/>
    </w:pPr>
    <w:rPr>
      <w:rFonts w:ascii="Times New Roman" w:eastAsia="Times New Roman" w:hAnsi="Times New Roman" w:cs="Times New Roman"/>
      <w:b/>
      <w:bCs/>
      <w:kern w:val="28"/>
      <w:sz w:val="32"/>
      <w:szCs w:val="32"/>
      <w:lang w:val="en-AU" w:eastAsia="en-AU"/>
    </w:rPr>
  </w:style>
  <w:style w:type="paragraph" w:customStyle="1" w:styleId="ActHead3">
    <w:name w:val="ActHead 3"/>
    <w:aliases w:val="d"/>
    <w:basedOn w:val="Normal"/>
    <w:next w:val="Normal"/>
    <w:link w:val="ActHead3Char"/>
    <w:rsid w:val="00040C7D"/>
    <w:pPr>
      <w:keepNext/>
      <w:keepLines/>
      <w:spacing w:before="240" w:after="0" w:line="240" w:lineRule="auto"/>
      <w:ind w:left="1134" w:hanging="1134"/>
      <w:outlineLvl w:val="2"/>
    </w:pPr>
    <w:rPr>
      <w:rFonts w:ascii="Times New Roman" w:eastAsia="Times New Roman" w:hAnsi="Times New Roman" w:cs="Times New Roman"/>
      <w:b/>
      <w:bCs/>
      <w:kern w:val="28"/>
      <w:sz w:val="28"/>
      <w:szCs w:val="32"/>
      <w:lang w:val="en-AU" w:eastAsia="en-AU"/>
    </w:rPr>
  </w:style>
  <w:style w:type="paragraph" w:customStyle="1" w:styleId="ActHead5">
    <w:name w:val="ActHead 5"/>
    <w:aliases w:val="s"/>
    <w:basedOn w:val="Normal"/>
    <w:next w:val="Normal"/>
    <w:link w:val="ActHead5Char"/>
    <w:rsid w:val="00040C7D"/>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val="en-AU" w:eastAsia="en-AU"/>
    </w:rPr>
  </w:style>
  <w:style w:type="paragraph" w:customStyle="1" w:styleId="BoxText">
    <w:name w:val="BoxText"/>
    <w:aliases w:val="bt"/>
    <w:rsid w:val="00040C7D"/>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imes New Roman" w:hAnsi="Times New Roman" w:cs="Times New Roman"/>
      <w:szCs w:val="24"/>
      <w:lang w:val="en-AU" w:eastAsia="en-AU"/>
    </w:rPr>
  </w:style>
  <w:style w:type="character" w:customStyle="1" w:styleId="CharDivNo">
    <w:name w:val="CharDivNo"/>
    <w:basedOn w:val="DefaultParagraphFont"/>
    <w:rsid w:val="00040C7D"/>
  </w:style>
  <w:style w:type="character" w:customStyle="1" w:styleId="CharDivText">
    <w:name w:val="CharDivText"/>
    <w:basedOn w:val="DefaultParagraphFont"/>
    <w:rsid w:val="00040C7D"/>
  </w:style>
  <w:style w:type="character" w:customStyle="1" w:styleId="CharPartNo">
    <w:name w:val="CharPartNo"/>
    <w:basedOn w:val="DefaultParagraphFont"/>
    <w:rsid w:val="00040C7D"/>
  </w:style>
  <w:style w:type="character" w:customStyle="1" w:styleId="CharPartText">
    <w:name w:val="CharPartText"/>
    <w:basedOn w:val="DefaultParagraphFont"/>
    <w:rsid w:val="00040C7D"/>
  </w:style>
  <w:style w:type="character" w:customStyle="1" w:styleId="CharSectno">
    <w:name w:val="CharSectno"/>
    <w:basedOn w:val="DefaultParagraphFont"/>
    <w:rsid w:val="00040C7D"/>
  </w:style>
  <w:style w:type="paragraph" w:customStyle="1" w:styleId="subsection">
    <w:name w:val="subsection"/>
    <w:aliases w:val="ss"/>
    <w:link w:val="subsectionChar"/>
    <w:rsid w:val="00040C7D"/>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link w:val="paragraphChar"/>
    <w:rsid w:val="00040C7D"/>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character" w:customStyle="1" w:styleId="subsectionChar">
    <w:name w:val="subsection Char"/>
    <w:aliases w:val="ss Char"/>
    <w:basedOn w:val="DefaultParagraphFont"/>
    <w:link w:val="subsection"/>
    <w:rsid w:val="00040C7D"/>
    <w:rPr>
      <w:rFonts w:ascii="Times New Roman" w:eastAsia="Times New Roman" w:hAnsi="Times New Roman" w:cs="Times New Roman"/>
      <w:szCs w:val="24"/>
      <w:lang w:val="en-AU" w:eastAsia="en-AU"/>
    </w:rPr>
  </w:style>
  <w:style w:type="character" w:customStyle="1" w:styleId="paragraphChar">
    <w:name w:val="paragraph Char"/>
    <w:aliases w:val="a Char"/>
    <w:basedOn w:val="DefaultParagraphFont"/>
    <w:link w:val="paragraph"/>
    <w:rsid w:val="00040C7D"/>
    <w:rPr>
      <w:rFonts w:ascii="Times New Roman" w:eastAsia="Times New Roman" w:hAnsi="Times New Roman" w:cs="Times New Roman"/>
      <w:szCs w:val="24"/>
      <w:lang w:val="en-AU" w:eastAsia="en-AU"/>
    </w:rPr>
  </w:style>
  <w:style w:type="character" w:customStyle="1" w:styleId="ActHead5Char">
    <w:name w:val="ActHead 5 Char"/>
    <w:aliases w:val="s Char"/>
    <w:basedOn w:val="DefaultParagraphFont"/>
    <w:link w:val="ActHead5"/>
    <w:rsid w:val="00040C7D"/>
    <w:rPr>
      <w:rFonts w:ascii="Times New Roman" w:eastAsia="Times New Roman" w:hAnsi="Times New Roman" w:cs="Times New Roman"/>
      <w:b/>
      <w:bCs/>
      <w:kern w:val="28"/>
      <w:sz w:val="24"/>
      <w:szCs w:val="32"/>
      <w:lang w:val="en-AU" w:eastAsia="en-AU"/>
    </w:rPr>
  </w:style>
  <w:style w:type="character" w:customStyle="1" w:styleId="ActHead3Char">
    <w:name w:val="ActHead 3 Char"/>
    <w:aliases w:val="d Char"/>
    <w:basedOn w:val="DefaultParagraphFont"/>
    <w:link w:val="ActHead3"/>
    <w:rsid w:val="00040C7D"/>
    <w:rPr>
      <w:rFonts w:ascii="Times New Roman" w:eastAsia="Times New Roman" w:hAnsi="Times New Roman" w:cs="Times New Roman"/>
      <w:b/>
      <w:bCs/>
      <w:kern w:val="28"/>
      <w:sz w:val="28"/>
      <w:szCs w:val="32"/>
      <w:lang w:val="en-AU" w:eastAsia="en-AU"/>
    </w:rPr>
  </w:style>
  <w:style w:type="paragraph" w:customStyle="1" w:styleId="notetext">
    <w:name w:val="note(text)"/>
    <w:aliases w:val="n"/>
    <w:link w:val="notetextChar"/>
    <w:rsid w:val="00040C7D"/>
    <w:pPr>
      <w:spacing w:before="122" w:after="0" w:line="198" w:lineRule="exact"/>
      <w:ind w:left="1985" w:hanging="851"/>
    </w:pPr>
    <w:rPr>
      <w:rFonts w:ascii="Times New Roman" w:eastAsia="Times New Roman" w:hAnsi="Times New Roman" w:cs="Times New Roman"/>
      <w:sz w:val="18"/>
      <w:szCs w:val="24"/>
      <w:lang w:val="en-AU" w:eastAsia="en-AU"/>
    </w:rPr>
  </w:style>
  <w:style w:type="paragraph" w:customStyle="1" w:styleId="subsection2">
    <w:name w:val="subsection2"/>
    <w:aliases w:val="ss2"/>
    <w:basedOn w:val="subsection"/>
    <w:next w:val="subsection"/>
    <w:rsid w:val="00040C7D"/>
    <w:pPr>
      <w:tabs>
        <w:tab w:val="clear" w:pos="1021"/>
      </w:tabs>
      <w:spacing w:before="40"/>
      <w:ind w:firstLine="0"/>
    </w:pPr>
  </w:style>
  <w:style w:type="character" w:customStyle="1" w:styleId="notetextChar">
    <w:name w:val="note(text) Char"/>
    <w:aliases w:val="n Char"/>
    <w:basedOn w:val="DefaultParagraphFont"/>
    <w:link w:val="notetext"/>
    <w:rsid w:val="00040C7D"/>
    <w:rPr>
      <w:rFonts w:ascii="Times New Roman" w:eastAsia="Times New Roman" w:hAnsi="Times New Roman" w:cs="Times New Roman"/>
      <w:sz w:val="18"/>
      <w:szCs w:val="24"/>
      <w:lang w:val="en-AU" w:eastAsia="en-AU"/>
    </w:rPr>
  </w:style>
  <w:style w:type="character" w:customStyle="1" w:styleId="CharAmSchNo">
    <w:name w:val="CharAmSchNo"/>
    <w:basedOn w:val="DefaultParagraphFont"/>
    <w:rsid w:val="0036053D"/>
  </w:style>
  <w:style w:type="character" w:customStyle="1" w:styleId="CharAmSchText">
    <w:name w:val="CharAmSchText"/>
    <w:basedOn w:val="DefaultParagraphFont"/>
    <w:rsid w:val="0036053D"/>
  </w:style>
  <w:style w:type="paragraph" w:customStyle="1" w:styleId="ActHead6">
    <w:name w:val="ActHead 6"/>
    <w:aliases w:val="as"/>
    <w:basedOn w:val="Normal"/>
    <w:next w:val="Normal"/>
    <w:rsid w:val="0036053D"/>
    <w:pPr>
      <w:keepNext/>
      <w:keepLines/>
      <w:spacing w:after="0" w:line="240" w:lineRule="auto"/>
      <w:ind w:left="1134" w:hanging="1134"/>
      <w:outlineLvl w:val="5"/>
    </w:pPr>
    <w:rPr>
      <w:rFonts w:eastAsia="Times New Roman" w:cs="Times New Roman"/>
      <w:b/>
      <w:bCs/>
      <w:kern w:val="28"/>
      <w:sz w:val="32"/>
      <w:szCs w:val="32"/>
      <w:lang w:val="en-AU" w:eastAsia="en-AU"/>
    </w:rPr>
  </w:style>
  <w:style w:type="paragraph" w:customStyle="1" w:styleId="ActHead9">
    <w:name w:val="ActHead 9"/>
    <w:aliases w:val="aat"/>
    <w:basedOn w:val="Normal"/>
    <w:next w:val="Normal"/>
    <w:rsid w:val="0036053D"/>
    <w:pPr>
      <w:keepLines/>
      <w:spacing w:before="280" w:after="0" w:line="240" w:lineRule="auto"/>
      <w:ind w:left="1134" w:hanging="1134"/>
      <w:outlineLvl w:val="8"/>
    </w:pPr>
    <w:rPr>
      <w:rFonts w:ascii="Times New Roman" w:eastAsia="Times New Roman" w:hAnsi="Times New Roman" w:cs="Times New Roman"/>
      <w:b/>
      <w:bCs/>
      <w:i/>
      <w:kern w:val="28"/>
      <w:sz w:val="28"/>
      <w:szCs w:val="32"/>
      <w:lang w:val="en-AU" w:eastAsia="en-AU"/>
    </w:rPr>
  </w:style>
  <w:style w:type="character" w:customStyle="1" w:styleId="CharAmPartNo">
    <w:name w:val="CharAmPartNo"/>
    <w:basedOn w:val="DefaultParagraphFont"/>
    <w:rsid w:val="0036053D"/>
  </w:style>
  <w:style w:type="character" w:customStyle="1" w:styleId="CharAmPartText">
    <w:name w:val="CharAmPartText"/>
    <w:basedOn w:val="DefaultParagraphFont"/>
    <w:rsid w:val="0036053D"/>
  </w:style>
  <w:style w:type="paragraph" w:customStyle="1" w:styleId="Definition">
    <w:name w:val="Definition"/>
    <w:aliases w:val="dd"/>
    <w:basedOn w:val="subsection"/>
    <w:rsid w:val="0036053D"/>
    <w:pPr>
      <w:tabs>
        <w:tab w:val="clear" w:pos="1021"/>
      </w:tabs>
      <w:ind w:firstLine="0"/>
    </w:pPr>
  </w:style>
  <w:style w:type="paragraph" w:customStyle="1" w:styleId="Item">
    <w:name w:val="Item"/>
    <w:aliases w:val="i"/>
    <w:basedOn w:val="subsection"/>
    <w:next w:val="Normal"/>
    <w:rsid w:val="0036053D"/>
    <w:pPr>
      <w:keepLines/>
      <w:tabs>
        <w:tab w:val="clear" w:pos="1021"/>
      </w:tabs>
      <w:spacing w:before="80"/>
      <w:ind w:left="709" w:firstLine="0"/>
    </w:pPr>
  </w:style>
  <w:style w:type="paragraph" w:customStyle="1" w:styleId="ItemHead">
    <w:name w:val="ItemHead"/>
    <w:aliases w:val="ih"/>
    <w:basedOn w:val="Heading1"/>
    <w:next w:val="Item"/>
    <w:rsid w:val="0036053D"/>
    <w:pPr>
      <w:keepLines/>
      <w:spacing w:before="220" w:line="240" w:lineRule="auto"/>
      <w:ind w:left="709" w:hanging="709"/>
      <w:contextualSpacing w:val="0"/>
      <w:outlineLvl w:val="9"/>
    </w:pPr>
    <w:rPr>
      <w:rFonts w:eastAsia="Times New Roman" w:cs="Arial"/>
      <w:kern w:val="28"/>
      <w:sz w:val="24"/>
      <w:szCs w:val="3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786A79"/>
    <w:rPr>
      <w:sz w:val="16"/>
      <w:szCs w:val="16"/>
    </w:rPr>
  </w:style>
  <w:style w:type="paragraph" w:styleId="CommentText">
    <w:name w:val="annotation text"/>
    <w:basedOn w:val="Normal"/>
    <w:link w:val="CommentTextChar"/>
    <w:uiPriority w:val="99"/>
    <w:semiHidden/>
    <w:unhideWhenUsed/>
    <w:rsid w:val="00786A79"/>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786A79"/>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786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79"/>
    <w:rPr>
      <w:rFonts w:ascii="Tahoma" w:hAnsi="Tahoma" w:cs="Tahoma"/>
      <w:sz w:val="16"/>
      <w:szCs w:val="16"/>
    </w:rPr>
  </w:style>
  <w:style w:type="character" w:styleId="Hyperlink">
    <w:name w:val="Hyperlink"/>
    <w:basedOn w:val="DefaultParagraphFont"/>
    <w:uiPriority w:val="99"/>
    <w:unhideWhenUsed/>
    <w:rsid w:val="00786A79"/>
    <w:rPr>
      <w:strike w:val="0"/>
      <w:dstrike w:val="0"/>
      <w:color w:val="045F85"/>
      <w:sz w:val="24"/>
      <w:szCs w:val="24"/>
      <w:u w:val="none"/>
      <w:effect w:val="none"/>
      <w:shd w:val="clear" w:color="auto" w:fill="auto"/>
      <w:vertAlign w:val="baseline"/>
    </w:rPr>
  </w:style>
  <w:style w:type="paragraph" w:styleId="FootnoteText">
    <w:name w:val="footnote text"/>
    <w:basedOn w:val="Normal"/>
    <w:link w:val="FootnoteTextChar"/>
    <w:uiPriority w:val="99"/>
    <w:unhideWhenUsed/>
    <w:rsid w:val="00786A79"/>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rsid w:val="00786A79"/>
    <w:rPr>
      <w:rFonts w:ascii="Calibri" w:eastAsia="Calibri" w:hAnsi="Calibri" w:cs="Times New Roman"/>
      <w:sz w:val="20"/>
      <w:szCs w:val="20"/>
      <w:lang w:val="en-AU"/>
    </w:rPr>
  </w:style>
  <w:style w:type="character" w:styleId="FootnoteReference">
    <w:name w:val="footnote reference"/>
    <w:basedOn w:val="DefaultParagraphFont"/>
    <w:uiPriority w:val="99"/>
    <w:unhideWhenUsed/>
    <w:rsid w:val="00786A79"/>
    <w:rPr>
      <w:vertAlign w:val="superscript"/>
    </w:rPr>
  </w:style>
  <w:style w:type="paragraph" w:styleId="Header">
    <w:name w:val="header"/>
    <w:basedOn w:val="Normal"/>
    <w:link w:val="HeaderChar"/>
    <w:unhideWhenUsed/>
    <w:rsid w:val="00BF0889"/>
    <w:pPr>
      <w:tabs>
        <w:tab w:val="center" w:pos="4513"/>
        <w:tab w:val="right" w:pos="9026"/>
      </w:tabs>
      <w:spacing w:after="0" w:line="240" w:lineRule="auto"/>
    </w:pPr>
  </w:style>
  <w:style w:type="character" w:customStyle="1" w:styleId="HeaderChar">
    <w:name w:val="Header Char"/>
    <w:basedOn w:val="DefaultParagraphFont"/>
    <w:link w:val="Header"/>
    <w:rsid w:val="00BF0889"/>
    <w:rPr>
      <w:rFonts w:ascii="Arial" w:hAnsi="Arial"/>
    </w:rPr>
  </w:style>
  <w:style w:type="paragraph" w:styleId="Footer">
    <w:name w:val="footer"/>
    <w:basedOn w:val="Normal"/>
    <w:link w:val="FooterChar"/>
    <w:uiPriority w:val="99"/>
    <w:unhideWhenUsed/>
    <w:rsid w:val="00BF0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889"/>
    <w:rPr>
      <w:rFonts w:ascii="Arial" w:hAnsi="Arial"/>
    </w:rPr>
  </w:style>
  <w:style w:type="paragraph" w:styleId="CommentSubject">
    <w:name w:val="annotation subject"/>
    <w:basedOn w:val="CommentText"/>
    <w:next w:val="CommentText"/>
    <w:link w:val="CommentSubjectChar"/>
    <w:uiPriority w:val="99"/>
    <w:semiHidden/>
    <w:unhideWhenUsed/>
    <w:rsid w:val="00AC45F1"/>
    <w:pPr>
      <w:spacing w:after="200"/>
    </w:pPr>
    <w:rPr>
      <w:rFonts w:ascii="Arial" w:eastAsiaTheme="minorHAnsi" w:hAnsi="Arial" w:cstheme="minorBidi"/>
      <w:b/>
      <w:bCs/>
      <w:lang w:val="en-US" w:eastAsia="en-US"/>
    </w:rPr>
  </w:style>
  <w:style w:type="character" w:customStyle="1" w:styleId="CommentSubjectChar">
    <w:name w:val="Comment Subject Char"/>
    <w:basedOn w:val="CommentTextChar"/>
    <w:link w:val="CommentSubject"/>
    <w:uiPriority w:val="99"/>
    <w:semiHidden/>
    <w:rsid w:val="00AC45F1"/>
    <w:rPr>
      <w:rFonts w:ascii="Arial" w:eastAsia="Times New Roman" w:hAnsi="Arial" w:cs="Times New Roman"/>
      <w:b/>
      <w:bCs/>
      <w:sz w:val="20"/>
      <w:szCs w:val="20"/>
      <w:lang w:val="en-AU" w:eastAsia="en-AU"/>
    </w:rPr>
  </w:style>
  <w:style w:type="table" w:styleId="TableGrid">
    <w:name w:val="Table Grid"/>
    <w:basedOn w:val="TableNormal"/>
    <w:uiPriority w:val="59"/>
    <w:rsid w:val="00376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D51D2"/>
    <w:rPr>
      <w:color w:val="800080" w:themeColor="followedHyperlink"/>
      <w:u w:val="single"/>
    </w:rPr>
  </w:style>
  <w:style w:type="paragraph" w:styleId="Revision">
    <w:name w:val="Revision"/>
    <w:hidden/>
    <w:uiPriority w:val="99"/>
    <w:semiHidden/>
    <w:rsid w:val="002F1ECD"/>
    <w:pPr>
      <w:spacing w:after="0" w:line="240" w:lineRule="auto"/>
    </w:pPr>
    <w:rPr>
      <w:rFonts w:ascii="Arial" w:hAnsi="Arial"/>
    </w:rPr>
  </w:style>
  <w:style w:type="paragraph" w:customStyle="1" w:styleId="ShortT">
    <w:name w:val="ShortT"/>
    <w:basedOn w:val="Normal"/>
    <w:next w:val="Normal"/>
    <w:link w:val="ShortTChar"/>
    <w:rsid w:val="00040C7D"/>
    <w:pPr>
      <w:spacing w:before="360" w:after="0" w:line="260" w:lineRule="atLeast"/>
    </w:pPr>
    <w:rPr>
      <w:rFonts w:ascii="Times" w:eastAsia="Times New Roman" w:hAnsi="Times" w:cs="Times New Roman"/>
      <w:b/>
      <w:sz w:val="40"/>
      <w:szCs w:val="20"/>
      <w:lang w:val="en-AU" w:eastAsia="en-AU"/>
    </w:rPr>
  </w:style>
  <w:style w:type="paragraph" w:customStyle="1" w:styleId="Actno">
    <w:name w:val="Actno"/>
    <w:basedOn w:val="Normal"/>
    <w:next w:val="Normal"/>
    <w:link w:val="ActnoChar"/>
    <w:rsid w:val="00040C7D"/>
    <w:pPr>
      <w:spacing w:before="240" w:after="0" w:line="260" w:lineRule="atLeast"/>
    </w:pPr>
    <w:rPr>
      <w:rFonts w:ascii="Times New Roman" w:eastAsia="Times New Roman" w:hAnsi="Times New Roman" w:cs="Times New Roman"/>
      <w:b/>
      <w:sz w:val="24"/>
      <w:szCs w:val="24"/>
      <w:lang w:val="en-AU" w:eastAsia="en-AU"/>
    </w:rPr>
  </w:style>
  <w:style w:type="paragraph" w:customStyle="1" w:styleId="LongT">
    <w:name w:val="LongT"/>
    <w:rsid w:val="00040C7D"/>
    <w:pPr>
      <w:spacing w:after="0" w:line="240" w:lineRule="auto"/>
    </w:pPr>
    <w:rPr>
      <w:rFonts w:ascii="Times New Roman" w:eastAsia="Times New Roman" w:hAnsi="Times New Roman" w:cs="Times New Roman"/>
      <w:b/>
      <w:sz w:val="32"/>
      <w:szCs w:val="24"/>
      <w:lang w:val="en-AU" w:eastAsia="en-AU"/>
    </w:rPr>
  </w:style>
  <w:style w:type="character" w:customStyle="1" w:styleId="ShortTChar">
    <w:name w:val="ShortT Char"/>
    <w:basedOn w:val="DefaultParagraphFont"/>
    <w:link w:val="ShortT"/>
    <w:rsid w:val="00040C7D"/>
    <w:rPr>
      <w:rFonts w:ascii="Times" w:eastAsia="Times New Roman" w:hAnsi="Times" w:cs="Times New Roman"/>
      <w:b/>
      <w:sz w:val="40"/>
      <w:szCs w:val="20"/>
      <w:lang w:val="en-AU" w:eastAsia="en-AU"/>
    </w:rPr>
  </w:style>
  <w:style w:type="character" w:customStyle="1" w:styleId="ActnoChar">
    <w:name w:val="Actno Char"/>
    <w:basedOn w:val="ShortTChar"/>
    <w:link w:val="Actno"/>
    <w:rsid w:val="00040C7D"/>
    <w:rPr>
      <w:rFonts w:ascii="Times New Roman" w:eastAsia="Times New Roman" w:hAnsi="Times New Roman" w:cs="Times New Roman"/>
      <w:b/>
      <w:sz w:val="24"/>
      <w:szCs w:val="24"/>
      <w:lang w:val="en-AU" w:eastAsia="en-AU"/>
    </w:rPr>
  </w:style>
  <w:style w:type="paragraph" w:customStyle="1" w:styleId="ActHead2">
    <w:name w:val="ActHead 2"/>
    <w:aliases w:val="p"/>
    <w:basedOn w:val="Normal"/>
    <w:next w:val="Normal"/>
    <w:rsid w:val="00040C7D"/>
    <w:pPr>
      <w:keepNext/>
      <w:keepLines/>
      <w:spacing w:before="280" w:after="0" w:line="240" w:lineRule="auto"/>
      <w:ind w:left="1134" w:hanging="1134"/>
      <w:outlineLvl w:val="1"/>
    </w:pPr>
    <w:rPr>
      <w:rFonts w:ascii="Times New Roman" w:eastAsia="Times New Roman" w:hAnsi="Times New Roman" w:cs="Times New Roman"/>
      <w:b/>
      <w:bCs/>
      <w:kern w:val="28"/>
      <w:sz w:val="32"/>
      <w:szCs w:val="32"/>
      <w:lang w:val="en-AU" w:eastAsia="en-AU"/>
    </w:rPr>
  </w:style>
  <w:style w:type="paragraph" w:customStyle="1" w:styleId="ActHead3">
    <w:name w:val="ActHead 3"/>
    <w:aliases w:val="d"/>
    <w:basedOn w:val="Normal"/>
    <w:next w:val="Normal"/>
    <w:link w:val="ActHead3Char"/>
    <w:rsid w:val="00040C7D"/>
    <w:pPr>
      <w:keepNext/>
      <w:keepLines/>
      <w:spacing w:before="240" w:after="0" w:line="240" w:lineRule="auto"/>
      <w:ind w:left="1134" w:hanging="1134"/>
      <w:outlineLvl w:val="2"/>
    </w:pPr>
    <w:rPr>
      <w:rFonts w:ascii="Times New Roman" w:eastAsia="Times New Roman" w:hAnsi="Times New Roman" w:cs="Times New Roman"/>
      <w:b/>
      <w:bCs/>
      <w:kern w:val="28"/>
      <w:sz w:val="28"/>
      <w:szCs w:val="32"/>
      <w:lang w:val="en-AU" w:eastAsia="en-AU"/>
    </w:rPr>
  </w:style>
  <w:style w:type="paragraph" w:customStyle="1" w:styleId="ActHead5">
    <w:name w:val="ActHead 5"/>
    <w:aliases w:val="s"/>
    <w:basedOn w:val="Normal"/>
    <w:next w:val="Normal"/>
    <w:link w:val="ActHead5Char"/>
    <w:rsid w:val="00040C7D"/>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val="en-AU" w:eastAsia="en-AU"/>
    </w:rPr>
  </w:style>
  <w:style w:type="paragraph" w:customStyle="1" w:styleId="BoxText">
    <w:name w:val="BoxText"/>
    <w:aliases w:val="bt"/>
    <w:rsid w:val="00040C7D"/>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imes New Roman" w:hAnsi="Times New Roman" w:cs="Times New Roman"/>
      <w:szCs w:val="24"/>
      <w:lang w:val="en-AU" w:eastAsia="en-AU"/>
    </w:rPr>
  </w:style>
  <w:style w:type="character" w:customStyle="1" w:styleId="CharDivNo">
    <w:name w:val="CharDivNo"/>
    <w:basedOn w:val="DefaultParagraphFont"/>
    <w:rsid w:val="00040C7D"/>
  </w:style>
  <w:style w:type="character" w:customStyle="1" w:styleId="CharDivText">
    <w:name w:val="CharDivText"/>
    <w:basedOn w:val="DefaultParagraphFont"/>
    <w:rsid w:val="00040C7D"/>
  </w:style>
  <w:style w:type="character" w:customStyle="1" w:styleId="CharPartNo">
    <w:name w:val="CharPartNo"/>
    <w:basedOn w:val="DefaultParagraphFont"/>
    <w:rsid w:val="00040C7D"/>
  </w:style>
  <w:style w:type="character" w:customStyle="1" w:styleId="CharPartText">
    <w:name w:val="CharPartText"/>
    <w:basedOn w:val="DefaultParagraphFont"/>
    <w:rsid w:val="00040C7D"/>
  </w:style>
  <w:style w:type="character" w:customStyle="1" w:styleId="CharSectno">
    <w:name w:val="CharSectno"/>
    <w:basedOn w:val="DefaultParagraphFont"/>
    <w:rsid w:val="00040C7D"/>
  </w:style>
  <w:style w:type="paragraph" w:customStyle="1" w:styleId="subsection">
    <w:name w:val="subsection"/>
    <w:aliases w:val="ss"/>
    <w:link w:val="subsectionChar"/>
    <w:rsid w:val="00040C7D"/>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link w:val="paragraphChar"/>
    <w:rsid w:val="00040C7D"/>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character" w:customStyle="1" w:styleId="subsectionChar">
    <w:name w:val="subsection Char"/>
    <w:aliases w:val="ss Char"/>
    <w:basedOn w:val="DefaultParagraphFont"/>
    <w:link w:val="subsection"/>
    <w:rsid w:val="00040C7D"/>
    <w:rPr>
      <w:rFonts w:ascii="Times New Roman" w:eastAsia="Times New Roman" w:hAnsi="Times New Roman" w:cs="Times New Roman"/>
      <w:szCs w:val="24"/>
      <w:lang w:val="en-AU" w:eastAsia="en-AU"/>
    </w:rPr>
  </w:style>
  <w:style w:type="character" w:customStyle="1" w:styleId="paragraphChar">
    <w:name w:val="paragraph Char"/>
    <w:aliases w:val="a Char"/>
    <w:basedOn w:val="DefaultParagraphFont"/>
    <w:link w:val="paragraph"/>
    <w:rsid w:val="00040C7D"/>
    <w:rPr>
      <w:rFonts w:ascii="Times New Roman" w:eastAsia="Times New Roman" w:hAnsi="Times New Roman" w:cs="Times New Roman"/>
      <w:szCs w:val="24"/>
      <w:lang w:val="en-AU" w:eastAsia="en-AU"/>
    </w:rPr>
  </w:style>
  <w:style w:type="character" w:customStyle="1" w:styleId="ActHead5Char">
    <w:name w:val="ActHead 5 Char"/>
    <w:aliases w:val="s Char"/>
    <w:basedOn w:val="DefaultParagraphFont"/>
    <w:link w:val="ActHead5"/>
    <w:rsid w:val="00040C7D"/>
    <w:rPr>
      <w:rFonts w:ascii="Times New Roman" w:eastAsia="Times New Roman" w:hAnsi="Times New Roman" w:cs="Times New Roman"/>
      <w:b/>
      <w:bCs/>
      <w:kern w:val="28"/>
      <w:sz w:val="24"/>
      <w:szCs w:val="32"/>
      <w:lang w:val="en-AU" w:eastAsia="en-AU"/>
    </w:rPr>
  </w:style>
  <w:style w:type="character" w:customStyle="1" w:styleId="ActHead3Char">
    <w:name w:val="ActHead 3 Char"/>
    <w:aliases w:val="d Char"/>
    <w:basedOn w:val="DefaultParagraphFont"/>
    <w:link w:val="ActHead3"/>
    <w:rsid w:val="00040C7D"/>
    <w:rPr>
      <w:rFonts w:ascii="Times New Roman" w:eastAsia="Times New Roman" w:hAnsi="Times New Roman" w:cs="Times New Roman"/>
      <w:b/>
      <w:bCs/>
      <w:kern w:val="28"/>
      <w:sz w:val="28"/>
      <w:szCs w:val="32"/>
      <w:lang w:val="en-AU" w:eastAsia="en-AU"/>
    </w:rPr>
  </w:style>
  <w:style w:type="paragraph" w:customStyle="1" w:styleId="notetext">
    <w:name w:val="note(text)"/>
    <w:aliases w:val="n"/>
    <w:link w:val="notetextChar"/>
    <w:rsid w:val="00040C7D"/>
    <w:pPr>
      <w:spacing w:before="122" w:after="0" w:line="198" w:lineRule="exact"/>
      <w:ind w:left="1985" w:hanging="851"/>
    </w:pPr>
    <w:rPr>
      <w:rFonts w:ascii="Times New Roman" w:eastAsia="Times New Roman" w:hAnsi="Times New Roman" w:cs="Times New Roman"/>
      <w:sz w:val="18"/>
      <w:szCs w:val="24"/>
      <w:lang w:val="en-AU" w:eastAsia="en-AU"/>
    </w:rPr>
  </w:style>
  <w:style w:type="paragraph" w:customStyle="1" w:styleId="subsection2">
    <w:name w:val="subsection2"/>
    <w:aliases w:val="ss2"/>
    <w:basedOn w:val="subsection"/>
    <w:next w:val="subsection"/>
    <w:rsid w:val="00040C7D"/>
    <w:pPr>
      <w:tabs>
        <w:tab w:val="clear" w:pos="1021"/>
      </w:tabs>
      <w:spacing w:before="40"/>
      <w:ind w:firstLine="0"/>
    </w:pPr>
  </w:style>
  <w:style w:type="character" w:customStyle="1" w:styleId="notetextChar">
    <w:name w:val="note(text) Char"/>
    <w:aliases w:val="n Char"/>
    <w:basedOn w:val="DefaultParagraphFont"/>
    <w:link w:val="notetext"/>
    <w:rsid w:val="00040C7D"/>
    <w:rPr>
      <w:rFonts w:ascii="Times New Roman" w:eastAsia="Times New Roman" w:hAnsi="Times New Roman" w:cs="Times New Roman"/>
      <w:sz w:val="18"/>
      <w:szCs w:val="24"/>
      <w:lang w:val="en-AU" w:eastAsia="en-AU"/>
    </w:rPr>
  </w:style>
  <w:style w:type="character" w:customStyle="1" w:styleId="CharAmSchNo">
    <w:name w:val="CharAmSchNo"/>
    <w:basedOn w:val="DefaultParagraphFont"/>
    <w:rsid w:val="0036053D"/>
  </w:style>
  <w:style w:type="character" w:customStyle="1" w:styleId="CharAmSchText">
    <w:name w:val="CharAmSchText"/>
    <w:basedOn w:val="DefaultParagraphFont"/>
    <w:rsid w:val="0036053D"/>
  </w:style>
  <w:style w:type="paragraph" w:customStyle="1" w:styleId="ActHead6">
    <w:name w:val="ActHead 6"/>
    <w:aliases w:val="as"/>
    <w:basedOn w:val="Normal"/>
    <w:next w:val="Normal"/>
    <w:rsid w:val="0036053D"/>
    <w:pPr>
      <w:keepNext/>
      <w:keepLines/>
      <w:spacing w:after="0" w:line="240" w:lineRule="auto"/>
      <w:ind w:left="1134" w:hanging="1134"/>
      <w:outlineLvl w:val="5"/>
    </w:pPr>
    <w:rPr>
      <w:rFonts w:eastAsia="Times New Roman" w:cs="Times New Roman"/>
      <w:b/>
      <w:bCs/>
      <w:kern w:val="28"/>
      <w:sz w:val="32"/>
      <w:szCs w:val="32"/>
      <w:lang w:val="en-AU" w:eastAsia="en-AU"/>
    </w:rPr>
  </w:style>
  <w:style w:type="paragraph" w:customStyle="1" w:styleId="ActHead9">
    <w:name w:val="ActHead 9"/>
    <w:aliases w:val="aat"/>
    <w:basedOn w:val="Normal"/>
    <w:next w:val="Normal"/>
    <w:rsid w:val="0036053D"/>
    <w:pPr>
      <w:keepLines/>
      <w:spacing w:before="280" w:after="0" w:line="240" w:lineRule="auto"/>
      <w:ind w:left="1134" w:hanging="1134"/>
      <w:outlineLvl w:val="8"/>
    </w:pPr>
    <w:rPr>
      <w:rFonts w:ascii="Times New Roman" w:eastAsia="Times New Roman" w:hAnsi="Times New Roman" w:cs="Times New Roman"/>
      <w:b/>
      <w:bCs/>
      <w:i/>
      <w:kern w:val="28"/>
      <w:sz w:val="28"/>
      <w:szCs w:val="32"/>
      <w:lang w:val="en-AU" w:eastAsia="en-AU"/>
    </w:rPr>
  </w:style>
  <w:style w:type="character" w:customStyle="1" w:styleId="CharAmPartNo">
    <w:name w:val="CharAmPartNo"/>
    <w:basedOn w:val="DefaultParagraphFont"/>
    <w:rsid w:val="0036053D"/>
  </w:style>
  <w:style w:type="character" w:customStyle="1" w:styleId="CharAmPartText">
    <w:name w:val="CharAmPartText"/>
    <w:basedOn w:val="DefaultParagraphFont"/>
    <w:rsid w:val="0036053D"/>
  </w:style>
  <w:style w:type="paragraph" w:customStyle="1" w:styleId="Definition">
    <w:name w:val="Definition"/>
    <w:aliases w:val="dd"/>
    <w:basedOn w:val="subsection"/>
    <w:rsid w:val="0036053D"/>
    <w:pPr>
      <w:tabs>
        <w:tab w:val="clear" w:pos="1021"/>
      </w:tabs>
      <w:ind w:firstLine="0"/>
    </w:pPr>
  </w:style>
  <w:style w:type="paragraph" w:customStyle="1" w:styleId="Item">
    <w:name w:val="Item"/>
    <w:aliases w:val="i"/>
    <w:basedOn w:val="subsection"/>
    <w:next w:val="Normal"/>
    <w:rsid w:val="0036053D"/>
    <w:pPr>
      <w:keepLines/>
      <w:tabs>
        <w:tab w:val="clear" w:pos="1021"/>
      </w:tabs>
      <w:spacing w:before="80"/>
      <w:ind w:left="709" w:firstLine="0"/>
    </w:pPr>
  </w:style>
  <w:style w:type="paragraph" w:customStyle="1" w:styleId="ItemHead">
    <w:name w:val="ItemHead"/>
    <w:aliases w:val="ih"/>
    <w:basedOn w:val="Heading1"/>
    <w:next w:val="Item"/>
    <w:rsid w:val="0036053D"/>
    <w:pPr>
      <w:keepLines/>
      <w:spacing w:before="220" w:line="240" w:lineRule="auto"/>
      <w:ind w:left="709" w:hanging="709"/>
      <w:contextualSpacing w:val="0"/>
      <w:outlineLvl w:val="9"/>
    </w:pPr>
    <w:rPr>
      <w:rFonts w:eastAsia="Times New Roman" w:cs="Arial"/>
      <w:kern w:val="28"/>
      <w:sz w:val="24"/>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Details/C2012A00100/Download"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hcsia.gov.au/strongerfutures"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www.comlaw.gov.au/Details/C2012A00101/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landreform@fahcsia.gov.a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Bills_Search_Results/Result?bId=r4736" TargetMode="External"/><Relationship Id="rId2" Type="http://schemas.openxmlformats.org/officeDocument/2006/relationships/hyperlink" Target="http://www.aph.gov.au/Parliamentary_Business/Committees/Senate_Committees?url=clac_ctte/strong_future_nt_11/submissions.htm" TargetMode="External"/><Relationship Id="rId1" Type="http://schemas.openxmlformats.org/officeDocument/2006/relationships/hyperlink" Target="http://fahcsia.gov.au/sa/indigenous/progserv/land/Pages/aba_community_stores_infrastructure_project.aspx" TargetMode="External"/><Relationship Id="rId6" Type="http://schemas.openxmlformats.org/officeDocument/2006/relationships/hyperlink" Target="http://www.aph.gov.au/Parliamentary_Business/Committees/Senate_Committees?url=clac_ctte/strong_future_nt_11/submissions.htm" TargetMode="External"/><Relationship Id="rId5" Type="http://schemas.openxmlformats.org/officeDocument/2006/relationships/hyperlink" Target="http://www.aph.gov.au/Parliamentary_Business/Committees/Senate_Committees?url=clac_ctte/strong_future_nt_11/submissions.htm" TargetMode="External"/><Relationship Id="rId4" Type="http://schemas.openxmlformats.org/officeDocument/2006/relationships/hyperlink" Target="http://www.aph.gov.au/Parliamentary_Business/Bills_Legislation/Bills_Search_Results/Result?bId=r47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A609-0B32-4BC6-A680-ED9D6A68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2013-03-12T22:10:00Z</dcterms:created>
  <dcterms:modified xsi:type="dcterms:W3CDTF">2013-03-12T22:10:00Z</dcterms:modified>
</cp:coreProperties>
</file>